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1F" w:rsidRPr="00443E9E" w:rsidRDefault="00635D1F" w:rsidP="00135D22">
      <w:pPr>
        <w:pStyle w:val="h1ChSch"/>
        <w:pageBreakBefore w:val="0"/>
        <w:spacing w:before="0"/>
        <w:jc w:val="both"/>
        <w:rPr>
          <w:b w:val="0"/>
          <w:vanish/>
          <w:sz w:val="12"/>
        </w:rPr>
      </w:pPr>
      <w:r>
        <w:rPr>
          <w:b w:val="0"/>
          <w:vanish/>
          <w:sz w:val="12"/>
        </w:rPr>
        <w:t>`</w:t>
      </w:r>
      <w:r w:rsidRPr="00443E9E">
        <w:rPr>
          <w:b w:val="0"/>
          <w:vanish/>
          <w:sz w:val="12"/>
        </w:rPr>
        <w:t>[Don’t delete]</w:t>
      </w:r>
    </w:p>
    <w:p w:rsidR="00635D1F" w:rsidRPr="00443E9E" w:rsidRDefault="00635D1F" w:rsidP="00135D22">
      <w:pPr>
        <w:pStyle w:val="h2Part"/>
        <w:pageBreakBefore w:val="0"/>
        <w:spacing w:before="0"/>
        <w:jc w:val="both"/>
        <w:rPr>
          <w:b w:val="0"/>
          <w:vanish/>
          <w:sz w:val="12"/>
        </w:rPr>
      </w:pPr>
      <w:r w:rsidRPr="00443E9E">
        <w:rPr>
          <w:b w:val="0"/>
          <w:vanish/>
          <w:sz w:val="12"/>
        </w:rPr>
        <w:t>[Don’t delete]</w:t>
      </w:r>
    </w:p>
    <w:p w:rsidR="00635D1F" w:rsidRPr="00443E9E" w:rsidRDefault="00635D1F" w:rsidP="00135D22">
      <w:pPr>
        <w:pStyle w:val="h3Div"/>
        <w:spacing w:before="0"/>
        <w:jc w:val="both"/>
        <w:rPr>
          <w:b w:val="0"/>
          <w:vanish/>
          <w:sz w:val="12"/>
        </w:rPr>
      </w:pPr>
      <w:r w:rsidRPr="00443E9E">
        <w:rPr>
          <w:b w:val="0"/>
          <w:vanish/>
          <w:sz w:val="12"/>
        </w:rPr>
        <w:t>[Don’t delete]</w:t>
      </w:r>
    </w:p>
    <w:p w:rsidR="00635D1F" w:rsidRPr="00C534C4" w:rsidRDefault="00635D1F" w:rsidP="00135D22">
      <w:pPr>
        <w:jc w:val="both"/>
        <w:rPr>
          <w:rFonts w:ascii="Arial" w:hAnsi="Arial"/>
          <w:color w:val="808080"/>
        </w:rPr>
      </w:pPr>
      <w:r>
        <w:rPr>
          <w:noProof/>
        </w:rPr>
        <w:drawing>
          <wp:inline distT="0" distB="0" distL="0" distR="0">
            <wp:extent cx="1409700" cy="1098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098550"/>
                    </a:xfrm>
                    <a:prstGeom prst="rect">
                      <a:avLst/>
                    </a:prstGeom>
                    <a:noFill/>
                    <a:ln>
                      <a:noFill/>
                    </a:ln>
                  </pic:spPr>
                </pic:pic>
              </a:graphicData>
            </a:graphic>
          </wp:inline>
        </w:drawing>
      </w:r>
      <w:r>
        <w:tab/>
      </w:r>
      <w:r>
        <w:rPr>
          <w:rFonts w:ascii="Arial" w:hAnsi="Arial"/>
          <w:color w:val="808080"/>
        </w:rPr>
        <w:t xml:space="preserve"> </w:t>
      </w:r>
    </w:p>
    <w:p w:rsidR="00635D1F" w:rsidRPr="002630EE" w:rsidRDefault="00715BC8" w:rsidP="00135D22">
      <w:pPr>
        <w:pStyle w:val="Title"/>
      </w:pPr>
      <w:r w:rsidRPr="00117077">
        <w:t>Carbon Credits (Carbon Farming Initiative) (</w:t>
      </w:r>
      <w:r w:rsidR="00CC3A03" w:rsidRPr="00117077">
        <w:t xml:space="preserve">Reducing Greenhouse Gas Emissions by Feeding </w:t>
      </w:r>
      <w:r w:rsidR="00CC3A03">
        <w:t>Nitrates to Beef Cattle</w:t>
      </w:r>
      <w:r w:rsidRPr="00117077">
        <w:t xml:space="preserve">) Methodology Determination </w:t>
      </w:r>
      <w:r>
        <w:t>201</w:t>
      </w:r>
      <w:r w:rsidR="00CC3A03">
        <w:t>4</w:t>
      </w:r>
    </w:p>
    <w:p w:rsidR="00635D1F" w:rsidRPr="00E008A1" w:rsidRDefault="00635D1F" w:rsidP="00135D22">
      <w:pPr>
        <w:pBdr>
          <w:bottom w:val="single" w:sz="4" w:space="3" w:color="auto"/>
        </w:pBdr>
        <w:spacing w:before="480"/>
        <w:jc w:val="both"/>
        <w:rPr>
          <w:rFonts w:ascii="Arial" w:hAnsi="Arial" w:cs="Arial"/>
          <w:i/>
          <w:sz w:val="28"/>
          <w:szCs w:val="28"/>
          <w:lang w:val="en-US"/>
        </w:rPr>
      </w:pPr>
      <w:r w:rsidRPr="00E008A1">
        <w:rPr>
          <w:rFonts w:ascii="Arial" w:hAnsi="Arial" w:cs="Arial"/>
          <w:i/>
          <w:sz w:val="28"/>
          <w:szCs w:val="28"/>
          <w:lang w:val="en-US"/>
        </w:rPr>
        <w:t>Carbon Credits (Carbon Farming Initiative) Act 2011</w:t>
      </w:r>
    </w:p>
    <w:p w:rsidR="00CC3A03" w:rsidRPr="00796495" w:rsidRDefault="00CC3A03" w:rsidP="00CC3A03">
      <w:pPr>
        <w:spacing w:before="360"/>
        <w:jc w:val="both"/>
      </w:pPr>
      <w:r w:rsidRPr="00796495">
        <w:t xml:space="preserve">I, </w:t>
      </w:r>
      <w:r>
        <w:t>Greg Hunt, Minister for the Environment</w:t>
      </w:r>
      <w:r w:rsidRPr="00796495">
        <w:t xml:space="preserve">, make this Methodology Determination under subsection 106(1) of the </w:t>
      </w:r>
      <w:r w:rsidRPr="00796495">
        <w:rPr>
          <w:i/>
        </w:rPr>
        <w:t>Carbon Credits (Carbon Farming Initiative) Act 2011</w:t>
      </w:r>
      <w:r w:rsidRPr="00796495">
        <w:t>.</w:t>
      </w:r>
    </w:p>
    <w:p w:rsidR="00CC3A03" w:rsidRPr="00FA05A6" w:rsidRDefault="009F26D8" w:rsidP="00CC3A03">
      <w:pPr>
        <w:spacing w:before="360"/>
        <w:jc w:val="both"/>
      </w:pPr>
      <w:r>
        <w:t>GREG HUNT</w:t>
      </w:r>
    </w:p>
    <w:p w:rsidR="00CC3A03" w:rsidRDefault="00CC3A03" w:rsidP="00CC3A03">
      <w:pPr>
        <w:tabs>
          <w:tab w:val="left" w:pos="3119"/>
        </w:tabs>
        <w:spacing w:before="300" w:after="600" w:line="300" w:lineRule="atLeast"/>
        <w:jc w:val="both"/>
      </w:pPr>
      <w:r>
        <w:t>Dated</w:t>
      </w:r>
      <w:r w:rsidR="009F26D8">
        <w:t xml:space="preserve">          11 : 8 : 2014</w:t>
      </w:r>
    </w:p>
    <w:p w:rsidR="00CC3A03" w:rsidRDefault="00CC3A03" w:rsidP="00CC3A03">
      <w:pPr>
        <w:tabs>
          <w:tab w:val="left" w:pos="3969"/>
        </w:tabs>
        <w:spacing w:before="120" w:after="120"/>
        <w:jc w:val="both"/>
      </w:pPr>
      <w:r>
        <w:t xml:space="preserve">GREG HUNT </w:t>
      </w:r>
    </w:p>
    <w:p w:rsidR="00CC3A03" w:rsidRPr="00FA05A6" w:rsidRDefault="00CC3A03" w:rsidP="00CC3A03">
      <w:pPr>
        <w:pBdr>
          <w:bottom w:val="single" w:sz="4" w:space="12" w:color="auto"/>
        </w:pBdr>
        <w:tabs>
          <w:tab w:val="left" w:pos="3119"/>
        </w:tabs>
        <w:spacing w:after="240" w:line="300" w:lineRule="atLeast"/>
        <w:jc w:val="both"/>
      </w:pPr>
      <w:r>
        <w:t>Minister for the Environment</w:t>
      </w:r>
    </w:p>
    <w:p w:rsidR="00635D1F" w:rsidRDefault="00635D1F" w:rsidP="00135D22">
      <w:pPr>
        <w:jc w:val="both"/>
      </w:pPr>
      <w:r>
        <w:br w:type="page"/>
      </w:r>
    </w:p>
    <w:p w:rsidR="009C7EE2" w:rsidRDefault="009C7EE2" w:rsidP="009C7EE2">
      <w:pPr>
        <w:pStyle w:val="h2Part"/>
      </w:pPr>
      <w:bookmarkStart w:id="0" w:name="_GoBack"/>
      <w:bookmarkEnd w:id="0"/>
      <w:r>
        <w:lastRenderedPageBreak/>
        <w:t>Contents</w:t>
      </w:r>
    </w:p>
    <w:p w:rsidR="009C7EE2" w:rsidRDefault="009C7EE2">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9C7EE2" w:rsidRDefault="009C7EE2">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4</w:t>
      </w:r>
    </w:p>
    <w:p w:rsidR="009C7EE2" w:rsidRDefault="009C7EE2">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Duration</w:t>
      </w:r>
      <w:r>
        <w:tab/>
        <w:t>4</w:t>
      </w:r>
    </w:p>
    <w:p w:rsidR="009C7EE2" w:rsidRDefault="009C7EE2">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4</w:t>
      </w:r>
    </w:p>
    <w:p w:rsidR="009C7EE2" w:rsidRDefault="009C7EE2">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6</w:t>
      </w:r>
    </w:p>
    <w:p w:rsidR="009C7EE2" w:rsidRDefault="009C7EE2">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an eligible offsets project</w:t>
      </w:r>
    </w:p>
    <w:p w:rsidR="009C7EE2" w:rsidRDefault="009C7EE2">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offsets projects</w:t>
      </w:r>
      <w:r>
        <w:tab/>
        <w:t>7</w:t>
      </w:r>
    </w:p>
    <w:p w:rsidR="009C7EE2" w:rsidRDefault="009C7EE2">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Location</w:t>
      </w:r>
      <w:r>
        <w:tab/>
        <w:t>7</w:t>
      </w:r>
    </w:p>
    <w:p w:rsidR="009C7EE2" w:rsidRDefault="009C7EE2">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Eligible herds</w:t>
      </w:r>
      <w:r>
        <w:tab/>
        <w:t>7</w:t>
      </w:r>
    </w:p>
    <w:p w:rsidR="009C7EE2" w:rsidRDefault="009C7EE2">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History of urea supplementation</w:t>
      </w:r>
      <w:r>
        <w:tab/>
        <w:t>7</w:t>
      </w:r>
    </w:p>
    <w:p w:rsidR="009C7EE2" w:rsidRDefault="009C7EE2">
      <w:pPr>
        <w:pStyle w:val="TOC5"/>
        <w:rPr>
          <w:rFonts w:asciiTheme="minorHAnsi" w:eastAsiaTheme="minorEastAsia" w:hAnsiTheme="minorHAnsi" w:cstheme="minorBidi"/>
          <w:sz w:val="22"/>
          <w:szCs w:val="22"/>
          <w:lang w:eastAsia="en-AU"/>
        </w:rPr>
      </w:pPr>
      <w:r>
        <w:tab/>
        <w:t>2.5</w:t>
      </w:r>
      <w:r>
        <w:rPr>
          <w:rFonts w:asciiTheme="minorHAnsi" w:eastAsiaTheme="minorEastAsia" w:hAnsiTheme="minorHAnsi" w:cstheme="minorBidi"/>
          <w:sz w:val="22"/>
          <w:szCs w:val="22"/>
          <w:lang w:eastAsia="en-AU"/>
        </w:rPr>
        <w:tab/>
      </w:r>
      <w:r>
        <w:t>Project mechanism</w:t>
      </w:r>
      <w:r>
        <w:tab/>
        <w:t>7</w:t>
      </w:r>
    </w:p>
    <w:p w:rsidR="009C7EE2" w:rsidRDefault="009C7EE2">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offsets projects</w:t>
      </w:r>
    </w:p>
    <w:p w:rsidR="009C7EE2" w:rsidRDefault="009C7EE2">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offsets projects</w:t>
      </w:r>
      <w:r>
        <w:tab/>
        <w:t>8</w:t>
      </w:r>
    </w:p>
    <w:p w:rsidR="009C7EE2" w:rsidRDefault="009C7EE2">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Feeding nitrates to the herd</w:t>
      </w:r>
      <w:r>
        <w:tab/>
        <w:t>8</w:t>
      </w:r>
    </w:p>
    <w:p w:rsidR="009C7EE2" w:rsidRDefault="009C7EE2">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Nitrate supplementation limit</w:t>
      </w:r>
      <w:r>
        <w:tab/>
        <w:t>8</w:t>
      </w:r>
    </w:p>
    <w:p w:rsidR="009C7EE2" w:rsidRDefault="009C7EE2">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carbon dioxide equivalent net abatement amount</w:t>
      </w:r>
    </w:p>
    <w:p w:rsidR="009C7EE2" w:rsidRDefault="009C7EE2">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carbon dioxide equivalent net abatement amount</w:t>
      </w:r>
    </w:p>
    <w:p w:rsidR="009C7EE2" w:rsidRDefault="009C7EE2">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carbon dioxide equivalent net abatement amount</w:t>
      </w:r>
      <w:r>
        <w:tab/>
        <w:t>9</w:t>
      </w:r>
    </w:p>
    <w:p w:rsidR="009C7EE2" w:rsidRDefault="009C7EE2">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The baseline</w:t>
      </w:r>
      <w:r>
        <w:tab/>
        <w:t>9</w:t>
      </w:r>
    </w:p>
    <w:p w:rsidR="009C7EE2" w:rsidRDefault="009C7EE2">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Carbon dioxide equivalent net abatement amount if nitrate supplementation limit exceeded</w:t>
      </w:r>
      <w:r>
        <w:tab/>
        <w:t>9</w:t>
      </w:r>
    </w:p>
    <w:p w:rsidR="009C7EE2" w:rsidRDefault="009C7EE2">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w:t>
      </w:r>
    </w:p>
    <w:p w:rsidR="009C7EE2" w:rsidRDefault="009C7EE2">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Calculation of the carbon dioxide equivalent net abatement amount</w:t>
      </w:r>
      <w:r>
        <w:tab/>
        <w:t>10</w:t>
      </w:r>
    </w:p>
    <w:p w:rsidR="009C7EE2" w:rsidRDefault="009C7EE2">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Greenhouse gas assessment boundary</w:t>
      </w:r>
      <w:r>
        <w:tab/>
        <w:t>10</w:t>
      </w:r>
    </w:p>
    <w:p w:rsidR="009C7EE2" w:rsidRDefault="009C7EE2">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The baseline</w:t>
      </w:r>
      <w:r>
        <w:tab/>
        <w:t>10</w:t>
      </w:r>
    </w:p>
    <w:p w:rsidR="009C7EE2" w:rsidRDefault="009C7EE2">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measuring, record</w:t>
      </w:r>
      <w:r>
        <w:noBreakHyphen/>
        <w:t>keeping and reporting requirements</w:t>
      </w:r>
    </w:p>
    <w:p w:rsidR="009C7EE2" w:rsidRDefault="009C7EE2">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9C7EE2" w:rsidRDefault="009C7EE2">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General</w:t>
      </w:r>
      <w:r>
        <w:tab/>
        <w:t>11</w:t>
      </w:r>
    </w:p>
    <w:p w:rsidR="009C7EE2" w:rsidRDefault="009C7EE2">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Monitoring and measuring</w:t>
      </w:r>
    </w:p>
    <w:p w:rsidR="009C7EE2" w:rsidRDefault="009C7EE2">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General</w:t>
      </w:r>
      <w:r>
        <w:tab/>
        <w:t>11</w:t>
      </w:r>
    </w:p>
    <w:p w:rsidR="009C7EE2" w:rsidRDefault="009C7EE2">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Monitoring the number of animals in each livestock class</w:t>
      </w:r>
      <w:r>
        <w:tab/>
        <w:t>11</w:t>
      </w:r>
    </w:p>
    <w:p w:rsidR="009C7EE2" w:rsidRDefault="009C7EE2">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Monitoring the average liveweight of each livestock class</w:t>
      </w:r>
      <w:r>
        <w:tab/>
        <w:t>11</w:t>
      </w:r>
    </w:p>
    <w:p w:rsidR="009C7EE2" w:rsidRDefault="009C7EE2">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Monitoring nitrate lick block consumption</w:t>
      </w:r>
      <w:r>
        <w:tab/>
        <w:t>12</w:t>
      </w:r>
    </w:p>
    <w:p w:rsidR="009C7EE2" w:rsidRDefault="009C7EE2">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Monitoring the consumption of non-protein nitrogen that is not nitrate</w:t>
      </w:r>
      <w:r>
        <w:tab/>
        <w:t>12</w:t>
      </w:r>
    </w:p>
    <w:p w:rsidR="009C7EE2" w:rsidRDefault="009C7EE2">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Quality assurance and quality control</w:t>
      </w:r>
      <w:r>
        <w:tab/>
        <w:t>12</w:t>
      </w:r>
    </w:p>
    <w:p w:rsidR="009C7EE2" w:rsidRDefault="009C7EE2">
      <w:pPr>
        <w:pStyle w:val="TOC3"/>
        <w:rPr>
          <w:rFonts w:asciiTheme="minorHAnsi" w:eastAsiaTheme="minorEastAsia" w:hAnsiTheme="minorHAnsi" w:cstheme="minorBidi"/>
          <w:b w:val="0"/>
          <w:noProof/>
          <w:sz w:val="22"/>
          <w:szCs w:val="22"/>
          <w:lang w:eastAsia="en-AU"/>
        </w:rPr>
      </w:pPr>
      <w:r>
        <w:rPr>
          <w:noProof/>
        </w:rPr>
        <w:lastRenderedPageBreak/>
        <w:t>Division 5.3</w:t>
      </w:r>
      <w:r>
        <w:rPr>
          <w:rFonts w:asciiTheme="minorHAnsi" w:eastAsiaTheme="minorEastAsia" w:hAnsiTheme="minorHAnsi" w:cstheme="minorBidi"/>
          <w:b w:val="0"/>
          <w:noProof/>
          <w:sz w:val="22"/>
          <w:szCs w:val="22"/>
          <w:lang w:eastAsia="en-AU"/>
        </w:rPr>
        <w:tab/>
      </w:r>
      <w:r>
        <w:rPr>
          <w:noProof/>
        </w:rPr>
        <w:t>Record-keeping requirements</w:t>
      </w:r>
    </w:p>
    <w:p w:rsidR="009C7EE2" w:rsidRDefault="009C7EE2">
      <w:pPr>
        <w:pStyle w:val="TOC5"/>
        <w:rPr>
          <w:rFonts w:asciiTheme="minorHAnsi" w:eastAsiaTheme="minorEastAsia" w:hAnsiTheme="minorHAnsi" w:cstheme="minorBidi"/>
          <w:sz w:val="22"/>
          <w:szCs w:val="22"/>
          <w:lang w:eastAsia="en-AU"/>
        </w:rPr>
      </w:pPr>
      <w:r>
        <w:tab/>
        <w:t>5.8</w:t>
      </w:r>
      <w:r>
        <w:rPr>
          <w:rFonts w:asciiTheme="minorHAnsi" w:eastAsiaTheme="minorEastAsia" w:hAnsiTheme="minorHAnsi" w:cstheme="minorBidi"/>
          <w:sz w:val="22"/>
          <w:szCs w:val="22"/>
          <w:lang w:eastAsia="en-AU"/>
        </w:rPr>
        <w:tab/>
      </w:r>
      <w:r>
        <w:t>Eligibility records that must be kept</w:t>
      </w:r>
      <w:r>
        <w:tab/>
        <w:t>13</w:t>
      </w:r>
    </w:p>
    <w:p w:rsidR="009C7EE2" w:rsidRDefault="009C7EE2">
      <w:pPr>
        <w:pStyle w:val="TOC5"/>
        <w:rPr>
          <w:rFonts w:asciiTheme="minorHAnsi" w:eastAsiaTheme="minorEastAsia" w:hAnsiTheme="minorHAnsi" w:cstheme="minorBidi"/>
          <w:sz w:val="22"/>
          <w:szCs w:val="22"/>
          <w:lang w:eastAsia="en-AU"/>
        </w:rPr>
      </w:pPr>
      <w:r>
        <w:tab/>
        <w:t>5.9</w:t>
      </w:r>
      <w:r>
        <w:rPr>
          <w:rFonts w:asciiTheme="minorHAnsi" w:eastAsiaTheme="minorEastAsia" w:hAnsiTheme="minorHAnsi" w:cstheme="minorBidi"/>
          <w:sz w:val="22"/>
          <w:szCs w:val="22"/>
          <w:lang w:eastAsia="en-AU"/>
        </w:rPr>
        <w:tab/>
      </w:r>
      <w:r>
        <w:t>Annual records that must be kept</w:t>
      </w:r>
      <w:r>
        <w:tab/>
        <w:t>13</w:t>
      </w:r>
    </w:p>
    <w:p w:rsidR="009C7EE2" w:rsidRDefault="009C7EE2">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Offsets report requirements</w:t>
      </w:r>
    </w:p>
    <w:p w:rsidR="009C7EE2" w:rsidRDefault="009C7EE2">
      <w:pPr>
        <w:pStyle w:val="TOC5"/>
        <w:rPr>
          <w:rFonts w:asciiTheme="minorHAnsi" w:eastAsiaTheme="minorEastAsia" w:hAnsiTheme="minorHAnsi" w:cstheme="minorBidi"/>
          <w:sz w:val="22"/>
          <w:szCs w:val="22"/>
          <w:lang w:eastAsia="en-AU"/>
        </w:rPr>
      </w:pPr>
      <w:r>
        <w:tab/>
        <w:t>5.10</w:t>
      </w:r>
      <w:r>
        <w:rPr>
          <w:rFonts w:asciiTheme="minorHAnsi" w:eastAsiaTheme="minorEastAsia" w:hAnsiTheme="minorHAnsi" w:cstheme="minorBidi"/>
          <w:sz w:val="22"/>
          <w:szCs w:val="22"/>
          <w:lang w:eastAsia="en-AU"/>
        </w:rPr>
        <w:tab/>
      </w:r>
      <w:r>
        <w:t>Reporting requirements</w:t>
      </w:r>
      <w:r>
        <w:tab/>
        <w:t>14</w:t>
      </w:r>
    </w:p>
    <w:p w:rsidR="009C7EE2" w:rsidRDefault="009C7EE2">
      <w:pPr>
        <w:pStyle w:val="TOC5"/>
        <w:rPr>
          <w:rFonts w:asciiTheme="minorHAnsi" w:eastAsiaTheme="minorEastAsia" w:hAnsiTheme="minorHAnsi" w:cstheme="minorBidi"/>
          <w:sz w:val="22"/>
          <w:szCs w:val="22"/>
          <w:lang w:eastAsia="en-AU"/>
        </w:rPr>
      </w:pPr>
      <w:r>
        <w:tab/>
        <w:t>5.11</w:t>
      </w:r>
      <w:r>
        <w:rPr>
          <w:rFonts w:asciiTheme="minorHAnsi" w:eastAsiaTheme="minorEastAsia" w:hAnsiTheme="minorHAnsi" w:cstheme="minorBidi"/>
          <w:sz w:val="22"/>
          <w:szCs w:val="22"/>
          <w:lang w:eastAsia="en-AU"/>
        </w:rPr>
        <w:tab/>
      </w:r>
      <w:r>
        <w:t>Information that must be included in each offsets report</w:t>
      </w:r>
      <w:r>
        <w:tab/>
        <w:t>14</w:t>
      </w:r>
    </w:p>
    <w:p w:rsidR="003646DB" w:rsidRDefault="003646DB">
      <w:pPr>
        <w:pStyle w:val="TOC5"/>
        <w:rPr>
          <w:rFonts w:asciiTheme="minorHAnsi" w:eastAsiaTheme="minorEastAsia" w:hAnsiTheme="minorHAnsi" w:cstheme="minorBidi"/>
          <w:sz w:val="22"/>
          <w:szCs w:val="22"/>
          <w:lang w:eastAsia="en-AU"/>
        </w:rPr>
      </w:pPr>
    </w:p>
    <w:p w:rsidR="00635D1F" w:rsidRPr="00DE64EE" w:rsidRDefault="00520551" w:rsidP="00520551">
      <w:pPr>
        <w:pStyle w:val="h2Part"/>
      </w:pPr>
      <w:bookmarkStart w:id="1" w:name="_Toc393714327"/>
      <w:r>
        <w:t xml:space="preserve">Part </w:t>
      </w:r>
      <w:r w:rsidR="00253430">
        <w:t>1</w:t>
      </w:r>
      <w:r>
        <w:tab/>
      </w:r>
      <w:r w:rsidR="00635D1F" w:rsidRPr="00DE64EE">
        <w:t>Preliminary</w:t>
      </w:r>
      <w:bookmarkEnd w:id="1"/>
    </w:p>
    <w:p w:rsidR="00C54BF6" w:rsidRDefault="00253430" w:rsidP="00520551">
      <w:pPr>
        <w:pStyle w:val="h5Section"/>
      </w:pPr>
      <w:bookmarkStart w:id="2" w:name="_Toc393714328"/>
      <w:r>
        <w:t>1.1</w:t>
      </w:r>
      <w:r w:rsidR="00520551">
        <w:tab/>
      </w:r>
      <w:r w:rsidR="00635D1F" w:rsidRPr="00DE64EE">
        <w:t>Name of Determination</w:t>
      </w:r>
      <w:bookmarkEnd w:id="2"/>
    </w:p>
    <w:p w:rsidR="00234A8E" w:rsidRDefault="00D938FF" w:rsidP="00135D22">
      <w:pPr>
        <w:pStyle w:val="tMain"/>
      </w:pPr>
      <w:r>
        <w:tab/>
      </w:r>
      <w:r>
        <w:tab/>
      </w:r>
      <w:r w:rsidR="00870D30">
        <w:t>This</w:t>
      </w:r>
      <w:r w:rsidR="00635D1F" w:rsidRPr="00C54BF6">
        <w:t xml:space="preserve"> Determination is the </w:t>
      </w:r>
      <w:r w:rsidR="007A318C" w:rsidRPr="00025F49">
        <w:rPr>
          <w:i/>
        </w:rPr>
        <w:t>Carbon Credits (Carbon Farming Initiative) (</w:t>
      </w:r>
      <w:r w:rsidR="00CC3A03" w:rsidRPr="002E05D9">
        <w:rPr>
          <w:i/>
        </w:rPr>
        <w:t>Reducing Greenhouse Gas Emissions by Feeding Nitrates to Beef Cattle</w:t>
      </w:r>
      <w:r w:rsidR="00CC3A03" w:rsidRPr="00025F49">
        <w:rPr>
          <w:i/>
        </w:rPr>
        <w:t>) Methodology Determination 201</w:t>
      </w:r>
      <w:r w:rsidR="00CC3A03">
        <w:rPr>
          <w:i/>
        </w:rPr>
        <w:t>4</w:t>
      </w:r>
      <w:r w:rsidR="003150B3">
        <w:rPr>
          <w:i/>
        </w:rPr>
        <w:t>.</w:t>
      </w:r>
    </w:p>
    <w:p w:rsidR="00635D1F" w:rsidRPr="00DE64EE" w:rsidRDefault="00253430" w:rsidP="00520551">
      <w:pPr>
        <w:pStyle w:val="h5Section"/>
      </w:pPr>
      <w:bookmarkStart w:id="3" w:name="_Toc393714329"/>
      <w:r>
        <w:t>1.2</w:t>
      </w:r>
      <w:r w:rsidR="00520551">
        <w:tab/>
      </w:r>
      <w:r w:rsidR="00327408">
        <w:t>Duration</w:t>
      </w:r>
      <w:bookmarkEnd w:id="3"/>
    </w:p>
    <w:p w:rsidR="00327408" w:rsidRPr="00805E09" w:rsidRDefault="00635D1F" w:rsidP="00327408">
      <w:pPr>
        <w:pStyle w:val="noteMain"/>
      </w:pPr>
      <w:r w:rsidRPr="00DE64EE">
        <w:tab/>
      </w:r>
      <w:r w:rsidRPr="00DE64EE">
        <w:tab/>
      </w:r>
      <w:r w:rsidR="00327408">
        <w:rPr>
          <w:b/>
          <w:i/>
        </w:rPr>
        <w:t>Note</w:t>
      </w:r>
      <w:r w:rsidR="00327408">
        <w:tab/>
        <w:t>See subsection 122(1) of the Act.</w:t>
      </w:r>
    </w:p>
    <w:p w:rsidR="00327408" w:rsidRDefault="00327408" w:rsidP="00327408">
      <w:pPr>
        <w:pStyle w:val="tMain"/>
      </w:pPr>
      <w:r>
        <w:tab/>
      </w:r>
      <w:r>
        <w:tab/>
      </w:r>
      <w:r w:rsidRPr="00713A04">
        <w:t>This Determination</w:t>
      </w:r>
      <w:r>
        <w:t>:</w:t>
      </w:r>
      <w:r w:rsidRPr="00713A04">
        <w:t xml:space="preserve"> </w:t>
      </w:r>
    </w:p>
    <w:p w:rsidR="00327408" w:rsidRDefault="00327408" w:rsidP="00327408">
      <w:pPr>
        <w:pStyle w:val="tPara"/>
        <w:rPr>
          <w:color w:val="808080" w:themeColor="background1" w:themeShade="80"/>
        </w:rPr>
      </w:pPr>
      <w:r>
        <w:tab/>
      </w:r>
      <w:r w:rsidR="00253430">
        <w:t>(a)</w:t>
      </w:r>
      <w:r>
        <w:tab/>
      </w:r>
      <w:proofErr w:type="gramStart"/>
      <w:r w:rsidRPr="008A2A93">
        <w:t>commences</w:t>
      </w:r>
      <w:proofErr w:type="gramEnd"/>
      <w:r w:rsidRPr="008A2A93">
        <w:t xml:space="preserve"> on the day after it is registered on the Federal Register of Legislative Instruments</w:t>
      </w:r>
      <w:r>
        <w:t>; and</w:t>
      </w:r>
    </w:p>
    <w:p w:rsidR="00327408" w:rsidRDefault="00327408" w:rsidP="00327408">
      <w:pPr>
        <w:pStyle w:val="tPara"/>
      </w:pPr>
      <w:r>
        <w:tab/>
      </w:r>
      <w:r w:rsidR="00253430">
        <w:t>(b)</w:t>
      </w:r>
      <w:r>
        <w:tab/>
      </w:r>
      <w:proofErr w:type="gramStart"/>
      <w:r>
        <w:t>unless</w:t>
      </w:r>
      <w:proofErr w:type="gramEnd"/>
      <w:r>
        <w:t xml:space="preserve"> sooner revoked, </w:t>
      </w:r>
      <w:r w:rsidRPr="009911C3">
        <w:t xml:space="preserve">expires </w:t>
      </w:r>
      <w:r>
        <w:t xml:space="preserve">on </w:t>
      </w:r>
      <w:r w:rsidRPr="009911C3">
        <w:t xml:space="preserve">the day before it would otherwise be repealed under </w:t>
      </w:r>
      <w:r>
        <w:t xml:space="preserve">subsection 50(1) of </w:t>
      </w:r>
      <w:r w:rsidRPr="009911C3">
        <w:t xml:space="preserve">the </w:t>
      </w:r>
      <w:r w:rsidRPr="00F75447">
        <w:rPr>
          <w:i/>
        </w:rPr>
        <w:t xml:space="preserve">Legislative Instruments Act </w:t>
      </w:r>
      <w:r w:rsidRPr="00061A30">
        <w:rPr>
          <w:i/>
        </w:rPr>
        <w:t>2003</w:t>
      </w:r>
      <w:r w:rsidRPr="009911C3">
        <w:t>.</w:t>
      </w:r>
    </w:p>
    <w:p w:rsidR="00B57869" w:rsidRDefault="00B57869" w:rsidP="00B57869">
      <w:pPr>
        <w:pStyle w:val="notePara"/>
      </w:pPr>
      <w:r>
        <w:tab/>
      </w:r>
      <w:r>
        <w:rPr>
          <w:b/>
          <w:i/>
        </w:rPr>
        <w:t>Note</w:t>
      </w:r>
      <w:r>
        <w:tab/>
        <w:t>This Determination will expire on the first 31 March or 30 September on or after the tenth anniversary of its registration.</w:t>
      </w:r>
    </w:p>
    <w:p w:rsidR="00327408" w:rsidRDefault="00B57869" w:rsidP="00B57869">
      <w:pPr>
        <w:pStyle w:val="notePara"/>
      </w:pPr>
      <w:r>
        <w:tab/>
      </w:r>
      <w:r>
        <w:rPr>
          <w:b/>
          <w:i/>
        </w:rPr>
        <w:t>Note</w:t>
      </w:r>
      <w:r>
        <w:tab/>
      </w:r>
      <w:r w:rsidR="00327408" w:rsidRPr="00C215BE">
        <w:t>This Determination continues to apply after expiry in accordance with section 125 of the Act.</w:t>
      </w:r>
      <w:r w:rsidR="00327408" w:rsidRPr="0056290A">
        <w:t xml:space="preserve"> </w:t>
      </w:r>
    </w:p>
    <w:p w:rsidR="00635D1F" w:rsidRPr="00DE64EE" w:rsidRDefault="00253430" w:rsidP="00327408">
      <w:pPr>
        <w:pStyle w:val="h5Section"/>
      </w:pPr>
      <w:bookmarkStart w:id="4" w:name="_Toc393714330"/>
      <w:r>
        <w:t>1.3</w:t>
      </w:r>
      <w:r w:rsidR="00327408">
        <w:tab/>
      </w:r>
      <w:r w:rsidR="00635D1F" w:rsidRPr="00DE64EE">
        <w:t>Definitions</w:t>
      </w:r>
      <w:bookmarkEnd w:id="4"/>
    </w:p>
    <w:p w:rsidR="00635D1F" w:rsidRPr="00DE64EE" w:rsidRDefault="00635D1F" w:rsidP="00135D22">
      <w:pPr>
        <w:pStyle w:val="tMain"/>
        <w:rPr>
          <w:rStyle w:val="CharSectno"/>
        </w:rPr>
      </w:pPr>
      <w:r w:rsidRPr="00DE64EE">
        <w:rPr>
          <w:rStyle w:val="CharSectno"/>
        </w:rPr>
        <w:tab/>
      </w:r>
      <w:r w:rsidRPr="00DE64EE">
        <w:rPr>
          <w:rStyle w:val="CharSectno"/>
        </w:rPr>
        <w:tab/>
        <w:t>In this Determination:</w:t>
      </w:r>
    </w:p>
    <w:p w:rsidR="00CC3A03" w:rsidRDefault="00CC3A03" w:rsidP="00CC3A03">
      <w:pPr>
        <w:pStyle w:val="tDefn"/>
      </w:pPr>
      <w:r w:rsidRPr="002167C6">
        <w:rPr>
          <w:b/>
          <w:i/>
        </w:rPr>
        <w:t>Act</w:t>
      </w:r>
      <w:r w:rsidRPr="00F163A2">
        <w:t xml:space="preserve"> means the </w:t>
      </w:r>
      <w:r w:rsidRPr="002167C6">
        <w:rPr>
          <w:i/>
        </w:rPr>
        <w:t>Carbon Credits (Carbon Farming Initiative) Act 2011</w:t>
      </w:r>
      <w:r>
        <w:t>.</w:t>
      </w:r>
    </w:p>
    <w:p w:rsidR="00CC3A03" w:rsidRPr="008C0084" w:rsidRDefault="00CC3A03" w:rsidP="00CC3A03">
      <w:pPr>
        <w:pStyle w:val="tDefn"/>
      </w:pPr>
      <w:proofErr w:type="gramStart"/>
      <w:r>
        <w:rPr>
          <w:b/>
          <w:i/>
        </w:rPr>
        <w:t>adult</w:t>
      </w:r>
      <w:proofErr w:type="gramEnd"/>
      <w:r>
        <w:rPr>
          <w:b/>
          <w:i/>
        </w:rPr>
        <w:t xml:space="preserve"> animal equivalent</w:t>
      </w:r>
      <w:r>
        <w:t xml:space="preserve"> means a unit of measure defined by </w:t>
      </w:r>
      <w:r w:rsidR="005403B2">
        <w:t>a live</w:t>
      </w:r>
      <w:r>
        <w:t xml:space="preserve">weight of 450 kilograms. </w:t>
      </w:r>
    </w:p>
    <w:p w:rsidR="00CC3A03" w:rsidRPr="00D2460B" w:rsidRDefault="00CC3A03" w:rsidP="00CC3A03">
      <w:pPr>
        <w:pStyle w:val="tDefn"/>
      </w:pPr>
      <w:r>
        <w:rPr>
          <w:b/>
          <w:i/>
        </w:rPr>
        <w:t xml:space="preserve">ANZSIC </w:t>
      </w:r>
      <w:r>
        <w:t>means the Australian and New Zealand Standard Industrial Classification</w:t>
      </w:r>
      <w:r w:rsidR="00762053">
        <w:t xml:space="preserve"> 2006</w:t>
      </w:r>
      <w:r>
        <w:t>, published by the Australian Bureau of Statistics.</w:t>
      </w:r>
    </w:p>
    <w:p w:rsidR="00096261" w:rsidRDefault="00096261" w:rsidP="00096261">
      <w:pPr>
        <w:pStyle w:val="tDefn"/>
        <w:rPr>
          <w:bCs/>
        </w:rPr>
      </w:pPr>
      <w:r>
        <w:rPr>
          <w:b/>
          <w:bCs/>
          <w:i/>
        </w:rPr>
        <w:t>Association of Official Analytical Chemists</w:t>
      </w:r>
      <w:r>
        <w:rPr>
          <w:bCs/>
        </w:rPr>
        <w:t xml:space="preserve"> means the organisation of that name.</w:t>
      </w:r>
    </w:p>
    <w:p w:rsidR="003365B9" w:rsidRDefault="003365B9" w:rsidP="003365B9">
      <w:pPr>
        <w:pStyle w:val="notePara"/>
      </w:pPr>
      <w:r>
        <w:tab/>
      </w:r>
      <w:r>
        <w:rPr>
          <w:b/>
          <w:i/>
        </w:rPr>
        <w:t>Note</w:t>
      </w:r>
      <w:r>
        <w:tab/>
        <w:t xml:space="preserve">The official methods of the Association of Official Analytical Chemists mentioned in section 8 are available at:  </w:t>
      </w:r>
      <w:r w:rsidRPr="00253430">
        <w:t>http://www.eoma.aoac.org</w:t>
      </w:r>
      <w:r>
        <w:t xml:space="preserve"> </w:t>
      </w:r>
    </w:p>
    <w:p w:rsidR="00CC3A03" w:rsidRDefault="00CC3A03" w:rsidP="00CC3A03">
      <w:pPr>
        <w:pStyle w:val="tDefn"/>
      </w:pPr>
      <w:r>
        <w:rPr>
          <w:b/>
          <w:i/>
        </w:rPr>
        <w:t xml:space="preserve">Australian Fodder Industry Association laboratory </w:t>
      </w:r>
      <w:r>
        <w:t xml:space="preserve">means a laboratory certified by the Australian Fodder Industry Association Limited (ABN 12 131 678 727). </w:t>
      </w:r>
    </w:p>
    <w:p w:rsidR="00096261" w:rsidRPr="00096261" w:rsidRDefault="00096261" w:rsidP="00CC3A03">
      <w:pPr>
        <w:pStyle w:val="tDefn"/>
      </w:pPr>
      <w:proofErr w:type="gramStart"/>
      <w:r>
        <w:rPr>
          <w:b/>
          <w:bCs/>
          <w:i/>
        </w:rPr>
        <w:t>average</w:t>
      </w:r>
      <w:proofErr w:type="gramEnd"/>
      <w:r>
        <w:rPr>
          <w:b/>
          <w:bCs/>
          <w:i/>
        </w:rPr>
        <w:t xml:space="preserve"> </w:t>
      </w:r>
      <w:r>
        <w:t>means the arithmetic mean.</w:t>
      </w:r>
    </w:p>
    <w:p w:rsidR="00453FAF" w:rsidRDefault="00453FAF" w:rsidP="00ED7292">
      <w:pPr>
        <w:pStyle w:val="tMain"/>
        <w:rPr>
          <w:b/>
          <w:bCs/>
          <w:i/>
        </w:rPr>
      </w:pPr>
      <w:r>
        <w:rPr>
          <w:b/>
          <w:i/>
        </w:rPr>
        <w:tab/>
      </w:r>
      <w:r>
        <w:rPr>
          <w:b/>
          <w:i/>
        </w:rPr>
        <w:tab/>
      </w:r>
      <w:proofErr w:type="gramStart"/>
      <w:r>
        <w:rPr>
          <w:b/>
          <w:i/>
        </w:rPr>
        <w:t>baseline</w:t>
      </w:r>
      <w:proofErr w:type="gramEnd"/>
      <w:r>
        <w:rPr>
          <w:b/>
          <w:i/>
        </w:rPr>
        <w:t xml:space="preserve"> area</w:t>
      </w:r>
      <w:r>
        <w:t xml:space="preserve"> means an area of land on which the project mechanism takes place and which has a uniform history of urea use for the five years prior to commencement of the first reporting period.</w:t>
      </w:r>
      <w:r w:rsidR="00ED7292">
        <w:rPr>
          <w:b/>
          <w:bCs/>
          <w:i/>
        </w:rPr>
        <w:tab/>
      </w:r>
      <w:r w:rsidR="00ED7292">
        <w:rPr>
          <w:b/>
          <w:bCs/>
          <w:i/>
        </w:rPr>
        <w:tab/>
      </w:r>
    </w:p>
    <w:p w:rsidR="00CC3A03" w:rsidRDefault="00453FAF" w:rsidP="00ED7292">
      <w:pPr>
        <w:pStyle w:val="tMain"/>
      </w:pPr>
      <w:r>
        <w:rPr>
          <w:b/>
          <w:bCs/>
          <w:i/>
        </w:rPr>
        <w:tab/>
      </w:r>
      <w:r>
        <w:rPr>
          <w:b/>
          <w:bCs/>
          <w:i/>
        </w:rPr>
        <w:tab/>
      </w:r>
      <w:proofErr w:type="gramStart"/>
      <w:r w:rsidR="00CC3A03">
        <w:rPr>
          <w:b/>
          <w:bCs/>
          <w:i/>
        </w:rPr>
        <w:t>carbon</w:t>
      </w:r>
      <w:proofErr w:type="gramEnd"/>
      <w:r w:rsidR="00CC3A03">
        <w:rPr>
          <w:b/>
          <w:bCs/>
          <w:i/>
        </w:rPr>
        <w:t xml:space="preserve"> dioxide equivalent (CO</w:t>
      </w:r>
      <w:r w:rsidR="00CC3A03">
        <w:rPr>
          <w:b/>
          <w:bCs/>
          <w:i/>
          <w:vertAlign w:val="subscript"/>
        </w:rPr>
        <w:t>2</w:t>
      </w:r>
      <w:r w:rsidR="00CC3A03">
        <w:rPr>
          <w:b/>
          <w:bCs/>
          <w:i/>
        </w:rPr>
        <w:t xml:space="preserve">-e) </w:t>
      </w:r>
      <w:r w:rsidR="00CC3A03">
        <w:t>means the carbon dioxide</w:t>
      </w:r>
      <w:r w:rsidR="00CC3A03" w:rsidRPr="00F27F4A">
        <w:t xml:space="preserve"> equiva</w:t>
      </w:r>
      <w:r w:rsidR="00CC3A03">
        <w:t>len</w:t>
      </w:r>
      <w:r w:rsidR="00762053">
        <w:t>ce</w:t>
      </w:r>
      <w:r w:rsidR="00CC3A03">
        <w:t xml:space="preserve"> of a greenhouse gas.</w:t>
      </w:r>
    </w:p>
    <w:p w:rsidR="004F481F" w:rsidRDefault="004F481F" w:rsidP="004F481F">
      <w:pPr>
        <w:pStyle w:val="tMain"/>
        <w:rPr>
          <w:b/>
          <w:i/>
        </w:rPr>
      </w:pPr>
      <w:r>
        <w:rPr>
          <w:b/>
          <w:i/>
        </w:rPr>
        <w:tab/>
      </w:r>
      <w:r>
        <w:rPr>
          <w:b/>
          <w:i/>
        </w:rPr>
        <w:tab/>
      </w:r>
      <w:proofErr w:type="gramStart"/>
      <w:r w:rsidRPr="006574D2">
        <w:rPr>
          <w:b/>
          <w:i/>
        </w:rPr>
        <w:t>chemical</w:t>
      </w:r>
      <w:proofErr w:type="gramEnd"/>
      <w:r w:rsidRPr="006574D2">
        <w:rPr>
          <w:b/>
          <w:i/>
        </w:rPr>
        <w:t xml:space="preserve"> composition</w:t>
      </w:r>
      <w:r>
        <w:t xml:space="preserve"> (of a </w:t>
      </w:r>
      <w:r w:rsidR="00C73FDC">
        <w:t>dietary</w:t>
      </w:r>
      <w:r w:rsidR="00AC66CA">
        <w:t xml:space="preserve"> supplement</w:t>
      </w:r>
      <w:r>
        <w:t xml:space="preserve">) means the </w:t>
      </w:r>
      <w:r w:rsidR="00AC66CA">
        <w:t>supplement</w:t>
      </w:r>
      <w:r>
        <w:t xml:space="preserve">’s nitrate, </w:t>
      </w:r>
      <w:r w:rsidR="00C73FDC">
        <w:t>non-protein nitrogen that is not nitrate</w:t>
      </w:r>
      <w:r w:rsidR="00FD1645">
        <w:t xml:space="preserve">, </w:t>
      </w:r>
      <w:r>
        <w:t xml:space="preserve">and total </w:t>
      </w:r>
      <w:proofErr w:type="spellStart"/>
      <w:r w:rsidR="00011F88">
        <w:t>sul</w:t>
      </w:r>
      <w:r w:rsidR="00834F7E">
        <w:t>f</w:t>
      </w:r>
      <w:r w:rsidR="00011F88">
        <w:t>ur</w:t>
      </w:r>
      <w:proofErr w:type="spellEnd"/>
      <w:r>
        <w:t xml:space="preserve"> </w:t>
      </w:r>
      <w:r w:rsidRPr="002C0ECD">
        <w:t>content</w:t>
      </w:r>
      <w:r w:rsidR="0015449D">
        <w:t xml:space="preserve">, expressed </w:t>
      </w:r>
      <w:r w:rsidR="008B4E6A">
        <w:t xml:space="preserve">as </w:t>
      </w:r>
      <w:r w:rsidR="0015449D">
        <w:t>percentage</w:t>
      </w:r>
      <w:r w:rsidR="00C73FDC">
        <w:t>s</w:t>
      </w:r>
      <w:r w:rsidR="00AC66CA">
        <w:t xml:space="preserve"> of the total weight</w:t>
      </w:r>
      <w:r w:rsidRPr="002C0ECD">
        <w:t>.</w:t>
      </w:r>
      <w:r>
        <w:rPr>
          <w:b/>
          <w:i/>
        </w:rPr>
        <w:t xml:space="preserve"> </w:t>
      </w:r>
    </w:p>
    <w:p w:rsidR="00CC3A03" w:rsidRDefault="00CC3A03" w:rsidP="00CC3A03">
      <w:pPr>
        <w:pStyle w:val="tDefn"/>
        <w:rPr>
          <w:lang w:eastAsia="en-NZ"/>
        </w:rPr>
      </w:pPr>
      <w:r>
        <w:rPr>
          <w:b/>
          <w:i/>
          <w:lang w:eastAsia="en-NZ"/>
        </w:rPr>
        <w:t xml:space="preserve">Department </w:t>
      </w:r>
      <w:r>
        <w:rPr>
          <w:lang w:eastAsia="en-NZ"/>
        </w:rPr>
        <w:t>means the d</w:t>
      </w:r>
      <w:r w:rsidRPr="00E6436A">
        <w:rPr>
          <w:lang w:eastAsia="en-NZ"/>
        </w:rPr>
        <w:t>epar</w:t>
      </w:r>
      <w:r>
        <w:rPr>
          <w:lang w:eastAsia="en-NZ"/>
        </w:rPr>
        <w:t>tment that administers the Act.</w:t>
      </w:r>
    </w:p>
    <w:p w:rsidR="00CC3A03" w:rsidRDefault="00CC3A03" w:rsidP="00CC3A03">
      <w:pPr>
        <w:pStyle w:val="tDefn"/>
      </w:pPr>
      <w:proofErr w:type="gramStart"/>
      <w:r w:rsidRPr="00F7242B">
        <w:rPr>
          <w:b/>
          <w:i/>
        </w:rPr>
        <w:t>dry</w:t>
      </w:r>
      <w:proofErr w:type="gramEnd"/>
      <w:r w:rsidRPr="00F7242B">
        <w:rPr>
          <w:b/>
          <w:i/>
        </w:rPr>
        <w:t xml:space="preserve"> matter intake</w:t>
      </w:r>
      <w:r>
        <w:rPr>
          <w:b/>
        </w:rPr>
        <w:t xml:space="preserve"> </w:t>
      </w:r>
      <w:r w:rsidRPr="00BE16BB">
        <w:rPr>
          <w:b/>
          <w:i/>
        </w:rPr>
        <w:t>(DMI)</w:t>
      </w:r>
      <w:r>
        <w:rPr>
          <w:b/>
        </w:rPr>
        <w:t xml:space="preserve"> </w:t>
      </w:r>
      <w:r w:rsidRPr="00124AC1">
        <w:t xml:space="preserve">means </w:t>
      </w:r>
      <w:r>
        <w:t xml:space="preserve">the weight, </w:t>
      </w:r>
      <w:r w:rsidR="00800E57">
        <w:t>excluding water content, of</w:t>
      </w:r>
      <w:r>
        <w:t xml:space="preserve"> feed consumed per </w:t>
      </w:r>
      <w:r w:rsidR="00800E57">
        <w:t>animal</w:t>
      </w:r>
      <w:r>
        <w:t xml:space="preserve"> per day.</w:t>
      </w:r>
    </w:p>
    <w:p w:rsidR="00CC3A03" w:rsidRDefault="00CC3A03" w:rsidP="00CC3A03">
      <w:pPr>
        <w:pStyle w:val="tDefn"/>
      </w:pPr>
      <w:proofErr w:type="gramStart"/>
      <w:r w:rsidRPr="00C503C2">
        <w:rPr>
          <w:b/>
          <w:i/>
        </w:rPr>
        <w:t>enteric</w:t>
      </w:r>
      <w:proofErr w:type="gramEnd"/>
      <w:r w:rsidRPr="00C503C2">
        <w:rPr>
          <w:b/>
          <w:i/>
        </w:rPr>
        <w:t xml:space="preserve"> fermentation</w:t>
      </w:r>
      <w:r>
        <w:rPr>
          <w:b/>
        </w:rPr>
        <w:t xml:space="preserve"> </w:t>
      </w:r>
      <w:r w:rsidRPr="00F7242B">
        <w:t>means the</w:t>
      </w:r>
      <w:r w:rsidRPr="003A53BB">
        <w:t xml:space="preserve"> process in </w:t>
      </w:r>
      <w:r>
        <w:t xml:space="preserve">ruminant </w:t>
      </w:r>
      <w:r w:rsidRPr="003A53BB">
        <w:t>animals b</w:t>
      </w:r>
      <w:r>
        <w:t xml:space="preserve">y which gases, including methane, </w:t>
      </w:r>
      <w:r w:rsidRPr="003A53BB">
        <w:t>are</w:t>
      </w:r>
      <w:r>
        <w:t xml:space="preserve"> </w:t>
      </w:r>
      <w:r w:rsidRPr="003A53BB">
        <w:t>produced as a by-product of microbial fermentation associated with</w:t>
      </w:r>
      <w:r>
        <w:t xml:space="preserve"> the </w:t>
      </w:r>
      <w:r w:rsidRPr="003A53BB">
        <w:t>digestion of feed.</w:t>
      </w:r>
    </w:p>
    <w:p w:rsidR="008239B8" w:rsidRDefault="00CC3A03" w:rsidP="006E7E62">
      <w:pPr>
        <w:pStyle w:val="tDefn"/>
      </w:pPr>
      <w:proofErr w:type="gramStart"/>
      <w:r>
        <w:rPr>
          <w:b/>
          <w:i/>
        </w:rPr>
        <w:t>herd</w:t>
      </w:r>
      <w:proofErr w:type="gramEnd"/>
      <w:r>
        <w:t xml:space="preserve"> </w:t>
      </w:r>
      <w:r w:rsidR="00BF530B">
        <w:t xml:space="preserve">has the meaning given in </w:t>
      </w:r>
      <w:r w:rsidR="006E7E62">
        <w:t>section 2.3</w:t>
      </w:r>
      <w:r>
        <w:t>.</w:t>
      </w:r>
    </w:p>
    <w:p w:rsidR="00A42523" w:rsidRDefault="00C503C2" w:rsidP="00AC66CA">
      <w:pPr>
        <w:pStyle w:val="tDefn"/>
      </w:pPr>
      <w:proofErr w:type="gramStart"/>
      <w:r>
        <w:rPr>
          <w:b/>
          <w:i/>
        </w:rPr>
        <w:t>livestock</w:t>
      </w:r>
      <w:proofErr w:type="gramEnd"/>
      <w:r>
        <w:rPr>
          <w:b/>
          <w:i/>
        </w:rPr>
        <w:t xml:space="preserve"> class</w:t>
      </w:r>
      <w:r>
        <w:t xml:space="preserve"> means a subset of the herd corresponding to the divisions based on age and gender for beef cattle </w:t>
      </w:r>
      <w:r w:rsidR="004B2B98">
        <w:t xml:space="preserve">published </w:t>
      </w:r>
      <w:r>
        <w:t>in the National Inventory Report</w:t>
      </w:r>
      <w:r w:rsidR="00AC66CA">
        <w:t>.</w:t>
      </w:r>
    </w:p>
    <w:p w:rsidR="00CC3A03" w:rsidRDefault="00CC3A03" w:rsidP="00CC3A03">
      <w:pPr>
        <w:pStyle w:val="tDefn"/>
      </w:pPr>
      <w:r>
        <w:rPr>
          <w:b/>
          <w:i/>
        </w:rPr>
        <w:t>National Inventory Report</w:t>
      </w:r>
      <w:r w:rsidRPr="009900AA">
        <w:rPr>
          <w:b/>
          <w:i/>
        </w:rPr>
        <w:t xml:space="preserve"> </w:t>
      </w:r>
      <w:r w:rsidRPr="009900AA">
        <w:t>means the</w:t>
      </w:r>
      <w:r>
        <w:t xml:space="preserve"> report of the</w:t>
      </w:r>
      <w:r w:rsidRPr="009900AA">
        <w:t xml:space="preserve"> national inventory of greenhouse gas emissions published</w:t>
      </w:r>
      <w:r>
        <w:t xml:space="preserve"> annually</w:t>
      </w:r>
      <w:r w:rsidRPr="009900AA">
        <w:t xml:space="preserve"> by the department that administers the </w:t>
      </w:r>
      <w:r w:rsidRPr="009900AA">
        <w:rPr>
          <w:i/>
        </w:rPr>
        <w:t>National Greenhouse and Energy Reporting Act 2007</w:t>
      </w:r>
      <w:r w:rsidRPr="009900AA">
        <w:t>.</w:t>
      </w:r>
    </w:p>
    <w:p w:rsidR="008B5B98" w:rsidRDefault="008B5B98" w:rsidP="00F35324">
      <w:pPr>
        <w:pStyle w:val="tDefn"/>
      </w:pPr>
      <w:proofErr w:type="gramStart"/>
      <w:r>
        <w:rPr>
          <w:b/>
          <w:i/>
        </w:rPr>
        <w:t>nitrate</w:t>
      </w:r>
      <w:proofErr w:type="gramEnd"/>
      <w:r>
        <w:rPr>
          <w:b/>
          <w:i/>
        </w:rPr>
        <w:t xml:space="preserve"> adaptation period</w:t>
      </w:r>
      <w:r>
        <w:t xml:space="preserve"> means a period </w:t>
      </w:r>
      <w:r w:rsidR="00E02CB7">
        <w:t>when</w:t>
      </w:r>
      <w:r>
        <w:t xml:space="preserve"> nitrates are fed at a reduced rate, as specified in subsection</w:t>
      </w:r>
      <w:r w:rsidR="006E64AA">
        <w:t>s</w:t>
      </w:r>
      <w:r>
        <w:t xml:space="preserve"> 3.3(1)</w:t>
      </w:r>
      <w:r w:rsidR="006E64AA">
        <w:t xml:space="preserve"> and 3.3(2)</w:t>
      </w:r>
      <w:r>
        <w:t>.</w:t>
      </w:r>
    </w:p>
    <w:p w:rsidR="00E02CB7" w:rsidRPr="008B5B98" w:rsidRDefault="00E02CB7" w:rsidP="00E02CB7">
      <w:pPr>
        <w:pStyle w:val="notePara"/>
      </w:pPr>
      <w:r>
        <w:tab/>
      </w:r>
      <w:r>
        <w:rPr>
          <w:b/>
          <w:i/>
        </w:rPr>
        <w:t>Note</w:t>
      </w:r>
      <w:r>
        <w:tab/>
        <w:t xml:space="preserve">The </w:t>
      </w:r>
      <w:r w:rsidRPr="00E02CB7">
        <w:rPr>
          <w:b/>
          <w:i/>
        </w:rPr>
        <w:t>nitrate adaptation period</w:t>
      </w:r>
      <w:r>
        <w:t xml:space="preserve"> is a subset of </w:t>
      </w:r>
      <w:r w:rsidRPr="00AC663F">
        <w:t>the</w:t>
      </w:r>
      <w:r w:rsidRPr="00E02CB7">
        <w:rPr>
          <w:b/>
          <w:i/>
        </w:rPr>
        <w:t xml:space="preserve"> nitrate supplementation period</w:t>
      </w:r>
      <w:r>
        <w:t>, occurring at a minimum for the first two weeks of each nitrate supplementation period unless certain circumstances are met. See section 3.3.</w:t>
      </w:r>
    </w:p>
    <w:p w:rsidR="00762053" w:rsidRDefault="00762053" w:rsidP="00762053">
      <w:pPr>
        <w:pStyle w:val="tDefn"/>
        <w:rPr>
          <w:lang w:eastAsia="en-NZ"/>
        </w:rPr>
      </w:pPr>
      <w:r>
        <w:rPr>
          <w:b/>
          <w:i/>
          <w:lang w:eastAsia="en-NZ"/>
        </w:rPr>
        <w:t>Nitrates</w:t>
      </w:r>
      <w:r w:rsidRPr="00B837CB">
        <w:rPr>
          <w:b/>
          <w:i/>
          <w:lang w:eastAsia="en-NZ"/>
        </w:rPr>
        <w:t xml:space="preserve"> Calculator </w:t>
      </w:r>
      <w:r w:rsidRPr="00B837CB">
        <w:rPr>
          <w:lang w:eastAsia="en-NZ"/>
        </w:rPr>
        <w:t>means the</w:t>
      </w:r>
      <w:r>
        <w:rPr>
          <w:lang w:eastAsia="en-NZ"/>
        </w:rPr>
        <w:t xml:space="preserve"> Beef Nitrates Calculator</w:t>
      </w:r>
      <w:r w:rsidRPr="00B837CB">
        <w:rPr>
          <w:lang w:eastAsia="en-NZ"/>
        </w:rPr>
        <w:t xml:space="preserve"> </w:t>
      </w:r>
      <w:r>
        <w:rPr>
          <w:lang w:eastAsia="en-NZ"/>
        </w:rPr>
        <w:t>published</w:t>
      </w:r>
      <w:r w:rsidRPr="00B837CB">
        <w:rPr>
          <w:lang w:eastAsia="en-NZ"/>
        </w:rPr>
        <w:t xml:space="preserve"> by the Department </w:t>
      </w:r>
      <w:r>
        <w:rPr>
          <w:lang w:eastAsia="en-NZ"/>
        </w:rPr>
        <w:t xml:space="preserve">on its website </w:t>
      </w:r>
      <w:r w:rsidRPr="00B837CB">
        <w:rPr>
          <w:lang w:eastAsia="en-NZ"/>
        </w:rPr>
        <w:t>to calculate the carbon dioxide equivalent net abatement amount in accordance with this Determination</w:t>
      </w:r>
      <w:r>
        <w:rPr>
          <w:lang w:eastAsia="en-NZ"/>
        </w:rPr>
        <w:t xml:space="preserve"> and includes updates to the tool published on the website which:</w:t>
      </w:r>
    </w:p>
    <w:p w:rsidR="00762053" w:rsidRDefault="00762053" w:rsidP="00762053">
      <w:pPr>
        <w:pStyle w:val="tPara"/>
        <w:numPr>
          <w:ilvl w:val="0"/>
          <w:numId w:val="9"/>
        </w:numPr>
        <w:rPr>
          <w:lang w:eastAsia="en-NZ"/>
        </w:rPr>
      </w:pPr>
      <w:r>
        <w:rPr>
          <w:lang w:eastAsia="en-NZ"/>
        </w:rPr>
        <w:t xml:space="preserve">update inputs and variables used by the tool consistent with the latest National Inventory Reports and carbon dioxide equivalence and applicable methods under s 10(3) of the </w:t>
      </w:r>
      <w:r w:rsidRPr="009900AA">
        <w:rPr>
          <w:i/>
        </w:rPr>
        <w:t>National Greenhouse and Energy Reporting Act 2007</w:t>
      </w:r>
      <w:r>
        <w:rPr>
          <w:lang w:eastAsia="en-NZ"/>
        </w:rPr>
        <w:t>;</w:t>
      </w:r>
    </w:p>
    <w:p w:rsidR="00762053" w:rsidRDefault="00762053" w:rsidP="00762053">
      <w:pPr>
        <w:pStyle w:val="tPara"/>
        <w:numPr>
          <w:ilvl w:val="0"/>
          <w:numId w:val="9"/>
        </w:numPr>
        <w:rPr>
          <w:lang w:eastAsia="en-NZ"/>
        </w:rPr>
      </w:pPr>
      <w:r>
        <w:rPr>
          <w:lang w:eastAsia="en-NZ"/>
        </w:rPr>
        <w:t>are of a minor nature; or</w:t>
      </w:r>
    </w:p>
    <w:p w:rsidR="00762053" w:rsidRDefault="00762053" w:rsidP="00762053">
      <w:pPr>
        <w:pStyle w:val="tPara"/>
        <w:numPr>
          <w:ilvl w:val="0"/>
          <w:numId w:val="9"/>
        </w:numPr>
        <w:rPr>
          <w:lang w:eastAsia="en-NZ"/>
        </w:rPr>
      </w:pPr>
      <w:proofErr w:type="gramStart"/>
      <w:r>
        <w:rPr>
          <w:lang w:eastAsia="en-NZ"/>
        </w:rPr>
        <w:t>are</w:t>
      </w:r>
      <w:proofErr w:type="gramEnd"/>
      <w:r>
        <w:rPr>
          <w:lang w:eastAsia="en-NZ"/>
        </w:rPr>
        <w:t xml:space="preserve"> necessary or incidental to updates referred to in paragraphs (a) or (b).</w:t>
      </w:r>
      <w:r w:rsidRPr="00B837CB">
        <w:rPr>
          <w:lang w:eastAsia="en-NZ"/>
        </w:rPr>
        <w:t xml:space="preserve"> </w:t>
      </w:r>
    </w:p>
    <w:p w:rsidR="00762053" w:rsidRPr="00B837CB" w:rsidRDefault="00762053" w:rsidP="00762053">
      <w:pPr>
        <w:pStyle w:val="notePara"/>
        <w:rPr>
          <w:lang w:eastAsia="en-NZ"/>
        </w:rPr>
      </w:pPr>
      <w:r>
        <w:rPr>
          <w:lang w:eastAsia="en-NZ"/>
        </w:rPr>
        <w:tab/>
      </w:r>
      <w:r>
        <w:rPr>
          <w:b/>
          <w:i/>
          <w:lang w:eastAsia="en-NZ"/>
        </w:rPr>
        <w:t>Note</w:t>
      </w:r>
      <w:r>
        <w:rPr>
          <w:lang w:eastAsia="en-NZ"/>
        </w:rPr>
        <w:tab/>
        <w:t xml:space="preserve">The Nitrates Calculator </w:t>
      </w:r>
      <w:r w:rsidRPr="00B837CB">
        <w:rPr>
          <w:lang w:eastAsia="en-NZ"/>
        </w:rPr>
        <w:t>is available via the Department’s website.</w:t>
      </w:r>
    </w:p>
    <w:p w:rsidR="00E14253" w:rsidRPr="007A4910" w:rsidRDefault="00E14253" w:rsidP="00E14253">
      <w:pPr>
        <w:pStyle w:val="tDefn"/>
      </w:pPr>
      <w:proofErr w:type="gramStart"/>
      <w:r w:rsidRPr="007A4910">
        <w:rPr>
          <w:b/>
          <w:i/>
        </w:rPr>
        <w:t>nitrate</w:t>
      </w:r>
      <w:proofErr w:type="gramEnd"/>
      <w:r w:rsidRPr="007A4910">
        <w:rPr>
          <w:b/>
          <w:i/>
        </w:rPr>
        <w:t xml:space="preserve"> lick block</w:t>
      </w:r>
      <w:r>
        <w:rPr>
          <w:b/>
          <w:i/>
        </w:rPr>
        <w:t xml:space="preserve"> </w:t>
      </w:r>
      <w:r>
        <w:t>means a solid block for feeding nitrates to cattle.</w:t>
      </w:r>
    </w:p>
    <w:p w:rsidR="00E14253" w:rsidRDefault="00E14253" w:rsidP="00E14253">
      <w:pPr>
        <w:pStyle w:val="tDefn"/>
      </w:pPr>
      <w:proofErr w:type="gramStart"/>
      <w:r>
        <w:rPr>
          <w:b/>
          <w:i/>
        </w:rPr>
        <w:t>nitrate</w:t>
      </w:r>
      <w:proofErr w:type="gramEnd"/>
      <w:r>
        <w:rPr>
          <w:b/>
          <w:i/>
        </w:rPr>
        <w:t xml:space="preserve"> supplementation limit</w:t>
      </w:r>
      <w:r>
        <w:t xml:space="preserve"> means the maximum rate at which nitrates can be fed during a nitrate supplementation period, as specified in section 3.3.</w:t>
      </w:r>
    </w:p>
    <w:p w:rsidR="00E14253" w:rsidRPr="00E02CB7" w:rsidRDefault="00E14253" w:rsidP="00E14253">
      <w:pPr>
        <w:pStyle w:val="notePara"/>
      </w:pPr>
      <w:r>
        <w:tab/>
      </w:r>
      <w:r>
        <w:rPr>
          <w:b/>
          <w:i/>
        </w:rPr>
        <w:t>Note</w:t>
      </w:r>
      <w:r>
        <w:tab/>
        <w:t xml:space="preserve">During the </w:t>
      </w:r>
      <w:r w:rsidRPr="00E02CB7">
        <w:rPr>
          <w:b/>
          <w:i/>
        </w:rPr>
        <w:t>nitrate adaptation period</w:t>
      </w:r>
      <w:r>
        <w:t xml:space="preserve">, the </w:t>
      </w:r>
      <w:r w:rsidRPr="00E02CB7">
        <w:rPr>
          <w:b/>
          <w:i/>
        </w:rPr>
        <w:t>nitrate supplementation limit</w:t>
      </w:r>
      <w:r>
        <w:t xml:space="preserve"> is less than during the rest of the </w:t>
      </w:r>
      <w:r w:rsidRPr="00E02CB7">
        <w:rPr>
          <w:b/>
          <w:i/>
        </w:rPr>
        <w:t>nitrate supplementation period</w:t>
      </w:r>
      <w:r>
        <w:t>. See section 3.3.</w:t>
      </w:r>
    </w:p>
    <w:p w:rsidR="00F35324" w:rsidRDefault="00A529FF" w:rsidP="00F35324">
      <w:pPr>
        <w:pStyle w:val="tDefn"/>
      </w:pPr>
      <w:proofErr w:type="gramStart"/>
      <w:r>
        <w:rPr>
          <w:b/>
          <w:i/>
        </w:rPr>
        <w:t>nitrate</w:t>
      </w:r>
      <w:proofErr w:type="gramEnd"/>
      <w:r>
        <w:rPr>
          <w:b/>
          <w:i/>
        </w:rPr>
        <w:t xml:space="preserve"> </w:t>
      </w:r>
      <w:r w:rsidR="00F35324">
        <w:rPr>
          <w:b/>
          <w:i/>
        </w:rPr>
        <w:t xml:space="preserve">supplementation period </w:t>
      </w:r>
      <w:r w:rsidR="00F35324">
        <w:t>means the period when nitrate lick blocks are available to the herd</w:t>
      </w:r>
      <w:r w:rsidR="00763D60">
        <w:t xml:space="preserve"> for consumption</w:t>
      </w:r>
      <w:r w:rsidR="00F35324">
        <w:t xml:space="preserve">. </w:t>
      </w:r>
    </w:p>
    <w:p w:rsidR="00A529FF" w:rsidRPr="00C36ACA" w:rsidRDefault="00A529FF" w:rsidP="00A529FF">
      <w:pPr>
        <w:pStyle w:val="notePara"/>
      </w:pPr>
      <w:r>
        <w:tab/>
      </w:r>
      <w:r>
        <w:rPr>
          <w:b/>
          <w:i/>
        </w:rPr>
        <w:t>Note</w:t>
      </w:r>
      <w:r>
        <w:tab/>
      </w:r>
      <w:r w:rsidR="001774CC">
        <w:t xml:space="preserve">For the purposes of </w:t>
      </w:r>
      <w:r w:rsidR="00763D60">
        <w:t xml:space="preserve">calculating </w:t>
      </w:r>
      <w:r w:rsidR="001774CC">
        <w:t>the carbon dioxide net abatement amount, a nitrate supplementation period is taken to consist of consecutive days.</w:t>
      </w:r>
    </w:p>
    <w:p w:rsidR="00FD69D7" w:rsidRDefault="00FD69D7" w:rsidP="00CC3A03">
      <w:pPr>
        <w:pStyle w:val="tDefn"/>
      </w:pPr>
      <w:proofErr w:type="gramStart"/>
      <w:r>
        <w:rPr>
          <w:b/>
          <w:i/>
        </w:rPr>
        <w:t>non-protein</w:t>
      </w:r>
      <w:proofErr w:type="gramEnd"/>
      <w:r>
        <w:rPr>
          <w:b/>
          <w:i/>
        </w:rPr>
        <w:t xml:space="preserve"> nitrogen</w:t>
      </w:r>
      <w:r w:rsidR="000B20A8">
        <w:rPr>
          <w:b/>
          <w:i/>
        </w:rPr>
        <w:t xml:space="preserve"> </w:t>
      </w:r>
      <w:r w:rsidR="000B20A8">
        <w:t xml:space="preserve">means substances which are not proteins but can be converted into proteins by </w:t>
      </w:r>
      <w:r w:rsidR="000B20A8" w:rsidRPr="000B20A8">
        <w:t>microbes</w:t>
      </w:r>
      <w:r w:rsidR="000B20A8">
        <w:t xml:space="preserve"> in the </w:t>
      </w:r>
      <w:r w:rsidR="000B20A8" w:rsidRPr="000B20A8">
        <w:t>ruminant</w:t>
      </w:r>
      <w:r w:rsidR="000B20A8">
        <w:t xml:space="preserve"> stomach</w:t>
      </w:r>
      <w:r w:rsidR="000B20A8" w:rsidRPr="000B20A8">
        <w:t xml:space="preserve"> </w:t>
      </w:r>
      <w:r w:rsidR="000B20A8">
        <w:t xml:space="preserve">and includes </w:t>
      </w:r>
      <w:r w:rsidR="000B20A8" w:rsidRPr="000B20A8">
        <w:t>urea</w:t>
      </w:r>
      <w:r w:rsidR="000B20A8">
        <w:t xml:space="preserve">, nitrates, </w:t>
      </w:r>
      <w:proofErr w:type="spellStart"/>
      <w:r w:rsidR="000B20A8" w:rsidRPr="000B20A8">
        <w:t>biuret</w:t>
      </w:r>
      <w:proofErr w:type="spellEnd"/>
      <w:r w:rsidR="000B20A8">
        <w:t>, and ammonia.</w:t>
      </w:r>
    </w:p>
    <w:p w:rsidR="00FD69D7" w:rsidRPr="0007353E" w:rsidRDefault="0007353E" w:rsidP="00CC3A03">
      <w:pPr>
        <w:pStyle w:val="tDefn"/>
      </w:pPr>
      <w:proofErr w:type="gramStart"/>
      <w:r>
        <w:rPr>
          <w:b/>
          <w:i/>
        </w:rPr>
        <w:t>r</w:t>
      </w:r>
      <w:r w:rsidR="00FD69D7">
        <w:rPr>
          <w:b/>
          <w:i/>
        </w:rPr>
        <w:t>ation</w:t>
      </w:r>
      <w:proofErr w:type="gramEnd"/>
      <w:r>
        <w:rPr>
          <w:b/>
          <w:i/>
        </w:rPr>
        <w:t xml:space="preserve"> </w:t>
      </w:r>
      <w:r>
        <w:t xml:space="preserve">means </w:t>
      </w:r>
      <w:r w:rsidR="00A05DAA">
        <w:t>dietary supplements</w:t>
      </w:r>
      <w:r>
        <w:t xml:space="preserve"> consumed </w:t>
      </w:r>
      <w:r w:rsidR="000B20A8">
        <w:t xml:space="preserve">by the herd containing non-protein nitrogen </w:t>
      </w:r>
      <w:r w:rsidR="005E3FFB">
        <w:t>during a nitrate suppl</w:t>
      </w:r>
      <w:r w:rsidR="008B4E6A">
        <w:t>ementa</w:t>
      </w:r>
      <w:r w:rsidR="005E3FFB">
        <w:t>tion period</w:t>
      </w:r>
      <w:r w:rsidR="000B20A8">
        <w:t>.</w:t>
      </w:r>
    </w:p>
    <w:p w:rsidR="00CC3A03" w:rsidRDefault="00CC3A03" w:rsidP="00CC3A03">
      <w:pPr>
        <w:pStyle w:val="tDefn"/>
      </w:pPr>
      <w:proofErr w:type="gramStart"/>
      <w:r>
        <w:rPr>
          <w:b/>
          <w:i/>
        </w:rPr>
        <w:t xml:space="preserve">Regulations </w:t>
      </w:r>
      <w:r>
        <w:t>means</w:t>
      </w:r>
      <w:proofErr w:type="gramEnd"/>
      <w:r>
        <w:t xml:space="preserve"> the </w:t>
      </w:r>
      <w:r>
        <w:rPr>
          <w:i/>
        </w:rPr>
        <w:t>Carbon Credits (Carbon Farming Initiative) Regulations 2011</w:t>
      </w:r>
      <w:r>
        <w:t>.</w:t>
      </w:r>
    </w:p>
    <w:p w:rsidR="00DE74C1" w:rsidRPr="00132E6A" w:rsidRDefault="00DE74C1" w:rsidP="00CC3A03">
      <w:pPr>
        <w:pStyle w:val="tDefn"/>
      </w:pPr>
    </w:p>
    <w:p w:rsidR="00635D1F" w:rsidRPr="00DE64EE" w:rsidRDefault="00635D1F" w:rsidP="00135D22">
      <w:pPr>
        <w:pStyle w:val="noteMain"/>
      </w:pPr>
      <w:r w:rsidRPr="00DE64EE">
        <w:tab/>
      </w:r>
      <w:r w:rsidRPr="00DE64EE">
        <w:rPr>
          <w:b/>
          <w:i/>
        </w:rPr>
        <w:t>Note</w:t>
      </w:r>
      <w:r w:rsidRPr="00DE64EE">
        <w:tab/>
        <w:t>Other words and expressions used in this Determination have the meaning given by the Act. These terms include:</w:t>
      </w:r>
    </w:p>
    <w:p w:rsidR="000833C5" w:rsidRPr="00025F49" w:rsidRDefault="00635D1F" w:rsidP="00135D22">
      <w:pPr>
        <w:pStyle w:val="noteMain"/>
        <w:rPr>
          <w:b/>
          <w:i/>
        </w:rPr>
      </w:pPr>
      <w:r w:rsidRPr="00340CA6">
        <w:rPr>
          <w:b/>
          <w:i/>
        </w:rPr>
        <w:tab/>
      </w:r>
      <w:r w:rsidRPr="00340CA6">
        <w:rPr>
          <w:b/>
          <w:i/>
        </w:rPr>
        <w:tab/>
      </w:r>
      <w:proofErr w:type="gramStart"/>
      <w:r w:rsidR="007A318C" w:rsidRPr="00025F49">
        <w:rPr>
          <w:b/>
          <w:i/>
        </w:rPr>
        <w:t>agricultural</w:t>
      </w:r>
      <w:proofErr w:type="gramEnd"/>
      <w:r w:rsidR="007A318C" w:rsidRPr="00025F49">
        <w:rPr>
          <w:b/>
          <w:i/>
        </w:rPr>
        <w:t xml:space="preserve"> emissions avoidance project</w:t>
      </w:r>
    </w:p>
    <w:p w:rsidR="00635D1F" w:rsidRPr="00DE64EE" w:rsidRDefault="000833C5" w:rsidP="00135D22">
      <w:pPr>
        <w:pStyle w:val="noteMain"/>
        <w:rPr>
          <w:b/>
          <w:i/>
        </w:rPr>
      </w:pPr>
      <w:r w:rsidRPr="00340CA6">
        <w:rPr>
          <w:b/>
          <w:i/>
        </w:rPr>
        <w:tab/>
      </w:r>
      <w:r w:rsidRPr="00340CA6">
        <w:rPr>
          <w:b/>
          <w:i/>
        </w:rPr>
        <w:tab/>
      </w:r>
      <w:proofErr w:type="gramStart"/>
      <w:r w:rsidR="00635D1F" w:rsidRPr="00DE64EE">
        <w:rPr>
          <w:b/>
          <w:i/>
        </w:rPr>
        <w:t>baseline</w:t>
      </w:r>
      <w:proofErr w:type="gramEnd"/>
    </w:p>
    <w:p w:rsidR="00762053" w:rsidRDefault="00340CA6" w:rsidP="00135D22">
      <w:pPr>
        <w:pStyle w:val="noteMain"/>
        <w:rPr>
          <w:b/>
          <w:i/>
        </w:rPr>
      </w:pPr>
      <w:r>
        <w:rPr>
          <w:b/>
          <w:i/>
        </w:rPr>
        <w:tab/>
      </w:r>
      <w:r>
        <w:rPr>
          <w:b/>
          <w:i/>
        </w:rPr>
        <w:tab/>
      </w:r>
      <w:proofErr w:type="gramStart"/>
      <w:r w:rsidR="00762053">
        <w:rPr>
          <w:b/>
          <w:i/>
        </w:rPr>
        <w:t>carbon</w:t>
      </w:r>
      <w:proofErr w:type="gramEnd"/>
      <w:r w:rsidR="00762053">
        <w:rPr>
          <w:b/>
          <w:i/>
        </w:rPr>
        <w:t xml:space="preserve"> dioxide equivalence</w:t>
      </w:r>
    </w:p>
    <w:p w:rsidR="00635D1F" w:rsidRPr="00DE64EE" w:rsidRDefault="00762053" w:rsidP="00135D22">
      <w:pPr>
        <w:pStyle w:val="noteMain"/>
        <w:rPr>
          <w:b/>
          <w:i/>
        </w:rPr>
      </w:pPr>
      <w:r>
        <w:rPr>
          <w:b/>
          <w:i/>
        </w:rPr>
        <w:tab/>
      </w:r>
      <w:r>
        <w:rPr>
          <w:b/>
          <w:i/>
        </w:rPr>
        <w:tab/>
      </w:r>
      <w:proofErr w:type="gramStart"/>
      <w:r w:rsidR="00635D1F" w:rsidRPr="00DE64EE">
        <w:rPr>
          <w:b/>
          <w:i/>
        </w:rPr>
        <w:t>eligible</w:t>
      </w:r>
      <w:proofErr w:type="gramEnd"/>
      <w:r w:rsidR="00635D1F" w:rsidRPr="00DE64EE">
        <w:rPr>
          <w:b/>
          <w:i/>
        </w:rPr>
        <w:t xml:space="preserve"> offsets project</w:t>
      </w:r>
    </w:p>
    <w:p w:rsidR="00635D1F" w:rsidRDefault="00635D1F" w:rsidP="00135D22">
      <w:pPr>
        <w:pStyle w:val="noteMain"/>
        <w:rPr>
          <w:b/>
          <w:i/>
        </w:rPr>
      </w:pPr>
      <w:r w:rsidRPr="00DE64EE">
        <w:rPr>
          <w:b/>
          <w:i/>
        </w:rPr>
        <w:tab/>
      </w:r>
      <w:r w:rsidRPr="00DE64EE">
        <w:rPr>
          <w:b/>
          <w:i/>
        </w:rPr>
        <w:tab/>
      </w:r>
      <w:proofErr w:type="gramStart"/>
      <w:r w:rsidRPr="00DE64EE">
        <w:rPr>
          <w:b/>
          <w:i/>
        </w:rPr>
        <w:t>emission</w:t>
      </w:r>
      <w:proofErr w:type="gramEnd"/>
    </w:p>
    <w:p w:rsidR="00635D1F" w:rsidRPr="00DE64EE" w:rsidRDefault="00635D1F" w:rsidP="00135D22">
      <w:pPr>
        <w:pStyle w:val="noteMain"/>
        <w:rPr>
          <w:b/>
          <w:i/>
        </w:rPr>
      </w:pPr>
      <w:r w:rsidRPr="00DE64EE">
        <w:rPr>
          <w:b/>
          <w:i/>
        </w:rPr>
        <w:tab/>
      </w:r>
      <w:r w:rsidRPr="00DE64EE">
        <w:rPr>
          <w:b/>
          <w:i/>
        </w:rPr>
        <w:tab/>
      </w:r>
      <w:proofErr w:type="gramStart"/>
      <w:r w:rsidRPr="00DE64EE">
        <w:rPr>
          <w:b/>
          <w:i/>
        </w:rPr>
        <w:t>greenhouse</w:t>
      </w:r>
      <w:proofErr w:type="gramEnd"/>
      <w:r w:rsidRPr="00DE64EE">
        <w:rPr>
          <w:b/>
          <w:i/>
        </w:rPr>
        <w:t xml:space="preserve"> gas</w:t>
      </w:r>
    </w:p>
    <w:p w:rsidR="00635D1F" w:rsidRPr="00DE64EE" w:rsidRDefault="00635D1F" w:rsidP="00135D22">
      <w:pPr>
        <w:pStyle w:val="noteMain"/>
        <w:rPr>
          <w:b/>
          <w:i/>
        </w:rPr>
      </w:pPr>
      <w:r w:rsidRPr="00DE64EE">
        <w:rPr>
          <w:b/>
          <w:i/>
        </w:rPr>
        <w:tab/>
      </w:r>
      <w:r w:rsidRPr="00DE64EE">
        <w:rPr>
          <w:b/>
          <w:i/>
        </w:rPr>
        <w:tab/>
      </w:r>
      <w:proofErr w:type="gramStart"/>
      <w:r w:rsidRPr="00DE64EE">
        <w:rPr>
          <w:b/>
          <w:i/>
        </w:rPr>
        <w:t>offsets</w:t>
      </w:r>
      <w:proofErr w:type="gramEnd"/>
      <w:r w:rsidRPr="00DE64EE">
        <w:rPr>
          <w:b/>
          <w:i/>
        </w:rPr>
        <w:t xml:space="preserve"> report</w:t>
      </w:r>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r w:rsidRPr="00DE64EE">
        <w:rPr>
          <w:b/>
          <w:i/>
        </w:rPr>
        <w:t xml:space="preserve"> area</w:t>
      </w:r>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r w:rsidRPr="00DE64EE">
        <w:rPr>
          <w:b/>
          <w:i/>
        </w:rPr>
        <w:t xml:space="preserve"> proponent</w:t>
      </w:r>
      <w:r w:rsidR="0018274C">
        <w:rPr>
          <w:b/>
          <w:i/>
        </w:rPr>
        <w:t>; and</w:t>
      </w:r>
    </w:p>
    <w:p w:rsidR="003646DB" w:rsidRPr="00DE64EE" w:rsidRDefault="003B583B" w:rsidP="00135D22">
      <w:pPr>
        <w:pStyle w:val="noteMain"/>
        <w:rPr>
          <w:b/>
          <w:i/>
        </w:rPr>
      </w:pPr>
      <w:r>
        <w:rPr>
          <w:b/>
          <w:i/>
        </w:rPr>
        <w:tab/>
      </w:r>
      <w:r>
        <w:rPr>
          <w:b/>
          <w:i/>
        </w:rPr>
        <w:tab/>
      </w:r>
      <w:proofErr w:type="gramStart"/>
      <w:r w:rsidR="00635D1F" w:rsidRPr="00DE64EE">
        <w:rPr>
          <w:b/>
          <w:i/>
        </w:rPr>
        <w:t>reporting</w:t>
      </w:r>
      <w:proofErr w:type="gramEnd"/>
      <w:r w:rsidR="00635D1F" w:rsidRPr="00DE64EE">
        <w:rPr>
          <w:b/>
          <w:i/>
        </w:rPr>
        <w:t xml:space="preserve"> period</w:t>
      </w:r>
      <w:r w:rsidR="00E45644">
        <w:rPr>
          <w:b/>
          <w:i/>
        </w:rPr>
        <w:t>.</w:t>
      </w:r>
    </w:p>
    <w:p w:rsidR="00635D1F" w:rsidRPr="00DE64EE" w:rsidRDefault="00253430" w:rsidP="00520551">
      <w:pPr>
        <w:pStyle w:val="h5Section"/>
      </w:pPr>
      <w:bookmarkStart w:id="5" w:name="_Toc393714331"/>
      <w:r>
        <w:t>1.4</w:t>
      </w:r>
      <w:r w:rsidR="00520551">
        <w:tab/>
      </w:r>
      <w:r w:rsidR="00635D1F" w:rsidRPr="00DE64EE">
        <w:t>Kind of project to which this Determination applies</w:t>
      </w:r>
      <w:bookmarkEnd w:id="5"/>
    </w:p>
    <w:p w:rsidR="00635D1F" w:rsidRPr="00DE64EE" w:rsidRDefault="00635D1F" w:rsidP="00135D22">
      <w:pPr>
        <w:pStyle w:val="noteMain"/>
      </w:pPr>
      <w:r w:rsidRPr="00DE64EE">
        <w:tab/>
      </w:r>
      <w:r w:rsidR="00346D2C">
        <w:rPr>
          <w:b/>
          <w:i/>
        </w:rPr>
        <w:t>Note</w:t>
      </w:r>
      <w:r w:rsidRPr="00DE64EE">
        <w:tab/>
        <w:t>See</w:t>
      </w:r>
      <w:r w:rsidR="00BB660C">
        <w:t xml:space="preserve"> paragraph 106(1</w:t>
      </w:r>
      <w:proofErr w:type="gramStart"/>
      <w:r w:rsidR="00BB660C">
        <w:t>)(</w:t>
      </w:r>
      <w:proofErr w:type="gramEnd"/>
      <w:r w:rsidR="00BB660C">
        <w:t xml:space="preserve">a) of the Act and </w:t>
      </w:r>
      <w:r w:rsidR="006C0333">
        <w:t>r</w:t>
      </w:r>
      <w:r w:rsidR="00BB660C">
        <w:t>egulation 3.28</w:t>
      </w:r>
      <w:r w:rsidR="006C0333">
        <w:t xml:space="preserve"> of the Regulations</w:t>
      </w:r>
      <w:r w:rsidR="00BB660C">
        <w:t>.</w:t>
      </w:r>
    </w:p>
    <w:p w:rsidR="00C87BE5" w:rsidRDefault="00635D1F" w:rsidP="00135D22">
      <w:pPr>
        <w:pStyle w:val="tMain"/>
      </w:pPr>
      <w:r w:rsidRPr="00DE64EE">
        <w:tab/>
      </w:r>
      <w:r w:rsidRPr="00DE64EE">
        <w:tab/>
      </w:r>
      <w:r w:rsidR="00CC3A03" w:rsidRPr="00FC6435">
        <w:t xml:space="preserve">This Determination applies to agricultural emissions avoidance projects that reduce emissions </w:t>
      </w:r>
      <w:r w:rsidR="00CC3A03">
        <w:t xml:space="preserve">by feeding nitrate supplements to </w:t>
      </w:r>
      <w:r w:rsidR="00FB59E8">
        <w:t>livestock</w:t>
      </w:r>
      <w:r w:rsidR="00CC3A03" w:rsidRPr="00FC6435">
        <w:t>.</w:t>
      </w:r>
    </w:p>
    <w:p w:rsidR="00635D1F" w:rsidRDefault="00520551" w:rsidP="00520551">
      <w:pPr>
        <w:pStyle w:val="h2Part"/>
      </w:pPr>
      <w:bookmarkStart w:id="6" w:name="_Toc393714332"/>
      <w:r>
        <w:t xml:space="preserve">Part </w:t>
      </w:r>
      <w:r w:rsidR="00253430">
        <w:t>2</w:t>
      </w:r>
      <w:r>
        <w:tab/>
      </w:r>
      <w:r w:rsidR="00635D1F" w:rsidRPr="00DE64EE">
        <w:t>Requirements for declaration as</w:t>
      </w:r>
      <w:r w:rsidR="006D5C62">
        <w:t xml:space="preserve"> an</w:t>
      </w:r>
      <w:r w:rsidR="00635D1F" w:rsidRPr="00DE64EE">
        <w:t xml:space="preserve"> eligible</w:t>
      </w:r>
      <w:r w:rsidR="006D5C62">
        <w:t xml:space="preserve"> offsets</w:t>
      </w:r>
      <w:r w:rsidR="00635D1F" w:rsidRPr="00DE64EE">
        <w:t xml:space="preserve"> project</w:t>
      </w:r>
      <w:bookmarkEnd w:id="6"/>
    </w:p>
    <w:p w:rsidR="00635D1F" w:rsidRPr="00DE64EE" w:rsidRDefault="00635D1F" w:rsidP="00135D22">
      <w:pPr>
        <w:pStyle w:val="noteMain"/>
      </w:pPr>
      <w:r w:rsidRPr="00DE64EE">
        <w:tab/>
      </w:r>
      <w:r w:rsidRPr="00DE64EE">
        <w:rPr>
          <w:b/>
          <w:i/>
        </w:rPr>
        <w:t>Note</w:t>
      </w:r>
      <w:r w:rsidRPr="00DE64EE">
        <w:tab/>
        <w:t>See paragraphs 27(4</w:t>
      </w:r>
      <w:proofErr w:type="gramStart"/>
      <w:r w:rsidRPr="00DE64EE">
        <w:t>)(</w:t>
      </w:r>
      <w:proofErr w:type="gramEnd"/>
      <w:r w:rsidRPr="00DE64EE">
        <w:t>c)</w:t>
      </w:r>
      <w:r w:rsidR="007F484E">
        <w:t xml:space="preserve"> </w:t>
      </w:r>
      <w:r w:rsidRPr="00DE64EE">
        <w:t>and 106(1)(b) of the Act</w:t>
      </w:r>
      <w:r w:rsidR="007F484E">
        <w:t>.</w:t>
      </w:r>
    </w:p>
    <w:p w:rsidR="00635D1F" w:rsidRPr="00DE64EE" w:rsidRDefault="00253430" w:rsidP="00217955">
      <w:pPr>
        <w:pStyle w:val="h5Section"/>
      </w:pPr>
      <w:bookmarkStart w:id="7" w:name="_Toc393714333"/>
      <w:r>
        <w:t>2.1</w:t>
      </w:r>
      <w:r w:rsidR="00217955">
        <w:tab/>
      </w:r>
      <w:r w:rsidR="00635D1F" w:rsidRPr="00DE64EE">
        <w:t>Eligible</w:t>
      </w:r>
      <w:r w:rsidR="006D5C62">
        <w:t xml:space="preserve"> offsets</w:t>
      </w:r>
      <w:r w:rsidR="00635D1F" w:rsidRPr="00DE64EE">
        <w:t xml:space="preserve"> projects</w:t>
      </w:r>
      <w:bookmarkEnd w:id="7"/>
    </w:p>
    <w:p w:rsidR="00635D1F" w:rsidRPr="00DE64EE" w:rsidRDefault="00635D1F" w:rsidP="00135D22">
      <w:pPr>
        <w:pStyle w:val="tMain"/>
      </w:pPr>
      <w:r w:rsidRPr="00DE64EE">
        <w:tab/>
      </w:r>
      <w:r w:rsidRPr="00DE64EE">
        <w:tab/>
        <w:t>To be declared an eligible offsets project, a project to which this Determination applies must meet the requirements in this Part.</w:t>
      </w:r>
    </w:p>
    <w:p w:rsidR="00635D1F" w:rsidRDefault="00635D1F" w:rsidP="00135D22">
      <w:pPr>
        <w:pStyle w:val="notePara"/>
      </w:pPr>
      <w:r w:rsidRPr="00DE64EE">
        <w:tab/>
      </w:r>
      <w:r w:rsidRPr="00DE64EE">
        <w:rPr>
          <w:b/>
          <w:i/>
        </w:rPr>
        <w:t>Note</w:t>
      </w:r>
      <w:r w:rsidR="00676D39">
        <w:tab/>
      </w:r>
      <w:r w:rsidR="00676D39" w:rsidRPr="00676D39">
        <w:t xml:space="preserve">In addition, a project must meet the requirements in section 27 of the Act and in the Regulations, including a requirement that the project may not be an excluded offsets project (see regulations 3.36 and 3.37). </w:t>
      </w:r>
    </w:p>
    <w:p w:rsidR="007F484E" w:rsidRDefault="00253430" w:rsidP="00217955">
      <w:pPr>
        <w:pStyle w:val="h5Section"/>
      </w:pPr>
      <w:bookmarkStart w:id="8" w:name="_Toc393714334"/>
      <w:r>
        <w:t>2.2</w:t>
      </w:r>
      <w:r w:rsidR="00217955">
        <w:tab/>
      </w:r>
      <w:r w:rsidR="007F484E">
        <w:t>Location</w:t>
      </w:r>
      <w:bookmarkEnd w:id="8"/>
    </w:p>
    <w:p w:rsidR="007F484E" w:rsidRPr="007F484E" w:rsidRDefault="007F484E" w:rsidP="00135D22">
      <w:pPr>
        <w:pStyle w:val="tMain"/>
      </w:pPr>
      <w:r>
        <w:tab/>
      </w:r>
      <w:r>
        <w:tab/>
      </w:r>
      <w:r w:rsidR="00BD7DAE">
        <w:t>Each</w:t>
      </w:r>
      <w:r>
        <w:t xml:space="preserve"> project area must be loc</w:t>
      </w:r>
      <w:r w:rsidR="002B732D">
        <w:t>ated within Australia</w:t>
      </w:r>
      <w:r w:rsidR="002B732D" w:rsidRPr="002C0ECD">
        <w:t xml:space="preserve">, </w:t>
      </w:r>
      <w:r w:rsidR="00344DFE">
        <w:t>in</w:t>
      </w:r>
      <w:r w:rsidR="002B732D" w:rsidRPr="002C0ECD">
        <w:t>cluding</w:t>
      </w:r>
      <w:r w:rsidRPr="002C0ECD">
        <w:t xml:space="preserve"> external</w:t>
      </w:r>
      <w:r>
        <w:t xml:space="preserve"> territories.</w:t>
      </w:r>
    </w:p>
    <w:p w:rsidR="007D12F6" w:rsidRDefault="00253430" w:rsidP="006D0C42">
      <w:pPr>
        <w:pStyle w:val="h5Section"/>
      </w:pPr>
      <w:bookmarkStart w:id="9" w:name="_Toc393714335"/>
      <w:r>
        <w:t>2.3</w:t>
      </w:r>
      <w:r w:rsidR="006D0C42">
        <w:tab/>
      </w:r>
      <w:r w:rsidR="007D12F6">
        <w:t>Eligible herds</w:t>
      </w:r>
      <w:bookmarkEnd w:id="9"/>
    </w:p>
    <w:p w:rsidR="007D12F6" w:rsidRDefault="00B136AE" w:rsidP="007D12F6">
      <w:pPr>
        <w:pStyle w:val="tDefn"/>
      </w:pPr>
      <w:r w:rsidRPr="00B136AE">
        <w:rPr>
          <w:bCs/>
        </w:rPr>
        <w:t>A</w:t>
      </w:r>
      <w:r>
        <w:rPr>
          <w:b/>
          <w:bCs/>
          <w:i/>
        </w:rPr>
        <w:t xml:space="preserve"> h</w:t>
      </w:r>
      <w:r w:rsidR="007D12F6">
        <w:rPr>
          <w:b/>
          <w:bCs/>
          <w:i/>
        </w:rPr>
        <w:t>erd</w:t>
      </w:r>
      <w:r w:rsidR="007D12F6">
        <w:rPr>
          <w:b/>
          <w:bCs/>
        </w:rPr>
        <w:t xml:space="preserve"> </w:t>
      </w:r>
      <w:r w:rsidR="007D12F6" w:rsidRPr="007D12F6">
        <w:t>must consist of beef cattle</w:t>
      </w:r>
      <w:r w:rsidR="007D12F6">
        <w:t xml:space="preserve"> managed in a way consistent with either ANZSIC class 0142 (beef cattle farming), 0144 (sheep-beef cattle farming) or 0145 (grain</w:t>
      </w:r>
      <w:r w:rsidR="007D12F6">
        <w:noBreakHyphen/>
      </w:r>
      <w:proofErr w:type="spellStart"/>
      <w:r w:rsidR="007D12F6">
        <w:t>sheep</w:t>
      </w:r>
      <w:proofErr w:type="spellEnd"/>
      <w:r w:rsidR="007D12F6">
        <w:t xml:space="preserve"> or grain-beef cattle farming).</w:t>
      </w:r>
    </w:p>
    <w:p w:rsidR="006E7E62" w:rsidRDefault="007D12F6" w:rsidP="006E7E62">
      <w:pPr>
        <w:pStyle w:val="notePara"/>
      </w:pPr>
      <w:r>
        <w:tab/>
      </w:r>
      <w:r>
        <w:rPr>
          <w:b/>
          <w:i/>
        </w:rPr>
        <w:t>Note</w:t>
      </w:r>
      <w:r>
        <w:tab/>
        <w:t>Herds managed in a way consistent with ANZSIC class 0143 (beef cattle feedlots)</w:t>
      </w:r>
      <w:r w:rsidR="00B136AE">
        <w:t xml:space="preserve"> do not meet the requirements of this Part.</w:t>
      </w:r>
      <w:r w:rsidR="006E7E62">
        <w:t xml:space="preserve"> In most cases, each project area will contain one herd. Members of a herd (that is, individual animals) are expected to change over time.</w:t>
      </w:r>
    </w:p>
    <w:p w:rsidR="00635D1F" w:rsidRDefault="00253430" w:rsidP="007D12F6">
      <w:pPr>
        <w:pStyle w:val="h5Section"/>
      </w:pPr>
      <w:bookmarkStart w:id="10" w:name="_Toc393714336"/>
      <w:r>
        <w:t>2.4</w:t>
      </w:r>
      <w:r w:rsidR="007D12F6">
        <w:tab/>
      </w:r>
      <w:r w:rsidR="00CC3A03">
        <w:t>History of urea supplementation</w:t>
      </w:r>
      <w:bookmarkEnd w:id="10"/>
    </w:p>
    <w:p w:rsidR="00CC3A03" w:rsidRDefault="006D0C42" w:rsidP="00BD7DAE">
      <w:pPr>
        <w:pStyle w:val="tMain"/>
      </w:pPr>
      <w:r>
        <w:tab/>
      </w:r>
      <w:r w:rsidR="00253430">
        <w:t>(1)</w:t>
      </w:r>
      <w:r>
        <w:tab/>
      </w:r>
      <w:r w:rsidR="00BD7DAE">
        <w:t xml:space="preserve">In each </w:t>
      </w:r>
      <w:r w:rsidR="003050C7">
        <w:t>baseline</w:t>
      </w:r>
      <w:r w:rsidR="00BD7DAE">
        <w:t xml:space="preserve"> area</w:t>
      </w:r>
      <w:r w:rsidR="00484DFF">
        <w:t xml:space="preserve"> constituting the project</w:t>
      </w:r>
      <w:r w:rsidR="00BD7DAE">
        <w:t xml:space="preserve">, a herd must have been fed urea </w:t>
      </w:r>
      <w:r w:rsidR="00CC3A03">
        <w:t xml:space="preserve">at least once in the </w:t>
      </w:r>
      <w:r w:rsidR="00411489">
        <w:t>5</w:t>
      </w:r>
      <w:r w:rsidR="00CC3A03">
        <w:t xml:space="preserve"> years prior the </w:t>
      </w:r>
      <w:r w:rsidR="00A201BC">
        <w:t>application for declaration of eligible offsets project</w:t>
      </w:r>
      <w:r>
        <w:t>.</w:t>
      </w:r>
      <w:r w:rsidR="00217955">
        <w:t xml:space="preserve"> </w:t>
      </w:r>
    </w:p>
    <w:p w:rsidR="00A201BC" w:rsidRDefault="006C73B9" w:rsidP="006C73B9">
      <w:pPr>
        <w:pStyle w:val="notePara"/>
      </w:pPr>
      <w:r>
        <w:tab/>
      </w:r>
      <w:r>
        <w:rPr>
          <w:b/>
          <w:i/>
        </w:rPr>
        <w:t>Note</w:t>
      </w:r>
      <w:r>
        <w:tab/>
        <w:t>See section 22 of the Act.</w:t>
      </w:r>
    </w:p>
    <w:p w:rsidR="003D0132" w:rsidRPr="003D0132" w:rsidRDefault="006D0C42" w:rsidP="003D0132">
      <w:pPr>
        <w:pStyle w:val="tMain"/>
      </w:pPr>
      <w:r>
        <w:tab/>
      </w:r>
      <w:r w:rsidR="00253430">
        <w:t>(2)</w:t>
      </w:r>
      <w:r>
        <w:tab/>
      </w:r>
      <w:r w:rsidR="003307A2">
        <w:t xml:space="preserve">For each </w:t>
      </w:r>
      <w:r w:rsidR="003050C7">
        <w:t>baseline</w:t>
      </w:r>
      <w:r w:rsidR="003307A2">
        <w:t xml:space="preserve"> area, t</w:t>
      </w:r>
      <w:r w:rsidR="004D70DB">
        <w:t xml:space="preserve">he herd fed urea </w:t>
      </w:r>
      <w:r w:rsidR="00883606">
        <w:t xml:space="preserve">in accordance with (1) </w:t>
      </w:r>
      <w:r w:rsidR="004D70DB">
        <w:t xml:space="preserve">does not need to </w:t>
      </w:r>
      <w:r w:rsidR="00106A1C">
        <w:t>comprise</w:t>
      </w:r>
      <w:r w:rsidR="00883606">
        <w:t xml:space="preserve"> the same individual animals that are fed nitrates in accordance with section 3.2</w:t>
      </w:r>
      <w:r w:rsidR="003307A2">
        <w:t>.</w:t>
      </w:r>
      <w:r w:rsidR="003D0132">
        <w:t xml:space="preserve"> </w:t>
      </w:r>
    </w:p>
    <w:p w:rsidR="000C648B" w:rsidRDefault="00253430" w:rsidP="00217955">
      <w:pPr>
        <w:pStyle w:val="h5Section"/>
      </w:pPr>
      <w:bookmarkStart w:id="11" w:name="_Toc393714337"/>
      <w:r>
        <w:t>2.5</w:t>
      </w:r>
      <w:r w:rsidR="00217955">
        <w:tab/>
      </w:r>
      <w:r w:rsidR="000C648B" w:rsidRPr="00C55AA1">
        <w:t>Project mechanism</w:t>
      </w:r>
      <w:bookmarkEnd w:id="11"/>
    </w:p>
    <w:p w:rsidR="000C648B" w:rsidRDefault="00520551" w:rsidP="00135D22">
      <w:pPr>
        <w:pStyle w:val="tMain"/>
        <w:tabs>
          <w:tab w:val="clear" w:pos="794"/>
          <w:tab w:val="right" w:pos="993"/>
        </w:tabs>
        <w:ind w:left="993" w:firstLine="0"/>
      </w:pPr>
      <w:r>
        <w:t xml:space="preserve">The project </w:t>
      </w:r>
      <w:r w:rsidR="00F7211B">
        <w:t xml:space="preserve">mechanism is the feeding of nitrate supplements to an eligible herd in each </w:t>
      </w:r>
      <w:r w:rsidR="00453FAF">
        <w:t>baseline</w:t>
      </w:r>
      <w:r w:rsidR="00F7211B">
        <w:t xml:space="preserve"> area where urea was previously fed to beef cattle.</w:t>
      </w:r>
    </w:p>
    <w:p w:rsidR="004D70DB" w:rsidRDefault="004D70DB" w:rsidP="004D70DB">
      <w:pPr>
        <w:pStyle w:val="notePara"/>
      </w:pPr>
      <w:r>
        <w:tab/>
        <w:t xml:space="preserve"> </w:t>
      </w:r>
    </w:p>
    <w:p w:rsidR="00635D1F" w:rsidRPr="00DE64EE" w:rsidRDefault="00520551" w:rsidP="00520551">
      <w:pPr>
        <w:pStyle w:val="h2Part"/>
      </w:pPr>
      <w:bookmarkStart w:id="12" w:name="_Toc393714338"/>
      <w:r>
        <w:t xml:space="preserve">Part </w:t>
      </w:r>
      <w:r w:rsidR="00253430">
        <w:t>3</w:t>
      </w:r>
      <w:r>
        <w:tab/>
      </w:r>
      <w:r w:rsidR="00635D1F" w:rsidRPr="00DE64EE">
        <w:t xml:space="preserve">Requirements for operation of eligible </w:t>
      </w:r>
      <w:r w:rsidR="006D5C62">
        <w:t xml:space="preserve">offsets </w:t>
      </w:r>
      <w:r w:rsidR="00635D1F" w:rsidRPr="00DE64EE">
        <w:t>projects</w:t>
      </w:r>
      <w:bookmarkEnd w:id="12"/>
    </w:p>
    <w:p w:rsidR="00635D1F" w:rsidRPr="00DE64EE" w:rsidRDefault="00635D1F" w:rsidP="00135D22">
      <w:pPr>
        <w:pStyle w:val="noteMain"/>
      </w:pPr>
      <w:r w:rsidRPr="00DE64EE">
        <w:tab/>
      </w:r>
      <w:r w:rsidRPr="00DE64EE">
        <w:rPr>
          <w:b/>
          <w:i/>
        </w:rPr>
        <w:t>Note</w:t>
      </w:r>
      <w:r w:rsidRPr="00DE64EE">
        <w:tab/>
        <w:t>See paragraphs 27(4</w:t>
      </w:r>
      <w:proofErr w:type="gramStart"/>
      <w:r w:rsidRPr="00DE64EE">
        <w:t>)(</w:t>
      </w:r>
      <w:proofErr w:type="gramEnd"/>
      <w:r w:rsidRPr="00DE64EE">
        <w:t>c), 35(2)(a) and 106(1)(b) of the Act and regulation 3.26 of the Regulations.</w:t>
      </w:r>
    </w:p>
    <w:p w:rsidR="00635D1F" w:rsidRPr="00DE64EE" w:rsidRDefault="00253430" w:rsidP="00520551">
      <w:pPr>
        <w:pStyle w:val="h5Section"/>
      </w:pPr>
      <w:bookmarkStart w:id="13" w:name="_Toc393714339"/>
      <w:r>
        <w:t>3.1</w:t>
      </w:r>
      <w:r w:rsidR="00520551">
        <w:tab/>
      </w:r>
      <w:r w:rsidR="00635D1F" w:rsidRPr="00DE64EE">
        <w:t>Operation of eligible</w:t>
      </w:r>
      <w:r w:rsidR="006D5C62">
        <w:t xml:space="preserve"> offsets</w:t>
      </w:r>
      <w:r w:rsidR="00635D1F" w:rsidRPr="00DE64EE">
        <w:t xml:space="preserve"> projects</w:t>
      </w:r>
      <w:bookmarkEnd w:id="13"/>
    </w:p>
    <w:p w:rsidR="00635D1F" w:rsidRDefault="00635D1F" w:rsidP="00135D22">
      <w:pPr>
        <w:pStyle w:val="tMain"/>
      </w:pPr>
      <w:r w:rsidRPr="00DE64EE">
        <w:tab/>
      </w:r>
      <w:r w:rsidRPr="00DE64EE">
        <w:tab/>
        <w:t xml:space="preserve">An eligible offsets project </w:t>
      </w:r>
      <w:r w:rsidR="00411489">
        <w:t xml:space="preserve">to which this Determination applies </w:t>
      </w:r>
      <w:r w:rsidRPr="00DE64EE">
        <w:t>must be operated in accordance with this Part.</w:t>
      </w:r>
    </w:p>
    <w:p w:rsidR="00A97D81" w:rsidRDefault="00253430" w:rsidP="00520551">
      <w:pPr>
        <w:pStyle w:val="h5Section"/>
      </w:pPr>
      <w:bookmarkStart w:id="14" w:name="_Toc393714340"/>
      <w:r>
        <w:t>3.2</w:t>
      </w:r>
      <w:r w:rsidR="00520551">
        <w:tab/>
        <w:t>Feeding nitrates to the herd</w:t>
      </w:r>
      <w:bookmarkEnd w:id="14"/>
    </w:p>
    <w:p w:rsidR="00520551" w:rsidRDefault="00520551" w:rsidP="00520551">
      <w:pPr>
        <w:pStyle w:val="tMain"/>
      </w:pPr>
      <w:r>
        <w:tab/>
      </w:r>
      <w:r w:rsidR="00253430">
        <w:t>(1)</w:t>
      </w:r>
      <w:r>
        <w:tab/>
        <w:t xml:space="preserve">Nitrates must be fed in the form of </w:t>
      </w:r>
      <w:r w:rsidR="007C2356">
        <w:t>nitrate</w:t>
      </w:r>
      <w:r>
        <w:t xml:space="preserve"> lick block</w:t>
      </w:r>
      <w:r w:rsidR="003307A2">
        <w:t>s</w:t>
      </w:r>
      <w:r>
        <w:t>.</w:t>
      </w:r>
    </w:p>
    <w:p w:rsidR="00FD69D7" w:rsidRPr="00FD69D7" w:rsidRDefault="00520551" w:rsidP="000B0ACA">
      <w:pPr>
        <w:pStyle w:val="tMain"/>
      </w:pPr>
      <w:r>
        <w:tab/>
      </w:r>
      <w:r w:rsidR="00253430">
        <w:t>(2)</w:t>
      </w:r>
      <w:r>
        <w:tab/>
      </w:r>
      <w:r w:rsidR="000B0ACA" w:rsidRPr="00FD69D7">
        <w:t xml:space="preserve">The </w:t>
      </w:r>
      <w:r w:rsidR="00056DDF" w:rsidRPr="00A05DAA">
        <w:rPr>
          <w:b/>
          <w:i/>
        </w:rPr>
        <w:t>ration</w:t>
      </w:r>
      <w:r w:rsidR="000B0ACA" w:rsidRPr="00FD69D7">
        <w:t xml:space="preserve"> must </w:t>
      </w:r>
      <w:r w:rsidR="00056DDF">
        <w:t>contain</w:t>
      </w:r>
      <w:r w:rsidR="000B0ACA" w:rsidRPr="00FD69D7">
        <w:t xml:space="preserve"> between 50 and 100 grams of </w:t>
      </w:r>
      <w:proofErr w:type="spellStart"/>
      <w:r w:rsidR="000B0ACA" w:rsidRPr="00FD69D7">
        <w:t>sul</w:t>
      </w:r>
      <w:r w:rsidR="00B26813">
        <w:t>f</w:t>
      </w:r>
      <w:r w:rsidR="005E3FFB">
        <w:t>ur</w:t>
      </w:r>
      <w:proofErr w:type="spellEnd"/>
      <w:r w:rsidR="005E3FFB">
        <w:t xml:space="preserve"> per kilogram of non</w:t>
      </w:r>
      <w:r w:rsidR="005E3FFB">
        <w:noBreakHyphen/>
      </w:r>
      <w:proofErr w:type="spellStart"/>
      <w:r w:rsidR="000B0ACA" w:rsidRPr="00FD69D7">
        <w:t>protein</w:t>
      </w:r>
      <w:proofErr w:type="spellEnd"/>
      <w:r w:rsidR="000B0ACA" w:rsidRPr="00FD69D7">
        <w:t xml:space="preserve"> nitrogen</w:t>
      </w:r>
      <w:r w:rsidR="005E3FFB">
        <w:t>.</w:t>
      </w:r>
      <w:r w:rsidR="001E4644">
        <w:tab/>
      </w:r>
    </w:p>
    <w:p w:rsidR="00304520" w:rsidRDefault="00816434" w:rsidP="00816434">
      <w:pPr>
        <w:pStyle w:val="tMain"/>
      </w:pPr>
      <w:r>
        <w:tab/>
      </w:r>
      <w:r w:rsidR="00253430">
        <w:t>(3)</w:t>
      </w:r>
      <w:r>
        <w:tab/>
      </w:r>
      <w:r w:rsidR="00327408" w:rsidRPr="00304520">
        <w:t xml:space="preserve">A </w:t>
      </w:r>
      <w:r w:rsidR="00F35324" w:rsidRPr="00304520">
        <w:t>nitrate supplementation period</w:t>
      </w:r>
      <w:r w:rsidR="00304520">
        <w:t>:</w:t>
      </w:r>
    </w:p>
    <w:p w:rsidR="00304520" w:rsidRDefault="00304520" w:rsidP="00304520">
      <w:pPr>
        <w:pStyle w:val="tPara"/>
      </w:pPr>
      <w:r>
        <w:tab/>
      </w:r>
      <w:r w:rsidR="00253430">
        <w:t>(a)</w:t>
      </w:r>
      <w:r>
        <w:tab/>
      </w:r>
      <w:proofErr w:type="gramStart"/>
      <w:r w:rsidR="00327408" w:rsidRPr="00304520">
        <w:t>begins</w:t>
      </w:r>
      <w:proofErr w:type="gramEnd"/>
      <w:r w:rsidR="00327408" w:rsidRPr="00304520">
        <w:t xml:space="preserve"> when one or more nitrate lick blocks are made available to </w:t>
      </w:r>
      <w:r w:rsidR="009B385B" w:rsidRPr="00304520">
        <w:t>a</w:t>
      </w:r>
      <w:r w:rsidR="00327408" w:rsidRPr="00304520">
        <w:t xml:space="preserve"> herd</w:t>
      </w:r>
      <w:r>
        <w:t>;</w:t>
      </w:r>
      <w:r w:rsidR="00327408" w:rsidRPr="00304520">
        <w:t xml:space="preserve"> and </w:t>
      </w:r>
    </w:p>
    <w:p w:rsidR="00304520" w:rsidRDefault="00304520" w:rsidP="00304520">
      <w:pPr>
        <w:pStyle w:val="tPara"/>
      </w:pPr>
      <w:r>
        <w:tab/>
      </w:r>
      <w:r w:rsidR="00253430">
        <w:t>(b)</w:t>
      </w:r>
      <w:r>
        <w:tab/>
      </w:r>
      <w:proofErr w:type="gramStart"/>
      <w:r w:rsidR="00327408" w:rsidRPr="00304520">
        <w:t>ends</w:t>
      </w:r>
      <w:proofErr w:type="gramEnd"/>
      <w:r w:rsidR="00327408" w:rsidRPr="00304520">
        <w:t xml:space="preserve"> when all nitrate lick blocks are </w:t>
      </w:r>
      <w:r>
        <w:t>either</w:t>
      </w:r>
      <w:r w:rsidR="0089390A">
        <w:t>:</w:t>
      </w:r>
    </w:p>
    <w:p w:rsidR="00327408" w:rsidRDefault="00304520" w:rsidP="00304520">
      <w:pPr>
        <w:pStyle w:val="tSubpara"/>
      </w:pPr>
      <w:r>
        <w:tab/>
      </w:r>
      <w:r w:rsidR="00253430">
        <w:t>(</w:t>
      </w:r>
      <w:proofErr w:type="spellStart"/>
      <w:r w:rsidR="00253430">
        <w:t>i</w:t>
      </w:r>
      <w:proofErr w:type="spellEnd"/>
      <w:r w:rsidR="00253430">
        <w:t>)</w:t>
      </w:r>
      <w:r>
        <w:tab/>
      </w:r>
      <w:proofErr w:type="gramStart"/>
      <w:r w:rsidR="00327408" w:rsidRPr="00304520">
        <w:t>removed</w:t>
      </w:r>
      <w:proofErr w:type="gramEnd"/>
      <w:r w:rsidR="00327408" w:rsidRPr="00304520">
        <w:t xml:space="preserve"> from </w:t>
      </w:r>
      <w:r w:rsidR="007C2356" w:rsidRPr="00304520">
        <w:t>the</w:t>
      </w:r>
      <w:r>
        <w:t xml:space="preserve"> herd’s access; or</w:t>
      </w:r>
    </w:p>
    <w:p w:rsidR="00293B3D" w:rsidRPr="00293B3D" w:rsidRDefault="00304520" w:rsidP="000A5028">
      <w:pPr>
        <w:pStyle w:val="tSubpara"/>
      </w:pPr>
      <w:r>
        <w:tab/>
      </w:r>
      <w:r w:rsidR="00253430">
        <w:t>(ii)</w:t>
      </w:r>
      <w:r>
        <w:tab/>
      </w:r>
      <w:proofErr w:type="gramStart"/>
      <w:r>
        <w:t>completely</w:t>
      </w:r>
      <w:proofErr w:type="gramEnd"/>
      <w:r>
        <w:t xml:space="preserve"> consumed by the herd</w:t>
      </w:r>
      <w:r w:rsidR="000A5028">
        <w:t>.</w:t>
      </w:r>
    </w:p>
    <w:p w:rsidR="00032636" w:rsidRDefault="00253430" w:rsidP="00520551">
      <w:pPr>
        <w:pStyle w:val="h5Section"/>
      </w:pPr>
      <w:bookmarkStart w:id="15" w:name="_Toc393714341"/>
      <w:r>
        <w:t>3.3</w:t>
      </w:r>
      <w:r w:rsidR="00520551">
        <w:tab/>
        <w:t>Nitrate supplementation limit</w:t>
      </w:r>
      <w:bookmarkEnd w:id="15"/>
    </w:p>
    <w:p w:rsidR="006E64AA" w:rsidRDefault="00800E57" w:rsidP="00800E57">
      <w:pPr>
        <w:pStyle w:val="tMain"/>
      </w:pPr>
      <w:r>
        <w:tab/>
      </w:r>
      <w:r w:rsidR="00253430">
        <w:t>(1)</w:t>
      </w:r>
      <w:r>
        <w:tab/>
      </w:r>
      <w:r w:rsidR="0039120D">
        <w:t>Subject to subsection (</w:t>
      </w:r>
      <w:r w:rsidR="00607E8A">
        <w:t>4</w:t>
      </w:r>
      <w:r w:rsidR="0039120D">
        <w:t>), f</w:t>
      </w:r>
      <w:r w:rsidR="00520551">
        <w:t xml:space="preserve">or the first two weeks </w:t>
      </w:r>
      <w:r w:rsidR="00013098">
        <w:t xml:space="preserve">of each </w:t>
      </w:r>
      <w:r w:rsidR="00F35324">
        <w:t>nitrate supplementation period</w:t>
      </w:r>
      <w:r w:rsidR="00520551">
        <w:t xml:space="preserve">, </w:t>
      </w:r>
      <w:r w:rsidR="006E64AA">
        <w:t xml:space="preserve">a nitrate adaptation period must be undertaken. </w:t>
      </w:r>
    </w:p>
    <w:p w:rsidR="00446824" w:rsidRDefault="006E64AA" w:rsidP="006E64AA">
      <w:pPr>
        <w:pStyle w:val="tMain"/>
      </w:pPr>
      <w:r>
        <w:tab/>
      </w:r>
      <w:r w:rsidR="00253430">
        <w:t>(2)</w:t>
      </w:r>
      <w:r>
        <w:tab/>
        <w:t xml:space="preserve">During a </w:t>
      </w:r>
      <w:r w:rsidRPr="008D70CA">
        <w:t>nitrate adaptation period</w:t>
      </w:r>
      <w:r>
        <w:t>, the rate at which nitrates are fed to the herd must not exceed</w:t>
      </w:r>
      <w:r w:rsidR="00446824">
        <w:t>:</w:t>
      </w:r>
    </w:p>
    <w:p w:rsidR="00800E57" w:rsidRDefault="00446824" w:rsidP="00446824">
      <w:pPr>
        <w:pStyle w:val="tPara"/>
      </w:pPr>
      <w:r>
        <w:tab/>
      </w:r>
      <w:r w:rsidR="00253430">
        <w:t>(a)</w:t>
      </w:r>
      <w:r>
        <w:tab/>
        <w:t xml:space="preserve">25 </w:t>
      </w:r>
      <w:r w:rsidR="00800E57">
        <w:t>grams of nitrate per adult animal equivalent</w:t>
      </w:r>
      <w:r w:rsidR="00891789">
        <w:t xml:space="preserve"> per day</w:t>
      </w:r>
      <w:r>
        <w:t>; and</w:t>
      </w:r>
    </w:p>
    <w:p w:rsidR="00446824" w:rsidRDefault="00446824" w:rsidP="00446824">
      <w:pPr>
        <w:pStyle w:val="tPara"/>
      </w:pPr>
      <w:r>
        <w:tab/>
      </w:r>
      <w:proofErr w:type="gramStart"/>
      <w:r w:rsidR="00253430">
        <w:t>(b)</w:t>
      </w:r>
      <w:r>
        <w:tab/>
      </w:r>
      <w:r w:rsidR="00F119B5">
        <w:t>3.5 grams of nitrate per kilogram of DMI per day.</w:t>
      </w:r>
      <w:proofErr w:type="gramEnd"/>
    </w:p>
    <w:p w:rsidR="00F119B5" w:rsidRDefault="00F66746" w:rsidP="006E64AA">
      <w:pPr>
        <w:pStyle w:val="tMain"/>
      </w:pPr>
      <w:r>
        <w:tab/>
      </w:r>
      <w:r w:rsidR="00253430">
        <w:t>(3)</w:t>
      </w:r>
      <w:r>
        <w:tab/>
      </w:r>
      <w:r w:rsidR="006E64AA">
        <w:t xml:space="preserve">For each nitrate supplementation period except during the nitrate adaptation period, </w:t>
      </w:r>
      <w:r w:rsidR="00520551">
        <w:t xml:space="preserve">the rate </w:t>
      </w:r>
      <w:r w:rsidR="003307A2">
        <w:t>at which</w:t>
      </w:r>
      <w:r w:rsidR="00520551">
        <w:t xml:space="preserve"> nitrates </w:t>
      </w:r>
      <w:r w:rsidR="003307A2">
        <w:t xml:space="preserve">are </w:t>
      </w:r>
      <w:r w:rsidR="00520551">
        <w:t xml:space="preserve">fed to </w:t>
      </w:r>
      <w:r w:rsidR="009B385B">
        <w:t>a</w:t>
      </w:r>
      <w:r w:rsidR="00520551">
        <w:t xml:space="preserve"> herd must not exceed</w:t>
      </w:r>
      <w:r w:rsidR="00F119B5">
        <w:t>:</w:t>
      </w:r>
    </w:p>
    <w:p w:rsidR="00520551" w:rsidRDefault="00F119B5" w:rsidP="00F119B5">
      <w:pPr>
        <w:pStyle w:val="tPara"/>
      </w:pPr>
      <w:r>
        <w:tab/>
      </w:r>
      <w:r w:rsidR="00253430">
        <w:t>(a)</w:t>
      </w:r>
      <w:r>
        <w:tab/>
        <w:t xml:space="preserve">50 </w:t>
      </w:r>
      <w:r w:rsidR="00520551">
        <w:t>grams of nitrate per adult animal equivalent</w:t>
      </w:r>
      <w:r w:rsidR="00891789">
        <w:t xml:space="preserve"> per day</w:t>
      </w:r>
      <w:r>
        <w:t>; and</w:t>
      </w:r>
    </w:p>
    <w:p w:rsidR="00F119B5" w:rsidRDefault="00F119B5" w:rsidP="00F119B5">
      <w:pPr>
        <w:pStyle w:val="tPara"/>
      </w:pPr>
      <w:r>
        <w:tab/>
      </w:r>
      <w:proofErr w:type="gramStart"/>
      <w:r w:rsidR="00253430">
        <w:t>(b)</w:t>
      </w:r>
      <w:r>
        <w:tab/>
        <w:t>7 grams of nitrate per kilogram of DMI per day.</w:t>
      </w:r>
      <w:proofErr w:type="gramEnd"/>
    </w:p>
    <w:p w:rsidR="00F66746" w:rsidRDefault="00F66746" w:rsidP="00F66746">
      <w:pPr>
        <w:pStyle w:val="tMain"/>
      </w:pPr>
      <w:r>
        <w:tab/>
      </w:r>
      <w:r w:rsidR="00253430">
        <w:t>(4)</w:t>
      </w:r>
      <w:r>
        <w:tab/>
      </w:r>
      <w:r w:rsidR="00607E8A">
        <w:t>I</w:t>
      </w:r>
      <w:r w:rsidR="0039120D">
        <w:t>n circumstances where a</w:t>
      </w:r>
      <w:r w:rsidR="00B260C4">
        <w:t xml:space="preserve"> previous nitrate supplementation period ended </w:t>
      </w:r>
      <w:r w:rsidR="008B4E6A">
        <w:t>less</w:t>
      </w:r>
      <w:r w:rsidR="00B260C4">
        <w:t xml:space="preserve"> than 30 days before </w:t>
      </w:r>
      <w:r w:rsidR="00A529FF">
        <w:t xml:space="preserve">the </w:t>
      </w:r>
      <w:r w:rsidR="0039120D">
        <w:t xml:space="preserve">start of the </w:t>
      </w:r>
      <w:r w:rsidR="00A529FF">
        <w:t>first-mentioned nitrate supplementation period</w:t>
      </w:r>
      <w:r w:rsidR="00607E8A">
        <w:t xml:space="preserve">, subsection (1) </w:t>
      </w:r>
      <w:r w:rsidR="006A1AF3">
        <w:t>does not apply</w:t>
      </w:r>
      <w:r w:rsidR="00A529FF">
        <w:t>.</w:t>
      </w:r>
    </w:p>
    <w:p w:rsidR="006A1AF3" w:rsidRDefault="006A1AF3" w:rsidP="006A1AF3">
      <w:pPr>
        <w:pStyle w:val="noteMain"/>
      </w:pPr>
      <w:r>
        <w:tab/>
      </w:r>
      <w:r>
        <w:rPr>
          <w:b/>
          <w:i/>
        </w:rPr>
        <w:t>Note</w:t>
      </w:r>
      <w:r>
        <w:tab/>
        <w:t xml:space="preserve">This means that nitrates can be fed up to a rate of 50 grams of nitrate per adult animal equivalent per day for the entire nitrate supplementation period if a previous nitrate supplementation period ended less than </w:t>
      </w:r>
      <w:r w:rsidR="00CB7691">
        <w:t>30</w:t>
      </w:r>
      <w:r>
        <w:t xml:space="preserve"> days before the nitrate supplementation period commenced.</w:t>
      </w:r>
    </w:p>
    <w:p w:rsidR="00635D1F" w:rsidRPr="00DE64EE" w:rsidRDefault="00520551" w:rsidP="00520551">
      <w:pPr>
        <w:pStyle w:val="h2Part"/>
      </w:pPr>
      <w:bookmarkStart w:id="16" w:name="_Toc393714342"/>
      <w:r>
        <w:t xml:space="preserve">Part </w:t>
      </w:r>
      <w:r w:rsidR="00253430">
        <w:t>4</w:t>
      </w:r>
      <w:r>
        <w:tab/>
      </w:r>
      <w:proofErr w:type="gramStart"/>
      <w:r w:rsidR="00635D1F" w:rsidRPr="00DE64EE">
        <w:t>The</w:t>
      </w:r>
      <w:proofErr w:type="gramEnd"/>
      <w:r w:rsidR="00635D1F" w:rsidRPr="00DE64EE">
        <w:t xml:space="preserve"> </w:t>
      </w:r>
      <w:r w:rsidR="00C50EF3">
        <w:t>carbon dioxide equivalent net abatement amount</w:t>
      </w:r>
      <w:bookmarkEnd w:id="16"/>
    </w:p>
    <w:p w:rsidR="00635D1F" w:rsidRPr="00DE64EE" w:rsidRDefault="00635D1F" w:rsidP="00135D22">
      <w:pPr>
        <w:pStyle w:val="h3Div"/>
      </w:pPr>
      <w:bookmarkStart w:id="17" w:name="_Toc393714343"/>
      <w:r>
        <w:t xml:space="preserve">Division </w:t>
      </w:r>
      <w:r w:rsidR="0060744B">
        <w:t>4.1</w:t>
      </w:r>
      <w:r>
        <w:tab/>
      </w:r>
      <w:proofErr w:type="gramStart"/>
      <w:r w:rsidRPr="00DE64EE">
        <w:t>The</w:t>
      </w:r>
      <w:proofErr w:type="gramEnd"/>
      <w:r w:rsidRPr="00DE64EE">
        <w:t xml:space="preserve"> </w:t>
      </w:r>
      <w:r w:rsidR="00C50EF3">
        <w:t>carbon dioxide equivalent net abatement amount</w:t>
      </w:r>
      <w:bookmarkEnd w:id="17"/>
    </w:p>
    <w:p w:rsidR="00635D1F" w:rsidRPr="00DE64EE" w:rsidRDefault="00253430" w:rsidP="00411489">
      <w:pPr>
        <w:pStyle w:val="h5Section"/>
      </w:pPr>
      <w:bookmarkStart w:id="18" w:name="_Toc393714344"/>
      <w:r>
        <w:t>4.1</w:t>
      </w:r>
      <w:r w:rsidR="00411489">
        <w:tab/>
      </w:r>
      <w:r w:rsidR="00635D1F" w:rsidRPr="00DE64EE">
        <w:t>The</w:t>
      </w:r>
      <w:r w:rsidR="00C50EF3">
        <w:t xml:space="preserve"> carbon dioxide equivalent</w:t>
      </w:r>
      <w:r w:rsidR="00635D1F" w:rsidRPr="00DE64EE">
        <w:t xml:space="preserve"> net abatement amount</w:t>
      </w:r>
      <w:bookmarkEnd w:id="18"/>
    </w:p>
    <w:p w:rsidR="00635D1F" w:rsidRPr="00DE64EE" w:rsidRDefault="00635D1F" w:rsidP="00135D22">
      <w:pPr>
        <w:pStyle w:val="noteMain"/>
      </w:pPr>
      <w:r w:rsidRPr="00DE64EE">
        <w:tab/>
      </w:r>
      <w:r w:rsidRPr="00DE64EE">
        <w:rPr>
          <w:b/>
          <w:i/>
        </w:rPr>
        <w:t>Note</w:t>
      </w:r>
      <w:r w:rsidRPr="00DE64EE">
        <w:tab/>
        <w:t>See paragraph 106(1</w:t>
      </w:r>
      <w:proofErr w:type="gramStart"/>
      <w:r w:rsidRPr="00DE64EE">
        <w:t>)(</w:t>
      </w:r>
      <w:proofErr w:type="gramEnd"/>
      <w:r w:rsidRPr="00DE64EE">
        <w:t>c) of the Act.</w:t>
      </w:r>
    </w:p>
    <w:p w:rsidR="0080044F" w:rsidRDefault="00762053" w:rsidP="00762053">
      <w:pPr>
        <w:pStyle w:val="tMain"/>
      </w:pPr>
      <w:r>
        <w:tab/>
      </w:r>
      <w:r w:rsidR="00253430">
        <w:t>(1)</w:t>
      </w:r>
      <w:r>
        <w:tab/>
      </w:r>
      <w:r w:rsidR="0080044F" w:rsidRPr="00152C74">
        <w:t xml:space="preserve">For the purposes of subsection (1), the greenhouse gas emissions avoided as a consequence of the project is the difference </w:t>
      </w:r>
      <w:r w:rsidR="0080044F">
        <w:t xml:space="preserve">between </w:t>
      </w:r>
      <w:r w:rsidR="0080044F" w:rsidRPr="00152C74">
        <w:t>the baseline</w:t>
      </w:r>
      <w:r w:rsidR="0080044F">
        <w:t xml:space="preserve"> and the enteric methane emissions that were produced by the herd over the reporting period. </w:t>
      </w:r>
    </w:p>
    <w:p w:rsidR="005C1744" w:rsidRDefault="0080044F" w:rsidP="0080044F">
      <w:pPr>
        <w:pStyle w:val="tMain"/>
      </w:pPr>
      <w:r>
        <w:tab/>
      </w:r>
      <w:r w:rsidR="00253430">
        <w:t>(2)</w:t>
      </w:r>
      <w:r>
        <w:tab/>
      </w:r>
      <w:r w:rsidR="00762053" w:rsidRPr="00DE64EE">
        <w:t>For an eligible offsets project to which this Determination applies, the</w:t>
      </w:r>
      <w:r w:rsidR="00762053">
        <w:t xml:space="preserve"> carbon dioxide equivalent</w:t>
      </w:r>
      <w:r w:rsidR="00762053" w:rsidRPr="00DE64EE">
        <w:t xml:space="preserve"> net abatement amount </w:t>
      </w:r>
      <w:r w:rsidR="00762053">
        <w:t>is</w:t>
      </w:r>
      <w:r w:rsidR="00762053" w:rsidRPr="00DE64EE">
        <w:t xml:space="preserve"> the </w:t>
      </w:r>
      <w:r w:rsidR="00762053">
        <w:t>carbon dioxide equivalence of the amount</w:t>
      </w:r>
      <w:r w:rsidR="00762053" w:rsidRPr="00DE64EE">
        <w:t xml:space="preserve"> of </w:t>
      </w:r>
      <w:r w:rsidR="00FB4801">
        <w:t>greenhouse gas e</w:t>
      </w:r>
      <w:r w:rsidR="00762053">
        <w:t>missions</w:t>
      </w:r>
      <w:r w:rsidR="00762053" w:rsidRPr="00DE64EE">
        <w:t xml:space="preserve"> avoided</w:t>
      </w:r>
      <w:r w:rsidR="00762053">
        <w:t xml:space="preserve"> as a consequence of the project in relation to a reporting period, calculated:</w:t>
      </w:r>
    </w:p>
    <w:p w:rsidR="00762053" w:rsidRDefault="00FB4801" w:rsidP="00FB4801">
      <w:pPr>
        <w:pStyle w:val="tPara"/>
      </w:pPr>
      <w:r>
        <w:tab/>
      </w:r>
      <w:r w:rsidR="00253430">
        <w:t>(a)</w:t>
      </w:r>
      <w:r>
        <w:tab/>
      </w:r>
      <w:r w:rsidR="00762053">
        <w:t>using the Nitrates Calculator in accordance with this Part to determine the carbon dioxide equivalent net amount of greenhouse gas emissions avoided as a consequence of the project for each herd</w:t>
      </w:r>
      <w:r w:rsidR="00011F88">
        <w:t>,</w:t>
      </w:r>
      <w:r w:rsidR="00762053">
        <w:t xml:space="preserve"> for each nitrate supplementation period which is part of the reporting period; and</w:t>
      </w:r>
    </w:p>
    <w:p w:rsidR="00762053" w:rsidRDefault="00FB4801" w:rsidP="00FB4801">
      <w:pPr>
        <w:pStyle w:val="tPara"/>
      </w:pPr>
      <w:r>
        <w:tab/>
      </w:r>
      <w:r w:rsidR="00253430">
        <w:t>(b)</w:t>
      </w:r>
      <w:r>
        <w:tab/>
      </w:r>
      <w:proofErr w:type="gramStart"/>
      <w:r w:rsidR="00762053">
        <w:t>summing</w:t>
      </w:r>
      <w:proofErr w:type="gramEnd"/>
      <w:r w:rsidR="00762053">
        <w:t xml:space="preserve"> the amounts under paragraph (a) for all nitrate supplementation periods and herds which are part of the reporting period.</w:t>
      </w:r>
    </w:p>
    <w:p w:rsidR="00152C74" w:rsidRDefault="00762053" w:rsidP="00762053">
      <w:pPr>
        <w:pStyle w:val="tMain"/>
      </w:pPr>
      <w:r>
        <w:tab/>
      </w:r>
      <w:r w:rsidR="00253430">
        <w:t>(3)</w:t>
      </w:r>
      <w:r>
        <w:tab/>
      </w:r>
      <w:r w:rsidR="00152C74">
        <w:t xml:space="preserve">A single </w:t>
      </w:r>
      <w:r w:rsidR="00B26273">
        <w:t xml:space="preserve">nitrate </w:t>
      </w:r>
      <w:r w:rsidR="00152C74">
        <w:t>supplementation period can only be part of one reporting period.</w:t>
      </w:r>
    </w:p>
    <w:p w:rsidR="0049701B" w:rsidRDefault="00253430" w:rsidP="00411489">
      <w:pPr>
        <w:pStyle w:val="h5Section"/>
      </w:pPr>
      <w:bookmarkStart w:id="19" w:name="_Toc393714346"/>
      <w:r>
        <w:t>4.</w:t>
      </w:r>
      <w:r w:rsidR="005C39E0">
        <w:t>2</w:t>
      </w:r>
      <w:r w:rsidR="00411489">
        <w:tab/>
      </w:r>
      <w:r w:rsidR="0049701B">
        <w:t xml:space="preserve">Carbon dioxide equivalent net abatement amount if </w:t>
      </w:r>
      <w:r w:rsidR="00656D39">
        <w:t>nitrate supplementation</w:t>
      </w:r>
      <w:r w:rsidR="0049701B">
        <w:t xml:space="preserve"> limit exceeded</w:t>
      </w:r>
      <w:bookmarkEnd w:id="19"/>
    </w:p>
    <w:p w:rsidR="0049701B" w:rsidRDefault="0049701B" w:rsidP="00135D22">
      <w:pPr>
        <w:pStyle w:val="tMain"/>
      </w:pPr>
      <w:r>
        <w:tab/>
      </w:r>
      <w:r>
        <w:tab/>
      </w:r>
      <w:r w:rsidR="0039120D">
        <w:t xml:space="preserve">For each herd, if </w:t>
      </w:r>
      <w:r w:rsidR="00034E7B">
        <w:t xml:space="preserve">either of </w:t>
      </w:r>
      <w:r w:rsidR="0039120D">
        <w:t>the nitrate supplementation limit</w:t>
      </w:r>
      <w:r w:rsidR="00034E7B">
        <w:t>s</w:t>
      </w:r>
      <w:r w:rsidR="0039120D">
        <w:t xml:space="preserve"> </w:t>
      </w:r>
      <w:r w:rsidR="003B5293">
        <w:t>specifi</w:t>
      </w:r>
      <w:r w:rsidR="0039120D">
        <w:t xml:space="preserve">ed in section 3.3 </w:t>
      </w:r>
      <w:r w:rsidR="00034E7B">
        <w:t>are</w:t>
      </w:r>
      <w:r w:rsidR="0039120D">
        <w:t xml:space="preserve"> exceeded in a nitrate supplementation period then,</w:t>
      </w:r>
      <w:r w:rsidR="0039120D" w:rsidRPr="0084429F">
        <w:t xml:space="preserve"> </w:t>
      </w:r>
      <w:r w:rsidR="0039120D">
        <w:t xml:space="preserve">for the purposes of calculating the carbon dioxide equivalent net abatement amount for that herd in that nitrate supplementation period, the </w:t>
      </w:r>
      <w:r w:rsidR="00034E7B">
        <w:t xml:space="preserve">relevant </w:t>
      </w:r>
      <w:r w:rsidR="0039120D">
        <w:t>nitrate supplementation limit is to be used as the rate at which nitrates are fed to the herd</w:t>
      </w:r>
      <w:r w:rsidR="00E1661E">
        <w:t>.</w:t>
      </w:r>
    </w:p>
    <w:p w:rsidR="00635D1F" w:rsidRDefault="00635D1F" w:rsidP="00135D22">
      <w:pPr>
        <w:pStyle w:val="h3Div"/>
      </w:pPr>
      <w:bookmarkStart w:id="20" w:name="_Toc393714347"/>
      <w:r>
        <w:t xml:space="preserve">Division </w:t>
      </w:r>
      <w:r w:rsidR="0060744B">
        <w:t>4.2</w:t>
      </w:r>
      <w:r>
        <w:tab/>
      </w:r>
      <w:r w:rsidRPr="00DE64EE">
        <w:t>Calculations</w:t>
      </w:r>
      <w:bookmarkEnd w:id="20"/>
    </w:p>
    <w:p w:rsidR="00635D1F" w:rsidRDefault="00253430" w:rsidP="00411489">
      <w:pPr>
        <w:pStyle w:val="h5Section"/>
      </w:pPr>
      <w:bookmarkStart w:id="21" w:name="_Toc393714348"/>
      <w:r>
        <w:t>4.</w:t>
      </w:r>
      <w:r w:rsidR="005C39E0">
        <w:t>3</w:t>
      </w:r>
      <w:r w:rsidR="00411489">
        <w:tab/>
      </w:r>
      <w:r w:rsidR="006C46A8" w:rsidRPr="006C46A8">
        <w:t xml:space="preserve">Calculation </w:t>
      </w:r>
      <w:r w:rsidR="006C46A8">
        <w:t>of the</w:t>
      </w:r>
      <w:r w:rsidR="00C50EF3">
        <w:t xml:space="preserve"> carbon dioxide equivalent net abatement amount</w:t>
      </w:r>
      <w:bookmarkEnd w:id="21"/>
    </w:p>
    <w:p w:rsidR="00A96A1A" w:rsidRDefault="00FB4801" w:rsidP="00FB4801">
      <w:pPr>
        <w:pStyle w:val="tMain"/>
      </w:pPr>
      <w:r>
        <w:tab/>
      </w:r>
      <w:r w:rsidR="00253430">
        <w:t>(1)</w:t>
      </w:r>
      <w:r>
        <w:tab/>
      </w:r>
      <w:r w:rsidR="00E1661E">
        <w:t>The carbon dioxide equivalent net abatement amount</w:t>
      </w:r>
      <w:r w:rsidR="00E1661E" w:rsidRPr="000527F5">
        <w:t xml:space="preserve"> for</w:t>
      </w:r>
      <w:r w:rsidR="00E1661E">
        <w:t xml:space="preserve"> each </w:t>
      </w:r>
      <w:r w:rsidR="00E1661E" w:rsidRPr="00D61C13">
        <w:t>herd</w:t>
      </w:r>
      <w:r w:rsidR="00E1661E">
        <w:t xml:space="preserve"> for</w:t>
      </w:r>
      <w:r w:rsidR="00E1661E" w:rsidRPr="000527F5">
        <w:t xml:space="preserve"> each </w:t>
      </w:r>
      <w:r w:rsidR="00700F50">
        <w:t>nitrate supplementation period</w:t>
      </w:r>
      <w:r w:rsidR="00E1661E" w:rsidRPr="000527F5">
        <w:t xml:space="preserve"> must be calculated using the </w:t>
      </w:r>
      <w:r w:rsidR="00E1661E">
        <w:t>Nitrates</w:t>
      </w:r>
      <w:r w:rsidR="00E1661E" w:rsidRPr="000527F5">
        <w:t xml:space="preserve"> Calculator by entering </w:t>
      </w:r>
      <w:r w:rsidR="00CD55BE">
        <w:t>t</w:t>
      </w:r>
      <w:r w:rsidR="000527F5" w:rsidRPr="00CD55BE">
        <w:t xml:space="preserve">he inputs </w:t>
      </w:r>
      <w:r w:rsidR="00CD55BE" w:rsidRPr="00CD55BE">
        <w:t>required by the Nitrates Calculator</w:t>
      </w:r>
      <w:r w:rsidR="00A96A1A" w:rsidRPr="00CD55BE">
        <w:t>.</w:t>
      </w:r>
    </w:p>
    <w:p w:rsidR="00FB4801" w:rsidRPr="00F362FC" w:rsidRDefault="00FB4801" w:rsidP="00FB4801">
      <w:pPr>
        <w:pStyle w:val="tMain"/>
      </w:pPr>
      <w:r>
        <w:tab/>
      </w:r>
      <w:r w:rsidR="00253430">
        <w:t>(2)</w:t>
      </w:r>
      <w:r w:rsidRPr="00F362FC">
        <w:tab/>
        <w:t>Subsection (1) includes:</w:t>
      </w:r>
    </w:p>
    <w:p w:rsidR="00FB4801" w:rsidRPr="00F362FC" w:rsidRDefault="00FB4801" w:rsidP="00FB4801">
      <w:pPr>
        <w:pStyle w:val="tPara"/>
      </w:pPr>
      <w:r w:rsidRPr="00F362FC">
        <w:tab/>
      </w:r>
      <w:r w:rsidR="00253430">
        <w:t>(a)</w:t>
      </w:r>
      <w:r w:rsidRPr="00F362FC">
        <w:tab/>
      </w:r>
      <w:proofErr w:type="gramStart"/>
      <w:r w:rsidRPr="00F362FC">
        <w:t>the</w:t>
      </w:r>
      <w:proofErr w:type="gramEnd"/>
      <w:r w:rsidRPr="00F362FC">
        <w:t xml:space="preserve"> </w:t>
      </w:r>
      <w:r w:rsidR="003B2746" w:rsidRPr="00F362FC">
        <w:t>identification of a region</w:t>
      </w:r>
      <w:r w:rsidRPr="00F362FC">
        <w:t>;</w:t>
      </w:r>
    </w:p>
    <w:p w:rsidR="00FB4801" w:rsidRPr="00F362FC" w:rsidRDefault="00FB4801" w:rsidP="00FB4801">
      <w:pPr>
        <w:pStyle w:val="tPara"/>
      </w:pPr>
      <w:r w:rsidRPr="00F362FC">
        <w:tab/>
      </w:r>
      <w:r w:rsidR="00253430">
        <w:t>(b)</w:t>
      </w:r>
      <w:r w:rsidRPr="00F362FC">
        <w:tab/>
      </w:r>
      <w:proofErr w:type="gramStart"/>
      <w:r w:rsidRPr="00F362FC">
        <w:t>the</w:t>
      </w:r>
      <w:proofErr w:type="gramEnd"/>
      <w:r w:rsidRPr="00F362FC">
        <w:t xml:space="preserve"> numbers of</w:t>
      </w:r>
      <w:r w:rsidR="003B2746" w:rsidRPr="00F362FC">
        <w:t xml:space="preserve"> cattle in each livestock class, determined in a manner consistent</w:t>
      </w:r>
      <w:r w:rsidRPr="00F362FC">
        <w:t xml:space="preserve"> with </w:t>
      </w:r>
      <w:r w:rsidR="00F362FC">
        <w:t>s</w:t>
      </w:r>
      <w:r w:rsidRPr="00F362FC">
        <w:t>ection 5.3;</w:t>
      </w:r>
    </w:p>
    <w:p w:rsidR="00F362FC" w:rsidRPr="00F362FC" w:rsidRDefault="00FB4801" w:rsidP="00F362FC">
      <w:pPr>
        <w:pStyle w:val="tPara"/>
      </w:pPr>
      <w:r w:rsidRPr="00F362FC">
        <w:tab/>
      </w:r>
      <w:r w:rsidR="00253430">
        <w:t>(c)</w:t>
      </w:r>
      <w:r w:rsidRPr="00F362FC">
        <w:tab/>
      </w:r>
      <w:proofErr w:type="gramStart"/>
      <w:r w:rsidRPr="00F362FC">
        <w:t>the</w:t>
      </w:r>
      <w:proofErr w:type="gramEnd"/>
      <w:r w:rsidRPr="00F362FC">
        <w:t xml:space="preserve"> average liveweight </w:t>
      </w:r>
      <w:r w:rsidR="003B2746" w:rsidRPr="00F362FC">
        <w:t>for each</w:t>
      </w:r>
      <w:r w:rsidRPr="00F362FC">
        <w:t xml:space="preserve"> livestock class</w:t>
      </w:r>
      <w:r w:rsidR="00F362FC" w:rsidRPr="00F362FC">
        <w:t>,</w:t>
      </w:r>
      <w:r w:rsidRPr="00F362FC">
        <w:t xml:space="preserve"> </w:t>
      </w:r>
      <w:r w:rsidR="00F362FC" w:rsidRPr="00F362FC">
        <w:t xml:space="preserve">determined in a manner consistent with </w:t>
      </w:r>
      <w:r w:rsidR="00F362FC">
        <w:t>s</w:t>
      </w:r>
      <w:r w:rsidR="00F362FC" w:rsidRPr="00F362FC">
        <w:t>ection 5.4;</w:t>
      </w:r>
    </w:p>
    <w:p w:rsidR="00FB4801" w:rsidRPr="00F362FC" w:rsidRDefault="00FB4801" w:rsidP="00FB4801">
      <w:pPr>
        <w:pStyle w:val="tPara"/>
      </w:pPr>
      <w:r w:rsidRPr="00F362FC">
        <w:tab/>
      </w:r>
      <w:r w:rsidR="00253430">
        <w:t>(d)</w:t>
      </w:r>
      <w:r w:rsidRPr="00F362FC">
        <w:tab/>
      </w:r>
      <w:proofErr w:type="gramStart"/>
      <w:r w:rsidRPr="00F362FC">
        <w:t>the</w:t>
      </w:r>
      <w:proofErr w:type="gramEnd"/>
      <w:r w:rsidRPr="00F362FC">
        <w:t xml:space="preserve"> opening and closing stock of nitrate lick blocks</w:t>
      </w:r>
      <w:r w:rsidR="00F362FC">
        <w:t>, determined</w:t>
      </w:r>
      <w:r w:rsidRPr="00F362FC">
        <w:t xml:space="preserve"> in accordance with section 5.5;</w:t>
      </w:r>
    </w:p>
    <w:p w:rsidR="00FB4801" w:rsidRPr="00F362FC" w:rsidRDefault="00FB4801" w:rsidP="00FB4801">
      <w:pPr>
        <w:pStyle w:val="tPara"/>
      </w:pPr>
      <w:r w:rsidRPr="00F362FC">
        <w:tab/>
      </w:r>
      <w:r w:rsidR="00253430">
        <w:t>(e)</w:t>
      </w:r>
      <w:r w:rsidRPr="00F362FC">
        <w:tab/>
      </w:r>
      <w:proofErr w:type="gramStart"/>
      <w:r w:rsidRPr="00F362FC">
        <w:t>the</w:t>
      </w:r>
      <w:proofErr w:type="gramEnd"/>
      <w:r w:rsidRPr="00F362FC">
        <w:t xml:space="preserve"> opening and closing stock of non-protein nitrogen supplements</w:t>
      </w:r>
      <w:r w:rsidR="00F362FC">
        <w:t>, determined</w:t>
      </w:r>
      <w:r w:rsidRPr="00F362FC">
        <w:t xml:space="preserve"> in accordance with section 5.6; and</w:t>
      </w:r>
    </w:p>
    <w:p w:rsidR="00FB4801" w:rsidRPr="00F362FC" w:rsidRDefault="00FB4801" w:rsidP="00FB4801">
      <w:pPr>
        <w:pStyle w:val="tPara"/>
      </w:pPr>
      <w:r w:rsidRPr="00F362FC">
        <w:tab/>
      </w:r>
      <w:r w:rsidR="00253430">
        <w:t>(f)</w:t>
      </w:r>
      <w:r w:rsidRPr="00F362FC">
        <w:tab/>
      </w:r>
      <w:proofErr w:type="gramStart"/>
      <w:r w:rsidRPr="00F362FC">
        <w:t>the</w:t>
      </w:r>
      <w:proofErr w:type="gramEnd"/>
      <w:r w:rsidRPr="00F362FC">
        <w:t xml:space="preserve"> application by the Nitrates Calculator of the results of scientific research </w:t>
      </w:r>
      <w:r w:rsidR="00F362FC">
        <w:t>pertaining to</w:t>
      </w:r>
      <w:r w:rsidRPr="00F362FC">
        <w:t xml:space="preserve"> the effect of nitrate supplements </w:t>
      </w:r>
      <w:r w:rsidR="00F362FC">
        <w:t xml:space="preserve">on enteric </w:t>
      </w:r>
      <w:r w:rsidR="003E30C5">
        <w:t>fermentation</w:t>
      </w:r>
      <w:r w:rsidR="00F362FC">
        <w:t>.</w:t>
      </w:r>
      <w:r w:rsidRPr="00F362FC">
        <w:t xml:space="preserve"> </w:t>
      </w:r>
    </w:p>
    <w:p w:rsidR="00FB4801" w:rsidRDefault="00FB4801" w:rsidP="00FB4801">
      <w:pPr>
        <w:pStyle w:val="tMain"/>
      </w:pPr>
      <w:r w:rsidRPr="003E30C5">
        <w:tab/>
      </w:r>
      <w:r w:rsidR="00253430">
        <w:t>(3)</w:t>
      </w:r>
      <w:r w:rsidRPr="003E30C5">
        <w:tab/>
        <w:t xml:space="preserve">To ensure the carbon dioxide equivalence of the net abatement amount, the Nitrates Calculator must multiply tonnes of methane avoided by the carbon dioxide equivalence of methane as prescribed by the </w:t>
      </w:r>
      <w:r w:rsidRPr="003E30C5">
        <w:rPr>
          <w:i/>
        </w:rPr>
        <w:t xml:space="preserve">National Greenhouse and Energy Reporting </w:t>
      </w:r>
      <w:r w:rsidR="00003B67">
        <w:rPr>
          <w:i/>
        </w:rPr>
        <w:t>(Measurement) Determination</w:t>
      </w:r>
      <w:r w:rsidRPr="003E30C5">
        <w:rPr>
          <w:i/>
        </w:rPr>
        <w:t xml:space="preserve"> 2008</w:t>
      </w:r>
      <w:r w:rsidRPr="003E30C5">
        <w:t xml:space="preserve"> in force at the time the offsets report was submitted, or was required to be submitted, whichever is the earlier.</w:t>
      </w:r>
    </w:p>
    <w:p w:rsidR="00FA147B" w:rsidRPr="00DE64EE" w:rsidRDefault="00253430" w:rsidP="00411489">
      <w:pPr>
        <w:pStyle w:val="h5Section"/>
      </w:pPr>
      <w:bookmarkStart w:id="22" w:name="_Toc393714349"/>
      <w:r>
        <w:t>4.</w:t>
      </w:r>
      <w:r w:rsidR="005C39E0">
        <w:t>4</w:t>
      </w:r>
      <w:r w:rsidR="00411489">
        <w:tab/>
      </w:r>
      <w:r w:rsidR="006F04B5">
        <w:t xml:space="preserve">Greenhouse </w:t>
      </w:r>
      <w:r w:rsidR="00326C80">
        <w:t>gas assessment boundary</w:t>
      </w:r>
      <w:bookmarkEnd w:id="22"/>
    </w:p>
    <w:p w:rsidR="0086765E" w:rsidRPr="003E30C5" w:rsidRDefault="000867F6" w:rsidP="0046140B">
      <w:pPr>
        <w:pStyle w:val="tMain"/>
      </w:pPr>
      <w:r>
        <w:tab/>
      </w:r>
      <w:r>
        <w:tab/>
      </w:r>
      <w:r w:rsidR="00326C80" w:rsidRPr="0096227E">
        <w:t xml:space="preserve">When making calculations for the purposes of determining the carbon dioxide net abatement amount, </w:t>
      </w:r>
      <w:r w:rsidR="0046140B">
        <w:t>methane emissions from enteric fermentation</w:t>
      </w:r>
      <w:r w:rsidR="0046140B" w:rsidRPr="0096227E">
        <w:t xml:space="preserve"> </w:t>
      </w:r>
      <w:r w:rsidR="00326C80" w:rsidRPr="0096227E">
        <w:t xml:space="preserve">must be taken into </w:t>
      </w:r>
      <w:r w:rsidR="00326C80" w:rsidRPr="003E30C5">
        <w:t>account</w:t>
      </w:r>
      <w:r w:rsidR="0046140B" w:rsidRPr="003E30C5">
        <w:t>.</w:t>
      </w:r>
    </w:p>
    <w:p w:rsidR="00B211C1" w:rsidRPr="0086765E" w:rsidRDefault="00253430" w:rsidP="00411489">
      <w:pPr>
        <w:pStyle w:val="h5Section"/>
      </w:pPr>
      <w:bookmarkStart w:id="23" w:name="_Toc393714350"/>
      <w:r>
        <w:t>4.</w:t>
      </w:r>
      <w:r w:rsidR="005C39E0">
        <w:t>5</w:t>
      </w:r>
      <w:r w:rsidR="00411489">
        <w:tab/>
      </w:r>
      <w:r w:rsidR="00B211C1">
        <w:t>The baseline</w:t>
      </w:r>
      <w:bookmarkEnd w:id="23"/>
    </w:p>
    <w:p w:rsidR="00787E96" w:rsidRDefault="00FB4801" w:rsidP="00FB4801">
      <w:pPr>
        <w:pStyle w:val="tMain"/>
      </w:pPr>
      <w:r>
        <w:tab/>
      </w:r>
      <w:r w:rsidR="00253430">
        <w:t>(1)</w:t>
      </w:r>
      <w:r>
        <w:tab/>
      </w:r>
      <w:r w:rsidR="00B211C1" w:rsidRPr="00944441">
        <w:t xml:space="preserve">For the purposes of paragraph 106(4)(f) of the Act, the baseline for the project must be calculated </w:t>
      </w:r>
      <w:r w:rsidR="006C2330">
        <w:t xml:space="preserve">using the Nitrates Calculator, </w:t>
      </w:r>
      <w:r w:rsidR="00700F50">
        <w:t xml:space="preserve">for each nitrate supplementation period, for each herd </w:t>
      </w:r>
      <w:r w:rsidR="00B211C1" w:rsidRPr="00944441">
        <w:t xml:space="preserve">by entering each input </w:t>
      </w:r>
      <w:r w:rsidR="00B774D7">
        <w:t>required by the Nitrates Calculator</w:t>
      </w:r>
      <w:r w:rsidR="00B211C1">
        <w:t>.</w:t>
      </w:r>
      <w:r w:rsidR="00787E96">
        <w:tab/>
      </w:r>
    </w:p>
    <w:p w:rsidR="00FB4801" w:rsidRPr="00787E96" w:rsidRDefault="00FB4801" w:rsidP="00FB4801">
      <w:pPr>
        <w:pStyle w:val="tMain"/>
      </w:pPr>
      <w:r>
        <w:tab/>
      </w:r>
      <w:r w:rsidR="00253430">
        <w:t>(2)</w:t>
      </w:r>
      <w:r>
        <w:tab/>
      </w:r>
      <w:r w:rsidRPr="000405C3">
        <w:t xml:space="preserve">For the purposes of subsection (1), the baseline will show the estimated emissions for each herd over the reporting period which would have occurred had the nitrate supplements not been provided to </w:t>
      </w:r>
      <w:r w:rsidR="000405C3">
        <w:t>the</w:t>
      </w:r>
      <w:r w:rsidRPr="000405C3">
        <w:t xml:space="preserve"> herd but where urea was provided to the herd.</w:t>
      </w:r>
    </w:p>
    <w:p w:rsidR="00FB4801" w:rsidRPr="00787E96" w:rsidRDefault="00FB4801" w:rsidP="00FB4801">
      <w:pPr>
        <w:pStyle w:val="tMain"/>
      </w:pPr>
    </w:p>
    <w:p w:rsidR="00635D1F" w:rsidRDefault="00520551" w:rsidP="00520551">
      <w:pPr>
        <w:pStyle w:val="h2Part"/>
      </w:pPr>
      <w:bookmarkStart w:id="24" w:name="_Toc393714351"/>
      <w:r>
        <w:t xml:space="preserve">Part </w:t>
      </w:r>
      <w:r w:rsidR="00253430">
        <w:t>5</w:t>
      </w:r>
      <w:r>
        <w:tab/>
      </w:r>
      <w:r w:rsidR="0086765E">
        <w:t>Monitoring,</w:t>
      </w:r>
      <w:r w:rsidR="00591A95">
        <w:t xml:space="preserve"> measuring,</w:t>
      </w:r>
      <w:r w:rsidR="0086765E">
        <w:t xml:space="preserve"> record</w:t>
      </w:r>
      <w:r w:rsidR="0086765E">
        <w:noBreakHyphen/>
      </w:r>
      <w:proofErr w:type="spellStart"/>
      <w:r w:rsidR="0086765E">
        <w:t>k</w:t>
      </w:r>
      <w:r w:rsidR="00635D1F" w:rsidRPr="000828F3">
        <w:t>eeping</w:t>
      </w:r>
      <w:proofErr w:type="spellEnd"/>
      <w:r w:rsidR="00635D1F" w:rsidRPr="000828F3">
        <w:t xml:space="preserve"> and reporting requirements</w:t>
      </w:r>
      <w:bookmarkEnd w:id="24"/>
    </w:p>
    <w:p w:rsidR="00635D1F" w:rsidRPr="000828F3" w:rsidRDefault="00635D1F" w:rsidP="00135D22">
      <w:pPr>
        <w:pStyle w:val="noteMain"/>
      </w:pPr>
      <w:r w:rsidRPr="000828F3">
        <w:tab/>
      </w:r>
      <w:r w:rsidRPr="000828F3">
        <w:rPr>
          <w:b/>
          <w:i/>
        </w:rPr>
        <w:t>Note</w:t>
      </w:r>
      <w:r w:rsidRPr="000828F3">
        <w:tab/>
        <w:t>See subsection 106(3) of the Act.</w:t>
      </w:r>
    </w:p>
    <w:p w:rsidR="00635D1F" w:rsidRPr="000828F3" w:rsidRDefault="00635D1F" w:rsidP="00135D22">
      <w:pPr>
        <w:pStyle w:val="h3Div"/>
        <w:jc w:val="both"/>
      </w:pPr>
      <w:bookmarkStart w:id="25" w:name="_Toc393714352"/>
      <w:r w:rsidRPr="000828F3">
        <w:t xml:space="preserve">Division </w:t>
      </w:r>
      <w:r w:rsidR="0060744B">
        <w:t>5.1</w:t>
      </w:r>
      <w:r w:rsidRPr="000828F3">
        <w:tab/>
        <w:t>General</w:t>
      </w:r>
      <w:bookmarkEnd w:id="25"/>
    </w:p>
    <w:p w:rsidR="00635D1F" w:rsidRPr="000828F3" w:rsidRDefault="00253430" w:rsidP="00915673">
      <w:pPr>
        <w:pStyle w:val="h5Section"/>
      </w:pPr>
      <w:bookmarkStart w:id="26" w:name="_Toc393714353"/>
      <w:r>
        <w:t>5.1</w:t>
      </w:r>
      <w:r w:rsidR="00915673">
        <w:tab/>
      </w:r>
      <w:r w:rsidR="00635D1F" w:rsidRPr="000828F3">
        <w:t>General</w:t>
      </w:r>
      <w:bookmarkEnd w:id="26"/>
    </w:p>
    <w:p w:rsidR="00635D1F" w:rsidRPr="00DE64EE" w:rsidRDefault="00635D1F" w:rsidP="00135D22">
      <w:pPr>
        <w:pStyle w:val="tMain"/>
      </w:pPr>
      <w:r w:rsidRPr="000828F3">
        <w:tab/>
      </w:r>
      <w:r w:rsidRPr="000828F3">
        <w:tab/>
        <w:t>For the purposes of subsection 106(3) of the Act, a project proponent of a</w:t>
      </w:r>
      <w:r w:rsidR="007E4BE2">
        <w:t>n eligible offsets</w:t>
      </w:r>
      <w:r w:rsidRPr="000828F3">
        <w:t xml:space="preserve"> project to which this Determination applies must comply with the monitoring, measurement, record-keeping and reporting requirements of this Part.</w:t>
      </w:r>
    </w:p>
    <w:p w:rsidR="00635D1F" w:rsidRPr="009358F2" w:rsidRDefault="00BC4684" w:rsidP="00E12FAB">
      <w:pPr>
        <w:pStyle w:val="h3Div"/>
      </w:pPr>
      <w:bookmarkStart w:id="27" w:name="_Toc393714354"/>
      <w:r>
        <w:t xml:space="preserve">Division </w:t>
      </w:r>
      <w:r w:rsidR="0060744B">
        <w:t>5.2</w:t>
      </w:r>
      <w:r>
        <w:tab/>
      </w:r>
      <w:r w:rsidR="00635D1F" w:rsidRPr="009358F2">
        <w:t>Monitoring</w:t>
      </w:r>
      <w:r w:rsidR="00591A95">
        <w:t xml:space="preserve"> and measuring</w:t>
      </w:r>
      <w:bookmarkEnd w:id="27"/>
    </w:p>
    <w:p w:rsidR="00635D1F" w:rsidRPr="009358F2" w:rsidRDefault="00253430" w:rsidP="00915673">
      <w:pPr>
        <w:pStyle w:val="h5Section"/>
        <w:rPr>
          <w:noProof/>
        </w:rPr>
      </w:pPr>
      <w:bookmarkStart w:id="28" w:name="_Toc393714355"/>
      <w:r>
        <w:rPr>
          <w:noProof/>
        </w:rPr>
        <w:t>5.2</w:t>
      </w:r>
      <w:r w:rsidR="00915673">
        <w:rPr>
          <w:noProof/>
        </w:rPr>
        <w:tab/>
      </w:r>
      <w:r w:rsidR="00635D1F" w:rsidRPr="009358F2">
        <w:rPr>
          <w:noProof/>
        </w:rPr>
        <w:t>General</w:t>
      </w:r>
      <w:bookmarkEnd w:id="28"/>
    </w:p>
    <w:p w:rsidR="00DE74C1" w:rsidRPr="00DE74C1" w:rsidRDefault="00635D1F" w:rsidP="007D6EB3">
      <w:pPr>
        <w:pStyle w:val="tMain"/>
        <w:spacing w:before="120" w:after="120"/>
      </w:pPr>
      <w:r w:rsidRPr="009358F2">
        <w:tab/>
      </w:r>
      <w:r w:rsidRPr="009358F2">
        <w:tab/>
        <w:t>The project proponent must monitor</w:t>
      </w:r>
      <w:r w:rsidR="00C53BE6">
        <w:t xml:space="preserve"> the project</w:t>
      </w:r>
      <w:r w:rsidRPr="009358F2">
        <w:t xml:space="preserve"> and record the information</w:t>
      </w:r>
      <w:r w:rsidR="00C53BE6">
        <w:t xml:space="preserve"> as</w:t>
      </w:r>
      <w:r w:rsidRPr="009358F2">
        <w:t xml:space="preserve"> specified in this Division.</w:t>
      </w:r>
    </w:p>
    <w:p w:rsidR="00FF7FDD" w:rsidRDefault="00253430" w:rsidP="00637BD3">
      <w:pPr>
        <w:pStyle w:val="h5Section"/>
      </w:pPr>
      <w:bookmarkStart w:id="29" w:name="_Toc393714356"/>
      <w:r>
        <w:t>5.3</w:t>
      </w:r>
      <w:r w:rsidR="00637BD3">
        <w:tab/>
      </w:r>
      <w:r w:rsidR="00E75C4E">
        <w:t>Monitoring</w:t>
      </w:r>
      <w:r w:rsidR="000A08E3">
        <w:t xml:space="preserve"> </w:t>
      </w:r>
      <w:r w:rsidR="003A7BF4">
        <w:t xml:space="preserve">the </w:t>
      </w:r>
      <w:r w:rsidR="00E1156A">
        <w:t>number of animals in each livestock class</w:t>
      </w:r>
      <w:bookmarkEnd w:id="29"/>
    </w:p>
    <w:p w:rsidR="003C3EED" w:rsidRDefault="00CC745A" w:rsidP="00CC745A">
      <w:pPr>
        <w:pStyle w:val="tMain"/>
      </w:pPr>
      <w:r>
        <w:tab/>
      </w:r>
      <w:r w:rsidR="00253430">
        <w:t>(1)</w:t>
      </w:r>
      <w:r>
        <w:tab/>
      </w:r>
      <w:r w:rsidR="000D5D18" w:rsidRPr="003C3EED">
        <w:t xml:space="preserve">For the purposes </w:t>
      </w:r>
      <w:r w:rsidR="00C34FFF">
        <w:t>of entering the input</w:t>
      </w:r>
      <w:r w:rsidR="00700F50">
        <w:t>s</w:t>
      </w:r>
      <w:r w:rsidR="00C34FFF">
        <w:t xml:space="preserve"> required by the Nitrates Calculator,</w:t>
      </w:r>
      <w:r w:rsidR="000D5D18">
        <w:t xml:space="preserve"> </w:t>
      </w:r>
      <w:r w:rsidR="00E75C4E">
        <w:t>the</w:t>
      </w:r>
      <w:r w:rsidR="00FF7FDD">
        <w:t xml:space="preserve"> number</w:t>
      </w:r>
      <w:r w:rsidR="00E75C4E">
        <w:t xml:space="preserve"> of </w:t>
      </w:r>
      <w:r w:rsidR="00E42E00">
        <w:t>animals</w:t>
      </w:r>
      <w:r w:rsidR="00FF7FDD">
        <w:t xml:space="preserve"> in</w:t>
      </w:r>
      <w:r w:rsidR="003C3EED" w:rsidRPr="003C3EED">
        <w:t xml:space="preserve"> </w:t>
      </w:r>
      <w:r w:rsidR="00E42E00">
        <w:t xml:space="preserve">each livestock class </w:t>
      </w:r>
      <w:r w:rsidR="003C3EED" w:rsidRPr="003C3EED">
        <w:t xml:space="preserve">must be </w:t>
      </w:r>
      <w:r w:rsidR="00E1156A">
        <w:t>count</w:t>
      </w:r>
      <w:r w:rsidR="009E596D">
        <w:t xml:space="preserve">ed </w:t>
      </w:r>
      <w:r w:rsidR="00C905F6">
        <w:t>once per</w:t>
      </w:r>
      <w:r w:rsidR="009E596D">
        <w:t xml:space="preserve"> </w:t>
      </w:r>
      <w:r w:rsidR="00F35324">
        <w:t>nitrate supplementation period</w:t>
      </w:r>
      <w:r w:rsidR="009E596D">
        <w:t>.</w:t>
      </w:r>
    </w:p>
    <w:p w:rsidR="00CF13F6" w:rsidRDefault="00CC745A" w:rsidP="00DC22BB">
      <w:pPr>
        <w:pStyle w:val="tMain"/>
      </w:pPr>
      <w:r>
        <w:tab/>
      </w:r>
      <w:r w:rsidR="00253430">
        <w:t>(2)</w:t>
      </w:r>
      <w:r>
        <w:tab/>
      </w:r>
      <w:r w:rsidR="00DC22BB">
        <w:t>The count undertaken for the purposes of subsection (1) must occur between 75 days before the first day of the nitrate supplementation period, and the last day of the nitrate supplementation period.</w:t>
      </w:r>
    </w:p>
    <w:p w:rsidR="00E1156A" w:rsidRPr="00E51183" w:rsidRDefault="00253430" w:rsidP="00E1156A">
      <w:pPr>
        <w:pStyle w:val="h5Section"/>
      </w:pPr>
      <w:bookmarkStart w:id="30" w:name="_Toc393714357"/>
      <w:r>
        <w:t>5.4</w:t>
      </w:r>
      <w:r w:rsidR="00E1156A">
        <w:tab/>
        <w:t>Monitoring the average liveweight of each livestock class</w:t>
      </w:r>
      <w:bookmarkEnd w:id="30"/>
    </w:p>
    <w:p w:rsidR="00C34FFF" w:rsidRDefault="003A7BF4" w:rsidP="00C34FFF">
      <w:pPr>
        <w:pStyle w:val="tMain"/>
      </w:pPr>
      <w:r>
        <w:tab/>
      </w:r>
      <w:r w:rsidR="00253430">
        <w:t>(1)</w:t>
      </w:r>
      <w:r w:rsidRPr="00C34FFF">
        <w:tab/>
      </w:r>
      <w:r w:rsidR="00C34FFF" w:rsidRPr="003C3EED">
        <w:t xml:space="preserve">For the purposes </w:t>
      </w:r>
      <w:r w:rsidR="00C34FFF">
        <w:t>of entering the input</w:t>
      </w:r>
      <w:r w:rsidR="001D1F40">
        <w:t>s</w:t>
      </w:r>
      <w:r w:rsidR="00C34FFF">
        <w:t xml:space="preserve"> required by the Nitrates Calculator, the average liveweight of each livestock class must be determined in accordance with subsection (2).</w:t>
      </w:r>
    </w:p>
    <w:p w:rsidR="006037FF" w:rsidRDefault="00C34FFF" w:rsidP="00C34FFF">
      <w:pPr>
        <w:pStyle w:val="tMain"/>
      </w:pPr>
      <w:r w:rsidRPr="00C34FFF">
        <w:tab/>
      </w:r>
      <w:r w:rsidR="00253430">
        <w:t>(2)</w:t>
      </w:r>
      <w:r w:rsidRPr="00C34FFF">
        <w:tab/>
      </w:r>
      <w:r w:rsidR="006037FF" w:rsidRPr="00C34FFF">
        <w:t xml:space="preserve">The </w:t>
      </w:r>
      <w:r w:rsidR="00096261" w:rsidRPr="00C34FFF">
        <w:t>average</w:t>
      </w:r>
      <w:r w:rsidR="006037FF" w:rsidRPr="00C34FFF">
        <w:t xml:space="preserve"> liveweight of animals in </w:t>
      </w:r>
      <w:r w:rsidR="00FE3176" w:rsidRPr="00C34FFF">
        <w:t xml:space="preserve">each livestock class can </w:t>
      </w:r>
      <w:r w:rsidR="006037FF" w:rsidRPr="00C34FFF">
        <w:t>be determined</w:t>
      </w:r>
      <w:r w:rsidR="00FE3176" w:rsidRPr="00C34FFF">
        <w:t xml:space="preserve"> either</w:t>
      </w:r>
      <w:r w:rsidR="006037FF" w:rsidRPr="00C34FFF">
        <w:t>:</w:t>
      </w:r>
    </w:p>
    <w:p w:rsidR="006037FF" w:rsidRDefault="006037FF" w:rsidP="006037FF">
      <w:pPr>
        <w:pStyle w:val="tPara"/>
      </w:pPr>
      <w:r>
        <w:tab/>
      </w:r>
      <w:r w:rsidR="00253430">
        <w:t>(a)</w:t>
      </w:r>
      <w:r>
        <w:tab/>
      </w:r>
      <w:proofErr w:type="gramStart"/>
      <w:r w:rsidR="00FE3176">
        <w:t>from</w:t>
      </w:r>
      <w:proofErr w:type="gramEnd"/>
      <w:r w:rsidR="00FE3176">
        <w:t xml:space="preserve"> the</w:t>
      </w:r>
      <w:r>
        <w:t xml:space="preserve"> </w:t>
      </w:r>
      <w:r w:rsidR="001D1F40">
        <w:t xml:space="preserve">relevant </w:t>
      </w:r>
      <w:r>
        <w:t>National Inventory Report data</w:t>
      </w:r>
      <w:r w:rsidR="00FE3176">
        <w:t xml:space="preserve"> for that livestock class</w:t>
      </w:r>
      <w:r>
        <w:t>; or</w:t>
      </w:r>
    </w:p>
    <w:p w:rsidR="006037FF" w:rsidRDefault="006037FF" w:rsidP="006037FF">
      <w:pPr>
        <w:pStyle w:val="tPara"/>
      </w:pPr>
      <w:r>
        <w:tab/>
      </w:r>
      <w:r w:rsidR="00253430">
        <w:t>(b)</w:t>
      </w:r>
      <w:r>
        <w:tab/>
      </w:r>
      <w:proofErr w:type="gramStart"/>
      <w:r w:rsidR="00FE3176">
        <w:t>from</w:t>
      </w:r>
      <w:proofErr w:type="gramEnd"/>
      <w:r>
        <w:t xml:space="preserve"> direct measurements of animals in the herd.</w:t>
      </w:r>
      <w:r>
        <w:tab/>
      </w:r>
    </w:p>
    <w:p w:rsidR="00E35C03" w:rsidRDefault="006037FF" w:rsidP="00E35C03">
      <w:pPr>
        <w:pStyle w:val="tMain"/>
      </w:pPr>
      <w:r>
        <w:tab/>
      </w:r>
      <w:r w:rsidR="00253430">
        <w:t>(3)</w:t>
      </w:r>
      <w:r>
        <w:tab/>
        <w:t xml:space="preserve">If </w:t>
      </w:r>
      <w:r w:rsidR="00FE3176">
        <w:t xml:space="preserve">the </w:t>
      </w:r>
      <w:r w:rsidR="00096261">
        <w:t>average</w:t>
      </w:r>
      <w:r w:rsidR="003A7BF4">
        <w:t xml:space="preserve"> liveweight of animals in each livestock class </w:t>
      </w:r>
      <w:r>
        <w:t xml:space="preserve">is determined </w:t>
      </w:r>
      <w:r w:rsidR="00C83DFB">
        <w:t>from</w:t>
      </w:r>
      <w:r w:rsidR="003A43AC">
        <w:t xml:space="preserve"> direct measurements of animals in the herd, the </w:t>
      </w:r>
      <w:proofErr w:type="spellStart"/>
      <w:r>
        <w:t>liveweights</w:t>
      </w:r>
      <w:proofErr w:type="spellEnd"/>
      <w:r>
        <w:t xml:space="preserve"> from which this </w:t>
      </w:r>
      <w:r w:rsidR="003A43AC">
        <w:t>average is derived</w:t>
      </w:r>
      <w:r>
        <w:t xml:space="preserve"> must be measured</w:t>
      </w:r>
      <w:r w:rsidR="00E35C03" w:rsidRPr="00E35C03">
        <w:t xml:space="preserve"> </w:t>
      </w:r>
      <w:r w:rsidR="00AC393D">
        <w:t>once per</w:t>
      </w:r>
      <w:r w:rsidR="00E35C03">
        <w:t xml:space="preserve"> </w:t>
      </w:r>
      <w:r w:rsidR="00F35324">
        <w:t>nitrate supplementation period</w:t>
      </w:r>
      <w:r w:rsidR="00E35C03">
        <w:t>.</w:t>
      </w:r>
    </w:p>
    <w:p w:rsidR="00AC393D" w:rsidRDefault="00AC393D" w:rsidP="00AC393D">
      <w:pPr>
        <w:pStyle w:val="tMain"/>
      </w:pPr>
      <w:r>
        <w:tab/>
      </w:r>
      <w:r w:rsidR="00253430">
        <w:t>(4)</w:t>
      </w:r>
      <w:r>
        <w:tab/>
        <w:t>The measurement undertaken for the purposes of subsection (3) must occur between 75 days before the first day of the nitrate supplementation period, and the last day of the nitrate supplementation period.</w:t>
      </w:r>
    </w:p>
    <w:p w:rsidR="00EA146C" w:rsidRDefault="00253430" w:rsidP="007B72D4">
      <w:pPr>
        <w:pStyle w:val="h5Section"/>
      </w:pPr>
      <w:bookmarkStart w:id="31" w:name="_Toc393714358"/>
      <w:r>
        <w:t>5.5</w:t>
      </w:r>
      <w:r w:rsidR="007B72D4">
        <w:tab/>
      </w:r>
      <w:r w:rsidR="00D40DEB">
        <w:t xml:space="preserve">Monitoring </w:t>
      </w:r>
      <w:r w:rsidR="00A1787F">
        <w:t xml:space="preserve">nitrate </w:t>
      </w:r>
      <w:r w:rsidR="00FD1645">
        <w:t xml:space="preserve">lick block </w:t>
      </w:r>
      <w:r w:rsidR="00D40DEB">
        <w:t>consumption</w:t>
      </w:r>
      <w:bookmarkEnd w:id="31"/>
    </w:p>
    <w:p w:rsidR="00561ED8" w:rsidRDefault="00561ED8" w:rsidP="00561ED8">
      <w:pPr>
        <w:pStyle w:val="tMain"/>
      </w:pPr>
      <w:r>
        <w:tab/>
      </w:r>
      <w:r w:rsidR="00253430">
        <w:t>(1)</w:t>
      </w:r>
      <w:r>
        <w:tab/>
        <w:t xml:space="preserve">The </w:t>
      </w:r>
      <w:r w:rsidR="001E2A46">
        <w:t xml:space="preserve">opening stock and closing stock of </w:t>
      </w:r>
      <w:r w:rsidR="00700F50">
        <w:t>nitrate</w:t>
      </w:r>
      <w:r w:rsidR="001E2A46">
        <w:t xml:space="preserve"> lick blocks must be determined for each </w:t>
      </w:r>
      <w:r w:rsidR="00F35324">
        <w:t>nitrate supplementation period</w:t>
      </w:r>
      <w:r>
        <w:t>.</w:t>
      </w:r>
    </w:p>
    <w:p w:rsidR="00714DB1" w:rsidRDefault="00561ED8" w:rsidP="00561ED8">
      <w:pPr>
        <w:pStyle w:val="tMain"/>
      </w:pPr>
      <w:r>
        <w:tab/>
      </w:r>
      <w:r w:rsidR="00253430">
        <w:t>(2)</w:t>
      </w:r>
      <w:r>
        <w:tab/>
      </w:r>
      <w:r w:rsidR="00714DB1">
        <w:t xml:space="preserve">The closing stock must take account of </w:t>
      </w:r>
      <w:r w:rsidR="00700F50">
        <w:t xml:space="preserve">nitrate </w:t>
      </w:r>
      <w:r w:rsidR="00714DB1">
        <w:t>lick blocks that were fed to the herd and partially consumed by weighing remnant lick blocks.</w:t>
      </w:r>
    </w:p>
    <w:p w:rsidR="00326C80" w:rsidRDefault="0002508D" w:rsidP="0002508D">
      <w:pPr>
        <w:pStyle w:val="tMain"/>
      </w:pPr>
      <w:r>
        <w:tab/>
      </w:r>
      <w:r w:rsidR="00253430">
        <w:t>(3)</w:t>
      </w:r>
      <w:r>
        <w:tab/>
        <w:t>In this section</w:t>
      </w:r>
      <w:r w:rsidR="00326C80">
        <w:t>:</w:t>
      </w:r>
      <w:r>
        <w:t xml:space="preserve"> </w:t>
      </w:r>
    </w:p>
    <w:p w:rsidR="0002508D" w:rsidRDefault="00326C80" w:rsidP="00326C80">
      <w:pPr>
        <w:pStyle w:val="tPara"/>
      </w:pPr>
      <w:r>
        <w:rPr>
          <w:b/>
          <w:i/>
        </w:rPr>
        <w:tab/>
      </w:r>
      <w:r w:rsidR="00253430">
        <w:t>(a)</w:t>
      </w:r>
      <w:r>
        <w:rPr>
          <w:b/>
          <w:i/>
        </w:rPr>
        <w:tab/>
      </w:r>
      <w:proofErr w:type="gramStart"/>
      <w:r w:rsidR="0002508D" w:rsidRPr="00BA71C8">
        <w:rPr>
          <w:b/>
          <w:i/>
        </w:rPr>
        <w:t>opening</w:t>
      </w:r>
      <w:proofErr w:type="gramEnd"/>
      <w:r w:rsidR="0002508D" w:rsidRPr="00BA71C8">
        <w:rPr>
          <w:b/>
          <w:i/>
        </w:rPr>
        <w:t xml:space="preserve"> stock</w:t>
      </w:r>
      <w:r w:rsidR="0002508D">
        <w:t xml:space="preserve"> means the </w:t>
      </w:r>
      <w:r w:rsidR="004B605A">
        <w:t xml:space="preserve">number and </w:t>
      </w:r>
      <w:r w:rsidR="0002508D">
        <w:t xml:space="preserve">weight, in kilograms, of nitrate </w:t>
      </w:r>
      <w:r w:rsidR="00700F50">
        <w:t xml:space="preserve">lick blocks </w:t>
      </w:r>
      <w:r w:rsidR="0002508D">
        <w:t xml:space="preserve">purchased before or during the </w:t>
      </w:r>
      <w:r w:rsidR="00F35324">
        <w:t>nitrate supplementation period</w:t>
      </w:r>
      <w:r w:rsidR="004B605A">
        <w:t>;</w:t>
      </w:r>
    </w:p>
    <w:p w:rsidR="0002508D" w:rsidRDefault="00326C80" w:rsidP="00326C80">
      <w:pPr>
        <w:pStyle w:val="tPara"/>
      </w:pPr>
      <w:r>
        <w:tab/>
      </w:r>
      <w:r w:rsidR="00253430">
        <w:t>(b)</w:t>
      </w:r>
      <w:r>
        <w:tab/>
      </w:r>
      <w:proofErr w:type="gramStart"/>
      <w:r w:rsidR="0002508D">
        <w:rPr>
          <w:b/>
          <w:i/>
        </w:rPr>
        <w:t>clos</w:t>
      </w:r>
      <w:r w:rsidR="0002508D" w:rsidRPr="00BA71C8">
        <w:rPr>
          <w:b/>
          <w:i/>
        </w:rPr>
        <w:t>ing</w:t>
      </w:r>
      <w:proofErr w:type="gramEnd"/>
      <w:r w:rsidR="0002508D" w:rsidRPr="00BA71C8">
        <w:rPr>
          <w:b/>
          <w:i/>
        </w:rPr>
        <w:t xml:space="preserve"> stock</w:t>
      </w:r>
      <w:r w:rsidR="0002508D">
        <w:t xml:space="preserve"> means </w:t>
      </w:r>
      <w:r w:rsidR="00B31636">
        <w:t xml:space="preserve">the </w:t>
      </w:r>
      <w:r w:rsidR="004B605A">
        <w:t xml:space="preserve">number and </w:t>
      </w:r>
      <w:r w:rsidR="0002508D">
        <w:t xml:space="preserve">weight, in kilograms, of the nitrate </w:t>
      </w:r>
      <w:r w:rsidR="00700F50">
        <w:t>lick blocks</w:t>
      </w:r>
      <w:r w:rsidR="0002508D">
        <w:t>:</w:t>
      </w:r>
    </w:p>
    <w:p w:rsidR="0002508D" w:rsidRDefault="00326C80" w:rsidP="00326C80">
      <w:pPr>
        <w:pStyle w:val="tSubpara"/>
      </w:pPr>
      <w:r>
        <w:tab/>
      </w:r>
      <w:r w:rsidR="00253430">
        <w:t>(</w:t>
      </w:r>
      <w:proofErr w:type="spellStart"/>
      <w:r w:rsidR="00253430">
        <w:t>i</w:t>
      </w:r>
      <w:proofErr w:type="spellEnd"/>
      <w:r w:rsidR="00253430">
        <w:t>)</w:t>
      </w:r>
      <w:r>
        <w:tab/>
      </w:r>
      <w:proofErr w:type="gramStart"/>
      <w:r w:rsidR="0002508D">
        <w:t>purchased</w:t>
      </w:r>
      <w:proofErr w:type="gramEnd"/>
      <w:r w:rsidR="0002508D">
        <w:t xml:space="preserve"> before or during a given </w:t>
      </w:r>
      <w:r w:rsidR="00F35324">
        <w:t>nitrate supplementation period</w:t>
      </w:r>
      <w:r w:rsidR="0002508D">
        <w:t>; and</w:t>
      </w:r>
    </w:p>
    <w:p w:rsidR="0002508D" w:rsidRDefault="00326C80" w:rsidP="00326C80">
      <w:pPr>
        <w:pStyle w:val="tSubpara"/>
      </w:pPr>
      <w:r>
        <w:tab/>
      </w:r>
      <w:r w:rsidR="00253430">
        <w:t>(ii)</w:t>
      </w:r>
      <w:r>
        <w:tab/>
      </w:r>
      <w:proofErr w:type="gramStart"/>
      <w:r w:rsidR="0002508D">
        <w:t>not</w:t>
      </w:r>
      <w:proofErr w:type="gramEnd"/>
      <w:r w:rsidR="0002508D">
        <w:t xml:space="preserve"> consumed by </w:t>
      </w:r>
      <w:r w:rsidR="00EE3A7B">
        <w:t>the</w:t>
      </w:r>
      <w:r w:rsidR="0002508D">
        <w:t xml:space="preserve"> herd.</w:t>
      </w:r>
    </w:p>
    <w:p w:rsidR="00A1787F" w:rsidRDefault="00253430" w:rsidP="00915673">
      <w:pPr>
        <w:pStyle w:val="h5Section"/>
      </w:pPr>
      <w:bookmarkStart w:id="32" w:name="_Toc393714359"/>
      <w:r>
        <w:t>5.6</w:t>
      </w:r>
      <w:r w:rsidR="00915673">
        <w:tab/>
      </w:r>
      <w:r w:rsidR="00A1787F">
        <w:t xml:space="preserve">Monitoring </w:t>
      </w:r>
      <w:r w:rsidR="006B37C4">
        <w:t>the</w:t>
      </w:r>
      <w:r w:rsidR="00A1787F">
        <w:t xml:space="preserve"> consumption</w:t>
      </w:r>
      <w:r w:rsidR="006B37C4">
        <w:t xml:space="preserve"> of non-protein nitrogen that is not nitrate</w:t>
      </w:r>
      <w:bookmarkEnd w:id="32"/>
    </w:p>
    <w:p w:rsidR="008854C2" w:rsidRDefault="008854C2" w:rsidP="008854C2">
      <w:pPr>
        <w:pStyle w:val="tMain"/>
      </w:pPr>
      <w:r>
        <w:tab/>
      </w:r>
      <w:r w:rsidR="00253430">
        <w:t>(1)</w:t>
      </w:r>
      <w:r>
        <w:tab/>
        <w:t xml:space="preserve">The opening stock and closing stock of non-protein nitrogen supplements </w:t>
      </w:r>
      <w:r w:rsidR="006B37C4">
        <w:t xml:space="preserve">that are not nitrates </w:t>
      </w:r>
      <w:r>
        <w:t>must be determined for each nitrate supplementation period.</w:t>
      </w:r>
    </w:p>
    <w:p w:rsidR="008854C2" w:rsidRDefault="008854C2" w:rsidP="008854C2">
      <w:pPr>
        <w:pStyle w:val="tMain"/>
      </w:pPr>
      <w:r>
        <w:tab/>
      </w:r>
      <w:r w:rsidR="00253430">
        <w:t>(2)</w:t>
      </w:r>
      <w:r>
        <w:tab/>
        <w:t xml:space="preserve">The closing stock </w:t>
      </w:r>
      <w:r w:rsidR="006B37C4">
        <w:t xml:space="preserve">mentioned in subsection (1) </w:t>
      </w:r>
      <w:r>
        <w:t xml:space="preserve">must take account of </w:t>
      </w:r>
      <w:r w:rsidR="006B37C4">
        <w:t>non-protein nitrogen supplements that are not nitrates</w:t>
      </w:r>
      <w:r>
        <w:t xml:space="preserve"> that were fed to the herd and partially consumed by weighing remnant </w:t>
      </w:r>
      <w:r w:rsidR="006B37C4">
        <w:t>supplements</w:t>
      </w:r>
      <w:r>
        <w:t>.</w:t>
      </w:r>
    </w:p>
    <w:p w:rsidR="008854C2" w:rsidRDefault="008854C2" w:rsidP="008854C2">
      <w:pPr>
        <w:pStyle w:val="tMain"/>
      </w:pPr>
      <w:r>
        <w:tab/>
      </w:r>
      <w:r w:rsidR="00253430">
        <w:t>(3)</w:t>
      </w:r>
      <w:r>
        <w:tab/>
        <w:t xml:space="preserve">In this section: </w:t>
      </w:r>
    </w:p>
    <w:p w:rsidR="008854C2" w:rsidRDefault="008854C2" w:rsidP="008854C2">
      <w:pPr>
        <w:pStyle w:val="tPara"/>
      </w:pPr>
      <w:r>
        <w:rPr>
          <w:b/>
          <w:i/>
        </w:rPr>
        <w:tab/>
      </w:r>
      <w:r w:rsidR="00253430">
        <w:t>(a)</w:t>
      </w:r>
      <w:r>
        <w:rPr>
          <w:b/>
          <w:i/>
        </w:rPr>
        <w:tab/>
      </w:r>
      <w:proofErr w:type="gramStart"/>
      <w:r w:rsidRPr="00BA71C8">
        <w:rPr>
          <w:b/>
          <w:i/>
        </w:rPr>
        <w:t>opening</w:t>
      </w:r>
      <w:proofErr w:type="gramEnd"/>
      <w:r w:rsidRPr="00BA71C8">
        <w:rPr>
          <w:b/>
          <w:i/>
        </w:rPr>
        <w:t xml:space="preserve"> stock</w:t>
      </w:r>
      <w:r>
        <w:t xml:space="preserve"> means the weight, in kilograms, of </w:t>
      </w:r>
      <w:r w:rsidR="006B37C4">
        <w:t>non-protein nitrogen supplements that are not nitrates</w:t>
      </w:r>
      <w:r>
        <w:t xml:space="preserve"> purchased before or during the nitrate supplementation period;</w:t>
      </w:r>
    </w:p>
    <w:p w:rsidR="008854C2" w:rsidRDefault="008854C2" w:rsidP="008854C2">
      <w:pPr>
        <w:pStyle w:val="tPara"/>
      </w:pPr>
      <w:r>
        <w:tab/>
      </w:r>
      <w:r w:rsidR="00253430">
        <w:t>(b)</w:t>
      </w:r>
      <w:r>
        <w:tab/>
      </w:r>
      <w:proofErr w:type="gramStart"/>
      <w:r>
        <w:rPr>
          <w:b/>
          <w:i/>
        </w:rPr>
        <w:t>clos</w:t>
      </w:r>
      <w:r w:rsidRPr="00BA71C8">
        <w:rPr>
          <w:b/>
          <w:i/>
        </w:rPr>
        <w:t>ing</w:t>
      </w:r>
      <w:proofErr w:type="gramEnd"/>
      <w:r w:rsidRPr="00BA71C8">
        <w:rPr>
          <w:b/>
          <w:i/>
        </w:rPr>
        <w:t xml:space="preserve"> stock</w:t>
      </w:r>
      <w:r>
        <w:t xml:space="preserve"> means </w:t>
      </w:r>
      <w:r w:rsidR="006B37C4">
        <w:t>the</w:t>
      </w:r>
      <w:r>
        <w:t xml:space="preserve"> weight, in kilograms, of </w:t>
      </w:r>
      <w:r w:rsidR="006B37C4">
        <w:t>non-protein nitrogen supplements that are not nitrates</w:t>
      </w:r>
      <w:r>
        <w:t>:</w:t>
      </w:r>
    </w:p>
    <w:p w:rsidR="008854C2" w:rsidRDefault="008854C2" w:rsidP="008854C2">
      <w:pPr>
        <w:pStyle w:val="tSubpara"/>
      </w:pPr>
      <w:r>
        <w:tab/>
      </w:r>
      <w:r w:rsidR="00253430">
        <w:t>(</w:t>
      </w:r>
      <w:proofErr w:type="spellStart"/>
      <w:r w:rsidR="00253430">
        <w:t>i</w:t>
      </w:r>
      <w:proofErr w:type="spellEnd"/>
      <w:r w:rsidR="00253430">
        <w:t>)</w:t>
      </w:r>
      <w:r>
        <w:tab/>
      </w:r>
      <w:proofErr w:type="gramStart"/>
      <w:r>
        <w:t>purchased</w:t>
      </w:r>
      <w:proofErr w:type="gramEnd"/>
      <w:r>
        <w:t xml:space="preserve"> before or during a given nitrate supplementation period; and</w:t>
      </w:r>
    </w:p>
    <w:p w:rsidR="008854C2" w:rsidRPr="008854C2" w:rsidRDefault="008854C2" w:rsidP="00F55DEF">
      <w:pPr>
        <w:pStyle w:val="tSubpara"/>
      </w:pPr>
      <w:r>
        <w:tab/>
      </w:r>
      <w:r w:rsidR="00253430">
        <w:t>(ii)</w:t>
      </w:r>
      <w:r>
        <w:tab/>
      </w:r>
      <w:proofErr w:type="gramStart"/>
      <w:r>
        <w:t>not</w:t>
      </w:r>
      <w:proofErr w:type="gramEnd"/>
      <w:r>
        <w:t xml:space="preserve"> consumed by the herd.</w:t>
      </w:r>
    </w:p>
    <w:p w:rsidR="0037501A" w:rsidRDefault="00253430" w:rsidP="00A1787F">
      <w:pPr>
        <w:pStyle w:val="h5Section"/>
      </w:pPr>
      <w:bookmarkStart w:id="33" w:name="_Toc393714360"/>
      <w:r>
        <w:t>5.7</w:t>
      </w:r>
      <w:r w:rsidR="00A1787F">
        <w:tab/>
      </w:r>
      <w:r w:rsidR="0037501A" w:rsidRPr="001F18B8">
        <w:t>Quality assurance and quality control</w:t>
      </w:r>
      <w:bookmarkEnd w:id="33"/>
    </w:p>
    <w:p w:rsidR="000B1C7C" w:rsidRPr="000B1C7C" w:rsidRDefault="00A60521" w:rsidP="00135D22">
      <w:pPr>
        <w:pStyle w:val="tMain"/>
        <w:rPr>
          <w:rFonts w:eastAsia="Calibri"/>
        </w:rPr>
      </w:pPr>
      <w:r>
        <w:rPr>
          <w:rFonts w:eastAsia="Calibri"/>
        </w:rPr>
        <w:tab/>
      </w:r>
      <w:r w:rsidR="0060744B">
        <w:rPr>
          <w:rFonts w:eastAsia="Calibri"/>
        </w:rPr>
        <w:t>(1)</w:t>
      </w:r>
      <w:r>
        <w:rPr>
          <w:rFonts w:eastAsia="Calibri"/>
        </w:rPr>
        <w:tab/>
        <w:t>Each</w:t>
      </w:r>
      <w:r w:rsidR="000B1C7C" w:rsidRPr="000B1C7C">
        <w:rPr>
          <w:rFonts w:eastAsia="Calibri"/>
        </w:rPr>
        <w:t xml:space="preserve"> </w:t>
      </w:r>
      <w:r w:rsidR="000B1C7C">
        <w:rPr>
          <w:rFonts w:eastAsia="Calibri"/>
        </w:rPr>
        <w:t xml:space="preserve">measuring or </w:t>
      </w:r>
      <w:r>
        <w:rPr>
          <w:rFonts w:eastAsia="Calibri"/>
        </w:rPr>
        <w:t>monitoring instrument</w:t>
      </w:r>
      <w:r w:rsidR="000B1C7C" w:rsidRPr="000B1C7C">
        <w:rPr>
          <w:rFonts w:eastAsia="Calibri"/>
        </w:rPr>
        <w:t xml:space="preserve"> use</w:t>
      </w:r>
      <w:r w:rsidR="000B277E">
        <w:rPr>
          <w:rFonts w:eastAsia="Calibri"/>
        </w:rPr>
        <w:t>d to collect data used in Part</w:t>
      </w:r>
      <w:r w:rsidR="000B1C7C">
        <w:rPr>
          <w:rFonts w:eastAsia="Calibri"/>
        </w:rPr>
        <w:t xml:space="preserve"> </w:t>
      </w:r>
      <w:r w:rsidR="0060744B">
        <w:rPr>
          <w:rFonts w:eastAsia="Calibri"/>
        </w:rPr>
        <w:t>4</w:t>
      </w:r>
      <w:r w:rsidR="000B277E">
        <w:rPr>
          <w:rFonts w:eastAsia="Calibri"/>
        </w:rPr>
        <w:t xml:space="preserve"> </w:t>
      </w:r>
      <w:r w:rsidR="000B1C7C" w:rsidRPr="000B1C7C">
        <w:rPr>
          <w:rFonts w:eastAsia="Calibri"/>
        </w:rPr>
        <w:t>must be inspected, maintained and calibrated</w:t>
      </w:r>
      <w:r w:rsidR="000B1C7C">
        <w:rPr>
          <w:rFonts w:eastAsia="Calibri"/>
        </w:rPr>
        <w:t xml:space="preserve"> in accordance with</w:t>
      </w:r>
      <w:r w:rsidR="000B1C7C" w:rsidRPr="000B1C7C">
        <w:rPr>
          <w:rFonts w:eastAsia="Calibri"/>
        </w:rPr>
        <w:t>:</w:t>
      </w:r>
    </w:p>
    <w:p w:rsidR="000B1C7C" w:rsidRPr="000B1C7C" w:rsidRDefault="000B1C7C" w:rsidP="00135D22">
      <w:pPr>
        <w:pStyle w:val="tPara"/>
        <w:rPr>
          <w:rFonts w:eastAsia="Calibri"/>
        </w:rPr>
      </w:pPr>
      <w:r>
        <w:rPr>
          <w:rFonts w:eastAsia="Calibri"/>
        </w:rPr>
        <w:tab/>
      </w:r>
      <w:r w:rsidR="0060744B">
        <w:rPr>
          <w:rFonts w:eastAsia="Calibri"/>
        </w:rPr>
        <w:t>(a)</w:t>
      </w:r>
      <w:r>
        <w:rPr>
          <w:rFonts w:eastAsia="Calibri"/>
        </w:rPr>
        <w:tab/>
      </w:r>
      <w:proofErr w:type="gramStart"/>
      <w:r w:rsidRPr="000B1C7C">
        <w:rPr>
          <w:rFonts w:eastAsia="Calibri"/>
        </w:rPr>
        <w:t>the</w:t>
      </w:r>
      <w:proofErr w:type="gramEnd"/>
      <w:r w:rsidRPr="000B1C7C">
        <w:rPr>
          <w:rFonts w:eastAsia="Calibri"/>
        </w:rPr>
        <w:t xml:space="preserve"> product litera</w:t>
      </w:r>
      <w:r>
        <w:rPr>
          <w:rFonts w:eastAsia="Calibri"/>
        </w:rPr>
        <w:t>ture that accompanies the instrument; or</w:t>
      </w:r>
    </w:p>
    <w:p w:rsidR="000B1C7C" w:rsidRDefault="00A60521" w:rsidP="00135D22">
      <w:pPr>
        <w:pStyle w:val="tPara"/>
        <w:rPr>
          <w:rFonts w:eastAsia="Calibri"/>
        </w:rPr>
      </w:pPr>
      <w:r>
        <w:rPr>
          <w:rFonts w:eastAsia="Calibri"/>
        </w:rPr>
        <w:tab/>
      </w:r>
      <w:r w:rsidR="0060744B">
        <w:rPr>
          <w:rFonts w:eastAsia="Calibri"/>
        </w:rPr>
        <w:t>(b)</w:t>
      </w:r>
      <w:r>
        <w:rPr>
          <w:rFonts w:eastAsia="Calibri"/>
        </w:rPr>
        <w:tab/>
      </w:r>
      <w:proofErr w:type="gramStart"/>
      <w:r w:rsidR="000B1C7C">
        <w:rPr>
          <w:rFonts w:eastAsia="Calibri"/>
        </w:rPr>
        <w:t>the</w:t>
      </w:r>
      <w:proofErr w:type="gramEnd"/>
      <w:r>
        <w:rPr>
          <w:rFonts w:eastAsia="Calibri"/>
        </w:rPr>
        <w:t xml:space="preserve"> applicable standard</w:t>
      </w:r>
      <w:r w:rsidR="00870D30">
        <w:rPr>
          <w:rFonts w:eastAsia="Calibri"/>
        </w:rPr>
        <w:t>.</w:t>
      </w:r>
    </w:p>
    <w:p w:rsidR="00A60521" w:rsidRDefault="00A60521" w:rsidP="00135D22">
      <w:pPr>
        <w:pStyle w:val="tMain"/>
        <w:rPr>
          <w:rFonts w:eastAsia="Calibri"/>
        </w:rPr>
      </w:pPr>
      <w:r>
        <w:rPr>
          <w:rFonts w:eastAsia="Calibri"/>
        </w:rPr>
        <w:tab/>
      </w:r>
      <w:r w:rsidR="0060744B">
        <w:rPr>
          <w:rFonts w:eastAsia="Calibri"/>
        </w:rPr>
        <w:t>(2)</w:t>
      </w:r>
      <w:r>
        <w:rPr>
          <w:rFonts w:eastAsia="Calibri"/>
        </w:rPr>
        <w:tab/>
        <w:t xml:space="preserve">In this section, </w:t>
      </w:r>
      <w:r>
        <w:rPr>
          <w:rFonts w:eastAsia="Calibri"/>
          <w:b/>
          <w:i/>
        </w:rPr>
        <w:t xml:space="preserve">standard </w:t>
      </w:r>
      <w:r w:rsidR="00870D30">
        <w:rPr>
          <w:rFonts w:eastAsia="Calibri"/>
        </w:rPr>
        <w:t>means</w:t>
      </w:r>
      <w:r>
        <w:rPr>
          <w:rFonts w:eastAsia="Calibri"/>
        </w:rPr>
        <w:t>:</w:t>
      </w:r>
    </w:p>
    <w:p w:rsidR="00A60521" w:rsidRPr="00A60521" w:rsidRDefault="00A60521" w:rsidP="00135D22">
      <w:pPr>
        <w:pStyle w:val="tPara"/>
        <w:rPr>
          <w:rFonts w:eastAsia="Calibri"/>
        </w:rPr>
      </w:pPr>
      <w:r>
        <w:rPr>
          <w:rFonts w:eastAsia="Calibri"/>
          <w:b/>
          <w:bCs/>
          <w:i/>
          <w:iCs/>
        </w:rPr>
        <w:tab/>
      </w:r>
      <w:r w:rsidR="0060744B">
        <w:rPr>
          <w:rFonts w:eastAsia="Calibri"/>
          <w:bCs/>
          <w:iCs/>
        </w:rPr>
        <w:t>(a)</w:t>
      </w:r>
      <w:r w:rsidRPr="00A60521">
        <w:rPr>
          <w:rFonts w:eastAsia="Calibri"/>
          <w:bCs/>
          <w:iCs/>
        </w:rPr>
        <w:tab/>
      </w:r>
      <w:proofErr w:type="gramStart"/>
      <w:r w:rsidR="00870D30">
        <w:rPr>
          <w:rFonts w:eastAsia="Calibri"/>
          <w:bCs/>
          <w:iCs/>
        </w:rPr>
        <w:t>an</w:t>
      </w:r>
      <w:proofErr w:type="gramEnd"/>
      <w:r w:rsidR="00870D30">
        <w:rPr>
          <w:rFonts w:eastAsia="Calibri"/>
          <w:bCs/>
          <w:iCs/>
        </w:rPr>
        <w:t xml:space="preserve"> </w:t>
      </w:r>
      <w:r w:rsidRPr="00A60521">
        <w:rPr>
          <w:rFonts w:eastAsia="Calibri"/>
          <w:bCs/>
          <w:iCs/>
        </w:rPr>
        <w:t xml:space="preserve">Australian Standard </w:t>
      </w:r>
      <w:r w:rsidRPr="00A60521">
        <w:rPr>
          <w:rFonts w:eastAsia="Calibri"/>
        </w:rPr>
        <w:t>published by Standards Australia Limited</w:t>
      </w:r>
      <w:r>
        <w:rPr>
          <w:rFonts w:eastAsia="Calibri"/>
        </w:rPr>
        <w:t xml:space="preserve"> and</w:t>
      </w:r>
      <w:r w:rsidRPr="00A60521">
        <w:rPr>
          <w:rFonts w:eastAsia="Calibri"/>
        </w:rPr>
        <w:t xml:space="preserve"> denoted by the letters "AS</w:t>
      </w:r>
      <w:r>
        <w:rPr>
          <w:rFonts w:eastAsia="Calibri"/>
        </w:rPr>
        <w:t>" and identifying numbers or letters;</w:t>
      </w:r>
    </w:p>
    <w:p w:rsidR="00A60521" w:rsidRPr="00A60521" w:rsidRDefault="00A60521" w:rsidP="00135D22">
      <w:pPr>
        <w:pStyle w:val="tPara"/>
        <w:rPr>
          <w:rFonts w:eastAsia="Calibri"/>
        </w:rPr>
      </w:pPr>
      <w:r>
        <w:rPr>
          <w:rFonts w:eastAsia="Calibri"/>
          <w:b/>
          <w:bCs/>
          <w:i/>
          <w:iCs/>
        </w:rPr>
        <w:tab/>
      </w:r>
      <w:r w:rsidR="0060744B">
        <w:rPr>
          <w:rFonts w:eastAsia="Calibri"/>
          <w:bCs/>
          <w:iCs/>
        </w:rPr>
        <w:t>(b)</w:t>
      </w:r>
      <w:r w:rsidRPr="00A60521">
        <w:rPr>
          <w:rFonts w:eastAsia="Calibri"/>
          <w:bCs/>
          <w:iCs/>
        </w:rPr>
        <w:tab/>
      </w:r>
      <w:proofErr w:type="gramStart"/>
      <w:r w:rsidR="00870D30">
        <w:rPr>
          <w:rFonts w:eastAsia="Calibri"/>
          <w:bCs/>
          <w:iCs/>
        </w:rPr>
        <w:t>an</w:t>
      </w:r>
      <w:proofErr w:type="gramEnd"/>
      <w:r w:rsidR="00870D30">
        <w:rPr>
          <w:rFonts w:eastAsia="Calibri"/>
          <w:bCs/>
          <w:iCs/>
        </w:rPr>
        <w:t xml:space="preserve"> </w:t>
      </w:r>
      <w:r w:rsidRPr="00A60521">
        <w:rPr>
          <w:rFonts w:eastAsia="Calibri"/>
          <w:bCs/>
          <w:iCs/>
        </w:rPr>
        <w:t xml:space="preserve">Australian/New Zealand Standard </w:t>
      </w:r>
      <w:r w:rsidRPr="00A60521">
        <w:rPr>
          <w:rFonts w:eastAsia="Calibri"/>
        </w:rPr>
        <w:t>jointly published by Standards Australia Limited and Standards New Zealand</w:t>
      </w:r>
      <w:r>
        <w:rPr>
          <w:rFonts w:eastAsia="Calibri"/>
        </w:rPr>
        <w:t xml:space="preserve"> and</w:t>
      </w:r>
      <w:r w:rsidRPr="00A60521">
        <w:rPr>
          <w:rFonts w:eastAsia="Calibri"/>
        </w:rPr>
        <w:t xml:space="preserve"> denoted by the letters “AS/NZS” and ide</w:t>
      </w:r>
      <w:r>
        <w:rPr>
          <w:rFonts w:eastAsia="Calibri"/>
        </w:rPr>
        <w:t>ntifying numbers or</w:t>
      </w:r>
      <w:r w:rsidRPr="00A60521">
        <w:rPr>
          <w:rFonts w:eastAsia="Calibri"/>
        </w:rPr>
        <w:t xml:space="preserve"> letters</w:t>
      </w:r>
      <w:r w:rsidR="00CE6220">
        <w:rPr>
          <w:rFonts w:eastAsia="Calibri"/>
        </w:rPr>
        <w:t>;</w:t>
      </w:r>
    </w:p>
    <w:p w:rsidR="00B96BBC" w:rsidRDefault="00A60521" w:rsidP="00135D22">
      <w:pPr>
        <w:pStyle w:val="tPara"/>
        <w:rPr>
          <w:rFonts w:eastAsia="Calibri"/>
        </w:rPr>
      </w:pPr>
      <w:r>
        <w:rPr>
          <w:rFonts w:eastAsia="Calibri"/>
          <w:b/>
          <w:bCs/>
          <w:i/>
          <w:iCs/>
        </w:rPr>
        <w:tab/>
      </w:r>
      <w:r w:rsidR="0060744B">
        <w:rPr>
          <w:rFonts w:eastAsia="Calibri"/>
          <w:bCs/>
          <w:iCs/>
        </w:rPr>
        <w:t>(c)</w:t>
      </w:r>
      <w:r w:rsidRPr="00A60521">
        <w:rPr>
          <w:rFonts w:eastAsia="Calibri"/>
          <w:bCs/>
          <w:iCs/>
        </w:rPr>
        <w:tab/>
      </w:r>
      <w:r w:rsidR="00870D30">
        <w:rPr>
          <w:rFonts w:eastAsia="Calibri"/>
          <w:bCs/>
          <w:iCs/>
        </w:rPr>
        <w:t xml:space="preserve">an </w:t>
      </w:r>
      <w:r w:rsidRPr="00A60521">
        <w:rPr>
          <w:rFonts w:eastAsia="Calibri"/>
          <w:bCs/>
          <w:iCs/>
        </w:rPr>
        <w:t xml:space="preserve">ISO Standard </w:t>
      </w:r>
      <w:r w:rsidRPr="00A60521">
        <w:rPr>
          <w:rFonts w:eastAsia="Calibri"/>
        </w:rPr>
        <w:t>published by the International Orga</w:t>
      </w:r>
      <w:r w:rsidR="00CB3D12">
        <w:rPr>
          <w:rFonts w:eastAsia="Calibri"/>
        </w:rPr>
        <w:t>nization for Standard</w:t>
      </w:r>
      <w:r w:rsidR="00724566">
        <w:rPr>
          <w:rFonts w:eastAsia="Calibri"/>
        </w:rPr>
        <w:t>ization and</w:t>
      </w:r>
      <w:r w:rsidRPr="00A60521">
        <w:rPr>
          <w:rFonts w:eastAsia="Calibri"/>
        </w:rPr>
        <w:t xml:space="preserve"> denoted by the letters "ISO" and identifying nu</w:t>
      </w:r>
      <w:r w:rsidR="00724566">
        <w:rPr>
          <w:rFonts w:eastAsia="Calibri"/>
        </w:rPr>
        <w:t xml:space="preserve">mbers </w:t>
      </w:r>
      <w:r w:rsidR="00CE6220">
        <w:rPr>
          <w:rFonts w:eastAsia="Calibri"/>
        </w:rPr>
        <w:t>or letters; or</w:t>
      </w:r>
    </w:p>
    <w:p w:rsidR="00CE6220" w:rsidRDefault="00CE6220" w:rsidP="00135D22">
      <w:pPr>
        <w:pStyle w:val="tPara"/>
        <w:rPr>
          <w:rFonts w:eastAsia="Calibri"/>
        </w:rPr>
      </w:pPr>
      <w:r>
        <w:rPr>
          <w:rFonts w:eastAsia="Calibri"/>
        </w:rPr>
        <w:tab/>
      </w:r>
      <w:r w:rsidR="0060744B">
        <w:rPr>
          <w:rFonts w:eastAsia="Calibri"/>
        </w:rPr>
        <w:t>(d)</w:t>
      </w:r>
      <w:r>
        <w:rPr>
          <w:rFonts w:eastAsia="Calibri"/>
        </w:rPr>
        <w:tab/>
      </w:r>
      <w:proofErr w:type="gramStart"/>
      <w:r>
        <w:rPr>
          <w:rFonts w:eastAsia="Calibri"/>
        </w:rPr>
        <w:t>any</w:t>
      </w:r>
      <w:proofErr w:type="gramEnd"/>
      <w:r>
        <w:rPr>
          <w:rFonts w:eastAsia="Calibri"/>
        </w:rPr>
        <w:t xml:space="preserve"> other equivalent document.</w:t>
      </w:r>
    </w:p>
    <w:p w:rsidR="00953156" w:rsidRDefault="000121B3" w:rsidP="00E12FAB">
      <w:pPr>
        <w:pStyle w:val="h3Div"/>
      </w:pPr>
      <w:bookmarkStart w:id="34" w:name="_Toc393714361"/>
      <w:r>
        <w:t xml:space="preserve">Division </w:t>
      </w:r>
      <w:r w:rsidR="0060744B">
        <w:t>5.3</w:t>
      </w:r>
      <w:r>
        <w:tab/>
        <w:t>Record</w:t>
      </w:r>
      <w:r w:rsidR="00132E6A">
        <w:t>-</w:t>
      </w:r>
      <w:r>
        <w:t>keeping requirements</w:t>
      </w:r>
      <w:bookmarkEnd w:id="34"/>
    </w:p>
    <w:p w:rsidR="00E71C46" w:rsidRDefault="00253430" w:rsidP="00915673">
      <w:pPr>
        <w:pStyle w:val="h5Section"/>
      </w:pPr>
      <w:bookmarkStart w:id="35" w:name="_Toc393714362"/>
      <w:r>
        <w:t>5.8</w:t>
      </w:r>
      <w:r w:rsidR="00915673">
        <w:tab/>
      </w:r>
      <w:r w:rsidR="00D61C13">
        <w:t>Eligibility</w:t>
      </w:r>
      <w:r w:rsidR="00E71C46">
        <w:t xml:space="preserve"> records that must be kept</w:t>
      </w:r>
      <w:bookmarkEnd w:id="35"/>
    </w:p>
    <w:p w:rsidR="00170D82" w:rsidRDefault="00170D82" w:rsidP="00170D82">
      <w:pPr>
        <w:pStyle w:val="tMain"/>
      </w:pPr>
      <w:r>
        <w:tab/>
      </w:r>
      <w:r>
        <w:tab/>
      </w:r>
      <w:r w:rsidR="00E71C46">
        <w:t>Records demonstrating</w:t>
      </w:r>
      <w:r>
        <w:t xml:space="preserve"> the following eligibility requirements must be kept:</w:t>
      </w:r>
    </w:p>
    <w:p w:rsidR="00170D82" w:rsidRDefault="00170D82" w:rsidP="00170D82">
      <w:pPr>
        <w:pStyle w:val="tPara"/>
      </w:pPr>
      <w:r>
        <w:tab/>
      </w:r>
      <w:r w:rsidR="00253430">
        <w:t>(a)</w:t>
      </w:r>
      <w:r>
        <w:tab/>
      </w:r>
      <w:proofErr w:type="gramStart"/>
      <w:r>
        <w:t>the</w:t>
      </w:r>
      <w:proofErr w:type="gramEnd"/>
      <w:r>
        <w:t xml:space="preserve"> location of each project area; </w:t>
      </w:r>
    </w:p>
    <w:p w:rsidR="00170D82" w:rsidRDefault="00170D82" w:rsidP="00170D82">
      <w:pPr>
        <w:pStyle w:val="tPara"/>
      </w:pPr>
      <w:r>
        <w:tab/>
      </w:r>
      <w:r w:rsidR="00253430">
        <w:t>(b)</w:t>
      </w:r>
      <w:r>
        <w:tab/>
      </w:r>
      <w:proofErr w:type="gramStart"/>
      <w:r>
        <w:t>that</w:t>
      </w:r>
      <w:proofErr w:type="gramEnd"/>
      <w:r>
        <w:t xml:space="preserve"> the herd is </w:t>
      </w:r>
      <w:r w:rsidR="00964758">
        <w:t xml:space="preserve">managed in a way </w:t>
      </w:r>
      <w:r>
        <w:t xml:space="preserve">consistent </w:t>
      </w:r>
      <w:r w:rsidR="00964758">
        <w:t>with</w:t>
      </w:r>
      <w:r>
        <w:t xml:space="preserve"> section 2.3; and</w:t>
      </w:r>
    </w:p>
    <w:p w:rsidR="00E71C46" w:rsidRDefault="00170D82" w:rsidP="00170D82">
      <w:pPr>
        <w:pStyle w:val="tPara"/>
      </w:pPr>
      <w:r>
        <w:tab/>
      </w:r>
      <w:r w:rsidR="00253430">
        <w:t>(c)</w:t>
      </w:r>
      <w:r>
        <w:tab/>
      </w:r>
      <w:proofErr w:type="gramStart"/>
      <w:r w:rsidR="00964758">
        <w:t>that</w:t>
      </w:r>
      <w:proofErr w:type="gramEnd"/>
      <w:r w:rsidR="00964758">
        <w:t xml:space="preserve"> each project area has a history of urea use</w:t>
      </w:r>
      <w:r w:rsidR="00CF60F3">
        <w:t>, in accordan</w:t>
      </w:r>
      <w:r>
        <w:t>ce with section</w:t>
      </w:r>
      <w:r w:rsidR="00964758">
        <w:t> </w:t>
      </w:r>
      <w:r>
        <w:t>2.4.</w:t>
      </w:r>
    </w:p>
    <w:p w:rsidR="00635D1F" w:rsidRDefault="00253430" w:rsidP="00915673">
      <w:pPr>
        <w:pStyle w:val="h5Section"/>
      </w:pPr>
      <w:bookmarkStart w:id="36" w:name="_Toc393714363"/>
      <w:r>
        <w:t>5.9</w:t>
      </w:r>
      <w:r w:rsidR="00915673">
        <w:tab/>
      </w:r>
      <w:r w:rsidR="00E71C46">
        <w:t>Annu</w:t>
      </w:r>
      <w:r w:rsidR="00C75BE2">
        <w:t>al r</w:t>
      </w:r>
      <w:r w:rsidR="00635D1F">
        <w:t>ecords that must be kept</w:t>
      </w:r>
      <w:bookmarkEnd w:id="36"/>
    </w:p>
    <w:p w:rsidR="00086F80" w:rsidRDefault="007E3317" w:rsidP="007E3317">
      <w:pPr>
        <w:pStyle w:val="tMain"/>
      </w:pPr>
      <w:r>
        <w:tab/>
      </w:r>
      <w:r>
        <w:tab/>
      </w:r>
      <w:r w:rsidR="00C75BE2">
        <w:t xml:space="preserve">For each </w:t>
      </w:r>
      <w:r w:rsidR="00086F80">
        <w:t>year</w:t>
      </w:r>
      <w:r w:rsidR="00D17DEB">
        <w:t xml:space="preserve"> in a reporting period</w:t>
      </w:r>
      <w:r w:rsidR="00086F80">
        <w:t>, records must be kept of the</w:t>
      </w:r>
      <w:r w:rsidR="00C75BE2">
        <w:t xml:space="preserve"> following</w:t>
      </w:r>
      <w:r w:rsidR="00086F80">
        <w:t>:</w:t>
      </w:r>
    </w:p>
    <w:p w:rsidR="00E71C46" w:rsidRDefault="00F55FB0" w:rsidP="00F55FB0">
      <w:pPr>
        <w:pStyle w:val="tPara"/>
      </w:pPr>
      <w:r>
        <w:tab/>
      </w:r>
      <w:r w:rsidR="00253430">
        <w:t>(a)</w:t>
      </w:r>
      <w:r>
        <w:tab/>
      </w:r>
      <w:proofErr w:type="gramStart"/>
      <w:r w:rsidR="00535A35">
        <w:t>the</w:t>
      </w:r>
      <w:proofErr w:type="gramEnd"/>
      <w:r w:rsidR="00535A35">
        <w:t xml:space="preserve"> start date and end date of each nitrate supplementation period;</w:t>
      </w:r>
    </w:p>
    <w:p w:rsidR="00446824" w:rsidRDefault="00F55FB0" w:rsidP="00891789">
      <w:pPr>
        <w:pStyle w:val="tPara"/>
      </w:pPr>
      <w:r>
        <w:tab/>
      </w:r>
      <w:r w:rsidR="00253430">
        <w:t>(b)</w:t>
      </w:r>
      <w:r w:rsidR="00891789">
        <w:tab/>
      </w:r>
      <w:proofErr w:type="gramStart"/>
      <w:r w:rsidR="00446824">
        <w:t>the</w:t>
      </w:r>
      <w:proofErr w:type="gramEnd"/>
      <w:r w:rsidR="00446824">
        <w:t xml:space="preserve"> start date and end date of each nitrate adaptation period;</w:t>
      </w:r>
    </w:p>
    <w:p w:rsidR="00535A35" w:rsidRDefault="00446824" w:rsidP="00446824">
      <w:pPr>
        <w:pStyle w:val="tPara"/>
      </w:pPr>
      <w:r>
        <w:tab/>
      </w:r>
      <w:r w:rsidR="00253430">
        <w:t>(c)</w:t>
      </w:r>
      <w:r>
        <w:tab/>
      </w:r>
      <w:proofErr w:type="gramStart"/>
      <w:r w:rsidR="00535A35">
        <w:t>the</w:t>
      </w:r>
      <w:proofErr w:type="gramEnd"/>
      <w:r w:rsidR="00535A35">
        <w:t xml:space="preserve"> average number of animals in each livestock class during each nitrate supplementation period;</w:t>
      </w:r>
      <w:r w:rsidR="00535A35" w:rsidRPr="00535A35">
        <w:t xml:space="preserve"> </w:t>
      </w:r>
    </w:p>
    <w:p w:rsidR="00891789" w:rsidRDefault="00535A35" w:rsidP="00535A35">
      <w:pPr>
        <w:pStyle w:val="tPara"/>
      </w:pPr>
      <w:r>
        <w:tab/>
      </w:r>
      <w:r w:rsidR="00253430">
        <w:t>(d)</w:t>
      </w:r>
      <w:r>
        <w:tab/>
      </w:r>
      <w:proofErr w:type="gramStart"/>
      <w:r>
        <w:t>if</w:t>
      </w:r>
      <w:proofErr w:type="gramEnd"/>
      <w:r>
        <w:t xml:space="preserve"> average liveweight of animals in each livestock class is determined in accordance with subsection 5.4(3), the average liveweight of animals in each livestock class during each nitrate supplementation period;</w:t>
      </w:r>
    </w:p>
    <w:p w:rsidR="00F55FB0" w:rsidRDefault="00891789" w:rsidP="00891789">
      <w:pPr>
        <w:pStyle w:val="tPara"/>
      </w:pPr>
      <w:r>
        <w:tab/>
      </w:r>
      <w:r w:rsidR="00253430">
        <w:t>(e)</w:t>
      </w:r>
      <w:r>
        <w:tab/>
      </w:r>
      <w:proofErr w:type="gramStart"/>
      <w:r w:rsidR="00232F9C">
        <w:t>the</w:t>
      </w:r>
      <w:proofErr w:type="gramEnd"/>
      <w:r w:rsidR="00232F9C">
        <w:t xml:space="preserve"> </w:t>
      </w:r>
      <w:r w:rsidR="001C40FC">
        <w:t>opening and closing stock of</w:t>
      </w:r>
      <w:r w:rsidR="00C90B2F">
        <w:t xml:space="preserve"> </w:t>
      </w:r>
      <w:r w:rsidR="00E53EB9">
        <w:t xml:space="preserve">all </w:t>
      </w:r>
      <w:r w:rsidR="001C40FC">
        <w:t>non-protein nitrogen</w:t>
      </w:r>
      <w:r w:rsidR="00E5799D">
        <w:t xml:space="preserve"> supplements</w:t>
      </w:r>
      <w:r w:rsidR="001C40FC">
        <w:t xml:space="preserve"> for each nitrate supplementation period, where opening and closing stock are determined in accordance with sections 5.5 and 5.6 </w:t>
      </w:r>
      <w:r w:rsidR="00F55FB0">
        <w:t>;</w:t>
      </w:r>
    </w:p>
    <w:p w:rsidR="00D17DEB" w:rsidRDefault="00D17DEB" w:rsidP="00D17DEB">
      <w:pPr>
        <w:pStyle w:val="noteSubpara"/>
      </w:pPr>
      <w:r>
        <w:tab/>
      </w:r>
      <w:r>
        <w:rPr>
          <w:b/>
          <w:i/>
        </w:rPr>
        <w:t>Note</w:t>
      </w:r>
      <w:r>
        <w:tab/>
        <w:t>This includes nitrate lick blocks and other sources of non-protein nitrogen fed during a nitrate supplementation period, such as urea.</w:t>
      </w:r>
    </w:p>
    <w:p w:rsidR="00915673" w:rsidRDefault="00F55FB0" w:rsidP="003F09F4">
      <w:pPr>
        <w:pStyle w:val="tPara"/>
      </w:pPr>
      <w:r>
        <w:tab/>
      </w:r>
      <w:r w:rsidR="00253430">
        <w:t>(f)</w:t>
      </w:r>
      <w:r>
        <w:tab/>
      </w:r>
      <w:r w:rsidR="00637666">
        <w:t xml:space="preserve">the </w:t>
      </w:r>
      <w:r w:rsidR="00637666" w:rsidRPr="00E5799D">
        <w:rPr>
          <w:b/>
          <w:i/>
        </w:rPr>
        <w:t>chemical composition</w:t>
      </w:r>
      <w:r w:rsidR="00637666">
        <w:t xml:space="preserve"> of </w:t>
      </w:r>
      <w:r w:rsidR="007B753E">
        <w:t>all non-protein nitrogen supplements</w:t>
      </w:r>
      <w:r w:rsidR="00E5799D">
        <w:t xml:space="preserve"> fed during the project</w:t>
      </w:r>
      <w:r w:rsidR="003F09F4">
        <w:t xml:space="preserve">, as specified in a </w:t>
      </w:r>
      <w:r w:rsidR="00B15B17">
        <w:t>commodity vendor declaration form</w:t>
      </w:r>
      <w:r w:rsidR="003F09F4">
        <w:t xml:space="preserve"> (or equivalent) and determined using an Association of Official Analytical Chemists method in </w:t>
      </w:r>
      <w:r w:rsidR="003F09F4" w:rsidRPr="00E40F30">
        <w:t>Australian Fodder Indust</w:t>
      </w:r>
      <w:r w:rsidR="003F09F4">
        <w:t>ry Association accredited laboratories</w:t>
      </w:r>
      <w:r w:rsidR="00637666">
        <w:t>;</w:t>
      </w:r>
      <w:r w:rsidR="00232F9C" w:rsidRPr="00232F9C">
        <w:t xml:space="preserve"> </w:t>
      </w:r>
      <w:r w:rsidR="00232F9C">
        <w:t>and</w:t>
      </w:r>
    </w:p>
    <w:p w:rsidR="007B753E" w:rsidRDefault="007B753E" w:rsidP="007B753E">
      <w:pPr>
        <w:pStyle w:val="noteSubpara"/>
      </w:pPr>
      <w:r>
        <w:tab/>
      </w:r>
      <w:r>
        <w:rPr>
          <w:b/>
          <w:i/>
        </w:rPr>
        <w:t>Note</w:t>
      </w:r>
      <w:r>
        <w:tab/>
      </w:r>
      <w:r w:rsidR="001C40FC">
        <w:t>Chemical composition and non-protein nitrogen are defined in section 1.3.</w:t>
      </w:r>
      <w:r w:rsidR="00FF365E">
        <w:br/>
      </w:r>
      <w:r>
        <w:t>Non-protein nitrogen supplements include nitrate lick blocks and non-protein nitrogen su</w:t>
      </w:r>
      <w:r w:rsidR="00435A93">
        <w:t>pplements that are not nitrates.</w:t>
      </w:r>
    </w:p>
    <w:p w:rsidR="00C90B2F" w:rsidRDefault="00F55FB0" w:rsidP="0096227E">
      <w:pPr>
        <w:pStyle w:val="tPara"/>
        <w:rPr>
          <w:rStyle w:val="CharSectno"/>
          <w:rFonts w:ascii="Arial" w:hAnsi="Arial" w:cs="Arial"/>
          <w:b/>
          <w:bCs/>
          <w:sz w:val="28"/>
          <w:szCs w:val="28"/>
        </w:rPr>
      </w:pPr>
      <w:r>
        <w:tab/>
      </w:r>
      <w:r w:rsidR="00253430">
        <w:t>(g)</w:t>
      </w:r>
      <w:r>
        <w:tab/>
      </w:r>
      <w:proofErr w:type="gramStart"/>
      <w:r w:rsidR="00CF5D81">
        <w:t>any</w:t>
      </w:r>
      <w:proofErr w:type="gramEnd"/>
      <w:r w:rsidR="00CF5D81">
        <w:t xml:space="preserve"> data used to determine a parameter </w:t>
      </w:r>
      <w:r w:rsidR="00C90B2F">
        <w:t>mention</w:t>
      </w:r>
      <w:r w:rsidR="00CF5D81">
        <w:t>ed in this section.</w:t>
      </w:r>
    </w:p>
    <w:p w:rsidR="00635D1F" w:rsidRDefault="00635D1F" w:rsidP="00E12FAB">
      <w:pPr>
        <w:pStyle w:val="h3Div"/>
        <w:rPr>
          <w:rStyle w:val="CharSectno"/>
          <w:szCs w:val="28"/>
        </w:rPr>
      </w:pPr>
      <w:bookmarkStart w:id="37" w:name="_Toc393714364"/>
      <w:r w:rsidRPr="008B3A07">
        <w:rPr>
          <w:rStyle w:val="CharSectno"/>
          <w:szCs w:val="28"/>
        </w:rPr>
        <w:t xml:space="preserve">Division </w:t>
      </w:r>
      <w:r w:rsidR="0060744B">
        <w:rPr>
          <w:rStyle w:val="CharSectno"/>
          <w:szCs w:val="28"/>
        </w:rPr>
        <w:t>5.4</w:t>
      </w:r>
      <w:r w:rsidRPr="008B3A07">
        <w:rPr>
          <w:rStyle w:val="CharSectno"/>
          <w:szCs w:val="28"/>
        </w:rPr>
        <w:tab/>
        <w:t>Offsets report requirements</w:t>
      </w:r>
      <w:bookmarkEnd w:id="37"/>
    </w:p>
    <w:p w:rsidR="00454DEB" w:rsidRPr="00454DEB" w:rsidRDefault="00454DEB" w:rsidP="00135D22">
      <w:pPr>
        <w:pStyle w:val="noteMain"/>
      </w:pPr>
      <w:r>
        <w:tab/>
      </w:r>
      <w:r>
        <w:rPr>
          <w:b/>
          <w:i/>
        </w:rPr>
        <w:t>Note</w:t>
      </w:r>
      <w:r w:rsidR="00931FE0">
        <w:tab/>
        <w:t>See paragraph 6.2(j)</w:t>
      </w:r>
      <w:r>
        <w:t xml:space="preserve"> of the Regulations.</w:t>
      </w:r>
    </w:p>
    <w:p w:rsidR="00635D1F" w:rsidRDefault="00253430" w:rsidP="00FD1645">
      <w:pPr>
        <w:pStyle w:val="h5Section"/>
      </w:pPr>
      <w:bookmarkStart w:id="38" w:name="_Toc393714365"/>
      <w:r>
        <w:t>5.10</w:t>
      </w:r>
      <w:r w:rsidR="00FD1645">
        <w:tab/>
      </w:r>
      <w:r w:rsidR="00635D1F">
        <w:t>Report</w:t>
      </w:r>
      <w:r w:rsidR="00F55FB0">
        <w:t>ing</w:t>
      </w:r>
      <w:r w:rsidR="00635D1F">
        <w:t xml:space="preserve"> requirements</w:t>
      </w:r>
      <w:bookmarkEnd w:id="38"/>
    </w:p>
    <w:p w:rsidR="00BD1E6E" w:rsidRDefault="004F6BF3" w:rsidP="00135D22">
      <w:pPr>
        <w:pStyle w:val="tMain"/>
      </w:pPr>
      <w:r>
        <w:tab/>
      </w:r>
      <w:r>
        <w:tab/>
      </w:r>
      <w:r w:rsidR="00BD1E6E">
        <w:t xml:space="preserve">An offsets report </w:t>
      </w:r>
      <w:r w:rsidR="001B4B29">
        <w:t xml:space="preserve">must be submitted for each </w:t>
      </w:r>
      <w:r>
        <w:t>reporting period.</w:t>
      </w:r>
    </w:p>
    <w:p w:rsidR="00B720DA" w:rsidRPr="00B720DA" w:rsidRDefault="00253430" w:rsidP="00FD1645">
      <w:pPr>
        <w:pStyle w:val="h5Section"/>
      </w:pPr>
      <w:bookmarkStart w:id="39" w:name="_Toc393714366"/>
      <w:r>
        <w:t>5.11</w:t>
      </w:r>
      <w:r w:rsidR="00FD1645">
        <w:tab/>
      </w:r>
      <w:r w:rsidR="00B720DA">
        <w:t>Information that must be included in each offsets report</w:t>
      </w:r>
      <w:bookmarkEnd w:id="39"/>
    </w:p>
    <w:p w:rsidR="001203DE" w:rsidRDefault="004F6BF3" w:rsidP="00135D22">
      <w:pPr>
        <w:pStyle w:val="tMain"/>
      </w:pPr>
      <w:r>
        <w:tab/>
      </w:r>
      <w:r w:rsidR="0060744B">
        <w:t>(1)</w:t>
      </w:r>
      <w:r>
        <w:tab/>
      </w:r>
      <w:r w:rsidR="00727642" w:rsidRPr="00DE64EE">
        <w:t xml:space="preserve">The following information </w:t>
      </w:r>
      <w:r w:rsidR="00BD1E6E">
        <w:t>must</w:t>
      </w:r>
      <w:r w:rsidR="00727642" w:rsidRPr="00DE64EE">
        <w:t xml:space="preserve"> be included in </w:t>
      </w:r>
      <w:r w:rsidR="00BD1E6E">
        <w:t>each</w:t>
      </w:r>
      <w:r w:rsidR="00727642" w:rsidRPr="00DE64EE">
        <w:t xml:space="preserve"> offsets report:</w:t>
      </w:r>
      <w:r w:rsidR="00A37E49">
        <w:tab/>
      </w:r>
    </w:p>
    <w:p w:rsidR="006D5BA7" w:rsidRDefault="00AA4BE5" w:rsidP="00135D22">
      <w:pPr>
        <w:pStyle w:val="tPara"/>
      </w:pPr>
      <w:r>
        <w:tab/>
      </w:r>
      <w:r w:rsidR="0060744B">
        <w:t>(a)</w:t>
      </w:r>
      <w:r>
        <w:tab/>
      </w:r>
      <w:proofErr w:type="gramStart"/>
      <w:r w:rsidR="00C52978">
        <w:t>t</w:t>
      </w:r>
      <w:r w:rsidR="004F6BF3">
        <w:t>he</w:t>
      </w:r>
      <w:proofErr w:type="gramEnd"/>
      <w:r w:rsidR="004F6BF3">
        <w:t xml:space="preserve"> start date and end date of </w:t>
      </w:r>
      <w:r w:rsidR="00AC393D">
        <w:t>the reporting period</w:t>
      </w:r>
      <w:r w:rsidR="00BD1E6E">
        <w:t xml:space="preserve"> to which the offsets report applies</w:t>
      </w:r>
      <w:r w:rsidR="006D5BA7">
        <w:t>;</w:t>
      </w:r>
    </w:p>
    <w:p w:rsidR="00094DCE" w:rsidRPr="00094DCE" w:rsidRDefault="00104C5C" w:rsidP="00135D22">
      <w:pPr>
        <w:pStyle w:val="tPara"/>
      </w:pPr>
      <w:r>
        <w:tab/>
      </w:r>
      <w:r w:rsidR="0060744B">
        <w:t>(b)</w:t>
      </w:r>
      <w:r>
        <w:tab/>
      </w:r>
      <w:proofErr w:type="gramStart"/>
      <w:r w:rsidR="00A37E49">
        <w:t>all</w:t>
      </w:r>
      <w:proofErr w:type="gramEnd"/>
      <w:r w:rsidR="00A37E49">
        <w:t xml:space="preserve"> inputs and outputs from the </w:t>
      </w:r>
      <w:r w:rsidR="00044A0E">
        <w:rPr>
          <w:lang w:val="en-NZ"/>
        </w:rPr>
        <w:t>Nitrates Calculator</w:t>
      </w:r>
      <w:r w:rsidR="00D750D3">
        <w:rPr>
          <w:lang w:val="en-NZ"/>
        </w:rPr>
        <w:t xml:space="preserve"> </w:t>
      </w:r>
      <w:r w:rsidR="004F6BF3">
        <w:rPr>
          <w:lang w:val="en-NZ"/>
        </w:rPr>
        <w:t xml:space="preserve">for each </w:t>
      </w:r>
      <w:r w:rsidR="000045CF">
        <w:rPr>
          <w:lang w:val="en-NZ"/>
        </w:rPr>
        <w:t>nitrate supplementation period</w:t>
      </w:r>
      <w:r w:rsidR="004F6BF3">
        <w:rPr>
          <w:lang w:val="en-NZ"/>
        </w:rPr>
        <w:t xml:space="preserve"> in the reporting period</w:t>
      </w:r>
      <w:r w:rsidR="006626DE">
        <w:rPr>
          <w:lang w:val="en-NZ"/>
        </w:rPr>
        <w:t>;</w:t>
      </w:r>
      <w:r w:rsidR="00BD1E6E">
        <w:rPr>
          <w:lang w:val="en-NZ"/>
        </w:rPr>
        <w:t xml:space="preserve"> and</w:t>
      </w:r>
      <w:r w:rsidR="006626DE">
        <w:rPr>
          <w:lang w:val="en-NZ"/>
        </w:rPr>
        <w:tab/>
      </w:r>
    </w:p>
    <w:p w:rsidR="00E368C6" w:rsidRDefault="009359CE" w:rsidP="00135D22">
      <w:pPr>
        <w:pStyle w:val="tPara"/>
      </w:pPr>
      <w:r>
        <w:tab/>
      </w:r>
      <w:r w:rsidR="0060744B">
        <w:t>(c)</w:t>
      </w:r>
      <w:r w:rsidR="00E368C6">
        <w:tab/>
      </w:r>
      <w:proofErr w:type="gramStart"/>
      <w:r w:rsidR="00617FEF">
        <w:t>the</w:t>
      </w:r>
      <w:proofErr w:type="gramEnd"/>
      <w:r w:rsidR="00617FEF">
        <w:t xml:space="preserve"> </w:t>
      </w:r>
      <w:r w:rsidR="00C50EF3">
        <w:t>carbon dioxide equivalent net abatement amount</w:t>
      </w:r>
      <w:r w:rsidR="00A65E35">
        <w:t xml:space="preserve"> </w:t>
      </w:r>
      <w:r w:rsidR="00044A0E">
        <w:t xml:space="preserve">for the reporting period, </w:t>
      </w:r>
      <w:r w:rsidR="00A65E35">
        <w:t>measured in tonnes of</w:t>
      </w:r>
      <w:r w:rsidR="00B720DA">
        <w:t xml:space="preserve"> carbon dioxide equivalent</w:t>
      </w:r>
      <w:r w:rsidR="00FA7E0E">
        <w:t xml:space="preserve"> </w:t>
      </w:r>
      <w:r w:rsidR="00A65E35">
        <w:t>(t </w:t>
      </w:r>
      <w:r w:rsidR="00A65E35" w:rsidRPr="00FA43FC">
        <w:t>CO</w:t>
      </w:r>
      <w:r w:rsidR="00A65E35" w:rsidRPr="00AE680C">
        <w:rPr>
          <w:vertAlign w:val="subscript"/>
        </w:rPr>
        <w:t>2</w:t>
      </w:r>
      <w:r w:rsidR="00FA7E0E">
        <w:noBreakHyphen/>
      </w:r>
      <w:r w:rsidR="00A65E35" w:rsidRPr="00FA43FC">
        <w:t>e</w:t>
      </w:r>
      <w:r w:rsidR="00A65E35">
        <w:t>)</w:t>
      </w:r>
      <w:r w:rsidR="00044A0E">
        <w:t xml:space="preserve"> and</w:t>
      </w:r>
      <w:r w:rsidR="006626DE">
        <w:t xml:space="preserve"> calculated using the </w:t>
      </w:r>
      <w:r w:rsidR="00044A0E">
        <w:t>N</w:t>
      </w:r>
      <w:proofErr w:type="spellStart"/>
      <w:r w:rsidR="00044A0E">
        <w:rPr>
          <w:lang w:val="en-NZ"/>
        </w:rPr>
        <w:t>itrates</w:t>
      </w:r>
      <w:proofErr w:type="spellEnd"/>
      <w:r w:rsidR="006074B8">
        <w:rPr>
          <w:lang w:val="en-NZ"/>
        </w:rPr>
        <w:t xml:space="preserve"> Calculator, in a manner consistent with Part 4.</w:t>
      </w:r>
    </w:p>
    <w:p w:rsidR="004F6BF3" w:rsidRDefault="004F6BF3" w:rsidP="00135D22">
      <w:pPr>
        <w:pStyle w:val="tMain"/>
      </w:pPr>
      <w:r>
        <w:tab/>
      </w:r>
      <w:r w:rsidR="0060744B">
        <w:t>(2)</w:t>
      </w:r>
      <w:r>
        <w:tab/>
      </w:r>
      <w:r w:rsidRPr="004F6BF3">
        <w:t xml:space="preserve">The requirement in paragraph </w:t>
      </w:r>
      <w:r w:rsidR="0060744B">
        <w:t>(1</w:t>
      </w:r>
      <w:proofErr w:type="gramStart"/>
      <w:r w:rsidR="0060744B">
        <w:t>)(</w:t>
      </w:r>
      <w:proofErr w:type="gramEnd"/>
      <w:r w:rsidR="0060744B">
        <w:t>b)</w:t>
      </w:r>
      <w:r w:rsidRPr="004F6BF3">
        <w:t xml:space="preserve"> may be met by including a printout</w:t>
      </w:r>
      <w:r w:rsidR="00290F9C">
        <w:t xml:space="preserve"> or soft copy</w:t>
      </w:r>
      <w:r w:rsidRPr="004F6BF3">
        <w:t xml:space="preserve"> of the completed </w:t>
      </w:r>
      <w:r w:rsidR="00044A0E">
        <w:t>Nitrates</w:t>
      </w:r>
      <w:r w:rsidR="006F04B5">
        <w:t xml:space="preserve"> Calculator</w:t>
      </w:r>
      <w:r w:rsidR="00D750D3">
        <w:t xml:space="preserve"> </w:t>
      </w:r>
      <w:r w:rsidR="00D4454A">
        <w:t xml:space="preserve">for each </w:t>
      </w:r>
      <w:r w:rsidR="00B31636">
        <w:t>nitrate supplementation period</w:t>
      </w:r>
      <w:r w:rsidR="00D4454A">
        <w:t xml:space="preserve"> in the reporting period.</w:t>
      </w:r>
    </w:p>
    <w:p w:rsidR="009F2E78" w:rsidRPr="00FF615C" w:rsidRDefault="009F2E78" w:rsidP="009F2E78">
      <w:pPr>
        <w:pStyle w:val="NoteEnd"/>
        <w:pBdr>
          <w:top w:val="single" w:sz="4" w:space="3" w:color="auto"/>
        </w:pBdr>
        <w:spacing w:before="480"/>
        <w:rPr>
          <w:rFonts w:ascii="Arial" w:hAnsi="Arial"/>
          <w:b/>
          <w:color w:val="000000" w:themeColor="text1"/>
          <w:sz w:val="24"/>
        </w:rPr>
      </w:pPr>
      <w:r w:rsidRPr="00FF615C">
        <w:rPr>
          <w:rFonts w:ascii="Arial" w:hAnsi="Arial"/>
          <w:b/>
          <w:color w:val="000000" w:themeColor="text1"/>
          <w:sz w:val="24"/>
        </w:rPr>
        <w:t>Note</w:t>
      </w:r>
    </w:p>
    <w:p w:rsidR="009F2E78" w:rsidRPr="00FF615C" w:rsidRDefault="009F2E78" w:rsidP="009F2E78">
      <w:pPr>
        <w:pStyle w:val="NoteEnd"/>
        <w:rPr>
          <w:color w:val="000000" w:themeColor="text1"/>
        </w:rPr>
      </w:pPr>
      <w:r w:rsidRPr="00FF615C">
        <w:rPr>
          <w:color w:val="000000" w:themeColor="text1"/>
        </w:rPr>
        <w:t>1.</w:t>
      </w:r>
      <w:r w:rsidRPr="00FF615C">
        <w:rPr>
          <w:color w:val="000000" w:themeColor="text1"/>
        </w:rPr>
        <w:tab/>
        <w:t xml:space="preserve">All legislative instruments and compilations are registered on the Federal Register of Legislative Instruments kept under the </w:t>
      </w:r>
      <w:r w:rsidRPr="00FF615C">
        <w:rPr>
          <w:i/>
          <w:color w:val="000000" w:themeColor="text1"/>
        </w:rPr>
        <w:t xml:space="preserve">Legislative Instruments Act 2003. </w:t>
      </w:r>
      <w:r w:rsidRPr="00FF615C">
        <w:rPr>
          <w:color w:val="000000" w:themeColor="text1"/>
        </w:rPr>
        <w:t xml:space="preserve">See </w:t>
      </w:r>
      <w:r w:rsidRPr="00FF615C">
        <w:rPr>
          <w:color w:val="000000" w:themeColor="text1"/>
          <w:u w:val="single"/>
        </w:rPr>
        <w:t>http://www.frli.gov.au</w:t>
      </w:r>
      <w:r w:rsidRPr="00FF615C">
        <w:rPr>
          <w:color w:val="000000" w:themeColor="text1"/>
        </w:rPr>
        <w:t>.</w:t>
      </w:r>
    </w:p>
    <w:sectPr w:rsidR="009F2E78" w:rsidRPr="00FF615C" w:rsidSect="009556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63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60" w:rsidRDefault="00506B60" w:rsidP="00CD349A">
      <w:r>
        <w:separator/>
      </w:r>
    </w:p>
  </w:endnote>
  <w:endnote w:type="continuationSeparator" w:id="0">
    <w:p w:rsidR="00506B60" w:rsidRDefault="00506B60" w:rsidP="00CD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60" w:rsidRDefault="00506B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60" w:rsidRDefault="00506B60" w:rsidP="00D55828">
    <w:pPr>
      <w:spacing w:line="200" w:lineRule="exact"/>
    </w:pPr>
  </w:p>
  <w:tbl>
    <w:tblPr>
      <w:tblW w:w="0" w:type="auto"/>
      <w:tblBorders>
        <w:top w:val="single" w:sz="4" w:space="0" w:color="auto"/>
      </w:tblBorders>
      <w:tblLayout w:type="fixed"/>
      <w:tblLook w:val="01E0"/>
    </w:tblPr>
    <w:tblGrid>
      <w:gridCol w:w="1134"/>
      <w:gridCol w:w="6095"/>
      <w:gridCol w:w="1134"/>
    </w:tblGrid>
    <w:tr w:rsidR="00506B60" w:rsidTr="004A0A4F">
      <w:trPr>
        <w:trHeight w:val="1067"/>
      </w:trPr>
      <w:tc>
        <w:tcPr>
          <w:tcW w:w="1134" w:type="dxa"/>
        </w:tcPr>
        <w:p w:rsidR="00506B60" w:rsidRDefault="00506B60" w:rsidP="005E089C">
          <w:pPr>
            <w:spacing w:line="240" w:lineRule="exact"/>
          </w:pPr>
        </w:p>
      </w:tc>
      <w:tc>
        <w:tcPr>
          <w:tcW w:w="6095" w:type="dxa"/>
        </w:tcPr>
        <w:p w:rsidR="00506B60" w:rsidRPr="00C91887" w:rsidRDefault="00506B60" w:rsidP="00BF2F59">
          <w:pPr>
            <w:pStyle w:val="FooterCitation"/>
            <w:rPr>
              <w:bCs/>
            </w:rPr>
          </w:pPr>
          <w:r w:rsidRPr="00C91887">
            <w:rPr>
              <w:bCs/>
            </w:rPr>
            <w:t>Carbon Credits (Carbon Farming Initiative) (</w:t>
          </w:r>
          <w:r w:rsidRPr="00117077">
            <w:t xml:space="preserve">Reducing Greenhouse Gas Emissions by Feeding </w:t>
          </w:r>
          <w:r>
            <w:t>Nitrates to Beef Cattle</w:t>
          </w:r>
          <w:r w:rsidRPr="00C91887">
            <w:rPr>
              <w:bCs/>
            </w:rPr>
            <w:t>) Methodology Determination 201</w:t>
          </w:r>
          <w:r>
            <w:rPr>
              <w:bCs/>
            </w:rPr>
            <w:t>4</w:t>
          </w:r>
        </w:p>
        <w:p w:rsidR="00506B60" w:rsidRPr="004F5D6D" w:rsidRDefault="00506B60" w:rsidP="005E089C">
          <w:pPr>
            <w:pStyle w:val="FooterCitation"/>
          </w:pPr>
        </w:p>
      </w:tc>
      <w:tc>
        <w:tcPr>
          <w:tcW w:w="1134" w:type="dxa"/>
        </w:tcPr>
        <w:p w:rsidR="00506B60" w:rsidRPr="003D7214" w:rsidRDefault="00A42607" w:rsidP="005E089C">
          <w:pPr>
            <w:spacing w:line="240" w:lineRule="exact"/>
            <w:jc w:val="right"/>
            <w:rPr>
              <w:rStyle w:val="PageNumber"/>
              <w:rFonts w:cs="Arial"/>
              <w:szCs w:val="22"/>
            </w:rPr>
          </w:pPr>
          <w:r w:rsidRPr="003D7214">
            <w:rPr>
              <w:rStyle w:val="PageNumber"/>
              <w:rFonts w:cs="Arial"/>
              <w:szCs w:val="22"/>
            </w:rPr>
            <w:fldChar w:fldCharType="begin"/>
          </w:r>
          <w:r w:rsidR="00506B60" w:rsidRPr="003D7214">
            <w:rPr>
              <w:rStyle w:val="PageNumber"/>
              <w:rFonts w:cs="Arial"/>
              <w:szCs w:val="22"/>
            </w:rPr>
            <w:instrText xml:space="preserve">PAGE  </w:instrText>
          </w:r>
          <w:r w:rsidRPr="003D7214">
            <w:rPr>
              <w:rStyle w:val="PageNumber"/>
              <w:rFonts w:cs="Arial"/>
              <w:szCs w:val="22"/>
            </w:rPr>
            <w:fldChar w:fldCharType="separate"/>
          </w:r>
          <w:r w:rsidR="00D57545">
            <w:rPr>
              <w:rStyle w:val="PageNumber"/>
              <w:rFonts w:cs="Arial"/>
              <w:noProof/>
              <w:szCs w:val="22"/>
            </w:rPr>
            <w:t>14</w:t>
          </w:r>
          <w:r w:rsidRPr="003D7214">
            <w:rPr>
              <w:rStyle w:val="PageNumber"/>
              <w:rFonts w:cs="Arial"/>
              <w:szCs w:val="22"/>
            </w:rPr>
            <w:fldChar w:fldCharType="end"/>
          </w:r>
        </w:p>
      </w:tc>
    </w:tr>
  </w:tbl>
  <w:p w:rsidR="00506B60" w:rsidRPr="00D55828" w:rsidRDefault="00506B60" w:rsidP="008B2DC2">
    <w:pPr>
      <w:pStyle w:val="FooterDraft"/>
      <w:tabs>
        <w:tab w:val="right" w:pos="5670"/>
        <w:tab w:val="right" w:pos="7938"/>
      </w:tabs>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60" w:rsidRDefault="00506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60" w:rsidRDefault="00506B60" w:rsidP="00CD349A">
      <w:r>
        <w:separator/>
      </w:r>
    </w:p>
  </w:footnote>
  <w:footnote w:type="continuationSeparator" w:id="0">
    <w:p w:rsidR="00506B60" w:rsidRDefault="00506B60" w:rsidP="00CD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60" w:rsidRDefault="00506B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506B60" w:rsidTr="005E089C">
      <w:tc>
        <w:tcPr>
          <w:tcW w:w="6914" w:type="dxa"/>
        </w:tcPr>
        <w:p w:rsidR="00506B60" w:rsidRDefault="00A42607" w:rsidP="005E089C">
          <w:pPr>
            <w:pStyle w:val="HeaderLiteOdd"/>
            <w:tabs>
              <w:tab w:val="clear" w:pos="3969"/>
              <w:tab w:val="clear" w:pos="8505"/>
              <w:tab w:val="left" w:pos="1418"/>
            </w:tabs>
            <w:jc w:val="left"/>
          </w:pPr>
          <w:r>
            <w:fldChar w:fldCharType="begin"/>
          </w:r>
          <w:r w:rsidR="00506B60">
            <w:instrText xml:space="preserve"> IF </w:instrText>
          </w:r>
          <w:r>
            <w:fldChar w:fldCharType="begin"/>
          </w:r>
          <w:r w:rsidR="00506B60">
            <w:instrText xml:space="preserve"> STYLEREF  "HC"  \* MERGEFORMAT </w:instrText>
          </w:r>
          <w:r>
            <w:fldChar w:fldCharType="separate"/>
          </w:r>
          <w:r w:rsidR="00D57545">
            <w:rPr>
              <w:b/>
              <w:bCs/>
              <w:noProof/>
              <w:lang w:val="en-US"/>
            </w:rPr>
            <w:instrText>Error! Use the Home tab to apply HC to the text that you want to appear here.</w:instrText>
          </w:r>
          <w:r>
            <w:rPr>
              <w:noProof/>
            </w:rPr>
            <w:fldChar w:fldCharType="end"/>
          </w:r>
          <w:r w:rsidR="00506B60">
            <w:instrText xml:space="preserve"> &lt;&gt; "Error*"</w:instrText>
          </w:r>
          <w:r>
            <w:fldChar w:fldCharType="begin"/>
          </w:r>
          <w:r w:rsidR="00506B60">
            <w:instrText xml:space="preserve"> STYLEREF  "HC"  \* MERGEFORMAT </w:instrText>
          </w:r>
          <w:r>
            <w:rPr>
              <w:noProof/>
            </w:rPr>
            <w:fldChar w:fldCharType="end"/>
          </w:r>
          <w:r w:rsidR="00506B60">
            <w:instrText xml:space="preserve"> \* MERGEFORMAT </w:instrText>
          </w:r>
          <w:r>
            <w:fldChar w:fldCharType="end"/>
          </w:r>
          <w:r w:rsidR="00506B60">
            <w:br/>
          </w:r>
          <w:r>
            <w:fldChar w:fldCharType="begin"/>
          </w:r>
          <w:r w:rsidR="00506B60">
            <w:instrText xml:space="preserve"> IF </w:instrText>
          </w:r>
          <w:r>
            <w:fldChar w:fldCharType="begin"/>
          </w:r>
          <w:r w:rsidR="00506B60">
            <w:instrText xml:space="preserve"> STYLEREF  "HP"  \* MERGEFORMAT </w:instrText>
          </w:r>
          <w:r>
            <w:fldChar w:fldCharType="separate"/>
          </w:r>
          <w:r w:rsidR="00D57545">
            <w:rPr>
              <w:b/>
              <w:bCs/>
              <w:noProof/>
              <w:lang w:val="en-US"/>
            </w:rPr>
            <w:instrText>Error! Use the Home tab to apply HP to the text that you want to appear here.</w:instrText>
          </w:r>
          <w:r>
            <w:rPr>
              <w:noProof/>
            </w:rPr>
            <w:fldChar w:fldCharType="end"/>
          </w:r>
          <w:r w:rsidR="00506B60">
            <w:instrText xml:space="preserve"> &lt;&gt; "Error*"</w:instrText>
          </w:r>
          <w:fldSimple w:instr=" STYLEREF  &quot;HP&quot;  \* MERGEFORMAT ">
            <w:r w:rsidR="00506B60">
              <w:rPr>
                <w:noProof/>
              </w:rPr>
              <w:instrText xml:space="preserve">Part </w:instrText>
            </w:r>
            <w:r w:rsidR="00506B60">
              <w:rPr>
                <w:noProof/>
              </w:rPr>
              <w:tab/>
              <w:instrText>Monitoring, record-keeping and reporting requirements</w:instrText>
            </w:r>
          </w:fldSimple>
          <w:r w:rsidR="00506B60">
            <w:instrText xml:space="preserve"> \* MERGEFORMAT </w:instrText>
          </w:r>
          <w:r>
            <w:fldChar w:fldCharType="end"/>
          </w:r>
          <w:r w:rsidR="00506B60">
            <w:br/>
          </w:r>
          <w:r>
            <w:fldChar w:fldCharType="begin"/>
          </w:r>
          <w:r w:rsidR="00506B60">
            <w:instrText xml:space="preserve"> IF </w:instrText>
          </w:r>
          <w:r>
            <w:fldChar w:fldCharType="begin"/>
          </w:r>
          <w:r w:rsidR="00506B60">
            <w:instrText xml:space="preserve"> STYLEREF  "HD"  \* MERGEFORMAT </w:instrText>
          </w:r>
          <w:r>
            <w:fldChar w:fldCharType="separate"/>
          </w:r>
          <w:r w:rsidR="00D57545">
            <w:rPr>
              <w:b/>
              <w:bCs/>
              <w:noProof/>
              <w:lang w:val="en-US"/>
            </w:rPr>
            <w:instrText>Error! Use the Home tab to apply HD to the text that you want to appear here.</w:instrText>
          </w:r>
          <w:r>
            <w:rPr>
              <w:noProof/>
            </w:rPr>
            <w:fldChar w:fldCharType="end"/>
          </w:r>
          <w:r w:rsidR="00506B60">
            <w:instrText xml:space="preserve"> &lt;&gt; "Error*"</w:instrText>
          </w:r>
          <w:fldSimple w:instr=" STYLEREF  &quot;HD&quot;  \* MERGEFORMAT ">
            <w:r w:rsidR="00506B60">
              <w:rPr>
                <w:noProof/>
              </w:rPr>
              <w:instrText xml:space="preserve">Division </w:instrText>
            </w:r>
            <w:r w:rsidR="00506B60">
              <w:rPr>
                <w:noProof/>
              </w:rPr>
              <w:tab/>
              <w:instrText>General</w:instrText>
            </w:r>
          </w:fldSimple>
          <w:r w:rsidR="00506B60">
            <w:instrText xml:space="preserve"> \* MERGEFORMAT </w:instrText>
          </w:r>
          <w:r>
            <w:fldChar w:fldCharType="end"/>
          </w:r>
          <w:r w:rsidR="00506B60">
            <w:br/>
          </w:r>
        </w:p>
      </w:tc>
      <w:tc>
        <w:tcPr>
          <w:tcW w:w="1471" w:type="dxa"/>
        </w:tcPr>
        <w:p w:rsidR="00506B60" w:rsidRDefault="00506B60" w:rsidP="005E089C">
          <w:pPr>
            <w:pStyle w:val="HeaderLiteOdd"/>
          </w:pPr>
        </w:p>
      </w:tc>
    </w:tr>
    <w:tr w:rsidR="00506B60" w:rsidTr="005E089C">
      <w:tc>
        <w:tcPr>
          <w:tcW w:w="6914" w:type="dxa"/>
        </w:tcPr>
        <w:p w:rsidR="00506B60" w:rsidRDefault="00506B60" w:rsidP="005E089C">
          <w:pPr>
            <w:pStyle w:val="HeaderLiteOdd"/>
            <w:jc w:val="left"/>
          </w:pPr>
        </w:p>
      </w:tc>
      <w:tc>
        <w:tcPr>
          <w:tcW w:w="1471" w:type="dxa"/>
        </w:tcPr>
        <w:p w:rsidR="00506B60" w:rsidRDefault="00506B60" w:rsidP="005E089C">
          <w:pPr>
            <w:pStyle w:val="HeaderLiteOdd"/>
          </w:pPr>
        </w:p>
      </w:tc>
    </w:tr>
    <w:tr w:rsidR="00506B60" w:rsidTr="005E089C">
      <w:tc>
        <w:tcPr>
          <w:tcW w:w="8385" w:type="dxa"/>
          <w:gridSpan w:val="2"/>
          <w:tcBorders>
            <w:bottom w:val="single" w:sz="4" w:space="0" w:color="auto"/>
          </w:tcBorders>
        </w:tcPr>
        <w:p w:rsidR="00506B60" w:rsidRDefault="00506B60" w:rsidP="005E089C">
          <w:pPr>
            <w:pStyle w:val="HeaderBoldOdd"/>
          </w:pPr>
        </w:p>
      </w:tc>
    </w:tr>
  </w:tbl>
  <w:p w:rsidR="00506B60" w:rsidRDefault="00506B60" w:rsidP="00D5582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60" w:rsidRDefault="00506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3">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nsid w:val="26BA6561"/>
    <w:multiLevelType w:val="hybridMultilevel"/>
    <w:tmpl w:val="7EF892D4"/>
    <w:name w:val="StandardNumberedList23232"/>
    <w:lvl w:ilvl="0" w:tplc="AC6ACB42">
      <w:numFmt w:val="bullet"/>
      <w:lvlText w:val="•"/>
      <w:lvlJc w:val="left"/>
      <w:pPr>
        <w:ind w:left="880" w:hanging="360"/>
      </w:pPr>
      <w:rPr>
        <w:rFonts w:ascii="Calibri" w:eastAsia="Times New Roman" w:hAnsi="Calibri" w:hint="default"/>
      </w:rPr>
    </w:lvl>
    <w:lvl w:ilvl="1" w:tplc="0C090019" w:tentative="1">
      <w:start w:val="1"/>
      <w:numFmt w:val="bullet"/>
      <w:lvlText w:val="o"/>
      <w:lvlJc w:val="left"/>
      <w:pPr>
        <w:ind w:left="1600" w:hanging="360"/>
      </w:pPr>
      <w:rPr>
        <w:rFonts w:ascii="Courier New" w:hAnsi="Courier New" w:hint="default"/>
      </w:rPr>
    </w:lvl>
    <w:lvl w:ilvl="2" w:tplc="0C09001B" w:tentative="1">
      <w:start w:val="1"/>
      <w:numFmt w:val="bullet"/>
      <w:lvlText w:val=""/>
      <w:lvlJc w:val="left"/>
      <w:pPr>
        <w:ind w:left="2320" w:hanging="360"/>
      </w:pPr>
      <w:rPr>
        <w:rFonts w:ascii="Wingdings" w:hAnsi="Wingdings" w:hint="default"/>
      </w:rPr>
    </w:lvl>
    <w:lvl w:ilvl="3" w:tplc="0C09000F" w:tentative="1">
      <w:start w:val="1"/>
      <w:numFmt w:val="bullet"/>
      <w:lvlText w:val=""/>
      <w:lvlJc w:val="left"/>
      <w:pPr>
        <w:ind w:left="3040" w:hanging="360"/>
      </w:pPr>
      <w:rPr>
        <w:rFonts w:ascii="Symbol" w:hAnsi="Symbol" w:hint="default"/>
      </w:rPr>
    </w:lvl>
    <w:lvl w:ilvl="4" w:tplc="0C090019" w:tentative="1">
      <w:start w:val="1"/>
      <w:numFmt w:val="bullet"/>
      <w:lvlText w:val="o"/>
      <w:lvlJc w:val="left"/>
      <w:pPr>
        <w:ind w:left="3760" w:hanging="360"/>
      </w:pPr>
      <w:rPr>
        <w:rFonts w:ascii="Courier New" w:hAnsi="Courier New" w:hint="default"/>
      </w:rPr>
    </w:lvl>
    <w:lvl w:ilvl="5" w:tplc="0C09001B" w:tentative="1">
      <w:start w:val="1"/>
      <w:numFmt w:val="bullet"/>
      <w:lvlText w:val=""/>
      <w:lvlJc w:val="left"/>
      <w:pPr>
        <w:ind w:left="4480" w:hanging="360"/>
      </w:pPr>
      <w:rPr>
        <w:rFonts w:ascii="Wingdings" w:hAnsi="Wingdings" w:hint="default"/>
      </w:rPr>
    </w:lvl>
    <w:lvl w:ilvl="6" w:tplc="0C09000F" w:tentative="1">
      <w:start w:val="1"/>
      <w:numFmt w:val="bullet"/>
      <w:lvlText w:val=""/>
      <w:lvlJc w:val="left"/>
      <w:pPr>
        <w:ind w:left="5200" w:hanging="360"/>
      </w:pPr>
      <w:rPr>
        <w:rFonts w:ascii="Symbol" w:hAnsi="Symbol" w:hint="default"/>
      </w:rPr>
    </w:lvl>
    <w:lvl w:ilvl="7" w:tplc="0C090019" w:tentative="1">
      <w:start w:val="1"/>
      <w:numFmt w:val="bullet"/>
      <w:lvlText w:val="o"/>
      <w:lvlJc w:val="left"/>
      <w:pPr>
        <w:ind w:left="5920" w:hanging="360"/>
      </w:pPr>
      <w:rPr>
        <w:rFonts w:ascii="Courier New" w:hAnsi="Courier New" w:hint="default"/>
      </w:rPr>
    </w:lvl>
    <w:lvl w:ilvl="8" w:tplc="0C09001B" w:tentative="1">
      <w:start w:val="1"/>
      <w:numFmt w:val="bullet"/>
      <w:lvlText w:val=""/>
      <w:lvlJc w:val="left"/>
      <w:pPr>
        <w:ind w:left="6640" w:hanging="360"/>
      </w:pPr>
      <w:rPr>
        <w:rFonts w:ascii="Wingdings" w:hAnsi="Wingdings" w:hint="default"/>
      </w:rPr>
    </w:lvl>
  </w:abstractNum>
  <w:abstractNum w:abstractNumId="5">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9">
    <w:nsid w:val="56BF1E44"/>
    <w:multiLevelType w:val="hybridMultilevel"/>
    <w:tmpl w:val="B0CCEE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651362A7"/>
    <w:multiLevelType w:val="hybridMultilevel"/>
    <w:tmpl w:val="C712B3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A7C640E"/>
    <w:multiLevelType w:val="hybridMultilevel"/>
    <w:tmpl w:val="EA2C1A60"/>
    <w:lvl w:ilvl="0" w:tplc="C4744E4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nsid w:val="6B920748"/>
    <w:multiLevelType w:val="hybridMultilevel"/>
    <w:tmpl w:val="CDE205DC"/>
    <w:lvl w:ilvl="0" w:tplc="7B28527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72D239D2"/>
    <w:multiLevelType w:val="hybridMultilevel"/>
    <w:tmpl w:val="C590B246"/>
    <w:lvl w:ilvl="0" w:tplc="8FDA09E0">
      <w:start w:val="1"/>
      <w:numFmt w:val="decimal"/>
      <w:pStyle w:val="bullets"/>
      <w:lvlText w:val="%1."/>
      <w:lvlJc w:val="left"/>
      <w:pPr>
        <w:ind w:left="2880" w:hanging="360"/>
      </w:pPr>
      <w:rPr>
        <w:rFonts w:hint="default"/>
      </w:rPr>
    </w:lvl>
    <w:lvl w:ilvl="1" w:tplc="3350D608" w:tentative="1">
      <w:start w:val="1"/>
      <w:numFmt w:val="bullet"/>
      <w:lvlText w:val="o"/>
      <w:lvlJc w:val="left"/>
      <w:pPr>
        <w:ind w:left="3600" w:hanging="360"/>
      </w:pPr>
      <w:rPr>
        <w:rFonts w:ascii="Courier New" w:hAnsi="Courier New" w:cs="Courier New" w:hint="default"/>
      </w:rPr>
    </w:lvl>
    <w:lvl w:ilvl="2" w:tplc="8228C9B2" w:tentative="1">
      <w:start w:val="1"/>
      <w:numFmt w:val="bullet"/>
      <w:lvlText w:val=""/>
      <w:lvlJc w:val="left"/>
      <w:pPr>
        <w:ind w:left="4320" w:hanging="360"/>
      </w:pPr>
      <w:rPr>
        <w:rFonts w:ascii="Wingdings" w:hAnsi="Wingdings" w:hint="default"/>
      </w:rPr>
    </w:lvl>
    <w:lvl w:ilvl="3" w:tplc="47CE3FE8" w:tentative="1">
      <w:start w:val="1"/>
      <w:numFmt w:val="bullet"/>
      <w:lvlText w:val=""/>
      <w:lvlJc w:val="left"/>
      <w:pPr>
        <w:ind w:left="5040" w:hanging="360"/>
      </w:pPr>
      <w:rPr>
        <w:rFonts w:ascii="Symbol" w:hAnsi="Symbol" w:hint="default"/>
      </w:rPr>
    </w:lvl>
    <w:lvl w:ilvl="4" w:tplc="FD7C2850" w:tentative="1">
      <w:start w:val="1"/>
      <w:numFmt w:val="bullet"/>
      <w:lvlText w:val="o"/>
      <w:lvlJc w:val="left"/>
      <w:pPr>
        <w:ind w:left="5760" w:hanging="360"/>
      </w:pPr>
      <w:rPr>
        <w:rFonts w:ascii="Courier New" w:hAnsi="Courier New" w:cs="Courier New" w:hint="default"/>
      </w:rPr>
    </w:lvl>
    <w:lvl w:ilvl="5" w:tplc="CF1A8F00" w:tentative="1">
      <w:start w:val="1"/>
      <w:numFmt w:val="bullet"/>
      <w:lvlText w:val=""/>
      <w:lvlJc w:val="left"/>
      <w:pPr>
        <w:ind w:left="6480" w:hanging="360"/>
      </w:pPr>
      <w:rPr>
        <w:rFonts w:ascii="Wingdings" w:hAnsi="Wingdings" w:hint="default"/>
      </w:rPr>
    </w:lvl>
    <w:lvl w:ilvl="6" w:tplc="9640B0B2" w:tentative="1">
      <w:start w:val="1"/>
      <w:numFmt w:val="bullet"/>
      <w:lvlText w:val=""/>
      <w:lvlJc w:val="left"/>
      <w:pPr>
        <w:ind w:left="7200" w:hanging="360"/>
      </w:pPr>
      <w:rPr>
        <w:rFonts w:ascii="Symbol" w:hAnsi="Symbol" w:hint="default"/>
      </w:rPr>
    </w:lvl>
    <w:lvl w:ilvl="7" w:tplc="2F04F9AC" w:tentative="1">
      <w:start w:val="1"/>
      <w:numFmt w:val="bullet"/>
      <w:lvlText w:val="o"/>
      <w:lvlJc w:val="left"/>
      <w:pPr>
        <w:ind w:left="7920" w:hanging="360"/>
      </w:pPr>
      <w:rPr>
        <w:rFonts w:ascii="Courier New" w:hAnsi="Courier New" w:cs="Courier New" w:hint="default"/>
      </w:rPr>
    </w:lvl>
    <w:lvl w:ilvl="8" w:tplc="C15EED6C" w:tentative="1">
      <w:start w:val="1"/>
      <w:numFmt w:val="bullet"/>
      <w:lvlText w:val=""/>
      <w:lvlJc w:val="left"/>
      <w:pPr>
        <w:ind w:left="864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13"/>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004"/>
  <w:defaultTabStop w:val="720"/>
  <w:characterSpacingControl w:val="doNotCompress"/>
  <w:hdrShapeDefaults>
    <o:shapedefaults v:ext="edit" spidmax="262145"/>
  </w:hdrShapeDefaults>
  <w:footnotePr>
    <w:footnote w:id="-1"/>
    <w:footnote w:id="0"/>
  </w:footnotePr>
  <w:endnotePr>
    <w:endnote w:id="-1"/>
    <w:endnote w:id="0"/>
  </w:endnotePr>
  <w:compat/>
  <w:rsids>
    <w:rsidRoot w:val="002C2687"/>
    <w:rsid w:val="00000791"/>
    <w:rsid w:val="00000A31"/>
    <w:rsid w:val="00003B67"/>
    <w:rsid w:val="00003E0B"/>
    <w:rsid w:val="000045CF"/>
    <w:rsid w:val="00004F3B"/>
    <w:rsid w:val="00011287"/>
    <w:rsid w:val="000115A1"/>
    <w:rsid w:val="00011738"/>
    <w:rsid w:val="00011F88"/>
    <w:rsid w:val="000121B3"/>
    <w:rsid w:val="00012947"/>
    <w:rsid w:val="00013098"/>
    <w:rsid w:val="0001342C"/>
    <w:rsid w:val="000135A1"/>
    <w:rsid w:val="000148AE"/>
    <w:rsid w:val="0001490D"/>
    <w:rsid w:val="00015D29"/>
    <w:rsid w:val="00015F26"/>
    <w:rsid w:val="000173A6"/>
    <w:rsid w:val="00020117"/>
    <w:rsid w:val="0002054E"/>
    <w:rsid w:val="000208B4"/>
    <w:rsid w:val="00020B4A"/>
    <w:rsid w:val="00023D8E"/>
    <w:rsid w:val="000249B2"/>
    <w:rsid w:val="00024DB6"/>
    <w:rsid w:val="0002508D"/>
    <w:rsid w:val="00025F49"/>
    <w:rsid w:val="0002735A"/>
    <w:rsid w:val="000277C7"/>
    <w:rsid w:val="00027E39"/>
    <w:rsid w:val="000300B7"/>
    <w:rsid w:val="00031A95"/>
    <w:rsid w:val="00032636"/>
    <w:rsid w:val="00032802"/>
    <w:rsid w:val="00032C38"/>
    <w:rsid w:val="00033ADF"/>
    <w:rsid w:val="00034E7B"/>
    <w:rsid w:val="000375AF"/>
    <w:rsid w:val="000405C3"/>
    <w:rsid w:val="00041B06"/>
    <w:rsid w:val="000437A4"/>
    <w:rsid w:val="00044A0E"/>
    <w:rsid w:val="00045228"/>
    <w:rsid w:val="000452CB"/>
    <w:rsid w:val="00045FAD"/>
    <w:rsid w:val="00047F86"/>
    <w:rsid w:val="00050A1D"/>
    <w:rsid w:val="0005115B"/>
    <w:rsid w:val="000527F5"/>
    <w:rsid w:val="00052C0E"/>
    <w:rsid w:val="00053185"/>
    <w:rsid w:val="0005336F"/>
    <w:rsid w:val="00053BB3"/>
    <w:rsid w:val="00054D28"/>
    <w:rsid w:val="00056183"/>
    <w:rsid w:val="00056DDF"/>
    <w:rsid w:val="0005792B"/>
    <w:rsid w:val="00060E90"/>
    <w:rsid w:val="00060F94"/>
    <w:rsid w:val="000632F7"/>
    <w:rsid w:val="0006409B"/>
    <w:rsid w:val="00067E93"/>
    <w:rsid w:val="0007196B"/>
    <w:rsid w:val="00071ABA"/>
    <w:rsid w:val="00071B44"/>
    <w:rsid w:val="00072A78"/>
    <w:rsid w:val="0007353E"/>
    <w:rsid w:val="00075652"/>
    <w:rsid w:val="00082332"/>
    <w:rsid w:val="00082777"/>
    <w:rsid w:val="000828F3"/>
    <w:rsid w:val="00082909"/>
    <w:rsid w:val="00082A73"/>
    <w:rsid w:val="000833C5"/>
    <w:rsid w:val="00083951"/>
    <w:rsid w:val="00083C84"/>
    <w:rsid w:val="000867F6"/>
    <w:rsid w:val="00086AC9"/>
    <w:rsid w:val="00086F80"/>
    <w:rsid w:val="00087BAD"/>
    <w:rsid w:val="00091A78"/>
    <w:rsid w:val="00094DCE"/>
    <w:rsid w:val="00095836"/>
    <w:rsid w:val="00096261"/>
    <w:rsid w:val="00096B53"/>
    <w:rsid w:val="00097403"/>
    <w:rsid w:val="00097420"/>
    <w:rsid w:val="00097721"/>
    <w:rsid w:val="000A08E3"/>
    <w:rsid w:val="000A0F62"/>
    <w:rsid w:val="000A17C5"/>
    <w:rsid w:val="000A1C1E"/>
    <w:rsid w:val="000A21A5"/>
    <w:rsid w:val="000A3D72"/>
    <w:rsid w:val="000A5028"/>
    <w:rsid w:val="000B0ACA"/>
    <w:rsid w:val="000B1C7C"/>
    <w:rsid w:val="000B20A8"/>
    <w:rsid w:val="000B277E"/>
    <w:rsid w:val="000B2BCC"/>
    <w:rsid w:val="000B58CD"/>
    <w:rsid w:val="000B7269"/>
    <w:rsid w:val="000B76ED"/>
    <w:rsid w:val="000C1347"/>
    <w:rsid w:val="000C1854"/>
    <w:rsid w:val="000C1F3A"/>
    <w:rsid w:val="000C3480"/>
    <w:rsid w:val="000C4C07"/>
    <w:rsid w:val="000C63BE"/>
    <w:rsid w:val="000C648B"/>
    <w:rsid w:val="000C702E"/>
    <w:rsid w:val="000D19CF"/>
    <w:rsid w:val="000D23D9"/>
    <w:rsid w:val="000D3FCA"/>
    <w:rsid w:val="000D40AA"/>
    <w:rsid w:val="000D4B9D"/>
    <w:rsid w:val="000D56AC"/>
    <w:rsid w:val="000D5D18"/>
    <w:rsid w:val="000D7ADD"/>
    <w:rsid w:val="000E2729"/>
    <w:rsid w:val="000E6C91"/>
    <w:rsid w:val="000E7491"/>
    <w:rsid w:val="000F1996"/>
    <w:rsid w:val="000F268F"/>
    <w:rsid w:val="000F359D"/>
    <w:rsid w:val="000F51C8"/>
    <w:rsid w:val="000F5EAB"/>
    <w:rsid w:val="000F6026"/>
    <w:rsid w:val="00101BC6"/>
    <w:rsid w:val="001028DD"/>
    <w:rsid w:val="00103469"/>
    <w:rsid w:val="00104C5C"/>
    <w:rsid w:val="00104E4D"/>
    <w:rsid w:val="00106071"/>
    <w:rsid w:val="00106A1C"/>
    <w:rsid w:val="00112230"/>
    <w:rsid w:val="001156C2"/>
    <w:rsid w:val="00115CAE"/>
    <w:rsid w:val="0011662A"/>
    <w:rsid w:val="001174A9"/>
    <w:rsid w:val="001203DE"/>
    <w:rsid w:val="001209E7"/>
    <w:rsid w:val="00120E29"/>
    <w:rsid w:val="0012107E"/>
    <w:rsid w:val="00121D80"/>
    <w:rsid w:val="001222E9"/>
    <w:rsid w:val="001234FB"/>
    <w:rsid w:val="00123CBD"/>
    <w:rsid w:val="00124842"/>
    <w:rsid w:val="00124AC1"/>
    <w:rsid w:val="0012722C"/>
    <w:rsid w:val="00127A9E"/>
    <w:rsid w:val="00130E0C"/>
    <w:rsid w:val="0013181B"/>
    <w:rsid w:val="00132096"/>
    <w:rsid w:val="00132E6A"/>
    <w:rsid w:val="00133B22"/>
    <w:rsid w:val="00135D22"/>
    <w:rsid w:val="00136D39"/>
    <w:rsid w:val="00136F58"/>
    <w:rsid w:val="001371A8"/>
    <w:rsid w:val="001371F9"/>
    <w:rsid w:val="00140088"/>
    <w:rsid w:val="001400AF"/>
    <w:rsid w:val="001420DE"/>
    <w:rsid w:val="00142409"/>
    <w:rsid w:val="00143A72"/>
    <w:rsid w:val="00143B27"/>
    <w:rsid w:val="00145B9C"/>
    <w:rsid w:val="00146E2E"/>
    <w:rsid w:val="00152C74"/>
    <w:rsid w:val="0015449D"/>
    <w:rsid w:val="0015471E"/>
    <w:rsid w:val="00155799"/>
    <w:rsid w:val="001558C5"/>
    <w:rsid w:val="00155ABF"/>
    <w:rsid w:val="001612A4"/>
    <w:rsid w:val="00161765"/>
    <w:rsid w:val="00163585"/>
    <w:rsid w:val="00163762"/>
    <w:rsid w:val="00163D37"/>
    <w:rsid w:val="001657FB"/>
    <w:rsid w:val="001664E7"/>
    <w:rsid w:val="00166D61"/>
    <w:rsid w:val="00170934"/>
    <w:rsid w:val="00170D82"/>
    <w:rsid w:val="00171394"/>
    <w:rsid w:val="00172A0C"/>
    <w:rsid w:val="00172DD5"/>
    <w:rsid w:val="0017447F"/>
    <w:rsid w:val="0017629F"/>
    <w:rsid w:val="001767D2"/>
    <w:rsid w:val="001774CC"/>
    <w:rsid w:val="00182515"/>
    <w:rsid w:val="0018274C"/>
    <w:rsid w:val="001832C7"/>
    <w:rsid w:val="0018353D"/>
    <w:rsid w:val="00183C07"/>
    <w:rsid w:val="00184CCC"/>
    <w:rsid w:val="001879A5"/>
    <w:rsid w:val="00187AD1"/>
    <w:rsid w:val="00190146"/>
    <w:rsid w:val="00191089"/>
    <w:rsid w:val="00192E2C"/>
    <w:rsid w:val="00193395"/>
    <w:rsid w:val="001936DF"/>
    <w:rsid w:val="00193C0B"/>
    <w:rsid w:val="001962CD"/>
    <w:rsid w:val="001968CD"/>
    <w:rsid w:val="001A1C92"/>
    <w:rsid w:val="001A2CEE"/>
    <w:rsid w:val="001A4E33"/>
    <w:rsid w:val="001A7B24"/>
    <w:rsid w:val="001A7D69"/>
    <w:rsid w:val="001A7EF9"/>
    <w:rsid w:val="001B092B"/>
    <w:rsid w:val="001B0EDE"/>
    <w:rsid w:val="001B319F"/>
    <w:rsid w:val="001B43F7"/>
    <w:rsid w:val="001B4B29"/>
    <w:rsid w:val="001B5737"/>
    <w:rsid w:val="001B763C"/>
    <w:rsid w:val="001C2606"/>
    <w:rsid w:val="001C353E"/>
    <w:rsid w:val="001C40FC"/>
    <w:rsid w:val="001C4586"/>
    <w:rsid w:val="001C46E5"/>
    <w:rsid w:val="001C52F5"/>
    <w:rsid w:val="001C5B60"/>
    <w:rsid w:val="001C5EE4"/>
    <w:rsid w:val="001C6855"/>
    <w:rsid w:val="001D1942"/>
    <w:rsid w:val="001D1F40"/>
    <w:rsid w:val="001D344D"/>
    <w:rsid w:val="001D58CA"/>
    <w:rsid w:val="001D7558"/>
    <w:rsid w:val="001E0A1F"/>
    <w:rsid w:val="001E2A46"/>
    <w:rsid w:val="001E3074"/>
    <w:rsid w:val="001E33C5"/>
    <w:rsid w:val="001E4644"/>
    <w:rsid w:val="001E4F13"/>
    <w:rsid w:val="001E6A43"/>
    <w:rsid w:val="001E771E"/>
    <w:rsid w:val="001E79BB"/>
    <w:rsid w:val="001F0177"/>
    <w:rsid w:val="001F0D9D"/>
    <w:rsid w:val="001F0D9F"/>
    <w:rsid w:val="001F1A39"/>
    <w:rsid w:val="001F4BCE"/>
    <w:rsid w:val="001F6CA4"/>
    <w:rsid w:val="00202F96"/>
    <w:rsid w:val="002034E9"/>
    <w:rsid w:val="00203DE6"/>
    <w:rsid w:val="00204312"/>
    <w:rsid w:val="00204389"/>
    <w:rsid w:val="00204FF5"/>
    <w:rsid w:val="0020602F"/>
    <w:rsid w:val="00206A51"/>
    <w:rsid w:val="0020777C"/>
    <w:rsid w:val="00210DEE"/>
    <w:rsid w:val="00212E62"/>
    <w:rsid w:val="002167C6"/>
    <w:rsid w:val="002173BE"/>
    <w:rsid w:val="00217955"/>
    <w:rsid w:val="002225C5"/>
    <w:rsid w:val="0022355A"/>
    <w:rsid w:val="00224AB8"/>
    <w:rsid w:val="00225021"/>
    <w:rsid w:val="00225979"/>
    <w:rsid w:val="002265BB"/>
    <w:rsid w:val="00227859"/>
    <w:rsid w:val="00231021"/>
    <w:rsid w:val="002319EF"/>
    <w:rsid w:val="00231CE8"/>
    <w:rsid w:val="0023244D"/>
    <w:rsid w:val="00232F9C"/>
    <w:rsid w:val="00234A8E"/>
    <w:rsid w:val="00234EAC"/>
    <w:rsid w:val="00235F35"/>
    <w:rsid w:val="00236443"/>
    <w:rsid w:val="00236F3D"/>
    <w:rsid w:val="00240387"/>
    <w:rsid w:val="002409D3"/>
    <w:rsid w:val="0024118F"/>
    <w:rsid w:val="00241C3A"/>
    <w:rsid w:val="002422A5"/>
    <w:rsid w:val="002426BA"/>
    <w:rsid w:val="00243060"/>
    <w:rsid w:val="00243E36"/>
    <w:rsid w:val="00244D4E"/>
    <w:rsid w:val="00244E0C"/>
    <w:rsid w:val="0025054A"/>
    <w:rsid w:val="0025163A"/>
    <w:rsid w:val="00251FF0"/>
    <w:rsid w:val="0025292A"/>
    <w:rsid w:val="002531C3"/>
    <w:rsid w:val="00253430"/>
    <w:rsid w:val="002554F6"/>
    <w:rsid w:val="00255BF7"/>
    <w:rsid w:val="002614E8"/>
    <w:rsid w:val="002619A7"/>
    <w:rsid w:val="00262CC7"/>
    <w:rsid w:val="00262DF2"/>
    <w:rsid w:val="002640EF"/>
    <w:rsid w:val="00265BBE"/>
    <w:rsid w:val="002700A4"/>
    <w:rsid w:val="00270539"/>
    <w:rsid w:val="00270CE0"/>
    <w:rsid w:val="002736A1"/>
    <w:rsid w:val="00274A6D"/>
    <w:rsid w:val="00277E78"/>
    <w:rsid w:val="00280702"/>
    <w:rsid w:val="00281CC2"/>
    <w:rsid w:val="0028468B"/>
    <w:rsid w:val="00290F9C"/>
    <w:rsid w:val="00292D0A"/>
    <w:rsid w:val="00292D2C"/>
    <w:rsid w:val="00293B3D"/>
    <w:rsid w:val="002955FC"/>
    <w:rsid w:val="00296B04"/>
    <w:rsid w:val="00296BB0"/>
    <w:rsid w:val="00296F45"/>
    <w:rsid w:val="00297E8F"/>
    <w:rsid w:val="002A5069"/>
    <w:rsid w:val="002A61CC"/>
    <w:rsid w:val="002A715D"/>
    <w:rsid w:val="002A792A"/>
    <w:rsid w:val="002B015C"/>
    <w:rsid w:val="002B05FC"/>
    <w:rsid w:val="002B2395"/>
    <w:rsid w:val="002B3355"/>
    <w:rsid w:val="002B3FCD"/>
    <w:rsid w:val="002B558D"/>
    <w:rsid w:val="002B570A"/>
    <w:rsid w:val="002B5979"/>
    <w:rsid w:val="002B732D"/>
    <w:rsid w:val="002C0ECD"/>
    <w:rsid w:val="002C2687"/>
    <w:rsid w:val="002C2CB3"/>
    <w:rsid w:val="002C2F7B"/>
    <w:rsid w:val="002C41E1"/>
    <w:rsid w:val="002C5D48"/>
    <w:rsid w:val="002C70C9"/>
    <w:rsid w:val="002C73A9"/>
    <w:rsid w:val="002D128C"/>
    <w:rsid w:val="002D164F"/>
    <w:rsid w:val="002D1F76"/>
    <w:rsid w:val="002D6FC7"/>
    <w:rsid w:val="002E09C5"/>
    <w:rsid w:val="002E3DFD"/>
    <w:rsid w:val="002E7D67"/>
    <w:rsid w:val="002F08E8"/>
    <w:rsid w:val="002F1977"/>
    <w:rsid w:val="002F2499"/>
    <w:rsid w:val="002F26F6"/>
    <w:rsid w:val="002F649F"/>
    <w:rsid w:val="003001FC"/>
    <w:rsid w:val="00303080"/>
    <w:rsid w:val="00304520"/>
    <w:rsid w:val="003050C7"/>
    <w:rsid w:val="00305187"/>
    <w:rsid w:val="00305A07"/>
    <w:rsid w:val="00307145"/>
    <w:rsid w:val="003074D1"/>
    <w:rsid w:val="00310DD7"/>
    <w:rsid w:val="0031217E"/>
    <w:rsid w:val="00312318"/>
    <w:rsid w:val="003124E9"/>
    <w:rsid w:val="003141C8"/>
    <w:rsid w:val="003150B3"/>
    <w:rsid w:val="00315919"/>
    <w:rsid w:val="00317664"/>
    <w:rsid w:val="00320ACD"/>
    <w:rsid w:val="00326C80"/>
    <w:rsid w:val="00327408"/>
    <w:rsid w:val="003305B9"/>
    <w:rsid w:val="003307A2"/>
    <w:rsid w:val="00330F44"/>
    <w:rsid w:val="003311E8"/>
    <w:rsid w:val="0033181E"/>
    <w:rsid w:val="0033655F"/>
    <w:rsid w:val="003365B9"/>
    <w:rsid w:val="00337681"/>
    <w:rsid w:val="00340469"/>
    <w:rsid w:val="003406DF"/>
    <w:rsid w:val="00340CA6"/>
    <w:rsid w:val="00340F5E"/>
    <w:rsid w:val="00342DAB"/>
    <w:rsid w:val="00344DFE"/>
    <w:rsid w:val="00344E1B"/>
    <w:rsid w:val="00346D2C"/>
    <w:rsid w:val="00350190"/>
    <w:rsid w:val="003503A7"/>
    <w:rsid w:val="00351B82"/>
    <w:rsid w:val="00351F04"/>
    <w:rsid w:val="003564BC"/>
    <w:rsid w:val="0035658A"/>
    <w:rsid w:val="003566A5"/>
    <w:rsid w:val="00356B26"/>
    <w:rsid w:val="003571F4"/>
    <w:rsid w:val="00362E16"/>
    <w:rsid w:val="0036316F"/>
    <w:rsid w:val="00363CA7"/>
    <w:rsid w:val="003646DB"/>
    <w:rsid w:val="00364799"/>
    <w:rsid w:val="003650F0"/>
    <w:rsid w:val="00365265"/>
    <w:rsid w:val="00366F6E"/>
    <w:rsid w:val="00370FF3"/>
    <w:rsid w:val="00371AD6"/>
    <w:rsid w:val="00371E4C"/>
    <w:rsid w:val="003723EE"/>
    <w:rsid w:val="00372DB1"/>
    <w:rsid w:val="00373147"/>
    <w:rsid w:val="00373A78"/>
    <w:rsid w:val="0037501A"/>
    <w:rsid w:val="003758C6"/>
    <w:rsid w:val="00375A5A"/>
    <w:rsid w:val="00375FF2"/>
    <w:rsid w:val="00381BC0"/>
    <w:rsid w:val="0038300E"/>
    <w:rsid w:val="003834D3"/>
    <w:rsid w:val="003905AA"/>
    <w:rsid w:val="003907E6"/>
    <w:rsid w:val="00390AB7"/>
    <w:rsid w:val="0039120D"/>
    <w:rsid w:val="003923BF"/>
    <w:rsid w:val="00392832"/>
    <w:rsid w:val="003934F6"/>
    <w:rsid w:val="00394BF6"/>
    <w:rsid w:val="00395403"/>
    <w:rsid w:val="00396663"/>
    <w:rsid w:val="00396F12"/>
    <w:rsid w:val="00396FEC"/>
    <w:rsid w:val="003977C5"/>
    <w:rsid w:val="00397DF7"/>
    <w:rsid w:val="003A049F"/>
    <w:rsid w:val="003A07C2"/>
    <w:rsid w:val="003A43AC"/>
    <w:rsid w:val="003A5389"/>
    <w:rsid w:val="003A5E23"/>
    <w:rsid w:val="003A716A"/>
    <w:rsid w:val="003A7BF4"/>
    <w:rsid w:val="003B03D1"/>
    <w:rsid w:val="003B076C"/>
    <w:rsid w:val="003B1A21"/>
    <w:rsid w:val="003B2246"/>
    <w:rsid w:val="003B2305"/>
    <w:rsid w:val="003B2746"/>
    <w:rsid w:val="003B3EBB"/>
    <w:rsid w:val="003B46EF"/>
    <w:rsid w:val="003B4719"/>
    <w:rsid w:val="003B47D6"/>
    <w:rsid w:val="003B5293"/>
    <w:rsid w:val="003B533D"/>
    <w:rsid w:val="003B583B"/>
    <w:rsid w:val="003B61E6"/>
    <w:rsid w:val="003B6384"/>
    <w:rsid w:val="003B7825"/>
    <w:rsid w:val="003C154A"/>
    <w:rsid w:val="003C2667"/>
    <w:rsid w:val="003C287B"/>
    <w:rsid w:val="003C2F76"/>
    <w:rsid w:val="003C3682"/>
    <w:rsid w:val="003C3EED"/>
    <w:rsid w:val="003C4005"/>
    <w:rsid w:val="003C5373"/>
    <w:rsid w:val="003C6000"/>
    <w:rsid w:val="003C6077"/>
    <w:rsid w:val="003C6BF6"/>
    <w:rsid w:val="003C7261"/>
    <w:rsid w:val="003C7391"/>
    <w:rsid w:val="003D00E6"/>
    <w:rsid w:val="003D0132"/>
    <w:rsid w:val="003D13A0"/>
    <w:rsid w:val="003D1D52"/>
    <w:rsid w:val="003D1F08"/>
    <w:rsid w:val="003D2216"/>
    <w:rsid w:val="003D2C9F"/>
    <w:rsid w:val="003D3593"/>
    <w:rsid w:val="003D3E65"/>
    <w:rsid w:val="003D42C2"/>
    <w:rsid w:val="003D46E3"/>
    <w:rsid w:val="003D58C7"/>
    <w:rsid w:val="003D601D"/>
    <w:rsid w:val="003D6333"/>
    <w:rsid w:val="003E0F6B"/>
    <w:rsid w:val="003E1D46"/>
    <w:rsid w:val="003E30C5"/>
    <w:rsid w:val="003E504D"/>
    <w:rsid w:val="003E59D5"/>
    <w:rsid w:val="003E6114"/>
    <w:rsid w:val="003E75F5"/>
    <w:rsid w:val="003E7AE3"/>
    <w:rsid w:val="003E7F79"/>
    <w:rsid w:val="003F09F4"/>
    <w:rsid w:val="003F60B4"/>
    <w:rsid w:val="003F6684"/>
    <w:rsid w:val="00400062"/>
    <w:rsid w:val="00402113"/>
    <w:rsid w:val="004024D8"/>
    <w:rsid w:val="0040399B"/>
    <w:rsid w:val="0040535F"/>
    <w:rsid w:val="004056FA"/>
    <w:rsid w:val="004057EE"/>
    <w:rsid w:val="00407B0F"/>
    <w:rsid w:val="00411489"/>
    <w:rsid w:val="00412299"/>
    <w:rsid w:val="004123C3"/>
    <w:rsid w:val="004163A0"/>
    <w:rsid w:val="004169E9"/>
    <w:rsid w:val="00417214"/>
    <w:rsid w:val="00417307"/>
    <w:rsid w:val="00420FE9"/>
    <w:rsid w:val="00422ACA"/>
    <w:rsid w:val="00424DF9"/>
    <w:rsid w:val="004256EA"/>
    <w:rsid w:val="00431944"/>
    <w:rsid w:val="0043202C"/>
    <w:rsid w:val="00432EBC"/>
    <w:rsid w:val="004347BE"/>
    <w:rsid w:val="00434F43"/>
    <w:rsid w:val="004351A4"/>
    <w:rsid w:val="00435A93"/>
    <w:rsid w:val="004360B9"/>
    <w:rsid w:val="0043695B"/>
    <w:rsid w:val="00437832"/>
    <w:rsid w:val="00443E28"/>
    <w:rsid w:val="0044430C"/>
    <w:rsid w:val="00445440"/>
    <w:rsid w:val="00445A92"/>
    <w:rsid w:val="004466D2"/>
    <w:rsid w:val="00446824"/>
    <w:rsid w:val="00446F32"/>
    <w:rsid w:val="00447ED0"/>
    <w:rsid w:val="0045122A"/>
    <w:rsid w:val="004523DD"/>
    <w:rsid w:val="004533C9"/>
    <w:rsid w:val="004533E6"/>
    <w:rsid w:val="00453FAF"/>
    <w:rsid w:val="004544DC"/>
    <w:rsid w:val="00454CDD"/>
    <w:rsid w:val="00454DEB"/>
    <w:rsid w:val="00454E8D"/>
    <w:rsid w:val="00455676"/>
    <w:rsid w:val="004565EE"/>
    <w:rsid w:val="0045684D"/>
    <w:rsid w:val="004573AE"/>
    <w:rsid w:val="0046140B"/>
    <w:rsid w:val="00462386"/>
    <w:rsid w:val="004632D6"/>
    <w:rsid w:val="00466CDC"/>
    <w:rsid w:val="0046762A"/>
    <w:rsid w:val="00467C66"/>
    <w:rsid w:val="00474360"/>
    <w:rsid w:val="004748A4"/>
    <w:rsid w:val="004751B4"/>
    <w:rsid w:val="004766E2"/>
    <w:rsid w:val="00476BF6"/>
    <w:rsid w:val="00481A0D"/>
    <w:rsid w:val="00481C41"/>
    <w:rsid w:val="00481FE4"/>
    <w:rsid w:val="0048255C"/>
    <w:rsid w:val="004828FB"/>
    <w:rsid w:val="00483E03"/>
    <w:rsid w:val="00484DFF"/>
    <w:rsid w:val="004851AF"/>
    <w:rsid w:val="0048581A"/>
    <w:rsid w:val="00485C37"/>
    <w:rsid w:val="004866F0"/>
    <w:rsid w:val="004908AB"/>
    <w:rsid w:val="00491982"/>
    <w:rsid w:val="00493593"/>
    <w:rsid w:val="004943F7"/>
    <w:rsid w:val="004949BD"/>
    <w:rsid w:val="0049701B"/>
    <w:rsid w:val="004A0A4F"/>
    <w:rsid w:val="004A3838"/>
    <w:rsid w:val="004A493E"/>
    <w:rsid w:val="004A5133"/>
    <w:rsid w:val="004A667F"/>
    <w:rsid w:val="004A7433"/>
    <w:rsid w:val="004A75B7"/>
    <w:rsid w:val="004B03E8"/>
    <w:rsid w:val="004B27AD"/>
    <w:rsid w:val="004B2B98"/>
    <w:rsid w:val="004B5D4C"/>
    <w:rsid w:val="004B605A"/>
    <w:rsid w:val="004C17D9"/>
    <w:rsid w:val="004C2C46"/>
    <w:rsid w:val="004C5342"/>
    <w:rsid w:val="004D0257"/>
    <w:rsid w:val="004D224C"/>
    <w:rsid w:val="004D2456"/>
    <w:rsid w:val="004D341D"/>
    <w:rsid w:val="004D3DCE"/>
    <w:rsid w:val="004D4DCF"/>
    <w:rsid w:val="004D562B"/>
    <w:rsid w:val="004D56FA"/>
    <w:rsid w:val="004D69F1"/>
    <w:rsid w:val="004D70DB"/>
    <w:rsid w:val="004D73B6"/>
    <w:rsid w:val="004D7C4F"/>
    <w:rsid w:val="004E46AA"/>
    <w:rsid w:val="004E4CE4"/>
    <w:rsid w:val="004E5BF1"/>
    <w:rsid w:val="004E6A0F"/>
    <w:rsid w:val="004F218E"/>
    <w:rsid w:val="004F2F92"/>
    <w:rsid w:val="004F481F"/>
    <w:rsid w:val="004F4957"/>
    <w:rsid w:val="004F61CA"/>
    <w:rsid w:val="004F6BF3"/>
    <w:rsid w:val="004F7026"/>
    <w:rsid w:val="004F7B5A"/>
    <w:rsid w:val="005003CF"/>
    <w:rsid w:val="005039D7"/>
    <w:rsid w:val="0050467A"/>
    <w:rsid w:val="00505797"/>
    <w:rsid w:val="00506B60"/>
    <w:rsid w:val="0051171A"/>
    <w:rsid w:val="00511F42"/>
    <w:rsid w:val="00512ACC"/>
    <w:rsid w:val="00513B7A"/>
    <w:rsid w:val="00514F64"/>
    <w:rsid w:val="005160AB"/>
    <w:rsid w:val="00516423"/>
    <w:rsid w:val="0051675E"/>
    <w:rsid w:val="00520551"/>
    <w:rsid w:val="00520E10"/>
    <w:rsid w:val="00520FEC"/>
    <w:rsid w:val="005219C4"/>
    <w:rsid w:val="0052529B"/>
    <w:rsid w:val="00525705"/>
    <w:rsid w:val="00527005"/>
    <w:rsid w:val="00530A5F"/>
    <w:rsid w:val="005310C8"/>
    <w:rsid w:val="00533033"/>
    <w:rsid w:val="00533EF6"/>
    <w:rsid w:val="00535A35"/>
    <w:rsid w:val="005403B2"/>
    <w:rsid w:val="00541F29"/>
    <w:rsid w:val="00542D10"/>
    <w:rsid w:val="005442B8"/>
    <w:rsid w:val="00546B83"/>
    <w:rsid w:val="0054754D"/>
    <w:rsid w:val="00547C31"/>
    <w:rsid w:val="00552435"/>
    <w:rsid w:val="00552F86"/>
    <w:rsid w:val="005531AF"/>
    <w:rsid w:val="005531E2"/>
    <w:rsid w:val="00553EFF"/>
    <w:rsid w:val="005546C9"/>
    <w:rsid w:val="005547B0"/>
    <w:rsid w:val="00555DE4"/>
    <w:rsid w:val="00560D49"/>
    <w:rsid w:val="00560DF0"/>
    <w:rsid w:val="00561ED8"/>
    <w:rsid w:val="00562703"/>
    <w:rsid w:val="00562AA2"/>
    <w:rsid w:val="005636E2"/>
    <w:rsid w:val="00565D03"/>
    <w:rsid w:val="00566788"/>
    <w:rsid w:val="005703E7"/>
    <w:rsid w:val="00572605"/>
    <w:rsid w:val="00573D0A"/>
    <w:rsid w:val="00576829"/>
    <w:rsid w:val="00581114"/>
    <w:rsid w:val="00585C2A"/>
    <w:rsid w:val="0058785F"/>
    <w:rsid w:val="00591A95"/>
    <w:rsid w:val="00594D8F"/>
    <w:rsid w:val="0059631B"/>
    <w:rsid w:val="0059640E"/>
    <w:rsid w:val="005A1035"/>
    <w:rsid w:val="005A15DB"/>
    <w:rsid w:val="005A24DD"/>
    <w:rsid w:val="005A3AE7"/>
    <w:rsid w:val="005A4F18"/>
    <w:rsid w:val="005A6E74"/>
    <w:rsid w:val="005A75A3"/>
    <w:rsid w:val="005B56AA"/>
    <w:rsid w:val="005B6638"/>
    <w:rsid w:val="005C1744"/>
    <w:rsid w:val="005C37B2"/>
    <w:rsid w:val="005C39E0"/>
    <w:rsid w:val="005C468C"/>
    <w:rsid w:val="005C6531"/>
    <w:rsid w:val="005C6E41"/>
    <w:rsid w:val="005D4841"/>
    <w:rsid w:val="005D49F2"/>
    <w:rsid w:val="005D4A8D"/>
    <w:rsid w:val="005D6E64"/>
    <w:rsid w:val="005D7B3A"/>
    <w:rsid w:val="005E089C"/>
    <w:rsid w:val="005E1360"/>
    <w:rsid w:val="005E2ADF"/>
    <w:rsid w:val="005E3A8B"/>
    <w:rsid w:val="005E3EEB"/>
    <w:rsid w:val="005E3FFB"/>
    <w:rsid w:val="005E4564"/>
    <w:rsid w:val="005E4787"/>
    <w:rsid w:val="005E549E"/>
    <w:rsid w:val="005E6456"/>
    <w:rsid w:val="005E6C8C"/>
    <w:rsid w:val="005E7824"/>
    <w:rsid w:val="005F0B3D"/>
    <w:rsid w:val="005F10F3"/>
    <w:rsid w:val="005F1734"/>
    <w:rsid w:val="005F18A6"/>
    <w:rsid w:val="005F1BDC"/>
    <w:rsid w:val="005F29AB"/>
    <w:rsid w:val="005F55E2"/>
    <w:rsid w:val="00600011"/>
    <w:rsid w:val="0060097E"/>
    <w:rsid w:val="00603737"/>
    <w:rsid w:val="006037FF"/>
    <w:rsid w:val="00603A21"/>
    <w:rsid w:val="006049D3"/>
    <w:rsid w:val="0060548F"/>
    <w:rsid w:val="0060744B"/>
    <w:rsid w:val="006074B8"/>
    <w:rsid w:val="00607E8A"/>
    <w:rsid w:val="006124AB"/>
    <w:rsid w:val="00614805"/>
    <w:rsid w:val="00614DE3"/>
    <w:rsid w:val="006155B0"/>
    <w:rsid w:val="00617578"/>
    <w:rsid w:val="006178D3"/>
    <w:rsid w:val="00617FEF"/>
    <w:rsid w:val="006207C9"/>
    <w:rsid w:val="00620956"/>
    <w:rsid w:val="00620BD1"/>
    <w:rsid w:val="0062110B"/>
    <w:rsid w:val="00621253"/>
    <w:rsid w:val="0062242B"/>
    <w:rsid w:val="006232B5"/>
    <w:rsid w:val="006233EA"/>
    <w:rsid w:val="006248B6"/>
    <w:rsid w:val="00625937"/>
    <w:rsid w:val="00625D91"/>
    <w:rsid w:val="00626FA3"/>
    <w:rsid w:val="006270CE"/>
    <w:rsid w:val="006272FB"/>
    <w:rsid w:val="00632F5C"/>
    <w:rsid w:val="0063321A"/>
    <w:rsid w:val="0063449A"/>
    <w:rsid w:val="00635D1F"/>
    <w:rsid w:val="006367E5"/>
    <w:rsid w:val="00637666"/>
    <w:rsid w:val="00637BD3"/>
    <w:rsid w:val="00642C2D"/>
    <w:rsid w:val="006503EC"/>
    <w:rsid w:val="00650CCF"/>
    <w:rsid w:val="00650DCC"/>
    <w:rsid w:val="00651492"/>
    <w:rsid w:val="00651582"/>
    <w:rsid w:val="00651ED3"/>
    <w:rsid w:val="00653DF9"/>
    <w:rsid w:val="00656D39"/>
    <w:rsid w:val="006574D2"/>
    <w:rsid w:val="00657B9F"/>
    <w:rsid w:val="006626DE"/>
    <w:rsid w:val="00662CB5"/>
    <w:rsid w:val="00663ECC"/>
    <w:rsid w:val="00665FCB"/>
    <w:rsid w:val="0066791E"/>
    <w:rsid w:val="00670631"/>
    <w:rsid w:val="00672BB1"/>
    <w:rsid w:val="0067335B"/>
    <w:rsid w:val="00673B48"/>
    <w:rsid w:val="00674506"/>
    <w:rsid w:val="00674A7C"/>
    <w:rsid w:val="00675B17"/>
    <w:rsid w:val="0067627B"/>
    <w:rsid w:val="0067646C"/>
    <w:rsid w:val="006765EF"/>
    <w:rsid w:val="00676D39"/>
    <w:rsid w:val="0067713E"/>
    <w:rsid w:val="006826E4"/>
    <w:rsid w:val="00682A44"/>
    <w:rsid w:val="00682B62"/>
    <w:rsid w:val="006856B5"/>
    <w:rsid w:val="00691EAF"/>
    <w:rsid w:val="0069420F"/>
    <w:rsid w:val="00697AA3"/>
    <w:rsid w:val="006A1AF3"/>
    <w:rsid w:val="006A278B"/>
    <w:rsid w:val="006A2D0F"/>
    <w:rsid w:val="006A43B6"/>
    <w:rsid w:val="006A7471"/>
    <w:rsid w:val="006B37C4"/>
    <w:rsid w:val="006B3FF1"/>
    <w:rsid w:val="006B418F"/>
    <w:rsid w:val="006B611B"/>
    <w:rsid w:val="006B6E9E"/>
    <w:rsid w:val="006C0333"/>
    <w:rsid w:val="006C2330"/>
    <w:rsid w:val="006C46A8"/>
    <w:rsid w:val="006C4A73"/>
    <w:rsid w:val="006C62F2"/>
    <w:rsid w:val="006C6D45"/>
    <w:rsid w:val="006C70A6"/>
    <w:rsid w:val="006C73B9"/>
    <w:rsid w:val="006C7E0D"/>
    <w:rsid w:val="006D023B"/>
    <w:rsid w:val="006D046D"/>
    <w:rsid w:val="006D0C42"/>
    <w:rsid w:val="006D303E"/>
    <w:rsid w:val="006D38DF"/>
    <w:rsid w:val="006D394E"/>
    <w:rsid w:val="006D5BA7"/>
    <w:rsid w:val="006D5C62"/>
    <w:rsid w:val="006D6286"/>
    <w:rsid w:val="006E174A"/>
    <w:rsid w:val="006E1A91"/>
    <w:rsid w:val="006E38A6"/>
    <w:rsid w:val="006E64AA"/>
    <w:rsid w:val="006E675D"/>
    <w:rsid w:val="006E7B3A"/>
    <w:rsid w:val="006E7E62"/>
    <w:rsid w:val="006F03E5"/>
    <w:rsid w:val="006F04B5"/>
    <w:rsid w:val="006F5493"/>
    <w:rsid w:val="00700BC7"/>
    <w:rsid w:val="00700F50"/>
    <w:rsid w:val="00705260"/>
    <w:rsid w:val="00705C48"/>
    <w:rsid w:val="00707E95"/>
    <w:rsid w:val="00710AC7"/>
    <w:rsid w:val="00710BA3"/>
    <w:rsid w:val="00710BE3"/>
    <w:rsid w:val="00710FC1"/>
    <w:rsid w:val="007122E0"/>
    <w:rsid w:val="0071283C"/>
    <w:rsid w:val="007133F8"/>
    <w:rsid w:val="00713672"/>
    <w:rsid w:val="00714DB1"/>
    <w:rsid w:val="00715BC8"/>
    <w:rsid w:val="00717E6F"/>
    <w:rsid w:val="0072089E"/>
    <w:rsid w:val="00721FDB"/>
    <w:rsid w:val="00723CE4"/>
    <w:rsid w:val="00724566"/>
    <w:rsid w:val="00724ABF"/>
    <w:rsid w:val="00725630"/>
    <w:rsid w:val="00727642"/>
    <w:rsid w:val="007331D5"/>
    <w:rsid w:val="00740443"/>
    <w:rsid w:val="00740556"/>
    <w:rsid w:val="00743F4E"/>
    <w:rsid w:val="00746394"/>
    <w:rsid w:val="007468B0"/>
    <w:rsid w:val="007506F6"/>
    <w:rsid w:val="0075253D"/>
    <w:rsid w:val="007525D0"/>
    <w:rsid w:val="00752D6C"/>
    <w:rsid w:val="007543C8"/>
    <w:rsid w:val="007544C1"/>
    <w:rsid w:val="007546F4"/>
    <w:rsid w:val="00754C4A"/>
    <w:rsid w:val="00756074"/>
    <w:rsid w:val="00757BB4"/>
    <w:rsid w:val="00762053"/>
    <w:rsid w:val="00762FB2"/>
    <w:rsid w:val="00763D60"/>
    <w:rsid w:val="00763EB9"/>
    <w:rsid w:val="00764EB3"/>
    <w:rsid w:val="00765025"/>
    <w:rsid w:val="007650B7"/>
    <w:rsid w:val="00765B0C"/>
    <w:rsid w:val="00767F73"/>
    <w:rsid w:val="007708AC"/>
    <w:rsid w:val="007718A6"/>
    <w:rsid w:val="00774E94"/>
    <w:rsid w:val="0077584A"/>
    <w:rsid w:val="00776654"/>
    <w:rsid w:val="00785F91"/>
    <w:rsid w:val="00786178"/>
    <w:rsid w:val="007869CE"/>
    <w:rsid w:val="00786BB3"/>
    <w:rsid w:val="00787E96"/>
    <w:rsid w:val="0079294E"/>
    <w:rsid w:val="0079298F"/>
    <w:rsid w:val="00793048"/>
    <w:rsid w:val="0079426B"/>
    <w:rsid w:val="00796495"/>
    <w:rsid w:val="007A2301"/>
    <w:rsid w:val="007A318C"/>
    <w:rsid w:val="007A4910"/>
    <w:rsid w:val="007A59B3"/>
    <w:rsid w:val="007A67EE"/>
    <w:rsid w:val="007A6918"/>
    <w:rsid w:val="007A7509"/>
    <w:rsid w:val="007B145A"/>
    <w:rsid w:val="007B24C4"/>
    <w:rsid w:val="007B2CF2"/>
    <w:rsid w:val="007B599B"/>
    <w:rsid w:val="007B5C7F"/>
    <w:rsid w:val="007B72D4"/>
    <w:rsid w:val="007B753E"/>
    <w:rsid w:val="007B7833"/>
    <w:rsid w:val="007C0631"/>
    <w:rsid w:val="007C0F8A"/>
    <w:rsid w:val="007C1158"/>
    <w:rsid w:val="007C12F3"/>
    <w:rsid w:val="007C21D1"/>
    <w:rsid w:val="007C2356"/>
    <w:rsid w:val="007C2A94"/>
    <w:rsid w:val="007C6D7D"/>
    <w:rsid w:val="007C7326"/>
    <w:rsid w:val="007C7586"/>
    <w:rsid w:val="007D1189"/>
    <w:rsid w:val="007D12F6"/>
    <w:rsid w:val="007D2527"/>
    <w:rsid w:val="007D3148"/>
    <w:rsid w:val="007D4165"/>
    <w:rsid w:val="007D43EE"/>
    <w:rsid w:val="007D50C1"/>
    <w:rsid w:val="007D6EB3"/>
    <w:rsid w:val="007D7360"/>
    <w:rsid w:val="007E21B6"/>
    <w:rsid w:val="007E2322"/>
    <w:rsid w:val="007E3317"/>
    <w:rsid w:val="007E4BE2"/>
    <w:rsid w:val="007E6127"/>
    <w:rsid w:val="007E75DC"/>
    <w:rsid w:val="007F36F7"/>
    <w:rsid w:val="007F484E"/>
    <w:rsid w:val="007F5442"/>
    <w:rsid w:val="007F6AA9"/>
    <w:rsid w:val="007F706B"/>
    <w:rsid w:val="007F7224"/>
    <w:rsid w:val="007F7B88"/>
    <w:rsid w:val="007F7FA1"/>
    <w:rsid w:val="0080044F"/>
    <w:rsid w:val="0080047B"/>
    <w:rsid w:val="00800E57"/>
    <w:rsid w:val="00803F1D"/>
    <w:rsid w:val="00804CF3"/>
    <w:rsid w:val="008051B0"/>
    <w:rsid w:val="00805509"/>
    <w:rsid w:val="008074E3"/>
    <w:rsid w:val="00810A0E"/>
    <w:rsid w:val="008118B6"/>
    <w:rsid w:val="0081215E"/>
    <w:rsid w:val="0081293F"/>
    <w:rsid w:val="008140E0"/>
    <w:rsid w:val="00814708"/>
    <w:rsid w:val="008155E8"/>
    <w:rsid w:val="00816173"/>
    <w:rsid w:val="00816434"/>
    <w:rsid w:val="0081785D"/>
    <w:rsid w:val="00817C22"/>
    <w:rsid w:val="008213DE"/>
    <w:rsid w:val="00823764"/>
    <w:rsid w:val="00823913"/>
    <w:rsid w:val="008239B8"/>
    <w:rsid w:val="008250B2"/>
    <w:rsid w:val="008273FF"/>
    <w:rsid w:val="00831BE7"/>
    <w:rsid w:val="00833061"/>
    <w:rsid w:val="008330CE"/>
    <w:rsid w:val="00834B84"/>
    <w:rsid w:val="00834F7E"/>
    <w:rsid w:val="00835479"/>
    <w:rsid w:val="00835D4C"/>
    <w:rsid w:val="0084154C"/>
    <w:rsid w:val="00843186"/>
    <w:rsid w:val="00843E9E"/>
    <w:rsid w:val="0084410D"/>
    <w:rsid w:val="00845FCF"/>
    <w:rsid w:val="00850C35"/>
    <w:rsid w:val="008539C8"/>
    <w:rsid w:val="00854A9A"/>
    <w:rsid w:val="00861586"/>
    <w:rsid w:val="008649A4"/>
    <w:rsid w:val="0086765E"/>
    <w:rsid w:val="00870D30"/>
    <w:rsid w:val="00870D8D"/>
    <w:rsid w:val="00872091"/>
    <w:rsid w:val="00880CEC"/>
    <w:rsid w:val="00881DE2"/>
    <w:rsid w:val="008834A0"/>
    <w:rsid w:val="00883606"/>
    <w:rsid w:val="00884CFC"/>
    <w:rsid w:val="008854C2"/>
    <w:rsid w:val="00890110"/>
    <w:rsid w:val="00890C41"/>
    <w:rsid w:val="00891789"/>
    <w:rsid w:val="008925DB"/>
    <w:rsid w:val="008929C9"/>
    <w:rsid w:val="00893102"/>
    <w:rsid w:val="0089390A"/>
    <w:rsid w:val="00893A7E"/>
    <w:rsid w:val="00895879"/>
    <w:rsid w:val="00895C5A"/>
    <w:rsid w:val="00895FCC"/>
    <w:rsid w:val="00897B2B"/>
    <w:rsid w:val="008A196F"/>
    <w:rsid w:val="008A2A93"/>
    <w:rsid w:val="008B2DC2"/>
    <w:rsid w:val="008B2F4E"/>
    <w:rsid w:val="008B3D89"/>
    <w:rsid w:val="008B3EFF"/>
    <w:rsid w:val="008B413C"/>
    <w:rsid w:val="008B4E6A"/>
    <w:rsid w:val="008B5B98"/>
    <w:rsid w:val="008B7076"/>
    <w:rsid w:val="008B7326"/>
    <w:rsid w:val="008B79A2"/>
    <w:rsid w:val="008C232C"/>
    <w:rsid w:val="008C3B95"/>
    <w:rsid w:val="008C5833"/>
    <w:rsid w:val="008C7A46"/>
    <w:rsid w:val="008D59E8"/>
    <w:rsid w:val="008D6BE1"/>
    <w:rsid w:val="008D6C90"/>
    <w:rsid w:val="008D7045"/>
    <w:rsid w:val="008D70CA"/>
    <w:rsid w:val="008D718F"/>
    <w:rsid w:val="008D7765"/>
    <w:rsid w:val="008E076A"/>
    <w:rsid w:val="008E11DF"/>
    <w:rsid w:val="008E17AF"/>
    <w:rsid w:val="008E2A0E"/>
    <w:rsid w:val="008E5FE2"/>
    <w:rsid w:val="008E675D"/>
    <w:rsid w:val="008E6F70"/>
    <w:rsid w:val="008F0F0A"/>
    <w:rsid w:val="008F1DB0"/>
    <w:rsid w:val="008F4A20"/>
    <w:rsid w:val="008F5F30"/>
    <w:rsid w:val="008F7599"/>
    <w:rsid w:val="008F7F79"/>
    <w:rsid w:val="00904388"/>
    <w:rsid w:val="009062A3"/>
    <w:rsid w:val="009066B8"/>
    <w:rsid w:val="00906C6F"/>
    <w:rsid w:val="00906CF9"/>
    <w:rsid w:val="00911299"/>
    <w:rsid w:val="00911D4F"/>
    <w:rsid w:val="00913C4C"/>
    <w:rsid w:val="00915673"/>
    <w:rsid w:val="009157E5"/>
    <w:rsid w:val="00920103"/>
    <w:rsid w:val="00920A65"/>
    <w:rsid w:val="00920D33"/>
    <w:rsid w:val="00920E05"/>
    <w:rsid w:val="009241F1"/>
    <w:rsid w:val="00927D87"/>
    <w:rsid w:val="00931407"/>
    <w:rsid w:val="009316F5"/>
    <w:rsid w:val="00931892"/>
    <w:rsid w:val="009319B4"/>
    <w:rsid w:val="00931FE0"/>
    <w:rsid w:val="0093227F"/>
    <w:rsid w:val="00932847"/>
    <w:rsid w:val="00933750"/>
    <w:rsid w:val="00933AFC"/>
    <w:rsid w:val="00934668"/>
    <w:rsid w:val="009359CE"/>
    <w:rsid w:val="009419B8"/>
    <w:rsid w:val="0094231B"/>
    <w:rsid w:val="0094334A"/>
    <w:rsid w:val="00944441"/>
    <w:rsid w:val="009459C3"/>
    <w:rsid w:val="00953156"/>
    <w:rsid w:val="0095532D"/>
    <w:rsid w:val="00955632"/>
    <w:rsid w:val="009573BA"/>
    <w:rsid w:val="00957B4A"/>
    <w:rsid w:val="00957BCC"/>
    <w:rsid w:val="00957ECF"/>
    <w:rsid w:val="0096227E"/>
    <w:rsid w:val="0096240C"/>
    <w:rsid w:val="0096385E"/>
    <w:rsid w:val="00964758"/>
    <w:rsid w:val="00967460"/>
    <w:rsid w:val="00971F1E"/>
    <w:rsid w:val="00971FFD"/>
    <w:rsid w:val="00972F9B"/>
    <w:rsid w:val="00973C1F"/>
    <w:rsid w:val="00980C19"/>
    <w:rsid w:val="00980ECA"/>
    <w:rsid w:val="0098224F"/>
    <w:rsid w:val="009824CB"/>
    <w:rsid w:val="00982ABA"/>
    <w:rsid w:val="00987D38"/>
    <w:rsid w:val="009900AA"/>
    <w:rsid w:val="00991580"/>
    <w:rsid w:val="009919DD"/>
    <w:rsid w:val="00993396"/>
    <w:rsid w:val="00994C6F"/>
    <w:rsid w:val="00995905"/>
    <w:rsid w:val="009A00FC"/>
    <w:rsid w:val="009A01B3"/>
    <w:rsid w:val="009A0447"/>
    <w:rsid w:val="009A045C"/>
    <w:rsid w:val="009A0DBD"/>
    <w:rsid w:val="009A41EC"/>
    <w:rsid w:val="009A5F47"/>
    <w:rsid w:val="009A6C83"/>
    <w:rsid w:val="009A715B"/>
    <w:rsid w:val="009B0636"/>
    <w:rsid w:val="009B245B"/>
    <w:rsid w:val="009B3419"/>
    <w:rsid w:val="009B385B"/>
    <w:rsid w:val="009B4706"/>
    <w:rsid w:val="009B4E34"/>
    <w:rsid w:val="009B5895"/>
    <w:rsid w:val="009B705E"/>
    <w:rsid w:val="009B7380"/>
    <w:rsid w:val="009C1804"/>
    <w:rsid w:val="009C18AA"/>
    <w:rsid w:val="009C4A0D"/>
    <w:rsid w:val="009C4E78"/>
    <w:rsid w:val="009C7EE2"/>
    <w:rsid w:val="009D0099"/>
    <w:rsid w:val="009D0203"/>
    <w:rsid w:val="009D05B5"/>
    <w:rsid w:val="009D0B61"/>
    <w:rsid w:val="009D1029"/>
    <w:rsid w:val="009D365B"/>
    <w:rsid w:val="009D3691"/>
    <w:rsid w:val="009D4F1D"/>
    <w:rsid w:val="009D5D08"/>
    <w:rsid w:val="009D683B"/>
    <w:rsid w:val="009D6A61"/>
    <w:rsid w:val="009D76CF"/>
    <w:rsid w:val="009D7CF1"/>
    <w:rsid w:val="009E0D6F"/>
    <w:rsid w:val="009E0DCE"/>
    <w:rsid w:val="009E3BE8"/>
    <w:rsid w:val="009E596D"/>
    <w:rsid w:val="009E5CBC"/>
    <w:rsid w:val="009E691D"/>
    <w:rsid w:val="009F06F8"/>
    <w:rsid w:val="009F0B66"/>
    <w:rsid w:val="009F1B65"/>
    <w:rsid w:val="009F1DE0"/>
    <w:rsid w:val="009F26D8"/>
    <w:rsid w:val="009F2725"/>
    <w:rsid w:val="009F2E78"/>
    <w:rsid w:val="009F5C8E"/>
    <w:rsid w:val="00A002DC"/>
    <w:rsid w:val="00A01784"/>
    <w:rsid w:val="00A01FDC"/>
    <w:rsid w:val="00A022A5"/>
    <w:rsid w:val="00A0256A"/>
    <w:rsid w:val="00A02F1C"/>
    <w:rsid w:val="00A0364B"/>
    <w:rsid w:val="00A03965"/>
    <w:rsid w:val="00A05173"/>
    <w:rsid w:val="00A05DAA"/>
    <w:rsid w:val="00A06F35"/>
    <w:rsid w:val="00A104ED"/>
    <w:rsid w:val="00A12CAF"/>
    <w:rsid w:val="00A1330C"/>
    <w:rsid w:val="00A1337C"/>
    <w:rsid w:val="00A13CE8"/>
    <w:rsid w:val="00A14735"/>
    <w:rsid w:val="00A1784A"/>
    <w:rsid w:val="00A1787F"/>
    <w:rsid w:val="00A201BC"/>
    <w:rsid w:val="00A23F20"/>
    <w:rsid w:val="00A25312"/>
    <w:rsid w:val="00A265D5"/>
    <w:rsid w:val="00A315AE"/>
    <w:rsid w:val="00A320A2"/>
    <w:rsid w:val="00A323FB"/>
    <w:rsid w:val="00A328A6"/>
    <w:rsid w:val="00A333EC"/>
    <w:rsid w:val="00A33525"/>
    <w:rsid w:val="00A33A77"/>
    <w:rsid w:val="00A34326"/>
    <w:rsid w:val="00A350DD"/>
    <w:rsid w:val="00A36C5A"/>
    <w:rsid w:val="00A37E49"/>
    <w:rsid w:val="00A4045D"/>
    <w:rsid w:val="00A41AA4"/>
    <w:rsid w:val="00A422D1"/>
    <w:rsid w:val="00A42523"/>
    <w:rsid w:val="00A42607"/>
    <w:rsid w:val="00A43B9B"/>
    <w:rsid w:val="00A44898"/>
    <w:rsid w:val="00A5007B"/>
    <w:rsid w:val="00A529FF"/>
    <w:rsid w:val="00A543C2"/>
    <w:rsid w:val="00A54E8C"/>
    <w:rsid w:val="00A56CEE"/>
    <w:rsid w:val="00A577A9"/>
    <w:rsid w:val="00A60521"/>
    <w:rsid w:val="00A61097"/>
    <w:rsid w:val="00A613A8"/>
    <w:rsid w:val="00A6155D"/>
    <w:rsid w:val="00A63028"/>
    <w:rsid w:val="00A63183"/>
    <w:rsid w:val="00A645F4"/>
    <w:rsid w:val="00A65C84"/>
    <w:rsid w:val="00A65E35"/>
    <w:rsid w:val="00A66304"/>
    <w:rsid w:val="00A7138C"/>
    <w:rsid w:val="00A7181C"/>
    <w:rsid w:val="00A72E52"/>
    <w:rsid w:val="00A73032"/>
    <w:rsid w:val="00A7660E"/>
    <w:rsid w:val="00A77FA8"/>
    <w:rsid w:val="00A81948"/>
    <w:rsid w:val="00A81F0D"/>
    <w:rsid w:val="00A81F69"/>
    <w:rsid w:val="00A8249F"/>
    <w:rsid w:val="00A8314E"/>
    <w:rsid w:val="00A904AB"/>
    <w:rsid w:val="00A939E2"/>
    <w:rsid w:val="00A96A1A"/>
    <w:rsid w:val="00A97D81"/>
    <w:rsid w:val="00AA098A"/>
    <w:rsid w:val="00AA1248"/>
    <w:rsid w:val="00AA12CE"/>
    <w:rsid w:val="00AA243E"/>
    <w:rsid w:val="00AA47DC"/>
    <w:rsid w:val="00AA4BE5"/>
    <w:rsid w:val="00AB1420"/>
    <w:rsid w:val="00AB2468"/>
    <w:rsid w:val="00AB5347"/>
    <w:rsid w:val="00AB53F1"/>
    <w:rsid w:val="00AB734F"/>
    <w:rsid w:val="00AB7580"/>
    <w:rsid w:val="00AC06C4"/>
    <w:rsid w:val="00AC1A99"/>
    <w:rsid w:val="00AC1F36"/>
    <w:rsid w:val="00AC393D"/>
    <w:rsid w:val="00AC3C70"/>
    <w:rsid w:val="00AC3FC1"/>
    <w:rsid w:val="00AC539A"/>
    <w:rsid w:val="00AC663F"/>
    <w:rsid w:val="00AC66CA"/>
    <w:rsid w:val="00AC6D6E"/>
    <w:rsid w:val="00AC71C9"/>
    <w:rsid w:val="00AC735A"/>
    <w:rsid w:val="00AD047E"/>
    <w:rsid w:val="00AD1191"/>
    <w:rsid w:val="00AD21D8"/>
    <w:rsid w:val="00AD2CB2"/>
    <w:rsid w:val="00AD452B"/>
    <w:rsid w:val="00AD5F3A"/>
    <w:rsid w:val="00AD6418"/>
    <w:rsid w:val="00AD7797"/>
    <w:rsid w:val="00AE116D"/>
    <w:rsid w:val="00AE1D20"/>
    <w:rsid w:val="00AE2394"/>
    <w:rsid w:val="00AE3BF7"/>
    <w:rsid w:val="00AE47A5"/>
    <w:rsid w:val="00AE6CB5"/>
    <w:rsid w:val="00AE6E48"/>
    <w:rsid w:val="00AE6F5E"/>
    <w:rsid w:val="00AE700A"/>
    <w:rsid w:val="00AF2045"/>
    <w:rsid w:val="00AF2C02"/>
    <w:rsid w:val="00B00E8C"/>
    <w:rsid w:val="00B02D1D"/>
    <w:rsid w:val="00B12739"/>
    <w:rsid w:val="00B136AE"/>
    <w:rsid w:val="00B1388B"/>
    <w:rsid w:val="00B14105"/>
    <w:rsid w:val="00B14966"/>
    <w:rsid w:val="00B153D1"/>
    <w:rsid w:val="00B15498"/>
    <w:rsid w:val="00B15B17"/>
    <w:rsid w:val="00B1601C"/>
    <w:rsid w:val="00B211C1"/>
    <w:rsid w:val="00B22B3C"/>
    <w:rsid w:val="00B22DC5"/>
    <w:rsid w:val="00B22F67"/>
    <w:rsid w:val="00B24BF4"/>
    <w:rsid w:val="00B260C4"/>
    <w:rsid w:val="00B26273"/>
    <w:rsid w:val="00B26813"/>
    <w:rsid w:val="00B31636"/>
    <w:rsid w:val="00B34992"/>
    <w:rsid w:val="00B352DA"/>
    <w:rsid w:val="00B35485"/>
    <w:rsid w:val="00B40FDC"/>
    <w:rsid w:val="00B41320"/>
    <w:rsid w:val="00B417EB"/>
    <w:rsid w:val="00B41803"/>
    <w:rsid w:val="00B4433D"/>
    <w:rsid w:val="00B470F6"/>
    <w:rsid w:val="00B519CD"/>
    <w:rsid w:val="00B52169"/>
    <w:rsid w:val="00B52900"/>
    <w:rsid w:val="00B530C8"/>
    <w:rsid w:val="00B5715A"/>
    <w:rsid w:val="00B57869"/>
    <w:rsid w:val="00B61182"/>
    <w:rsid w:val="00B622A3"/>
    <w:rsid w:val="00B63EBA"/>
    <w:rsid w:val="00B65565"/>
    <w:rsid w:val="00B660C7"/>
    <w:rsid w:val="00B713C1"/>
    <w:rsid w:val="00B71B96"/>
    <w:rsid w:val="00B720DA"/>
    <w:rsid w:val="00B774D7"/>
    <w:rsid w:val="00B77A79"/>
    <w:rsid w:val="00B81BDE"/>
    <w:rsid w:val="00B82AB4"/>
    <w:rsid w:val="00B837CB"/>
    <w:rsid w:val="00B83CF9"/>
    <w:rsid w:val="00B8428D"/>
    <w:rsid w:val="00B854F9"/>
    <w:rsid w:val="00B901FC"/>
    <w:rsid w:val="00B946C1"/>
    <w:rsid w:val="00B94CEA"/>
    <w:rsid w:val="00B95B28"/>
    <w:rsid w:val="00B96BBC"/>
    <w:rsid w:val="00BA3368"/>
    <w:rsid w:val="00BA4EE4"/>
    <w:rsid w:val="00BA57A6"/>
    <w:rsid w:val="00BA71C8"/>
    <w:rsid w:val="00BA7CD6"/>
    <w:rsid w:val="00BB1E93"/>
    <w:rsid w:val="00BB3015"/>
    <w:rsid w:val="00BB3A18"/>
    <w:rsid w:val="00BB61C1"/>
    <w:rsid w:val="00BB660C"/>
    <w:rsid w:val="00BB7A0C"/>
    <w:rsid w:val="00BC00D8"/>
    <w:rsid w:val="00BC386B"/>
    <w:rsid w:val="00BC4684"/>
    <w:rsid w:val="00BC55A6"/>
    <w:rsid w:val="00BC5BA0"/>
    <w:rsid w:val="00BC6163"/>
    <w:rsid w:val="00BC71E3"/>
    <w:rsid w:val="00BC7B34"/>
    <w:rsid w:val="00BD0F15"/>
    <w:rsid w:val="00BD1E6E"/>
    <w:rsid w:val="00BD314A"/>
    <w:rsid w:val="00BD3F4F"/>
    <w:rsid w:val="00BD53DB"/>
    <w:rsid w:val="00BD7536"/>
    <w:rsid w:val="00BD7DAE"/>
    <w:rsid w:val="00BE0952"/>
    <w:rsid w:val="00BE16BB"/>
    <w:rsid w:val="00BE473F"/>
    <w:rsid w:val="00BE6E28"/>
    <w:rsid w:val="00BE752F"/>
    <w:rsid w:val="00BF081A"/>
    <w:rsid w:val="00BF2F59"/>
    <w:rsid w:val="00BF4875"/>
    <w:rsid w:val="00BF530B"/>
    <w:rsid w:val="00BF54AF"/>
    <w:rsid w:val="00C00764"/>
    <w:rsid w:val="00C01D93"/>
    <w:rsid w:val="00C01F1F"/>
    <w:rsid w:val="00C0263C"/>
    <w:rsid w:val="00C036C2"/>
    <w:rsid w:val="00C048DF"/>
    <w:rsid w:val="00C05AF5"/>
    <w:rsid w:val="00C05F15"/>
    <w:rsid w:val="00C064EC"/>
    <w:rsid w:val="00C070C2"/>
    <w:rsid w:val="00C07796"/>
    <w:rsid w:val="00C109B3"/>
    <w:rsid w:val="00C11CD8"/>
    <w:rsid w:val="00C12B89"/>
    <w:rsid w:val="00C12F3E"/>
    <w:rsid w:val="00C13A3F"/>
    <w:rsid w:val="00C14291"/>
    <w:rsid w:val="00C16CC4"/>
    <w:rsid w:val="00C201B3"/>
    <w:rsid w:val="00C205E4"/>
    <w:rsid w:val="00C210A1"/>
    <w:rsid w:val="00C2230C"/>
    <w:rsid w:val="00C2232A"/>
    <w:rsid w:val="00C22980"/>
    <w:rsid w:val="00C25E8C"/>
    <w:rsid w:val="00C26D08"/>
    <w:rsid w:val="00C308AD"/>
    <w:rsid w:val="00C32F9F"/>
    <w:rsid w:val="00C342CB"/>
    <w:rsid w:val="00C34FFF"/>
    <w:rsid w:val="00C361F2"/>
    <w:rsid w:val="00C36C6F"/>
    <w:rsid w:val="00C36F2B"/>
    <w:rsid w:val="00C3791E"/>
    <w:rsid w:val="00C436A3"/>
    <w:rsid w:val="00C43C8D"/>
    <w:rsid w:val="00C443CA"/>
    <w:rsid w:val="00C446F9"/>
    <w:rsid w:val="00C45148"/>
    <w:rsid w:val="00C4585C"/>
    <w:rsid w:val="00C45AD7"/>
    <w:rsid w:val="00C4648F"/>
    <w:rsid w:val="00C47613"/>
    <w:rsid w:val="00C47B5F"/>
    <w:rsid w:val="00C503C2"/>
    <w:rsid w:val="00C50EF3"/>
    <w:rsid w:val="00C517BD"/>
    <w:rsid w:val="00C51FB6"/>
    <w:rsid w:val="00C52978"/>
    <w:rsid w:val="00C52D8D"/>
    <w:rsid w:val="00C53BE6"/>
    <w:rsid w:val="00C54BF6"/>
    <w:rsid w:val="00C55AA1"/>
    <w:rsid w:val="00C60859"/>
    <w:rsid w:val="00C6484C"/>
    <w:rsid w:val="00C64B6E"/>
    <w:rsid w:val="00C65281"/>
    <w:rsid w:val="00C65B4E"/>
    <w:rsid w:val="00C65D2D"/>
    <w:rsid w:val="00C67101"/>
    <w:rsid w:val="00C70493"/>
    <w:rsid w:val="00C70791"/>
    <w:rsid w:val="00C73FDC"/>
    <w:rsid w:val="00C75BE2"/>
    <w:rsid w:val="00C75DC6"/>
    <w:rsid w:val="00C77304"/>
    <w:rsid w:val="00C773D5"/>
    <w:rsid w:val="00C808C2"/>
    <w:rsid w:val="00C81104"/>
    <w:rsid w:val="00C82C2B"/>
    <w:rsid w:val="00C83705"/>
    <w:rsid w:val="00C83DFB"/>
    <w:rsid w:val="00C86C5F"/>
    <w:rsid w:val="00C872CF"/>
    <w:rsid w:val="00C875F9"/>
    <w:rsid w:val="00C87BE5"/>
    <w:rsid w:val="00C905F6"/>
    <w:rsid w:val="00C90B2F"/>
    <w:rsid w:val="00C911D8"/>
    <w:rsid w:val="00C91887"/>
    <w:rsid w:val="00C929F8"/>
    <w:rsid w:val="00C92A0A"/>
    <w:rsid w:val="00C92B7B"/>
    <w:rsid w:val="00C937D8"/>
    <w:rsid w:val="00C95FFE"/>
    <w:rsid w:val="00C961F5"/>
    <w:rsid w:val="00C962D7"/>
    <w:rsid w:val="00C967E9"/>
    <w:rsid w:val="00C9705E"/>
    <w:rsid w:val="00CA15B7"/>
    <w:rsid w:val="00CA1E5D"/>
    <w:rsid w:val="00CA1EE0"/>
    <w:rsid w:val="00CA4FE4"/>
    <w:rsid w:val="00CB18D6"/>
    <w:rsid w:val="00CB2A8B"/>
    <w:rsid w:val="00CB2D1B"/>
    <w:rsid w:val="00CB33E8"/>
    <w:rsid w:val="00CB3D12"/>
    <w:rsid w:val="00CB53C2"/>
    <w:rsid w:val="00CB7691"/>
    <w:rsid w:val="00CC0576"/>
    <w:rsid w:val="00CC16F1"/>
    <w:rsid w:val="00CC3A03"/>
    <w:rsid w:val="00CC5716"/>
    <w:rsid w:val="00CC745A"/>
    <w:rsid w:val="00CD3370"/>
    <w:rsid w:val="00CD349A"/>
    <w:rsid w:val="00CD3526"/>
    <w:rsid w:val="00CD4558"/>
    <w:rsid w:val="00CD5247"/>
    <w:rsid w:val="00CD55BE"/>
    <w:rsid w:val="00CD654D"/>
    <w:rsid w:val="00CD7A03"/>
    <w:rsid w:val="00CE08E3"/>
    <w:rsid w:val="00CE11D9"/>
    <w:rsid w:val="00CE1B31"/>
    <w:rsid w:val="00CE31D1"/>
    <w:rsid w:val="00CE50B7"/>
    <w:rsid w:val="00CE59C9"/>
    <w:rsid w:val="00CE6220"/>
    <w:rsid w:val="00CF13F6"/>
    <w:rsid w:val="00CF234D"/>
    <w:rsid w:val="00CF384A"/>
    <w:rsid w:val="00CF5374"/>
    <w:rsid w:val="00CF5D81"/>
    <w:rsid w:val="00CF60F3"/>
    <w:rsid w:val="00CF67AD"/>
    <w:rsid w:val="00CF76A3"/>
    <w:rsid w:val="00CF7768"/>
    <w:rsid w:val="00D01B9F"/>
    <w:rsid w:val="00D02523"/>
    <w:rsid w:val="00D030EB"/>
    <w:rsid w:val="00D03FD0"/>
    <w:rsid w:val="00D052B5"/>
    <w:rsid w:val="00D06019"/>
    <w:rsid w:val="00D06ABC"/>
    <w:rsid w:val="00D07C48"/>
    <w:rsid w:val="00D10E6A"/>
    <w:rsid w:val="00D12281"/>
    <w:rsid w:val="00D17DEB"/>
    <w:rsid w:val="00D17EA1"/>
    <w:rsid w:val="00D20B67"/>
    <w:rsid w:val="00D20BCD"/>
    <w:rsid w:val="00D228B3"/>
    <w:rsid w:val="00D23C13"/>
    <w:rsid w:val="00D253B6"/>
    <w:rsid w:val="00D3089C"/>
    <w:rsid w:val="00D31EC8"/>
    <w:rsid w:val="00D332CB"/>
    <w:rsid w:val="00D34D5C"/>
    <w:rsid w:val="00D34ED4"/>
    <w:rsid w:val="00D35ED8"/>
    <w:rsid w:val="00D3655F"/>
    <w:rsid w:val="00D40124"/>
    <w:rsid w:val="00D40DEB"/>
    <w:rsid w:val="00D4454A"/>
    <w:rsid w:val="00D448E1"/>
    <w:rsid w:val="00D465D5"/>
    <w:rsid w:val="00D47635"/>
    <w:rsid w:val="00D47EE5"/>
    <w:rsid w:val="00D5023E"/>
    <w:rsid w:val="00D5454F"/>
    <w:rsid w:val="00D554D4"/>
    <w:rsid w:val="00D55828"/>
    <w:rsid w:val="00D57477"/>
    <w:rsid w:val="00D57545"/>
    <w:rsid w:val="00D57817"/>
    <w:rsid w:val="00D57DFB"/>
    <w:rsid w:val="00D61C13"/>
    <w:rsid w:val="00D62078"/>
    <w:rsid w:val="00D62256"/>
    <w:rsid w:val="00D630A7"/>
    <w:rsid w:val="00D6431A"/>
    <w:rsid w:val="00D651C1"/>
    <w:rsid w:val="00D666CB"/>
    <w:rsid w:val="00D66D06"/>
    <w:rsid w:val="00D70111"/>
    <w:rsid w:val="00D711E7"/>
    <w:rsid w:val="00D718F4"/>
    <w:rsid w:val="00D71973"/>
    <w:rsid w:val="00D7276E"/>
    <w:rsid w:val="00D72B5A"/>
    <w:rsid w:val="00D750D3"/>
    <w:rsid w:val="00D7646E"/>
    <w:rsid w:val="00D76503"/>
    <w:rsid w:val="00D768E5"/>
    <w:rsid w:val="00D77274"/>
    <w:rsid w:val="00D775D3"/>
    <w:rsid w:val="00D80959"/>
    <w:rsid w:val="00D80DBD"/>
    <w:rsid w:val="00D81725"/>
    <w:rsid w:val="00D834E8"/>
    <w:rsid w:val="00D839EF"/>
    <w:rsid w:val="00D83E25"/>
    <w:rsid w:val="00D85952"/>
    <w:rsid w:val="00D86018"/>
    <w:rsid w:val="00D9054B"/>
    <w:rsid w:val="00D9055E"/>
    <w:rsid w:val="00D91796"/>
    <w:rsid w:val="00D92788"/>
    <w:rsid w:val="00D92D3D"/>
    <w:rsid w:val="00D93434"/>
    <w:rsid w:val="00D938FF"/>
    <w:rsid w:val="00D9442A"/>
    <w:rsid w:val="00D94E46"/>
    <w:rsid w:val="00D95990"/>
    <w:rsid w:val="00D9655B"/>
    <w:rsid w:val="00DA0F17"/>
    <w:rsid w:val="00DA29B2"/>
    <w:rsid w:val="00DA5069"/>
    <w:rsid w:val="00DA5416"/>
    <w:rsid w:val="00DA6EB1"/>
    <w:rsid w:val="00DA7C48"/>
    <w:rsid w:val="00DB01C9"/>
    <w:rsid w:val="00DB1DE1"/>
    <w:rsid w:val="00DB2E74"/>
    <w:rsid w:val="00DB3FE6"/>
    <w:rsid w:val="00DB44C8"/>
    <w:rsid w:val="00DB4ECA"/>
    <w:rsid w:val="00DB6D6E"/>
    <w:rsid w:val="00DB7715"/>
    <w:rsid w:val="00DC1B77"/>
    <w:rsid w:val="00DC1C44"/>
    <w:rsid w:val="00DC22BB"/>
    <w:rsid w:val="00DC2C87"/>
    <w:rsid w:val="00DC320C"/>
    <w:rsid w:val="00DC6B2C"/>
    <w:rsid w:val="00DC6F50"/>
    <w:rsid w:val="00DC77C2"/>
    <w:rsid w:val="00DD026C"/>
    <w:rsid w:val="00DD160A"/>
    <w:rsid w:val="00DD1F13"/>
    <w:rsid w:val="00DD210F"/>
    <w:rsid w:val="00DD3285"/>
    <w:rsid w:val="00DD6C66"/>
    <w:rsid w:val="00DD6CAB"/>
    <w:rsid w:val="00DD761D"/>
    <w:rsid w:val="00DE2E2C"/>
    <w:rsid w:val="00DE3702"/>
    <w:rsid w:val="00DE3D6C"/>
    <w:rsid w:val="00DE455A"/>
    <w:rsid w:val="00DE456E"/>
    <w:rsid w:val="00DE4F73"/>
    <w:rsid w:val="00DE74C1"/>
    <w:rsid w:val="00DE7CB3"/>
    <w:rsid w:val="00DF04C7"/>
    <w:rsid w:val="00DF23BC"/>
    <w:rsid w:val="00DF3C94"/>
    <w:rsid w:val="00DF4569"/>
    <w:rsid w:val="00DF48EF"/>
    <w:rsid w:val="00DF4AED"/>
    <w:rsid w:val="00DF5A78"/>
    <w:rsid w:val="00DF5C3D"/>
    <w:rsid w:val="00DF7A96"/>
    <w:rsid w:val="00E02925"/>
    <w:rsid w:val="00E02CB7"/>
    <w:rsid w:val="00E0305A"/>
    <w:rsid w:val="00E03F76"/>
    <w:rsid w:val="00E07B55"/>
    <w:rsid w:val="00E1156A"/>
    <w:rsid w:val="00E128DC"/>
    <w:rsid w:val="00E12F24"/>
    <w:rsid w:val="00E12FAB"/>
    <w:rsid w:val="00E13814"/>
    <w:rsid w:val="00E14253"/>
    <w:rsid w:val="00E15D46"/>
    <w:rsid w:val="00E1661E"/>
    <w:rsid w:val="00E20E2D"/>
    <w:rsid w:val="00E20F4C"/>
    <w:rsid w:val="00E2322D"/>
    <w:rsid w:val="00E23CDB"/>
    <w:rsid w:val="00E2400F"/>
    <w:rsid w:val="00E26B39"/>
    <w:rsid w:val="00E26C4A"/>
    <w:rsid w:val="00E27225"/>
    <w:rsid w:val="00E349BF"/>
    <w:rsid w:val="00E35C03"/>
    <w:rsid w:val="00E35DA7"/>
    <w:rsid w:val="00E368C6"/>
    <w:rsid w:val="00E37BF0"/>
    <w:rsid w:val="00E40F30"/>
    <w:rsid w:val="00E414B6"/>
    <w:rsid w:val="00E42E00"/>
    <w:rsid w:val="00E45644"/>
    <w:rsid w:val="00E462EE"/>
    <w:rsid w:val="00E471B9"/>
    <w:rsid w:val="00E4759A"/>
    <w:rsid w:val="00E47935"/>
    <w:rsid w:val="00E505C0"/>
    <w:rsid w:val="00E506B1"/>
    <w:rsid w:val="00E51183"/>
    <w:rsid w:val="00E529B9"/>
    <w:rsid w:val="00E52B23"/>
    <w:rsid w:val="00E53EB9"/>
    <w:rsid w:val="00E53FBF"/>
    <w:rsid w:val="00E54B23"/>
    <w:rsid w:val="00E5799D"/>
    <w:rsid w:val="00E628CC"/>
    <w:rsid w:val="00E63A92"/>
    <w:rsid w:val="00E63DA9"/>
    <w:rsid w:val="00E6436A"/>
    <w:rsid w:val="00E65030"/>
    <w:rsid w:val="00E70EC4"/>
    <w:rsid w:val="00E71056"/>
    <w:rsid w:val="00E7127D"/>
    <w:rsid w:val="00E71C46"/>
    <w:rsid w:val="00E726EA"/>
    <w:rsid w:val="00E7481F"/>
    <w:rsid w:val="00E748B4"/>
    <w:rsid w:val="00E74F27"/>
    <w:rsid w:val="00E753F5"/>
    <w:rsid w:val="00E75C4E"/>
    <w:rsid w:val="00E75CDB"/>
    <w:rsid w:val="00E76F43"/>
    <w:rsid w:val="00E81FBB"/>
    <w:rsid w:val="00E82111"/>
    <w:rsid w:val="00E83053"/>
    <w:rsid w:val="00E85FFE"/>
    <w:rsid w:val="00E860B2"/>
    <w:rsid w:val="00E901DF"/>
    <w:rsid w:val="00E90AC7"/>
    <w:rsid w:val="00E90EFD"/>
    <w:rsid w:val="00E915F4"/>
    <w:rsid w:val="00E92D60"/>
    <w:rsid w:val="00E92FF0"/>
    <w:rsid w:val="00E968F9"/>
    <w:rsid w:val="00E972B6"/>
    <w:rsid w:val="00EA146C"/>
    <w:rsid w:val="00EA290A"/>
    <w:rsid w:val="00EA3640"/>
    <w:rsid w:val="00EA373B"/>
    <w:rsid w:val="00EA3AB5"/>
    <w:rsid w:val="00EA50E3"/>
    <w:rsid w:val="00EA5603"/>
    <w:rsid w:val="00EA5791"/>
    <w:rsid w:val="00EA5AAD"/>
    <w:rsid w:val="00EA7C0B"/>
    <w:rsid w:val="00EB267C"/>
    <w:rsid w:val="00EB2732"/>
    <w:rsid w:val="00EB27E6"/>
    <w:rsid w:val="00EB37BE"/>
    <w:rsid w:val="00EB5CD7"/>
    <w:rsid w:val="00EB7C42"/>
    <w:rsid w:val="00EC0B61"/>
    <w:rsid w:val="00EC43A1"/>
    <w:rsid w:val="00EC4B6F"/>
    <w:rsid w:val="00ED0A2F"/>
    <w:rsid w:val="00ED165B"/>
    <w:rsid w:val="00ED3E9B"/>
    <w:rsid w:val="00ED40E1"/>
    <w:rsid w:val="00ED55FE"/>
    <w:rsid w:val="00ED7292"/>
    <w:rsid w:val="00ED732D"/>
    <w:rsid w:val="00EE1E3D"/>
    <w:rsid w:val="00EE3A7B"/>
    <w:rsid w:val="00EE62CB"/>
    <w:rsid w:val="00EE72D7"/>
    <w:rsid w:val="00EE7A95"/>
    <w:rsid w:val="00EE7C79"/>
    <w:rsid w:val="00EF197A"/>
    <w:rsid w:val="00EF2C71"/>
    <w:rsid w:val="00EF4B19"/>
    <w:rsid w:val="00EF6354"/>
    <w:rsid w:val="00EF6537"/>
    <w:rsid w:val="00EF6BFD"/>
    <w:rsid w:val="00EF71CB"/>
    <w:rsid w:val="00EF72BE"/>
    <w:rsid w:val="00EF7FE5"/>
    <w:rsid w:val="00F008D3"/>
    <w:rsid w:val="00F0091B"/>
    <w:rsid w:val="00F00D4A"/>
    <w:rsid w:val="00F0104C"/>
    <w:rsid w:val="00F01B79"/>
    <w:rsid w:val="00F04184"/>
    <w:rsid w:val="00F05F85"/>
    <w:rsid w:val="00F06C7F"/>
    <w:rsid w:val="00F07BEC"/>
    <w:rsid w:val="00F104E8"/>
    <w:rsid w:val="00F112FC"/>
    <w:rsid w:val="00F119B5"/>
    <w:rsid w:val="00F12134"/>
    <w:rsid w:val="00F12B35"/>
    <w:rsid w:val="00F15649"/>
    <w:rsid w:val="00F164DC"/>
    <w:rsid w:val="00F172FF"/>
    <w:rsid w:val="00F1757C"/>
    <w:rsid w:val="00F17746"/>
    <w:rsid w:val="00F1796A"/>
    <w:rsid w:val="00F20B2E"/>
    <w:rsid w:val="00F20FA9"/>
    <w:rsid w:val="00F21044"/>
    <w:rsid w:val="00F21A82"/>
    <w:rsid w:val="00F22D75"/>
    <w:rsid w:val="00F237D9"/>
    <w:rsid w:val="00F239F9"/>
    <w:rsid w:val="00F2404D"/>
    <w:rsid w:val="00F24BE6"/>
    <w:rsid w:val="00F24DB5"/>
    <w:rsid w:val="00F26067"/>
    <w:rsid w:val="00F2637B"/>
    <w:rsid w:val="00F26A4F"/>
    <w:rsid w:val="00F27F4A"/>
    <w:rsid w:val="00F3251C"/>
    <w:rsid w:val="00F32B3F"/>
    <w:rsid w:val="00F3318F"/>
    <w:rsid w:val="00F33813"/>
    <w:rsid w:val="00F35324"/>
    <w:rsid w:val="00F35935"/>
    <w:rsid w:val="00F362FC"/>
    <w:rsid w:val="00F3644F"/>
    <w:rsid w:val="00F40EC0"/>
    <w:rsid w:val="00F422F2"/>
    <w:rsid w:val="00F42AF1"/>
    <w:rsid w:val="00F42C06"/>
    <w:rsid w:val="00F42E1A"/>
    <w:rsid w:val="00F43A76"/>
    <w:rsid w:val="00F45142"/>
    <w:rsid w:val="00F45955"/>
    <w:rsid w:val="00F4690D"/>
    <w:rsid w:val="00F47A10"/>
    <w:rsid w:val="00F47BEA"/>
    <w:rsid w:val="00F51531"/>
    <w:rsid w:val="00F51EB7"/>
    <w:rsid w:val="00F51F8E"/>
    <w:rsid w:val="00F55DEF"/>
    <w:rsid w:val="00F55FB0"/>
    <w:rsid w:val="00F57846"/>
    <w:rsid w:val="00F6043F"/>
    <w:rsid w:val="00F612FF"/>
    <w:rsid w:val="00F62040"/>
    <w:rsid w:val="00F62AB8"/>
    <w:rsid w:val="00F6331D"/>
    <w:rsid w:val="00F654B1"/>
    <w:rsid w:val="00F66746"/>
    <w:rsid w:val="00F71708"/>
    <w:rsid w:val="00F7177B"/>
    <w:rsid w:val="00F7211B"/>
    <w:rsid w:val="00F7242B"/>
    <w:rsid w:val="00F72558"/>
    <w:rsid w:val="00F7627F"/>
    <w:rsid w:val="00F805AE"/>
    <w:rsid w:val="00F80AB9"/>
    <w:rsid w:val="00F81F70"/>
    <w:rsid w:val="00F82853"/>
    <w:rsid w:val="00F83DBD"/>
    <w:rsid w:val="00F84CDB"/>
    <w:rsid w:val="00F91748"/>
    <w:rsid w:val="00F9419E"/>
    <w:rsid w:val="00F95B52"/>
    <w:rsid w:val="00F9680B"/>
    <w:rsid w:val="00F97223"/>
    <w:rsid w:val="00F973A4"/>
    <w:rsid w:val="00FA147B"/>
    <w:rsid w:val="00FA23CC"/>
    <w:rsid w:val="00FA2F3D"/>
    <w:rsid w:val="00FA3427"/>
    <w:rsid w:val="00FA552E"/>
    <w:rsid w:val="00FA66D5"/>
    <w:rsid w:val="00FA7E0E"/>
    <w:rsid w:val="00FB0925"/>
    <w:rsid w:val="00FB1BC6"/>
    <w:rsid w:val="00FB1D2C"/>
    <w:rsid w:val="00FB250F"/>
    <w:rsid w:val="00FB2F95"/>
    <w:rsid w:val="00FB4801"/>
    <w:rsid w:val="00FB511A"/>
    <w:rsid w:val="00FB59E8"/>
    <w:rsid w:val="00FB7E1F"/>
    <w:rsid w:val="00FC0420"/>
    <w:rsid w:val="00FC37FF"/>
    <w:rsid w:val="00FC3815"/>
    <w:rsid w:val="00FC4FDE"/>
    <w:rsid w:val="00FC6435"/>
    <w:rsid w:val="00FC7315"/>
    <w:rsid w:val="00FD04BF"/>
    <w:rsid w:val="00FD0B3B"/>
    <w:rsid w:val="00FD1136"/>
    <w:rsid w:val="00FD1645"/>
    <w:rsid w:val="00FD16EB"/>
    <w:rsid w:val="00FD1DE5"/>
    <w:rsid w:val="00FD61C7"/>
    <w:rsid w:val="00FD69D7"/>
    <w:rsid w:val="00FD6C74"/>
    <w:rsid w:val="00FD6F34"/>
    <w:rsid w:val="00FD71E1"/>
    <w:rsid w:val="00FE0B74"/>
    <w:rsid w:val="00FE3176"/>
    <w:rsid w:val="00FE687D"/>
    <w:rsid w:val="00FE6AD0"/>
    <w:rsid w:val="00FE70E9"/>
    <w:rsid w:val="00FE7D50"/>
    <w:rsid w:val="00FF0714"/>
    <w:rsid w:val="00FF189F"/>
    <w:rsid w:val="00FF365E"/>
    <w:rsid w:val="00FF43B2"/>
    <w:rsid w:val="00FF5DE3"/>
    <w:rsid w:val="00FF7F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A39"/>
    <w:pPr>
      <w:keepNext/>
      <w:keepLines/>
      <w:spacing w:before="200" w:line="276" w:lineRule="auto"/>
      <w:ind w:left="1152" w:hanging="432"/>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rsid w:val="001F1A39"/>
    <w:pPr>
      <w:keepNext/>
      <w:keepLines/>
      <w:spacing w:before="200" w:line="276" w:lineRule="auto"/>
      <w:ind w:left="1296" w:hanging="288"/>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1F1A39"/>
    <w:pPr>
      <w:keepNext/>
      <w:keepLines/>
      <w:spacing w:before="200" w:line="276" w:lineRule="auto"/>
      <w:ind w:left="1440" w:hanging="432"/>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1F1A39"/>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35D22"/>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uiPriority w:val="10"/>
    <w:qFormat/>
    <w:rsid w:val="00CD349A"/>
    <w:pPr>
      <w:spacing w:before="480"/>
    </w:pPr>
    <w:rPr>
      <w:rFonts w:ascii="Arial" w:hAnsi="Arial" w:cs="Arial"/>
      <w:b/>
      <w:bCs/>
      <w:sz w:val="40"/>
      <w:szCs w:val="40"/>
    </w:rPr>
  </w:style>
  <w:style w:type="character" w:customStyle="1" w:styleId="TitleChar">
    <w:name w:val="Title Char"/>
    <w:basedOn w:val="DefaultParagraphFont"/>
    <w:link w:val="Title"/>
    <w:uiPriority w:val="10"/>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uiPriority w:val="99"/>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uiPriority w:val="99"/>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uiPriority w:val="99"/>
    <w:rsid w:val="009E5CBC"/>
    <w:pPr>
      <w:ind w:left="4252"/>
    </w:pPr>
  </w:style>
  <w:style w:type="character" w:customStyle="1" w:styleId="ClosingChar">
    <w:name w:val="Closing Char"/>
    <w:basedOn w:val="DefaultParagraphFont"/>
    <w:link w:val="Closing"/>
    <w:uiPriority w:val="99"/>
    <w:rsid w:val="009E5CBC"/>
    <w:rPr>
      <w:rFonts w:eastAsia="Times New Roman"/>
      <w:sz w:val="24"/>
      <w:szCs w:val="24"/>
      <w:lang w:eastAsia="en-AU"/>
    </w:rPr>
  </w:style>
  <w:style w:type="paragraph" w:styleId="FootnoteText">
    <w:name w:val="footnote text"/>
    <w:basedOn w:val="Normal"/>
    <w:link w:val="FootnoteTextChar"/>
    <w:uiPriority w:val="99"/>
    <w:unhideWhenUsed/>
    <w:qFormat/>
    <w:rsid w:val="00FD1DE5"/>
    <w:rPr>
      <w:rFonts w:ascii="Calibri" w:hAnsi="Calibri"/>
      <w:sz w:val="20"/>
      <w:szCs w:val="20"/>
      <w:lang w:eastAsia="en-US"/>
    </w:rPr>
  </w:style>
  <w:style w:type="character" w:customStyle="1" w:styleId="FootnoteTextChar">
    <w:name w:val="Footnote Text Char"/>
    <w:basedOn w:val="DefaultParagraphFont"/>
    <w:link w:val="FootnoteText"/>
    <w:uiPriority w:val="99"/>
    <w:rsid w:val="00FD1DE5"/>
    <w:rPr>
      <w:rFonts w:ascii="Calibri" w:eastAsia="Times New Roman" w:hAnsi="Calibri"/>
    </w:rPr>
  </w:style>
  <w:style w:type="character" w:styleId="FootnoteReference">
    <w:name w:val="footnote reference"/>
    <w:basedOn w:val="DefaultParagraphFont"/>
    <w:uiPriority w:val="99"/>
    <w:unhideWhenUsed/>
    <w:rsid w:val="00FD1DE5"/>
    <w:rPr>
      <w:rFonts w:cs="Times New Roman"/>
      <w:vertAlign w:val="superscript"/>
    </w:rPr>
  </w:style>
  <w:style w:type="character" w:customStyle="1" w:styleId="ssens">
    <w:name w:val="ssens"/>
    <w:basedOn w:val="DefaultParagraphFont"/>
    <w:rsid w:val="00FD1DE5"/>
  </w:style>
  <w:style w:type="character" w:customStyle="1" w:styleId="Heading6Char">
    <w:name w:val="Heading 6 Char"/>
    <w:basedOn w:val="DefaultParagraphFont"/>
    <w:link w:val="Heading6"/>
    <w:uiPriority w:val="9"/>
    <w:semiHidden/>
    <w:rsid w:val="001F1A39"/>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1F1A3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1F1A39"/>
    <w:rPr>
      <w:rFonts w:ascii="Cambria" w:eastAsia="Times New Roman" w:hAnsi="Cambria"/>
      <w:color w:val="404040"/>
    </w:rPr>
  </w:style>
  <w:style w:type="character" w:customStyle="1" w:styleId="Heading9Char">
    <w:name w:val="Heading 9 Char"/>
    <w:basedOn w:val="DefaultParagraphFont"/>
    <w:link w:val="Heading9"/>
    <w:uiPriority w:val="9"/>
    <w:semiHidden/>
    <w:rsid w:val="001F1A39"/>
    <w:rPr>
      <w:rFonts w:ascii="Cambria" w:eastAsia="Times New Roman" w:hAnsi="Cambria"/>
      <w:i/>
      <w:iCs/>
      <w:color w:val="404040"/>
    </w:rPr>
  </w:style>
  <w:style w:type="paragraph" w:customStyle="1" w:styleId="Bullet">
    <w:name w:val="Bullet"/>
    <w:aliases w:val="b,Body,bullet,bu,B,b Char Char Char Char Char Char Char Char,b Char Char Char,b Char Char Char Char Char Char,b Char Char,Body Char1 Char1,body,Body1"/>
    <w:basedOn w:val="Normal"/>
    <w:link w:val="BulletChar"/>
    <w:qFormat/>
    <w:rsid w:val="001F1A39"/>
    <w:pPr>
      <w:numPr>
        <w:numId w:val="2"/>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1F1A39"/>
    <w:rPr>
      <w:rFonts w:ascii="Calibri" w:eastAsia="Times New Roman" w:hAnsi="Calibri"/>
      <w:sz w:val="22"/>
      <w:szCs w:val="22"/>
    </w:rPr>
  </w:style>
  <w:style w:type="paragraph" w:customStyle="1" w:styleId="Dash">
    <w:name w:val="Dash"/>
    <w:basedOn w:val="Normal"/>
    <w:link w:val="DashChar"/>
    <w:qFormat/>
    <w:rsid w:val="001F1A39"/>
    <w:pPr>
      <w:numPr>
        <w:ilvl w:val="1"/>
        <w:numId w:val="2"/>
      </w:numPr>
      <w:spacing w:before="120" w:after="120" w:line="276" w:lineRule="auto"/>
    </w:pPr>
    <w:rPr>
      <w:rFonts w:ascii="Calibri" w:hAnsi="Calibri"/>
      <w:sz w:val="22"/>
      <w:szCs w:val="22"/>
      <w:lang w:eastAsia="en-US"/>
    </w:rPr>
  </w:style>
  <w:style w:type="character" w:customStyle="1" w:styleId="DashChar">
    <w:name w:val="Dash Char"/>
    <w:basedOn w:val="DefaultParagraphFont"/>
    <w:link w:val="Dash"/>
    <w:locked/>
    <w:rsid w:val="001F1A39"/>
    <w:rPr>
      <w:rFonts w:ascii="Calibri" w:eastAsia="Times New Roman" w:hAnsi="Calibri"/>
      <w:sz w:val="22"/>
      <w:szCs w:val="22"/>
    </w:rPr>
  </w:style>
  <w:style w:type="paragraph" w:customStyle="1" w:styleId="DoubleDot">
    <w:name w:val="Double Dot"/>
    <w:basedOn w:val="Normal"/>
    <w:link w:val="DoubleDotChar"/>
    <w:rsid w:val="001F1A39"/>
    <w:pPr>
      <w:numPr>
        <w:ilvl w:val="2"/>
        <w:numId w:val="2"/>
      </w:numPr>
      <w:spacing w:before="120" w:after="120" w:line="276" w:lineRule="auto"/>
    </w:pPr>
    <w:rPr>
      <w:rFonts w:ascii="Calibri" w:hAnsi="Calibri"/>
      <w:sz w:val="22"/>
      <w:szCs w:val="22"/>
      <w:lang w:eastAsia="en-US"/>
    </w:rPr>
  </w:style>
  <w:style w:type="character" w:customStyle="1" w:styleId="DoubleDotChar">
    <w:name w:val="Double Dot Char"/>
    <w:basedOn w:val="DefaultParagraphFont"/>
    <w:link w:val="DoubleDot"/>
    <w:locked/>
    <w:rsid w:val="001F1A39"/>
    <w:rPr>
      <w:rFonts w:ascii="Calibri" w:eastAsia="Times New Roman" w:hAnsi="Calibri"/>
      <w:sz w:val="22"/>
      <w:szCs w:val="22"/>
    </w:rPr>
  </w:style>
  <w:style w:type="character" w:styleId="Emphasis">
    <w:name w:val="Emphasis"/>
    <w:basedOn w:val="DefaultParagraphFont"/>
    <w:uiPriority w:val="20"/>
    <w:qFormat/>
    <w:rsid w:val="001F1A39"/>
    <w:rPr>
      <w:rFonts w:cs="Times New Roman"/>
      <w:b/>
      <w:bCs/>
    </w:rPr>
  </w:style>
  <w:style w:type="paragraph" w:customStyle="1" w:styleId="OutlineNumbered1">
    <w:name w:val="Outline Numbered 1"/>
    <w:basedOn w:val="Normal"/>
    <w:link w:val="OutlineNumbered1Char"/>
    <w:rsid w:val="001F1A39"/>
    <w:pPr>
      <w:numPr>
        <w:numId w:val="3"/>
      </w:numPr>
      <w:spacing w:before="120" w:after="120" w:line="276" w:lineRule="auto"/>
    </w:pPr>
    <w:rPr>
      <w:rFonts w:ascii="Calibri" w:hAnsi="Calibri"/>
      <w:sz w:val="22"/>
      <w:szCs w:val="22"/>
      <w:lang w:eastAsia="en-US"/>
    </w:rPr>
  </w:style>
  <w:style w:type="character" w:customStyle="1" w:styleId="OutlineNumbered1Char">
    <w:name w:val="Outline Numbered 1 Char"/>
    <w:basedOn w:val="BulletChar"/>
    <w:link w:val="OutlineNumbered1"/>
    <w:locked/>
    <w:rsid w:val="001F1A39"/>
    <w:rPr>
      <w:rFonts w:ascii="Calibri" w:eastAsia="Times New Roman" w:hAnsi="Calibri"/>
      <w:sz w:val="22"/>
      <w:szCs w:val="22"/>
    </w:rPr>
  </w:style>
  <w:style w:type="paragraph" w:customStyle="1" w:styleId="OutlineNumbered2">
    <w:name w:val="Outline Numbered 2"/>
    <w:basedOn w:val="Normal"/>
    <w:rsid w:val="001F1A39"/>
    <w:pPr>
      <w:numPr>
        <w:ilvl w:val="1"/>
        <w:numId w:val="3"/>
      </w:numPr>
      <w:spacing w:before="120" w:after="120" w:line="276" w:lineRule="auto"/>
    </w:pPr>
    <w:rPr>
      <w:rFonts w:ascii="Calibri" w:hAnsi="Calibri"/>
      <w:sz w:val="22"/>
      <w:szCs w:val="22"/>
      <w:lang w:eastAsia="en-US"/>
    </w:rPr>
  </w:style>
  <w:style w:type="paragraph" w:customStyle="1" w:styleId="OutlineNumbered3">
    <w:name w:val="Outline Numbered 3"/>
    <w:basedOn w:val="Normal"/>
    <w:rsid w:val="001F1A39"/>
    <w:pPr>
      <w:numPr>
        <w:ilvl w:val="2"/>
        <w:numId w:val="3"/>
      </w:numPr>
      <w:spacing w:before="120" w:after="120" w:line="276" w:lineRule="auto"/>
    </w:pPr>
    <w:rPr>
      <w:rFonts w:ascii="Calibri" w:hAnsi="Calibri"/>
      <w:sz w:val="22"/>
      <w:szCs w:val="22"/>
      <w:lang w:eastAsia="en-US"/>
    </w:rPr>
  </w:style>
  <w:style w:type="paragraph" w:styleId="TOCHeading">
    <w:name w:val="TOC Heading"/>
    <w:basedOn w:val="Heading1"/>
    <w:next w:val="Normal"/>
    <w:uiPriority w:val="39"/>
    <w:unhideWhenUsed/>
    <w:qFormat/>
    <w:rsid w:val="001F1A39"/>
    <w:pPr>
      <w:spacing w:line="276" w:lineRule="auto"/>
      <w:outlineLvl w:val="9"/>
    </w:pPr>
    <w:rPr>
      <w:rFonts w:ascii="Cambria" w:eastAsia="Times New Roman" w:hAnsi="Cambria" w:cs="Times New Roman"/>
      <w:color w:val="365F91"/>
      <w:lang w:val="en-US" w:eastAsia="en-US"/>
    </w:rPr>
  </w:style>
  <w:style w:type="paragraph" w:styleId="TOC1">
    <w:name w:val="toc 1"/>
    <w:basedOn w:val="Normal"/>
    <w:next w:val="Normal"/>
    <w:autoRedefine/>
    <w:uiPriority w:val="39"/>
    <w:unhideWhenUsed/>
    <w:qFormat/>
    <w:rsid w:val="001F1A39"/>
    <w:pPr>
      <w:tabs>
        <w:tab w:val="right" w:leader="dot" w:pos="9016"/>
      </w:tabs>
      <w:spacing w:before="120" w:after="100" w:line="276" w:lineRule="auto"/>
    </w:pPr>
    <w:rPr>
      <w:rFonts w:ascii="Calibri" w:hAnsi="Calibri"/>
      <w:noProof/>
      <w:sz w:val="22"/>
      <w:szCs w:val="22"/>
      <w:lang w:eastAsia="en-US"/>
    </w:rPr>
  </w:style>
  <w:style w:type="paragraph" w:customStyle="1" w:styleId="CABNETParagraph">
    <w:name w:val="CABNET Paragraph"/>
    <w:basedOn w:val="Normal"/>
    <w:link w:val="CABNETParagraphChar"/>
    <w:qFormat/>
    <w:rsid w:val="001F1A39"/>
    <w:pPr>
      <w:spacing w:before="120" w:after="120"/>
    </w:pPr>
    <w:rPr>
      <w:rFonts w:ascii="Verdana" w:hAnsi="Verdana"/>
      <w:sz w:val="22"/>
      <w:szCs w:val="22"/>
      <w:lang w:eastAsia="en-US"/>
    </w:rPr>
  </w:style>
  <w:style w:type="character" w:customStyle="1" w:styleId="CABNETParagraphChar">
    <w:name w:val="CABNET Paragraph Char"/>
    <w:basedOn w:val="DefaultParagraphFont"/>
    <w:link w:val="CABNETParagraph"/>
    <w:locked/>
    <w:rsid w:val="001F1A39"/>
    <w:rPr>
      <w:rFonts w:ascii="Verdana" w:eastAsia="Times New Roman" w:hAnsi="Verdana"/>
      <w:sz w:val="22"/>
      <w:szCs w:val="22"/>
    </w:rPr>
  </w:style>
  <w:style w:type="character" w:styleId="Strong">
    <w:name w:val="Strong"/>
    <w:basedOn w:val="DefaultParagraphFont"/>
    <w:uiPriority w:val="22"/>
    <w:qFormat/>
    <w:rsid w:val="001F1A39"/>
    <w:rPr>
      <w:rFonts w:cs="Times New Roman"/>
      <w:b/>
      <w:bCs/>
    </w:rPr>
  </w:style>
  <w:style w:type="paragraph" w:customStyle="1" w:styleId="RegPara">
    <w:name w:val="RegPara"/>
    <w:basedOn w:val="Default"/>
    <w:next w:val="Default"/>
    <w:uiPriority w:val="99"/>
    <w:rsid w:val="001F1A39"/>
    <w:rPr>
      <w:rFonts w:ascii="Times New Roman" w:eastAsia="Times New Roman" w:hAnsi="Times New Roman" w:cs="Times New Roman"/>
      <w:color w:val="auto"/>
      <w:lang w:eastAsia="en-AU"/>
    </w:rPr>
  </w:style>
  <w:style w:type="character" w:styleId="FollowedHyperlink">
    <w:name w:val="FollowedHyperlink"/>
    <w:basedOn w:val="DefaultParagraphFont"/>
    <w:uiPriority w:val="99"/>
    <w:semiHidden/>
    <w:unhideWhenUsed/>
    <w:rsid w:val="001F1A39"/>
    <w:rPr>
      <w:rFonts w:cs="Times New Roman"/>
      <w:color w:val="800080"/>
      <w:u w:val="single"/>
    </w:rPr>
  </w:style>
  <w:style w:type="paragraph" w:customStyle="1" w:styleId="TableNormal1">
    <w:name w:val="Table Normal1"/>
    <w:basedOn w:val="Normal"/>
    <w:uiPriority w:val="99"/>
    <w:rsid w:val="001F1A39"/>
    <w:pPr>
      <w:spacing w:before="40" w:line="240" w:lineRule="exact"/>
    </w:pPr>
    <w:rPr>
      <w:rFonts w:ascii="Arial" w:hAnsi="Arial"/>
      <w:sz w:val="20"/>
      <w:lang w:eastAsia="en-US"/>
    </w:rPr>
  </w:style>
  <w:style w:type="character" w:customStyle="1" w:styleId="journalabstract1">
    <w:name w:val="journal_abstract1"/>
    <w:basedOn w:val="DefaultParagraphFont"/>
    <w:rsid w:val="001F1A39"/>
    <w:rPr>
      <w:rFonts w:ascii="Arial" w:hAnsi="Arial" w:cs="Arial"/>
      <w:sz w:val="18"/>
      <w:szCs w:val="18"/>
    </w:rPr>
  </w:style>
  <w:style w:type="paragraph" w:styleId="Caption">
    <w:name w:val="caption"/>
    <w:basedOn w:val="Normal"/>
    <w:next w:val="Normal"/>
    <w:uiPriority w:val="35"/>
    <w:unhideWhenUsed/>
    <w:qFormat/>
    <w:rsid w:val="001F1A39"/>
    <w:pPr>
      <w:spacing w:after="200"/>
    </w:pPr>
    <w:rPr>
      <w:rFonts w:ascii="Calibri" w:hAnsi="Calibri"/>
      <w:b/>
      <w:bCs/>
      <w:sz w:val="18"/>
      <w:szCs w:val="18"/>
      <w:lang w:eastAsia="en-US"/>
    </w:rPr>
  </w:style>
  <w:style w:type="numbering" w:customStyle="1" w:styleId="CABNETList">
    <w:name w:val="CABNET List"/>
    <w:rsid w:val="001F1A39"/>
    <w:pPr>
      <w:numPr>
        <w:numId w:val="4"/>
      </w:numPr>
    </w:pPr>
  </w:style>
  <w:style w:type="numbering" w:styleId="ArticleSection">
    <w:name w:val="Outline List 3"/>
    <w:basedOn w:val="NoList"/>
    <w:uiPriority w:val="99"/>
    <w:semiHidden/>
    <w:unhideWhenUsed/>
    <w:rsid w:val="001F1A39"/>
    <w:pPr>
      <w:numPr>
        <w:numId w:val="5"/>
      </w:numPr>
    </w:pPr>
  </w:style>
  <w:style w:type="paragraph" w:styleId="NormalWeb">
    <w:name w:val="Normal (Web)"/>
    <w:basedOn w:val="Normal"/>
    <w:uiPriority w:val="99"/>
    <w:unhideWhenUsed/>
    <w:rsid w:val="001F1A39"/>
    <w:pPr>
      <w:spacing w:before="100" w:beforeAutospacing="1" w:after="100" w:afterAutospacing="1"/>
    </w:pPr>
    <w:rPr>
      <w:lang w:val="en-NZ" w:eastAsia="en-NZ"/>
    </w:rPr>
  </w:style>
  <w:style w:type="paragraph" w:customStyle="1" w:styleId="subsection">
    <w:name w:val="subsection"/>
    <w:aliases w:val="ss"/>
    <w:basedOn w:val="Normal"/>
    <w:link w:val="subsectionChar"/>
    <w:rsid w:val="001F1A39"/>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1F1A3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1F1A39"/>
    <w:pPr>
      <w:spacing w:before="40"/>
      <w:ind w:left="1134"/>
    </w:pPr>
    <w:rPr>
      <w:sz w:val="22"/>
      <w:szCs w:val="20"/>
    </w:rPr>
  </w:style>
  <w:style w:type="character" w:customStyle="1" w:styleId="subsectionChar">
    <w:name w:val="subsection Char"/>
    <w:aliases w:val="ss Char"/>
    <w:basedOn w:val="DefaultParagraphFont"/>
    <w:link w:val="subsection"/>
    <w:rsid w:val="001F1A39"/>
    <w:rPr>
      <w:rFonts w:eastAsia="Times New Roman"/>
      <w:sz w:val="22"/>
      <w:lang w:eastAsia="en-AU"/>
    </w:rPr>
  </w:style>
  <w:style w:type="character" w:customStyle="1" w:styleId="paragraphChar">
    <w:name w:val="paragraph Char"/>
    <w:aliases w:val="a Char"/>
    <w:basedOn w:val="DefaultParagraphFont"/>
    <w:link w:val="paragraph"/>
    <w:rsid w:val="001F1A39"/>
    <w:rPr>
      <w:rFonts w:eastAsia="Times New Roman"/>
      <w:sz w:val="22"/>
      <w:lang w:eastAsia="en-AU"/>
    </w:rPr>
  </w:style>
  <w:style w:type="paragraph" w:styleId="NoSpacing">
    <w:name w:val="No Spacing"/>
    <w:link w:val="NoSpacingChar"/>
    <w:uiPriority w:val="1"/>
    <w:qFormat/>
    <w:rsid w:val="001F1A39"/>
    <w:rPr>
      <w:rFonts w:ascii="Arial" w:eastAsiaTheme="minorEastAsia" w:hAnsi="Arial" w:cstheme="minorBidi"/>
      <w:bCs/>
      <w:color w:val="000000" w:themeColor="text1"/>
      <w:sz w:val="18"/>
      <w:szCs w:val="18"/>
    </w:rPr>
  </w:style>
  <w:style w:type="character" w:customStyle="1" w:styleId="NoSpacingChar">
    <w:name w:val="No Spacing Char"/>
    <w:basedOn w:val="DefaultParagraphFont"/>
    <w:link w:val="NoSpacing"/>
    <w:uiPriority w:val="1"/>
    <w:rsid w:val="001F1A39"/>
    <w:rPr>
      <w:rFonts w:ascii="Arial" w:eastAsiaTheme="minorEastAsia" w:hAnsi="Arial" w:cstheme="minorBidi"/>
      <w:bCs/>
      <w:color w:val="000000" w:themeColor="text1"/>
      <w:sz w:val="18"/>
      <w:szCs w:val="18"/>
    </w:rPr>
  </w:style>
  <w:style w:type="table" w:customStyle="1" w:styleId="EASSimpleTable">
    <w:name w:val="EAS Simple Table"/>
    <w:basedOn w:val="TableNormal"/>
    <w:uiPriority w:val="99"/>
    <w:qFormat/>
    <w:rsid w:val="001F1A39"/>
    <w:rPr>
      <w:rFonts w:ascii="Arial" w:hAnsi="Arial" w:cstheme="minorBidi"/>
      <w:bCs/>
      <w:color w:val="000000" w:themeColor="text1"/>
      <w:szCs w:val="18"/>
    </w:rPr>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style>
  <w:style w:type="table" w:customStyle="1" w:styleId="EASXYTable">
    <w:name w:val="EAS XY Table"/>
    <w:basedOn w:val="EASSimpleTable"/>
    <w:uiPriority w:val="99"/>
    <w:qFormat/>
    <w:rsid w:val="001F1A39"/>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tblStylePr w:type="firstCol">
      <w:rPr>
        <w:b/>
      </w:rPr>
      <w:tblPr/>
      <w:trPr>
        <w:hidden/>
      </w:trPr>
      <w:tcPr>
        <w:tcBorders>
          <w:right w:val="single" w:sz="4" w:space="0" w:color="000000" w:themeColor="text1"/>
        </w:tcBorders>
        <w:shd w:val="clear" w:color="auto" w:fill="D9D9D9" w:themeFill="background1" w:themeFillShade="D9"/>
      </w:tcPr>
    </w:tblStylePr>
    <w:tblStylePr w:type="nwCell">
      <w:tblPr/>
      <w:trPr>
        <w:hidden/>
      </w:trPr>
      <w:tcPr>
        <w:shd w:val="clear" w:color="auto" w:fill="D9D9D9" w:themeFill="background1" w:themeFillShade="D9"/>
      </w:tcPr>
    </w:tblStylePr>
  </w:style>
  <w:style w:type="paragraph" w:styleId="TableofFigures">
    <w:name w:val="table of figures"/>
    <w:basedOn w:val="Normal"/>
    <w:next w:val="Normal"/>
    <w:uiPriority w:val="99"/>
    <w:unhideWhenUsed/>
    <w:rsid w:val="001F1A39"/>
    <w:pPr>
      <w:tabs>
        <w:tab w:val="right" w:pos="9350"/>
      </w:tabs>
      <w:spacing w:before="120" w:line="360" w:lineRule="auto"/>
    </w:pPr>
    <w:rPr>
      <w:rFonts w:ascii="Calibri" w:hAnsi="Calibri"/>
      <w:sz w:val="22"/>
      <w:szCs w:val="22"/>
      <w:lang w:eastAsia="en-US"/>
    </w:rPr>
  </w:style>
  <w:style w:type="paragraph" w:customStyle="1" w:styleId="Footnote">
    <w:name w:val="Footnote"/>
    <w:basedOn w:val="Normal"/>
    <w:link w:val="FootnoteChar"/>
    <w:qFormat/>
    <w:rsid w:val="001F1A39"/>
    <w:pPr>
      <w:spacing w:before="120" w:after="240"/>
    </w:pPr>
    <w:rPr>
      <w:rFonts w:ascii="Calibri" w:hAnsi="Calibri"/>
      <w:sz w:val="16"/>
      <w:szCs w:val="20"/>
      <w:lang w:eastAsia="en-US"/>
    </w:rPr>
  </w:style>
  <w:style w:type="character" w:customStyle="1" w:styleId="FootnoteChar">
    <w:name w:val="Footnote Char"/>
    <w:basedOn w:val="DefaultParagraphFont"/>
    <w:link w:val="Footnote"/>
    <w:rsid w:val="001F1A39"/>
    <w:rPr>
      <w:rFonts w:ascii="Calibri" w:eastAsia="Times New Roman" w:hAnsi="Calibri"/>
      <w:sz w:val="16"/>
    </w:rPr>
  </w:style>
  <w:style w:type="paragraph" w:styleId="TOC6">
    <w:name w:val="toc 6"/>
    <w:basedOn w:val="Normal"/>
    <w:next w:val="Normal"/>
    <w:autoRedefine/>
    <w:uiPriority w:val="39"/>
    <w:unhideWhenUsed/>
    <w:rsid w:val="001F1A39"/>
    <w:pPr>
      <w:spacing w:before="120" w:line="276" w:lineRule="auto"/>
      <w:ind w:left="1200"/>
    </w:pPr>
    <w:rPr>
      <w:rFonts w:ascii="Calibri" w:hAnsi="Calibri"/>
      <w:sz w:val="22"/>
      <w:szCs w:val="20"/>
      <w:lang w:eastAsia="en-US"/>
    </w:rPr>
  </w:style>
  <w:style w:type="paragraph" w:styleId="TOC7">
    <w:name w:val="toc 7"/>
    <w:basedOn w:val="Normal"/>
    <w:next w:val="Normal"/>
    <w:autoRedefine/>
    <w:uiPriority w:val="39"/>
    <w:unhideWhenUsed/>
    <w:rsid w:val="001F1A39"/>
    <w:pPr>
      <w:spacing w:before="120" w:line="276" w:lineRule="auto"/>
      <w:ind w:left="1440"/>
    </w:pPr>
    <w:rPr>
      <w:rFonts w:ascii="Calibri" w:hAnsi="Calibri"/>
      <w:sz w:val="22"/>
      <w:szCs w:val="20"/>
      <w:lang w:eastAsia="en-US"/>
    </w:rPr>
  </w:style>
  <w:style w:type="paragraph" w:styleId="TOC8">
    <w:name w:val="toc 8"/>
    <w:basedOn w:val="Normal"/>
    <w:next w:val="Normal"/>
    <w:autoRedefine/>
    <w:uiPriority w:val="39"/>
    <w:unhideWhenUsed/>
    <w:rsid w:val="001F1A39"/>
    <w:pPr>
      <w:spacing w:before="120" w:line="276" w:lineRule="auto"/>
      <w:ind w:left="1680"/>
    </w:pPr>
    <w:rPr>
      <w:rFonts w:ascii="Calibri" w:hAnsi="Calibri"/>
      <w:sz w:val="22"/>
      <w:szCs w:val="20"/>
      <w:lang w:eastAsia="en-US"/>
    </w:rPr>
  </w:style>
  <w:style w:type="paragraph" w:styleId="TOC9">
    <w:name w:val="toc 9"/>
    <w:basedOn w:val="Normal"/>
    <w:next w:val="Normal"/>
    <w:autoRedefine/>
    <w:uiPriority w:val="39"/>
    <w:unhideWhenUsed/>
    <w:rsid w:val="001F1A39"/>
    <w:pPr>
      <w:spacing w:before="120" w:line="276" w:lineRule="auto"/>
      <w:ind w:left="1920"/>
    </w:pPr>
    <w:rPr>
      <w:rFonts w:ascii="Calibri" w:hAnsi="Calibri"/>
      <w:sz w:val="22"/>
      <w:szCs w:val="20"/>
      <w:lang w:eastAsia="en-US"/>
    </w:rPr>
  </w:style>
  <w:style w:type="character" w:styleId="EndnoteReference">
    <w:name w:val="endnote reference"/>
    <w:basedOn w:val="DefaultParagraphFont"/>
    <w:uiPriority w:val="99"/>
    <w:semiHidden/>
    <w:unhideWhenUsed/>
    <w:rsid w:val="001F1A39"/>
    <w:rPr>
      <w:vertAlign w:val="superscript"/>
    </w:rPr>
  </w:style>
  <w:style w:type="paragraph" w:styleId="EndnoteText">
    <w:name w:val="endnote text"/>
    <w:basedOn w:val="Normal"/>
    <w:link w:val="EndnoteTextChar"/>
    <w:uiPriority w:val="99"/>
    <w:semiHidden/>
    <w:unhideWhenUsed/>
    <w:rsid w:val="001F1A39"/>
    <w:pPr>
      <w:spacing w:before="120"/>
    </w:pPr>
    <w:rPr>
      <w:rFonts w:ascii="Calibri" w:hAnsi="Calibri"/>
      <w:sz w:val="22"/>
      <w:szCs w:val="20"/>
      <w:lang w:eastAsia="en-US"/>
    </w:rPr>
  </w:style>
  <w:style w:type="character" w:customStyle="1" w:styleId="EndnoteTextChar">
    <w:name w:val="Endnote Text Char"/>
    <w:basedOn w:val="DefaultParagraphFont"/>
    <w:link w:val="EndnoteText"/>
    <w:uiPriority w:val="99"/>
    <w:semiHidden/>
    <w:rsid w:val="001F1A39"/>
    <w:rPr>
      <w:rFonts w:ascii="Calibri" w:eastAsia="Times New Roman" w:hAnsi="Calibri"/>
      <w:sz w:val="22"/>
    </w:rPr>
  </w:style>
  <w:style w:type="paragraph" w:styleId="Subtitle">
    <w:name w:val="Subtitle"/>
    <w:next w:val="Normal"/>
    <w:link w:val="SubtitleChar"/>
    <w:uiPriority w:val="11"/>
    <w:qFormat/>
    <w:rsid w:val="001F1A39"/>
    <w:pPr>
      <w:spacing w:after="600"/>
    </w:pPr>
    <w:rPr>
      <w:rFonts w:asciiTheme="minorHAnsi" w:eastAsiaTheme="minorEastAsia" w:hAnsiTheme="minorHAnsi" w:cstheme="minorBidi"/>
      <w:smallCaps/>
      <w:color w:val="938953" w:themeColor="background2" w:themeShade="7F"/>
      <w:spacing w:val="5"/>
      <w:sz w:val="28"/>
      <w:szCs w:val="28"/>
      <w:lang w:val="en-US" w:bidi="en-US"/>
    </w:rPr>
  </w:style>
  <w:style w:type="character" w:customStyle="1" w:styleId="SubtitleChar">
    <w:name w:val="Subtitle Char"/>
    <w:basedOn w:val="DefaultParagraphFont"/>
    <w:link w:val="Subtitle"/>
    <w:uiPriority w:val="11"/>
    <w:rsid w:val="001F1A39"/>
    <w:rPr>
      <w:rFonts w:asciiTheme="minorHAnsi" w:eastAsiaTheme="minorEastAsia" w:hAnsiTheme="minorHAnsi" w:cstheme="minorBidi"/>
      <w:smallCaps/>
      <w:color w:val="938953" w:themeColor="background2" w:themeShade="7F"/>
      <w:spacing w:val="5"/>
      <w:sz w:val="28"/>
      <w:szCs w:val="28"/>
      <w:lang w:val="en-US" w:bidi="en-US"/>
    </w:rPr>
  </w:style>
  <w:style w:type="paragraph" w:styleId="DocumentMap">
    <w:name w:val="Document Map"/>
    <w:basedOn w:val="Normal"/>
    <w:link w:val="DocumentMapChar"/>
    <w:uiPriority w:val="99"/>
    <w:semiHidden/>
    <w:unhideWhenUsed/>
    <w:rsid w:val="001F1A39"/>
    <w:pPr>
      <w:spacing w:before="12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F1A39"/>
    <w:rPr>
      <w:rFonts w:ascii="Tahoma" w:eastAsia="Times New Roman" w:hAnsi="Tahoma" w:cs="Tahoma"/>
      <w:sz w:val="16"/>
      <w:szCs w:val="16"/>
    </w:rPr>
  </w:style>
  <w:style w:type="character" w:styleId="PlaceholderText">
    <w:name w:val="Placeholder Text"/>
    <w:basedOn w:val="DefaultParagraphFont"/>
    <w:uiPriority w:val="99"/>
    <w:semiHidden/>
    <w:rsid w:val="001F1A39"/>
    <w:rPr>
      <w:color w:val="808080"/>
    </w:rPr>
  </w:style>
  <w:style w:type="paragraph" w:styleId="Quote">
    <w:name w:val="Quote"/>
    <w:basedOn w:val="Normal"/>
    <w:next w:val="Normal"/>
    <w:link w:val="QuoteChar"/>
    <w:uiPriority w:val="29"/>
    <w:qFormat/>
    <w:rsid w:val="001F1A39"/>
    <w:pPr>
      <w:spacing w:before="120" w:after="120" w:line="276" w:lineRule="auto"/>
    </w:pPr>
    <w:rPr>
      <w:rFonts w:ascii="Calibri" w:hAnsi="Calibri"/>
      <w:i/>
      <w:iCs/>
      <w:sz w:val="22"/>
      <w:szCs w:val="22"/>
      <w:lang w:eastAsia="en-US"/>
    </w:rPr>
  </w:style>
  <w:style w:type="character" w:customStyle="1" w:styleId="QuoteChar">
    <w:name w:val="Quote Char"/>
    <w:basedOn w:val="DefaultParagraphFont"/>
    <w:link w:val="Quote"/>
    <w:uiPriority w:val="29"/>
    <w:rsid w:val="001F1A39"/>
    <w:rPr>
      <w:rFonts w:ascii="Calibri" w:eastAsia="Times New Roman" w:hAnsi="Calibri"/>
      <w:i/>
      <w:iCs/>
      <w:sz w:val="22"/>
      <w:szCs w:val="22"/>
    </w:rPr>
  </w:style>
  <w:style w:type="paragraph" w:styleId="IntenseQuote">
    <w:name w:val="Intense Quote"/>
    <w:basedOn w:val="Normal"/>
    <w:next w:val="Normal"/>
    <w:link w:val="IntenseQuoteChar"/>
    <w:uiPriority w:val="30"/>
    <w:qFormat/>
    <w:rsid w:val="001F1A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120" w:after="120" w:line="300" w:lineRule="auto"/>
      <w:ind w:left="2506" w:right="432"/>
    </w:pPr>
    <w:rPr>
      <w:rFonts w:asciiTheme="majorHAnsi" w:eastAsiaTheme="majorEastAsia" w:hAnsiTheme="majorHAnsi" w:cstheme="majorBidi"/>
      <w:smallCap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1F1A39"/>
    <w:rPr>
      <w:rFonts w:asciiTheme="majorHAnsi" w:eastAsiaTheme="majorEastAsia" w:hAnsiTheme="majorHAnsi" w:cstheme="majorBidi"/>
      <w:smallCaps/>
      <w:color w:val="365F91" w:themeColor="accent1" w:themeShade="BF"/>
      <w:sz w:val="22"/>
      <w:szCs w:val="22"/>
    </w:rPr>
  </w:style>
  <w:style w:type="character" w:styleId="SubtleEmphasis">
    <w:name w:val="Subtle Emphasis"/>
    <w:uiPriority w:val="19"/>
    <w:qFormat/>
    <w:rsid w:val="001F1A39"/>
    <w:rPr>
      <w:b/>
      <w:smallCaps/>
      <w:color w:val="auto"/>
    </w:rPr>
  </w:style>
  <w:style w:type="character" w:styleId="IntenseEmphasis">
    <w:name w:val="Intense Emphasis"/>
    <w:uiPriority w:val="21"/>
    <w:qFormat/>
    <w:rsid w:val="001F1A39"/>
    <w:rPr>
      <w:b/>
      <w:bCs/>
      <w:smallCaps/>
      <w:color w:val="4F81BD" w:themeColor="accent1"/>
      <w:spacing w:val="40"/>
    </w:rPr>
  </w:style>
  <w:style w:type="character" w:styleId="SubtleReference">
    <w:name w:val="Subtle Reference"/>
    <w:uiPriority w:val="31"/>
    <w:qFormat/>
    <w:rsid w:val="001F1A3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F1A3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F1A39"/>
    <w:rPr>
      <w:rFonts w:asciiTheme="majorHAnsi" w:eastAsiaTheme="majorEastAsia" w:hAnsiTheme="majorHAnsi" w:cstheme="majorBidi"/>
      <w:b/>
      <w:bCs/>
      <w:smallCaps/>
      <w:color w:val="17365D" w:themeColor="text2" w:themeShade="BF"/>
      <w:spacing w:val="10"/>
      <w:u w:val="single"/>
    </w:rPr>
  </w:style>
  <w:style w:type="paragraph" w:customStyle="1" w:styleId="bullets">
    <w:name w:val="bullets"/>
    <w:basedOn w:val="ListParagraph"/>
    <w:qFormat/>
    <w:rsid w:val="001F1A39"/>
    <w:pPr>
      <w:numPr>
        <w:numId w:val="6"/>
      </w:numPr>
      <w:spacing w:before="120" w:after="120"/>
    </w:pPr>
    <w:rPr>
      <w:rFonts w:ascii="Calibri" w:hAnsi="Calibri"/>
      <w:sz w:val="22"/>
    </w:rPr>
  </w:style>
  <w:style w:type="paragraph" w:customStyle="1" w:styleId="DecimalAligned">
    <w:name w:val="Decimal Aligned"/>
    <w:basedOn w:val="Normal"/>
    <w:uiPriority w:val="40"/>
    <w:qFormat/>
    <w:rsid w:val="001F1A39"/>
    <w:pPr>
      <w:tabs>
        <w:tab w:val="decimal" w:pos="360"/>
      </w:tabs>
      <w:spacing w:before="120" w:after="120" w:line="276" w:lineRule="auto"/>
    </w:pPr>
    <w:rPr>
      <w:rFonts w:ascii="Calibri" w:hAnsi="Calibri"/>
      <w:sz w:val="22"/>
      <w:szCs w:val="22"/>
      <w:lang w:eastAsia="en-US"/>
    </w:rPr>
  </w:style>
  <w:style w:type="table" w:customStyle="1" w:styleId="LightShading-Accent11">
    <w:name w:val="Light Shading - Accent 11"/>
    <w:basedOn w:val="TableNormal"/>
    <w:uiPriority w:val="60"/>
    <w:rsid w:val="001F1A39"/>
    <w:rPr>
      <w:rFonts w:asciiTheme="minorHAnsi" w:eastAsiaTheme="minorEastAsia" w:hAnsiTheme="minorHAnsi" w:cstheme="minorBidi"/>
      <w:color w:val="365F91" w:themeColor="accent1" w:themeShade="BF"/>
      <w:sz w:val="22"/>
      <w:szCs w:val="22"/>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Status">
    <w:name w:val="Status"/>
    <w:basedOn w:val="Normal"/>
    <w:rsid w:val="001F1A39"/>
    <w:pPr>
      <w:spacing w:before="60" w:after="120" w:line="280" w:lineRule="atLeast"/>
    </w:pPr>
    <w:rPr>
      <w:rFonts w:ascii="Calibri" w:eastAsia="SimSun" w:hAnsi="Calibri"/>
      <w:sz w:val="22"/>
      <w:szCs w:val="20"/>
      <w:lang w:eastAsia="en-US"/>
    </w:rPr>
  </w:style>
  <w:style w:type="paragraph" w:customStyle="1" w:styleId="FigureCaption">
    <w:name w:val="Figure Caption"/>
    <w:basedOn w:val="Caption"/>
    <w:next w:val="Normal"/>
    <w:qFormat/>
    <w:rsid w:val="001F1A39"/>
    <w:pPr>
      <w:spacing w:before="120" w:after="120"/>
    </w:pPr>
    <w:rPr>
      <w:b w:val="0"/>
      <w:bCs w:val="0"/>
      <w:sz w:val="22"/>
      <w:szCs w:val="22"/>
    </w:rPr>
  </w:style>
  <w:style w:type="paragraph" w:customStyle="1" w:styleId="TableCaption">
    <w:name w:val="Table Caption"/>
    <w:basedOn w:val="Caption"/>
    <w:qFormat/>
    <w:rsid w:val="001F1A39"/>
    <w:pPr>
      <w:keepNext/>
      <w:spacing w:before="120" w:after="120"/>
    </w:pPr>
    <w:rPr>
      <w:b w:val="0"/>
      <w:bCs w:val="0"/>
      <w:sz w:val="22"/>
      <w:szCs w:val="22"/>
    </w:rPr>
  </w:style>
  <w:style w:type="paragraph" w:customStyle="1" w:styleId="Code">
    <w:name w:val="Code"/>
    <w:basedOn w:val="Normal"/>
    <w:qFormat/>
    <w:rsid w:val="001F1A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contextualSpacing/>
    </w:pPr>
    <w:rPr>
      <w:rFonts w:ascii="Courier New" w:hAnsi="Courier New"/>
      <w:sz w:val="18"/>
      <w:szCs w:val="22"/>
      <w:lang w:val="en-NZ" w:eastAsia="en-NZ"/>
    </w:rPr>
  </w:style>
  <w:style w:type="paragraph" w:styleId="HTMLPreformatted">
    <w:name w:val="HTML Preformatted"/>
    <w:basedOn w:val="Normal"/>
    <w:link w:val="HTMLPreformattedChar"/>
    <w:uiPriority w:val="99"/>
    <w:semiHidden/>
    <w:unhideWhenUsed/>
    <w:rsid w:val="001F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1F1A39"/>
    <w:rPr>
      <w:rFonts w:ascii="Courier New" w:eastAsia="Times New Roman" w:hAnsi="Courier New" w:cs="Courier New"/>
      <w:lang w:val="en-NZ" w:eastAsia="en-NZ"/>
    </w:rPr>
  </w:style>
  <w:style w:type="table" w:customStyle="1" w:styleId="TableGrid1">
    <w:name w:val="Table Grid1"/>
    <w:basedOn w:val="TableNormal"/>
    <w:next w:val="TableGrid"/>
    <w:uiPriority w:val="59"/>
    <w:rsid w:val="00003E0B"/>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A39"/>
    <w:pPr>
      <w:keepNext/>
      <w:keepLines/>
      <w:spacing w:before="200" w:line="276" w:lineRule="auto"/>
      <w:ind w:left="1152" w:hanging="432"/>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rsid w:val="001F1A39"/>
    <w:pPr>
      <w:keepNext/>
      <w:keepLines/>
      <w:spacing w:before="200" w:line="276" w:lineRule="auto"/>
      <w:ind w:left="1296" w:hanging="288"/>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1F1A39"/>
    <w:pPr>
      <w:keepNext/>
      <w:keepLines/>
      <w:spacing w:before="200" w:line="276" w:lineRule="auto"/>
      <w:ind w:left="1440" w:hanging="432"/>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1F1A39"/>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35D22"/>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uiPriority w:val="10"/>
    <w:qFormat/>
    <w:rsid w:val="00CD349A"/>
    <w:pPr>
      <w:spacing w:before="480"/>
    </w:pPr>
    <w:rPr>
      <w:rFonts w:ascii="Arial" w:hAnsi="Arial" w:cs="Arial"/>
      <w:b/>
      <w:bCs/>
      <w:sz w:val="40"/>
      <w:szCs w:val="40"/>
    </w:rPr>
  </w:style>
  <w:style w:type="character" w:customStyle="1" w:styleId="TitleChar">
    <w:name w:val="Title Char"/>
    <w:basedOn w:val="DefaultParagraphFont"/>
    <w:link w:val="Title"/>
    <w:uiPriority w:val="10"/>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uiPriority w:val="99"/>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uiPriority w:val="99"/>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uiPriority w:val="99"/>
    <w:rsid w:val="009E5CBC"/>
    <w:pPr>
      <w:ind w:left="4252"/>
    </w:pPr>
  </w:style>
  <w:style w:type="character" w:customStyle="1" w:styleId="ClosingChar">
    <w:name w:val="Closing Char"/>
    <w:basedOn w:val="DefaultParagraphFont"/>
    <w:link w:val="Closing"/>
    <w:uiPriority w:val="99"/>
    <w:rsid w:val="009E5CBC"/>
    <w:rPr>
      <w:rFonts w:eastAsia="Times New Roman"/>
      <w:sz w:val="24"/>
      <w:szCs w:val="24"/>
      <w:lang w:eastAsia="en-AU"/>
    </w:rPr>
  </w:style>
  <w:style w:type="paragraph" w:styleId="FootnoteText">
    <w:name w:val="footnote text"/>
    <w:basedOn w:val="Normal"/>
    <w:link w:val="FootnoteTextChar"/>
    <w:uiPriority w:val="99"/>
    <w:unhideWhenUsed/>
    <w:qFormat/>
    <w:rsid w:val="00FD1DE5"/>
    <w:rPr>
      <w:rFonts w:ascii="Calibri" w:hAnsi="Calibri"/>
      <w:sz w:val="20"/>
      <w:szCs w:val="20"/>
      <w:lang w:eastAsia="en-US"/>
    </w:rPr>
  </w:style>
  <w:style w:type="character" w:customStyle="1" w:styleId="FootnoteTextChar">
    <w:name w:val="Footnote Text Char"/>
    <w:basedOn w:val="DefaultParagraphFont"/>
    <w:link w:val="FootnoteText"/>
    <w:uiPriority w:val="99"/>
    <w:rsid w:val="00FD1DE5"/>
    <w:rPr>
      <w:rFonts w:ascii="Calibri" w:eastAsia="Times New Roman" w:hAnsi="Calibri"/>
    </w:rPr>
  </w:style>
  <w:style w:type="character" w:styleId="FootnoteReference">
    <w:name w:val="footnote reference"/>
    <w:basedOn w:val="DefaultParagraphFont"/>
    <w:uiPriority w:val="99"/>
    <w:unhideWhenUsed/>
    <w:rsid w:val="00FD1DE5"/>
    <w:rPr>
      <w:rFonts w:cs="Times New Roman"/>
      <w:vertAlign w:val="superscript"/>
    </w:rPr>
  </w:style>
  <w:style w:type="character" w:customStyle="1" w:styleId="ssens">
    <w:name w:val="ssens"/>
    <w:basedOn w:val="DefaultParagraphFont"/>
    <w:rsid w:val="00FD1DE5"/>
  </w:style>
  <w:style w:type="character" w:customStyle="1" w:styleId="Heading6Char">
    <w:name w:val="Heading 6 Char"/>
    <w:basedOn w:val="DefaultParagraphFont"/>
    <w:link w:val="Heading6"/>
    <w:uiPriority w:val="9"/>
    <w:semiHidden/>
    <w:rsid w:val="001F1A39"/>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1F1A3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1F1A39"/>
    <w:rPr>
      <w:rFonts w:ascii="Cambria" w:eastAsia="Times New Roman" w:hAnsi="Cambria"/>
      <w:color w:val="404040"/>
    </w:rPr>
  </w:style>
  <w:style w:type="character" w:customStyle="1" w:styleId="Heading9Char">
    <w:name w:val="Heading 9 Char"/>
    <w:basedOn w:val="DefaultParagraphFont"/>
    <w:link w:val="Heading9"/>
    <w:uiPriority w:val="9"/>
    <w:semiHidden/>
    <w:rsid w:val="001F1A39"/>
    <w:rPr>
      <w:rFonts w:ascii="Cambria" w:eastAsia="Times New Roman" w:hAnsi="Cambria"/>
      <w:i/>
      <w:iCs/>
      <w:color w:val="404040"/>
    </w:rPr>
  </w:style>
  <w:style w:type="paragraph" w:customStyle="1" w:styleId="Bullet">
    <w:name w:val="Bullet"/>
    <w:aliases w:val="b,Body,bullet,bu,B,b Char Char Char Char Char Char Char Char,b Char Char Char,b Char Char Char Char Char Char,b Char Char,Body Char1 Char1,body,Body1"/>
    <w:basedOn w:val="Normal"/>
    <w:link w:val="BulletChar"/>
    <w:qFormat/>
    <w:rsid w:val="001F1A39"/>
    <w:pPr>
      <w:numPr>
        <w:numId w:val="2"/>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1F1A39"/>
    <w:rPr>
      <w:rFonts w:ascii="Calibri" w:eastAsia="Times New Roman" w:hAnsi="Calibri"/>
      <w:sz w:val="22"/>
      <w:szCs w:val="22"/>
    </w:rPr>
  </w:style>
  <w:style w:type="paragraph" w:customStyle="1" w:styleId="Dash">
    <w:name w:val="Dash"/>
    <w:basedOn w:val="Normal"/>
    <w:link w:val="DashChar"/>
    <w:qFormat/>
    <w:rsid w:val="001F1A39"/>
    <w:pPr>
      <w:numPr>
        <w:ilvl w:val="1"/>
        <w:numId w:val="2"/>
      </w:numPr>
      <w:spacing w:before="120" w:after="120" w:line="276" w:lineRule="auto"/>
    </w:pPr>
    <w:rPr>
      <w:rFonts w:ascii="Calibri" w:hAnsi="Calibri"/>
      <w:sz w:val="22"/>
      <w:szCs w:val="22"/>
      <w:lang w:eastAsia="en-US"/>
    </w:rPr>
  </w:style>
  <w:style w:type="character" w:customStyle="1" w:styleId="DashChar">
    <w:name w:val="Dash Char"/>
    <w:basedOn w:val="DefaultParagraphFont"/>
    <w:link w:val="Dash"/>
    <w:locked/>
    <w:rsid w:val="001F1A39"/>
    <w:rPr>
      <w:rFonts w:ascii="Calibri" w:eastAsia="Times New Roman" w:hAnsi="Calibri"/>
      <w:sz w:val="22"/>
      <w:szCs w:val="22"/>
    </w:rPr>
  </w:style>
  <w:style w:type="paragraph" w:customStyle="1" w:styleId="DoubleDot">
    <w:name w:val="Double Dot"/>
    <w:basedOn w:val="Normal"/>
    <w:link w:val="DoubleDotChar"/>
    <w:rsid w:val="001F1A39"/>
    <w:pPr>
      <w:numPr>
        <w:ilvl w:val="2"/>
        <w:numId w:val="2"/>
      </w:numPr>
      <w:spacing w:before="120" w:after="120" w:line="276" w:lineRule="auto"/>
    </w:pPr>
    <w:rPr>
      <w:rFonts w:ascii="Calibri" w:hAnsi="Calibri"/>
      <w:sz w:val="22"/>
      <w:szCs w:val="22"/>
      <w:lang w:eastAsia="en-US"/>
    </w:rPr>
  </w:style>
  <w:style w:type="character" w:customStyle="1" w:styleId="DoubleDotChar">
    <w:name w:val="Double Dot Char"/>
    <w:basedOn w:val="DefaultParagraphFont"/>
    <w:link w:val="DoubleDot"/>
    <w:locked/>
    <w:rsid w:val="001F1A39"/>
    <w:rPr>
      <w:rFonts w:ascii="Calibri" w:eastAsia="Times New Roman" w:hAnsi="Calibri"/>
      <w:sz w:val="22"/>
      <w:szCs w:val="22"/>
    </w:rPr>
  </w:style>
  <w:style w:type="character" w:styleId="Emphasis">
    <w:name w:val="Emphasis"/>
    <w:basedOn w:val="DefaultParagraphFont"/>
    <w:uiPriority w:val="20"/>
    <w:qFormat/>
    <w:rsid w:val="001F1A39"/>
    <w:rPr>
      <w:rFonts w:cs="Times New Roman"/>
      <w:b/>
      <w:bCs/>
    </w:rPr>
  </w:style>
  <w:style w:type="paragraph" w:customStyle="1" w:styleId="OutlineNumbered1">
    <w:name w:val="Outline Numbered 1"/>
    <w:basedOn w:val="Normal"/>
    <w:link w:val="OutlineNumbered1Char"/>
    <w:rsid w:val="001F1A39"/>
    <w:pPr>
      <w:numPr>
        <w:numId w:val="3"/>
      </w:numPr>
      <w:spacing w:before="120" w:after="120" w:line="276" w:lineRule="auto"/>
    </w:pPr>
    <w:rPr>
      <w:rFonts w:ascii="Calibri" w:hAnsi="Calibri"/>
      <w:sz w:val="22"/>
      <w:szCs w:val="22"/>
      <w:lang w:eastAsia="en-US"/>
    </w:rPr>
  </w:style>
  <w:style w:type="character" w:customStyle="1" w:styleId="OutlineNumbered1Char">
    <w:name w:val="Outline Numbered 1 Char"/>
    <w:basedOn w:val="BulletChar"/>
    <w:link w:val="OutlineNumbered1"/>
    <w:locked/>
    <w:rsid w:val="001F1A39"/>
    <w:rPr>
      <w:rFonts w:ascii="Calibri" w:eastAsia="Times New Roman" w:hAnsi="Calibri"/>
      <w:sz w:val="22"/>
      <w:szCs w:val="22"/>
    </w:rPr>
  </w:style>
  <w:style w:type="paragraph" w:customStyle="1" w:styleId="OutlineNumbered2">
    <w:name w:val="Outline Numbered 2"/>
    <w:basedOn w:val="Normal"/>
    <w:rsid w:val="001F1A39"/>
    <w:pPr>
      <w:numPr>
        <w:ilvl w:val="1"/>
        <w:numId w:val="3"/>
      </w:numPr>
      <w:spacing w:before="120" w:after="120" w:line="276" w:lineRule="auto"/>
    </w:pPr>
    <w:rPr>
      <w:rFonts w:ascii="Calibri" w:hAnsi="Calibri"/>
      <w:sz w:val="22"/>
      <w:szCs w:val="22"/>
      <w:lang w:eastAsia="en-US"/>
    </w:rPr>
  </w:style>
  <w:style w:type="paragraph" w:customStyle="1" w:styleId="OutlineNumbered3">
    <w:name w:val="Outline Numbered 3"/>
    <w:basedOn w:val="Normal"/>
    <w:rsid w:val="001F1A39"/>
    <w:pPr>
      <w:numPr>
        <w:ilvl w:val="2"/>
        <w:numId w:val="3"/>
      </w:numPr>
      <w:spacing w:before="120" w:after="120" w:line="276" w:lineRule="auto"/>
    </w:pPr>
    <w:rPr>
      <w:rFonts w:ascii="Calibri" w:hAnsi="Calibri"/>
      <w:sz w:val="22"/>
      <w:szCs w:val="22"/>
      <w:lang w:eastAsia="en-US"/>
    </w:rPr>
  </w:style>
  <w:style w:type="paragraph" w:styleId="TOCHeading">
    <w:name w:val="TOC Heading"/>
    <w:basedOn w:val="Heading1"/>
    <w:next w:val="Normal"/>
    <w:uiPriority w:val="39"/>
    <w:unhideWhenUsed/>
    <w:qFormat/>
    <w:rsid w:val="001F1A39"/>
    <w:pPr>
      <w:spacing w:line="276" w:lineRule="auto"/>
      <w:outlineLvl w:val="9"/>
    </w:pPr>
    <w:rPr>
      <w:rFonts w:ascii="Cambria" w:eastAsia="Times New Roman" w:hAnsi="Cambria" w:cs="Times New Roman"/>
      <w:color w:val="365F91"/>
      <w:lang w:val="en-US" w:eastAsia="en-US"/>
    </w:rPr>
  </w:style>
  <w:style w:type="paragraph" w:styleId="TOC1">
    <w:name w:val="toc 1"/>
    <w:basedOn w:val="Normal"/>
    <w:next w:val="Normal"/>
    <w:autoRedefine/>
    <w:uiPriority w:val="39"/>
    <w:unhideWhenUsed/>
    <w:qFormat/>
    <w:rsid w:val="001F1A39"/>
    <w:pPr>
      <w:tabs>
        <w:tab w:val="right" w:leader="dot" w:pos="9016"/>
      </w:tabs>
      <w:spacing w:before="120" w:after="100" w:line="276" w:lineRule="auto"/>
    </w:pPr>
    <w:rPr>
      <w:rFonts w:ascii="Calibri" w:hAnsi="Calibri"/>
      <w:noProof/>
      <w:sz w:val="22"/>
      <w:szCs w:val="22"/>
      <w:lang w:eastAsia="en-US"/>
    </w:rPr>
  </w:style>
  <w:style w:type="paragraph" w:customStyle="1" w:styleId="CABNETParagraph">
    <w:name w:val="CABNET Paragraph"/>
    <w:basedOn w:val="Normal"/>
    <w:link w:val="CABNETParagraphChar"/>
    <w:qFormat/>
    <w:rsid w:val="001F1A39"/>
    <w:pPr>
      <w:spacing w:before="120" w:after="120"/>
    </w:pPr>
    <w:rPr>
      <w:rFonts w:ascii="Verdana" w:hAnsi="Verdana"/>
      <w:sz w:val="22"/>
      <w:szCs w:val="22"/>
      <w:lang w:eastAsia="en-US"/>
    </w:rPr>
  </w:style>
  <w:style w:type="character" w:customStyle="1" w:styleId="CABNETParagraphChar">
    <w:name w:val="CABNET Paragraph Char"/>
    <w:basedOn w:val="DefaultParagraphFont"/>
    <w:link w:val="CABNETParagraph"/>
    <w:locked/>
    <w:rsid w:val="001F1A39"/>
    <w:rPr>
      <w:rFonts w:ascii="Verdana" w:eastAsia="Times New Roman" w:hAnsi="Verdana"/>
      <w:sz w:val="22"/>
      <w:szCs w:val="22"/>
    </w:rPr>
  </w:style>
  <w:style w:type="character" w:styleId="Strong">
    <w:name w:val="Strong"/>
    <w:basedOn w:val="DefaultParagraphFont"/>
    <w:uiPriority w:val="22"/>
    <w:qFormat/>
    <w:rsid w:val="001F1A39"/>
    <w:rPr>
      <w:rFonts w:cs="Times New Roman"/>
      <w:b/>
      <w:bCs/>
    </w:rPr>
  </w:style>
  <w:style w:type="paragraph" w:customStyle="1" w:styleId="RegPara">
    <w:name w:val="RegPara"/>
    <w:basedOn w:val="Default"/>
    <w:next w:val="Default"/>
    <w:uiPriority w:val="99"/>
    <w:rsid w:val="001F1A39"/>
    <w:rPr>
      <w:rFonts w:ascii="Times New Roman" w:eastAsia="Times New Roman" w:hAnsi="Times New Roman" w:cs="Times New Roman"/>
      <w:color w:val="auto"/>
      <w:lang w:eastAsia="en-AU"/>
    </w:rPr>
  </w:style>
  <w:style w:type="character" w:styleId="FollowedHyperlink">
    <w:name w:val="FollowedHyperlink"/>
    <w:basedOn w:val="DefaultParagraphFont"/>
    <w:uiPriority w:val="99"/>
    <w:semiHidden/>
    <w:unhideWhenUsed/>
    <w:rsid w:val="001F1A39"/>
    <w:rPr>
      <w:rFonts w:cs="Times New Roman"/>
      <w:color w:val="800080"/>
      <w:u w:val="single"/>
    </w:rPr>
  </w:style>
  <w:style w:type="paragraph" w:customStyle="1" w:styleId="TableNormal1">
    <w:name w:val="Table Normal1"/>
    <w:basedOn w:val="Normal"/>
    <w:uiPriority w:val="99"/>
    <w:rsid w:val="001F1A39"/>
    <w:pPr>
      <w:spacing w:before="40" w:line="240" w:lineRule="exact"/>
    </w:pPr>
    <w:rPr>
      <w:rFonts w:ascii="Arial" w:hAnsi="Arial"/>
      <w:sz w:val="20"/>
      <w:lang w:eastAsia="en-US"/>
    </w:rPr>
  </w:style>
  <w:style w:type="character" w:customStyle="1" w:styleId="journalabstract1">
    <w:name w:val="journal_abstract1"/>
    <w:basedOn w:val="DefaultParagraphFont"/>
    <w:rsid w:val="001F1A39"/>
    <w:rPr>
      <w:rFonts w:ascii="Arial" w:hAnsi="Arial" w:cs="Arial"/>
      <w:sz w:val="18"/>
      <w:szCs w:val="18"/>
    </w:rPr>
  </w:style>
  <w:style w:type="paragraph" w:styleId="Caption">
    <w:name w:val="caption"/>
    <w:basedOn w:val="Normal"/>
    <w:next w:val="Normal"/>
    <w:uiPriority w:val="35"/>
    <w:unhideWhenUsed/>
    <w:qFormat/>
    <w:rsid w:val="001F1A39"/>
    <w:pPr>
      <w:spacing w:after="200"/>
    </w:pPr>
    <w:rPr>
      <w:rFonts w:ascii="Calibri" w:hAnsi="Calibri"/>
      <w:b/>
      <w:bCs/>
      <w:sz w:val="18"/>
      <w:szCs w:val="18"/>
      <w:lang w:eastAsia="en-US"/>
    </w:rPr>
  </w:style>
  <w:style w:type="numbering" w:customStyle="1" w:styleId="CABNETList">
    <w:name w:val="CABNET List"/>
    <w:rsid w:val="001F1A39"/>
    <w:pPr>
      <w:numPr>
        <w:numId w:val="4"/>
      </w:numPr>
    </w:pPr>
  </w:style>
  <w:style w:type="numbering" w:styleId="ArticleSection">
    <w:name w:val="Outline List 3"/>
    <w:basedOn w:val="NoList"/>
    <w:uiPriority w:val="99"/>
    <w:semiHidden/>
    <w:unhideWhenUsed/>
    <w:rsid w:val="001F1A39"/>
    <w:pPr>
      <w:numPr>
        <w:numId w:val="5"/>
      </w:numPr>
    </w:pPr>
  </w:style>
  <w:style w:type="paragraph" w:styleId="NormalWeb">
    <w:name w:val="Normal (Web)"/>
    <w:basedOn w:val="Normal"/>
    <w:uiPriority w:val="99"/>
    <w:unhideWhenUsed/>
    <w:rsid w:val="001F1A39"/>
    <w:pPr>
      <w:spacing w:before="100" w:beforeAutospacing="1" w:after="100" w:afterAutospacing="1"/>
    </w:pPr>
    <w:rPr>
      <w:lang w:val="en-NZ" w:eastAsia="en-NZ"/>
    </w:rPr>
  </w:style>
  <w:style w:type="paragraph" w:customStyle="1" w:styleId="subsection">
    <w:name w:val="subsection"/>
    <w:aliases w:val="ss"/>
    <w:basedOn w:val="Normal"/>
    <w:link w:val="subsectionChar"/>
    <w:rsid w:val="001F1A39"/>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1F1A3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1F1A39"/>
    <w:pPr>
      <w:spacing w:before="40"/>
      <w:ind w:left="1134"/>
    </w:pPr>
    <w:rPr>
      <w:sz w:val="22"/>
      <w:szCs w:val="20"/>
    </w:rPr>
  </w:style>
  <w:style w:type="character" w:customStyle="1" w:styleId="subsectionChar">
    <w:name w:val="subsection Char"/>
    <w:aliases w:val="ss Char"/>
    <w:basedOn w:val="DefaultParagraphFont"/>
    <w:link w:val="subsection"/>
    <w:rsid w:val="001F1A39"/>
    <w:rPr>
      <w:rFonts w:eastAsia="Times New Roman"/>
      <w:sz w:val="22"/>
      <w:lang w:eastAsia="en-AU"/>
    </w:rPr>
  </w:style>
  <w:style w:type="character" w:customStyle="1" w:styleId="paragraphChar">
    <w:name w:val="paragraph Char"/>
    <w:aliases w:val="a Char"/>
    <w:basedOn w:val="DefaultParagraphFont"/>
    <w:link w:val="paragraph"/>
    <w:rsid w:val="001F1A39"/>
    <w:rPr>
      <w:rFonts w:eastAsia="Times New Roman"/>
      <w:sz w:val="22"/>
      <w:lang w:eastAsia="en-AU"/>
    </w:rPr>
  </w:style>
  <w:style w:type="paragraph" w:styleId="NoSpacing">
    <w:name w:val="No Spacing"/>
    <w:link w:val="NoSpacingChar"/>
    <w:uiPriority w:val="1"/>
    <w:qFormat/>
    <w:rsid w:val="001F1A39"/>
    <w:rPr>
      <w:rFonts w:ascii="Arial" w:eastAsiaTheme="minorEastAsia" w:hAnsi="Arial" w:cstheme="minorBidi"/>
      <w:bCs/>
      <w:color w:val="000000" w:themeColor="text1"/>
      <w:sz w:val="18"/>
      <w:szCs w:val="18"/>
    </w:rPr>
  </w:style>
  <w:style w:type="character" w:customStyle="1" w:styleId="NoSpacingChar">
    <w:name w:val="No Spacing Char"/>
    <w:basedOn w:val="DefaultParagraphFont"/>
    <w:link w:val="NoSpacing"/>
    <w:uiPriority w:val="1"/>
    <w:rsid w:val="001F1A39"/>
    <w:rPr>
      <w:rFonts w:ascii="Arial" w:eastAsiaTheme="minorEastAsia" w:hAnsi="Arial" w:cstheme="minorBidi"/>
      <w:bCs/>
      <w:color w:val="000000" w:themeColor="text1"/>
      <w:sz w:val="18"/>
      <w:szCs w:val="18"/>
    </w:rPr>
  </w:style>
  <w:style w:type="table" w:customStyle="1" w:styleId="EASSimpleTable">
    <w:name w:val="EAS Simple Table"/>
    <w:basedOn w:val="TableNormal"/>
    <w:uiPriority w:val="99"/>
    <w:qFormat/>
    <w:rsid w:val="001F1A39"/>
    <w:rPr>
      <w:rFonts w:ascii="Arial" w:hAnsi="Arial" w:cstheme="minorBidi"/>
      <w:bCs/>
      <w:color w:val="000000" w:themeColor="text1"/>
      <w:szCs w:val="18"/>
    </w:rPr>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style>
  <w:style w:type="table" w:customStyle="1" w:styleId="EASXYTable">
    <w:name w:val="EAS XY Table"/>
    <w:basedOn w:val="EASSimpleTable"/>
    <w:uiPriority w:val="99"/>
    <w:qFormat/>
    <w:rsid w:val="001F1A39"/>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tblStylePr w:type="firstCol">
      <w:rPr>
        <w:b/>
      </w:rPr>
      <w:tblPr/>
      <w:trPr>
        <w:hidden/>
      </w:trPr>
      <w:tcPr>
        <w:tcBorders>
          <w:right w:val="single" w:sz="4" w:space="0" w:color="000000" w:themeColor="text1"/>
        </w:tcBorders>
        <w:shd w:val="clear" w:color="auto" w:fill="D9D9D9" w:themeFill="background1" w:themeFillShade="D9"/>
      </w:tcPr>
    </w:tblStylePr>
    <w:tblStylePr w:type="nwCell">
      <w:tblPr/>
      <w:trPr>
        <w:hidden/>
      </w:trPr>
      <w:tcPr>
        <w:shd w:val="clear" w:color="auto" w:fill="D9D9D9" w:themeFill="background1" w:themeFillShade="D9"/>
      </w:tcPr>
    </w:tblStylePr>
  </w:style>
  <w:style w:type="paragraph" w:styleId="TableofFigures">
    <w:name w:val="table of figures"/>
    <w:basedOn w:val="Normal"/>
    <w:next w:val="Normal"/>
    <w:uiPriority w:val="99"/>
    <w:unhideWhenUsed/>
    <w:rsid w:val="001F1A39"/>
    <w:pPr>
      <w:tabs>
        <w:tab w:val="right" w:pos="9350"/>
      </w:tabs>
      <w:spacing w:before="120" w:line="360" w:lineRule="auto"/>
    </w:pPr>
    <w:rPr>
      <w:rFonts w:ascii="Calibri" w:hAnsi="Calibri"/>
      <w:sz w:val="22"/>
      <w:szCs w:val="22"/>
      <w:lang w:eastAsia="en-US"/>
    </w:rPr>
  </w:style>
  <w:style w:type="paragraph" w:customStyle="1" w:styleId="Footnote">
    <w:name w:val="Footnote"/>
    <w:basedOn w:val="Normal"/>
    <w:link w:val="FootnoteChar"/>
    <w:qFormat/>
    <w:rsid w:val="001F1A39"/>
    <w:pPr>
      <w:spacing w:before="120" w:after="240"/>
    </w:pPr>
    <w:rPr>
      <w:rFonts w:ascii="Calibri" w:hAnsi="Calibri"/>
      <w:sz w:val="16"/>
      <w:szCs w:val="20"/>
      <w:lang w:eastAsia="en-US"/>
    </w:rPr>
  </w:style>
  <w:style w:type="character" w:customStyle="1" w:styleId="FootnoteChar">
    <w:name w:val="Footnote Char"/>
    <w:basedOn w:val="DefaultParagraphFont"/>
    <w:link w:val="Footnote"/>
    <w:rsid w:val="001F1A39"/>
    <w:rPr>
      <w:rFonts w:ascii="Calibri" w:eastAsia="Times New Roman" w:hAnsi="Calibri"/>
      <w:sz w:val="16"/>
    </w:rPr>
  </w:style>
  <w:style w:type="paragraph" w:styleId="TOC6">
    <w:name w:val="toc 6"/>
    <w:basedOn w:val="Normal"/>
    <w:next w:val="Normal"/>
    <w:autoRedefine/>
    <w:uiPriority w:val="39"/>
    <w:unhideWhenUsed/>
    <w:rsid w:val="001F1A39"/>
    <w:pPr>
      <w:spacing w:before="120" w:line="276" w:lineRule="auto"/>
      <w:ind w:left="1200"/>
    </w:pPr>
    <w:rPr>
      <w:rFonts w:ascii="Calibri" w:hAnsi="Calibri"/>
      <w:sz w:val="22"/>
      <w:szCs w:val="20"/>
      <w:lang w:eastAsia="en-US"/>
    </w:rPr>
  </w:style>
  <w:style w:type="paragraph" w:styleId="TOC7">
    <w:name w:val="toc 7"/>
    <w:basedOn w:val="Normal"/>
    <w:next w:val="Normal"/>
    <w:autoRedefine/>
    <w:uiPriority w:val="39"/>
    <w:unhideWhenUsed/>
    <w:rsid w:val="001F1A39"/>
    <w:pPr>
      <w:spacing w:before="120" w:line="276" w:lineRule="auto"/>
      <w:ind w:left="1440"/>
    </w:pPr>
    <w:rPr>
      <w:rFonts w:ascii="Calibri" w:hAnsi="Calibri"/>
      <w:sz w:val="22"/>
      <w:szCs w:val="20"/>
      <w:lang w:eastAsia="en-US"/>
    </w:rPr>
  </w:style>
  <w:style w:type="paragraph" w:styleId="TOC8">
    <w:name w:val="toc 8"/>
    <w:basedOn w:val="Normal"/>
    <w:next w:val="Normal"/>
    <w:autoRedefine/>
    <w:uiPriority w:val="39"/>
    <w:unhideWhenUsed/>
    <w:rsid w:val="001F1A39"/>
    <w:pPr>
      <w:spacing w:before="120" w:line="276" w:lineRule="auto"/>
      <w:ind w:left="1680"/>
    </w:pPr>
    <w:rPr>
      <w:rFonts w:ascii="Calibri" w:hAnsi="Calibri"/>
      <w:sz w:val="22"/>
      <w:szCs w:val="20"/>
      <w:lang w:eastAsia="en-US"/>
    </w:rPr>
  </w:style>
  <w:style w:type="paragraph" w:styleId="TOC9">
    <w:name w:val="toc 9"/>
    <w:basedOn w:val="Normal"/>
    <w:next w:val="Normal"/>
    <w:autoRedefine/>
    <w:uiPriority w:val="39"/>
    <w:unhideWhenUsed/>
    <w:rsid w:val="001F1A39"/>
    <w:pPr>
      <w:spacing w:before="120" w:line="276" w:lineRule="auto"/>
      <w:ind w:left="1920"/>
    </w:pPr>
    <w:rPr>
      <w:rFonts w:ascii="Calibri" w:hAnsi="Calibri"/>
      <w:sz w:val="22"/>
      <w:szCs w:val="20"/>
      <w:lang w:eastAsia="en-US"/>
    </w:rPr>
  </w:style>
  <w:style w:type="character" w:styleId="EndnoteReference">
    <w:name w:val="endnote reference"/>
    <w:basedOn w:val="DefaultParagraphFont"/>
    <w:uiPriority w:val="99"/>
    <w:semiHidden/>
    <w:unhideWhenUsed/>
    <w:rsid w:val="001F1A39"/>
    <w:rPr>
      <w:vertAlign w:val="superscript"/>
    </w:rPr>
  </w:style>
  <w:style w:type="paragraph" w:styleId="EndnoteText">
    <w:name w:val="endnote text"/>
    <w:basedOn w:val="Normal"/>
    <w:link w:val="EndnoteTextChar"/>
    <w:uiPriority w:val="99"/>
    <w:semiHidden/>
    <w:unhideWhenUsed/>
    <w:rsid w:val="001F1A39"/>
    <w:pPr>
      <w:spacing w:before="120"/>
    </w:pPr>
    <w:rPr>
      <w:rFonts w:ascii="Calibri" w:hAnsi="Calibri"/>
      <w:sz w:val="22"/>
      <w:szCs w:val="20"/>
      <w:lang w:eastAsia="en-US"/>
    </w:rPr>
  </w:style>
  <w:style w:type="character" w:customStyle="1" w:styleId="EndnoteTextChar">
    <w:name w:val="Endnote Text Char"/>
    <w:basedOn w:val="DefaultParagraphFont"/>
    <w:link w:val="EndnoteText"/>
    <w:uiPriority w:val="99"/>
    <w:semiHidden/>
    <w:rsid w:val="001F1A39"/>
    <w:rPr>
      <w:rFonts w:ascii="Calibri" w:eastAsia="Times New Roman" w:hAnsi="Calibri"/>
      <w:sz w:val="22"/>
    </w:rPr>
  </w:style>
  <w:style w:type="paragraph" w:styleId="Subtitle">
    <w:name w:val="Subtitle"/>
    <w:next w:val="Normal"/>
    <w:link w:val="SubtitleChar"/>
    <w:uiPriority w:val="11"/>
    <w:qFormat/>
    <w:rsid w:val="001F1A39"/>
    <w:pPr>
      <w:spacing w:after="600"/>
    </w:pPr>
    <w:rPr>
      <w:rFonts w:asciiTheme="minorHAnsi" w:eastAsiaTheme="minorEastAsia" w:hAnsiTheme="minorHAnsi" w:cstheme="minorBidi"/>
      <w:smallCaps/>
      <w:color w:val="938953" w:themeColor="background2" w:themeShade="7F"/>
      <w:spacing w:val="5"/>
      <w:sz w:val="28"/>
      <w:szCs w:val="28"/>
      <w:lang w:val="en-US" w:bidi="en-US"/>
    </w:rPr>
  </w:style>
  <w:style w:type="character" w:customStyle="1" w:styleId="SubtitleChar">
    <w:name w:val="Subtitle Char"/>
    <w:basedOn w:val="DefaultParagraphFont"/>
    <w:link w:val="Subtitle"/>
    <w:uiPriority w:val="11"/>
    <w:rsid w:val="001F1A39"/>
    <w:rPr>
      <w:rFonts w:asciiTheme="minorHAnsi" w:eastAsiaTheme="minorEastAsia" w:hAnsiTheme="minorHAnsi" w:cstheme="minorBidi"/>
      <w:smallCaps/>
      <w:color w:val="938953" w:themeColor="background2" w:themeShade="7F"/>
      <w:spacing w:val="5"/>
      <w:sz w:val="28"/>
      <w:szCs w:val="28"/>
      <w:lang w:val="en-US" w:bidi="en-US"/>
    </w:rPr>
  </w:style>
  <w:style w:type="paragraph" w:styleId="DocumentMap">
    <w:name w:val="Document Map"/>
    <w:basedOn w:val="Normal"/>
    <w:link w:val="DocumentMapChar"/>
    <w:uiPriority w:val="99"/>
    <w:semiHidden/>
    <w:unhideWhenUsed/>
    <w:rsid w:val="001F1A39"/>
    <w:pPr>
      <w:spacing w:before="12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F1A39"/>
    <w:rPr>
      <w:rFonts w:ascii="Tahoma" w:eastAsia="Times New Roman" w:hAnsi="Tahoma" w:cs="Tahoma"/>
      <w:sz w:val="16"/>
      <w:szCs w:val="16"/>
    </w:rPr>
  </w:style>
  <w:style w:type="character" w:styleId="PlaceholderText">
    <w:name w:val="Placeholder Text"/>
    <w:basedOn w:val="DefaultParagraphFont"/>
    <w:uiPriority w:val="99"/>
    <w:semiHidden/>
    <w:rsid w:val="001F1A39"/>
    <w:rPr>
      <w:color w:val="808080"/>
    </w:rPr>
  </w:style>
  <w:style w:type="paragraph" w:styleId="Quote">
    <w:name w:val="Quote"/>
    <w:basedOn w:val="Normal"/>
    <w:next w:val="Normal"/>
    <w:link w:val="QuoteChar"/>
    <w:uiPriority w:val="29"/>
    <w:qFormat/>
    <w:rsid w:val="001F1A39"/>
    <w:pPr>
      <w:spacing w:before="120" w:after="120" w:line="276" w:lineRule="auto"/>
    </w:pPr>
    <w:rPr>
      <w:rFonts w:ascii="Calibri" w:hAnsi="Calibri"/>
      <w:i/>
      <w:iCs/>
      <w:sz w:val="22"/>
      <w:szCs w:val="22"/>
      <w:lang w:eastAsia="en-US"/>
    </w:rPr>
  </w:style>
  <w:style w:type="character" w:customStyle="1" w:styleId="QuoteChar">
    <w:name w:val="Quote Char"/>
    <w:basedOn w:val="DefaultParagraphFont"/>
    <w:link w:val="Quote"/>
    <w:uiPriority w:val="29"/>
    <w:rsid w:val="001F1A39"/>
    <w:rPr>
      <w:rFonts w:ascii="Calibri" w:eastAsia="Times New Roman" w:hAnsi="Calibri"/>
      <w:i/>
      <w:iCs/>
      <w:sz w:val="22"/>
      <w:szCs w:val="22"/>
    </w:rPr>
  </w:style>
  <w:style w:type="paragraph" w:styleId="IntenseQuote">
    <w:name w:val="Intense Quote"/>
    <w:basedOn w:val="Normal"/>
    <w:next w:val="Normal"/>
    <w:link w:val="IntenseQuoteChar"/>
    <w:uiPriority w:val="30"/>
    <w:qFormat/>
    <w:rsid w:val="001F1A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120" w:after="120" w:line="300" w:lineRule="auto"/>
      <w:ind w:left="2506" w:right="432"/>
    </w:pPr>
    <w:rPr>
      <w:rFonts w:asciiTheme="majorHAnsi" w:eastAsiaTheme="majorEastAsia" w:hAnsiTheme="majorHAnsi" w:cstheme="majorBidi"/>
      <w:smallCap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1F1A39"/>
    <w:rPr>
      <w:rFonts w:asciiTheme="majorHAnsi" w:eastAsiaTheme="majorEastAsia" w:hAnsiTheme="majorHAnsi" w:cstheme="majorBidi"/>
      <w:smallCaps/>
      <w:color w:val="365F91" w:themeColor="accent1" w:themeShade="BF"/>
      <w:sz w:val="22"/>
      <w:szCs w:val="22"/>
    </w:rPr>
  </w:style>
  <w:style w:type="character" w:styleId="SubtleEmphasis">
    <w:name w:val="Subtle Emphasis"/>
    <w:uiPriority w:val="19"/>
    <w:qFormat/>
    <w:rsid w:val="001F1A39"/>
    <w:rPr>
      <w:b/>
      <w:smallCaps/>
      <w:color w:val="auto"/>
    </w:rPr>
  </w:style>
  <w:style w:type="character" w:styleId="IntenseEmphasis">
    <w:name w:val="Intense Emphasis"/>
    <w:uiPriority w:val="21"/>
    <w:qFormat/>
    <w:rsid w:val="001F1A39"/>
    <w:rPr>
      <w:b/>
      <w:bCs/>
      <w:smallCaps/>
      <w:color w:val="4F81BD" w:themeColor="accent1"/>
      <w:spacing w:val="40"/>
    </w:rPr>
  </w:style>
  <w:style w:type="character" w:styleId="SubtleReference">
    <w:name w:val="Subtle Reference"/>
    <w:uiPriority w:val="31"/>
    <w:qFormat/>
    <w:rsid w:val="001F1A3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F1A3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F1A39"/>
    <w:rPr>
      <w:rFonts w:asciiTheme="majorHAnsi" w:eastAsiaTheme="majorEastAsia" w:hAnsiTheme="majorHAnsi" w:cstheme="majorBidi"/>
      <w:b/>
      <w:bCs/>
      <w:smallCaps/>
      <w:color w:val="17365D" w:themeColor="text2" w:themeShade="BF"/>
      <w:spacing w:val="10"/>
      <w:u w:val="single"/>
    </w:rPr>
  </w:style>
  <w:style w:type="paragraph" w:customStyle="1" w:styleId="bullets">
    <w:name w:val="bullets"/>
    <w:basedOn w:val="ListParagraph"/>
    <w:qFormat/>
    <w:rsid w:val="001F1A39"/>
    <w:pPr>
      <w:numPr>
        <w:numId w:val="6"/>
      </w:numPr>
      <w:spacing w:before="120" w:after="120"/>
    </w:pPr>
    <w:rPr>
      <w:rFonts w:ascii="Calibri" w:hAnsi="Calibri"/>
      <w:sz w:val="22"/>
    </w:rPr>
  </w:style>
  <w:style w:type="paragraph" w:customStyle="1" w:styleId="DecimalAligned">
    <w:name w:val="Decimal Aligned"/>
    <w:basedOn w:val="Normal"/>
    <w:uiPriority w:val="40"/>
    <w:qFormat/>
    <w:rsid w:val="001F1A39"/>
    <w:pPr>
      <w:tabs>
        <w:tab w:val="decimal" w:pos="360"/>
      </w:tabs>
      <w:spacing w:before="120" w:after="120" w:line="276" w:lineRule="auto"/>
    </w:pPr>
    <w:rPr>
      <w:rFonts w:ascii="Calibri" w:hAnsi="Calibri"/>
      <w:sz w:val="22"/>
      <w:szCs w:val="22"/>
      <w:lang w:eastAsia="en-US"/>
    </w:rPr>
  </w:style>
  <w:style w:type="table" w:customStyle="1" w:styleId="LightShading-Accent11">
    <w:name w:val="Light Shading - Accent 11"/>
    <w:basedOn w:val="TableNormal"/>
    <w:uiPriority w:val="60"/>
    <w:rsid w:val="001F1A39"/>
    <w:rPr>
      <w:rFonts w:asciiTheme="minorHAnsi" w:eastAsiaTheme="minorEastAsia" w:hAnsiTheme="minorHAnsi" w:cstheme="minorBidi"/>
      <w:color w:val="365F91" w:themeColor="accent1" w:themeShade="BF"/>
      <w:sz w:val="22"/>
      <w:szCs w:val="22"/>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Status">
    <w:name w:val="Status"/>
    <w:basedOn w:val="Normal"/>
    <w:rsid w:val="001F1A39"/>
    <w:pPr>
      <w:spacing w:before="60" w:after="120" w:line="280" w:lineRule="atLeast"/>
    </w:pPr>
    <w:rPr>
      <w:rFonts w:ascii="Calibri" w:eastAsia="SimSun" w:hAnsi="Calibri"/>
      <w:sz w:val="22"/>
      <w:szCs w:val="20"/>
      <w:lang w:eastAsia="en-US"/>
    </w:rPr>
  </w:style>
  <w:style w:type="paragraph" w:customStyle="1" w:styleId="FigureCaption">
    <w:name w:val="Figure Caption"/>
    <w:basedOn w:val="Caption"/>
    <w:next w:val="Normal"/>
    <w:qFormat/>
    <w:rsid w:val="001F1A39"/>
    <w:pPr>
      <w:spacing w:before="120" w:after="120"/>
    </w:pPr>
    <w:rPr>
      <w:b w:val="0"/>
      <w:bCs w:val="0"/>
      <w:sz w:val="22"/>
      <w:szCs w:val="22"/>
    </w:rPr>
  </w:style>
  <w:style w:type="paragraph" w:customStyle="1" w:styleId="TableCaption">
    <w:name w:val="Table Caption"/>
    <w:basedOn w:val="Caption"/>
    <w:qFormat/>
    <w:rsid w:val="001F1A39"/>
    <w:pPr>
      <w:keepNext/>
      <w:spacing w:before="120" w:after="120"/>
    </w:pPr>
    <w:rPr>
      <w:b w:val="0"/>
      <w:bCs w:val="0"/>
      <w:sz w:val="22"/>
      <w:szCs w:val="22"/>
    </w:rPr>
  </w:style>
  <w:style w:type="paragraph" w:customStyle="1" w:styleId="Code">
    <w:name w:val="Code"/>
    <w:basedOn w:val="Normal"/>
    <w:qFormat/>
    <w:rsid w:val="001F1A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contextualSpacing/>
    </w:pPr>
    <w:rPr>
      <w:rFonts w:ascii="Courier New" w:hAnsi="Courier New"/>
      <w:sz w:val="18"/>
      <w:szCs w:val="22"/>
      <w:lang w:val="en-NZ" w:eastAsia="en-NZ"/>
    </w:rPr>
  </w:style>
  <w:style w:type="paragraph" w:styleId="HTMLPreformatted">
    <w:name w:val="HTML Preformatted"/>
    <w:basedOn w:val="Normal"/>
    <w:link w:val="HTMLPreformattedChar"/>
    <w:uiPriority w:val="99"/>
    <w:semiHidden/>
    <w:unhideWhenUsed/>
    <w:rsid w:val="001F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1F1A39"/>
    <w:rPr>
      <w:rFonts w:ascii="Courier New" w:eastAsia="Times New Roman" w:hAnsi="Courier New" w:cs="Courier New"/>
      <w:lang w:val="en-NZ" w:eastAsia="en-NZ"/>
    </w:rPr>
  </w:style>
  <w:style w:type="table" w:customStyle="1" w:styleId="TableGrid1">
    <w:name w:val="Table Grid1"/>
    <w:basedOn w:val="TableNormal"/>
    <w:next w:val="TableGrid"/>
    <w:uiPriority w:val="59"/>
    <w:rsid w:val="00003E0B"/>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15038065">
      <w:bodyDiv w:val="1"/>
      <w:marLeft w:val="0"/>
      <w:marRight w:val="0"/>
      <w:marTop w:val="0"/>
      <w:marBottom w:val="0"/>
      <w:divBdr>
        <w:top w:val="none" w:sz="0" w:space="0" w:color="auto"/>
        <w:left w:val="none" w:sz="0" w:space="0" w:color="auto"/>
        <w:bottom w:val="none" w:sz="0" w:space="0" w:color="auto"/>
        <w:right w:val="none" w:sz="0" w:space="0" w:color="auto"/>
      </w:divBdr>
    </w:div>
    <w:div w:id="116724668">
      <w:bodyDiv w:val="1"/>
      <w:marLeft w:val="0"/>
      <w:marRight w:val="0"/>
      <w:marTop w:val="0"/>
      <w:marBottom w:val="0"/>
      <w:divBdr>
        <w:top w:val="none" w:sz="0" w:space="0" w:color="auto"/>
        <w:left w:val="none" w:sz="0" w:space="0" w:color="auto"/>
        <w:bottom w:val="none" w:sz="0" w:space="0" w:color="auto"/>
        <w:right w:val="none" w:sz="0" w:space="0" w:color="auto"/>
      </w:divBdr>
    </w:div>
    <w:div w:id="514656726">
      <w:bodyDiv w:val="1"/>
      <w:marLeft w:val="0"/>
      <w:marRight w:val="0"/>
      <w:marTop w:val="0"/>
      <w:marBottom w:val="0"/>
      <w:divBdr>
        <w:top w:val="none" w:sz="0" w:space="0" w:color="auto"/>
        <w:left w:val="none" w:sz="0" w:space="0" w:color="auto"/>
        <w:bottom w:val="none" w:sz="0" w:space="0" w:color="auto"/>
        <w:right w:val="none" w:sz="0" w:space="0" w:color="auto"/>
      </w:divBdr>
    </w:div>
    <w:div w:id="533231367">
      <w:bodyDiv w:val="1"/>
      <w:marLeft w:val="0"/>
      <w:marRight w:val="0"/>
      <w:marTop w:val="0"/>
      <w:marBottom w:val="0"/>
      <w:divBdr>
        <w:top w:val="none" w:sz="0" w:space="0" w:color="auto"/>
        <w:left w:val="none" w:sz="0" w:space="0" w:color="auto"/>
        <w:bottom w:val="none" w:sz="0" w:space="0" w:color="auto"/>
        <w:right w:val="none" w:sz="0" w:space="0" w:color="auto"/>
      </w:divBdr>
    </w:div>
    <w:div w:id="619266140">
      <w:bodyDiv w:val="1"/>
      <w:marLeft w:val="30"/>
      <w:marRight w:val="30"/>
      <w:marTop w:val="0"/>
      <w:marBottom w:val="0"/>
      <w:divBdr>
        <w:top w:val="none" w:sz="0" w:space="0" w:color="auto"/>
        <w:left w:val="none" w:sz="0" w:space="0" w:color="auto"/>
        <w:bottom w:val="none" w:sz="0" w:space="0" w:color="auto"/>
        <w:right w:val="none" w:sz="0" w:space="0" w:color="auto"/>
      </w:divBdr>
      <w:divsChild>
        <w:div w:id="160319474">
          <w:marLeft w:val="0"/>
          <w:marRight w:val="0"/>
          <w:marTop w:val="0"/>
          <w:marBottom w:val="0"/>
          <w:divBdr>
            <w:top w:val="none" w:sz="0" w:space="0" w:color="auto"/>
            <w:left w:val="none" w:sz="0" w:space="0" w:color="auto"/>
            <w:bottom w:val="none" w:sz="0" w:space="0" w:color="auto"/>
            <w:right w:val="none" w:sz="0" w:space="0" w:color="auto"/>
          </w:divBdr>
          <w:divsChild>
            <w:div w:id="480006867">
              <w:marLeft w:val="0"/>
              <w:marRight w:val="0"/>
              <w:marTop w:val="0"/>
              <w:marBottom w:val="0"/>
              <w:divBdr>
                <w:top w:val="none" w:sz="0" w:space="0" w:color="auto"/>
                <w:left w:val="none" w:sz="0" w:space="0" w:color="auto"/>
                <w:bottom w:val="none" w:sz="0" w:space="0" w:color="auto"/>
                <w:right w:val="none" w:sz="0" w:space="0" w:color="auto"/>
              </w:divBdr>
              <w:divsChild>
                <w:div w:id="1131941136">
                  <w:marLeft w:val="180"/>
                  <w:marRight w:val="0"/>
                  <w:marTop w:val="0"/>
                  <w:marBottom w:val="0"/>
                  <w:divBdr>
                    <w:top w:val="none" w:sz="0" w:space="0" w:color="auto"/>
                    <w:left w:val="none" w:sz="0" w:space="0" w:color="auto"/>
                    <w:bottom w:val="none" w:sz="0" w:space="0" w:color="auto"/>
                    <w:right w:val="none" w:sz="0" w:space="0" w:color="auto"/>
                  </w:divBdr>
                  <w:divsChild>
                    <w:div w:id="10168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0860">
      <w:bodyDiv w:val="1"/>
      <w:marLeft w:val="0"/>
      <w:marRight w:val="0"/>
      <w:marTop w:val="0"/>
      <w:marBottom w:val="0"/>
      <w:divBdr>
        <w:top w:val="none" w:sz="0" w:space="0" w:color="auto"/>
        <w:left w:val="none" w:sz="0" w:space="0" w:color="auto"/>
        <w:bottom w:val="none" w:sz="0" w:space="0" w:color="auto"/>
        <w:right w:val="none" w:sz="0" w:space="0" w:color="auto"/>
      </w:divBdr>
    </w:div>
    <w:div w:id="889993705">
      <w:bodyDiv w:val="1"/>
      <w:marLeft w:val="0"/>
      <w:marRight w:val="0"/>
      <w:marTop w:val="0"/>
      <w:marBottom w:val="0"/>
      <w:divBdr>
        <w:top w:val="none" w:sz="0" w:space="0" w:color="auto"/>
        <w:left w:val="none" w:sz="0" w:space="0" w:color="auto"/>
        <w:bottom w:val="none" w:sz="0" w:space="0" w:color="auto"/>
        <w:right w:val="none" w:sz="0" w:space="0" w:color="auto"/>
      </w:divBdr>
    </w:div>
    <w:div w:id="913663935">
      <w:bodyDiv w:val="1"/>
      <w:marLeft w:val="0"/>
      <w:marRight w:val="0"/>
      <w:marTop w:val="0"/>
      <w:marBottom w:val="0"/>
      <w:divBdr>
        <w:top w:val="none" w:sz="0" w:space="0" w:color="auto"/>
        <w:left w:val="none" w:sz="0" w:space="0" w:color="auto"/>
        <w:bottom w:val="none" w:sz="0" w:space="0" w:color="auto"/>
        <w:right w:val="none" w:sz="0" w:space="0" w:color="auto"/>
      </w:divBdr>
    </w:div>
    <w:div w:id="1406486240">
      <w:bodyDiv w:val="1"/>
      <w:marLeft w:val="0"/>
      <w:marRight w:val="0"/>
      <w:marTop w:val="0"/>
      <w:marBottom w:val="0"/>
      <w:divBdr>
        <w:top w:val="none" w:sz="0" w:space="0" w:color="auto"/>
        <w:left w:val="none" w:sz="0" w:space="0" w:color="auto"/>
        <w:bottom w:val="none" w:sz="0" w:space="0" w:color="auto"/>
        <w:right w:val="none" w:sz="0" w:space="0" w:color="auto"/>
      </w:divBdr>
    </w:div>
    <w:div w:id="18313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9C1B-D929-4CD7-A9E5-4148A0A7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Nicole</cp:lastModifiedBy>
  <cp:revision>5</cp:revision>
  <cp:lastPrinted>2014-07-28T07:51:00Z</cp:lastPrinted>
  <dcterms:created xsi:type="dcterms:W3CDTF">2014-08-12T06:08:00Z</dcterms:created>
  <dcterms:modified xsi:type="dcterms:W3CDTF">2014-08-14T03:18:00Z</dcterms:modified>
</cp:coreProperties>
</file>