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14B" w:rsidRPr="00374785" w:rsidRDefault="006E714B" w:rsidP="006E714B">
      <w:pPr>
        <w:pStyle w:val="h1ChSch"/>
        <w:pageBreakBefore w:val="0"/>
        <w:spacing w:before="0"/>
        <w:rPr>
          <w:b w:val="0"/>
          <w:vanish/>
          <w:sz w:val="12"/>
        </w:rPr>
      </w:pPr>
    </w:p>
    <w:p w:rsidR="006E714B" w:rsidRPr="00374785" w:rsidRDefault="006E714B" w:rsidP="006E714B">
      <w:pPr>
        <w:pStyle w:val="h2Part"/>
        <w:pageBreakBefore w:val="0"/>
        <w:spacing w:before="0"/>
        <w:rPr>
          <w:b w:val="0"/>
          <w:vanish/>
          <w:sz w:val="12"/>
        </w:rPr>
      </w:pPr>
    </w:p>
    <w:p w:rsidR="006E714B" w:rsidRPr="00374785" w:rsidRDefault="006E714B" w:rsidP="006E714B">
      <w:pPr>
        <w:pStyle w:val="h3Div"/>
        <w:spacing w:before="0"/>
        <w:rPr>
          <w:b w:val="0"/>
          <w:vanish/>
          <w:sz w:val="12"/>
        </w:rPr>
      </w:pPr>
    </w:p>
    <w:p w:rsidR="002B60C7" w:rsidRPr="00374785" w:rsidRDefault="002B60C7" w:rsidP="002B60C7">
      <w:pPr>
        <w:pStyle w:val="h1ChSch"/>
        <w:pageBreakBefore w:val="0"/>
        <w:spacing w:before="0"/>
        <w:rPr>
          <w:b w:val="0"/>
          <w:vanish/>
          <w:sz w:val="12"/>
        </w:rPr>
      </w:pPr>
    </w:p>
    <w:p w:rsidR="002B60C7" w:rsidRPr="00374785" w:rsidRDefault="002B60C7" w:rsidP="002B60C7">
      <w:pPr>
        <w:pStyle w:val="h2Part"/>
        <w:pageBreakBefore w:val="0"/>
        <w:spacing w:before="0"/>
        <w:rPr>
          <w:b w:val="0"/>
          <w:vanish/>
          <w:sz w:val="12"/>
        </w:rPr>
      </w:pPr>
    </w:p>
    <w:p w:rsidR="002B60C7" w:rsidRPr="00374785" w:rsidRDefault="002B60C7" w:rsidP="002B60C7">
      <w:pPr>
        <w:pStyle w:val="h3Div"/>
        <w:spacing w:before="0"/>
        <w:rPr>
          <w:b w:val="0"/>
          <w:vanish/>
          <w:sz w:val="12"/>
        </w:rPr>
      </w:pPr>
    </w:p>
    <w:p w:rsidR="002B60C7" w:rsidRPr="00374785" w:rsidRDefault="002B60C7" w:rsidP="002B60C7">
      <w:pPr>
        <w:rPr>
          <w:rFonts w:ascii="Arial" w:hAnsi="Arial"/>
          <w:color w:val="808080" w:themeColor="background1" w:themeShade="80"/>
        </w:rPr>
      </w:pPr>
      <w:r w:rsidRPr="00374785">
        <w:rPr>
          <w:noProof/>
        </w:rPr>
        <w:drawing>
          <wp:inline distT="0" distB="0" distL="0" distR="0">
            <wp:extent cx="1414145" cy="1105535"/>
            <wp:effectExtent l="0" t="0" r="0" b="1206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414145" cy="1105535"/>
                    </a:xfrm>
                    <a:prstGeom prst="rect">
                      <a:avLst/>
                    </a:prstGeom>
                    <a:noFill/>
                    <a:ln>
                      <a:noFill/>
                    </a:ln>
                  </pic:spPr>
                </pic:pic>
              </a:graphicData>
            </a:graphic>
          </wp:inline>
        </w:drawing>
      </w:r>
      <w:r w:rsidRPr="00374785">
        <w:tab/>
      </w:r>
    </w:p>
    <w:p w:rsidR="002B60C7" w:rsidRPr="00374785" w:rsidRDefault="00004213" w:rsidP="002B60C7">
      <w:pPr>
        <w:pStyle w:val="Title"/>
      </w:pPr>
      <w:r w:rsidRPr="00374785">
        <w:t>Carbon Credits (Carbon Farming Initiative) (Reforestation by Environmental or Mallee Plantings—FullCAM) Methodology Determination 2014</w:t>
      </w:r>
      <w:r w:rsidR="002B60C7" w:rsidRPr="00374785">
        <w:rPr>
          <w:position w:val="6"/>
          <w:sz w:val="24"/>
          <w:vertAlign w:val="superscript"/>
        </w:rPr>
        <w:t>1</w:t>
      </w:r>
    </w:p>
    <w:p w:rsidR="002B60C7" w:rsidRPr="00374785" w:rsidRDefault="002B60C7" w:rsidP="002B60C7">
      <w:pPr>
        <w:pBdr>
          <w:bottom w:val="single" w:sz="4" w:space="3" w:color="auto"/>
        </w:pBdr>
        <w:spacing w:before="480"/>
        <w:rPr>
          <w:rFonts w:ascii="Arial" w:hAnsi="Arial" w:cs="Arial"/>
          <w:i/>
          <w:sz w:val="28"/>
          <w:szCs w:val="28"/>
          <w:lang w:val="en-US"/>
        </w:rPr>
      </w:pPr>
      <w:r w:rsidRPr="00374785">
        <w:rPr>
          <w:rFonts w:ascii="Arial" w:hAnsi="Arial" w:cs="Arial"/>
          <w:i/>
          <w:sz w:val="28"/>
          <w:szCs w:val="28"/>
          <w:lang w:val="en-US"/>
        </w:rPr>
        <w:t>Carbon Credits (Carbon Farming Initiative) Act 2011</w:t>
      </w:r>
    </w:p>
    <w:p w:rsidR="002B60C7" w:rsidRPr="00374785" w:rsidRDefault="002B60C7" w:rsidP="002B60C7">
      <w:pPr>
        <w:spacing w:before="360"/>
        <w:jc w:val="both"/>
      </w:pPr>
      <w:r w:rsidRPr="00374785">
        <w:t xml:space="preserve">I, GREG HUNT, Minister for the Environment, make this Methodology Determination under subsection 106(1) of the </w:t>
      </w:r>
      <w:r w:rsidRPr="00374785">
        <w:rPr>
          <w:i/>
        </w:rPr>
        <w:t>Carbon Credits (Carbon Farming Initiative) Act 2011</w:t>
      </w:r>
      <w:r w:rsidRPr="00374785">
        <w:t>.</w:t>
      </w:r>
    </w:p>
    <w:p w:rsidR="002B60C7" w:rsidRPr="00374785" w:rsidRDefault="002B60C7" w:rsidP="002B60C7">
      <w:pPr>
        <w:tabs>
          <w:tab w:val="left" w:pos="3119"/>
        </w:tabs>
        <w:spacing w:before="300" w:after="600" w:line="300" w:lineRule="atLeast"/>
      </w:pPr>
      <w:r w:rsidRPr="00374785">
        <w:t xml:space="preserve">Dated   </w:t>
      </w:r>
      <w:r w:rsidR="003047F9">
        <w:tab/>
      </w:r>
      <w:proofErr w:type="gramStart"/>
      <w:r w:rsidR="003047F9">
        <w:t>9 :</w:t>
      </w:r>
      <w:proofErr w:type="gramEnd"/>
      <w:r w:rsidR="003047F9">
        <w:t xml:space="preserve"> 9 : 2014</w:t>
      </w:r>
    </w:p>
    <w:p w:rsidR="002B60C7" w:rsidRPr="00374785" w:rsidRDefault="002B60C7" w:rsidP="002B60C7">
      <w:pPr>
        <w:tabs>
          <w:tab w:val="left" w:pos="3119"/>
        </w:tabs>
        <w:spacing w:before="300" w:after="600" w:line="300" w:lineRule="atLeast"/>
      </w:pPr>
      <w:r w:rsidRPr="00374785">
        <w:t>GREG HUNT</w:t>
      </w:r>
      <w:r w:rsidR="003047F9">
        <w:tab/>
        <w:t>Greg Hunt</w:t>
      </w:r>
    </w:p>
    <w:p w:rsidR="002B60C7" w:rsidRPr="00374785" w:rsidRDefault="002B60C7" w:rsidP="002B60C7">
      <w:pPr>
        <w:pBdr>
          <w:bottom w:val="single" w:sz="4" w:space="12" w:color="auto"/>
        </w:pBdr>
        <w:tabs>
          <w:tab w:val="left" w:pos="3119"/>
        </w:tabs>
        <w:spacing w:after="240" w:line="300" w:lineRule="atLeast"/>
      </w:pPr>
      <w:r w:rsidRPr="00374785">
        <w:t xml:space="preserve">Minister for the Environment </w:t>
      </w:r>
    </w:p>
    <w:p w:rsidR="002B60C7" w:rsidRPr="00374785" w:rsidRDefault="002B60C7" w:rsidP="002B60C7">
      <w:r w:rsidRPr="00374785">
        <w:br w:type="page"/>
      </w:r>
    </w:p>
    <w:p w:rsidR="00514604" w:rsidRDefault="00514604" w:rsidP="00514604">
      <w:pPr>
        <w:pStyle w:val="h2Part"/>
      </w:pPr>
      <w:r>
        <w:lastRenderedPageBreak/>
        <w:t>Contents</w:t>
      </w:r>
    </w:p>
    <w:p w:rsidR="00514604" w:rsidRDefault="00514604">
      <w:pPr>
        <w:pStyle w:val="TOC2"/>
        <w:rPr>
          <w:rFonts w:asciiTheme="minorHAnsi" w:eastAsiaTheme="minorEastAsia" w:hAnsiTheme="minorHAnsi" w:cstheme="minorBidi"/>
          <w:b w:val="0"/>
          <w:lang w:eastAsia="en-AU"/>
        </w:rPr>
      </w:pPr>
      <w:r>
        <w:t>Part 1</w:t>
      </w:r>
      <w:r>
        <w:rPr>
          <w:rFonts w:asciiTheme="minorHAnsi" w:eastAsiaTheme="minorEastAsia" w:hAnsiTheme="minorHAnsi" w:cstheme="minorBidi"/>
          <w:b w:val="0"/>
          <w:lang w:eastAsia="en-AU"/>
        </w:rPr>
        <w:tab/>
      </w:r>
      <w:r>
        <w:t>Preliminary</w:t>
      </w:r>
    </w:p>
    <w:p w:rsidR="00514604" w:rsidRDefault="00514604">
      <w:pPr>
        <w:pStyle w:val="TOC5"/>
        <w:rPr>
          <w:rFonts w:asciiTheme="minorHAnsi" w:eastAsiaTheme="minorEastAsia" w:hAnsiTheme="minorHAnsi" w:cstheme="minorBidi"/>
          <w:sz w:val="22"/>
          <w:szCs w:val="22"/>
          <w:lang w:eastAsia="en-AU"/>
        </w:rPr>
      </w:pPr>
      <w:r>
        <w:tab/>
        <w:t>1.1</w:t>
      </w:r>
      <w:r>
        <w:rPr>
          <w:rFonts w:asciiTheme="minorHAnsi" w:eastAsiaTheme="minorEastAsia" w:hAnsiTheme="minorHAnsi" w:cstheme="minorBidi"/>
          <w:sz w:val="22"/>
          <w:szCs w:val="22"/>
          <w:lang w:eastAsia="en-AU"/>
        </w:rPr>
        <w:tab/>
      </w:r>
      <w:r>
        <w:t>Name of Determination</w:t>
      </w:r>
      <w:r>
        <w:tab/>
        <w:t>5</w:t>
      </w:r>
    </w:p>
    <w:p w:rsidR="00514604" w:rsidRDefault="00514604">
      <w:pPr>
        <w:pStyle w:val="TOC5"/>
        <w:rPr>
          <w:rFonts w:asciiTheme="minorHAnsi" w:eastAsiaTheme="minorEastAsia" w:hAnsiTheme="minorHAnsi" w:cstheme="minorBidi"/>
          <w:sz w:val="22"/>
          <w:szCs w:val="22"/>
          <w:lang w:eastAsia="en-AU"/>
        </w:rPr>
      </w:pPr>
      <w:r>
        <w:tab/>
        <w:t>1.2</w:t>
      </w:r>
      <w:r>
        <w:rPr>
          <w:rFonts w:asciiTheme="minorHAnsi" w:eastAsiaTheme="minorEastAsia" w:hAnsiTheme="minorHAnsi" w:cstheme="minorBidi"/>
          <w:sz w:val="22"/>
          <w:szCs w:val="22"/>
          <w:lang w:eastAsia="en-AU"/>
        </w:rPr>
        <w:tab/>
      </w:r>
      <w:r>
        <w:t>Duration</w:t>
      </w:r>
      <w:r>
        <w:tab/>
        <w:t>5</w:t>
      </w:r>
    </w:p>
    <w:p w:rsidR="00514604" w:rsidRDefault="00514604">
      <w:pPr>
        <w:pStyle w:val="TOC5"/>
        <w:rPr>
          <w:rFonts w:asciiTheme="minorHAnsi" w:eastAsiaTheme="minorEastAsia" w:hAnsiTheme="minorHAnsi" w:cstheme="minorBidi"/>
          <w:sz w:val="22"/>
          <w:szCs w:val="22"/>
          <w:lang w:eastAsia="en-AU"/>
        </w:rPr>
      </w:pPr>
      <w:r>
        <w:tab/>
        <w:t>1.3</w:t>
      </w:r>
      <w:r>
        <w:rPr>
          <w:rFonts w:asciiTheme="minorHAnsi" w:eastAsiaTheme="minorEastAsia" w:hAnsiTheme="minorHAnsi" w:cstheme="minorBidi"/>
          <w:sz w:val="22"/>
          <w:szCs w:val="22"/>
          <w:lang w:eastAsia="en-AU"/>
        </w:rPr>
        <w:tab/>
      </w:r>
      <w:r>
        <w:t>Definitions</w:t>
      </w:r>
      <w:r>
        <w:tab/>
        <w:t>5</w:t>
      </w:r>
    </w:p>
    <w:p w:rsidR="00514604" w:rsidRDefault="00514604">
      <w:pPr>
        <w:pStyle w:val="TOC5"/>
        <w:rPr>
          <w:rFonts w:asciiTheme="minorHAnsi" w:eastAsiaTheme="minorEastAsia" w:hAnsiTheme="minorHAnsi" w:cstheme="minorBidi"/>
          <w:sz w:val="22"/>
          <w:szCs w:val="22"/>
          <w:lang w:eastAsia="en-AU"/>
        </w:rPr>
      </w:pPr>
      <w:r>
        <w:tab/>
        <w:t>1.4</w:t>
      </w:r>
      <w:r>
        <w:rPr>
          <w:rFonts w:asciiTheme="minorHAnsi" w:eastAsiaTheme="minorEastAsia" w:hAnsiTheme="minorHAnsi" w:cstheme="minorBidi"/>
          <w:sz w:val="22"/>
          <w:szCs w:val="22"/>
          <w:lang w:eastAsia="en-AU"/>
        </w:rPr>
        <w:tab/>
      </w:r>
      <w:r>
        <w:t>Kind of project to which this Determination applies</w:t>
      </w:r>
      <w:r>
        <w:tab/>
        <w:t>11</w:t>
      </w:r>
    </w:p>
    <w:p w:rsidR="00514604" w:rsidRDefault="00514604">
      <w:pPr>
        <w:pStyle w:val="TOC2"/>
        <w:rPr>
          <w:rFonts w:asciiTheme="minorHAnsi" w:eastAsiaTheme="minorEastAsia" w:hAnsiTheme="minorHAnsi" w:cstheme="minorBidi"/>
          <w:b w:val="0"/>
          <w:lang w:eastAsia="en-AU"/>
        </w:rPr>
      </w:pPr>
      <w:r>
        <w:t>Part 2</w:t>
      </w:r>
      <w:r>
        <w:rPr>
          <w:rFonts w:asciiTheme="minorHAnsi" w:eastAsiaTheme="minorEastAsia" w:hAnsiTheme="minorHAnsi" w:cstheme="minorBidi"/>
          <w:b w:val="0"/>
          <w:lang w:eastAsia="en-AU"/>
        </w:rPr>
        <w:tab/>
      </w:r>
      <w:r>
        <w:t>Requirements for declaration as eligible project</w:t>
      </w:r>
    </w:p>
    <w:p w:rsidR="00514604" w:rsidRDefault="00514604">
      <w:pPr>
        <w:pStyle w:val="TOC5"/>
        <w:rPr>
          <w:rFonts w:asciiTheme="minorHAnsi" w:eastAsiaTheme="minorEastAsia" w:hAnsiTheme="minorHAnsi" w:cstheme="minorBidi"/>
          <w:sz w:val="22"/>
          <w:szCs w:val="22"/>
          <w:lang w:eastAsia="en-AU"/>
        </w:rPr>
      </w:pPr>
      <w:r>
        <w:rPr>
          <w:color w:val="000000" w:themeColor="text1"/>
        </w:rPr>
        <w:tab/>
      </w:r>
      <w:r w:rsidRPr="00531D56">
        <w:rPr>
          <w:color w:val="000000" w:themeColor="text1"/>
        </w:rPr>
        <w:t>2.1</w:t>
      </w:r>
      <w:r>
        <w:rPr>
          <w:rFonts w:asciiTheme="minorHAnsi" w:eastAsiaTheme="minorEastAsia" w:hAnsiTheme="minorHAnsi" w:cstheme="minorBidi"/>
          <w:sz w:val="22"/>
          <w:szCs w:val="22"/>
          <w:lang w:eastAsia="en-AU"/>
        </w:rPr>
        <w:tab/>
      </w:r>
      <w:r w:rsidRPr="00531D56">
        <w:rPr>
          <w:color w:val="000000" w:themeColor="text1"/>
        </w:rPr>
        <w:t>Eligible projects</w:t>
      </w:r>
      <w:r>
        <w:tab/>
        <w:t>12</w:t>
      </w:r>
    </w:p>
    <w:p w:rsidR="00514604" w:rsidRDefault="00514604">
      <w:pPr>
        <w:pStyle w:val="TOC5"/>
        <w:rPr>
          <w:rFonts w:asciiTheme="minorHAnsi" w:eastAsiaTheme="minorEastAsia" w:hAnsiTheme="minorHAnsi" w:cstheme="minorBidi"/>
          <w:sz w:val="22"/>
          <w:szCs w:val="22"/>
          <w:lang w:eastAsia="en-AU"/>
        </w:rPr>
      </w:pPr>
      <w:r>
        <w:tab/>
        <w:t>2.2</w:t>
      </w:r>
      <w:r>
        <w:rPr>
          <w:rFonts w:asciiTheme="minorHAnsi" w:eastAsiaTheme="minorEastAsia" w:hAnsiTheme="minorHAnsi" w:cstheme="minorBidi"/>
          <w:sz w:val="22"/>
          <w:szCs w:val="22"/>
          <w:lang w:eastAsia="en-AU"/>
        </w:rPr>
        <w:tab/>
      </w:r>
      <w:r>
        <w:t>Project mechanism</w:t>
      </w:r>
      <w:r>
        <w:tab/>
        <w:t>12</w:t>
      </w:r>
    </w:p>
    <w:p w:rsidR="00514604" w:rsidRDefault="00514604">
      <w:pPr>
        <w:pStyle w:val="TOC5"/>
        <w:rPr>
          <w:rFonts w:asciiTheme="minorHAnsi" w:eastAsiaTheme="minorEastAsia" w:hAnsiTheme="minorHAnsi" w:cstheme="minorBidi"/>
          <w:sz w:val="22"/>
          <w:szCs w:val="22"/>
          <w:lang w:eastAsia="en-AU"/>
        </w:rPr>
      </w:pPr>
      <w:r>
        <w:tab/>
        <w:t>2.3</w:t>
      </w:r>
      <w:r>
        <w:rPr>
          <w:rFonts w:asciiTheme="minorHAnsi" w:eastAsiaTheme="minorEastAsia" w:hAnsiTheme="minorHAnsi" w:cstheme="minorBidi"/>
          <w:sz w:val="22"/>
          <w:szCs w:val="22"/>
          <w:lang w:eastAsia="en-AU"/>
        </w:rPr>
        <w:tab/>
      </w:r>
      <w:r>
        <w:t>Land on which project mechanism is implemented</w:t>
      </w:r>
      <w:r>
        <w:tab/>
        <w:t>12</w:t>
      </w:r>
    </w:p>
    <w:p w:rsidR="00514604" w:rsidRDefault="00514604">
      <w:pPr>
        <w:pStyle w:val="TOC5"/>
        <w:rPr>
          <w:rFonts w:asciiTheme="minorHAnsi" w:eastAsiaTheme="minorEastAsia" w:hAnsiTheme="minorHAnsi" w:cstheme="minorBidi"/>
          <w:sz w:val="22"/>
          <w:szCs w:val="22"/>
          <w:lang w:eastAsia="en-AU"/>
        </w:rPr>
      </w:pPr>
      <w:r>
        <w:tab/>
        <w:t>2.4</w:t>
      </w:r>
      <w:r>
        <w:rPr>
          <w:rFonts w:asciiTheme="minorHAnsi" w:eastAsiaTheme="minorEastAsia" w:hAnsiTheme="minorHAnsi" w:cstheme="minorBidi"/>
          <w:sz w:val="22"/>
          <w:szCs w:val="22"/>
          <w:lang w:eastAsia="en-AU"/>
        </w:rPr>
        <w:tab/>
      </w:r>
      <w:r>
        <w:t>Identification of project area</w:t>
      </w:r>
      <w:r>
        <w:tab/>
        <w:t>13</w:t>
      </w:r>
    </w:p>
    <w:p w:rsidR="00514604" w:rsidRDefault="00514604">
      <w:pPr>
        <w:pStyle w:val="TOC2"/>
        <w:rPr>
          <w:rFonts w:asciiTheme="minorHAnsi" w:eastAsiaTheme="minorEastAsia" w:hAnsiTheme="minorHAnsi" w:cstheme="minorBidi"/>
          <w:b w:val="0"/>
          <w:lang w:eastAsia="en-AU"/>
        </w:rPr>
      </w:pPr>
      <w:r>
        <w:t>Part 3</w:t>
      </w:r>
      <w:r>
        <w:rPr>
          <w:rFonts w:asciiTheme="minorHAnsi" w:eastAsiaTheme="minorEastAsia" w:hAnsiTheme="minorHAnsi" w:cstheme="minorBidi"/>
          <w:b w:val="0"/>
          <w:lang w:eastAsia="en-AU"/>
        </w:rPr>
        <w:tab/>
      </w:r>
      <w:r>
        <w:t>Project operation</w:t>
      </w:r>
    </w:p>
    <w:p w:rsidR="00514604" w:rsidRDefault="00514604">
      <w:pPr>
        <w:pStyle w:val="TOC3"/>
        <w:rPr>
          <w:rFonts w:asciiTheme="minorHAnsi" w:eastAsiaTheme="minorEastAsia" w:hAnsiTheme="minorHAnsi" w:cstheme="minorBidi"/>
          <w:b w:val="0"/>
          <w:noProof/>
          <w:sz w:val="22"/>
          <w:szCs w:val="22"/>
          <w:lang w:eastAsia="en-AU"/>
        </w:rPr>
      </w:pPr>
      <w:r>
        <w:rPr>
          <w:noProof/>
        </w:rPr>
        <w:t>Division 3.1</w:t>
      </w:r>
      <w:r>
        <w:rPr>
          <w:rFonts w:asciiTheme="minorHAnsi" w:eastAsiaTheme="minorEastAsia" w:hAnsiTheme="minorHAnsi" w:cstheme="minorBidi"/>
          <w:b w:val="0"/>
          <w:noProof/>
          <w:sz w:val="22"/>
          <w:szCs w:val="22"/>
          <w:lang w:eastAsia="en-AU"/>
        </w:rPr>
        <w:tab/>
      </w:r>
      <w:r>
        <w:rPr>
          <w:noProof/>
        </w:rPr>
        <w:t>Operation of eligible projects</w:t>
      </w:r>
    </w:p>
    <w:p w:rsidR="00514604" w:rsidRDefault="00514604">
      <w:pPr>
        <w:pStyle w:val="TOC5"/>
        <w:rPr>
          <w:rFonts w:asciiTheme="minorHAnsi" w:eastAsiaTheme="minorEastAsia" w:hAnsiTheme="minorHAnsi" w:cstheme="minorBidi"/>
          <w:sz w:val="22"/>
          <w:szCs w:val="22"/>
          <w:lang w:eastAsia="en-AU"/>
        </w:rPr>
      </w:pPr>
      <w:r>
        <w:tab/>
        <w:t>3.1</w:t>
      </w:r>
      <w:r>
        <w:rPr>
          <w:rFonts w:asciiTheme="minorHAnsi" w:eastAsiaTheme="minorEastAsia" w:hAnsiTheme="minorHAnsi" w:cstheme="minorBidi"/>
          <w:sz w:val="22"/>
          <w:szCs w:val="22"/>
          <w:lang w:eastAsia="en-AU"/>
        </w:rPr>
        <w:tab/>
      </w:r>
      <w:r>
        <w:t>Operation of eligible projects</w:t>
      </w:r>
      <w:r>
        <w:tab/>
        <w:t>14</w:t>
      </w:r>
    </w:p>
    <w:p w:rsidR="00514604" w:rsidRDefault="00514604">
      <w:pPr>
        <w:pStyle w:val="TOC3"/>
        <w:rPr>
          <w:rFonts w:asciiTheme="minorHAnsi" w:eastAsiaTheme="minorEastAsia" w:hAnsiTheme="minorHAnsi" w:cstheme="minorBidi"/>
          <w:b w:val="0"/>
          <w:noProof/>
          <w:sz w:val="22"/>
          <w:szCs w:val="22"/>
          <w:lang w:eastAsia="en-AU"/>
        </w:rPr>
      </w:pPr>
      <w:r>
        <w:rPr>
          <w:noProof/>
        </w:rPr>
        <w:t>Division 3.2</w:t>
      </w:r>
      <w:r>
        <w:rPr>
          <w:rFonts w:asciiTheme="minorHAnsi" w:eastAsiaTheme="minorEastAsia" w:hAnsiTheme="minorHAnsi" w:cstheme="minorBidi"/>
          <w:b w:val="0"/>
          <w:noProof/>
          <w:sz w:val="22"/>
          <w:szCs w:val="22"/>
          <w:lang w:eastAsia="en-AU"/>
        </w:rPr>
        <w:tab/>
      </w:r>
      <w:r>
        <w:rPr>
          <w:noProof/>
        </w:rPr>
        <w:t>Stratification of the project area</w:t>
      </w:r>
    </w:p>
    <w:p w:rsidR="00514604" w:rsidRDefault="00514604">
      <w:pPr>
        <w:pStyle w:val="TOC5"/>
        <w:rPr>
          <w:rFonts w:asciiTheme="minorHAnsi" w:eastAsiaTheme="minorEastAsia" w:hAnsiTheme="minorHAnsi" w:cstheme="minorBidi"/>
          <w:sz w:val="22"/>
          <w:szCs w:val="22"/>
          <w:lang w:eastAsia="en-AU"/>
        </w:rPr>
      </w:pPr>
      <w:r>
        <w:tab/>
        <w:t>3.2</w:t>
      </w:r>
      <w:r>
        <w:rPr>
          <w:rFonts w:asciiTheme="minorHAnsi" w:eastAsiaTheme="minorEastAsia" w:hAnsiTheme="minorHAnsi" w:cstheme="minorBidi"/>
          <w:sz w:val="22"/>
          <w:szCs w:val="22"/>
          <w:lang w:eastAsia="en-AU"/>
        </w:rPr>
        <w:tab/>
      </w:r>
      <w:r>
        <w:t>Initial stratification of project area</w:t>
      </w:r>
      <w:r>
        <w:tab/>
        <w:t>14</w:t>
      </w:r>
    </w:p>
    <w:p w:rsidR="00514604" w:rsidRDefault="00514604">
      <w:pPr>
        <w:pStyle w:val="TOC5"/>
        <w:rPr>
          <w:rFonts w:asciiTheme="minorHAnsi" w:eastAsiaTheme="minorEastAsia" w:hAnsiTheme="minorHAnsi" w:cstheme="minorBidi"/>
          <w:sz w:val="22"/>
          <w:szCs w:val="22"/>
          <w:lang w:eastAsia="en-AU"/>
        </w:rPr>
      </w:pPr>
      <w:r>
        <w:tab/>
        <w:t>3.3</w:t>
      </w:r>
      <w:r>
        <w:rPr>
          <w:rFonts w:asciiTheme="minorHAnsi" w:eastAsiaTheme="minorEastAsia" w:hAnsiTheme="minorHAnsi" w:cstheme="minorBidi"/>
          <w:sz w:val="22"/>
          <w:szCs w:val="22"/>
          <w:lang w:eastAsia="en-AU"/>
        </w:rPr>
        <w:tab/>
      </w:r>
      <w:r>
        <w:t>Requirements for a carbon estimation area</w:t>
      </w:r>
      <w:r>
        <w:tab/>
        <w:t>14</w:t>
      </w:r>
    </w:p>
    <w:p w:rsidR="00514604" w:rsidRDefault="00514604">
      <w:pPr>
        <w:pStyle w:val="TOC5"/>
        <w:rPr>
          <w:rFonts w:asciiTheme="minorHAnsi" w:eastAsiaTheme="minorEastAsia" w:hAnsiTheme="minorHAnsi" w:cstheme="minorBidi"/>
          <w:sz w:val="22"/>
          <w:szCs w:val="22"/>
          <w:lang w:eastAsia="en-AU"/>
        </w:rPr>
      </w:pPr>
      <w:r>
        <w:tab/>
        <w:t>3.4</w:t>
      </w:r>
      <w:r>
        <w:rPr>
          <w:rFonts w:asciiTheme="minorHAnsi" w:eastAsiaTheme="minorEastAsia" w:hAnsiTheme="minorHAnsi" w:cstheme="minorBidi"/>
          <w:sz w:val="22"/>
          <w:szCs w:val="22"/>
          <w:lang w:eastAsia="en-AU"/>
        </w:rPr>
        <w:tab/>
      </w:r>
      <w:r>
        <w:t>Carbon estimation area boundaries</w:t>
      </w:r>
      <w:r>
        <w:tab/>
        <w:t>15</w:t>
      </w:r>
    </w:p>
    <w:p w:rsidR="00514604" w:rsidRDefault="00514604">
      <w:pPr>
        <w:pStyle w:val="TOC5"/>
        <w:rPr>
          <w:rFonts w:asciiTheme="minorHAnsi" w:eastAsiaTheme="minorEastAsia" w:hAnsiTheme="minorHAnsi" w:cstheme="minorBidi"/>
          <w:sz w:val="22"/>
          <w:szCs w:val="22"/>
          <w:lang w:eastAsia="en-AU"/>
        </w:rPr>
      </w:pPr>
      <w:r>
        <w:tab/>
        <w:t>3.5</w:t>
      </w:r>
      <w:r>
        <w:rPr>
          <w:rFonts w:asciiTheme="minorHAnsi" w:eastAsiaTheme="minorEastAsia" w:hAnsiTheme="minorHAnsi" w:cstheme="minorBidi"/>
          <w:sz w:val="22"/>
          <w:szCs w:val="22"/>
          <w:lang w:eastAsia="en-AU"/>
        </w:rPr>
        <w:tab/>
      </w:r>
      <w:r>
        <w:t>Maximum permitted carbon estimation area width</w:t>
      </w:r>
      <w:r>
        <w:tab/>
        <w:t>16</w:t>
      </w:r>
    </w:p>
    <w:p w:rsidR="00514604" w:rsidRDefault="00514604">
      <w:pPr>
        <w:pStyle w:val="TOC5"/>
        <w:rPr>
          <w:rFonts w:asciiTheme="minorHAnsi" w:eastAsiaTheme="minorEastAsia" w:hAnsiTheme="minorHAnsi" w:cstheme="minorBidi"/>
          <w:sz w:val="22"/>
          <w:szCs w:val="22"/>
          <w:lang w:eastAsia="en-AU"/>
        </w:rPr>
      </w:pPr>
      <w:r>
        <w:tab/>
        <w:t>3.6</w:t>
      </w:r>
      <w:r>
        <w:rPr>
          <w:rFonts w:asciiTheme="minorHAnsi" w:eastAsiaTheme="minorEastAsia" w:hAnsiTheme="minorHAnsi" w:cstheme="minorBidi"/>
          <w:sz w:val="22"/>
          <w:szCs w:val="22"/>
          <w:lang w:eastAsia="en-AU"/>
        </w:rPr>
        <w:tab/>
      </w:r>
      <w:r>
        <w:t>Carbon estimation area planting requirements</w:t>
      </w:r>
      <w:r>
        <w:tab/>
        <w:t>16</w:t>
      </w:r>
    </w:p>
    <w:p w:rsidR="00514604" w:rsidRDefault="00514604">
      <w:pPr>
        <w:pStyle w:val="TOC5"/>
        <w:rPr>
          <w:rFonts w:asciiTheme="minorHAnsi" w:eastAsiaTheme="minorEastAsia" w:hAnsiTheme="minorHAnsi" w:cstheme="minorBidi"/>
          <w:sz w:val="22"/>
          <w:szCs w:val="22"/>
          <w:lang w:eastAsia="en-AU"/>
        </w:rPr>
      </w:pPr>
      <w:r>
        <w:tab/>
        <w:t>3.7</w:t>
      </w:r>
      <w:r>
        <w:rPr>
          <w:rFonts w:asciiTheme="minorHAnsi" w:eastAsiaTheme="minorEastAsia" w:hAnsiTheme="minorHAnsi" w:cstheme="minorBidi"/>
          <w:sz w:val="22"/>
          <w:szCs w:val="22"/>
          <w:lang w:eastAsia="en-AU"/>
        </w:rPr>
        <w:tab/>
      </w:r>
      <w:r>
        <w:t>Requirements for an exclusion area</w:t>
      </w:r>
      <w:r>
        <w:tab/>
        <w:t>16</w:t>
      </w:r>
    </w:p>
    <w:p w:rsidR="00514604" w:rsidRDefault="00514604">
      <w:pPr>
        <w:pStyle w:val="TOC5"/>
        <w:rPr>
          <w:rFonts w:asciiTheme="minorHAnsi" w:eastAsiaTheme="minorEastAsia" w:hAnsiTheme="minorHAnsi" w:cstheme="minorBidi"/>
          <w:sz w:val="22"/>
          <w:szCs w:val="22"/>
          <w:lang w:eastAsia="en-AU"/>
        </w:rPr>
      </w:pPr>
      <w:r>
        <w:tab/>
        <w:t>3.8</w:t>
      </w:r>
      <w:r>
        <w:rPr>
          <w:rFonts w:asciiTheme="minorHAnsi" w:eastAsiaTheme="minorEastAsia" w:hAnsiTheme="minorHAnsi" w:cstheme="minorBidi"/>
          <w:sz w:val="22"/>
          <w:szCs w:val="22"/>
          <w:lang w:eastAsia="en-AU"/>
        </w:rPr>
        <w:tab/>
      </w:r>
      <w:r>
        <w:t>Re-stratification of a carbon estimation area</w:t>
      </w:r>
      <w:r>
        <w:tab/>
        <w:t>16</w:t>
      </w:r>
    </w:p>
    <w:p w:rsidR="00514604" w:rsidRDefault="00514604">
      <w:pPr>
        <w:pStyle w:val="TOC3"/>
        <w:rPr>
          <w:rFonts w:asciiTheme="minorHAnsi" w:eastAsiaTheme="minorEastAsia" w:hAnsiTheme="minorHAnsi" w:cstheme="minorBidi"/>
          <w:b w:val="0"/>
          <w:noProof/>
          <w:sz w:val="22"/>
          <w:szCs w:val="22"/>
          <w:lang w:eastAsia="en-AU"/>
        </w:rPr>
      </w:pPr>
      <w:r>
        <w:rPr>
          <w:noProof/>
        </w:rPr>
        <w:t>Division 3.3</w:t>
      </w:r>
      <w:r>
        <w:rPr>
          <w:rFonts w:asciiTheme="minorHAnsi" w:eastAsiaTheme="minorEastAsia" w:hAnsiTheme="minorHAnsi" w:cstheme="minorBidi"/>
          <w:b w:val="0"/>
          <w:noProof/>
          <w:sz w:val="22"/>
          <w:szCs w:val="22"/>
          <w:lang w:eastAsia="en-AU"/>
        </w:rPr>
        <w:tab/>
      </w:r>
      <w:r>
        <w:rPr>
          <w:noProof/>
        </w:rPr>
        <w:t>Domain group—planting types and requirements</w:t>
      </w:r>
    </w:p>
    <w:p w:rsidR="00514604" w:rsidRDefault="00514604">
      <w:pPr>
        <w:pStyle w:val="TOC5"/>
        <w:rPr>
          <w:rFonts w:asciiTheme="minorHAnsi" w:eastAsiaTheme="minorEastAsia" w:hAnsiTheme="minorHAnsi" w:cstheme="minorBidi"/>
          <w:sz w:val="22"/>
          <w:szCs w:val="22"/>
          <w:lang w:eastAsia="en-AU"/>
        </w:rPr>
      </w:pPr>
      <w:r>
        <w:tab/>
        <w:t>3.9</w:t>
      </w:r>
      <w:r>
        <w:rPr>
          <w:rFonts w:asciiTheme="minorHAnsi" w:eastAsiaTheme="minorEastAsia" w:hAnsiTheme="minorHAnsi" w:cstheme="minorBidi"/>
          <w:sz w:val="22"/>
          <w:szCs w:val="22"/>
          <w:lang w:eastAsia="en-AU"/>
        </w:rPr>
        <w:tab/>
      </w:r>
      <w:r>
        <w:t>Mallee plantings</w:t>
      </w:r>
      <w:r>
        <w:tab/>
        <w:t>17</w:t>
      </w:r>
    </w:p>
    <w:p w:rsidR="00514604" w:rsidRDefault="00514604">
      <w:pPr>
        <w:pStyle w:val="TOC5"/>
        <w:rPr>
          <w:rFonts w:asciiTheme="minorHAnsi" w:eastAsiaTheme="minorEastAsia" w:hAnsiTheme="minorHAnsi" w:cstheme="minorBidi"/>
          <w:sz w:val="22"/>
          <w:szCs w:val="22"/>
          <w:lang w:eastAsia="en-AU"/>
        </w:rPr>
      </w:pPr>
      <w:r>
        <w:tab/>
        <w:t>3.10</w:t>
      </w:r>
      <w:r>
        <w:rPr>
          <w:rFonts w:asciiTheme="minorHAnsi" w:eastAsiaTheme="minorEastAsia" w:hAnsiTheme="minorHAnsi" w:cstheme="minorBidi"/>
          <w:sz w:val="22"/>
          <w:szCs w:val="22"/>
          <w:lang w:eastAsia="en-AU"/>
        </w:rPr>
        <w:tab/>
      </w:r>
      <w:r>
        <w:t>Mixed-species environmental plantings</w:t>
      </w:r>
      <w:r>
        <w:tab/>
        <w:t>17</w:t>
      </w:r>
    </w:p>
    <w:p w:rsidR="00514604" w:rsidRDefault="00514604">
      <w:pPr>
        <w:pStyle w:val="TOC3"/>
        <w:rPr>
          <w:rFonts w:asciiTheme="minorHAnsi" w:eastAsiaTheme="minorEastAsia" w:hAnsiTheme="minorHAnsi" w:cstheme="minorBidi"/>
          <w:b w:val="0"/>
          <w:noProof/>
          <w:sz w:val="22"/>
          <w:szCs w:val="22"/>
          <w:lang w:eastAsia="en-AU"/>
        </w:rPr>
      </w:pPr>
      <w:r>
        <w:rPr>
          <w:noProof/>
        </w:rPr>
        <w:t>Division 3.4</w:t>
      </w:r>
      <w:r>
        <w:rPr>
          <w:rFonts w:asciiTheme="minorHAnsi" w:eastAsiaTheme="minorEastAsia" w:hAnsiTheme="minorHAnsi" w:cstheme="minorBidi"/>
          <w:b w:val="0"/>
          <w:noProof/>
          <w:sz w:val="22"/>
          <w:szCs w:val="22"/>
          <w:lang w:eastAsia="en-AU"/>
        </w:rPr>
        <w:tab/>
      </w:r>
      <w:r>
        <w:rPr>
          <w:noProof/>
        </w:rPr>
        <w:t>Domain group—planting geometry and spacing</w:t>
      </w:r>
    </w:p>
    <w:p w:rsidR="00514604" w:rsidRDefault="00514604">
      <w:pPr>
        <w:pStyle w:val="TOC5"/>
        <w:rPr>
          <w:rFonts w:asciiTheme="minorHAnsi" w:eastAsiaTheme="minorEastAsia" w:hAnsiTheme="minorHAnsi" w:cstheme="minorBidi"/>
          <w:sz w:val="22"/>
          <w:szCs w:val="22"/>
          <w:lang w:eastAsia="en-AU"/>
        </w:rPr>
      </w:pPr>
      <w:r>
        <w:tab/>
        <w:t>3.11</w:t>
      </w:r>
      <w:r>
        <w:rPr>
          <w:rFonts w:asciiTheme="minorHAnsi" w:eastAsiaTheme="minorEastAsia" w:hAnsiTheme="minorHAnsi" w:cstheme="minorBidi"/>
          <w:sz w:val="22"/>
          <w:szCs w:val="22"/>
          <w:lang w:eastAsia="en-AU"/>
        </w:rPr>
        <w:tab/>
      </w:r>
      <w:r>
        <w:t>Narrow linear plantings</w:t>
      </w:r>
      <w:r>
        <w:tab/>
        <w:t>18</w:t>
      </w:r>
    </w:p>
    <w:p w:rsidR="00514604" w:rsidRDefault="00514604">
      <w:pPr>
        <w:pStyle w:val="TOC5"/>
        <w:rPr>
          <w:rFonts w:asciiTheme="minorHAnsi" w:eastAsiaTheme="minorEastAsia" w:hAnsiTheme="minorHAnsi" w:cstheme="minorBidi"/>
          <w:sz w:val="22"/>
          <w:szCs w:val="22"/>
          <w:lang w:eastAsia="en-AU"/>
        </w:rPr>
      </w:pPr>
      <w:r>
        <w:tab/>
        <w:t>3.12</w:t>
      </w:r>
      <w:r>
        <w:rPr>
          <w:rFonts w:asciiTheme="minorHAnsi" w:eastAsiaTheme="minorEastAsia" w:hAnsiTheme="minorHAnsi" w:cstheme="minorBidi"/>
          <w:sz w:val="22"/>
          <w:szCs w:val="22"/>
          <w:lang w:eastAsia="en-AU"/>
        </w:rPr>
        <w:tab/>
      </w:r>
      <w:r>
        <w:t>Wide linear plantings</w:t>
      </w:r>
      <w:r>
        <w:tab/>
        <w:t>18</w:t>
      </w:r>
    </w:p>
    <w:p w:rsidR="00514604" w:rsidRDefault="00514604">
      <w:pPr>
        <w:pStyle w:val="TOC5"/>
        <w:rPr>
          <w:rFonts w:asciiTheme="minorHAnsi" w:eastAsiaTheme="minorEastAsia" w:hAnsiTheme="minorHAnsi" w:cstheme="minorBidi"/>
          <w:sz w:val="22"/>
          <w:szCs w:val="22"/>
          <w:lang w:eastAsia="en-AU"/>
        </w:rPr>
      </w:pPr>
      <w:r>
        <w:tab/>
        <w:t>3.13</w:t>
      </w:r>
      <w:r>
        <w:rPr>
          <w:rFonts w:asciiTheme="minorHAnsi" w:eastAsiaTheme="minorEastAsia" w:hAnsiTheme="minorHAnsi" w:cstheme="minorBidi"/>
          <w:sz w:val="22"/>
          <w:szCs w:val="22"/>
          <w:lang w:eastAsia="en-AU"/>
        </w:rPr>
        <w:tab/>
      </w:r>
      <w:r>
        <w:t>Block planting</w:t>
      </w:r>
      <w:r>
        <w:tab/>
        <w:t>19</w:t>
      </w:r>
    </w:p>
    <w:p w:rsidR="00514604" w:rsidRDefault="00514604">
      <w:pPr>
        <w:pStyle w:val="TOC5"/>
        <w:rPr>
          <w:rFonts w:asciiTheme="minorHAnsi" w:eastAsiaTheme="minorEastAsia" w:hAnsiTheme="minorHAnsi" w:cstheme="minorBidi"/>
          <w:sz w:val="22"/>
          <w:szCs w:val="22"/>
          <w:lang w:eastAsia="en-AU"/>
        </w:rPr>
      </w:pPr>
      <w:r>
        <w:tab/>
        <w:t>3.14</w:t>
      </w:r>
      <w:r>
        <w:rPr>
          <w:rFonts w:asciiTheme="minorHAnsi" w:eastAsiaTheme="minorEastAsia" w:hAnsiTheme="minorHAnsi" w:cstheme="minorBidi"/>
          <w:sz w:val="22"/>
          <w:szCs w:val="22"/>
          <w:lang w:eastAsia="en-AU"/>
        </w:rPr>
        <w:tab/>
      </w:r>
      <w:r>
        <w:t>Mallee plantings—plant spacing</w:t>
      </w:r>
      <w:r>
        <w:tab/>
        <w:t>19</w:t>
      </w:r>
    </w:p>
    <w:p w:rsidR="00514604" w:rsidRDefault="00514604">
      <w:pPr>
        <w:pStyle w:val="TOC5"/>
        <w:rPr>
          <w:rFonts w:asciiTheme="minorHAnsi" w:eastAsiaTheme="minorEastAsia" w:hAnsiTheme="minorHAnsi" w:cstheme="minorBidi"/>
          <w:sz w:val="22"/>
          <w:szCs w:val="22"/>
          <w:lang w:eastAsia="en-AU"/>
        </w:rPr>
      </w:pPr>
      <w:r>
        <w:tab/>
        <w:t>3.15</w:t>
      </w:r>
      <w:r>
        <w:rPr>
          <w:rFonts w:asciiTheme="minorHAnsi" w:eastAsiaTheme="minorEastAsia" w:hAnsiTheme="minorHAnsi" w:cstheme="minorBidi"/>
          <w:sz w:val="22"/>
          <w:szCs w:val="22"/>
          <w:lang w:eastAsia="en-AU"/>
        </w:rPr>
        <w:tab/>
      </w:r>
      <w:r>
        <w:t>Mixed-species environmental plantings—narrow linear plant spacing</w:t>
      </w:r>
      <w:r>
        <w:tab/>
        <w:t>19</w:t>
      </w:r>
    </w:p>
    <w:p w:rsidR="00514604" w:rsidRDefault="00514604">
      <w:pPr>
        <w:pStyle w:val="TOC5"/>
        <w:rPr>
          <w:rFonts w:asciiTheme="minorHAnsi" w:eastAsiaTheme="minorEastAsia" w:hAnsiTheme="minorHAnsi" w:cstheme="minorBidi"/>
          <w:sz w:val="22"/>
          <w:szCs w:val="22"/>
          <w:lang w:eastAsia="en-AU"/>
        </w:rPr>
      </w:pPr>
      <w:r>
        <w:tab/>
        <w:t>3.16</w:t>
      </w:r>
      <w:r>
        <w:rPr>
          <w:rFonts w:asciiTheme="minorHAnsi" w:eastAsiaTheme="minorEastAsia" w:hAnsiTheme="minorHAnsi" w:cstheme="minorBidi"/>
          <w:sz w:val="22"/>
          <w:szCs w:val="22"/>
          <w:lang w:eastAsia="en-AU"/>
        </w:rPr>
        <w:tab/>
      </w:r>
      <w:r>
        <w:t>Mixed-species environmental plantings—wide linear plant spacing</w:t>
      </w:r>
      <w:r>
        <w:tab/>
        <w:t>19</w:t>
      </w:r>
    </w:p>
    <w:p w:rsidR="00514604" w:rsidRDefault="00514604">
      <w:pPr>
        <w:pStyle w:val="TOC5"/>
        <w:rPr>
          <w:rFonts w:asciiTheme="minorHAnsi" w:eastAsiaTheme="minorEastAsia" w:hAnsiTheme="minorHAnsi" w:cstheme="minorBidi"/>
          <w:sz w:val="22"/>
          <w:szCs w:val="22"/>
          <w:lang w:eastAsia="en-AU"/>
        </w:rPr>
      </w:pPr>
      <w:r>
        <w:tab/>
        <w:t>3.17</w:t>
      </w:r>
      <w:r>
        <w:rPr>
          <w:rFonts w:asciiTheme="minorHAnsi" w:eastAsiaTheme="minorEastAsia" w:hAnsiTheme="minorHAnsi" w:cstheme="minorBidi"/>
          <w:sz w:val="22"/>
          <w:szCs w:val="22"/>
          <w:lang w:eastAsia="en-AU"/>
        </w:rPr>
        <w:tab/>
      </w:r>
      <w:r>
        <w:t>Block planting—plant spacing</w:t>
      </w:r>
      <w:r>
        <w:tab/>
        <w:t>20</w:t>
      </w:r>
    </w:p>
    <w:p w:rsidR="00514604" w:rsidRDefault="00514604">
      <w:pPr>
        <w:pStyle w:val="TOC3"/>
        <w:rPr>
          <w:rFonts w:asciiTheme="minorHAnsi" w:eastAsiaTheme="minorEastAsia" w:hAnsiTheme="minorHAnsi" w:cstheme="minorBidi"/>
          <w:b w:val="0"/>
          <w:noProof/>
          <w:sz w:val="22"/>
          <w:szCs w:val="22"/>
          <w:lang w:eastAsia="en-AU"/>
        </w:rPr>
      </w:pPr>
      <w:r>
        <w:rPr>
          <w:noProof/>
        </w:rPr>
        <w:t>Division 3.5</w:t>
      </w:r>
      <w:r>
        <w:rPr>
          <w:rFonts w:asciiTheme="minorHAnsi" w:eastAsiaTheme="minorEastAsia" w:hAnsiTheme="minorHAnsi" w:cstheme="minorBidi"/>
          <w:b w:val="0"/>
          <w:noProof/>
          <w:sz w:val="22"/>
          <w:szCs w:val="22"/>
          <w:lang w:eastAsia="en-AU"/>
        </w:rPr>
        <w:tab/>
      </w:r>
      <w:r>
        <w:rPr>
          <w:noProof/>
        </w:rPr>
        <w:t>Domain group—stocking density and tree proportion</w:t>
      </w:r>
    </w:p>
    <w:p w:rsidR="00514604" w:rsidRDefault="00514604">
      <w:pPr>
        <w:pStyle w:val="TOC4"/>
        <w:rPr>
          <w:rFonts w:asciiTheme="minorHAnsi" w:eastAsiaTheme="minorEastAsia" w:hAnsiTheme="minorHAnsi" w:cstheme="minorBidi"/>
          <w:b w:val="0"/>
          <w:noProof/>
          <w:sz w:val="22"/>
          <w:szCs w:val="22"/>
          <w:lang w:eastAsia="en-AU"/>
        </w:rPr>
      </w:pPr>
      <w:r>
        <w:rPr>
          <w:noProof/>
        </w:rPr>
        <w:t>Subdivision 3.5.1</w:t>
      </w:r>
      <w:r>
        <w:rPr>
          <w:rFonts w:asciiTheme="minorHAnsi" w:eastAsiaTheme="minorEastAsia" w:hAnsiTheme="minorHAnsi" w:cstheme="minorBidi"/>
          <w:b w:val="0"/>
          <w:noProof/>
          <w:sz w:val="22"/>
          <w:szCs w:val="22"/>
          <w:lang w:eastAsia="en-AU"/>
        </w:rPr>
        <w:tab/>
      </w:r>
      <w:r>
        <w:rPr>
          <w:noProof/>
        </w:rPr>
        <w:t>Stocking density and tree proportion—default values</w:t>
      </w:r>
    </w:p>
    <w:p w:rsidR="00514604" w:rsidRDefault="00514604">
      <w:pPr>
        <w:pStyle w:val="TOC5"/>
        <w:rPr>
          <w:rFonts w:asciiTheme="minorHAnsi" w:eastAsiaTheme="minorEastAsia" w:hAnsiTheme="minorHAnsi" w:cstheme="minorBidi"/>
          <w:sz w:val="22"/>
          <w:szCs w:val="22"/>
          <w:lang w:eastAsia="en-AU"/>
        </w:rPr>
      </w:pPr>
      <w:r>
        <w:tab/>
        <w:t>3.18</w:t>
      </w:r>
      <w:r>
        <w:rPr>
          <w:rFonts w:asciiTheme="minorHAnsi" w:eastAsiaTheme="minorEastAsia" w:hAnsiTheme="minorHAnsi" w:cstheme="minorBidi"/>
          <w:sz w:val="22"/>
          <w:szCs w:val="22"/>
          <w:lang w:eastAsia="en-AU"/>
        </w:rPr>
        <w:tab/>
      </w:r>
      <w:r w:rsidRPr="00531D56">
        <w:rPr>
          <w:color w:val="000000" w:themeColor="text1"/>
        </w:rPr>
        <w:t>Propagated seedling stock—</w:t>
      </w:r>
      <w:r>
        <w:t>default values</w:t>
      </w:r>
      <w:r>
        <w:tab/>
        <w:t>20</w:t>
      </w:r>
    </w:p>
    <w:p w:rsidR="00514604" w:rsidRDefault="00514604">
      <w:pPr>
        <w:pStyle w:val="TOC5"/>
        <w:rPr>
          <w:rFonts w:asciiTheme="minorHAnsi" w:eastAsiaTheme="minorEastAsia" w:hAnsiTheme="minorHAnsi" w:cstheme="minorBidi"/>
          <w:sz w:val="22"/>
          <w:szCs w:val="22"/>
          <w:lang w:eastAsia="en-AU"/>
        </w:rPr>
      </w:pPr>
      <w:r>
        <w:tab/>
        <w:t>3.19</w:t>
      </w:r>
      <w:r>
        <w:rPr>
          <w:rFonts w:asciiTheme="minorHAnsi" w:eastAsiaTheme="minorEastAsia" w:hAnsiTheme="minorHAnsi" w:cstheme="minorBidi"/>
          <w:sz w:val="22"/>
          <w:szCs w:val="22"/>
          <w:lang w:eastAsia="en-AU"/>
        </w:rPr>
        <w:tab/>
      </w:r>
      <w:r>
        <w:t>Direct</w:t>
      </w:r>
      <w:r w:rsidR="00856D30">
        <w:t xml:space="preserve"> seeding</w:t>
      </w:r>
      <w:r>
        <w:t>—default values</w:t>
      </w:r>
      <w:r>
        <w:tab/>
        <w:t>20</w:t>
      </w:r>
    </w:p>
    <w:p w:rsidR="00514604" w:rsidRDefault="00514604">
      <w:pPr>
        <w:pStyle w:val="TOC5"/>
        <w:rPr>
          <w:rFonts w:asciiTheme="minorHAnsi" w:eastAsiaTheme="minorEastAsia" w:hAnsiTheme="minorHAnsi" w:cstheme="minorBidi"/>
          <w:sz w:val="22"/>
          <w:szCs w:val="22"/>
          <w:lang w:eastAsia="en-AU"/>
        </w:rPr>
      </w:pPr>
      <w:r>
        <w:tab/>
        <w:t>3.20</w:t>
      </w:r>
      <w:r>
        <w:rPr>
          <w:rFonts w:asciiTheme="minorHAnsi" w:eastAsiaTheme="minorEastAsia" w:hAnsiTheme="minorHAnsi" w:cstheme="minorBidi"/>
          <w:sz w:val="22"/>
          <w:szCs w:val="22"/>
          <w:lang w:eastAsia="en-AU"/>
        </w:rPr>
        <w:tab/>
      </w:r>
      <w:r>
        <w:t>Alternatives to default values</w:t>
      </w:r>
      <w:r>
        <w:tab/>
        <w:t>21</w:t>
      </w:r>
    </w:p>
    <w:p w:rsidR="00514604" w:rsidRDefault="00514604">
      <w:pPr>
        <w:pStyle w:val="TOC4"/>
        <w:rPr>
          <w:rFonts w:asciiTheme="minorHAnsi" w:eastAsiaTheme="minorEastAsia" w:hAnsiTheme="minorHAnsi" w:cstheme="minorBidi"/>
          <w:b w:val="0"/>
          <w:noProof/>
          <w:sz w:val="22"/>
          <w:szCs w:val="22"/>
          <w:lang w:eastAsia="en-AU"/>
        </w:rPr>
      </w:pPr>
      <w:r>
        <w:rPr>
          <w:noProof/>
        </w:rPr>
        <w:t>Subdivision 3.5.2</w:t>
      </w:r>
      <w:r>
        <w:rPr>
          <w:rFonts w:asciiTheme="minorHAnsi" w:eastAsiaTheme="minorEastAsia" w:hAnsiTheme="minorHAnsi" w:cstheme="minorBidi"/>
          <w:b w:val="0"/>
          <w:noProof/>
          <w:sz w:val="22"/>
          <w:szCs w:val="22"/>
          <w:lang w:eastAsia="en-AU"/>
        </w:rPr>
        <w:tab/>
      </w:r>
      <w:r>
        <w:rPr>
          <w:noProof/>
        </w:rPr>
        <w:t>Stocking density and tree proportion requirements</w:t>
      </w:r>
    </w:p>
    <w:p w:rsidR="00514604" w:rsidRDefault="00514604">
      <w:pPr>
        <w:pStyle w:val="TOC5"/>
        <w:rPr>
          <w:rFonts w:asciiTheme="minorHAnsi" w:eastAsiaTheme="minorEastAsia" w:hAnsiTheme="minorHAnsi" w:cstheme="minorBidi"/>
          <w:sz w:val="22"/>
          <w:szCs w:val="22"/>
          <w:lang w:eastAsia="en-AU"/>
        </w:rPr>
      </w:pPr>
      <w:r>
        <w:tab/>
        <w:t>3.21</w:t>
      </w:r>
      <w:r>
        <w:rPr>
          <w:rFonts w:asciiTheme="minorHAnsi" w:eastAsiaTheme="minorEastAsia" w:hAnsiTheme="minorHAnsi" w:cstheme="minorBidi"/>
          <w:sz w:val="22"/>
          <w:szCs w:val="22"/>
          <w:lang w:eastAsia="en-AU"/>
        </w:rPr>
        <w:tab/>
      </w:r>
      <w:r>
        <w:t>Requirements for a specific calibration</w:t>
      </w:r>
      <w:r>
        <w:tab/>
        <w:t>21</w:t>
      </w:r>
    </w:p>
    <w:p w:rsidR="00514604" w:rsidRDefault="00514604">
      <w:pPr>
        <w:pStyle w:val="TOC5"/>
        <w:rPr>
          <w:rFonts w:asciiTheme="minorHAnsi" w:eastAsiaTheme="minorEastAsia" w:hAnsiTheme="minorHAnsi" w:cstheme="minorBidi"/>
          <w:sz w:val="22"/>
          <w:szCs w:val="22"/>
          <w:lang w:eastAsia="en-AU"/>
        </w:rPr>
      </w:pPr>
      <w:r>
        <w:tab/>
        <w:t>3.22</w:t>
      </w:r>
      <w:r>
        <w:rPr>
          <w:rFonts w:asciiTheme="minorHAnsi" w:eastAsiaTheme="minorEastAsia" w:hAnsiTheme="minorHAnsi" w:cstheme="minorBidi"/>
          <w:sz w:val="22"/>
          <w:szCs w:val="22"/>
          <w:lang w:eastAsia="en-AU"/>
        </w:rPr>
        <w:tab/>
      </w:r>
      <w:r>
        <w:t>Evidence of stocking density and tree proportion</w:t>
      </w:r>
      <w:r>
        <w:tab/>
        <w:t>21</w:t>
      </w:r>
    </w:p>
    <w:p w:rsidR="00514604" w:rsidRDefault="00514604">
      <w:pPr>
        <w:pStyle w:val="TOC5"/>
        <w:rPr>
          <w:rFonts w:asciiTheme="minorHAnsi" w:eastAsiaTheme="minorEastAsia" w:hAnsiTheme="minorHAnsi" w:cstheme="minorBidi"/>
          <w:sz w:val="22"/>
          <w:szCs w:val="22"/>
          <w:lang w:eastAsia="en-AU"/>
        </w:rPr>
      </w:pPr>
      <w:r>
        <w:tab/>
        <w:t>3.23</w:t>
      </w:r>
      <w:r>
        <w:rPr>
          <w:rFonts w:asciiTheme="minorHAnsi" w:eastAsiaTheme="minorEastAsia" w:hAnsiTheme="minorHAnsi" w:cstheme="minorBidi"/>
          <w:sz w:val="22"/>
          <w:szCs w:val="22"/>
          <w:lang w:eastAsia="en-AU"/>
        </w:rPr>
        <w:tab/>
      </w:r>
      <w:r>
        <w:t>Estimating stocking density</w:t>
      </w:r>
      <w:r>
        <w:tab/>
        <w:t>22</w:t>
      </w:r>
    </w:p>
    <w:p w:rsidR="00514604" w:rsidRDefault="00514604">
      <w:pPr>
        <w:pStyle w:val="TOC5"/>
        <w:rPr>
          <w:rFonts w:asciiTheme="minorHAnsi" w:eastAsiaTheme="minorEastAsia" w:hAnsiTheme="minorHAnsi" w:cstheme="minorBidi"/>
          <w:sz w:val="22"/>
          <w:szCs w:val="22"/>
          <w:lang w:eastAsia="en-AU"/>
        </w:rPr>
      </w:pPr>
      <w:r>
        <w:lastRenderedPageBreak/>
        <w:tab/>
        <w:t>3.24</w:t>
      </w:r>
      <w:r>
        <w:rPr>
          <w:rFonts w:asciiTheme="minorHAnsi" w:eastAsiaTheme="minorEastAsia" w:hAnsiTheme="minorHAnsi" w:cstheme="minorBidi"/>
          <w:sz w:val="22"/>
          <w:szCs w:val="22"/>
          <w:lang w:eastAsia="en-AU"/>
        </w:rPr>
        <w:tab/>
      </w:r>
      <w:r>
        <w:t>Estimating tree proportion</w:t>
      </w:r>
      <w:r>
        <w:tab/>
        <w:t>22</w:t>
      </w:r>
    </w:p>
    <w:p w:rsidR="00514604" w:rsidRDefault="00514604">
      <w:pPr>
        <w:pStyle w:val="TOC5"/>
        <w:rPr>
          <w:rFonts w:asciiTheme="minorHAnsi" w:eastAsiaTheme="minorEastAsia" w:hAnsiTheme="minorHAnsi" w:cstheme="minorBidi"/>
          <w:sz w:val="22"/>
          <w:szCs w:val="22"/>
          <w:lang w:eastAsia="en-AU"/>
        </w:rPr>
      </w:pPr>
      <w:r>
        <w:tab/>
        <w:t>3.25</w:t>
      </w:r>
      <w:r>
        <w:rPr>
          <w:rFonts w:asciiTheme="minorHAnsi" w:eastAsiaTheme="minorEastAsia" w:hAnsiTheme="minorHAnsi" w:cstheme="minorBidi"/>
          <w:sz w:val="22"/>
          <w:szCs w:val="22"/>
          <w:lang w:eastAsia="en-AU"/>
        </w:rPr>
        <w:tab/>
      </w:r>
      <w:r>
        <w:t>Number of plots and probable limits of error</w:t>
      </w:r>
      <w:r>
        <w:tab/>
        <w:t>23</w:t>
      </w:r>
    </w:p>
    <w:p w:rsidR="00514604" w:rsidRDefault="00514604">
      <w:pPr>
        <w:pStyle w:val="TOC5"/>
        <w:rPr>
          <w:rFonts w:asciiTheme="minorHAnsi" w:eastAsiaTheme="minorEastAsia" w:hAnsiTheme="minorHAnsi" w:cstheme="minorBidi"/>
          <w:sz w:val="22"/>
          <w:szCs w:val="22"/>
          <w:lang w:eastAsia="en-AU"/>
        </w:rPr>
      </w:pPr>
      <w:r>
        <w:tab/>
        <w:t>3.26</w:t>
      </w:r>
      <w:r>
        <w:rPr>
          <w:rFonts w:asciiTheme="minorHAnsi" w:eastAsiaTheme="minorEastAsia" w:hAnsiTheme="minorHAnsi" w:cstheme="minorBidi"/>
          <w:sz w:val="22"/>
          <w:szCs w:val="22"/>
          <w:lang w:eastAsia="en-AU"/>
        </w:rPr>
        <w:tab/>
      </w:r>
      <w:r>
        <w:t>Determining values for stocking density and tree proportion</w:t>
      </w:r>
      <w:r>
        <w:tab/>
        <w:t>23</w:t>
      </w:r>
    </w:p>
    <w:p w:rsidR="00514604" w:rsidRDefault="00514604">
      <w:pPr>
        <w:pStyle w:val="TOC5"/>
        <w:rPr>
          <w:rFonts w:asciiTheme="minorHAnsi" w:eastAsiaTheme="minorEastAsia" w:hAnsiTheme="minorHAnsi" w:cstheme="minorBidi"/>
          <w:sz w:val="22"/>
          <w:szCs w:val="22"/>
          <w:lang w:eastAsia="en-AU"/>
        </w:rPr>
      </w:pPr>
      <w:r>
        <w:tab/>
        <w:t>3.27</w:t>
      </w:r>
      <w:r>
        <w:rPr>
          <w:rFonts w:asciiTheme="minorHAnsi" w:eastAsiaTheme="minorEastAsia" w:hAnsiTheme="minorHAnsi" w:cstheme="minorBidi"/>
          <w:sz w:val="22"/>
          <w:szCs w:val="22"/>
          <w:lang w:eastAsia="en-AU"/>
        </w:rPr>
        <w:tab/>
      </w:r>
      <w:r>
        <w:t>Establishing a grid overlay</w:t>
      </w:r>
      <w:r>
        <w:tab/>
        <w:t>24</w:t>
      </w:r>
    </w:p>
    <w:p w:rsidR="00514604" w:rsidRDefault="00514604">
      <w:pPr>
        <w:pStyle w:val="TOC5"/>
        <w:rPr>
          <w:rFonts w:asciiTheme="minorHAnsi" w:eastAsiaTheme="minorEastAsia" w:hAnsiTheme="minorHAnsi" w:cstheme="minorBidi"/>
          <w:sz w:val="22"/>
          <w:szCs w:val="22"/>
          <w:lang w:eastAsia="en-AU"/>
        </w:rPr>
      </w:pPr>
      <w:r>
        <w:tab/>
        <w:t>3.28</w:t>
      </w:r>
      <w:r>
        <w:rPr>
          <w:rFonts w:asciiTheme="minorHAnsi" w:eastAsiaTheme="minorEastAsia" w:hAnsiTheme="minorHAnsi" w:cstheme="minorBidi"/>
          <w:sz w:val="22"/>
          <w:szCs w:val="22"/>
          <w:lang w:eastAsia="en-AU"/>
        </w:rPr>
        <w:tab/>
      </w:r>
      <w:r>
        <w:t>Plot shapes—general</w:t>
      </w:r>
      <w:r>
        <w:tab/>
        <w:t>24</w:t>
      </w:r>
    </w:p>
    <w:p w:rsidR="00514604" w:rsidRDefault="00514604">
      <w:pPr>
        <w:pStyle w:val="TOC5"/>
        <w:rPr>
          <w:rFonts w:asciiTheme="minorHAnsi" w:eastAsiaTheme="minorEastAsia" w:hAnsiTheme="minorHAnsi" w:cstheme="minorBidi"/>
          <w:sz w:val="22"/>
          <w:szCs w:val="22"/>
          <w:lang w:eastAsia="en-AU"/>
        </w:rPr>
      </w:pPr>
      <w:r>
        <w:tab/>
        <w:t>3.29</w:t>
      </w:r>
      <w:r>
        <w:rPr>
          <w:rFonts w:asciiTheme="minorHAnsi" w:eastAsiaTheme="minorEastAsia" w:hAnsiTheme="minorHAnsi" w:cstheme="minorBidi"/>
          <w:sz w:val="22"/>
          <w:szCs w:val="22"/>
          <w:lang w:eastAsia="en-AU"/>
        </w:rPr>
        <w:tab/>
      </w:r>
      <w:r>
        <w:t>Plot shapes—block plantings</w:t>
      </w:r>
      <w:r>
        <w:tab/>
        <w:t>24</w:t>
      </w:r>
    </w:p>
    <w:p w:rsidR="00514604" w:rsidRDefault="00514604">
      <w:pPr>
        <w:pStyle w:val="TOC5"/>
        <w:rPr>
          <w:rFonts w:asciiTheme="minorHAnsi" w:eastAsiaTheme="minorEastAsia" w:hAnsiTheme="minorHAnsi" w:cstheme="minorBidi"/>
          <w:sz w:val="22"/>
          <w:szCs w:val="22"/>
          <w:lang w:eastAsia="en-AU"/>
        </w:rPr>
      </w:pPr>
      <w:r>
        <w:tab/>
        <w:t>3.30</w:t>
      </w:r>
      <w:r>
        <w:rPr>
          <w:rFonts w:asciiTheme="minorHAnsi" w:eastAsiaTheme="minorEastAsia" w:hAnsiTheme="minorHAnsi" w:cstheme="minorBidi"/>
          <w:sz w:val="22"/>
          <w:szCs w:val="22"/>
          <w:lang w:eastAsia="en-AU"/>
        </w:rPr>
        <w:tab/>
      </w:r>
      <w:r>
        <w:t>Plot shapes—linear plantings</w:t>
      </w:r>
      <w:r>
        <w:tab/>
        <w:t>25</w:t>
      </w:r>
    </w:p>
    <w:p w:rsidR="00514604" w:rsidRDefault="00514604">
      <w:pPr>
        <w:pStyle w:val="TOC5"/>
        <w:rPr>
          <w:rFonts w:asciiTheme="minorHAnsi" w:eastAsiaTheme="minorEastAsia" w:hAnsiTheme="minorHAnsi" w:cstheme="minorBidi"/>
          <w:sz w:val="22"/>
          <w:szCs w:val="22"/>
          <w:lang w:eastAsia="en-AU"/>
        </w:rPr>
      </w:pPr>
      <w:r>
        <w:tab/>
        <w:t>3.31</w:t>
      </w:r>
      <w:r>
        <w:rPr>
          <w:rFonts w:asciiTheme="minorHAnsi" w:eastAsiaTheme="minorEastAsia" w:hAnsiTheme="minorHAnsi" w:cstheme="minorBidi"/>
          <w:sz w:val="22"/>
          <w:szCs w:val="22"/>
          <w:lang w:eastAsia="en-AU"/>
        </w:rPr>
        <w:tab/>
      </w:r>
      <w:r>
        <w:t>Plots extending beyond carbon estimation area</w:t>
      </w:r>
      <w:r>
        <w:tab/>
        <w:t>25</w:t>
      </w:r>
    </w:p>
    <w:p w:rsidR="00514604" w:rsidRDefault="00514604">
      <w:pPr>
        <w:pStyle w:val="TOC3"/>
        <w:rPr>
          <w:rFonts w:asciiTheme="minorHAnsi" w:eastAsiaTheme="minorEastAsia" w:hAnsiTheme="minorHAnsi" w:cstheme="minorBidi"/>
          <w:b w:val="0"/>
          <w:noProof/>
          <w:sz w:val="22"/>
          <w:szCs w:val="22"/>
          <w:lang w:eastAsia="en-AU"/>
        </w:rPr>
      </w:pPr>
      <w:r>
        <w:rPr>
          <w:noProof/>
        </w:rPr>
        <w:t>Division 3.6</w:t>
      </w:r>
      <w:r>
        <w:rPr>
          <w:rFonts w:asciiTheme="minorHAnsi" w:eastAsiaTheme="minorEastAsia" w:hAnsiTheme="minorHAnsi" w:cstheme="minorBidi"/>
          <w:b w:val="0"/>
          <w:noProof/>
          <w:sz w:val="22"/>
          <w:szCs w:val="22"/>
          <w:lang w:eastAsia="en-AU"/>
        </w:rPr>
        <w:tab/>
      </w:r>
      <w:r>
        <w:rPr>
          <w:noProof/>
        </w:rPr>
        <w:t>Calculating stocking density and tree proportion</w:t>
      </w:r>
    </w:p>
    <w:p w:rsidR="00514604" w:rsidRDefault="00514604">
      <w:pPr>
        <w:pStyle w:val="TOC4"/>
        <w:rPr>
          <w:rFonts w:asciiTheme="minorHAnsi" w:eastAsiaTheme="minorEastAsia" w:hAnsiTheme="minorHAnsi" w:cstheme="minorBidi"/>
          <w:b w:val="0"/>
          <w:noProof/>
          <w:sz w:val="22"/>
          <w:szCs w:val="22"/>
          <w:lang w:eastAsia="en-AU"/>
        </w:rPr>
      </w:pPr>
      <w:r>
        <w:rPr>
          <w:noProof/>
        </w:rPr>
        <w:t>Subdivision 3.6.1</w:t>
      </w:r>
      <w:r>
        <w:rPr>
          <w:rFonts w:asciiTheme="minorHAnsi" w:eastAsiaTheme="minorEastAsia" w:hAnsiTheme="minorHAnsi" w:cstheme="minorBidi"/>
          <w:b w:val="0"/>
          <w:noProof/>
          <w:sz w:val="22"/>
          <w:szCs w:val="22"/>
          <w:lang w:eastAsia="en-AU"/>
        </w:rPr>
        <w:tab/>
      </w:r>
      <w:r>
        <w:rPr>
          <w:noProof/>
        </w:rPr>
        <w:t>Stocking density</w:t>
      </w:r>
    </w:p>
    <w:p w:rsidR="00514604" w:rsidRDefault="00514604">
      <w:pPr>
        <w:pStyle w:val="TOC5"/>
        <w:rPr>
          <w:rFonts w:asciiTheme="minorHAnsi" w:eastAsiaTheme="minorEastAsia" w:hAnsiTheme="minorHAnsi" w:cstheme="minorBidi"/>
          <w:sz w:val="22"/>
          <w:szCs w:val="22"/>
          <w:lang w:eastAsia="en-AU"/>
        </w:rPr>
      </w:pPr>
      <w:r>
        <w:tab/>
        <w:t>3.32</w:t>
      </w:r>
      <w:r>
        <w:rPr>
          <w:rFonts w:asciiTheme="minorHAnsi" w:eastAsiaTheme="minorEastAsia" w:hAnsiTheme="minorHAnsi" w:cstheme="minorBidi"/>
          <w:sz w:val="22"/>
          <w:szCs w:val="22"/>
          <w:lang w:eastAsia="en-AU"/>
        </w:rPr>
        <w:tab/>
      </w:r>
      <w:r>
        <w:t>Calculating stocking density of a plot</w:t>
      </w:r>
      <w:r>
        <w:tab/>
        <w:t>26</w:t>
      </w:r>
    </w:p>
    <w:p w:rsidR="00514604" w:rsidRDefault="00514604">
      <w:pPr>
        <w:pStyle w:val="TOC5"/>
        <w:rPr>
          <w:rFonts w:asciiTheme="minorHAnsi" w:eastAsiaTheme="minorEastAsia" w:hAnsiTheme="minorHAnsi" w:cstheme="minorBidi"/>
          <w:sz w:val="22"/>
          <w:szCs w:val="22"/>
          <w:lang w:eastAsia="en-AU"/>
        </w:rPr>
      </w:pPr>
      <w:r>
        <w:tab/>
        <w:t>3.33</w:t>
      </w:r>
      <w:r>
        <w:rPr>
          <w:rFonts w:asciiTheme="minorHAnsi" w:eastAsiaTheme="minorEastAsia" w:hAnsiTheme="minorHAnsi" w:cstheme="minorBidi"/>
          <w:sz w:val="22"/>
          <w:szCs w:val="22"/>
          <w:lang w:eastAsia="en-AU"/>
        </w:rPr>
        <w:tab/>
      </w:r>
      <w:r>
        <w:t>Calculating average stocking density</w:t>
      </w:r>
      <w:r>
        <w:tab/>
        <w:t>26</w:t>
      </w:r>
    </w:p>
    <w:p w:rsidR="00514604" w:rsidRDefault="00514604">
      <w:pPr>
        <w:pStyle w:val="TOC5"/>
        <w:rPr>
          <w:rFonts w:asciiTheme="minorHAnsi" w:eastAsiaTheme="minorEastAsia" w:hAnsiTheme="minorHAnsi" w:cstheme="minorBidi"/>
          <w:sz w:val="22"/>
          <w:szCs w:val="22"/>
          <w:lang w:eastAsia="en-AU"/>
        </w:rPr>
      </w:pPr>
      <w:r>
        <w:tab/>
        <w:t>3.34</w:t>
      </w:r>
      <w:r>
        <w:rPr>
          <w:rFonts w:asciiTheme="minorHAnsi" w:eastAsiaTheme="minorEastAsia" w:hAnsiTheme="minorHAnsi" w:cstheme="minorBidi"/>
          <w:sz w:val="22"/>
          <w:szCs w:val="22"/>
          <w:lang w:eastAsia="en-AU"/>
        </w:rPr>
        <w:tab/>
      </w:r>
      <w:r>
        <w:t>Calculating margin of error for stocking density</w:t>
      </w:r>
      <w:r>
        <w:tab/>
        <w:t>27</w:t>
      </w:r>
    </w:p>
    <w:p w:rsidR="00514604" w:rsidRDefault="00514604">
      <w:pPr>
        <w:pStyle w:val="TOC5"/>
        <w:rPr>
          <w:rFonts w:asciiTheme="minorHAnsi" w:eastAsiaTheme="minorEastAsia" w:hAnsiTheme="minorHAnsi" w:cstheme="minorBidi"/>
          <w:sz w:val="22"/>
          <w:szCs w:val="22"/>
          <w:lang w:eastAsia="en-AU"/>
        </w:rPr>
      </w:pPr>
      <w:r>
        <w:tab/>
        <w:t>3.35</w:t>
      </w:r>
      <w:r>
        <w:rPr>
          <w:rFonts w:asciiTheme="minorHAnsi" w:eastAsiaTheme="minorEastAsia" w:hAnsiTheme="minorHAnsi" w:cstheme="minorBidi"/>
          <w:sz w:val="22"/>
          <w:szCs w:val="22"/>
          <w:lang w:eastAsia="en-AU"/>
        </w:rPr>
        <w:tab/>
      </w:r>
      <w:r>
        <w:t>Calculating probable limits of error for stocking density</w:t>
      </w:r>
      <w:r>
        <w:tab/>
        <w:t>28</w:t>
      </w:r>
    </w:p>
    <w:p w:rsidR="00514604" w:rsidRDefault="00514604">
      <w:pPr>
        <w:pStyle w:val="TOC5"/>
        <w:rPr>
          <w:rFonts w:asciiTheme="minorHAnsi" w:eastAsiaTheme="minorEastAsia" w:hAnsiTheme="minorHAnsi" w:cstheme="minorBidi"/>
          <w:sz w:val="22"/>
          <w:szCs w:val="22"/>
          <w:lang w:eastAsia="en-AU"/>
        </w:rPr>
      </w:pPr>
      <w:r>
        <w:tab/>
        <w:t>3.36</w:t>
      </w:r>
      <w:r>
        <w:rPr>
          <w:rFonts w:asciiTheme="minorHAnsi" w:eastAsiaTheme="minorEastAsia" w:hAnsiTheme="minorHAnsi" w:cstheme="minorBidi"/>
          <w:sz w:val="22"/>
          <w:szCs w:val="22"/>
          <w:lang w:eastAsia="en-AU"/>
        </w:rPr>
        <w:tab/>
      </w:r>
      <w:r>
        <w:t>Calculating conservative estimate of stocking density</w:t>
      </w:r>
      <w:r>
        <w:tab/>
        <w:t>28</w:t>
      </w:r>
    </w:p>
    <w:p w:rsidR="00514604" w:rsidRDefault="00514604">
      <w:pPr>
        <w:pStyle w:val="TOC4"/>
        <w:rPr>
          <w:rFonts w:asciiTheme="minorHAnsi" w:eastAsiaTheme="minorEastAsia" w:hAnsiTheme="minorHAnsi" w:cstheme="minorBidi"/>
          <w:b w:val="0"/>
          <w:noProof/>
          <w:sz w:val="22"/>
          <w:szCs w:val="22"/>
          <w:lang w:eastAsia="en-AU"/>
        </w:rPr>
      </w:pPr>
      <w:r>
        <w:rPr>
          <w:noProof/>
        </w:rPr>
        <w:t>Subdivision 3.6.2</w:t>
      </w:r>
      <w:r>
        <w:rPr>
          <w:rFonts w:asciiTheme="minorHAnsi" w:eastAsiaTheme="minorEastAsia" w:hAnsiTheme="minorHAnsi" w:cstheme="minorBidi"/>
          <w:b w:val="0"/>
          <w:noProof/>
          <w:sz w:val="22"/>
          <w:szCs w:val="22"/>
          <w:lang w:eastAsia="en-AU"/>
        </w:rPr>
        <w:tab/>
      </w:r>
      <w:r>
        <w:rPr>
          <w:noProof/>
        </w:rPr>
        <w:t>Tree proportion</w:t>
      </w:r>
    </w:p>
    <w:p w:rsidR="00514604" w:rsidRDefault="00514604">
      <w:pPr>
        <w:pStyle w:val="TOC5"/>
        <w:rPr>
          <w:rFonts w:asciiTheme="minorHAnsi" w:eastAsiaTheme="minorEastAsia" w:hAnsiTheme="minorHAnsi" w:cstheme="minorBidi"/>
          <w:sz w:val="22"/>
          <w:szCs w:val="22"/>
          <w:lang w:eastAsia="en-AU"/>
        </w:rPr>
      </w:pPr>
      <w:r>
        <w:tab/>
        <w:t>3.37</w:t>
      </w:r>
      <w:r>
        <w:rPr>
          <w:rFonts w:asciiTheme="minorHAnsi" w:eastAsiaTheme="minorEastAsia" w:hAnsiTheme="minorHAnsi" w:cstheme="minorBidi"/>
          <w:sz w:val="22"/>
          <w:szCs w:val="22"/>
          <w:lang w:eastAsia="en-AU"/>
        </w:rPr>
        <w:tab/>
      </w:r>
      <w:r>
        <w:t>Calculating tree proportion</w:t>
      </w:r>
      <w:r>
        <w:tab/>
        <w:t>29</w:t>
      </w:r>
    </w:p>
    <w:p w:rsidR="00514604" w:rsidRDefault="00514604">
      <w:pPr>
        <w:pStyle w:val="TOC5"/>
        <w:rPr>
          <w:rFonts w:asciiTheme="minorHAnsi" w:eastAsiaTheme="minorEastAsia" w:hAnsiTheme="minorHAnsi" w:cstheme="minorBidi"/>
          <w:sz w:val="22"/>
          <w:szCs w:val="22"/>
          <w:lang w:eastAsia="en-AU"/>
        </w:rPr>
      </w:pPr>
      <w:r>
        <w:tab/>
        <w:t>3.38</w:t>
      </w:r>
      <w:r>
        <w:rPr>
          <w:rFonts w:asciiTheme="minorHAnsi" w:eastAsiaTheme="minorEastAsia" w:hAnsiTheme="minorHAnsi" w:cstheme="minorBidi"/>
          <w:sz w:val="22"/>
          <w:szCs w:val="22"/>
          <w:lang w:eastAsia="en-AU"/>
        </w:rPr>
        <w:tab/>
      </w:r>
      <w:r>
        <w:t>Calculating average tree proportion</w:t>
      </w:r>
      <w:r>
        <w:tab/>
        <w:t>29</w:t>
      </w:r>
    </w:p>
    <w:p w:rsidR="00514604" w:rsidRDefault="00514604">
      <w:pPr>
        <w:pStyle w:val="TOC5"/>
        <w:rPr>
          <w:rFonts w:asciiTheme="minorHAnsi" w:eastAsiaTheme="minorEastAsia" w:hAnsiTheme="minorHAnsi" w:cstheme="minorBidi"/>
          <w:sz w:val="22"/>
          <w:szCs w:val="22"/>
          <w:lang w:eastAsia="en-AU"/>
        </w:rPr>
      </w:pPr>
      <w:r>
        <w:tab/>
        <w:t>3.39</w:t>
      </w:r>
      <w:r>
        <w:rPr>
          <w:rFonts w:asciiTheme="minorHAnsi" w:eastAsiaTheme="minorEastAsia" w:hAnsiTheme="minorHAnsi" w:cstheme="minorBidi"/>
          <w:sz w:val="22"/>
          <w:szCs w:val="22"/>
          <w:lang w:eastAsia="en-AU"/>
        </w:rPr>
        <w:tab/>
      </w:r>
      <w:r>
        <w:t>Calculating margin of error for tree proportion</w:t>
      </w:r>
      <w:r>
        <w:tab/>
        <w:t>29</w:t>
      </w:r>
    </w:p>
    <w:p w:rsidR="00514604" w:rsidRDefault="00514604">
      <w:pPr>
        <w:pStyle w:val="TOC5"/>
        <w:rPr>
          <w:rFonts w:asciiTheme="minorHAnsi" w:eastAsiaTheme="minorEastAsia" w:hAnsiTheme="minorHAnsi" w:cstheme="minorBidi"/>
          <w:sz w:val="22"/>
          <w:szCs w:val="22"/>
          <w:lang w:eastAsia="en-AU"/>
        </w:rPr>
      </w:pPr>
      <w:r>
        <w:tab/>
        <w:t>3.40</w:t>
      </w:r>
      <w:r>
        <w:rPr>
          <w:rFonts w:asciiTheme="minorHAnsi" w:eastAsiaTheme="minorEastAsia" w:hAnsiTheme="minorHAnsi" w:cstheme="minorBidi"/>
          <w:sz w:val="22"/>
          <w:szCs w:val="22"/>
          <w:lang w:eastAsia="en-AU"/>
        </w:rPr>
        <w:tab/>
      </w:r>
      <w:r>
        <w:t>Calculating probable limits of error for tree proportion</w:t>
      </w:r>
      <w:r>
        <w:tab/>
        <w:t>30</w:t>
      </w:r>
    </w:p>
    <w:p w:rsidR="00514604" w:rsidRDefault="00514604">
      <w:pPr>
        <w:pStyle w:val="TOC5"/>
        <w:rPr>
          <w:rFonts w:asciiTheme="minorHAnsi" w:eastAsiaTheme="minorEastAsia" w:hAnsiTheme="minorHAnsi" w:cstheme="minorBidi"/>
          <w:sz w:val="22"/>
          <w:szCs w:val="22"/>
          <w:lang w:eastAsia="en-AU"/>
        </w:rPr>
      </w:pPr>
      <w:r>
        <w:tab/>
        <w:t>3.41</w:t>
      </w:r>
      <w:r>
        <w:rPr>
          <w:rFonts w:asciiTheme="minorHAnsi" w:eastAsiaTheme="minorEastAsia" w:hAnsiTheme="minorHAnsi" w:cstheme="minorBidi"/>
          <w:sz w:val="22"/>
          <w:szCs w:val="22"/>
          <w:lang w:eastAsia="en-AU"/>
        </w:rPr>
        <w:tab/>
      </w:r>
      <w:r>
        <w:t>Calculating conservative estimate of tree proportion</w:t>
      </w:r>
      <w:r>
        <w:tab/>
        <w:t>31</w:t>
      </w:r>
    </w:p>
    <w:p w:rsidR="00514604" w:rsidRDefault="00514604">
      <w:pPr>
        <w:pStyle w:val="TOC3"/>
        <w:rPr>
          <w:rFonts w:asciiTheme="minorHAnsi" w:eastAsiaTheme="minorEastAsia" w:hAnsiTheme="minorHAnsi" w:cstheme="minorBidi"/>
          <w:b w:val="0"/>
          <w:noProof/>
          <w:sz w:val="22"/>
          <w:szCs w:val="22"/>
          <w:lang w:eastAsia="en-AU"/>
        </w:rPr>
      </w:pPr>
      <w:r>
        <w:rPr>
          <w:noProof/>
        </w:rPr>
        <w:t>Division 3.7</w:t>
      </w:r>
      <w:r>
        <w:rPr>
          <w:rFonts w:asciiTheme="minorHAnsi" w:eastAsiaTheme="minorEastAsia" w:hAnsiTheme="minorHAnsi" w:cstheme="minorBidi"/>
          <w:b w:val="0"/>
          <w:noProof/>
          <w:sz w:val="22"/>
          <w:szCs w:val="22"/>
          <w:lang w:eastAsia="en-AU"/>
        </w:rPr>
        <w:tab/>
      </w:r>
      <w:r>
        <w:rPr>
          <w:noProof/>
        </w:rPr>
        <w:t>Narrow or wide linear plantings—competition from adjacent trees</w:t>
      </w:r>
    </w:p>
    <w:p w:rsidR="00514604" w:rsidRDefault="00514604">
      <w:pPr>
        <w:pStyle w:val="TOC5"/>
        <w:rPr>
          <w:rFonts w:asciiTheme="minorHAnsi" w:eastAsiaTheme="minorEastAsia" w:hAnsiTheme="minorHAnsi" w:cstheme="minorBidi"/>
          <w:sz w:val="22"/>
          <w:szCs w:val="22"/>
          <w:lang w:eastAsia="en-AU"/>
        </w:rPr>
      </w:pPr>
      <w:r>
        <w:tab/>
        <w:t>3.42</w:t>
      </w:r>
      <w:r>
        <w:rPr>
          <w:rFonts w:asciiTheme="minorHAnsi" w:eastAsiaTheme="minorEastAsia" w:hAnsiTheme="minorHAnsi" w:cstheme="minorBidi"/>
          <w:sz w:val="22"/>
          <w:szCs w:val="22"/>
          <w:lang w:eastAsia="en-AU"/>
        </w:rPr>
        <w:tab/>
      </w:r>
      <w:r>
        <w:t>Competition from adjacent trees</w:t>
      </w:r>
      <w:r>
        <w:tab/>
        <w:t>31</w:t>
      </w:r>
    </w:p>
    <w:p w:rsidR="00514604" w:rsidRDefault="00514604">
      <w:pPr>
        <w:pStyle w:val="TOC5"/>
        <w:rPr>
          <w:rFonts w:asciiTheme="minorHAnsi" w:eastAsiaTheme="minorEastAsia" w:hAnsiTheme="minorHAnsi" w:cstheme="minorBidi"/>
          <w:sz w:val="22"/>
          <w:szCs w:val="22"/>
          <w:lang w:eastAsia="en-AU"/>
        </w:rPr>
      </w:pPr>
      <w:r>
        <w:tab/>
        <w:t>3.43</w:t>
      </w:r>
      <w:r>
        <w:rPr>
          <w:rFonts w:asciiTheme="minorHAnsi" w:eastAsiaTheme="minorEastAsia" w:hAnsiTheme="minorHAnsi" w:cstheme="minorBidi"/>
          <w:sz w:val="22"/>
          <w:szCs w:val="22"/>
          <w:lang w:eastAsia="en-AU"/>
        </w:rPr>
        <w:tab/>
      </w:r>
      <w:r>
        <w:t>Determining material competition —individual adjacent trees only</w:t>
      </w:r>
      <w:r>
        <w:tab/>
        <w:t>32</w:t>
      </w:r>
    </w:p>
    <w:p w:rsidR="00514604" w:rsidRDefault="00514604">
      <w:pPr>
        <w:pStyle w:val="TOC5"/>
        <w:rPr>
          <w:rFonts w:asciiTheme="minorHAnsi" w:eastAsiaTheme="minorEastAsia" w:hAnsiTheme="minorHAnsi" w:cstheme="minorBidi"/>
          <w:sz w:val="22"/>
          <w:szCs w:val="22"/>
          <w:lang w:eastAsia="en-AU"/>
        </w:rPr>
      </w:pPr>
      <w:r>
        <w:tab/>
        <w:t>3.44</w:t>
      </w:r>
      <w:r>
        <w:rPr>
          <w:rFonts w:asciiTheme="minorHAnsi" w:eastAsiaTheme="minorEastAsia" w:hAnsiTheme="minorHAnsi" w:cstheme="minorBidi"/>
          <w:sz w:val="22"/>
          <w:szCs w:val="22"/>
          <w:lang w:eastAsia="en-AU"/>
        </w:rPr>
        <w:tab/>
      </w:r>
      <w:r>
        <w:t>Determining material competition—grouped adjacent trees</w:t>
      </w:r>
      <w:r>
        <w:tab/>
        <w:t>32</w:t>
      </w:r>
    </w:p>
    <w:p w:rsidR="00514604" w:rsidRDefault="00514604">
      <w:pPr>
        <w:pStyle w:val="TOC3"/>
        <w:rPr>
          <w:rFonts w:asciiTheme="minorHAnsi" w:eastAsiaTheme="minorEastAsia" w:hAnsiTheme="minorHAnsi" w:cstheme="minorBidi"/>
          <w:b w:val="0"/>
          <w:noProof/>
          <w:sz w:val="22"/>
          <w:szCs w:val="22"/>
          <w:lang w:eastAsia="en-AU"/>
        </w:rPr>
      </w:pPr>
      <w:r>
        <w:rPr>
          <w:noProof/>
        </w:rPr>
        <w:t>Division 3.8</w:t>
      </w:r>
      <w:r>
        <w:rPr>
          <w:rFonts w:asciiTheme="minorHAnsi" w:eastAsiaTheme="minorEastAsia" w:hAnsiTheme="minorHAnsi" w:cstheme="minorBidi"/>
          <w:b w:val="0"/>
          <w:noProof/>
          <w:sz w:val="22"/>
          <w:szCs w:val="22"/>
          <w:lang w:eastAsia="en-AU"/>
        </w:rPr>
        <w:tab/>
      </w:r>
      <w:r>
        <w:rPr>
          <w:noProof/>
        </w:rPr>
        <w:t>Restricted activities</w:t>
      </w:r>
    </w:p>
    <w:p w:rsidR="00514604" w:rsidRDefault="00514604">
      <w:pPr>
        <w:pStyle w:val="TOC5"/>
        <w:rPr>
          <w:rFonts w:asciiTheme="minorHAnsi" w:eastAsiaTheme="minorEastAsia" w:hAnsiTheme="minorHAnsi" w:cstheme="minorBidi"/>
          <w:sz w:val="22"/>
          <w:szCs w:val="22"/>
          <w:lang w:eastAsia="en-AU"/>
        </w:rPr>
      </w:pPr>
      <w:r>
        <w:tab/>
        <w:t>3.45</w:t>
      </w:r>
      <w:r>
        <w:rPr>
          <w:rFonts w:asciiTheme="minorHAnsi" w:eastAsiaTheme="minorEastAsia" w:hAnsiTheme="minorHAnsi" w:cstheme="minorBidi"/>
          <w:sz w:val="22"/>
          <w:szCs w:val="22"/>
          <w:lang w:eastAsia="en-AU"/>
        </w:rPr>
        <w:tab/>
      </w:r>
      <w:r>
        <w:t>Harvesting</w:t>
      </w:r>
      <w:r>
        <w:tab/>
        <w:t>33</w:t>
      </w:r>
    </w:p>
    <w:p w:rsidR="00514604" w:rsidRDefault="00514604">
      <w:pPr>
        <w:pStyle w:val="TOC5"/>
        <w:rPr>
          <w:rFonts w:asciiTheme="minorHAnsi" w:eastAsiaTheme="minorEastAsia" w:hAnsiTheme="minorHAnsi" w:cstheme="minorBidi"/>
          <w:sz w:val="22"/>
          <w:szCs w:val="22"/>
          <w:lang w:eastAsia="en-AU"/>
        </w:rPr>
      </w:pPr>
      <w:r>
        <w:tab/>
        <w:t>3.46</w:t>
      </w:r>
      <w:r>
        <w:rPr>
          <w:rFonts w:asciiTheme="minorHAnsi" w:eastAsiaTheme="minorEastAsia" w:hAnsiTheme="minorHAnsi" w:cstheme="minorBidi"/>
          <w:sz w:val="22"/>
          <w:szCs w:val="22"/>
          <w:lang w:eastAsia="en-AU"/>
        </w:rPr>
        <w:tab/>
      </w:r>
      <w:r>
        <w:t>Other permitted removals</w:t>
      </w:r>
      <w:r>
        <w:tab/>
        <w:t>34</w:t>
      </w:r>
    </w:p>
    <w:p w:rsidR="00514604" w:rsidRDefault="00514604">
      <w:pPr>
        <w:pStyle w:val="TOC5"/>
        <w:rPr>
          <w:rFonts w:asciiTheme="minorHAnsi" w:eastAsiaTheme="minorEastAsia" w:hAnsiTheme="minorHAnsi" w:cstheme="minorBidi"/>
          <w:sz w:val="22"/>
          <w:szCs w:val="22"/>
          <w:lang w:eastAsia="en-AU"/>
        </w:rPr>
      </w:pPr>
      <w:r>
        <w:tab/>
        <w:t>3.47</w:t>
      </w:r>
      <w:r>
        <w:rPr>
          <w:rFonts w:asciiTheme="minorHAnsi" w:eastAsiaTheme="minorEastAsia" w:hAnsiTheme="minorHAnsi" w:cstheme="minorBidi"/>
          <w:sz w:val="22"/>
          <w:szCs w:val="22"/>
          <w:lang w:eastAsia="en-AU"/>
        </w:rPr>
        <w:tab/>
      </w:r>
      <w:r>
        <w:t>Grazing</w:t>
      </w:r>
      <w:r>
        <w:tab/>
        <w:t>34</w:t>
      </w:r>
    </w:p>
    <w:p w:rsidR="00514604" w:rsidRDefault="00514604">
      <w:pPr>
        <w:pStyle w:val="TOC5"/>
        <w:rPr>
          <w:rFonts w:asciiTheme="minorHAnsi" w:eastAsiaTheme="minorEastAsia" w:hAnsiTheme="minorHAnsi" w:cstheme="minorBidi"/>
          <w:sz w:val="22"/>
          <w:szCs w:val="22"/>
          <w:lang w:eastAsia="en-AU"/>
        </w:rPr>
      </w:pPr>
      <w:r>
        <w:tab/>
        <w:t>3.48</w:t>
      </w:r>
      <w:r>
        <w:rPr>
          <w:rFonts w:asciiTheme="minorHAnsi" w:eastAsiaTheme="minorEastAsia" w:hAnsiTheme="minorHAnsi" w:cstheme="minorBidi"/>
          <w:sz w:val="22"/>
          <w:szCs w:val="22"/>
          <w:lang w:eastAsia="en-AU"/>
        </w:rPr>
        <w:tab/>
      </w:r>
      <w:r>
        <w:t>Thinning</w:t>
      </w:r>
      <w:r>
        <w:tab/>
        <w:t>34</w:t>
      </w:r>
    </w:p>
    <w:p w:rsidR="00514604" w:rsidRDefault="00514604">
      <w:pPr>
        <w:pStyle w:val="TOC5"/>
        <w:rPr>
          <w:rFonts w:asciiTheme="minorHAnsi" w:eastAsiaTheme="minorEastAsia" w:hAnsiTheme="minorHAnsi" w:cstheme="minorBidi"/>
          <w:sz w:val="22"/>
          <w:szCs w:val="22"/>
          <w:lang w:eastAsia="en-AU"/>
        </w:rPr>
      </w:pPr>
      <w:r>
        <w:tab/>
        <w:t>3.49</w:t>
      </w:r>
      <w:r>
        <w:rPr>
          <w:rFonts w:asciiTheme="minorHAnsi" w:eastAsiaTheme="minorEastAsia" w:hAnsiTheme="minorHAnsi" w:cstheme="minorBidi"/>
          <w:sz w:val="22"/>
          <w:szCs w:val="22"/>
          <w:lang w:eastAsia="en-AU"/>
        </w:rPr>
        <w:tab/>
      </w:r>
      <w:r>
        <w:t>Use of lime or fertiliser</w:t>
      </w:r>
      <w:r>
        <w:tab/>
        <w:t>34</w:t>
      </w:r>
    </w:p>
    <w:p w:rsidR="00514604" w:rsidRDefault="00514604">
      <w:pPr>
        <w:pStyle w:val="TOC2"/>
        <w:rPr>
          <w:rFonts w:asciiTheme="minorHAnsi" w:eastAsiaTheme="minorEastAsia" w:hAnsiTheme="minorHAnsi" w:cstheme="minorBidi"/>
          <w:b w:val="0"/>
          <w:lang w:eastAsia="en-AU"/>
        </w:rPr>
      </w:pPr>
      <w:r>
        <w:t>Part 4</w:t>
      </w:r>
      <w:r>
        <w:rPr>
          <w:rFonts w:asciiTheme="minorHAnsi" w:eastAsiaTheme="minorEastAsia" w:hAnsiTheme="minorHAnsi" w:cstheme="minorBidi"/>
          <w:b w:val="0"/>
          <w:lang w:eastAsia="en-AU"/>
        </w:rPr>
        <w:tab/>
      </w:r>
      <w:r>
        <w:t>The net abatement amount</w:t>
      </w:r>
    </w:p>
    <w:p w:rsidR="00514604" w:rsidRDefault="00514604">
      <w:pPr>
        <w:pStyle w:val="TOC3"/>
        <w:rPr>
          <w:rFonts w:asciiTheme="minorHAnsi" w:eastAsiaTheme="minorEastAsia" w:hAnsiTheme="minorHAnsi" w:cstheme="minorBidi"/>
          <w:b w:val="0"/>
          <w:noProof/>
          <w:sz w:val="22"/>
          <w:szCs w:val="22"/>
          <w:lang w:eastAsia="en-AU"/>
        </w:rPr>
      </w:pPr>
      <w:r>
        <w:rPr>
          <w:noProof/>
        </w:rPr>
        <w:t>Division 4.1</w:t>
      </w:r>
      <w:r>
        <w:rPr>
          <w:rFonts w:asciiTheme="minorHAnsi" w:eastAsiaTheme="minorEastAsia" w:hAnsiTheme="minorHAnsi" w:cstheme="minorBidi"/>
          <w:b w:val="0"/>
          <w:noProof/>
          <w:sz w:val="22"/>
          <w:szCs w:val="22"/>
          <w:lang w:eastAsia="en-AU"/>
        </w:rPr>
        <w:tab/>
      </w:r>
      <w:r>
        <w:rPr>
          <w:noProof/>
        </w:rPr>
        <w:t>The net abatement amount</w:t>
      </w:r>
    </w:p>
    <w:p w:rsidR="00514604" w:rsidRDefault="00514604">
      <w:pPr>
        <w:pStyle w:val="TOC5"/>
        <w:rPr>
          <w:rFonts w:asciiTheme="minorHAnsi" w:eastAsiaTheme="minorEastAsia" w:hAnsiTheme="minorHAnsi" w:cstheme="minorBidi"/>
          <w:sz w:val="22"/>
          <w:szCs w:val="22"/>
          <w:lang w:eastAsia="en-AU"/>
        </w:rPr>
      </w:pPr>
      <w:r>
        <w:tab/>
        <w:t>4.1</w:t>
      </w:r>
      <w:r>
        <w:rPr>
          <w:rFonts w:asciiTheme="minorHAnsi" w:eastAsiaTheme="minorEastAsia" w:hAnsiTheme="minorHAnsi" w:cstheme="minorBidi"/>
          <w:sz w:val="22"/>
          <w:szCs w:val="22"/>
          <w:lang w:eastAsia="en-AU"/>
        </w:rPr>
        <w:tab/>
      </w:r>
      <w:r>
        <w:t>The net abatement amount</w:t>
      </w:r>
      <w:r>
        <w:tab/>
        <w:t>35</w:t>
      </w:r>
    </w:p>
    <w:p w:rsidR="00514604" w:rsidRDefault="00514604">
      <w:pPr>
        <w:pStyle w:val="TOC3"/>
        <w:rPr>
          <w:rFonts w:asciiTheme="minorHAnsi" w:eastAsiaTheme="minorEastAsia" w:hAnsiTheme="minorHAnsi" w:cstheme="minorBidi"/>
          <w:b w:val="0"/>
          <w:noProof/>
          <w:sz w:val="22"/>
          <w:szCs w:val="22"/>
          <w:lang w:eastAsia="en-AU"/>
        </w:rPr>
      </w:pPr>
      <w:r>
        <w:rPr>
          <w:noProof/>
        </w:rPr>
        <w:t>Division 4.2</w:t>
      </w:r>
      <w:r>
        <w:rPr>
          <w:rFonts w:asciiTheme="minorHAnsi" w:eastAsiaTheme="minorEastAsia" w:hAnsiTheme="minorHAnsi" w:cstheme="minorBidi"/>
          <w:b w:val="0"/>
          <w:noProof/>
          <w:sz w:val="22"/>
          <w:szCs w:val="22"/>
          <w:lang w:eastAsia="en-AU"/>
        </w:rPr>
        <w:tab/>
      </w:r>
      <w:r>
        <w:rPr>
          <w:noProof/>
        </w:rPr>
        <w:t>Calculations—Preliminary</w:t>
      </w:r>
    </w:p>
    <w:p w:rsidR="00514604" w:rsidRDefault="00514604">
      <w:pPr>
        <w:pStyle w:val="TOC4"/>
        <w:rPr>
          <w:rFonts w:asciiTheme="minorHAnsi" w:eastAsiaTheme="minorEastAsia" w:hAnsiTheme="minorHAnsi" w:cstheme="minorBidi"/>
          <w:b w:val="0"/>
          <w:noProof/>
          <w:sz w:val="22"/>
          <w:szCs w:val="22"/>
          <w:lang w:eastAsia="en-AU"/>
        </w:rPr>
      </w:pPr>
      <w:r>
        <w:rPr>
          <w:noProof/>
        </w:rPr>
        <w:t>Subdivision 4.2.1</w:t>
      </w:r>
      <w:r>
        <w:rPr>
          <w:rFonts w:asciiTheme="minorHAnsi" w:eastAsiaTheme="minorEastAsia" w:hAnsiTheme="minorHAnsi" w:cstheme="minorBidi"/>
          <w:b w:val="0"/>
          <w:noProof/>
          <w:sz w:val="22"/>
          <w:szCs w:val="22"/>
          <w:lang w:eastAsia="en-AU"/>
        </w:rPr>
        <w:tab/>
      </w:r>
      <w:r>
        <w:rPr>
          <w:noProof/>
        </w:rPr>
        <w:t>General</w:t>
      </w:r>
    </w:p>
    <w:p w:rsidR="00514604" w:rsidRDefault="00514604">
      <w:pPr>
        <w:pStyle w:val="TOC5"/>
        <w:rPr>
          <w:rFonts w:asciiTheme="minorHAnsi" w:eastAsiaTheme="minorEastAsia" w:hAnsiTheme="minorHAnsi" w:cstheme="minorBidi"/>
          <w:sz w:val="22"/>
          <w:szCs w:val="22"/>
          <w:lang w:eastAsia="en-AU"/>
        </w:rPr>
      </w:pPr>
      <w:r>
        <w:tab/>
        <w:t>4.2</w:t>
      </w:r>
      <w:r>
        <w:rPr>
          <w:rFonts w:asciiTheme="minorHAnsi" w:eastAsiaTheme="minorEastAsia" w:hAnsiTheme="minorHAnsi" w:cstheme="minorBidi"/>
          <w:sz w:val="22"/>
          <w:szCs w:val="22"/>
          <w:lang w:eastAsia="en-AU"/>
        </w:rPr>
        <w:tab/>
      </w:r>
      <w:r>
        <w:t>General</w:t>
      </w:r>
      <w:r>
        <w:tab/>
        <w:t>35</w:t>
      </w:r>
    </w:p>
    <w:p w:rsidR="00514604" w:rsidRDefault="00514604">
      <w:pPr>
        <w:pStyle w:val="TOC5"/>
        <w:rPr>
          <w:rFonts w:asciiTheme="minorHAnsi" w:eastAsiaTheme="minorEastAsia" w:hAnsiTheme="minorHAnsi" w:cstheme="minorBidi"/>
          <w:sz w:val="22"/>
          <w:szCs w:val="22"/>
          <w:lang w:eastAsia="en-AU"/>
        </w:rPr>
      </w:pPr>
      <w:r>
        <w:tab/>
        <w:t>4.3</w:t>
      </w:r>
      <w:r>
        <w:rPr>
          <w:rFonts w:asciiTheme="minorHAnsi" w:eastAsiaTheme="minorEastAsia" w:hAnsiTheme="minorHAnsi" w:cstheme="minorBidi"/>
          <w:sz w:val="22"/>
          <w:szCs w:val="22"/>
          <w:lang w:eastAsia="en-AU"/>
        </w:rPr>
        <w:tab/>
      </w:r>
      <w:r>
        <w:t>Greenhouse gas assessment boundary</w:t>
      </w:r>
      <w:r>
        <w:tab/>
        <w:t>35</w:t>
      </w:r>
    </w:p>
    <w:p w:rsidR="00514604" w:rsidRDefault="00514604">
      <w:pPr>
        <w:pStyle w:val="TOC5"/>
        <w:rPr>
          <w:rFonts w:asciiTheme="minorHAnsi" w:eastAsiaTheme="minorEastAsia" w:hAnsiTheme="minorHAnsi" w:cstheme="minorBidi"/>
          <w:sz w:val="22"/>
          <w:szCs w:val="22"/>
          <w:lang w:eastAsia="en-AU"/>
        </w:rPr>
      </w:pPr>
      <w:r>
        <w:tab/>
        <w:t>4.4</w:t>
      </w:r>
      <w:r>
        <w:rPr>
          <w:rFonts w:asciiTheme="minorHAnsi" w:eastAsiaTheme="minorEastAsia" w:hAnsiTheme="minorHAnsi" w:cstheme="minorBidi"/>
          <w:sz w:val="22"/>
          <w:szCs w:val="22"/>
          <w:lang w:eastAsia="en-AU"/>
        </w:rPr>
        <w:tab/>
      </w:r>
      <w:r>
        <w:t>Baseline for the project</w:t>
      </w:r>
      <w:r>
        <w:tab/>
        <w:t>36</w:t>
      </w:r>
    </w:p>
    <w:p w:rsidR="00514604" w:rsidRDefault="00514604">
      <w:pPr>
        <w:pStyle w:val="TOC4"/>
        <w:rPr>
          <w:rFonts w:asciiTheme="minorHAnsi" w:eastAsiaTheme="minorEastAsia" w:hAnsiTheme="minorHAnsi" w:cstheme="minorBidi"/>
          <w:b w:val="0"/>
          <w:noProof/>
          <w:sz w:val="22"/>
          <w:szCs w:val="22"/>
          <w:lang w:eastAsia="en-AU"/>
        </w:rPr>
      </w:pPr>
      <w:r>
        <w:rPr>
          <w:noProof/>
        </w:rPr>
        <w:t>Subdivision 4.2.2</w:t>
      </w:r>
      <w:r>
        <w:rPr>
          <w:rFonts w:asciiTheme="minorHAnsi" w:eastAsiaTheme="minorEastAsia" w:hAnsiTheme="minorHAnsi" w:cstheme="minorBidi"/>
          <w:b w:val="0"/>
          <w:noProof/>
          <w:sz w:val="22"/>
          <w:szCs w:val="22"/>
          <w:lang w:eastAsia="en-AU"/>
        </w:rPr>
        <w:tab/>
      </w:r>
      <w:r>
        <w:rPr>
          <w:noProof/>
        </w:rPr>
        <w:t>FullCAM modelling</w:t>
      </w:r>
    </w:p>
    <w:p w:rsidR="00514604" w:rsidRDefault="00514604">
      <w:pPr>
        <w:pStyle w:val="TOC5"/>
        <w:rPr>
          <w:rFonts w:asciiTheme="minorHAnsi" w:eastAsiaTheme="minorEastAsia" w:hAnsiTheme="minorHAnsi" w:cstheme="minorBidi"/>
          <w:sz w:val="22"/>
          <w:szCs w:val="22"/>
          <w:lang w:eastAsia="en-AU"/>
        </w:rPr>
      </w:pPr>
      <w:r>
        <w:tab/>
        <w:t>4.5</w:t>
      </w:r>
      <w:r>
        <w:rPr>
          <w:rFonts w:asciiTheme="minorHAnsi" w:eastAsiaTheme="minorEastAsia" w:hAnsiTheme="minorHAnsi" w:cstheme="minorBidi"/>
          <w:sz w:val="22"/>
          <w:szCs w:val="22"/>
          <w:lang w:eastAsia="en-AU"/>
        </w:rPr>
        <w:tab/>
      </w:r>
      <w:r>
        <w:t>FullCAM modelling</w:t>
      </w:r>
      <w:r>
        <w:tab/>
        <w:t>36</w:t>
      </w:r>
    </w:p>
    <w:p w:rsidR="00514604" w:rsidRDefault="00514604">
      <w:pPr>
        <w:pStyle w:val="TOC5"/>
        <w:rPr>
          <w:rFonts w:asciiTheme="minorHAnsi" w:eastAsiaTheme="minorEastAsia" w:hAnsiTheme="minorHAnsi" w:cstheme="minorBidi"/>
          <w:sz w:val="22"/>
          <w:szCs w:val="22"/>
          <w:lang w:eastAsia="en-AU"/>
        </w:rPr>
      </w:pPr>
      <w:r>
        <w:tab/>
        <w:t>4.6</w:t>
      </w:r>
      <w:r>
        <w:rPr>
          <w:rFonts w:asciiTheme="minorHAnsi" w:eastAsiaTheme="minorEastAsia" w:hAnsiTheme="minorHAnsi" w:cstheme="minorBidi"/>
          <w:sz w:val="22"/>
          <w:szCs w:val="22"/>
          <w:lang w:eastAsia="en-AU"/>
        </w:rPr>
        <w:tab/>
      </w:r>
      <w:r>
        <w:t>FullCAM input data</w:t>
      </w:r>
      <w:r>
        <w:tab/>
        <w:t>36</w:t>
      </w:r>
    </w:p>
    <w:p w:rsidR="00514604" w:rsidRDefault="00514604">
      <w:pPr>
        <w:pStyle w:val="TOC5"/>
        <w:rPr>
          <w:rFonts w:asciiTheme="minorHAnsi" w:eastAsiaTheme="minorEastAsia" w:hAnsiTheme="minorHAnsi" w:cstheme="minorBidi"/>
          <w:sz w:val="22"/>
          <w:szCs w:val="22"/>
          <w:lang w:eastAsia="en-AU"/>
        </w:rPr>
      </w:pPr>
      <w:r>
        <w:tab/>
        <w:t>4.7</w:t>
      </w:r>
      <w:r>
        <w:rPr>
          <w:rFonts w:asciiTheme="minorHAnsi" w:eastAsiaTheme="minorEastAsia" w:hAnsiTheme="minorHAnsi" w:cstheme="minorBidi"/>
          <w:sz w:val="22"/>
          <w:szCs w:val="22"/>
          <w:lang w:eastAsia="en-AU"/>
        </w:rPr>
        <w:tab/>
      </w:r>
      <w:r>
        <w:t>FullCAM outputs</w:t>
      </w:r>
      <w:r>
        <w:tab/>
        <w:t>37</w:t>
      </w:r>
    </w:p>
    <w:p w:rsidR="00514604" w:rsidRDefault="00514604">
      <w:pPr>
        <w:pStyle w:val="TOC5"/>
        <w:rPr>
          <w:rFonts w:asciiTheme="minorHAnsi" w:eastAsiaTheme="minorEastAsia" w:hAnsiTheme="minorHAnsi" w:cstheme="minorBidi"/>
          <w:sz w:val="22"/>
          <w:szCs w:val="22"/>
          <w:lang w:eastAsia="en-AU"/>
        </w:rPr>
      </w:pPr>
      <w:r>
        <w:tab/>
        <w:t>4.8</w:t>
      </w:r>
      <w:r>
        <w:rPr>
          <w:rFonts w:asciiTheme="minorHAnsi" w:eastAsiaTheme="minorEastAsia" w:hAnsiTheme="minorHAnsi" w:cstheme="minorBidi"/>
          <w:sz w:val="22"/>
          <w:szCs w:val="22"/>
          <w:lang w:eastAsia="en-AU"/>
        </w:rPr>
        <w:tab/>
      </w:r>
      <w:r>
        <w:t>FullCAM modelling—requirements for calibrations</w:t>
      </w:r>
      <w:r>
        <w:tab/>
        <w:t>37</w:t>
      </w:r>
    </w:p>
    <w:p w:rsidR="00514604" w:rsidRDefault="00514604">
      <w:pPr>
        <w:pStyle w:val="TOC5"/>
        <w:rPr>
          <w:rFonts w:asciiTheme="minorHAnsi" w:eastAsiaTheme="minorEastAsia" w:hAnsiTheme="minorHAnsi" w:cstheme="minorBidi"/>
          <w:sz w:val="22"/>
          <w:szCs w:val="22"/>
          <w:lang w:eastAsia="en-AU"/>
        </w:rPr>
      </w:pPr>
      <w:r>
        <w:tab/>
        <w:t>4.9</w:t>
      </w:r>
      <w:r>
        <w:rPr>
          <w:rFonts w:asciiTheme="minorHAnsi" w:eastAsiaTheme="minorEastAsia" w:hAnsiTheme="minorHAnsi" w:cstheme="minorBidi"/>
          <w:sz w:val="22"/>
          <w:szCs w:val="22"/>
          <w:lang w:eastAsia="en-AU"/>
        </w:rPr>
        <w:tab/>
      </w:r>
      <w:r>
        <w:t>FullCAM modelling—calibration requirement exemptions</w:t>
      </w:r>
      <w:r>
        <w:tab/>
        <w:t>38</w:t>
      </w:r>
    </w:p>
    <w:p w:rsidR="00514604" w:rsidRDefault="00514604">
      <w:pPr>
        <w:pStyle w:val="TOC3"/>
        <w:rPr>
          <w:rFonts w:asciiTheme="minorHAnsi" w:eastAsiaTheme="minorEastAsia" w:hAnsiTheme="minorHAnsi" w:cstheme="minorBidi"/>
          <w:b w:val="0"/>
          <w:noProof/>
          <w:sz w:val="22"/>
          <w:szCs w:val="22"/>
          <w:lang w:eastAsia="en-AU"/>
        </w:rPr>
      </w:pPr>
      <w:r>
        <w:rPr>
          <w:noProof/>
        </w:rPr>
        <w:lastRenderedPageBreak/>
        <w:t>Division 4.3</w:t>
      </w:r>
      <w:r>
        <w:rPr>
          <w:rFonts w:asciiTheme="minorHAnsi" w:eastAsiaTheme="minorEastAsia" w:hAnsiTheme="minorHAnsi" w:cstheme="minorBidi"/>
          <w:b w:val="0"/>
          <w:noProof/>
          <w:sz w:val="22"/>
          <w:szCs w:val="22"/>
          <w:lang w:eastAsia="en-AU"/>
        </w:rPr>
        <w:tab/>
      </w:r>
      <w:r>
        <w:rPr>
          <w:noProof/>
        </w:rPr>
        <w:t>Calculation of carbon stock change</w:t>
      </w:r>
    </w:p>
    <w:p w:rsidR="00514604" w:rsidRDefault="00514604">
      <w:pPr>
        <w:pStyle w:val="TOC5"/>
        <w:rPr>
          <w:rFonts w:asciiTheme="minorHAnsi" w:eastAsiaTheme="minorEastAsia" w:hAnsiTheme="minorHAnsi" w:cstheme="minorBidi"/>
          <w:sz w:val="22"/>
          <w:szCs w:val="22"/>
          <w:lang w:eastAsia="en-AU"/>
        </w:rPr>
      </w:pPr>
      <w:r>
        <w:tab/>
        <w:t>4.10</w:t>
      </w:r>
      <w:r>
        <w:rPr>
          <w:rFonts w:asciiTheme="minorHAnsi" w:eastAsiaTheme="minorEastAsia" w:hAnsiTheme="minorHAnsi" w:cstheme="minorBidi"/>
          <w:sz w:val="22"/>
          <w:szCs w:val="22"/>
          <w:lang w:eastAsia="en-AU"/>
        </w:rPr>
        <w:tab/>
      </w:r>
      <w:r>
        <w:t>Calculating initial carbon stock for project</w:t>
      </w:r>
      <w:r>
        <w:tab/>
        <w:t>39</w:t>
      </w:r>
    </w:p>
    <w:p w:rsidR="00514604" w:rsidRDefault="00514604">
      <w:pPr>
        <w:pStyle w:val="TOC5"/>
        <w:rPr>
          <w:rFonts w:asciiTheme="minorHAnsi" w:eastAsiaTheme="minorEastAsia" w:hAnsiTheme="minorHAnsi" w:cstheme="minorBidi"/>
          <w:sz w:val="22"/>
          <w:szCs w:val="22"/>
          <w:lang w:eastAsia="en-AU"/>
        </w:rPr>
      </w:pPr>
      <w:r>
        <w:tab/>
        <w:t>4.11</w:t>
      </w:r>
      <w:r>
        <w:rPr>
          <w:rFonts w:asciiTheme="minorHAnsi" w:eastAsiaTheme="minorEastAsia" w:hAnsiTheme="minorHAnsi" w:cstheme="minorBidi"/>
          <w:sz w:val="22"/>
          <w:szCs w:val="22"/>
          <w:lang w:eastAsia="en-AU"/>
        </w:rPr>
        <w:tab/>
      </w:r>
      <w:r>
        <w:t>Calculating project area carbon stock at end of reporting period</w:t>
      </w:r>
      <w:r>
        <w:tab/>
        <w:t>39</w:t>
      </w:r>
    </w:p>
    <w:p w:rsidR="00514604" w:rsidRDefault="00514604">
      <w:pPr>
        <w:pStyle w:val="TOC5"/>
        <w:rPr>
          <w:rFonts w:asciiTheme="minorHAnsi" w:eastAsiaTheme="minorEastAsia" w:hAnsiTheme="minorHAnsi" w:cstheme="minorBidi"/>
          <w:sz w:val="22"/>
          <w:szCs w:val="22"/>
          <w:lang w:eastAsia="en-AU"/>
        </w:rPr>
      </w:pPr>
      <w:r>
        <w:tab/>
        <w:t>4.12</w:t>
      </w:r>
      <w:r>
        <w:rPr>
          <w:rFonts w:asciiTheme="minorHAnsi" w:eastAsiaTheme="minorEastAsia" w:hAnsiTheme="minorHAnsi" w:cstheme="minorBidi"/>
          <w:sz w:val="22"/>
          <w:szCs w:val="22"/>
          <w:lang w:eastAsia="en-AU"/>
        </w:rPr>
        <w:tab/>
      </w:r>
      <w:r>
        <w:t>Calculating carbon stock for carbon estimation area</w:t>
      </w:r>
      <w:r>
        <w:tab/>
        <w:t>40</w:t>
      </w:r>
    </w:p>
    <w:p w:rsidR="00514604" w:rsidRDefault="00514604">
      <w:pPr>
        <w:pStyle w:val="TOC3"/>
        <w:rPr>
          <w:rFonts w:asciiTheme="minorHAnsi" w:eastAsiaTheme="minorEastAsia" w:hAnsiTheme="minorHAnsi" w:cstheme="minorBidi"/>
          <w:b w:val="0"/>
          <w:noProof/>
          <w:sz w:val="22"/>
          <w:szCs w:val="22"/>
          <w:lang w:eastAsia="en-AU"/>
        </w:rPr>
      </w:pPr>
      <w:r>
        <w:rPr>
          <w:noProof/>
        </w:rPr>
        <w:t>Division 4.4</w:t>
      </w:r>
      <w:r>
        <w:rPr>
          <w:rFonts w:asciiTheme="minorHAnsi" w:eastAsiaTheme="minorEastAsia" w:hAnsiTheme="minorHAnsi" w:cstheme="minorBidi"/>
          <w:b w:val="0"/>
          <w:noProof/>
          <w:sz w:val="22"/>
          <w:szCs w:val="22"/>
          <w:lang w:eastAsia="en-AU"/>
        </w:rPr>
        <w:tab/>
      </w:r>
      <w:r>
        <w:rPr>
          <w:noProof/>
        </w:rPr>
        <w:t>Calculation of project emissions</w:t>
      </w:r>
    </w:p>
    <w:p w:rsidR="00514604" w:rsidRDefault="00514604">
      <w:pPr>
        <w:pStyle w:val="TOC5"/>
        <w:rPr>
          <w:rFonts w:asciiTheme="minorHAnsi" w:eastAsiaTheme="minorEastAsia" w:hAnsiTheme="minorHAnsi" w:cstheme="minorBidi"/>
          <w:sz w:val="22"/>
          <w:szCs w:val="22"/>
          <w:lang w:eastAsia="en-AU"/>
        </w:rPr>
      </w:pPr>
      <w:r>
        <w:tab/>
        <w:t>4.13</w:t>
      </w:r>
      <w:r>
        <w:rPr>
          <w:rFonts w:asciiTheme="minorHAnsi" w:eastAsiaTheme="minorEastAsia" w:hAnsiTheme="minorHAnsi" w:cstheme="minorBidi"/>
          <w:sz w:val="22"/>
          <w:szCs w:val="22"/>
          <w:lang w:eastAsia="en-AU"/>
        </w:rPr>
        <w:tab/>
      </w:r>
      <w:r>
        <w:t>Calculating emissions from biomass burning</w:t>
      </w:r>
      <w:r>
        <w:tab/>
        <w:t>41</w:t>
      </w:r>
    </w:p>
    <w:p w:rsidR="00514604" w:rsidRDefault="00514604">
      <w:pPr>
        <w:pStyle w:val="TOC5"/>
        <w:rPr>
          <w:rFonts w:asciiTheme="minorHAnsi" w:eastAsiaTheme="minorEastAsia" w:hAnsiTheme="minorHAnsi" w:cstheme="minorBidi"/>
          <w:sz w:val="22"/>
          <w:szCs w:val="22"/>
          <w:lang w:eastAsia="en-AU"/>
        </w:rPr>
      </w:pPr>
      <w:r>
        <w:tab/>
        <w:t>4.14</w:t>
      </w:r>
      <w:r>
        <w:rPr>
          <w:rFonts w:asciiTheme="minorHAnsi" w:eastAsiaTheme="minorEastAsia" w:hAnsiTheme="minorHAnsi" w:cstheme="minorBidi"/>
          <w:sz w:val="22"/>
          <w:szCs w:val="22"/>
          <w:lang w:eastAsia="en-AU"/>
        </w:rPr>
        <w:tab/>
      </w:r>
      <w:r>
        <w:t>Calculating emissions from fuel use</w:t>
      </w:r>
      <w:r>
        <w:tab/>
        <w:t>42</w:t>
      </w:r>
    </w:p>
    <w:p w:rsidR="00514604" w:rsidRDefault="00514604">
      <w:pPr>
        <w:pStyle w:val="TOC3"/>
        <w:rPr>
          <w:rFonts w:asciiTheme="minorHAnsi" w:eastAsiaTheme="minorEastAsia" w:hAnsiTheme="minorHAnsi" w:cstheme="minorBidi"/>
          <w:b w:val="0"/>
          <w:noProof/>
          <w:sz w:val="22"/>
          <w:szCs w:val="22"/>
          <w:lang w:eastAsia="en-AU"/>
        </w:rPr>
      </w:pPr>
      <w:r>
        <w:rPr>
          <w:noProof/>
        </w:rPr>
        <w:t>Division 4.5</w:t>
      </w:r>
      <w:r>
        <w:rPr>
          <w:rFonts w:asciiTheme="minorHAnsi" w:eastAsiaTheme="minorEastAsia" w:hAnsiTheme="minorHAnsi" w:cstheme="minorBidi"/>
          <w:b w:val="0"/>
          <w:noProof/>
          <w:sz w:val="22"/>
          <w:szCs w:val="22"/>
          <w:lang w:eastAsia="en-AU"/>
        </w:rPr>
        <w:tab/>
      </w:r>
      <w:r>
        <w:rPr>
          <w:noProof/>
        </w:rPr>
        <w:t>Calculation of the carbon dioxide equivalent net abatement amount</w:t>
      </w:r>
    </w:p>
    <w:p w:rsidR="00514604" w:rsidRDefault="00514604">
      <w:pPr>
        <w:pStyle w:val="TOC5"/>
        <w:rPr>
          <w:rFonts w:asciiTheme="minorHAnsi" w:eastAsiaTheme="minorEastAsia" w:hAnsiTheme="minorHAnsi" w:cstheme="minorBidi"/>
          <w:sz w:val="22"/>
          <w:szCs w:val="22"/>
          <w:lang w:eastAsia="en-AU"/>
        </w:rPr>
      </w:pPr>
      <w:r>
        <w:tab/>
        <w:t>4.15</w:t>
      </w:r>
      <w:r>
        <w:rPr>
          <w:rFonts w:asciiTheme="minorHAnsi" w:eastAsiaTheme="minorEastAsia" w:hAnsiTheme="minorHAnsi" w:cstheme="minorBidi"/>
          <w:sz w:val="22"/>
          <w:szCs w:val="22"/>
          <w:lang w:eastAsia="en-AU"/>
        </w:rPr>
        <w:tab/>
      </w:r>
      <w:r>
        <w:t>Calculating the carbon dioxide equivalent net abatement amount for a project</w:t>
      </w:r>
      <w:r>
        <w:tab/>
        <w:t>43</w:t>
      </w:r>
    </w:p>
    <w:p w:rsidR="00514604" w:rsidRDefault="00514604">
      <w:pPr>
        <w:pStyle w:val="TOC3"/>
        <w:rPr>
          <w:rFonts w:asciiTheme="minorHAnsi" w:eastAsiaTheme="minorEastAsia" w:hAnsiTheme="minorHAnsi" w:cstheme="minorBidi"/>
          <w:b w:val="0"/>
          <w:noProof/>
          <w:sz w:val="22"/>
          <w:szCs w:val="22"/>
          <w:lang w:eastAsia="en-AU"/>
        </w:rPr>
      </w:pPr>
      <w:r>
        <w:rPr>
          <w:noProof/>
        </w:rPr>
        <w:t>Division 4.6</w:t>
      </w:r>
      <w:r>
        <w:rPr>
          <w:rFonts w:asciiTheme="minorHAnsi" w:eastAsiaTheme="minorEastAsia" w:hAnsiTheme="minorHAnsi" w:cstheme="minorBidi"/>
          <w:b w:val="0"/>
          <w:noProof/>
          <w:sz w:val="22"/>
          <w:szCs w:val="22"/>
          <w:lang w:eastAsia="en-AU"/>
        </w:rPr>
        <w:tab/>
      </w:r>
      <w:r>
        <w:rPr>
          <w:noProof/>
        </w:rPr>
        <w:t>Data collection</w:t>
      </w:r>
    </w:p>
    <w:p w:rsidR="00514604" w:rsidRDefault="00514604">
      <w:pPr>
        <w:pStyle w:val="TOC5"/>
        <w:rPr>
          <w:rFonts w:asciiTheme="minorHAnsi" w:eastAsiaTheme="minorEastAsia" w:hAnsiTheme="minorHAnsi" w:cstheme="minorBidi"/>
          <w:sz w:val="22"/>
          <w:szCs w:val="22"/>
          <w:lang w:eastAsia="en-AU"/>
        </w:rPr>
      </w:pPr>
      <w:r>
        <w:tab/>
        <w:t>4.16</w:t>
      </w:r>
      <w:r>
        <w:rPr>
          <w:rFonts w:asciiTheme="minorHAnsi" w:eastAsiaTheme="minorEastAsia" w:hAnsiTheme="minorHAnsi" w:cstheme="minorBidi"/>
          <w:sz w:val="22"/>
          <w:szCs w:val="22"/>
          <w:lang w:eastAsia="en-AU"/>
        </w:rPr>
        <w:tab/>
      </w:r>
      <w:r>
        <w:t>Data collection—general</w:t>
      </w:r>
      <w:r>
        <w:tab/>
        <w:t>44</w:t>
      </w:r>
    </w:p>
    <w:p w:rsidR="00514604" w:rsidRDefault="00514604">
      <w:pPr>
        <w:pStyle w:val="TOC5"/>
        <w:rPr>
          <w:rFonts w:asciiTheme="minorHAnsi" w:eastAsiaTheme="minorEastAsia" w:hAnsiTheme="minorHAnsi" w:cstheme="minorBidi"/>
          <w:sz w:val="22"/>
          <w:szCs w:val="22"/>
          <w:lang w:eastAsia="en-AU"/>
        </w:rPr>
      </w:pPr>
      <w:r>
        <w:tab/>
        <w:t>4.17</w:t>
      </w:r>
      <w:r>
        <w:rPr>
          <w:rFonts w:asciiTheme="minorHAnsi" w:eastAsiaTheme="minorEastAsia" w:hAnsiTheme="minorHAnsi" w:cstheme="minorBidi"/>
          <w:sz w:val="22"/>
          <w:szCs w:val="22"/>
          <w:lang w:eastAsia="en-AU"/>
        </w:rPr>
        <w:tab/>
      </w:r>
      <w:r>
        <w:t>FullCAM inputs</w:t>
      </w:r>
      <w:r>
        <w:tab/>
        <w:t>45</w:t>
      </w:r>
    </w:p>
    <w:p w:rsidR="00514604" w:rsidRDefault="00514604">
      <w:pPr>
        <w:pStyle w:val="TOC2"/>
        <w:rPr>
          <w:rFonts w:asciiTheme="minorHAnsi" w:eastAsiaTheme="minorEastAsia" w:hAnsiTheme="minorHAnsi" w:cstheme="minorBidi"/>
          <w:b w:val="0"/>
          <w:lang w:eastAsia="en-AU"/>
        </w:rPr>
      </w:pPr>
      <w:r>
        <w:t>Part 5</w:t>
      </w:r>
      <w:r>
        <w:rPr>
          <w:rFonts w:asciiTheme="minorHAnsi" w:eastAsiaTheme="minorEastAsia" w:hAnsiTheme="minorHAnsi" w:cstheme="minorBidi"/>
          <w:b w:val="0"/>
          <w:lang w:eastAsia="en-AU"/>
        </w:rPr>
        <w:tab/>
      </w:r>
      <w:r>
        <w:t>Monitoring, record-keeping and reporting requirements</w:t>
      </w:r>
    </w:p>
    <w:p w:rsidR="00514604" w:rsidRDefault="00514604">
      <w:pPr>
        <w:pStyle w:val="TOC3"/>
        <w:rPr>
          <w:rFonts w:asciiTheme="minorHAnsi" w:eastAsiaTheme="minorEastAsia" w:hAnsiTheme="minorHAnsi" w:cstheme="minorBidi"/>
          <w:b w:val="0"/>
          <w:noProof/>
          <w:sz w:val="22"/>
          <w:szCs w:val="22"/>
          <w:lang w:eastAsia="en-AU"/>
        </w:rPr>
      </w:pPr>
      <w:r>
        <w:rPr>
          <w:noProof/>
        </w:rPr>
        <w:t>Division 5.1</w:t>
      </w:r>
      <w:r>
        <w:rPr>
          <w:rFonts w:asciiTheme="minorHAnsi" w:eastAsiaTheme="minorEastAsia" w:hAnsiTheme="minorHAnsi" w:cstheme="minorBidi"/>
          <w:b w:val="0"/>
          <w:noProof/>
          <w:sz w:val="22"/>
          <w:szCs w:val="22"/>
          <w:lang w:eastAsia="en-AU"/>
        </w:rPr>
        <w:tab/>
      </w:r>
      <w:r>
        <w:rPr>
          <w:noProof/>
        </w:rPr>
        <w:t>General</w:t>
      </w:r>
    </w:p>
    <w:p w:rsidR="00514604" w:rsidRDefault="00514604">
      <w:pPr>
        <w:pStyle w:val="TOC5"/>
        <w:rPr>
          <w:rFonts w:asciiTheme="minorHAnsi" w:eastAsiaTheme="minorEastAsia" w:hAnsiTheme="minorHAnsi" w:cstheme="minorBidi"/>
          <w:sz w:val="22"/>
          <w:szCs w:val="22"/>
          <w:lang w:eastAsia="en-AU"/>
        </w:rPr>
      </w:pPr>
      <w:r>
        <w:tab/>
        <w:t>5.1</w:t>
      </w:r>
      <w:r>
        <w:rPr>
          <w:rFonts w:asciiTheme="minorHAnsi" w:eastAsiaTheme="minorEastAsia" w:hAnsiTheme="minorHAnsi" w:cstheme="minorBidi"/>
          <w:sz w:val="22"/>
          <w:szCs w:val="22"/>
          <w:lang w:eastAsia="en-AU"/>
        </w:rPr>
        <w:tab/>
      </w:r>
      <w:r>
        <w:t>Application</w:t>
      </w:r>
      <w:r>
        <w:tab/>
        <w:t>46</w:t>
      </w:r>
    </w:p>
    <w:p w:rsidR="00514604" w:rsidRDefault="00514604">
      <w:pPr>
        <w:pStyle w:val="TOC5"/>
        <w:rPr>
          <w:rFonts w:asciiTheme="minorHAnsi" w:eastAsiaTheme="minorEastAsia" w:hAnsiTheme="minorHAnsi" w:cstheme="minorBidi"/>
          <w:sz w:val="22"/>
          <w:szCs w:val="22"/>
          <w:lang w:eastAsia="en-AU"/>
        </w:rPr>
      </w:pPr>
      <w:r>
        <w:tab/>
        <w:t>5.2</w:t>
      </w:r>
      <w:r>
        <w:rPr>
          <w:rFonts w:asciiTheme="minorHAnsi" w:eastAsiaTheme="minorEastAsia" w:hAnsiTheme="minorHAnsi" w:cstheme="minorBidi"/>
          <w:sz w:val="22"/>
          <w:szCs w:val="22"/>
          <w:lang w:eastAsia="en-AU"/>
        </w:rPr>
        <w:tab/>
      </w:r>
      <w:r>
        <w:t>Geospatial information requirements</w:t>
      </w:r>
      <w:r>
        <w:tab/>
        <w:t>46</w:t>
      </w:r>
    </w:p>
    <w:p w:rsidR="00514604" w:rsidRDefault="00514604">
      <w:pPr>
        <w:pStyle w:val="TOC3"/>
        <w:rPr>
          <w:rFonts w:asciiTheme="minorHAnsi" w:eastAsiaTheme="minorEastAsia" w:hAnsiTheme="minorHAnsi" w:cstheme="minorBidi"/>
          <w:b w:val="0"/>
          <w:noProof/>
          <w:sz w:val="22"/>
          <w:szCs w:val="22"/>
          <w:lang w:eastAsia="en-AU"/>
        </w:rPr>
      </w:pPr>
      <w:r>
        <w:rPr>
          <w:noProof/>
        </w:rPr>
        <w:t>Division 5.2</w:t>
      </w:r>
      <w:r>
        <w:rPr>
          <w:rFonts w:asciiTheme="minorHAnsi" w:eastAsiaTheme="minorEastAsia" w:hAnsiTheme="minorHAnsi" w:cstheme="minorBidi"/>
          <w:b w:val="0"/>
          <w:noProof/>
          <w:sz w:val="22"/>
          <w:szCs w:val="22"/>
          <w:lang w:eastAsia="en-AU"/>
        </w:rPr>
        <w:tab/>
      </w:r>
      <w:r>
        <w:rPr>
          <w:noProof/>
        </w:rPr>
        <w:t>Monitoring requirements</w:t>
      </w:r>
    </w:p>
    <w:p w:rsidR="00514604" w:rsidRDefault="00514604">
      <w:pPr>
        <w:pStyle w:val="TOC5"/>
        <w:rPr>
          <w:rFonts w:asciiTheme="minorHAnsi" w:eastAsiaTheme="minorEastAsia" w:hAnsiTheme="minorHAnsi" w:cstheme="minorBidi"/>
          <w:sz w:val="22"/>
          <w:szCs w:val="22"/>
          <w:lang w:eastAsia="en-AU"/>
        </w:rPr>
      </w:pPr>
      <w:r>
        <w:tab/>
        <w:t>5.3</w:t>
      </w:r>
      <w:r>
        <w:rPr>
          <w:rFonts w:asciiTheme="minorHAnsi" w:eastAsiaTheme="minorEastAsia" w:hAnsiTheme="minorHAnsi" w:cstheme="minorBidi"/>
          <w:sz w:val="22"/>
          <w:szCs w:val="22"/>
          <w:lang w:eastAsia="en-AU"/>
        </w:rPr>
        <w:tab/>
      </w:r>
      <w:r>
        <w:t>Project monitoring</w:t>
      </w:r>
      <w:r>
        <w:tab/>
        <w:t>46</w:t>
      </w:r>
    </w:p>
    <w:p w:rsidR="00514604" w:rsidRDefault="00514604">
      <w:pPr>
        <w:pStyle w:val="TOC3"/>
        <w:rPr>
          <w:rFonts w:asciiTheme="minorHAnsi" w:eastAsiaTheme="minorEastAsia" w:hAnsiTheme="minorHAnsi" w:cstheme="minorBidi"/>
          <w:b w:val="0"/>
          <w:noProof/>
          <w:sz w:val="22"/>
          <w:szCs w:val="22"/>
          <w:lang w:eastAsia="en-AU"/>
        </w:rPr>
      </w:pPr>
      <w:r>
        <w:rPr>
          <w:noProof/>
        </w:rPr>
        <w:t>Division 5.3</w:t>
      </w:r>
      <w:r>
        <w:rPr>
          <w:rFonts w:asciiTheme="minorHAnsi" w:eastAsiaTheme="minorEastAsia" w:hAnsiTheme="minorHAnsi" w:cstheme="minorBidi"/>
          <w:b w:val="0"/>
          <w:noProof/>
          <w:sz w:val="22"/>
          <w:szCs w:val="22"/>
          <w:lang w:eastAsia="en-AU"/>
        </w:rPr>
        <w:tab/>
      </w:r>
      <w:r>
        <w:rPr>
          <w:noProof/>
        </w:rPr>
        <w:t>Record-keeping requirements</w:t>
      </w:r>
    </w:p>
    <w:p w:rsidR="00514604" w:rsidRDefault="00514604">
      <w:pPr>
        <w:pStyle w:val="TOC5"/>
        <w:rPr>
          <w:rFonts w:asciiTheme="minorHAnsi" w:eastAsiaTheme="minorEastAsia" w:hAnsiTheme="minorHAnsi" w:cstheme="minorBidi"/>
          <w:sz w:val="22"/>
          <w:szCs w:val="22"/>
          <w:lang w:eastAsia="en-AU"/>
        </w:rPr>
      </w:pPr>
      <w:r>
        <w:tab/>
        <w:t>5.4</w:t>
      </w:r>
      <w:r>
        <w:rPr>
          <w:rFonts w:asciiTheme="minorHAnsi" w:eastAsiaTheme="minorEastAsia" w:hAnsiTheme="minorHAnsi" w:cstheme="minorBidi"/>
          <w:sz w:val="22"/>
          <w:szCs w:val="22"/>
          <w:lang w:eastAsia="en-AU"/>
        </w:rPr>
        <w:tab/>
      </w:r>
      <w:r>
        <w:t>Records that must be kept</w:t>
      </w:r>
      <w:r>
        <w:tab/>
        <w:t>46</w:t>
      </w:r>
    </w:p>
    <w:p w:rsidR="00514604" w:rsidRDefault="00514604">
      <w:pPr>
        <w:pStyle w:val="TOC5"/>
        <w:rPr>
          <w:rFonts w:asciiTheme="minorHAnsi" w:eastAsiaTheme="minorEastAsia" w:hAnsiTheme="minorHAnsi" w:cstheme="minorBidi"/>
          <w:sz w:val="22"/>
          <w:szCs w:val="22"/>
          <w:lang w:eastAsia="en-AU"/>
        </w:rPr>
      </w:pPr>
      <w:r>
        <w:tab/>
        <w:t>5.5</w:t>
      </w:r>
      <w:r>
        <w:rPr>
          <w:rFonts w:asciiTheme="minorHAnsi" w:eastAsiaTheme="minorEastAsia" w:hAnsiTheme="minorHAnsi" w:cstheme="minorBidi"/>
          <w:sz w:val="22"/>
          <w:szCs w:val="22"/>
          <w:lang w:eastAsia="en-AU"/>
        </w:rPr>
        <w:tab/>
      </w:r>
      <w:r>
        <w:t>Forest management records</w:t>
      </w:r>
      <w:r>
        <w:tab/>
        <w:t>47</w:t>
      </w:r>
    </w:p>
    <w:p w:rsidR="00514604" w:rsidRDefault="00514604">
      <w:pPr>
        <w:pStyle w:val="TOC5"/>
        <w:rPr>
          <w:rFonts w:asciiTheme="minorHAnsi" w:eastAsiaTheme="minorEastAsia" w:hAnsiTheme="minorHAnsi" w:cstheme="minorBidi"/>
          <w:sz w:val="22"/>
          <w:szCs w:val="22"/>
          <w:lang w:eastAsia="en-AU"/>
        </w:rPr>
      </w:pPr>
      <w:r>
        <w:tab/>
        <w:t>5.6</w:t>
      </w:r>
      <w:r>
        <w:rPr>
          <w:rFonts w:asciiTheme="minorHAnsi" w:eastAsiaTheme="minorEastAsia" w:hAnsiTheme="minorHAnsi" w:cstheme="minorBidi"/>
          <w:sz w:val="22"/>
          <w:szCs w:val="22"/>
          <w:lang w:eastAsia="en-AU"/>
        </w:rPr>
        <w:tab/>
      </w:r>
      <w:r>
        <w:t>Specific calibration records</w:t>
      </w:r>
      <w:r>
        <w:tab/>
        <w:t>48</w:t>
      </w:r>
    </w:p>
    <w:p w:rsidR="00514604" w:rsidRDefault="00514604">
      <w:pPr>
        <w:pStyle w:val="TOC5"/>
        <w:rPr>
          <w:rFonts w:asciiTheme="minorHAnsi" w:eastAsiaTheme="minorEastAsia" w:hAnsiTheme="minorHAnsi" w:cstheme="minorBidi"/>
          <w:sz w:val="22"/>
          <w:szCs w:val="22"/>
          <w:lang w:eastAsia="en-AU"/>
        </w:rPr>
      </w:pPr>
      <w:r>
        <w:tab/>
        <w:t>5.7</w:t>
      </w:r>
      <w:r>
        <w:rPr>
          <w:rFonts w:asciiTheme="minorHAnsi" w:eastAsiaTheme="minorEastAsia" w:hAnsiTheme="minorHAnsi" w:cstheme="minorBidi"/>
          <w:sz w:val="22"/>
          <w:szCs w:val="22"/>
          <w:lang w:eastAsia="en-AU"/>
        </w:rPr>
        <w:tab/>
      </w:r>
      <w:r>
        <w:t>Project area records</w:t>
      </w:r>
      <w:r>
        <w:tab/>
        <w:t>49</w:t>
      </w:r>
    </w:p>
    <w:p w:rsidR="00514604" w:rsidRDefault="00514604">
      <w:pPr>
        <w:pStyle w:val="TOC3"/>
        <w:rPr>
          <w:rFonts w:asciiTheme="minorHAnsi" w:eastAsiaTheme="minorEastAsia" w:hAnsiTheme="minorHAnsi" w:cstheme="minorBidi"/>
          <w:b w:val="0"/>
          <w:noProof/>
          <w:sz w:val="22"/>
          <w:szCs w:val="22"/>
          <w:lang w:eastAsia="en-AU"/>
        </w:rPr>
      </w:pPr>
      <w:r>
        <w:rPr>
          <w:noProof/>
        </w:rPr>
        <w:t>Division 5.4</w:t>
      </w:r>
      <w:r>
        <w:rPr>
          <w:rFonts w:asciiTheme="minorHAnsi" w:eastAsiaTheme="minorEastAsia" w:hAnsiTheme="minorHAnsi" w:cstheme="minorBidi"/>
          <w:b w:val="0"/>
          <w:noProof/>
          <w:sz w:val="22"/>
          <w:szCs w:val="22"/>
          <w:lang w:eastAsia="en-AU"/>
        </w:rPr>
        <w:tab/>
      </w:r>
      <w:r>
        <w:rPr>
          <w:noProof/>
        </w:rPr>
        <w:t>Offsets report requirements</w:t>
      </w:r>
    </w:p>
    <w:p w:rsidR="00514604" w:rsidRDefault="00514604">
      <w:pPr>
        <w:pStyle w:val="TOC5"/>
        <w:rPr>
          <w:rFonts w:asciiTheme="minorHAnsi" w:eastAsiaTheme="minorEastAsia" w:hAnsiTheme="minorHAnsi" w:cstheme="minorBidi"/>
          <w:sz w:val="22"/>
          <w:szCs w:val="22"/>
          <w:lang w:eastAsia="en-AU"/>
        </w:rPr>
      </w:pPr>
      <w:r>
        <w:tab/>
        <w:t>5.8</w:t>
      </w:r>
      <w:r>
        <w:rPr>
          <w:rFonts w:asciiTheme="minorHAnsi" w:eastAsiaTheme="minorEastAsia" w:hAnsiTheme="minorHAnsi" w:cstheme="minorBidi"/>
          <w:sz w:val="22"/>
          <w:szCs w:val="22"/>
          <w:lang w:eastAsia="en-AU"/>
        </w:rPr>
        <w:tab/>
      </w:r>
      <w:r>
        <w:t>Information in first offsets report</w:t>
      </w:r>
      <w:r>
        <w:tab/>
        <w:t>49</w:t>
      </w:r>
    </w:p>
    <w:p w:rsidR="00514604" w:rsidRDefault="00514604">
      <w:pPr>
        <w:pStyle w:val="TOC5"/>
        <w:rPr>
          <w:rFonts w:asciiTheme="minorHAnsi" w:eastAsiaTheme="minorEastAsia" w:hAnsiTheme="minorHAnsi" w:cstheme="minorBidi"/>
          <w:sz w:val="22"/>
          <w:szCs w:val="22"/>
          <w:lang w:eastAsia="en-AU"/>
        </w:rPr>
      </w:pPr>
      <w:r>
        <w:tab/>
        <w:t>5.9</w:t>
      </w:r>
      <w:r>
        <w:rPr>
          <w:rFonts w:asciiTheme="minorHAnsi" w:eastAsiaTheme="minorEastAsia" w:hAnsiTheme="minorHAnsi" w:cstheme="minorBidi"/>
          <w:sz w:val="22"/>
          <w:szCs w:val="22"/>
          <w:lang w:eastAsia="en-AU"/>
        </w:rPr>
        <w:tab/>
      </w:r>
      <w:r>
        <w:t>Information in subsequent offsets reports</w:t>
      </w:r>
      <w:r>
        <w:tab/>
        <w:t>50</w:t>
      </w:r>
    </w:p>
    <w:p w:rsidR="00514604" w:rsidRDefault="00514604">
      <w:pPr>
        <w:pStyle w:val="TOC5"/>
        <w:rPr>
          <w:rFonts w:asciiTheme="minorHAnsi" w:eastAsiaTheme="minorEastAsia" w:hAnsiTheme="minorHAnsi" w:cstheme="minorBidi"/>
          <w:sz w:val="22"/>
          <w:szCs w:val="22"/>
          <w:lang w:eastAsia="en-AU"/>
        </w:rPr>
      </w:pPr>
      <w:r>
        <w:rPr>
          <w:rFonts w:cs="Arial"/>
        </w:rPr>
        <w:tab/>
      </w:r>
      <w:r w:rsidRPr="00531D56">
        <w:rPr>
          <w:rFonts w:cs="Arial"/>
        </w:rPr>
        <w:t>Schedule 1</w:t>
      </w:r>
      <w:r>
        <w:rPr>
          <w:rFonts w:asciiTheme="minorHAnsi" w:eastAsiaTheme="minorEastAsia" w:hAnsiTheme="minorHAnsi" w:cstheme="minorBidi"/>
          <w:sz w:val="22"/>
          <w:szCs w:val="22"/>
          <w:lang w:eastAsia="en-AU"/>
        </w:rPr>
        <w:tab/>
      </w:r>
      <w:r w:rsidRPr="00531D56">
        <w:rPr>
          <w:rFonts w:cs="Arial"/>
        </w:rPr>
        <w:t>Specific calibrations for use in FullCAM.</w:t>
      </w:r>
      <w:r>
        <w:tab/>
        <w:t>51</w:t>
      </w:r>
    </w:p>
    <w:p w:rsidR="00514604" w:rsidRDefault="00514604">
      <w:pPr>
        <w:pStyle w:val="TOC5"/>
        <w:rPr>
          <w:rFonts w:asciiTheme="minorHAnsi" w:eastAsiaTheme="minorEastAsia" w:hAnsiTheme="minorHAnsi" w:cstheme="minorBidi"/>
          <w:sz w:val="22"/>
          <w:szCs w:val="22"/>
          <w:lang w:eastAsia="en-AU"/>
        </w:rPr>
      </w:pPr>
      <w:r>
        <w:rPr>
          <w:rFonts w:cs="Arial"/>
        </w:rPr>
        <w:tab/>
      </w:r>
      <w:r w:rsidRPr="00531D56">
        <w:rPr>
          <w:rFonts w:cs="Arial"/>
        </w:rPr>
        <w:t>Schedule 2</w:t>
      </w:r>
      <w:r>
        <w:rPr>
          <w:rFonts w:asciiTheme="minorHAnsi" w:eastAsiaTheme="minorEastAsia" w:hAnsiTheme="minorHAnsi" w:cstheme="minorBidi"/>
          <w:sz w:val="22"/>
          <w:szCs w:val="22"/>
          <w:lang w:eastAsia="en-AU"/>
        </w:rPr>
        <w:tab/>
      </w:r>
      <w:r w:rsidRPr="00531D56">
        <w:rPr>
          <w:rFonts w:cs="Arial"/>
        </w:rPr>
        <w:t>Planting geometry requirements for belt plantings planted in rows</w:t>
      </w:r>
      <w:r>
        <w:tab/>
        <w:t>53</w:t>
      </w:r>
    </w:p>
    <w:p w:rsidR="002B60C7" w:rsidRPr="00374785" w:rsidRDefault="00AA5AE2" w:rsidP="00AA5AE2">
      <w:pPr>
        <w:pStyle w:val="h2Part"/>
      </w:pPr>
      <w:bookmarkStart w:id="0" w:name="_Toc397681544"/>
      <w:r w:rsidRPr="00374785">
        <w:lastRenderedPageBreak/>
        <w:t xml:space="preserve">Part </w:t>
      </w:r>
      <w:r w:rsidR="007F3C0F">
        <w:t>1</w:t>
      </w:r>
      <w:r w:rsidRPr="00374785">
        <w:tab/>
      </w:r>
      <w:r w:rsidR="002B60C7" w:rsidRPr="00374785">
        <w:t>Preliminary</w:t>
      </w:r>
      <w:bookmarkEnd w:id="0"/>
    </w:p>
    <w:p w:rsidR="002B60C7" w:rsidRPr="00374785" w:rsidRDefault="007F3C0F" w:rsidP="002B60C7">
      <w:pPr>
        <w:pStyle w:val="h5Section"/>
      </w:pPr>
      <w:bookmarkStart w:id="1" w:name="_Toc397681545"/>
      <w:r>
        <w:t>1.1</w:t>
      </w:r>
      <w:r w:rsidR="002B60C7" w:rsidRPr="00374785">
        <w:tab/>
        <w:t>Name of Determination</w:t>
      </w:r>
      <w:bookmarkEnd w:id="1"/>
    </w:p>
    <w:p w:rsidR="002B60C7" w:rsidRPr="00374785" w:rsidRDefault="002B60C7" w:rsidP="00A82334">
      <w:pPr>
        <w:pStyle w:val="tMain"/>
        <w:rPr>
          <w:i/>
          <w:color w:val="000000" w:themeColor="text1"/>
        </w:rPr>
      </w:pPr>
      <w:r w:rsidRPr="00374785">
        <w:tab/>
      </w:r>
      <w:r w:rsidRPr="00374785">
        <w:tab/>
      </w:r>
      <w:r w:rsidRPr="00374785">
        <w:rPr>
          <w:color w:val="000000" w:themeColor="text1"/>
        </w:rPr>
        <w:t xml:space="preserve">This Determination is the </w:t>
      </w:r>
      <w:r w:rsidR="00004213" w:rsidRPr="00374785">
        <w:rPr>
          <w:i/>
          <w:color w:val="000000" w:themeColor="text1"/>
        </w:rPr>
        <w:t>Carbon Credits (Carbon Farming Initiative) (Reforestation by Environmental or Mallee Plantings—FullCAM) Methodology Determination 2014</w:t>
      </w:r>
      <w:r w:rsidRPr="00374785">
        <w:rPr>
          <w:i/>
          <w:color w:val="000000" w:themeColor="text1"/>
        </w:rPr>
        <w:t>.</w:t>
      </w:r>
    </w:p>
    <w:p w:rsidR="002B60C7" w:rsidRPr="00374785" w:rsidRDefault="007F3C0F" w:rsidP="002B60C7">
      <w:pPr>
        <w:pStyle w:val="h5Section"/>
      </w:pPr>
      <w:bookmarkStart w:id="2" w:name="_Toc397681546"/>
      <w:r>
        <w:t>1.2</w:t>
      </w:r>
      <w:r w:rsidR="002B60C7" w:rsidRPr="00374785">
        <w:tab/>
        <w:t>Duration</w:t>
      </w:r>
      <w:bookmarkEnd w:id="2"/>
    </w:p>
    <w:p w:rsidR="002B60C7" w:rsidRPr="00374785" w:rsidRDefault="002B60C7" w:rsidP="002B60C7">
      <w:pPr>
        <w:pStyle w:val="noteMain"/>
      </w:pPr>
      <w:r w:rsidRPr="00374785">
        <w:tab/>
      </w:r>
      <w:r w:rsidRPr="00374785">
        <w:rPr>
          <w:b/>
          <w:i/>
        </w:rPr>
        <w:t>Note</w:t>
      </w:r>
      <w:r w:rsidRPr="00374785">
        <w:tab/>
        <w:t>See subsection 122(1) of the Act.</w:t>
      </w:r>
    </w:p>
    <w:p w:rsidR="002B60C7" w:rsidRPr="00374785" w:rsidRDefault="000E6A1E" w:rsidP="000E6A1E">
      <w:pPr>
        <w:pStyle w:val="tMain"/>
      </w:pPr>
      <w:r w:rsidRPr="00374785">
        <w:tab/>
      </w:r>
      <w:r w:rsidRPr="00374785">
        <w:tab/>
      </w:r>
      <w:r w:rsidR="002B60C7" w:rsidRPr="00374785">
        <w:t xml:space="preserve">This Determination: </w:t>
      </w:r>
    </w:p>
    <w:p w:rsidR="002B60C7" w:rsidRPr="00374785" w:rsidRDefault="002B60C7" w:rsidP="002B60C7">
      <w:pPr>
        <w:pStyle w:val="tPara"/>
        <w:rPr>
          <w:color w:val="808080" w:themeColor="background1" w:themeShade="80"/>
        </w:rPr>
      </w:pPr>
      <w:r w:rsidRPr="00374785">
        <w:tab/>
      </w:r>
      <w:r w:rsidR="007F3C0F">
        <w:t>(a)</w:t>
      </w:r>
      <w:r w:rsidRPr="00374785">
        <w:tab/>
        <w:t>commences on the day after it is registered on the Federal Register of Legislative Instruments; and</w:t>
      </w:r>
    </w:p>
    <w:p w:rsidR="002B60C7" w:rsidRPr="00374785" w:rsidRDefault="002B60C7" w:rsidP="002B60C7">
      <w:pPr>
        <w:pStyle w:val="tPara"/>
      </w:pPr>
      <w:r w:rsidRPr="00374785">
        <w:tab/>
      </w:r>
      <w:r w:rsidR="007F3C0F">
        <w:t>(b)</w:t>
      </w:r>
      <w:r w:rsidRPr="00374785">
        <w:tab/>
        <w:t xml:space="preserve">unless sooner revoked, expires on the day before it would otherwise be repealed under subsection 50(1) of the </w:t>
      </w:r>
      <w:r w:rsidRPr="00374785">
        <w:rPr>
          <w:i/>
        </w:rPr>
        <w:t>Legislative Instruments Act 2003</w:t>
      </w:r>
      <w:r w:rsidRPr="00374785">
        <w:t>.</w:t>
      </w:r>
    </w:p>
    <w:p w:rsidR="002B60C7" w:rsidRPr="00374785" w:rsidRDefault="002B60C7" w:rsidP="002B60C7">
      <w:pPr>
        <w:pStyle w:val="notePara"/>
      </w:pPr>
      <w:r w:rsidRPr="00374785">
        <w:tab/>
      </w:r>
      <w:r w:rsidRPr="00374785">
        <w:rPr>
          <w:b/>
          <w:i/>
        </w:rPr>
        <w:t>Note</w:t>
      </w:r>
      <w:r w:rsidRPr="00374785">
        <w:tab/>
        <w:t>This Determination will expire on the first 31 March or 30 September on or after the tenth anniversary of its registration.</w:t>
      </w:r>
    </w:p>
    <w:p w:rsidR="002B60C7" w:rsidRPr="00374785" w:rsidRDefault="002B60C7" w:rsidP="002B60C7">
      <w:pPr>
        <w:pStyle w:val="notePara"/>
      </w:pPr>
      <w:r w:rsidRPr="00374785">
        <w:tab/>
      </w:r>
      <w:r w:rsidRPr="00374785">
        <w:rPr>
          <w:b/>
          <w:i/>
        </w:rPr>
        <w:t>Note</w:t>
      </w:r>
      <w:r w:rsidRPr="00374785">
        <w:tab/>
        <w:t xml:space="preserve">This Determination continues to apply after expiry in accordance with section 125 of the Act. </w:t>
      </w:r>
    </w:p>
    <w:p w:rsidR="002B60C7" w:rsidRPr="00374785" w:rsidRDefault="007F3C0F" w:rsidP="002B60C7">
      <w:pPr>
        <w:pStyle w:val="h5Section"/>
      </w:pPr>
      <w:bookmarkStart w:id="3" w:name="_Toc397681547"/>
      <w:r>
        <w:t>1.3</w:t>
      </w:r>
      <w:r w:rsidR="002B60C7" w:rsidRPr="00374785">
        <w:tab/>
        <w:t>Definitions</w:t>
      </w:r>
      <w:bookmarkEnd w:id="3"/>
    </w:p>
    <w:p w:rsidR="002B60C7" w:rsidRPr="00374785" w:rsidRDefault="002B60C7" w:rsidP="002B60C7">
      <w:pPr>
        <w:pStyle w:val="tMain"/>
        <w:rPr>
          <w:rStyle w:val="CharSectno"/>
          <w:color w:val="000000" w:themeColor="text1"/>
        </w:rPr>
      </w:pPr>
      <w:r w:rsidRPr="00374785">
        <w:rPr>
          <w:rStyle w:val="CharSectno"/>
          <w:color w:val="000000" w:themeColor="text1"/>
        </w:rPr>
        <w:tab/>
      </w:r>
      <w:r w:rsidRPr="00374785">
        <w:rPr>
          <w:rStyle w:val="CharSectno"/>
          <w:color w:val="000000" w:themeColor="text1"/>
        </w:rPr>
        <w:tab/>
        <w:t>In this Determination:</w:t>
      </w:r>
    </w:p>
    <w:p w:rsidR="002B60C7" w:rsidRPr="00374785" w:rsidRDefault="00AB6664" w:rsidP="002B60C7">
      <w:pPr>
        <w:pStyle w:val="tDefn"/>
      </w:pPr>
      <w:r w:rsidRPr="00374785">
        <w:rPr>
          <w:b/>
          <w:bCs/>
          <w:i/>
          <w:iCs/>
          <w:color w:val="000000" w:themeColor="text1"/>
        </w:rPr>
        <w:t>a</w:t>
      </w:r>
      <w:r w:rsidR="002B60C7" w:rsidRPr="00374785">
        <w:rPr>
          <w:b/>
          <w:bCs/>
          <w:i/>
          <w:iCs/>
          <w:color w:val="000000" w:themeColor="text1"/>
        </w:rPr>
        <w:t>bove</w:t>
      </w:r>
      <w:r w:rsidR="00A37DEA" w:rsidRPr="00374785">
        <w:rPr>
          <w:b/>
          <w:bCs/>
          <w:i/>
          <w:iCs/>
          <w:color w:val="000000" w:themeColor="text1"/>
        </w:rPr>
        <w:t>-</w:t>
      </w:r>
      <w:r w:rsidR="002B60C7" w:rsidRPr="00374785">
        <w:rPr>
          <w:b/>
          <w:bCs/>
          <w:i/>
          <w:iCs/>
          <w:color w:val="000000" w:themeColor="text1"/>
        </w:rPr>
        <w:t>ground biomass</w:t>
      </w:r>
      <w:r w:rsidR="002B60C7" w:rsidRPr="00374785">
        <w:rPr>
          <w:b/>
          <w:bCs/>
          <w:color w:val="000000" w:themeColor="text1"/>
        </w:rPr>
        <w:t xml:space="preserve"> </w:t>
      </w:r>
      <w:r w:rsidR="002B60C7" w:rsidRPr="00374785">
        <w:rPr>
          <w:color w:val="000000" w:themeColor="text1"/>
        </w:rPr>
        <w:t>means</w:t>
      </w:r>
      <w:r w:rsidR="002B60C7" w:rsidRPr="00374785">
        <w:rPr>
          <w:color w:val="76923C" w:themeColor="accent3" w:themeShade="BF"/>
        </w:rPr>
        <w:t xml:space="preserve"> </w:t>
      </w:r>
      <w:r w:rsidR="002B60C7" w:rsidRPr="00374785">
        <w:rPr>
          <w:color w:val="000000" w:themeColor="text1"/>
        </w:rPr>
        <w:t xml:space="preserve">all live material in a tree </w:t>
      </w:r>
      <w:r w:rsidR="00676431" w:rsidRPr="00374785">
        <w:rPr>
          <w:color w:val="000000" w:themeColor="text1"/>
        </w:rPr>
        <w:t xml:space="preserve">or shrub </w:t>
      </w:r>
      <w:r w:rsidR="002B60C7" w:rsidRPr="00374785">
        <w:rPr>
          <w:color w:val="000000" w:themeColor="text1"/>
        </w:rPr>
        <w:t xml:space="preserve">above the </w:t>
      </w:r>
      <w:r w:rsidR="00F531EC" w:rsidRPr="00374785">
        <w:rPr>
          <w:color w:val="000000" w:themeColor="text1"/>
        </w:rPr>
        <w:t>soil substrate</w:t>
      </w:r>
      <w:r w:rsidR="002B60C7" w:rsidRPr="00374785">
        <w:rPr>
          <w:color w:val="000000" w:themeColor="text1"/>
        </w:rPr>
        <w:t xml:space="preserve"> and includes the stem </w:t>
      </w:r>
      <w:r w:rsidR="002B60C7" w:rsidRPr="00374785">
        <w:t>and crown.</w:t>
      </w:r>
    </w:p>
    <w:p w:rsidR="002B60C7" w:rsidRPr="00374785" w:rsidRDefault="002B60C7" w:rsidP="002B60C7">
      <w:pPr>
        <w:pStyle w:val="tDefn"/>
        <w:rPr>
          <w:color w:val="000000" w:themeColor="text1"/>
        </w:rPr>
      </w:pPr>
      <w:r w:rsidRPr="00374785">
        <w:rPr>
          <w:b/>
          <w:i/>
          <w:color w:val="000000" w:themeColor="text1"/>
        </w:rPr>
        <w:t>Act</w:t>
      </w:r>
      <w:r w:rsidRPr="00374785">
        <w:rPr>
          <w:color w:val="000000" w:themeColor="text1"/>
        </w:rPr>
        <w:t xml:space="preserve"> means the </w:t>
      </w:r>
      <w:r w:rsidRPr="00374785">
        <w:rPr>
          <w:i/>
          <w:color w:val="000000" w:themeColor="text1"/>
        </w:rPr>
        <w:t>Carbon Credits (Carbon Farming Initiative) Act 2011</w:t>
      </w:r>
      <w:r w:rsidRPr="00374785">
        <w:rPr>
          <w:color w:val="000000" w:themeColor="text1"/>
        </w:rPr>
        <w:t>.</w:t>
      </w:r>
    </w:p>
    <w:p w:rsidR="00CC29A5" w:rsidRPr="00374785" w:rsidRDefault="00CC29A5" w:rsidP="002B60C7">
      <w:pPr>
        <w:pStyle w:val="tDefn"/>
        <w:rPr>
          <w:color w:val="000000" w:themeColor="text1"/>
        </w:rPr>
      </w:pPr>
      <w:r w:rsidRPr="00374785">
        <w:rPr>
          <w:b/>
          <w:i/>
          <w:color w:val="000000" w:themeColor="text1"/>
        </w:rPr>
        <w:t>actual plot location</w:t>
      </w:r>
      <w:r w:rsidRPr="00374785">
        <w:rPr>
          <w:color w:val="000000" w:themeColor="text1"/>
        </w:rPr>
        <w:t xml:space="preserve"> means spatial coordinates, collected in the field using a geographic positioning system, which define the locations of plots.</w:t>
      </w:r>
    </w:p>
    <w:p w:rsidR="002B60C7" w:rsidRPr="00374785" w:rsidRDefault="002B60C7" w:rsidP="002B60C7">
      <w:pPr>
        <w:pStyle w:val="tDefn"/>
        <w:rPr>
          <w:color w:val="000000" w:themeColor="text1"/>
        </w:rPr>
      </w:pPr>
      <w:r w:rsidRPr="00374785">
        <w:rPr>
          <w:b/>
          <w:i/>
          <w:color w:val="000000" w:themeColor="text1"/>
        </w:rPr>
        <w:t>adjacent tree</w:t>
      </w:r>
      <w:r w:rsidRPr="00374785">
        <w:rPr>
          <w:color w:val="000000" w:themeColor="text1"/>
        </w:rPr>
        <w:t xml:space="preserve"> means a</w:t>
      </w:r>
      <w:r w:rsidR="00C24986" w:rsidRPr="00374785">
        <w:rPr>
          <w:color w:val="000000" w:themeColor="text1"/>
        </w:rPr>
        <w:t xml:space="preserve"> non-project</w:t>
      </w:r>
      <w:r w:rsidRPr="00374785">
        <w:rPr>
          <w:color w:val="000000" w:themeColor="text1"/>
        </w:rPr>
        <w:t xml:space="preserve"> tree that:</w:t>
      </w:r>
    </w:p>
    <w:p w:rsidR="002B60C7" w:rsidRPr="00374785" w:rsidRDefault="003C5634" w:rsidP="00591AA5">
      <w:pPr>
        <w:pStyle w:val="tDefn"/>
        <w:numPr>
          <w:ilvl w:val="0"/>
          <w:numId w:val="5"/>
        </w:numPr>
        <w:rPr>
          <w:rStyle w:val="CharSectno"/>
          <w:color w:val="000000" w:themeColor="text1"/>
        </w:rPr>
      </w:pPr>
      <w:r w:rsidRPr="00374785">
        <w:rPr>
          <w:rStyle w:val="CharSectno"/>
          <w:color w:val="000000" w:themeColor="text1"/>
        </w:rPr>
        <w:t>has a stem in</w:t>
      </w:r>
      <w:r w:rsidR="002B60C7" w:rsidRPr="00374785">
        <w:rPr>
          <w:rStyle w:val="CharSectno"/>
          <w:color w:val="000000" w:themeColor="text1"/>
        </w:rPr>
        <w:t xml:space="preserve"> </w:t>
      </w:r>
      <w:r w:rsidR="00F44C69" w:rsidRPr="00374785">
        <w:rPr>
          <w:rStyle w:val="CharSectno"/>
          <w:color w:val="000000" w:themeColor="text1"/>
        </w:rPr>
        <w:t xml:space="preserve">an </w:t>
      </w:r>
      <w:r w:rsidR="002B60C7" w:rsidRPr="00374785">
        <w:rPr>
          <w:rStyle w:val="CharSectno"/>
          <w:color w:val="000000" w:themeColor="text1"/>
        </w:rPr>
        <w:t>adjoining area; and</w:t>
      </w:r>
    </w:p>
    <w:p w:rsidR="002B60C7" w:rsidRPr="00374785" w:rsidRDefault="00042925" w:rsidP="00591AA5">
      <w:pPr>
        <w:pStyle w:val="tDefn"/>
        <w:numPr>
          <w:ilvl w:val="0"/>
          <w:numId w:val="5"/>
        </w:numPr>
        <w:rPr>
          <w:rStyle w:val="CharSectno"/>
        </w:rPr>
      </w:pPr>
      <w:r w:rsidRPr="00374785">
        <w:rPr>
          <w:rStyle w:val="CharSectno"/>
          <w:color w:val="000000" w:themeColor="text1"/>
        </w:rPr>
        <w:t>has</w:t>
      </w:r>
      <w:r w:rsidR="002B60C7" w:rsidRPr="00374785">
        <w:rPr>
          <w:rStyle w:val="CharSectno"/>
          <w:color w:val="000000" w:themeColor="text1"/>
        </w:rPr>
        <w:t xml:space="preserve"> </w:t>
      </w:r>
      <w:r w:rsidRPr="00374785">
        <w:rPr>
          <w:rStyle w:val="CharSectno"/>
          <w:color w:val="000000" w:themeColor="text1"/>
        </w:rPr>
        <w:t>a crown that extends 3 metres or more across at its widest point, at the time of FullCAM modelling</w:t>
      </w:r>
      <w:r w:rsidR="002B60C7" w:rsidRPr="00374785">
        <w:rPr>
          <w:rStyle w:val="CharSectno"/>
          <w:color w:val="000000" w:themeColor="text1"/>
        </w:rPr>
        <w:t>.</w:t>
      </w:r>
    </w:p>
    <w:p w:rsidR="002B60C7" w:rsidRPr="00374785" w:rsidRDefault="002B60C7" w:rsidP="002B60C7">
      <w:pPr>
        <w:pStyle w:val="tDefn"/>
        <w:rPr>
          <w:color w:val="000000" w:themeColor="text1"/>
        </w:rPr>
      </w:pPr>
      <w:r w:rsidRPr="00374785">
        <w:rPr>
          <w:b/>
          <w:i/>
          <w:color w:val="000000" w:themeColor="text1"/>
        </w:rPr>
        <w:t>adjoining area</w:t>
      </w:r>
      <w:r w:rsidRPr="00374785">
        <w:rPr>
          <w:b/>
          <w:i/>
          <w:color w:val="548DD4" w:themeColor="text2" w:themeTint="99"/>
        </w:rPr>
        <w:t xml:space="preserve"> </w:t>
      </w:r>
      <w:r w:rsidRPr="00374785">
        <w:rPr>
          <w:color w:val="000000" w:themeColor="text1"/>
        </w:rPr>
        <w:t>means the area that ext</w:t>
      </w:r>
      <w:r w:rsidR="00082BB6" w:rsidRPr="00374785">
        <w:rPr>
          <w:color w:val="000000" w:themeColor="text1"/>
        </w:rPr>
        <w:t xml:space="preserve">ends outwards </w:t>
      </w:r>
      <w:r w:rsidRPr="00374785">
        <w:rPr>
          <w:color w:val="000000" w:themeColor="text1"/>
        </w:rPr>
        <w:t xml:space="preserve">for 20 metres perpendicular to the long axis of </w:t>
      </w:r>
      <w:r w:rsidR="00793BC6" w:rsidRPr="00374785">
        <w:rPr>
          <w:color w:val="000000" w:themeColor="text1"/>
        </w:rPr>
        <w:t xml:space="preserve">each side of </w:t>
      </w:r>
      <w:r w:rsidR="00082BB6" w:rsidRPr="00374785">
        <w:rPr>
          <w:color w:val="000000" w:themeColor="text1"/>
        </w:rPr>
        <w:t>a narrow or wide</w:t>
      </w:r>
      <w:r w:rsidR="00935F8B" w:rsidRPr="00374785">
        <w:rPr>
          <w:color w:val="000000" w:themeColor="text1"/>
        </w:rPr>
        <w:t>-</w:t>
      </w:r>
      <w:r w:rsidR="00082BB6" w:rsidRPr="00374785">
        <w:rPr>
          <w:color w:val="000000" w:themeColor="text1"/>
        </w:rPr>
        <w:t xml:space="preserve">linear planting </w:t>
      </w:r>
      <w:r w:rsidRPr="00374785">
        <w:rPr>
          <w:color w:val="000000" w:themeColor="text1"/>
        </w:rPr>
        <w:t xml:space="preserve">as measured from the outer stems </w:t>
      </w:r>
      <w:r w:rsidR="00793BC6" w:rsidRPr="00374785">
        <w:rPr>
          <w:color w:val="000000" w:themeColor="text1"/>
        </w:rPr>
        <w:t>of the planting</w:t>
      </w:r>
      <w:r w:rsidRPr="00374785">
        <w:rPr>
          <w:color w:val="000000" w:themeColor="text1"/>
        </w:rPr>
        <w:t>.</w:t>
      </w:r>
    </w:p>
    <w:p w:rsidR="002B60C7" w:rsidRPr="00374785" w:rsidRDefault="00C16F35" w:rsidP="002B60C7">
      <w:pPr>
        <w:pStyle w:val="tDefn"/>
        <w:rPr>
          <w:color w:val="000000" w:themeColor="text1"/>
        </w:rPr>
      </w:pPr>
      <w:r>
        <w:rPr>
          <w:b/>
          <w:bCs/>
          <w:i/>
          <w:iCs/>
          <w:color w:val="000000" w:themeColor="text1"/>
        </w:rPr>
        <w:t>b</w:t>
      </w:r>
      <w:r w:rsidR="002B60C7" w:rsidRPr="00374785">
        <w:rPr>
          <w:b/>
          <w:bCs/>
          <w:i/>
          <w:iCs/>
          <w:color w:val="000000" w:themeColor="text1"/>
        </w:rPr>
        <w:t>elow</w:t>
      </w:r>
      <w:r w:rsidR="00935F8B" w:rsidRPr="00374785">
        <w:rPr>
          <w:b/>
          <w:bCs/>
          <w:i/>
          <w:iCs/>
          <w:color w:val="000000" w:themeColor="text1"/>
        </w:rPr>
        <w:t>-</w:t>
      </w:r>
      <w:r w:rsidR="002B60C7" w:rsidRPr="00374785">
        <w:rPr>
          <w:b/>
          <w:bCs/>
          <w:i/>
          <w:iCs/>
          <w:color w:val="000000" w:themeColor="text1"/>
        </w:rPr>
        <w:t xml:space="preserve">ground biomass </w:t>
      </w:r>
      <w:r w:rsidR="002B60C7" w:rsidRPr="00374785">
        <w:rPr>
          <w:color w:val="000000" w:themeColor="text1"/>
        </w:rPr>
        <w:t xml:space="preserve">means all live material in a tree </w:t>
      </w:r>
      <w:r w:rsidR="00E94F48" w:rsidRPr="00374785">
        <w:rPr>
          <w:color w:val="000000" w:themeColor="text1"/>
        </w:rPr>
        <w:t xml:space="preserve">or shrub </w:t>
      </w:r>
      <w:r w:rsidR="002B60C7" w:rsidRPr="00374785">
        <w:rPr>
          <w:color w:val="000000" w:themeColor="text1"/>
        </w:rPr>
        <w:t xml:space="preserve">below the </w:t>
      </w:r>
      <w:r w:rsidR="00935F8B" w:rsidRPr="00374785">
        <w:rPr>
          <w:color w:val="000000" w:themeColor="text1"/>
        </w:rPr>
        <w:t>soil substrate</w:t>
      </w:r>
      <w:r w:rsidR="002B60C7" w:rsidRPr="00374785">
        <w:rPr>
          <w:color w:val="000000" w:themeColor="text1"/>
        </w:rPr>
        <w:t xml:space="preserve"> and includes the tap root or lignotuber, and the lateral roots.</w:t>
      </w:r>
    </w:p>
    <w:p w:rsidR="00045418" w:rsidRPr="00374785" w:rsidRDefault="002B60C7" w:rsidP="002B60C7">
      <w:pPr>
        <w:pStyle w:val="tDefn"/>
        <w:rPr>
          <w:bCs/>
          <w:iCs/>
          <w:color w:val="000000" w:themeColor="text1"/>
        </w:rPr>
      </w:pPr>
      <w:r w:rsidRPr="00374785">
        <w:rPr>
          <w:b/>
          <w:bCs/>
          <w:i/>
          <w:iCs/>
          <w:color w:val="000000" w:themeColor="text1"/>
        </w:rPr>
        <w:t xml:space="preserve">belt </w:t>
      </w:r>
      <w:r w:rsidR="00045418" w:rsidRPr="00374785">
        <w:rPr>
          <w:b/>
          <w:bCs/>
          <w:i/>
          <w:iCs/>
          <w:color w:val="000000" w:themeColor="text1"/>
        </w:rPr>
        <w:t xml:space="preserve">planting </w:t>
      </w:r>
      <w:r w:rsidRPr="00374785">
        <w:rPr>
          <w:bCs/>
          <w:iCs/>
          <w:color w:val="000000" w:themeColor="text1"/>
        </w:rPr>
        <w:t>means a planting that</w:t>
      </w:r>
      <w:r w:rsidR="00045418" w:rsidRPr="00374785">
        <w:rPr>
          <w:bCs/>
          <w:iCs/>
          <w:color w:val="000000" w:themeColor="text1"/>
        </w:rPr>
        <w:t>:</w:t>
      </w:r>
      <w:r w:rsidRPr="00374785">
        <w:rPr>
          <w:bCs/>
          <w:iCs/>
          <w:color w:val="000000" w:themeColor="text1"/>
        </w:rPr>
        <w:t xml:space="preserve"> </w:t>
      </w:r>
    </w:p>
    <w:p w:rsidR="00045418" w:rsidRPr="00374785" w:rsidRDefault="002B60C7" w:rsidP="00591AA5">
      <w:pPr>
        <w:pStyle w:val="tDefn"/>
        <w:numPr>
          <w:ilvl w:val="0"/>
          <w:numId w:val="14"/>
        </w:numPr>
        <w:rPr>
          <w:bCs/>
          <w:iCs/>
          <w:color w:val="000000" w:themeColor="text1"/>
        </w:rPr>
      </w:pPr>
      <w:r w:rsidRPr="00374785">
        <w:rPr>
          <w:bCs/>
          <w:iCs/>
          <w:color w:val="000000" w:themeColor="text1"/>
        </w:rPr>
        <w:t>is established in a belt configuration</w:t>
      </w:r>
      <w:r w:rsidR="00045418" w:rsidRPr="00374785">
        <w:rPr>
          <w:bCs/>
          <w:iCs/>
          <w:color w:val="000000" w:themeColor="text1"/>
        </w:rPr>
        <w:t>;</w:t>
      </w:r>
      <w:r w:rsidRPr="00374785">
        <w:rPr>
          <w:bCs/>
          <w:iCs/>
          <w:color w:val="000000" w:themeColor="text1"/>
        </w:rPr>
        <w:t xml:space="preserve"> </w:t>
      </w:r>
    </w:p>
    <w:p w:rsidR="00045418" w:rsidRPr="00374785" w:rsidRDefault="002B60C7" w:rsidP="00591AA5">
      <w:pPr>
        <w:pStyle w:val="tDefn"/>
        <w:numPr>
          <w:ilvl w:val="0"/>
          <w:numId w:val="14"/>
        </w:numPr>
        <w:rPr>
          <w:bCs/>
          <w:iCs/>
          <w:color w:val="000000" w:themeColor="text1"/>
        </w:rPr>
      </w:pPr>
      <w:r w:rsidRPr="00374785">
        <w:rPr>
          <w:bCs/>
          <w:iCs/>
          <w:color w:val="000000" w:themeColor="text1"/>
        </w:rPr>
        <w:t xml:space="preserve">can follow </w:t>
      </w:r>
      <w:r w:rsidR="00922090" w:rsidRPr="00374785">
        <w:rPr>
          <w:bCs/>
          <w:iCs/>
          <w:color w:val="000000" w:themeColor="text1"/>
        </w:rPr>
        <w:t xml:space="preserve">landscape </w:t>
      </w:r>
      <w:r w:rsidRPr="00374785">
        <w:rPr>
          <w:bCs/>
          <w:iCs/>
          <w:color w:val="000000" w:themeColor="text1"/>
        </w:rPr>
        <w:t>contours or be arranged in a straight line</w:t>
      </w:r>
      <w:r w:rsidR="00045418" w:rsidRPr="00374785">
        <w:rPr>
          <w:bCs/>
          <w:iCs/>
          <w:color w:val="000000" w:themeColor="text1"/>
        </w:rPr>
        <w:t>; and</w:t>
      </w:r>
    </w:p>
    <w:p w:rsidR="002B60C7" w:rsidRPr="00374785" w:rsidRDefault="00394400" w:rsidP="00591AA5">
      <w:pPr>
        <w:pStyle w:val="tDefn"/>
        <w:numPr>
          <w:ilvl w:val="0"/>
          <w:numId w:val="14"/>
        </w:numPr>
        <w:rPr>
          <w:bCs/>
          <w:iCs/>
          <w:color w:val="000000" w:themeColor="text1"/>
        </w:rPr>
      </w:pPr>
      <w:r w:rsidRPr="00374785">
        <w:rPr>
          <w:bCs/>
          <w:iCs/>
          <w:color w:val="000000" w:themeColor="text1"/>
        </w:rPr>
        <w:t>is</w:t>
      </w:r>
      <w:r w:rsidR="00045418" w:rsidRPr="00374785">
        <w:rPr>
          <w:bCs/>
          <w:iCs/>
          <w:color w:val="000000" w:themeColor="text1"/>
        </w:rPr>
        <w:t xml:space="preserve"> either a narrow or wide</w:t>
      </w:r>
      <w:r w:rsidR="00922090" w:rsidRPr="00374785">
        <w:rPr>
          <w:bCs/>
          <w:iCs/>
          <w:color w:val="000000" w:themeColor="text1"/>
        </w:rPr>
        <w:t>-</w:t>
      </w:r>
      <w:r w:rsidR="00045418" w:rsidRPr="00374785">
        <w:rPr>
          <w:bCs/>
          <w:iCs/>
          <w:color w:val="000000" w:themeColor="text1"/>
        </w:rPr>
        <w:t>linear planting</w:t>
      </w:r>
      <w:r w:rsidR="002B60C7" w:rsidRPr="00374785">
        <w:rPr>
          <w:bCs/>
          <w:iCs/>
          <w:color w:val="000000" w:themeColor="text1"/>
        </w:rPr>
        <w:t>.</w:t>
      </w:r>
    </w:p>
    <w:p w:rsidR="002B60C7" w:rsidRPr="00374785" w:rsidRDefault="002B60C7" w:rsidP="002B60C7">
      <w:pPr>
        <w:pStyle w:val="tDefn"/>
        <w:rPr>
          <w:bCs/>
          <w:iCs/>
          <w:color w:val="000000" w:themeColor="text1"/>
        </w:rPr>
      </w:pPr>
      <w:r w:rsidRPr="00374785">
        <w:rPr>
          <w:b/>
          <w:bCs/>
          <w:i/>
          <w:iCs/>
          <w:color w:val="000000" w:themeColor="text1"/>
        </w:rPr>
        <w:lastRenderedPageBreak/>
        <w:t xml:space="preserve">block planting </w:t>
      </w:r>
      <w:r w:rsidR="00093D69" w:rsidRPr="00374785">
        <w:rPr>
          <w:bCs/>
          <w:iCs/>
          <w:color w:val="000000" w:themeColor="text1"/>
        </w:rPr>
        <w:t>—see section 3.13</w:t>
      </w:r>
      <w:r w:rsidR="00922090" w:rsidRPr="00374785">
        <w:rPr>
          <w:bCs/>
          <w:iCs/>
          <w:color w:val="000000" w:themeColor="text1"/>
        </w:rPr>
        <w:t>.</w:t>
      </w:r>
    </w:p>
    <w:p w:rsidR="004C5C07" w:rsidRPr="00374785" w:rsidRDefault="004C5C07" w:rsidP="004C5C07">
      <w:pPr>
        <w:pStyle w:val="tDefn"/>
        <w:rPr>
          <w:color w:val="000000" w:themeColor="text1"/>
        </w:rPr>
      </w:pPr>
      <w:r w:rsidRPr="00374785">
        <w:rPr>
          <w:b/>
          <w:i/>
          <w:color w:val="000000" w:themeColor="text1"/>
        </w:rPr>
        <w:t xml:space="preserve">calibration </w:t>
      </w:r>
      <w:r w:rsidRPr="00374785">
        <w:rPr>
          <w:color w:val="000000" w:themeColor="text1"/>
        </w:rPr>
        <w:t>means either a generic or a specific calibration.</w:t>
      </w:r>
    </w:p>
    <w:p w:rsidR="002B60C7" w:rsidRPr="00374785" w:rsidRDefault="002B60C7" w:rsidP="00F5155F">
      <w:pPr>
        <w:pStyle w:val="tDefn"/>
      </w:pPr>
      <w:r w:rsidRPr="00374785">
        <w:rPr>
          <w:b/>
          <w:i/>
        </w:rPr>
        <w:t xml:space="preserve">carbon estimation area </w:t>
      </w:r>
      <w:r w:rsidR="00970CED" w:rsidRPr="00374785">
        <w:rPr>
          <w:b/>
          <w:i/>
        </w:rPr>
        <w:t>(CEA)</w:t>
      </w:r>
      <w:r w:rsidR="00970CED" w:rsidRPr="00374785">
        <w:rPr>
          <w:i/>
        </w:rPr>
        <w:t xml:space="preserve"> </w:t>
      </w:r>
      <w:r w:rsidRPr="00374785">
        <w:t>means</w:t>
      </w:r>
      <w:r w:rsidRPr="00374785">
        <w:rPr>
          <w:color w:val="548DD4" w:themeColor="text2" w:themeTint="99"/>
        </w:rPr>
        <w:t xml:space="preserve"> </w:t>
      </w:r>
      <w:r w:rsidRPr="00374785">
        <w:rPr>
          <w:color w:val="000000" w:themeColor="text1"/>
        </w:rPr>
        <w:t>an area of land that is within the project area and that meets the requirements in section 3.</w:t>
      </w:r>
      <w:r w:rsidRPr="00374785">
        <w:t>3.</w:t>
      </w:r>
    </w:p>
    <w:p w:rsidR="002B60C7" w:rsidRPr="00374785" w:rsidRDefault="002B60C7" w:rsidP="00F5155F">
      <w:pPr>
        <w:pStyle w:val="tDefn"/>
      </w:pPr>
      <w:r w:rsidRPr="00374785">
        <w:rPr>
          <w:b/>
          <w:i/>
          <w:color w:val="000000" w:themeColor="text1"/>
        </w:rPr>
        <w:t>carbon pool</w:t>
      </w:r>
      <w:r w:rsidRPr="00374785">
        <w:rPr>
          <w:color w:val="000000" w:themeColor="text1"/>
        </w:rPr>
        <w:t xml:space="preserve"> means</w:t>
      </w:r>
      <w:r w:rsidRPr="00374785">
        <w:t xml:space="preserve"> </w:t>
      </w:r>
      <w:r w:rsidR="00F5155F" w:rsidRPr="00374785">
        <w:t xml:space="preserve">a reservoir which has the capacity to accumulate or release carbon and includes </w:t>
      </w:r>
      <w:r w:rsidR="00C634F8" w:rsidRPr="00374785">
        <w:rPr>
          <w:color w:val="000000" w:themeColor="text1"/>
        </w:rPr>
        <w:t>above</w:t>
      </w:r>
      <w:r w:rsidR="009265CD" w:rsidRPr="00374785">
        <w:rPr>
          <w:color w:val="000000" w:themeColor="text1"/>
        </w:rPr>
        <w:t>-</w:t>
      </w:r>
      <w:r w:rsidR="00C634F8" w:rsidRPr="00374785">
        <w:rPr>
          <w:color w:val="000000" w:themeColor="text1"/>
        </w:rPr>
        <w:t>ground biomass, below</w:t>
      </w:r>
      <w:r w:rsidR="009265CD" w:rsidRPr="00374785">
        <w:rPr>
          <w:color w:val="000000" w:themeColor="text1"/>
        </w:rPr>
        <w:t>-</w:t>
      </w:r>
      <w:r w:rsidR="00C634F8" w:rsidRPr="00374785">
        <w:rPr>
          <w:color w:val="000000" w:themeColor="text1"/>
        </w:rPr>
        <w:t>ground biomass or debris</w:t>
      </w:r>
      <w:r w:rsidRPr="00374785">
        <w:rPr>
          <w:color w:val="000000" w:themeColor="text1"/>
        </w:rPr>
        <w:t>.</w:t>
      </w:r>
      <w:r w:rsidRPr="00374785">
        <w:rPr>
          <w:color w:val="76923C" w:themeColor="accent3" w:themeShade="BF"/>
        </w:rPr>
        <w:t xml:space="preserve"> </w:t>
      </w:r>
    </w:p>
    <w:p w:rsidR="002B60C7" w:rsidRPr="00374785" w:rsidRDefault="002B60C7" w:rsidP="002B60C7">
      <w:pPr>
        <w:pStyle w:val="tDefn"/>
        <w:rPr>
          <w:color w:val="000000" w:themeColor="text1"/>
        </w:rPr>
      </w:pPr>
      <w:r w:rsidRPr="00374785">
        <w:rPr>
          <w:b/>
          <w:i/>
          <w:color w:val="000000" w:themeColor="text1"/>
        </w:rPr>
        <w:t>carbon stock</w:t>
      </w:r>
      <w:r w:rsidRPr="00374785">
        <w:rPr>
          <w:color w:val="000000" w:themeColor="text1"/>
        </w:rPr>
        <w:t xml:space="preserve"> of an area of land, at a specified time, means the quantity of carbon held within the area at that time as:</w:t>
      </w:r>
    </w:p>
    <w:p w:rsidR="002B60C7" w:rsidRPr="00374785" w:rsidRDefault="002B60C7" w:rsidP="00C634F8">
      <w:pPr>
        <w:pStyle w:val="tPara"/>
        <w:numPr>
          <w:ilvl w:val="0"/>
          <w:numId w:val="22"/>
        </w:numPr>
        <w:ind w:left="1701"/>
        <w:rPr>
          <w:color w:val="000000" w:themeColor="text1"/>
        </w:rPr>
      </w:pPr>
      <w:r w:rsidRPr="00374785">
        <w:rPr>
          <w:color w:val="000000" w:themeColor="text1"/>
        </w:rPr>
        <w:t>above</w:t>
      </w:r>
      <w:r w:rsidR="009265CD" w:rsidRPr="00374785">
        <w:rPr>
          <w:color w:val="000000" w:themeColor="text1"/>
        </w:rPr>
        <w:t>-</w:t>
      </w:r>
      <w:r w:rsidRPr="00374785">
        <w:rPr>
          <w:color w:val="000000" w:themeColor="text1"/>
        </w:rPr>
        <w:t>ground biomass;</w:t>
      </w:r>
    </w:p>
    <w:p w:rsidR="00C634F8" w:rsidRPr="00374785" w:rsidRDefault="002B60C7" w:rsidP="00C634F8">
      <w:pPr>
        <w:pStyle w:val="tPara"/>
        <w:numPr>
          <w:ilvl w:val="0"/>
          <w:numId w:val="22"/>
        </w:numPr>
        <w:ind w:left="1701"/>
        <w:rPr>
          <w:color w:val="000000" w:themeColor="text1"/>
        </w:rPr>
      </w:pPr>
      <w:r w:rsidRPr="00374785">
        <w:rPr>
          <w:color w:val="000000" w:themeColor="text1"/>
        </w:rPr>
        <w:t>below</w:t>
      </w:r>
      <w:r w:rsidR="009265CD" w:rsidRPr="00374785">
        <w:rPr>
          <w:color w:val="000000" w:themeColor="text1"/>
        </w:rPr>
        <w:t>-</w:t>
      </w:r>
      <w:r w:rsidRPr="00374785">
        <w:rPr>
          <w:color w:val="000000" w:themeColor="text1"/>
        </w:rPr>
        <w:t>ground biomass; and</w:t>
      </w:r>
    </w:p>
    <w:p w:rsidR="002B60C7" w:rsidRPr="00374785" w:rsidRDefault="002B60C7" w:rsidP="00C634F8">
      <w:pPr>
        <w:pStyle w:val="tPara"/>
        <w:numPr>
          <w:ilvl w:val="0"/>
          <w:numId w:val="22"/>
        </w:numPr>
        <w:ind w:left="1701"/>
        <w:rPr>
          <w:color w:val="000000" w:themeColor="text1"/>
        </w:rPr>
      </w:pPr>
      <w:r w:rsidRPr="00374785">
        <w:rPr>
          <w:color w:val="000000" w:themeColor="text1"/>
        </w:rPr>
        <w:t>debris.</w:t>
      </w:r>
    </w:p>
    <w:p w:rsidR="002B60C7" w:rsidRPr="00374785" w:rsidRDefault="002B60C7" w:rsidP="002B60C7">
      <w:pPr>
        <w:pStyle w:val="tDefn"/>
        <w:rPr>
          <w:color w:val="000000" w:themeColor="text1"/>
        </w:rPr>
      </w:pPr>
      <w:r w:rsidRPr="00374785">
        <w:rPr>
          <w:b/>
          <w:i/>
          <w:color w:val="000000" w:themeColor="text1"/>
        </w:rPr>
        <w:t>carbon stock change</w:t>
      </w:r>
      <w:r w:rsidRPr="00374785">
        <w:rPr>
          <w:color w:val="000000" w:themeColor="text1"/>
        </w:rPr>
        <w:t xml:space="preserve"> means the change in </w:t>
      </w:r>
      <w:r w:rsidR="007447A1" w:rsidRPr="00374785">
        <w:rPr>
          <w:color w:val="000000" w:themeColor="text1"/>
        </w:rPr>
        <w:t xml:space="preserve">the </w:t>
      </w:r>
      <w:r w:rsidRPr="00374785">
        <w:rPr>
          <w:color w:val="000000" w:themeColor="text1"/>
        </w:rPr>
        <w:t>quantity of carbon stock over a specified</w:t>
      </w:r>
      <w:r w:rsidR="006A7AE4" w:rsidRPr="00374785">
        <w:rPr>
          <w:color w:val="000000" w:themeColor="text1"/>
        </w:rPr>
        <w:t xml:space="preserve"> time, </w:t>
      </w:r>
      <w:r w:rsidRPr="00374785">
        <w:rPr>
          <w:color w:val="000000" w:themeColor="text1"/>
        </w:rPr>
        <w:t>expressed in units of mass.</w:t>
      </w:r>
    </w:p>
    <w:p w:rsidR="002B60C7" w:rsidRPr="00374785" w:rsidRDefault="002B60C7" w:rsidP="002B60C7">
      <w:pPr>
        <w:pStyle w:val="tDefn"/>
      </w:pPr>
      <w:r w:rsidRPr="00374785">
        <w:rPr>
          <w:b/>
          <w:i/>
          <w:color w:val="000000" w:themeColor="text1"/>
        </w:rPr>
        <w:t xml:space="preserve">CFI Mapping Guidelines </w:t>
      </w:r>
      <w:r w:rsidRPr="00374785">
        <w:rPr>
          <w:color w:val="000000" w:themeColor="text1"/>
        </w:rPr>
        <w:t xml:space="preserve">means the guidelines of that name, as published from time to time on the Department’s </w:t>
      </w:r>
      <w:r w:rsidRPr="00374785">
        <w:t xml:space="preserve">website. </w:t>
      </w:r>
    </w:p>
    <w:p w:rsidR="002B60C7" w:rsidRPr="00374785" w:rsidRDefault="002B60C7" w:rsidP="002B60C7">
      <w:pPr>
        <w:pStyle w:val="tDefn"/>
      </w:pPr>
      <w:r w:rsidRPr="00374785">
        <w:rPr>
          <w:b/>
          <w:i/>
        </w:rPr>
        <w:t xml:space="preserve">CFI Mapping Tool </w:t>
      </w:r>
      <w:r w:rsidRPr="00374785">
        <w:t>means the online mapping tool of that name, as published from time to time on the Department’s website.</w:t>
      </w:r>
    </w:p>
    <w:p w:rsidR="002A55DB" w:rsidRPr="00374785" w:rsidRDefault="002A55DB" w:rsidP="002A55DB">
      <w:pPr>
        <w:pStyle w:val="tDefn"/>
        <w:rPr>
          <w:b/>
          <w:i/>
        </w:rPr>
      </w:pPr>
      <w:r w:rsidRPr="00374785">
        <w:rPr>
          <w:b/>
          <w:i/>
        </w:rPr>
        <w:t xml:space="preserve">CFI methodology determination </w:t>
      </w:r>
      <w:r w:rsidRPr="00374785">
        <w:t>means a legislative instrument made under section 106</w:t>
      </w:r>
      <w:r w:rsidR="00127901" w:rsidRPr="00374785">
        <w:t xml:space="preserve"> of the Act</w:t>
      </w:r>
      <w:r w:rsidRPr="00374785">
        <w:t xml:space="preserve"> or</w:t>
      </w:r>
      <w:r w:rsidR="00127901" w:rsidRPr="00374785">
        <w:t xml:space="preserve"> as</w:t>
      </w:r>
      <w:r w:rsidRPr="00374785">
        <w:t xml:space="preserve"> varied under section 114 of the Act.</w:t>
      </w:r>
    </w:p>
    <w:p w:rsidR="00D91BB6" w:rsidRPr="00374785" w:rsidRDefault="00D91BB6" w:rsidP="007447A1">
      <w:pPr>
        <w:pStyle w:val="tDefn"/>
      </w:pPr>
      <w:r w:rsidRPr="00374785">
        <w:rPr>
          <w:b/>
          <w:i/>
        </w:rPr>
        <w:t>CO</w:t>
      </w:r>
      <w:r w:rsidRPr="00374785">
        <w:rPr>
          <w:b/>
          <w:i/>
          <w:vertAlign w:val="subscript"/>
        </w:rPr>
        <w:t>2</w:t>
      </w:r>
      <w:r w:rsidRPr="00374785">
        <w:rPr>
          <w:b/>
          <w:i/>
        </w:rPr>
        <w:t xml:space="preserve">-e </w:t>
      </w:r>
      <w:r w:rsidRPr="00374785">
        <w:t>means carbon dioxide equivalent.</w:t>
      </w:r>
    </w:p>
    <w:p w:rsidR="007447A1" w:rsidRPr="00374785" w:rsidRDefault="007447A1" w:rsidP="007447A1">
      <w:pPr>
        <w:pStyle w:val="tDefn"/>
      </w:pPr>
      <w:r w:rsidRPr="00374785">
        <w:rPr>
          <w:b/>
          <w:i/>
        </w:rPr>
        <w:t xml:space="preserve">crown cover </w:t>
      </w:r>
      <w:r w:rsidRPr="00374785">
        <w:t xml:space="preserve">means the </w:t>
      </w:r>
      <w:r w:rsidR="005D572C" w:rsidRPr="00374785">
        <w:t xml:space="preserve">area </w:t>
      </w:r>
      <w:r w:rsidR="00A55C60" w:rsidRPr="00374785">
        <w:t xml:space="preserve">of land </w:t>
      </w:r>
      <w:r w:rsidR="005D572C" w:rsidRPr="00374785">
        <w:t xml:space="preserve">circumscribed </w:t>
      </w:r>
      <w:r w:rsidR="00A55C60" w:rsidRPr="00374785">
        <w:t>by the outer limits of the crown (viewed as a horizontal cross-section) of a tree, or collection of trees</w:t>
      </w:r>
      <w:r w:rsidRPr="00374785">
        <w:t>.</w:t>
      </w:r>
    </w:p>
    <w:p w:rsidR="002B60C7" w:rsidRPr="00374785" w:rsidRDefault="002B60C7" w:rsidP="002B60C7">
      <w:pPr>
        <w:pStyle w:val="tDefn"/>
      </w:pPr>
      <w:r w:rsidRPr="00374785">
        <w:rPr>
          <w:b/>
          <w:i/>
        </w:rPr>
        <w:t xml:space="preserve">debris </w:t>
      </w:r>
      <w:r w:rsidRPr="00374785">
        <w:t>means above</w:t>
      </w:r>
      <w:r w:rsidR="009265CD" w:rsidRPr="00374785">
        <w:t>-</w:t>
      </w:r>
      <w:r w:rsidRPr="00374785">
        <w:t>ground and below</w:t>
      </w:r>
      <w:r w:rsidR="009265CD" w:rsidRPr="00374785">
        <w:t>-</w:t>
      </w:r>
      <w:r w:rsidRPr="00374785">
        <w:t>ground dead plant material.</w:t>
      </w:r>
    </w:p>
    <w:p w:rsidR="002B60C7" w:rsidRPr="00374785" w:rsidRDefault="002B60C7" w:rsidP="002B60C7">
      <w:pPr>
        <w:pStyle w:val="tDefn"/>
        <w:rPr>
          <w:b/>
          <w:i/>
        </w:rPr>
      </w:pPr>
      <w:r w:rsidRPr="00374785">
        <w:rPr>
          <w:b/>
          <w:i/>
        </w:rPr>
        <w:t xml:space="preserve">declaration date </w:t>
      </w:r>
      <w:r w:rsidRPr="00374785">
        <w:t>means the date on which the declaration of a project as an eligible offsets project under section 27 of the Act takes effect.</w:t>
      </w:r>
      <w:r w:rsidRPr="00374785">
        <w:rPr>
          <w:b/>
          <w:i/>
        </w:rPr>
        <w:t xml:space="preserve"> </w:t>
      </w:r>
    </w:p>
    <w:p w:rsidR="002B60C7" w:rsidRPr="00374785" w:rsidRDefault="002B60C7" w:rsidP="002B60C7">
      <w:pPr>
        <w:pStyle w:val="notePara"/>
      </w:pPr>
      <w:r w:rsidRPr="00374785">
        <w:tab/>
      </w:r>
      <w:r w:rsidRPr="00374785">
        <w:rPr>
          <w:b/>
          <w:i/>
        </w:rPr>
        <w:t>Note</w:t>
      </w:r>
      <w:r w:rsidRPr="00374785">
        <w:tab/>
        <w:t>The declaration date is different from the planting date or modelling commencement date.</w:t>
      </w:r>
    </w:p>
    <w:p w:rsidR="002B60C7" w:rsidRPr="00374785" w:rsidRDefault="002B60C7" w:rsidP="0072606D">
      <w:pPr>
        <w:pStyle w:val="tDefn"/>
      </w:pPr>
      <w:r w:rsidRPr="00374785">
        <w:rPr>
          <w:b/>
          <w:i/>
        </w:rPr>
        <w:t>Department</w:t>
      </w:r>
      <w:r w:rsidRPr="00374785">
        <w:rPr>
          <w:rFonts w:ascii="Helvetica Neue" w:hAnsi="Helvetica Neue"/>
          <w:b/>
          <w:bCs/>
          <w:i/>
          <w:iCs/>
          <w:sz w:val="19"/>
          <w:szCs w:val="19"/>
        </w:rPr>
        <w:t xml:space="preserve"> </w:t>
      </w:r>
      <w:r w:rsidRPr="00374785">
        <w:t>means the department that administers the Act.</w:t>
      </w:r>
    </w:p>
    <w:p w:rsidR="002B60C7" w:rsidRPr="00374785" w:rsidRDefault="002B60C7" w:rsidP="002B60C7">
      <w:pPr>
        <w:pStyle w:val="tDefn"/>
        <w:rPr>
          <w:color w:val="000000" w:themeColor="text1"/>
        </w:rPr>
      </w:pPr>
      <w:r w:rsidRPr="00374785">
        <w:rPr>
          <w:b/>
          <w:i/>
          <w:color w:val="000000" w:themeColor="text1"/>
        </w:rPr>
        <w:t xml:space="preserve">disturbance event </w:t>
      </w:r>
      <w:r w:rsidRPr="00374785">
        <w:rPr>
          <w:color w:val="000000" w:themeColor="text1"/>
        </w:rPr>
        <w:t>means an event, whether natural or caused by humans, that affects the accumulation or loss of carbon stock within the greenhouse gas assessment boundary.</w:t>
      </w:r>
    </w:p>
    <w:p w:rsidR="006D2BDD" w:rsidRPr="00374785" w:rsidRDefault="002B60C7" w:rsidP="00437A75">
      <w:pPr>
        <w:pStyle w:val="tDefn"/>
        <w:rPr>
          <w:color w:val="000000" w:themeColor="text1"/>
        </w:rPr>
      </w:pPr>
      <w:r w:rsidRPr="00374785">
        <w:rPr>
          <w:b/>
          <w:i/>
          <w:color w:val="000000" w:themeColor="text1"/>
        </w:rPr>
        <w:t>domain group</w:t>
      </w:r>
      <w:r w:rsidRPr="00374785">
        <w:rPr>
          <w:color w:val="000000" w:themeColor="text1"/>
        </w:rPr>
        <w:t xml:space="preserve"> means </w:t>
      </w:r>
      <w:r w:rsidR="006A5BCF" w:rsidRPr="00374785">
        <w:rPr>
          <w:color w:val="000000" w:themeColor="text1"/>
        </w:rPr>
        <w:t>a</w:t>
      </w:r>
      <w:r w:rsidRPr="00374785">
        <w:rPr>
          <w:color w:val="000000" w:themeColor="text1"/>
        </w:rPr>
        <w:t xml:space="preserve"> </w:t>
      </w:r>
      <w:r w:rsidR="00437A75" w:rsidRPr="00374785">
        <w:rPr>
          <w:color w:val="000000" w:themeColor="text1"/>
        </w:rPr>
        <w:t>set of</w:t>
      </w:r>
      <w:r w:rsidR="006D2BDD" w:rsidRPr="00374785">
        <w:rPr>
          <w:color w:val="000000" w:themeColor="text1"/>
        </w:rPr>
        <w:t>:</w:t>
      </w:r>
    </w:p>
    <w:p w:rsidR="006D2BDD" w:rsidRPr="00374785" w:rsidRDefault="006D2BDD" w:rsidP="006D2BDD">
      <w:pPr>
        <w:pStyle w:val="tPara"/>
      </w:pPr>
      <w:r w:rsidRPr="00374785">
        <w:tab/>
        <w:t>(a)</w:t>
      </w:r>
      <w:r w:rsidRPr="00374785">
        <w:tab/>
      </w:r>
      <w:r w:rsidR="001039B9" w:rsidRPr="00374785">
        <w:t>planting</w:t>
      </w:r>
      <w:r w:rsidRPr="00374785">
        <w:t xml:space="preserve"> </w:t>
      </w:r>
      <w:r w:rsidR="001039B9" w:rsidRPr="00374785">
        <w:t>types</w:t>
      </w:r>
      <w:r w:rsidRPr="00374785">
        <w:t xml:space="preserve">—see </w:t>
      </w:r>
      <w:r w:rsidR="006A5BCF" w:rsidRPr="00374785">
        <w:t>Division 3.3</w:t>
      </w:r>
      <w:r w:rsidR="00430742" w:rsidRPr="00374785">
        <w:t>;</w:t>
      </w:r>
      <w:r w:rsidR="001039B9" w:rsidRPr="00374785">
        <w:t xml:space="preserve"> </w:t>
      </w:r>
    </w:p>
    <w:p w:rsidR="006D2BDD" w:rsidRPr="00374785" w:rsidRDefault="006D2BDD" w:rsidP="006D2BDD">
      <w:pPr>
        <w:pStyle w:val="tPara"/>
      </w:pPr>
      <w:r w:rsidRPr="00374785">
        <w:tab/>
        <w:t>(b)</w:t>
      </w:r>
      <w:r w:rsidRPr="00374785">
        <w:tab/>
        <w:t xml:space="preserve">planting </w:t>
      </w:r>
      <w:r w:rsidR="00437A75" w:rsidRPr="00374785">
        <w:t>geometries</w:t>
      </w:r>
      <w:r w:rsidRPr="00374785">
        <w:t xml:space="preserve">—see </w:t>
      </w:r>
      <w:r w:rsidR="006A5BCF" w:rsidRPr="00374785">
        <w:t>Division 3.4</w:t>
      </w:r>
      <w:r w:rsidR="00430742" w:rsidRPr="00374785">
        <w:t>;</w:t>
      </w:r>
      <w:r w:rsidRPr="00374785">
        <w:t xml:space="preserve"> </w:t>
      </w:r>
    </w:p>
    <w:p w:rsidR="006D2BDD" w:rsidRPr="00374785" w:rsidRDefault="006D2BDD" w:rsidP="006D2BDD">
      <w:pPr>
        <w:pStyle w:val="tPara"/>
      </w:pPr>
      <w:r w:rsidRPr="00374785">
        <w:tab/>
        <w:t>(c)</w:t>
      </w:r>
      <w:r w:rsidRPr="00374785">
        <w:tab/>
        <w:t xml:space="preserve">planting </w:t>
      </w:r>
      <w:r w:rsidR="00430742" w:rsidRPr="00374785">
        <w:t>spacing</w:t>
      </w:r>
      <w:r w:rsidRPr="00374785">
        <w:t xml:space="preserve">—see </w:t>
      </w:r>
      <w:r w:rsidR="00633EAB" w:rsidRPr="00374785">
        <w:t>Division 3.4</w:t>
      </w:r>
      <w:r w:rsidRPr="00374785">
        <w:t>; and</w:t>
      </w:r>
    </w:p>
    <w:p w:rsidR="006D2BDD" w:rsidRPr="00374785" w:rsidRDefault="006D2BDD" w:rsidP="006D2BDD">
      <w:pPr>
        <w:pStyle w:val="tPara"/>
        <w:rPr>
          <w:color w:val="000000" w:themeColor="text1"/>
        </w:rPr>
      </w:pPr>
      <w:r w:rsidRPr="00374785">
        <w:rPr>
          <w:color w:val="000000" w:themeColor="text1"/>
        </w:rPr>
        <w:tab/>
        <w:t>(d)</w:t>
      </w:r>
      <w:r w:rsidRPr="00374785">
        <w:rPr>
          <w:color w:val="000000" w:themeColor="text1"/>
        </w:rPr>
        <w:tab/>
        <w:t xml:space="preserve">if relevant, </w:t>
      </w:r>
      <w:r w:rsidRPr="00374785">
        <w:rPr>
          <w:rFonts w:eastAsiaTheme="minorHAnsi"/>
        </w:rPr>
        <w:t>stocking density and tree proportion</w:t>
      </w:r>
      <w:r w:rsidRPr="00374785">
        <w:t xml:space="preserve">—see </w:t>
      </w:r>
      <w:r w:rsidR="00633EAB" w:rsidRPr="00374785">
        <w:t>Division 3.5</w:t>
      </w:r>
      <w:r w:rsidRPr="00374785">
        <w:rPr>
          <w:rFonts w:eastAsiaTheme="minorHAnsi"/>
        </w:rPr>
        <w:t>;</w:t>
      </w:r>
      <w:r w:rsidR="00437A75" w:rsidRPr="00374785">
        <w:rPr>
          <w:color w:val="000000" w:themeColor="text1"/>
        </w:rPr>
        <w:t xml:space="preserve"> </w:t>
      </w:r>
    </w:p>
    <w:p w:rsidR="00437A75" w:rsidRPr="00374785" w:rsidRDefault="00437A75" w:rsidP="00437A75">
      <w:pPr>
        <w:pStyle w:val="tDefn"/>
        <w:rPr>
          <w:color w:val="000000" w:themeColor="text1"/>
        </w:rPr>
      </w:pPr>
      <w:r w:rsidRPr="00374785">
        <w:rPr>
          <w:color w:val="000000" w:themeColor="text1"/>
        </w:rPr>
        <w:t xml:space="preserve">that </w:t>
      </w:r>
      <w:r w:rsidR="00430742" w:rsidRPr="00374785">
        <w:rPr>
          <w:color w:val="000000" w:themeColor="text1"/>
        </w:rPr>
        <w:t>taken together define</w:t>
      </w:r>
      <w:r w:rsidR="007E271B" w:rsidRPr="00374785">
        <w:rPr>
          <w:color w:val="000000" w:themeColor="text1"/>
        </w:rPr>
        <w:t xml:space="preserve"> the </w:t>
      </w:r>
      <w:r w:rsidR="009F0DF4" w:rsidRPr="00374785">
        <w:rPr>
          <w:color w:val="000000" w:themeColor="text1"/>
        </w:rPr>
        <w:t xml:space="preserve">requirements </w:t>
      </w:r>
      <w:r w:rsidR="007E271B" w:rsidRPr="00374785">
        <w:rPr>
          <w:color w:val="000000" w:themeColor="text1"/>
        </w:rPr>
        <w:t>under which</w:t>
      </w:r>
      <w:r w:rsidR="00430742" w:rsidRPr="00374785">
        <w:rPr>
          <w:color w:val="000000" w:themeColor="text1"/>
        </w:rPr>
        <w:t xml:space="preserve"> </w:t>
      </w:r>
      <w:r w:rsidRPr="00374785">
        <w:rPr>
          <w:color w:val="000000" w:themeColor="text1"/>
        </w:rPr>
        <w:t xml:space="preserve">a </w:t>
      </w:r>
      <w:r w:rsidR="009F0DF4" w:rsidRPr="00374785">
        <w:rPr>
          <w:color w:val="000000" w:themeColor="text1"/>
        </w:rPr>
        <w:t xml:space="preserve">particular </w:t>
      </w:r>
      <w:r w:rsidRPr="00374785">
        <w:rPr>
          <w:color w:val="000000" w:themeColor="text1"/>
        </w:rPr>
        <w:t>calibration</w:t>
      </w:r>
      <w:r w:rsidR="007E271B" w:rsidRPr="00374785">
        <w:rPr>
          <w:color w:val="000000" w:themeColor="text1"/>
        </w:rPr>
        <w:t xml:space="preserve"> may be applied</w:t>
      </w:r>
      <w:r w:rsidR="00A53D0F" w:rsidRPr="00374785">
        <w:rPr>
          <w:color w:val="000000" w:themeColor="text1"/>
        </w:rPr>
        <w:t>.</w:t>
      </w:r>
    </w:p>
    <w:p w:rsidR="002B60C7" w:rsidRPr="00374785" w:rsidRDefault="00836065" w:rsidP="002B60C7">
      <w:pPr>
        <w:pStyle w:val="tDefn"/>
        <w:rPr>
          <w:color w:val="000000" w:themeColor="text1"/>
        </w:rPr>
      </w:pPr>
      <w:r w:rsidRPr="00374785">
        <w:rPr>
          <w:b/>
          <w:i/>
          <w:color w:val="000000" w:themeColor="text1"/>
        </w:rPr>
        <w:t>establishment</w:t>
      </w:r>
      <w:r w:rsidRPr="00374785">
        <w:rPr>
          <w:color w:val="000000" w:themeColor="text1"/>
        </w:rPr>
        <w:t xml:space="preserve"> means the act of establishing a mixed-species environmental planting or mallee planting and as a minimum involves the planting of species eligible under this Determination.</w:t>
      </w:r>
    </w:p>
    <w:p w:rsidR="002B60C7" w:rsidRPr="00374785" w:rsidRDefault="002B60C7" w:rsidP="003437A7">
      <w:pPr>
        <w:pStyle w:val="tDefn"/>
      </w:pPr>
      <w:r w:rsidRPr="00374785">
        <w:rPr>
          <w:b/>
          <w:i/>
          <w:color w:val="000000" w:themeColor="text1"/>
        </w:rPr>
        <w:lastRenderedPageBreak/>
        <w:t>exclusion area</w:t>
      </w:r>
      <w:r w:rsidRPr="00374785">
        <w:t xml:space="preserve"> has the meaning given by section 3.</w:t>
      </w:r>
      <w:r w:rsidR="006A7AE4" w:rsidRPr="00374785">
        <w:t>7</w:t>
      </w:r>
      <w:r w:rsidRPr="00374785">
        <w:t>.</w:t>
      </w:r>
    </w:p>
    <w:p w:rsidR="002B60C7" w:rsidRPr="00374785" w:rsidRDefault="002B60C7" w:rsidP="002B60C7">
      <w:pPr>
        <w:pStyle w:val="tDefn"/>
        <w:rPr>
          <w:color w:val="000000" w:themeColor="text1"/>
        </w:rPr>
      </w:pPr>
      <w:r w:rsidRPr="00374785">
        <w:rPr>
          <w:b/>
          <w:i/>
          <w:color w:val="000000" w:themeColor="text1"/>
        </w:rPr>
        <w:t>forest</w:t>
      </w:r>
      <w:r w:rsidRPr="00374785">
        <w:rPr>
          <w:color w:val="000000" w:themeColor="text1"/>
        </w:rPr>
        <w:t xml:space="preserve"> has the meaning given in the Regulations.</w:t>
      </w:r>
    </w:p>
    <w:p w:rsidR="002B60C7" w:rsidRPr="00374785" w:rsidRDefault="002B60C7" w:rsidP="0093622B">
      <w:pPr>
        <w:pStyle w:val="tDefn"/>
        <w:rPr>
          <w:color w:val="000000" w:themeColor="text1"/>
        </w:rPr>
      </w:pPr>
      <w:r w:rsidRPr="00374785">
        <w:rPr>
          <w:b/>
          <w:i/>
          <w:color w:val="000000" w:themeColor="text1"/>
        </w:rPr>
        <w:t>forest cover</w:t>
      </w:r>
      <w:r w:rsidRPr="00374785">
        <w:rPr>
          <w:color w:val="000000" w:themeColor="text1"/>
        </w:rPr>
        <w:t xml:space="preserve">—land has </w:t>
      </w:r>
      <w:r w:rsidRPr="00374785">
        <w:rPr>
          <w:b/>
          <w:i/>
          <w:color w:val="000000" w:themeColor="text1"/>
        </w:rPr>
        <w:t>forest cover</w:t>
      </w:r>
      <w:r w:rsidRPr="00374785">
        <w:rPr>
          <w:color w:val="000000" w:themeColor="text1"/>
        </w:rPr>
        <w:t xml:space="preserve"> if</w:t>
      </w:r>
      <w:r w:rsidR="0093622B" w:rsidRPr="00374785">
        <w:rPr>
          <w:color w:val="000000" w:themeColor="text1"/>
        </w:rPr>
        <w:t xml:space="preserve"> </w:t>
      </w:r>
      <w:r w:rsidRPr="00374785">
        <w:rPr>
          <w:color w:val="000000" w:themeColor="text1"/>
        </w:rPr>
        <w:t>the vegetation on the land includes trees that:</w:t>
      </w:r>
    </w:p>
    <w:p w:rsidR="002B60C7" w:rsidRPr="00374785" w:rsidRDefault="002B60C7" w:rsidP="0093622B">
      <w:pPr>
        <w:pStyle w:val="tSubpara"/>
        <w:numPr>
          <w:ilvl w:val="0"/>
          <w:numId w:val="23"/>
        </w:numPr>
        <w:ind w:left="1701"/>
        <w:rPr>
          <w:color w:val="000000" w:themeColor="text1"/>
        </w:rPr>
      </w:pPr>
      <w:r w:rsidRPr="00374785">
        <w:rPr>
          <w:color w:val="000000" w:themeColor="text1"/>
        </w:rPr>
        <w:t>are 2 metres or more in height; and</w:t>
      </w:r>
    </w:p>
    <w:p w:rsidR="002B60C7" w:rsidRPr="00374785" w:rsidRDefault="002B60C7" w:rsidP="0093622B">
      <w:pPr>
        <w:pStyle w:val="tSubpara"/>
        <w:numPr>
          <w:ilvl w:val="0"/>
          <w:numId w:val="23"/>
        </w:numPr>
        <w:ind w:left="1701"/>
        <w:rPr>
          <w:color w:val="000000" w:themeColor="text1"/>
        </w:rPr>
      </w:pPr>
      <w:r w:rsidRPr="00374785">
        <w:rPr>
          <w:color w:val="000000" w:themeColor="text1"/>
        </w:rPr>
        <w:t xml:space="preserve">provide crown cover of at least 20% of the land. </w:t>
      </w:r>
    </w:p>
    <w:p w:rsidR="002B60C7" w:rsidRPr="00374785" w:rsidRDefault="002B60C7" w:rsidP="002B60C7">
      <w:pPr>
        <w:pStyle w:val="tDefn"/>
        <w:rPr>
          <w:color w:val="000000" w:themeColor="text1"/>
        </w:rPr>
      </w:pPr>
      <w:r w:rsidRPr="00374785">
        <w:rPr>
          <w:b/>
          <w:i/>
          <w:color w:val="000000" w:themeColor="text1"/>
        </w:rPr>
        <w:t>forest potential</w:t>
      </w:r>
      <w:r w:rsidRPr="00374785">
        <w:rPr>
          <w:color w:val="000000" w:themeColor="text1"/>
        </w:rPr>
        <w:t xml:space="preserve">—land has </w:t>
      </w:r>
      <w:r w:rsidRPr="00374785">
        <w:rPr>
          <w:b/>
          <w:i/>
          <w:color w:val="000000" w:themeColor="text1"/>
        </w:rPr>
        <w:t>forest potential</w:t>
      </w:r>
      <w:r w:rsidRPr="00374785">
        <w:rPr>
          <w:color w:val="000000" w:themeColor="text1"/>
        </w:rPr>
        <w:t xml:space="preserve"> if: </w:t>
      </w:r>
    </w:p>
    <w:p w:rsidR="002B60C7" w:rsidRPr="00374785" w:rsidRDefault="002B60C7" w:rsidP="00591AA5">
      <w:pPr>
        <w:pStyle w:val="tPara"/>
        <w:numPr>
          <w:ilvl w:val="0"/>
          <w:numId w:val="2"/>
        </w:numPr>
        <w:ind w:left="1701"/>
        <w:rPr>
          <w:color w:val="000000" w:themeColor="text1"/>
        </w:rPr>
      </w:pPr>
      <w:r w:rsidRPr="00374785">
        <w:rPr>
          <w:color w:val="000000" w:themeColor="text1"/>
        </w:rPr>
        <w:t>the land has an area of at least 0.2 hectare</w:t>
      </w:r>
      <w:r w:rsidR="000E6CA0" w:rsidRPr="00374785">
        <w:rPr>
          <w:color w:val="000000" w:themeColor="text1"/>
        </w:rPr>
        <w:t>s</w:t>
      </w:r>
      <w:r w:rsidRPr="00374785">
        <w:rPr>
          <w:color w:val="000000" w:themeColor="text1"/>
        </w:rPr>
        <w:t xml:space="preserve">; and </w:t>
      </w:r>
    </w:p>
    <w:p w:rsidR="002B60C7" w:rsidRPr="00374785" w:rsidRDefault="002B60C7" w:rsidP="00591AA5">
      <w:pPr>
        <w:pStyle w:val="tPara"/>
        <w:numPr>
          <w:ilvl w:val="0"/>
          <w:numId w:val="2"/>
        </w:numPr>
        <w:ind w:left="1701"/>
        <w:rPr>
          <w:color w:val="000000" w:themeColor="text1"/>
        </w:rPr>
      </w:pPr>
      <w:r w:rsidRPr="00374785">
        <w:rPr>
          <w:color w:val="000000" w:themeColor="text1"/>
        </w:rPr>
        <w:t>the vegetation on the land includes trees that have the potential:</w:t>
      </w:r>
    </w:p>
    <w:p w:rsidR="002B60C7" w:rsidRPr="00374785" w:rsidRDefault="002B60C7" w:rsidP="002B60C7">
      <w:pPr>
        <w:pStyle w:val="tSubpara"/>
        <w:rPr>
          <w:color w:val="000000" w:themeColor="text1"/>
        </w:rPr>
      </w:pPr>
      <w:r w:rsidRPr="00374785">
        <w:rPr>
          <w:color w:val="000000" w:themeColor="text1"/>
        </w:rPr>
        <w:tab/>
        <w:t>(i)</w:t>
      </w:r>
      <w:r w:rsidRPr="00374785">
        <w:rPr>
          <w:color w:val="000000" w:themeColor="text1"/>
        </w:rPr>
        <w:tab/>
        <w:t>to reach 2 metres or more in height; and</w:t>
      </w:r>
    </w:p>
    <w:p w:rsidR="002B60C7" w:rsidRPr="00374785" w:rsidRDefault="002B60C7" w:rsidP="002B60C7">
      <w:pPr>
        <w:pStyle w:val="tSubpara"/>
        <w:rPr>
          <w:color w:val="000000" w:themeColor="text1"/>
        </w:rPr>
      </w:pPr>
      <w:r w:rsidRPr="00374785">
        <w:rPr>
          <w:color w:val="000000" w:themeColor="text1"/>
        </w:rPr>
        <w:tab/>
        <w:t>(ii)</w:t>
      </w:r>
      <w:r w:rsidRPr="00374785">
        <w:rPr>
          <w:color w:val="000000" w:themeColor="text1"/>
        </w:rPr>
        <w:tab/>
        <w:t>to provide crown cover of at least 20% of the land.</w:t>
      </w:r>
    </w:p>
    <w:p w:rsidR="002B60C7" w:rsidRPr="00374785" w:rsidRDefault="002B60C7" w:rsidP="002B60C7">
      <w:pPr>
        <w:pStyle w:val="tDefn"/>
        <w:rPr>
          <w:color w:val="000000" w:themeColor="text1"/>
        </w:rPr>
      </w:pPr>
      <w:r w:rsidRPr="00374785">
        <w:rPr>
          <w:b/>
          <w:i/>
          <w:color w:val="000000" w:themeColor="text1"/>
        </w:rPr>
        <w:t>fuel emissions</w:t>
      </w:r>
      <w:r w:rsidRPr="00374785">
        <w:rPr>
          <w:color w:val="000000" w:themeColor="text1"/>
        </w:rPr>
        <w:t xml:space="preserve"> means emissions of carbon dioxide (CO</w:t>
      </w:r>
      <w:r w:rsidRPr="00374785">
        <w:rPr>
          <w:color w:val="000000" w:themeColor="text1"/>
          <w:vertAlign w:val="subscript"/>
        </w:rPr>
        <w:t>2</w:t>
      </w:r>
      <w:r w:rsidRPr="00374785">
        <w:rPr>
          <w:color w:val="000000" w:themeColor="text1"/>
        </w:rPr>
        <w:t>), nitrous oxide (N</w:t>
      </w:r>
      <w:r w:rsidRPr="00374785">
        <w:rPr>
          <w:color w:val="000000" w:themeColor="text1"/>
          <w:vertAlign w:val="subscript"/>
        </w:rPr>
        <w:t>2</w:t>
      </w:r>
      <w:r w:rsidRPr="00374785">
        <w:rPr>
          <w:color w:val="000000" w:themeColor="text1"/>
        </w:rPr>
        <w:t>O), or methane (CH</w:t>
      </w:r>
      <w:r w:rsidRPr="00374785">
        <w:rPr>
          <w:color w:val="000000" w:themeColor="text1"/>
          <w:vertAlign w:val="subscript"/>
        </w:rPr>
        <w:t>4</w:t>
      </w:r>
      <w:r w:rsidRPr="00374785">
        <w:rPr>
          <w:color w:val="000000" w:themeColor="text1"/>
        </w:rPr>
        <w:t>) arising from fossil fuel use in implementing the project mechanism.</w:t>
      </w:r>
    </w:p>
    <w:p w:rsidR="002B60C7" w:rsidRPr="00374785" w:rsidRDefault="002B60C7" w:rsidP="002B60C7">
      <w:pPr>
        <w:pStyle w:val="tDefn"/>
      </w:pPr>
      <w:r w:rsidRPr="00374785">
        <w:rPr>
          <w:b/>
          <w:i/>
          <w:color w:val="000000" w:themeColor="text1"/>
        </w:rPr>
        <w:t>FullCAM</w:t>
      </w:r>
      <w:r w:rsidRPr="00374785">
        <w:rPr>
          <w:color w:val="000000" w:themeColor="text1"/>
        </w:rPr>
        <w:t xml:space="preserve"> means the latest version </w:t>
      </w:r>
      <w:r w:rsidR="000E6CA0" w:rsidRPr="00374785">
        <w:rPr>
          <w:color w:val="000000" w:themeColor="text1"/>
        </w:rPr>
        <w:t xml:space="preserve">of the Full Carbon Accounting </w:t>
      </w:r>
      <w:r w:rsidR="00995230" w:rsidRPr="00374785">
        <w:t>Model</w:t>
      </w:r>
      <w:r w:rsidR="00995230" w:rsidRPr="00374785">
        <w:rPr>
          <w:color w:val="000000" w:themeColor="text1"/>
        </w:rPr>
        <w:t xml:space="preserve"> as</w:t>
      </w:r>
      <w:r w:rsidR="000E6CA0" w:rsidRPr="00374785">
        <w:rPr>
          <w:color w:val="000000" w:themeColor="text1"/>
        </w:rPr>
        <w:t xml:space="preserve"> released </w:t>
      </w:r>
      <w:r w:rsidRPr="00374785">
        <w:rPr>
          <w:color w:val="000000" w:themeColor="text1"/>
        </w:rPr>
        <w:t>on the Department’s website</w:t>
      </w:r>
      <w:r w:rsidRPr="00374785">
        <w:t>.</w:t>
      </w:r>
    </w:p>
    <w:p w:rsidR="002B60C7" w:rsidRPr="00374785" w:rsidRDefault="002B60C7" w:rsidP="002B60C7">
      <w:pPr>
        <w:pStyle w:val="tDefn"/>
        <w:rPr>
          <w:color w:val="000000" w:themeColor="text1"/>
        </w:rPr>
      </w:pPr>
      <w:r w:rsidRPr="00374785">
        <w:rPr>
          <w:b/>
          <w:i/>
          <w:color w:val="000000" w:themeColor="text1"/>
        </w:rPr>
        <w:t xml:space="preserve">FullCAM Guidelines </w:t>
      </w:r>
      <w:r w:rsidRPr="00374785">
        <w:rPr>
          <w:color w:val="000000" w:themeColor="text1"/>
        </w:rPr>
        <w:t xml:space="preserve">means the </w:t>
      </w:r>
      <w:r w:rsidR="004C5C07" w:rsidRPr="00374785">
        <w:rPr>
          <w:color w:val="000000" w:themeColor="text1"/>
        </w:rPr>
        <w:t>guidance</w:t>
      </w:r>
      <w:r w:rsidR="003437A7" w:rsidRPr="00374785">
        <w:rPr>
          <w:color w:val="000000" w:themeColor="text1"/>
        </w:rPr>
        <w:t xml:space="preserve"> for u</w:t>
      </w:r>
      <w:r w:rsidRPr="00374785">
        <w:rPr>
          <w:color w:val="000000" w:themeColor="text1"/>
        </w:rPr>
        <w:t xml:space="preserve">sing </w:t>
      </w:r>
      <w:r w:rsidR="006A7AE4" w:rsidRPr="00374785">
        <w:rPr>
          <w:color w:val="000000" w:themeColor="text1"/>
        </w:rPr>
        <w:t>FullCAM</w:t>
      </w:r>
      <w:r w:rsidRPr="00374785">
        <w:rPr>
          <w:color w:val="000000" w:themeColor="text1"/>
        </w:rPr>
        <w:t xml:space="preserve"> </w:t>
      </w:r>
      <w:r w:rsidR="004C5C07" w:rsidRPr="00374785">
        <w:rPr>
          <w:color w:val="000000" w:themeColor="text1"/>
        </w:rPr>
        <w:t>for this Determination</w:t>
      </w:r>
      <w:r w:rsidRPr="00374785">
        <w:rPr>
          <w:color w:val="000000" w:themeColor="text1"/>
        </w:rPr>
        <w:t>, as published from time to time on the Department’s website.</w:t>
      </w:r>
    </w:p>
    <w:p w:rsidR="00FE1E83" w:rsidRPr="00374785" w:rsidRDefault="00836065" w:rsidP="00FE1E83">
      <w:pPr>
        <w:pStyle w:val="tDefn"/>
        <w:rPr>
          <w:color w:val="000000" w:themeColor="text1"/>
        </w:rPr>
      </w:pPr>
      <w:r w:rsidRPr="00374785">
        <w:rPr>
          <w:b/>
          <w:i/>
          <w:color w:val="000000" w:themeColor="text1"/>
        </w:rPr>
        <w:t xml:space="preserve">generic calibration </w:t>
      </w:r>
      <w:r w:rsidRPr="00374785">
        <w:rPr>
          <w:color w:val="000000" w:themeColor="text1"/>
        </w:rPr>
        <w:t>means</w:t>
      </w:r>
      <w:r w:rsidRPr="00374785">
        <w:rPr>
          <w:b/>
          <w:i/>
          <w:color w:val="000000" w:themeColor="text1"/>
        </w:rPr>
        <w:t xml:space="preserve"> </w:t>
      </w:r>
      <w:r w:rsidRPr="00374785">
        <w:rPr>
          <w:color w:val="000000" w:themeColor="text1"/>
        </w:rPr>
        <w:t>the ‘mixed-species environmental planting’ setting used in FullCAM.</w:t>
      </w:r>
      <w:r w:rsidR="0049625E" w:rsidRPr="00374785">
        <w:rPr>
          <w:color w:val="000000" w:themeColor="text1"/>
        </w:rPr>
        <w:t xml:space="preserve"> </w:t>
      </w:r>
    </w:p>
    <w:p w:rsidR="002B60C7" w:rsidRPr="00374785" w:rsidRDefault="002B60C7" w:rsidP="002B60C7">
      <w:pPr>
        <w:pStyle w:val="tDefn"/>
        <w:rPr>
          <w:color w:val="000000" w:themeColor="text1"/>
        </w:rPr>
      </w:pPr>
      <w:r w:rsidRPr="00374785">
        <w:rPr>
          <w:b/>
          <w:i/>
          <w:color w:val="000000" w:themeColor="text1"/>
        </w:rPr>
        <w:t>GIS</w:t>
      </w:r>
      <w:r w:rsidRPr="00374785">
        <w:rPr>
          <w:b/>
          <w:i/>
          <w:color w:val="76923C" w:themeColor="accent3" w:themeShade="BF"/>
        </w:rPr>
        <w:t xml:space="preserve"> </w:t>
      </w:r>
      <w:r w:rsidRPr="00374785">
        <w:rPr>
          <w:color w:val="000000" w:themeColor="text1"/>
        </w:rPr>
        <w:t>means a geographic information system designed to capture, store, manipulate, analyse, manage, and present all types of geographical data.</w:t>
      </w:r>
    </w:p>
    <w:p w:rsidR="002B60C7" w:rsidRPr="00374785" w:rsidRDefault="002B60C7" w:rsidP="002B60C7">
      <w:pPr>
        <w:pStyle w:val="tDefn"/>
        <w:rPr>
          <w:color w:val="000000" w:themeColor="text1"/>
        </w:rPr>
      </w:pPr>
      <w:r w:rsidRPr="00374785">
        <w:rPr>
          <w:b/>
          <w:i/>
          <w:color w:val="000000" w:themeColor="text1"/>
        </w:rPr>
        <w:t>initial carbon stock</w:t>
      </w:r>
      <w:r w:rsidRPr="00374785">
        <w:rPr>
          <w:color w:val="000000" w:themeColor="text1"/>
        </w:rPr>
        <w:t xml:space="preserve"> means carbon stock existing at the declaration date.</w:t>
      </w:r>
    </w:p>
    <w:p w:rsidR="00655507" w:rsidRPr="00374785" w:rsidRDefault="00655507" w:rsidP="00655507">
      <w:pPr>
        <w:pStyle w:val="tDefn"/>
      </w:pPr>
      <w:r w:rsidRPr="00374785">
        <w:rPr>
          <w:b/>
          <w:i/>
        </w:rPr>
        <w:t>intended plot location</w:t>
      </w:r>
      <w:r w:rsidRPr="00374785">
        <w:t xml:space="preserve"> means the spatial coordinates for a randomly</w:t>
      </w:r>
      <w:r w:rsidR="000E6CA0" w:rsidRPr="00374785">
        <w:t>-</w:t>
      </w:r>
      <w:r w:rsidRPr="00374785">
        <w:t xml:space="preserve">selected </w:t>
      </w:r>
      <w:r w:rsidR="00394696" w:rsidRPr="00374785">
        <w:t xml:space="preserve">grid </w:t>
      </w:r>
      <w:r w:rsidRPr="00374785">
        <w:t xml:space="preserve">intersect from a GIS overlay used to </w:t>
      </w:r>
      <w:r w:rsidR="002505C2" w:rsidRPr="00374785">
        <w:t>define</w:t>
      </w:r>
      <w:r w:rsidRPr="00374785">
        <w:t xml:space="preserve"> the proposed location of plots</w:t>
      </w:r>
      <w:r w:rsidR="00394696" w:rsidRPr="00374785">
        <w:t>—see section 3.30</w:t>
      </w:r>
      <w:r w:rsidRPr="00374785">
        <w:t>.</w:t>
      </w:r>
    </w:p>
    <w:p w:rsidR="00EB526B" w:rsidRPr="00374785" w:rsidRDefault="00EB526B" w:rsidP="002B60C7">
      <w:pPr>
        <w:pStyle w:val="tDefn"/>
      </w:pPr>
      <w:r w:rsidRPr="00374785">
        <w:rPr>
          <w:b/>
          <w:i/>
        </w:rPr>
        <w:t>land management regime</w:t>
      </w:r>
      <w:r w:rsidRPr="00374785">
        <w:t xml:space="preserve"> means </w:t>
      </w:r>
      <w:r w:rsidR="006404E0" w:rsidRPr="00374785">
        <w:t>the</w:t>
      </w:r>
      <w:r w:rsidRPr="00374785">
        <w:t xml:space="preserve"> set of actions including:</w:t>
      </w:r>
    </w:p>
    <w:p w:rsidR="00EB526B" w:rsidRPr="00374785" w:rsidRDefault="003B0872" w:rsidP="003B0872">
      <w:pPr>
        <w:pStyle w:val="tPara"/>
      </w:pPr>
      <w:r w:rsidRPr="00374785">
        <w:tab/>
        <w:t>(a)</w:t>
      </w:r>
      <w:r w:rsidRPr="00374785">
        <w:tab/>
      </w:r>
      <w:r w:rsidR="00EB526B" w:rsidRPr="00374785">
        <w:t>preparation prior to planting;</w:t>
      </w:r>
    </w:p>
    <w:p w:rsidR="00EB526B" w:rsidRPr="00374785" w:rsidRDefault="003B0872" w:rsidP="003B0872">
      <w:pPr>
        <w:pStyle w:val="tPara"/>
      </w:pPr>
      <w:r w:rsidRPr="00374785">
        <w:tab/>
        <w:t>(b)</w:t>
      </w:r>
      <w:r w:rsidRPr="00374785">
        <w:tab/>
      </w:r>
      <w:r w:rsidR="00EB526B" w:rsidRPr="00374785">
        <w:t>planting;</w:t>
      </w:r>
    </w:p>
    <w:p w:rsidR="00EB526B" w:rsidRPr="00374785" w:rsidRDefault="003B0872" w:rsidP="003B0872">
      <w:pPr>
        <w:pStyle w:val="tPara"/>
      </w:pPr>
      <w:r w:rsidRPr="00374785">
        <w:tab/>
        <w:t>(c)</w:t>
      </w:r>
      <w:r w:rsidRPr="00374785">
        <w:tab/>
      </w:r>
      <w:r w:rsidR="00EB526B" w:rsidRPr="00374785">
        <w:t>thinning;</w:t>
      </w:r>
    </w:p>
    <w:p w:rsidR="00EB526B" w:rsidRPr="00374785" w:rsidRDefault="003B0872" w:rsidP="003B0872">
      <w:pPr>
        <w:pStyle w:val="tPara"/>
      </w:pPr>
      <w:r w:rsidRPr="00374785">
        <w:tab/>
        <w:t>(d)</w:t>
      </w:r>
      <w:r w:rsidRPr="00374785">
        <w:tab/>
      </w:r>
      <w:r w:rsidR="00EB526B" w:rsidRPr="00374785">
        <w:t>weed control treatment; and</w:t>
      </w:r>
    </w:p>
    <w:p w:rsidR="00EB526B" w:rsidRPr="00374785" w:rsidRDefault="003B0872" w:rsidP="003B0872">
      <w:pPr>
        <w:pStyle w:val="tPara"/>
      </w:pPr>
      <w:r w:rsidRPr="00374785">
        <w:tab/>
        <w:t>(e)</w:t>
      </w:r>
      <w:r w:rsidRPr="00374785">
        <w:tab/>
        <w:t>the application of fertiliser;</w:t>
      </w:r>
    </w:p>
    <w:p w:rsidR="00EB526B" w:rsidRPr="00374785" w:rsidRDefault="003B0872" w:rsidP="002B60C7">
      <w:pPr>
        <w:pStyle w:val="tDefn"/>
        <w:rPr>
          <w:b/>
          <w:i/>
          <w:color w:val="000000" w:themeColor="text1"/>
        </w:rPr>
      </w:pPr>
      <w:r w:rsidRPr="00374785">
        <w:t>which are</w:t>
      </w:r>
      <w:r w:rsidR="00EB526B" w:rsidRPr="00374785">
        <w:t xml:space="preserve"> applied in a uniform or consistent manner to an area of land</w:t>
      </w:r>
      <w:r w:rsidR="000E6CA0" w:rsidRPr="00374785">
        <w:t>.</w:t>
      </w:r>
    </w:p>
    <w:p w:rsidR="00BE3634" w:rsidRPr="00374785" w:rsidRDefault="00BE3634" w:rsidP="00BE3634">
      <w:pPr>
        <w:pStyle w:val="tDefn"/>
      </w:pPr>
      <w:r w:rsidRPr="00374785">
        <w:rPr>
          <w:b/>
          <w:i/>
        </w:rPr>
        <w:t xml:space="preserve">landscape planting </w:t>
      </w:r>
      <w:r w:rsidRPr="00374785">
        <w:t>means a planting in an urban centre or locality as follows:</w:t>
      </w:r>
    </w:p>
    <w:p w:rsidR="00BE3634" w:rsidRPr="00374785" w:rsidRDefault="00BE3634" w:rsidP="00BE3634">
      <w:pPr>
        <w:pStyle w:val="tPara"/>
      </w:pPr>
      <w:r w:rsidRPr="00374785">
        <w:tab/>
        <w:t>(a)</w:t>
      </w:r>
      <w:r w:rsidRPr="00374785">
        <w:tab/>
        <w:t>in a residential place (for example, in a backyard, park or on a nature strip);</w:t>
      </w:r>
    </w:p>
    <w:p w:rsidR="00BE3634" w:rsidRPr="00374785" w:rsidRDefault="00BE3634" w:rsidP="00BE3634">
      <w:pPr>
        <w:pStyle w:val="tPara"/>
      </w:pPr>
      <w:r w:rsidRPr="00374785">
        <w:tab/>
        <w:t>(b)</w:t>
      </w:r>
      <w:r w:rsidRPr="00374785">
        <w:tab/>
        <w:t>on the grounds of a sporting facility, factory or other commercial facility;</w:t>
      </w:r>
    </w:p>
    <w:p w:rsidR="00BE3634" w:rsidRPr="00374785" w:rsidRDefault="00BE3634" w:rsidP="00BE3634">
      <w:pPr>
        <w:pStyle w:val="tPara"/>
      </w:pPr>
      <w:r w:rsidRPr="00374785">
        <w:tab/>
        <w:t>(c)</w:t>
      </w:r>
      <w:r w:rsidRPr="00374785">
        <w:tab/>
        <w:t>on the grounds of a hospital, school or other institution;</w:t>
      </w:r>
    </w:p>
    <w:p w:rsidR="00BE3634" w:rsidRPr="00374785" w:rsidRDefault="00BE3634" w:rsidP="00BE3634">
      <w:pPr>
        <w:pStyle w:val="tPara"/>
      </w:pPr>
      <w:r w:rsidRPr="00374785">
        <w:tab/>
        <w:t>(d)</w:t>
      </w:r>
      <w:r w:rsidRPr="00374785">
        <w:tab/>
        <w:t>in a car</w:t>
      </w:r>
      <w:r w:rsidR="000E6CA0" w:rsidRPr="00374785">
        <w:t>-</w:t>
      </w:r>
      <w:r w:rsidRPr="00374785">
        <w:t>park or cemetery.</w:t>
      </w:r>
    </w:p>
    <w:p w:rsidR="00EB3C92" w:rsidRPr="00374785" w:rsidRDefault="00377F83" w:rsidP="00EB3C92">
      <w:pPr>
        <w:pStyle w:val="tDefn"/>
        <w:rPr>
          <w:color w:val="000000" w:themeColor="text1"/>
        </w:rPr>
      </w:pPr>
      <w:r w:rsidRPr="00374785">
        <w:rPr>
          <w:b/>
          <w:i/>
          <w:color w:val="000000" w:themeColor="text1"/>
        </w:rPr>
        <w:lastRenderedPageBreak/>
        <w:t>m</w:t>
      </w:r>
      <w:r w:rsidR="002B60C7" w:rsidRPr="00374785">
        <w:rPr>
          <w:b/>
          <w:i/>
          <w:color w:val="000000" w:themeColor="text1"/>
        </w:rPr>
        <w:t>allee</w:t>
      </w:r>
      <w:r w:rsidRPr="00374785">
        <w:rPr>
          <w:b/>
          <w:i/>
          <w:color w:val="000000" w:themeColor="text1"/>
        </w:rPr>
        <w:t xml:space="preserve"> species</w:t>
      </w:r>
      <w:r w:rsidR="002B60C7" w:rsidRPr="00374785">
        <w:rPr>
          <w:b/>
          <w:i/>
          <w:color w:val="76923C" w:themeColor="accent3" w:themeShade="BF"/>
        </w:rPr>
        <w:t xml:space="preserve"> </w:t>
      </w:r>
      <w:r w:rsidR="002B60C7" w:rsidRPr="00374785">
        <w:rPr>
          <w:color w:val="000000" w:themeColor="text1"/>
        </w:rPr>
        <w:t xml:space="preserve">means any of the Australian species </w:t>
      </w:r>
      <w:r w:rsidR="002B60C7" w:rsidRPr="00374785">
        <w:t xml:space="preserve">of </w:t>
      </w:r>
      <w:r w:rsidR="0058431C" w:rsidRPr="00374785">
        <w:t xml:space="preserve">the genus </w:t>
      </w:r>
      <w:r w:rsidR="002B60C7" w:rsidRPr="00374785">
        <w:rPr>
          <w:i/>
          <w:iCs/>
        </w:rPr>
        <w:t>Eucalyptus</w:t>
      </w:r>
      <w:r w:rsidR="002B60C7" w:rsidRPr="00374785">
        <w:t xml:space="preserve"> that</w:t>
      </w:r>
      <w:r w:rsidR="002B60C7" w:rsidRPr="00374785">
        <w:rPr>
          <w:color w:val="000000" w:themeColor="text1"/>
        </w:rPr>
        <w:t xml:space="preserve"> generally </w:t>
      </w:r>
      <w:r w:rsidR="0058431C" w:rsidRPr="00374785">
        <w:rPr>
          <w:color w:val="000000" w:themeColor="text1"/>
        </w:rPr>
        <w:t>exhibit a growth form of</w:t>
      </w:r>
      <w:r w:rsidR="002B60C7" w:rsidRPr="00374785">
        <w:rPr>
          <w:color w:val="000000" w:themeColor="text1"/>
        </w:rPr>
        <w:t xml:space="preserve"> </w:t>
      </w:r>
      <w:r w:rsidR="00E24AFC" w:rsidRPr="00374785">
        <w:rPr>
          <w:color w:val="000000" w:themeColor="text1"/>
        </w:rPr>
        <w:t>multiple</w:t>
      </w:r>
      <w:r w:rsidR="002B60C7" w:rsidRPr="00374785">
        <w:rPr>
          <w:color w:val="000000" w:themeColor="text1"/>
        </w:rPr>
        <w:t xml:space="preserve"> stems arising from a large underground lignotuber.</w:t>
      </w:r>
    </w:p>
    <w:p w:rsidR="00EB3C92" w:rsidRPr="00374785" w:rsidRDefault="00EB3C92" w:rsidP="00EB3C92">
      <w:pPr>
        <w:pStyle w:val="notePara"/>
      </w:pPr>
      <w:r w:rsidRPr="00374785">
        <w:tab/>
      </w:r>
      <w:r w:rsidRPr="00374785">
        <w:rPr>
          <w:b/>
          <w:i/>
        </w:rPr>
        <w:t>Note</w:t>
      </w:r>
      <w:r w:rsidRPr="00374785">
        <w:tab/>
        <w:t>Eucalyptus species recognised as having the form of a mallee include:</w:t>
      </w:r>
    </w:p>
    <w:p w:rsidR="00EB3C92" w:rsidRPr="00374785" w:rsidRDefault="00EB3C92" w:rsidP="00EB3C92">
      <w:pPr>
        <w:pStyle w:val="notePara"/>
        <w:rPr>
          <w:i/>
        </w:rPr>
      </w:pPr>
      <w:r w:rsidRPr="00374785">
        <w:rPr>
          <w:i/>
        </w:rPr>
        <w:tab/>
      </w:r>
      <w:r w:rsidRPr="00374785">
        <w:rPr>
          <w:i/>
        </w:rPr>
        <w:tab/>
        <w:t>E. calycogona</w:t>
      </w:r>
    </w:p>
    <w:p w:rsidR="00EB3C92" w:rsidRPr="00374785" w:rsidRDefault="00EB3C92" w:rsidP="00EB3C92">
      <w:pPr>
        <w:pStyle w:val="notePara"/>
      </w:pPr>
      <w:r w:rsidRPr="00374785">
        <w:rPr>
          <w:i/>
        </w:rPr>
        <w:tab/>
      </w:r>
      <w:r w:rsidRPr="00374785">
        <w:rPr>
          <w:i/>
        </w:rPr>
        <w:tab/>
        <w:t xml:space="preserve">E. cneorifolia </w:t>
      </w:r>
      <w:r w:rsidRPr="00374785">
        <w:t>[Kangaroo Island CS20275]</w:t>
      </w:r>
    </w:p>
    <w:p w:rsidR="00EB3C92" w:rsidRPr="00374785" w:rsidRDefault="00EB3C92" w:rsidP="00EB3C92">
      <w:pPr>
        <w:pStyle w:val="notePara"/>
        <w:rPr>
          <w:i/>
        </w:rPr>
      </w:pPr>
      <w:r w:rsidRPr="00374785">
        <w:rPr>
          <w:i/>
        </w:rPr>
        <w:tab/>
      </w:r>
      <w:r w:rsidRPr="00374785">
        <w:rPr>
          <w:i/>
        </w:rPr>
        <w:tab/>
        <w:t xml:space="preserve">E. cyanophylla </w:t>
      </w:r>
      <w:r w:rsidRPr="00374785">
        <w:t>[Loxton cult.]</w:t>
      </w:r>
    </w:p>
    <w:p w:rsidR="00EB3C92" w:rsidRPr="00374785" w:rsidRDefault="00EB3C92" w:rsidP="00EB3C92">
      <w:pPr>
        <w:pStyle w:val="notePara"/>
        <w:rPr>
          <w:i/>
        </w:rPr>
      </w:pPr>
      <w:r w:rsidRPr="00374785">
        <w:rPr>
          <w:i/>
        </w:rPr>
        <w:tab/>
      </w:r>
      <w:r w:rsidRPr="00374785">
        <w:rPr>
          <w:i/>
        </w:rPr>
        <w:tab/>
        <w:t>E. dumosa</w:t>
      </w:r>
    </w:p>
    <w:p w:rsidR="00EB3C92" w:rsidRPr="00374785" w:rsidRDefault="00EB3C92" w:rsidP="00EB3C92">
      <w:pPr>
        <w:pStyle w:val="notePara"/>
        <w:rPr>
          <w:i/>
        </w:rPr>
      </w:pPr>
      <w:r w:rsidRPr="00374785">
        <w:rPr>
          <w:i/>
        </w:rPr>
        <w:tab/>
      </w:r>
      <w:r w:rsidRPr="00374785">
        <w:rPr>
          <w:i/>
        </w:rPr>
        <w:tab/>
        <w:t xml:space="preserve">E. gracilis </w:t>
      </w:r>
      <w:r w:rsidRPr="00374785">
        <w:t>[Loxton cult.]</w:t>
      </w:r>
    </w:p>
    <w:p w:rsidR="006A7AE4" w:rsidRPr="00374785" w:rsidRDefault="00EB3C92" w:rsidP="006A7AE4">
      <w:pPr>
        <w:pStyle w:val="notePara"/>
        <w:rPr>
          <w:i/>
        </w:rPr>
      </w:pPr>
      <w:r w:rsidRPr="00374785">
        <w:rPr>
          <w:i/>
        </w:rPr>
        <w:tab/>
      </w:r>
      <w:r w:rsidR="006A7AE4" w:rsidRPr="00374785">
        <w:rPr>
          <w:i/>
        </w:rPr>
        <w:tab/>
        <w:t xml:space="preserve">E. horistes </w:t>
      </w:r>
    </w:p>
    <w:p w:rsidR="00EB3C92" w:rsidRPr="00374785" w:rsidRDefault="006A7AE4" w:rsidP="00EB3C92">
      <w:pPr>
        <w:pStyle w:val="notePara"/>
        <w:rPr>
          <w:i/>
        </w:rPr>
      </w:pPr>
      <w:r w:rsidRPr="00374785">
        <w:rPr>
          <w:i/>
        </w:rPr>
        <w:tab/>
      </w:r>
      <w:r w:rsidR="00EB3C92" w:rsidRPr="00374785">
        <w:rPr>
          <w:i/>
        </w:rPr>
        <w:tab/>
        <w:t>E. incrassata</w:t>
      </w:r>
    </w:p>
    <w:p w:rsidR="00EB3C92" w:rsidRPr="00374785" w:rsidRDefault="00EB3C92" w:rsidP="00EB3C92">
      <w:pPr>
        <w:pStyle w:val="notePara"/>
        <w:rPr>
          <w:i/>
        </w:rPr>
      </w:pPr>
      <w:r w:rsidRPr="00374785">
        <w:rPr>
          <w:i/>
        </w:rPr>
        <w:tab/>
      </w:r>
      <w:r w:rsidRPr="00374785">
        <w:rPr>
          <w:i/>
        </w:rPr>
        <w:tab/>
        <w:t>E. kochii</w:t>
      </w:r>
    </w:p>
    <w:p w:rsidR="00EB3C92" w:rsidRPr="00374785" w:rsidRDefault="00EB3C92" w:rsidP="00EB3C92">
      <w:pPr>
        <w:pStyle w:val="notePara"/>
        <w:rPr>
          <w:i/>
        </w:rPr>
      </w:pPr>
      <w:r w:rsidRPr="00374785">
        <w:rPr>
          <w:i/>
        </w:rPr>
        <w:tab/>
      </w:r>
      <w:r w:rsidRPr="00374785">
        <w:rPr>
          <w:i/>
        </w:rPr>
        <w:tab/>
        <w:t>E. kochii ssp. borealis</w:t>
      </w:r>
    </w:p>
    <w:p w:rsidR="00EB3C92" w:rsidRPr="00374785" w:rsidRDefault="00EB3C92" w:rsidP="00EB3C92">
      <w:pPr>
        <w:pStyle w:val="notePara"/>
        <w:rPr>
          <w:i/>
        </w:rPr>
      </w:pPr>
      <w:r w:rsidRPr="00374785">
        <w:rPr>
          <w:i/>
        </w:rPr>
        <w:tab/>
      </w:r>
      <w:r w:rsidRPr="00374785">
        <w:rPr>
          <w:i/>
        </w:rPr>
        <w:tab/>
        <w:t>E. kochii ssp. plenissima</w:t>
      </w:r>
    </w:p>
    <w:p w:rsidR="00EB3C92" w:rsidRPr="00374785" w:rsidRDefault="00EB3C92" w:rsidP="00EB3C92">
      <w:pPr>
        <w:pStyle w:val="notePara"/>
        <w:rPr>
          <w:i/>
        </w:rPr>
      </w:pPr>
      <w:r w:rsidRPr="00374785">
        <w:rPr>
          <w:i/>
        </w:rPr>
        <w:tab/>
      </w:r>
      <w:r w:rsidRPr="00374785">
        <w:rPr>
          <w:i/>
        </w:rPr>
        <w:tab/>
        <w:t>E. leptophylla</w:t>
      </w:r>
    </w:p>
    <w:p w:rsidR="00EB3C92" w:rsidRPr="00374785" w:rsidRDefault="00EB3C92" w:rsidP="00EB3C92">
      <w:pPr>
        <w:pStyle w:val="notePara"/>
        <w:rPr>
          <w:i/>
        </w:rPr>
      </w:pPr>
      <w:r w:rsidRPr="00374785">
        <w:rPr>
          <w:i/>
        </w:rPr>
        <w:tab/>
      </w:r>
      <w:r w:rsidRPr="00374785">
        <w:rPr>
          <w:i/>
        </w:rPr>
        <w:tab/>
        <w:t>E. loxophleba ssp. lissophloia</w:t>
      </w:r>
    </w:p>
    <w:p w:rsidR="00EB3C92" w:rsidRPr="00374785" w:rsidRDefault="00EB3C92" w:rsidP="00EB3C92">
      <w:pPr>
        <w:pStyle w:val="notePara"/>
        <w:rPr>
          <w:i/>
        </w:rPr>
      </w:pPr>
      <w:r w:rsidRPr="00374785">
        <w:rPr>
          <w:i/>
        </w:rPr>
        <w:tab/>
      </w:r>
      <w:r w:rsidRPr="00374785">
        <w:rPr>
          <w:i/>
        </w:rPr>
        <w:tab/>
        <w:t>E. oleosa</w:t>
      </w:r>
    </w:p>
    <w:p w:rsidR="00EB3C92" w:rsidRPr="00374785" w:rsidRDefault="00EB3C92" w:rsidP="00EB3C92">
      <w:pPr>
        <w:pStyle w:val="notePara"/>
        <w:rPr>
          <w:i/>
        </w:rPr>
      </w:pPr>
      <w:r w:rsidRPr="00374785">
        <w:rPr>
          <w:i/>
        </w:rPr>
        <w:tab/>
      </w:r>
      <w:r w:rsidRPr="00374785">
        <w:rPr>
          <w:i/>
        </w:rPr>
        <w:tab/>
        <w:t>E. plenissima</w:t>
      </w:r>
    </w:p>
    <w:p w:rsidR="00EB3C92" w:rsidRPr="00374785" w:rsidRDefault="00EB3C92" w:rsidP="00EB3C92">
      <w:pPr>
        <w:pStyle w:val="notePara"/>
        <w:rPr>
          <w:i/>
        </w:rPr>
      </w:pPr>
      <w:r w:rsidRPr="00374785">
        <w:rPr>
          <w:i/>
        </w:rPr>
        <w:tab/>
      </w:r>
      <w:r w:rsidRPr="00374785">
        <w:rPr>
          <w:i/>
        </w:rPr>
        <w:tab/>
        <w:t>E. polybractea</w:t>
      </w:r>
    </w:p>
    <w:p w:rsidR="00EB3C92" w:rsidRPr="00374785" w:rsidRDefault="00EB3C92" w:rsidP="00EB3C92">
      <w:pPr>
        <w:pStyle w:val="notePara"/>
        <w:rPr>
          <w:i/>
        </w:rPr>
      </w:pPr>
      <w:r w:rsidRPr="00374785">
        <w:rPr>
          <w:i/>
        </w:rPr>
        <w:tab/>
      </w:r>
      <w:r w:rsidRPr="00374785">
        <w:rPr>
          <w:i/>
        </w:rPr>
        <w:tab/>
        <w:t>E. porosa</w:t>
      </w:r>
    </w:p>
    <w:p w:rsidR="002B60C7" w:rsidRPr="00374785" w:rsidRDefault="00EB3C92" w:rsidP="00EB3C92">
      <w:pPr>
        <w:pStyle w:val="notePara"/>
        <w:rPr>
          <w:i/>
        </w:rPr>
      </w:pPr>
      <w:r w:rsidRPr="00374785">
        <w:rPr>
          <w:i/>
        </w:rPr>
        <w:tab/>
      </w:r>
      <w:r w:rsidRPr="00374785">
        <w:rPr>
          <w:i/>
        </w:rPr>
        <w:tab/>
        <w:t>E. socialis</w:t>
      </w:r>
      <w:r w:rsidR="000E6CA0" w:rsidRPr="00374785">
        <w:rPr>
          <w:i/>
        </w:rPr>
        <w:t>.</w:t>
      </w:r>
    </w:p>
    <w:p w:rsidR="002B60C7" w:rsidRPr="00374785" w:rsidRDefault="002B60C7" w:rsidP="002B60C7">
      <w:pPr>
        <w:pStyle w:val="tDefn"/>
        <w:rPr>
          <w:rFonts w:eastAsiaTheme="minorHAnsi" w:cs="Calibri"/>
        </w:rPr>
      </w:pPr>
      <w:r w:rsidRPr="00374785">
        <w:rPr>
          <w:b/>
          <w:i/>
          <w:color w:val="000000" w:themeColor="text1"/>
        </w:rPr>
        <w:t>mallee planting</w:t>
      </w:r>
      <w:r w:rsidRPr="00374785">
        <w:rPr>
          <w:color w:val="000000" w:themeColor="text1"/>
        </w:rPr>
        <w:t xml:space="preserve"> </w:t>
      </w:r>
      <w:r w:rsidR="002D66C6" w:rsidRPr="00374785">
        <w:rPr>
          <w:color w:val="000000" w:themeColor="text1"/>
        </w:rPr>
        <w:t>has the meaning given in subsection 3.9(1)</w:t>
      </w:r>
      <w:r w:rsidRPr="00374785">
        <w:rPr>
          <w:rFonts w:eastAsiaTheme="minorHAnsi" w:cs="Calibri"/>
        </w:rPr>
        <w:t>.</w:t>
      </w:r>
    </w:p>
    <w:p w:rsidR="002B60C7" w:rsidRPr="00374785" w:rsidRDefault="002B60C7" w:rsidP="002B60C7">
      <w:pPr>
        <w:pStyle w:val="tDefn"/>
        <w:rPr>
          <w:color w:val="000000" w:themeColor="text1"/>
        </w:rPr>
      </w:pPr>
      <w:r w:rsidRPr="00374785">
        <w:rPr>
          <w:b/>
          <w:i/>
          <w:color w:val="000000" w:themeColor="text1"/>
        </w:rPr>
        <w:t>management event</w:t>
      </w:r>
      <w:r w:rsidRPr="00374785">
        <w:rPr>
          <w:color w:val="000000" w:themeColor="text1"/>
        </w:rPr>
        <w:t xml:space="preserve"> means a land management activity that can be modelled in FullCAM, such as a planting, thinning, harvest, or fire.</w:t>
      </w:r>
    </w:p>
    <w:p w:rsidR="002B60C7" w:rsidRPr="00374785" w:rsidRDefault="002B60C7" w:rsidP="002B60C7">
      <w:pPr>
        <w:pStyle w:val="tDefn"/>
        <w:rPr>
          <w:color w:val="000000" w:themeColor="text1"/>
        </w:rPr>
      </w:pPr>
      <w:r w:rsidRPr="00374785">
        <w:rPr>
          <w:b/>
          <w:i/>
          <w:color w:val="000000" w:themeColor="text1"/>
        </w:rPr>
        <w:t>mixed-species environmental planting</w:t>
      </w:r>
      <w:r w:rsidRPr="00374785">
        <w:rPr>
          <w:color w:val="000000" w:themeColor="text1"/>
        </w:rPr>
        <w:t xml:space="preserve"> </w:t>
      </w:r>
      <w:r w:rsidR="005225C6" w:rsidRPr="00374785">
        <w:rPr>
          <w:color w:val="000000" w:themeColor="text1"/>
        </w:rPr>
        <w:t>has the meaning given in section 3.</w:t>
      </w:r>
      <w:r w:rsidR="002D66C6" w:rsidRPr="00374785">
        <w:rPr>
          <w:color w:val="000000" w:themeColor="text1"/>
        </w:rPr>
        <w:t>10</w:t>
      </w:r>
      <w:r w:rsidR="005225C6" w:rsidRPr="00374785">
        <w:rPr>
          <w:color w:val="000000" w:themeColor="text1"/>
        </w:rPr>
        <w:t>.</w:t>
      </w:r>
    </w:p>
    <w:p w:rsidR="004B1781" w:rsidRPr="00374785" w:rsidRDefault="004B1781" w:rsidP="004B1781">
      <w:pPr>
        <w:pStyle w:val="tDefn"/>
        <w:rPr>
          <w:color w:val="000000" w:themeColor="text1"/>
        </w:rPr>
      </w:pPr>
      <w:r w:rsidRPr="00374785">
        <w:rPr>
          <w:b/>
          <w:i/>
          <w:color w:val="000000" w:themeColor="text1"/>
        </w:rPr>
        <w:t>model point</w:t>
      </w:r>
      <w:r w:rsidRPr="00374785">
        <w:rPr>
          <w:color w:val="000000" w:themeColor="text1"/>
        </w:rPr>
        <w:t xml:space="preserve"> means a static location defined by </w:t>
      </w:r>
      <w:r w:rsidR="00836065" w:rsidRPr="00374785">
        <w:rPr>
          <w:color w:val="000000" w:themeColor="text1"/>
        </w:rPr>
        <w:t>latitude and longitude coordinates</w:t>
      </w:r>
      <w:r w:rsidRPr="00374785">
        <w:rPr>
          <w:color w:val="000000" w:themeColor="text1"/>
        </w:rPr>
        <w:t xml:space="preserve"> </w:t>
      </w:r>
      <w:r w:rsidR="005D572C" w:rsidRPr="00374785">
        <w:rPr>
          <w:color w:val="000000" w:themeColor="text1"/>
        </w:rPr>
        <w:t xml:space="preserve">for </w:t>
      </w:r>
      <w:r w:rsidRPr="00374785">
        <w:rPr>
          <w:color w:val="000000" w:themeColor="text1"/>
        </w:rPr>
        <w:t>each carbon estimation area for the purpose of estimating carbon stocks using FullCAM.</w:t>
      </w:r>
    </w:p>
    <w:p w:rsidR="002B60C7" w:rsidRPr="00374785" w:rsidRDefault="002B60C7" w:rsidP="002B60C7">
      <w:pPr>
        <w:pStyle w:val="tDefn"/>
        <w:rPr>
          <w:rFonts w:eastAsiaTheme="minorHAnsi" w:cs="Calibri"/>
          <w:szCs w:val="22"/>
          <w:lang w:eastAsia="en-US"/>
        </w:rPr>
      </w:pPr>
      <w:r w:rsidRPr="00374785">
        <w:rPr>
          <w:b/>
          <w:i/>
          <w:color w:val="000000" w:themeColor="text1"/>
        </w:rPr>
        <w:t>modelling commencement</w:t>
      </w:r>
      <w:r w:rsidRPr="00374785">
        <w:rPr>
          <w:color w:val="76923C" w:themeColor="accent3" w:themeShade="BF"/>
        </w:rPr>
        <w:t xml:space="preserve"> </w:t>
      </w:r>
      <w:r w:rsidRPr="00374785">
        <w:rPr>
          <w:rFonts w:eastAsiaTheme="minorHAnsi" w:cs="Calibri"/>
          <w:szCs w:val="22"/>
          <w:lang w:eastAsia="en-US"/>
        </w:rPr>
        <w:t xml:space="preserve">means the </w:t>
      </w:r>
      <w:r w:rsidR="00836065" w:rsidRPr="00374785">
        <w:rPr>
          <w:rFonts w:eastAsiaTheme="minorHAnsi" w:cs="Calibri"/>
          <w:szCs w:val="22"/>
          <w:lang w:eastAsia="en-US"/>
        </w:rPr>
        <w:t xml:space="preserve">commencement date </w:t>
      </w:r>
      <w:r w:rsidR="000F511E" w:rsidRPr="00374785">
        <w:rPr>
          <w:rFonts w:eastAsiaTheme="minorHAnsi" w:cs="Calibri"/>
          <w:szCs w:val="22"/>
          <w:lang w:eastAsia="en-US"/>
        </w:rPr>
        <w:t xml:space="preserve">used </w:t>
      </w:r>
      <w:r w:rsidR="00836065" w:rsidRPr="00374785">
        <w:rPr>
          <w:rFonts w:eastAsiaTheme="minorHAnsi" w:cs="Calibri"/>
          <w:szCs w:val="22"/>
          <w:lang w:eastAsia="en-US"/>
        </w:rPr>
        <w:t xml:space="preserve">for modelling forest growth </w:t>
      </w:r>
      <w:r w:rsidR="000F511E" w:rsidRPr="00374785">
        <w:rPr>
          <w:rFonts w:eastAsiaTheme="minorHAnsi" w:cs="Calibri"/>
          <w:szCs w:val="22"/>
          <w:lang w:eastAsia="en-US"/>
        </w:rPr>
        <w:t>in</w:t>
      </w:r>
      <w:r w:rsidR="00836065" w:rsidRPr="00374785">
        <w:rPr>
          <w:rFonts w:eastAsiaTheme="minorHAnsi" w:cs="Calibri"/>
          <w:szCs w:val="22"/>
          <w:lang w:eastAsia="en-US"/>
        </w:rPr>
        <w:t xml:space="preserve"> FullCAM,</w:t>
      </w:r>
      <w:r w:rsidRPr="00374785">
        <w:rPr>
          <w:rFonts w:eastAsiaTheme="minorHAnsi" w:cs="Calibri"/>
          <w:szCs w:val="22"/>
          <w:lang w:eastAsia="en-US"/>
        </w:rPr>
        <w:t xml:space="preserve"> and is the planting date for each carbon estimation area.</w:t>
      </w:r>
    </w:p>
    <w:p w:rsidR="004E3B4F" w:rsidRPr="00374785" w:rsidRDefault="00896D2B" w:rsidP="002B60C7">
      <w:pPr>
        <w:pStyle w:val="tDefn"/>
        <w:rPr>
          <w:color w:val="000000" w:themeColor="text1"/>
        </w:rPr>
      </w:pPr>
      <w:r w:rsidRPr="00374785">
        <w:rPr>
          <w:b/>
          <w:i/>
          <w:color w:val="000000" w:themeColor="text1"/>
        </w:rPr>
        <w:t>n</w:t>
      </w:r>
      <w:r w:rsidR="002B60C7" w:rsidRPr="00374785">
        <w:rPr>
          <w:b/>
          <w:i/>
          <w:color w:val="000000" w:themeColor="text1"/>
        </w:rPr>
        <w:t>arrow</w:t>
      </w:r>
      <w:r w:rsidR="00AE0721" w:rsidRPr="00374785">
        <w:rPr>
          <w:b/>
          <w:i/>
          <w:color w:val="000000" w:themeColor="text1"/>
        </w:rPr>
        <w:t>-</w:t>
      </w:r>
      <w:r w:rsidR="002B60C7" w:rsidRPr="00374785">
        <w:rPr>
          <w:b/>
          <w:i/>
          <w:color w:val="000000" w:themeColor="text1"/>
        </w:rPr>
        <w:t>linear planting</w:t>
      </w:r>
      <w:r w:rsidR="002B60C7" w:rsidRPr="00374785">
        <w:rPr>
          <w:color w:val="000000" w:themeColor="text1"/>
        </w:rPr>
        <w:t xml:space="preserve"> </w:t>
      </w:r>
      <w:r w:rsidR="004E3B4F" w:rsidRPr="00374785">
        <w:rPr>
          <w:color w:val="000000" w:themeColor="text1"/>
        </w:rPr>
        <w:t>has the meaning given in section 3.11.</w:t>
      </w:r>
    </w:p>
    <w:p w:rsidR="002B60C7" w:rsidRPr="00374785" w:rsidRDefault="002B60C7" w:rsidP="002B60C7">
      <w:pPr>
        <w:pStyle w:val="tDefn"/>
        <w:keepNext/>
        <w:rPr>
          <w:color w:val="000000" w:themeColor="text1"/>
        </w:rPr>
      </w:pPr>
      <w:r w:rsidRPr="00374785">
        <w:rPr>
          <w:b/>
          <w:i/>
          <w:color w:val="000000" w:themeColor="text1"/>
        </w:rPr>
        <w:t>native vegetation</w:t>
      </w:r>
      <w:r w:rsidRPr="00374785">
        <w:rPr>
          <w:color w:val="000000" w:themeColor="text1"/>
        </w:rPr>
        <w:t xml:space="preserve"> means vegetation:</w:t>
      </w:r>
    </w:p>
    <w:p w:rsidR="002B60C7" w:rsidRPr="00374785" w:rsidRDefault="002B60C7" w:rsidP="002B60C7">
      <w:pPr>
        <w:pStyle w:val="tPara"/>
        <w:keepNext/>
        <w:rPr>
          <w:color w:val="000000" w:themeColor="text1"/>
        </w:rPr>
      </w:pPr>
      <w:r w:rsidRPr="00374785">
        <w:rPr>
          <w:color w:val="000000" w:themeColor="text1"/>
        </w:rPr>
        <w:tab/>
        <w:t>(a)</w:t>
      </w:r>
      <w:r w:rsidRPr="00374785">
        <w:rPr>
          <w:color w:val="000000" w:themeColor="text1"/>
        </w:rPr>
        <w:tab/>
        <w:t>consisting of species native to the local area; and</w:t>
      </w:r>
    </w:p>
    <w:p w:rsidR="002B60C7" w:rsidRPr="00374785" w:rsidRDefault="002B60C7" w:rsidP="002B60C7">
      <w:pPr>
        <w:pStyle w:val="tPara"/>
        <w:keepNext/>
        <w:rPr>
          <w:color w:val="000000" w:themeColor="text1"/>
        </w:rPr>
      </w:pPr>
      <w:r w:rsidRPr="00374785">
        <w:rPr>
          <w:color w:val="000000" w:themeColor="text1"/>
        </w:rPr>
        <w:tab/>
        <w:t>(b)</w:t>
      </w:r>
      <w:r w:rsidRPr="00374785">
        <w:rPr>
          <w:color w:val="000000" w:themeColor="text1"/>
        </w:rPr>
        <w:tab/>
        <w:t>with a mix of trees, shrubs, and understorey species that reflects the structure and composition of the local native vegetation community.</w:t>
      </w:r>
    </w:p>
    <w:p w:rsidR="002B60C7" w:rsidRPr="00374785" w:rsidRDefault="002B60C7" w:rsidP="002B60C7">
      <w:pPr>
        <w:pStyle w:val="notePara"/>
        <w:keepNext/>
        <w:rPr>
          <w:color w:val="000000" w:themeColor="text1"/>
        </w:rPr>
      </w:pPr>
      <w:r w:rsidRPr="00374785">
        <w:rPr>
          <w:color w:val="000000" w:themeColor="text1"/>
        </w:rPr>
        <w:tab/>
      </w:r>
      <w:r w:rsidRPr="00374785">
        <w:rPr>
          <w:b/>
          <w:i/>
          <w:color w:val="000000" w:themeColor="text1"/>
        </w:rPr>
        <w:t>Note</w:t>
      </w:r>
      <w:r w:rsidRPr="00374785">
        <w:rPr>
          <w:color w:val="000000" w:themeColor="text1"/>
        </w:rPr>
        <w:tab/>
        <w:t>A monoculture may constitute native vegetation where it can naturally occur within the local vegetation community.</w:t>
      </w:r>
    </w:p>
    <w:p w:rsidR="002B60C7" w:rsidRPr="00374785" w:rsidRDefault="002B60C7" w:rsidP="0085655B">
      <w:pPr>
        <w:pStyle w:val="tDefn"/>
      </w:pPr>
      <w:r w:rsidRPr="00374785">
        <w:rPr>
          <w:b/>
          <w:i/>
        </w:rPr>
        <w:t>NGER Measurement Determination</w:t>
      </w:r>
      <w:r w:rsidRPr="00374785">
        <w:rPr>
          <w:b/>
        </w:rPr>
        <w:t xml:space="preserve"> </w:t>
      </w:r>
      <w:r w:rsidRPr="00374785">
        <w:t xml:space="preserve">means the applicable determination made under subsection 10(3) of the </w:t>
      </w:r>
      <w:r w:rsidRPr="00374785">
        <w:rPr>
          <w:i/>
        </w:rPr>
        <w:t>National Greenhouse and Energy Reporting Act 2007</w:t>
      </w:r>
      <w:r w:rsidRPr="00374785">
        <w:t>.</w:t>
      </w:r>
    </w:p>
    <w:p w:rsidR="002B60C7" w:rsidRPr="00374785" w:rsidRDefault="002B60C7" w:rsidP="0085655B">
      <w:pPr>
        <w:pStyle w:val="tDefn"/>
      </w:pPr>
      <w:r w:rsidRPr="00374785">
        <w:rPr>
          <w:b/>
          <w:i/>
        </w:rPr>
        <w:lastRenderedPageBreak/>
        <w:t>NGER Regulations</w:t>
      </w:r>
      <w:r w:rsidRPr="00374785">
        <w:t xml:space="preserve"> means the </w:t>
      </w:r>
      <w:r w:rsidRPr="00374785">
        <w:rPr>
          <w:i/>
        </w:rPr>
        <w:t>National Greenhouse and Energy Reporting Regulations 2008</w:t>
      </w:r>
      <w:r w:rsidRPr="00374785">
        <w:t>.</w:t>
      </w:r>
    </w:p>
    <w:p w:rsidR="0058431C" w:rsidRPr="00374785" w:rsidRDefault="002B60C7" w:rsidP="0058431C">
      <w:pPr>
        <w:pStyle w:val="tDefn"/>
        <w:rPr>
          <w:color w:val="000000" w:themeColor="text1"/>
        </w:rPr>
      </w:pPr>
      <w:r w:rsidRPr="00374785">
        <w:rPr>
          <w:b/>
          <w:i/>
          <w:color w:val="000000" w:themeColor="text1"/>
        </w:rPr>
        <w:t>permanent planting</w:t>
      </w:r>
      <w:r w:rsidRPr="00374785">
        <w:rPr>
          <w:color w:val="000000" w:themeColor="text1"/>
        </w:rPr>
        <w:t xml:space="preserve"> </w:t>
      </w:r>
      <w:r w:rsidR="0058431C" w:rsidRPr="00374785">
        <w:rPr>
          <w:color w:val="000000" w:themeColor="text1"/>
        </w:rPr>
        <w:t>means a planting:</w:t>
      </w:r>
    </w:p>
    <w:p w:rsidR="0058431C" w:rsidRPr="00374785" w:rsidRDefault="0058431C" w:rsidP="0058431C">
      <w:pPr>
        <w:pStyle w:val="tPara"/>
      </w:pPr>
      <w:r w:rsidRPr="00374785">
        <w:tab/>
        <w:t>(a)</w:t>
      </w:r>
      <w:r w:rsidRPr="00374785">
        <w:tab/>
        <w:t>that is not harvested other than:</w:t>
      </w:r>
    </w:p>
    <w:p w:rsidR="0058431C" w:rsidRPr="00374785" w:rsidRDefault="0058431C" w:rsidP="0058431C">
      <w:pPr>
        <w:pStyle w:val="tSubpara"/>
      </w:pPr>
      <w:r w:rsidRPr="00374785">
        <w:tab/>
        <w:t>(i)</w:t>
      </w:r>
      <w:r w:rsidRPr="00374785">
        <w:tab/>
        <w:t>for thinning for ecological purposes; or</w:t>
      </w:r>
    </w:p>
    <w:p w:rsidR="0058431C" w:rsidRPr="00374785" w:rsidRDefault="0058431C" w:rsidP="0058431C">
      <w:pPr>
        <w:pStyle w:val="tSubpara"/>
      </w:pPr>
      <w:r w:rsidRPr="00374785">
        <w:tab/>
        <w:t>(ii)</w:t>
      </w:r>
      <w:r w:rsidRPr="00374785">
        <w:tab/>
        <w:t>to remove debris for fire management; or</w:t>
      </w:r>
    </w:p>
    <w:p w:rsidR="0058431C" w:rsidRPr="00374785" w:rsidRDefault="0058431C" w:rsidP="0058431C">
      <w:pPr>
        <w:pStyle w:val="tSubpara"/>
      </w:pPr>
      <w:r w:rsidRPr="00374785">
        <w:tab/>
        <w:t>(iii)</w:t>
      </w:r>
      <w:r w:rsidRPr="00374785">
        <w:tab/>
        <w:t>to remove firewood, fruits, nuts, seeds, or material used for fencing or as craft materials, if those things are not removed for sale; or</w:t>
      </w:r>
    </w:p>
    <w:p w:rsidR="0058431C" w:rsidRPr="00374785" w:rsidRDefault="0058431C" w:rsidP="0058431C">
      <w:pPr>
        <w:pStyle w:val="tSubpara"/>
      </w:pPr>
      <w:r w:rsidRPr="00374785">
        <w:tab/>
        <w:t>(iv)</w:t>
      </w:r>
      <w:r w:rsidRPr="00374785">
        <w:tab/>
        <w:t>in accordance with traditional indigenous practices or native title rights; and</w:t>
      </w:r>
    </w:p>
    <w:p w:rsidR="0058431C" w:rsidRPr="00374785" w:rsidRDefault="0058431C" w:rsidP="0058431C">
      <w:pPr>
        <w:pStyle w:val="tPara"/>
      </w:pPr>
      <w:r w:rsidRPr="00374785">
        <w:tab/>
        <w:t>(b)</w:t>
      </w:r>
      <w:r w:rsidRPr="00374785">
        <w:tab/>
        <w:t>that is not a landscape planting.</w:t>
      </w:r>
    </w:p>
    <w:p w:rsidR="002B60C7" w:rsidRPr="00374785" w:rsidRDefault="002B60C7" w:rsidP="002B60C7">
      <w:pPr>
        <w:pStyle w:val="tDefn"/>
        <w:rPr>
          <w:color w:val="000000" w:themeColor="text1"/>
        </w:rPr>
      </w:pPr>
      <w:r w:rsidRPr="00374785">
        <w:rPr>
          <w:b/>
          <w:i/>
          <w:color w:val="000000" w:themeColor="text1"/>
        </w:rPr>
        <w:t xml:space="preserve">planting </w:t>
      </w:r>
      <w:r w:rsidRPr="00374785">
        <w:rPr>
          <w:color w:val="000000" w:themeColor="text1"/>
        </w:rPr>
        <w:t>means:</w:t>
      </w:r>
    </w:p>
    <w:p w:rsidR="002B60C7" w:rsidRPr="00374785" w:rsidRDefault="002B60C7" w:rsidP="00591AA5">
      <w:pPr>
        <w:pStyle w:val="tDefn"/>
        <w:numPr>
          <w:ilvl w:val="0"/>
          <w:numId w:val="9"/>
        </w:numPr>
        <w:rPr>
          <w:color w:val="000000" w:themeColor="text1"/>
        </w:rPr>
      </w:pPr>
      <w:r w:rsidRPr="00374785">
        <w:rPr>
          <w:color w:val="000000" w:themeColor="text1"/>
        </w:rPr>
        <w:t>as a verb, to put or set in the ground species that are eligible under this Determination using:</w:t>
      </w:r>
    </w:p>
    <w:p w:rsidR="002B60C7" w:rsidRPr="00374785" w:rsidRDefault="002B60C7" w:rsidP="00591AA5">
      <w:pPr>
        <w:pStyle w:val="tDefn"/>
        <w:numPr>
          <w:ilvl w:val="0"/>
          <w:numId w:val="10"/>
        </w:numPr>
        <w:ind w:left="2410" w:hanging="76"/>
        <w:rPr>
          <w:color w:val="000000" w:themeColor="text1"/>
        </w:rPr>
      </w:pPr>
      <w:r w:rsidRPr="00374785">
        <w:rPr>
          <w:color w:val="000000" w:themeColor="text1"/>
        </w:rPr>
        <w:t>propagated seedling stock; or</w:t>
      </w:r>
    </w:p>
    <w:p w:rsidR="002B60C7" w:rsidRPr="00374785" w:rsidRDefault="002B60C7" w:rsidP="00591AA5">
      <w:pPr>
        <w:pStyle w:val="tDefn"/>
        <w:numPr>
          <w:ilvl w:val="0"/>
          <w:numId w:val="10"/>
        </w:numPr>
        <w:ind w:left="2410" w:hanging="76"/>
        <w:rPr>
          <w:color w:val="000000" w:themeColor="text1"/>
        </w:rPr>
      </w:pPr>
      <w:r w:rsidRPr="00374785">
        <w:rPr>
          <w:color w:val="000000" w:themeColor="text1"/>
        </w:rPr>
        <w:t xml:space="preserve">direct seeding, including in rows or broadcast; </w:t>
      </w:r>
    </w:p>
    <w:p w:rsidR="002B60C7" w:rsidRPr="00374785" w:rsidRDefault="002B60C7" w:rsidP="002B60C7">
      <w:pPr>
        <w:pStyle w:val="tDefn"/>
        <w:ind w:left="1701"/>
        <w:rPr>
          <w:color w:val="000000" w:themeColor="text1"/>
        </w:rPr>
      </w:pPr>
      <w:r w:rsidRPr="00374785">
        <w:rPr>
          <w:color w:val="000000" w:themeColor="text1"/>
        </w:rPr>
        <w:t>for the purposes of growing</w:t>
      </w:r>
      <w:r w:rsidR="001A6DC5" w:rsidRPr="00374785">
        <w:rPr>
          <w:color w:val="000000" w:themeColor="text1"/>
        </w:rPr>
        <w:t xml:space="preserve"> project trees</w:t>
      </w:r>
      <w:r w:rsidRPr="00374785">
        <w:rPr>
          <w:color w:val="000000" w:themeColor="text1"/>
        </w:rPr>
        <w:t xml:space="preserve">; </w:t>
      </w:r>
    </w:p>
    <w:p w:rsidR="002B60C7" w:rsidRPr="00374785" w:rsidRDefault="002B60C7" w:rsidP="00591AA5">
      <w:pPr>
        <w:pStyle w:val="tDefn"/>
        <w:numPr>
          <w:ilvl w:val="0"/>
          <w:numId w:val="9"/>
        </w:numPr>
        <w:rPr>
          <w:color w:val="000000" w:themeColor="text1"/>
        </w:rPr>
      </w:pPr>
      <w:r w:rsidRPr="00374785">
        <w:rPr>
          <w:color w:val="000000" w:themeColor="text1"/>
        </w:rPr>
        <w:t xml:space="preserve">as a noun, an area of </w:t>
      </w:r>
      <w:r w:rsidR="001A6DC5" w:rsidRPr="00374785">
        <w:rPr>
          <w:color w:val="000000" w:themeColor="text1"/>
        </w:rPr>
        <w:t>project trees established using direct seeding or propagated seedling stock</w:t>
      </w:r>
      <w:r w:rsidRPr="00374785">
        <w:rPr>
          <w:color w:val="000000" w:themeColor="text1"/>
        </w:rPr>
        <w:t>.</w:t>
      </w:r>
    </w:p>
    <w:p w:rsidR="002B60C7" w:rsidRPr="00374785" w:rsidRDefault="002B60C7" w:rsidP="002B60C7">
      <w:pPr>
        <w:pStyle w:val="tDefn"/>
        <w:rPr>
          <w:color w:val="000000" w:themeColor="text1"/>
        </w:rPr>
      </w:pPr>
      <w:r w:rsidRPr="00374785">
        <w:rPr>
          <w:b/>
          <w:i/>
          <w:color w:val="000000" w:themeColor="text1"/>
        </w:rPr>
        <w:t>planting date</w:t>
      </w:r>
      <w:r w:rsidRPr="00374785">
        <w:rPr>
          <w:color w:val="000000" w:themeColor="text1"/>
        </w:rPr>
        <w:t xml:space="preserve"> means </w:t>
      </w:r>
      <w:r w:rsidR="006A7AE4" w:rsidRPr="00374785">
        <w:rPr>
          <w:color w:val="000000" w:themeColor="text1"/>
        </w:rPr>
        <w:t xml:space="preserve">for a carbon estimation area, </w:t>
      </w:r>
      <w:r w:rsidRPr="00374785">
        <w:rPr>
          <w:color w:val="000000" w:themeColor="text1"/>
        </w:rPr>
        <w:t xml:space="preserve">the date on which planting last occurred within </w:t>
      </w:r>
      <w:r w:rsidR="006A7AE4" w:rsidRPr="00374785">
        <w:rPr>
          <w:color w:val="000000" w:themeColor="text1"/>
        </w:rPr>
        <w:t>the</w:t>
      </w:r>
      <w:r w:rsidRPr="00374785">
        <w:rPr>
          <w:color w:val="000000" w:themeColor="text1"/>
        </w:rPr>
        <w:t xml:space="preserve"> carbon estimation area.</w:t>
      </w:r>
    </w:p>
    <w:p w:rsidR="002B60C7" w:rsidRPr="00374785" w:rsidRDefault="002B60C7" w:rsidP="002B60C7">
      <w:pPr>
        <w:pStyle w:val="tDefn"/>
        <w:rPr>
          <w:color w:val="000000" w:themeColor="text1"/>
        </w:rPr>
      </w:pPr>
      <w:r w:rsidRPr="00374785">
        <w:rPr>
          <w:b/>
          <w:i/>
          <w:color w:val="000000" w:themeColor="text1"/>
        </w:rPr>
        <w:t>planting geometry</w:t>
      </w:r>
      <w:r w:rsidRPr="00374785">
        <w:rPr>
          <w:color w:val="000000" w:themeColor="text1"/>
        </w:rPr>
        <w:t xml:space="preserve"> means one of the following:</w:t>
      </w:r>
    </w:p>
    <w:p w:rsidR="002B60C7" w:rsidRPr="00374785" w:rsidRDefault="002B60C7" w:rsidP="00591AA5">
      <w:pPr>
        <w:pStyle w:val="Bullet"/>
        <w:numPr>
          <w:ilvl w:val="0"/>
          <w:numId w:val="11"/>
        </w:numPr>
        <w:spacing w:before="80" w:after="100" w:line="260" w:lineRule="exact"/>
        <w:ind w:hanging="357"/>
        <w:jc w:val="both"/>
        <w:rPr>
          <w:rFonts w:ascii="Times New Roman" w:hAnsi="Times New Roman"/>
          <w:color w:val="000000" w:themeColor="text1"/>
          <w:sz w:val="24"/>
          <w:szCs w:val="24"/>
          <w:lang w:eastAsia="en-AU"/>
        </w:rPr>
      </w:pPr>
      <w:r w:rsidRPr="00374785">
        <w:rPr>
          <w:rFonts w:ascii="Times New Roman" w:hAnsi="Times New Roman"/>
          <w:color w:val="000000" w:themeColor="text1"/>
          <w:sz w:val="24"/>
          <w:szCs w:val="24"/>
          <w:lang w:eastAsia="en-AU"/>
        </w:rPr>
        <w:t>narrow</w:t>
      </w:r>
      <w:r w:rsidR="00AE0721" w:rsidRPr="00374785">
        <w:rPr>
          <w:rFonts w:ascii="Times New Roman" w:hAnsi="Times New Roman"/>
          <w:color w:val="000000" w:themeColor="text1"/>
          <w:sz w:val="24"/>
          <w:szCs w:val="24"/>
          <w:lang w:eastAsia="en-AU"/>
        </w:rPr>
        <w:t>-</w:t>
      </w:r>
      <w:r w:rsidRPr="00374785">
        <w:rPr>
          <w:rFonts w:ascii="Times New Roman" w:hAnsi="Times New Roman"/>
          <w:color w:val="000000" w:themeColor="text1"/>
          <w:sz w:val="24"/>
          <w:szCs w:val="24"/>
          <w:lang w:eastAsia="en-AU"/>
        </w:rPr>
        <w:t>linear planting;</w:t>
      </w:r>
    </w:p>
    <w:p w:rsidR="002B60C7" w:rsidRPr="00374785" w:rsidRDefault="002B60C7" w:rsidP="00591AA5">
      <w:pPr>
        <w:pStyle w:val="Bullet"/>
        <w:numPr>
          <w:ilvl w:val="0"/>
          <w:numId w:val="11"/>
        </w:numPr>
        <w:spacing w:before="80" w:after="100" w:line="260" w:lineRule="exact"/>
        <w:ind w:hanging="357"/>
        <w:jc w:val="both"/>
        <w:rPr>
          <w:rFonts w:ascii="Times New Roman" w:hAnsi="Times New Roman"/>
          <w:color w:val="000000" w:themeColor="text1"/>
          <w:sz w:val="24"/>
          <w:szCs w:val="24"/>
          <w:lang w:eastAsia="en-AU"/>
        </w:rPr>
      </w:pPr>
      <w:r w:rsidRPr="00374785">
        <w:rPr>
          <w:rFonts w:ascii="Times New Roman" w:hAnsi="Times New Roman"/>
          <w:color w:val="000000" w:themeColor="text1"/>
          <w:sz w:val="24"/>
          <w:szCs w:val="24"/>
          <w:lang w:eastAsia="en-AU"/>
        </w:rPr>
        <w:t>wide</w:t>
      </w:r>
      <w:r w:rsidR="00AE0721" w:rsidRPr="00374785">
        <w:rPr>
          <w:rFonts w:ascii="Times New Roman" w:hAnsi="Times New Roman"/>
          <w:color w:val="000000" w:themeColor="text1"/>
          <w:sz w:val="24"/>
          <w:szCs w:val="24"/>
          <w:lang w:eastAsia="en-AU"/>
        </w:rPr>
        <w:t>-</w:t>
      </w:r>
      <w:r w:rsidRPr="00374785">
        <w:rPr>
          <w:rFonts w:ascii="Times New Roman" w:hAnsi="Times New Roman"/>
          <w:color w:val="000000" w:themeColor="text1"/>
          <w:sz w:val="24"/>
          <w:szCs w:val="24"/>
          <w:lang w:eastAsia="en-AU"/>
        </w:rPr>
        <w:t>linear planting;</w:t>
      </w:r>
      <w:r w:rsidR="006B59FD" w:rsidRPr="00374785">
        <w:rPr>
          <w:rFonts w:ascii="Times New Roman" w:hAnsi="Times New Roman"/>
          <w:color w:val="000000" w:themeColor="text1"/>
          <w:sz w:val="24"/>
          <w:szCs w:val="24"/>
          <w:lang w:eastAsia="en-AU"/>
        </w:rPr>
        <w:t xml:space="preserve"> or</w:t>
      </w:r>
      <w:r w:rsidRPr="00374785">
        <w:rPr>
          <w:rFonts w:ascii="Times New Roman" w:hAnsi="Times New Roman"/>
          <w:color w:val="000000" w:themeColor="text1"/>
          <w:sz w:val="24"/>
          <w:szCs w:val="24"/>
          <w:lang w:eastAsia="en-AU"/>
        </w:rPr>
        <w:t xml:space="preserve"> </w:t>
      </w:r>
    </w:p>
    <w:p w:rsidR="002B60C7" w:rsidRPr="00374785" w:rsidRDefault="002B60C7" w:rsidP="00591AA5">
      <w:pPr>
        <w:pStyle w:val="tDefn"/>
        <w:numPr>
          <w:ilvl w:val="0"/>
          <w:numId w:val="11"/>
        </w:numPr>
        <w:ind w:hanging="357"/>
        <w:rPr>
          <w:color w:val="000000" w:themeColor="text1"/>
        </w:rPr>
      </w:pPr>
      <w:r w:rsidRPr="00374785">
        <w:rPr>
          <w:color w:val="000000" w:themeColor="text1"/>
        </w:rPr>
        <w:t>block planting.</w:t>
      </w:r>
    </w:p>
    <w:p w:rsidR="00430742" w:rsidRPr="00374785" w:rsidRDefault="00430742" w:rsidP="00430742">
      <w:pPr>
        <w:pStyle w:val="tDefn"/>
        <w:rPr>
          <w:b/>
          <w:i/>
          <w:color w:val="000000" w:themeColor="text1"/>
        </w:rPr>
      </w:pPr>
      <w:r w:rsidRPr="00374785">
        <w:rPr>
          <w:b/>
          <w:i/>
          <w:color w:val="000000" w:themeColor="text1"/>
        </w:rPr>
        <w:t>planting spacing</w:t>
      </w:r>
      <w:r w:rsidRPr="00374785">
        <w:rPr>
          <w:color w:val="000000" w:themeColor="text1"/>
        </w:rPr>
        <w:t xml:space="preserve"> means</w:t>
      </w:r>
      <w:r w:rsidR="008B332C" w:rsidRPr="00374785">
        <w:rPr>
          <w:color w:val="000000" w:themeColor="text1"/>
        </w:rPr>
        <w:t xml:space="preserve"> the </w:t>
      </w:r>
      <w:r w:rsidR="008B332C" w:rsidRPr="00374785">
        <w:t>spatial configuration of a planting type</w:t>
      </w:r>
      <w:r w:rsidR="006B59FD" w:rsidRPr="00374785">
        <w:t xml:space="preserve"> and is one of the components that defines a domain group</w:t>
      </w:r>
      <w:r w:rsidR="008B332C" w:rsidRPr="00374785">
        <w:t>.</w:t>
      </w:r>
    </w:p>
    <w:p w:rsidR="00430742" w:rsidRPr="00374785" w:rsidRDefault="00430742" w:rsidP="002B60C7">
      <w:pPr>
        <w:pStyle w:val="tDefn"/>
        <w:rPr>
          <w:color w:val="000000" w:themeColor="text1"/>
        </w:rPr>
      </w:pPr>
      <w:r w:rsidRPr="00374785">
        <w:rPr>
          <w:b/>
          <w:i/>
          <w:color w:val="000000" w:themeColor="text1"/>
        </w:rPr>
        <w:t>planting type</w:t>
      </w:r>
      <w:r w:rsidRPr="00374785">
        <w:rPr>
          <w:color w:val="000000" w:themeColor="text1"/>
        </w:rPr>
        <w:t xml:space="preserve"> </w:t>
      </w:r>
      <w:r w:rsidR="006B59FD" w:rsidRPr="00374785">
        <w:t>is one of the components that defines a domain group</w:t>
      </w:r>
      <w:r w:rsidR="006B59FD" w:rsidRPr="00374785">
        <w:rPr>
          <w:color w:val="000000" w:themeColor="text1"/>
        </w:rPr>
        <w:t xml:space="preserve"> and </w:t>
      </w:r>
      <w:r w:rsidRPr="00374785">
        <w:rPr>
          <w:color w:val="000000" w:themeColor="text1"/>
        </w:rPr>
        <w:t>means</w:t>
      </w:r>
      <w:r w:rsidR="006B59FD" w:rsidRPr="00374785">
        <w:rPr>
          <w:color w:val="000000" w:themeColor="text1"/>
        </w:rPr>
        <w:t xml:space="preserve"> one of the following:</w:t>
      </w:r>
    </w:p>
    <w:p w:rsidR="006B59FD" w:rsidRPr="00374785" w:rsidRDefault="006B59FD" w:rsidP="006B59FD">
      <w:pPr>
        <w:pStyle w:val="tPara"/>
      </w:pPr>
      <w:r w:rsidRPr="00374785">
        <w:tab/>
      </w:r>
      <w:r w:rsidR="00836065" w:rsidRPr="00374785">
        <w:t>(a)</w:t>
      </w:r>
      <w:r w:rsidR="00836065" w:rsidRPr="00374785">
        <w:tab/>
        <w:t>a mallee planting;</w:t>
      </w:r>
      <w:r w:rsidR="005C4FC9" w:rsidRPr="00374785">
        <w:t xml:space="preserve"> or</w:t>
      </w:r>
    </w:p>
    <w:p w:rsidR="006B59FD" w:rsidRPr="00374785" w:rsidRDefault="005C4FC9" w:rsidP="006B59FD">
      <w:pPr>
        <w:pStyle w:val="tPara"/>
        <w:rPr>
          <w:color w:val="000000" w:themeColor="text1"/>
        </w:rPr>
      </w:pPr>
      <w:r w:rsidRPr="00374785">
        <w:tab/>
        <w:t>(b</w:t>
      </w:r>
      <w:r w:rsidR="006B59FD" w:rsidRPr="00374785">
        <w:t>)</w:t>
      </w:r>
      <w:r w:rsidR="006B59FD" w:rsidRPr="00374785">
        <w:tab/>
        <w:t>a mixed</w:t>
      </w:r>
      <w:r w:rsidR="00AE0721" w:rsidRPr="00374785">
        <w:t>-</w:t>
      </w:r>
      <w:r w:rsidR="006B59FD" w:rsidRPr="00374785">
        <w:t>species environmental planting.</w:t>
      </w:r>
    </w:p>
    <w:p w:rsidR="004709E7" w:rsidRPr="00374785" w:rsidRDefault="004709E7" w:rsidP="002B60C7">
      <w:pPr>
        <w:pStyle w:val="tDefn"/>
        <w:rPr>
          <w:b/>
          <w:i/>
          <w:color w:val="000000" w:themeColor="text1"/>
        </w:rPr>
      </w:pPr>
      <w:r w:rsidRPr="00374785">
        <w:rPr>
          <w:b/>
          <w:i/>
          <w:color w:val="000000" w:themeColor="text1"/>
        </w:rPr>
        <w:t xml:space="preserve">plot </w:t>
      </w:r>
      <w:r w:rsidRPr="00374785">
        <w:rPr>
          <w:color w:val="000000" w:themeColor="text1"/>
        </w:rPr>
        <w:t>means</w:t>
      </w:r>
      <w:r w:rsidR="00DC53BE" w:rsidRPr="00374785">
        <w:rPr>
          <w:color w:val="000000" w:themeColor="text1"/>
        </w:rPr>
        <w:t xml:space="preserve"> a defined area of land within a carbon estimation area where on-ground </w:t>
      </w:r>
      <w:r w:rsidR="00AE0721" w:rsidRPr="00374785">
        <w:rPr>
          <w:color w:val="000000" w:themeColor="text1"/>
        </w:rPr>
        <w:t xml:space="preserve">samples are collected </w:t>
      </w:r>
      <w:r w:rsidR="00DC53BE" w:rsidRPr="00374785">
        <w:rPr>
          <w:color w:val="000000" w:themeColor="text1"/>
        </w:rPr>
        <w:t xml:space="preserve">or </w:t>
      </w:r>
      <w:r w:rsidR="00AE0721" w:rsidRPr="00374785">
        <w:rPr>
          <w:color w:val="000000" w:themeColor="text1"/>
        </w:rPr>
        <w:t xml:space="preserve">for which </w:t>
      </w:r>
      <w:r w:rsidR="00DC53BE" w:rsidRPr="00374785">
        <w:rPr>
          <w:color w:val="000000" w:themeColor="text1"/>
        </w:rPr>
        <w:t xml:space="preserve">imagery </w:t>
      </w:r>
      <w:r w:rsidR="00AE0721" w:rsidRPr="00374785">
        <w:rPr>
          <w:color w:val="000000" w:themeColor="text1"/>
        </w:rPr>
        <w:t xml:space="preserve">is </w:t>
      </w:r>
      <w:r w:rsidR="005C4FC9" w:rsidRPr="00374785">
        <w:rPr>
          <w:color w:val="000000" w:themeColor="text1"/>
        </w:rPr>
        <w:t>analysed</w:t>
      </w:r>
      <w:r w:rsidR="00DC53BE" w:rsidRPr="00374785">
        <w:rPr>
          <w:color w:val="000000" w:themeColor="text1"/>
        </w:rPr>
        <w:t>.</w:t>
      </w:r>
    </w:p>
    <w:p w:rsidR="005C4FC9" w:rsidRPr="00374785" w:rsidRDefault="00836065" w:rsidP="003D713A">
      <w:pPr>
        <w:pStyle w:val="tDefn"/>
        <w:rPr>
          <w:color w:val="000000" w:themeColor="text1"/>
        </w:rPr>
      </w:pPr>
      <w:r w:rsidRPr="00374785">
        <w:rPr>
          <w:b/>
          <w:i/>
          <w:color w:val="000000" w:themeColor="text1"/>
        </w:rPr>
        <w:t>probable limit of error</w:t>
      </w:r>
      <w:r w:rsidRPr="00374785">
        <w:rPr>
          <w:color w:val="000000" w:themeColor="text1"/>
        </w:rPr>
        <w:t xml:space="preserve"> means</w:t>
      </w:r>
      <w:r w:rsidR="00DE72E6" w:rsidRPr="00374785">
        <w:rPr>
          <w:color w:val="000000" w:themeColor="text1"/>
        </w:rPr>
        <w:t xml:space="preserve"> a measure of precision estimated as half the confidence interval expressed as a percentage of the estimate calculated </w:t>
      </w:r>
      <w:r w:rsidR="003F67AD" w:rsidRPr="00374785">
        <w:rPr>
          <w:color w:val="000000" w:themeColor="text1"/>
        </w:rPr>
        <w:t>here</w:t>
      </w:r>
      <w:r w:rsidR="00F71D86" w:rsidRPr="00374785">
        <w:rPr>
          <w:color w:val="000000" w:themeColor="text1"/>
        </w:rPr>
        <w:t xml:space="preserve"> </w:t>
      </w:r>
      <w:r w:rsidR="00474A30" w:rsidRPr="00374785">
        <w:rPr>
          <w:color w:val="000000" w:themeColor="text1"/>
        </w:rPr>
        <w:t xml:space="preserve">in accordance with Equations 4 and 9 </w:t>
      </w:r>
      <w:r w:rsidR="00CB0FE7" w:rsidRPr="00374785">
        <w:rPr>
          <w:color w:val="000000" w:themeColor="text1"/>
        </w:rPr>
        <w:t>for a</w:t>
      </w:r>
      <w:r w:rsidR="00F71D86" w:rsidRPr="00374785">
        <w:rPr>
          <w:color w:val="000000" w:themeColor="text1"/>
        </w:rPr>
        <w:t xml:space="preserve"> probability of </w:t>
      </w:r>
      <w:r w:rsidR="00CB0FE7" w:rsidRPr="00374785">
        <w:rPr>
          <w:color w:val="000000" w:themeColor="text1"/>
        </w:rPr>
        <w:t xml:space="preserve">0.05 of </w:t>
      </w:r>
      <w:r w:rsidR="00F71D86" w:rsidRPr="00374785">
        <w:rPr>
          <w:color w:val="000000" w:themeColor="text1"/>
        </w:rPr>
        <w:t xml:space="preserve">obtaining a value as or more extreme than the estimate for the </w:t>
      </w:r>
      <w:r w:rsidR="00CB0FE7" w:rsidRPr="00374785">
        <w:rPr>
          <w:color w:val="000000" w:themeColor="text1"/>
        </w:rPr>
        <w:t xml:space="preserve">two-tailed </w:t>
      </w:r>
      <w:r w:rsidR="00F71D86" w:rsidRPr="00374785">
        <w:rPr>
          <w:color w:val="000000" w:themeColor="text1"/>
        </w:rPr>
        <w:t>student</w:t>
      </w:r>
      <w:r w:rsidR="001D74E4" w:rsidRPr="00374785">
        <w:rPr>
          <w:color w:val="000000" w:themeColor="text1"/>
        </w:rPr>
        <w:t>’</w:t>
      </w:r>
      <w:r w:rsidR="00F71D86" w:rsidRPr="00374785">
        <w:rPr>
          <w:color w:val="000000" w:themeColor="text1"/>
        </w:rPr>
        <w:t xml:space="preserve">s </w:t>
      </w:r>
      <w:r w:rsidRPr="00374785">
        <w:rPr>
          <w:i/>
          <w:color w:val="000000" w:themeColor="text1"/>
        </w:rPr>
        <w:t>t</w:t>
      </w:r>
      <w:r w:rsidR="005C4FC9" w:rsidRPr="00374785">
        <w:rPr>
          <w:color w:val="000000" w:themeColor="text1"/>
        </w:rPr>
        <w:t xml:space="preserve"> distribution</w:t>
      </w:r>
      <w:r w:rsidRPr="00374785">
        <w:rPr>
          <w:color w:val="000000" w:themeColor="text1"/>
        </w:rPr>
        <w:t>.</w:t>
      </w:r>
    </w:p>
    <w:p w:rsidR="002B60C7" w:rsidRPr="00374785" w:rsidRDefault="002B60C7" w:rsidP="003D713A">
      <w:pPr>
        <w:pStyle w:val="tDefn"/>
        <w:rPr>
          <w:b/>
          <w:i/>
        </w:rPr>
      </w:pPr>
      <w:r w:rsidRPr="00374785">
        <w:rPr>
          <w:b/>
          <w:i/>
        </w:rPr>
        <w:t xml:space="preserve">project mechanism </w:t>
      </w:r>
      <w:r w:rsidRPr="00374785">
        <w:t>has the meaning given by section 2.2.</w:t>
      </w:r>
    </w:p>
    <w:p w:rsidR="003003DB" w:rsidRPr="00374785" w:rsidRDefault="003003DB" w:rsidP="002B60C7">
      <w:pPr>
        <w:pStyle w:val="tDefn"/>
      </w:pPr>
      <w:r w:rsidRPr="00374785">
        <w:rPr>
          <w:b/>
          <w:i/>
          <w:color w:val="000000" w:themeColor="text1"/>
        </w:rPr>
        <w:lastRenderedPageBreak/>
        <w:t xml:space="preserve">project tree </w:t>
      </w:r>
      <w:r w:rsidRPr="00374785">
        <w:t>means</w:t>
      </w:r>
      <w:r w:rsidR="00D02B86" w:rsidRPr="00374785">
        <w:t xml:space="preserve"> a tree </w:t>
      </w:r>
      <w:r w:rsidR="00156DCD" w:rsidRPr="00374785">
        <w:t xml:space="preserve">or shrub </w:t>
      </w:r>
      <w:r w:rsidR="00D02B86" w:rsidRPr="00374785">
        <w:t xml:space="preserve">that has been established within a </w:t>
      </w:r>
      <w:r w:rsidR="00156DCD" w:rsidRPr="00374785">
        <w:t>carbon estimation area</w:t>
      </w:r>
      <w:r w:rsidR="00D02B86" w:rsidRPr="00374785">
        <w:t xml:space="preserve"> through</w:t>
      </w:r>
      <w:r w:rsidR="00156DCD" w:rsidRPr="00374785">
        <w:t xml:space="preserve"> undertaking the project mechanism.</w:t>
      </w:r>
    </w:p>
    <w:p w:rsidR="00801DEC" w:rsidRPr="00374785" w:rsidRDefault="00801DEC" w:rsidP="002B60C7">
      <w:pPr>
        <w:pStyle w:val="tDefn"/>
        <w:rPr>
          <w:color w:val="000000" w:themeColor="text1"/>
        </w:rPr>
      </w:pPr>
      <w:r w:rsidRPr="00374785">
        <w:rPr>
          <w:b/>
          <w:i/>
          <w:color w:val="000000" w:themeColor="text1"/>
        </w:rPr>
        <w:t>random planting</w:t>
      </w:r>
      <w:r w:rsidRPr="00374785">
        <w:rPr>
          <w:color w:val="000000" w:themeColor="text1"/>
        </w:rPr>
        <w:t xml:space="preserve"> means</w:t>
      </w:r>
      <w:r w:rsidR="00156DCD" w:rsidRPr="00374785">
        <w:rPr>
          <w:color w:val="000000" w:themeColor="text1"/>
        </w:rPr>
        <w:t xml:space="preserve"> a planting not planted in rows.</w:t>
      </w:r>
    </w:p>
    <w:p w:rsidR="002B60C7" w:rsidRPr="00374785" w:rsidRDefault="002B60C7" w:rsidP="002B60C7">
      <w:pPr>
        <w:pStyle w:val="tDefn"/>
        <w:rPr>
          <w:color w:val="000000" w:themeColor="text1"/>
        </w:rPr>
      </w:pPr>
      <w:r w:rsidRPr="00374785">
        <w:rPr>
          <w:b/>
          <w:i/>
          <w:color w:val="000000" w:themeColor="text1"/>
        </w:rPr>
        <w:t xml:space="preserve">Regulations </w:t>
      </w:r>
      <w:r w:rsidRPr="00374785">
        <w:rPr>
          <w:color w:val="000000" w:themeColor="text1"/>
        </w:rPr>
        <w:t xml:space="preserve">means the </w:t>
      </w:r>
      <w:r w:rsidRPr="00374785">
        <w:rPr>
          <w:i/>
          <w:color w:val="000000" w:themeColor="text1"/>
        </w:rPr>
        <w:t>Carbon Credits (Carbon Farming Initiative) Regulations 2011</w:t>
      </w:r>
      <w:r w:rsidRPr="00374785">
        <w:rPr>
          <w:color w:val="000000" w:themeColor="text1"/>
        </w:rPr>
        <w:t>.</w:t>
      </w:r>
    </w:p>
    <w:p w:rsidR="0059758A" w:rsidRPr="00374785" w:rsidRDefault="002B60C7" w:rsidP="00270162">
      <w:pPr>
        <w:pStyle w:val="tDefn"/>
        <w:rPr>
          <w:color w:val="000000" w:themeColor="text1"/>
        </w:rPr>
      </w:pPr>
      <w:r w:rsidRPr="00374785">
        <w:rPr>
          <w:b/>
          <w:i/>
          <w:color w:val="000000" w:themeColor="text1"/>
        </w:rPr>
        <w:t xml:space="preserve">shrub </w:t>
      </w:r>
      <w:r w:rsidRPr="00374785">
        <w:rPr>
          <w:color w:val="000000" w:themeColor="text1"/>
        </w:rPr>
        <w:t>means a perennial plant that has primary supporting structures consisting of secondary xylem</w:t>
      </w:r>
      <w:r w:rsidR="00376CB4" w:rsidRPr="00374785">
        <w:t xml:space="preserve"> and that does not have, or have the potential </w:t>
      </w:r>
      <w:r w:rsidR="00D537DF" w:rsidRPr="00374785">
        <w:t>for its stem</w:t>
      </w:r>
      <w:r w:rsidR="00C07FA8" w:rsidRPr="00374785">
        <w:t xml:space="preserve"> diameter</w:t>
      </w:r>
      <w:r w:rsidR="00D537DF" w:rsidRPr="00374785">
        <w:t xml:space="preserve"> to be measured </w:t>
      </w:r>
      <w:r w:rsidR="00A63DDD" w:rsidRPr="00374785">
        <w:t>at breast height</w:t>
      </w:r>
      <w:r w:rsidR="00642274" w:rsidRPr="00374785">
        <w:t xml:space="preserve"> (DBH)</w:t>
      </w:r>
      <w:r w:rsidR="00236557" w:rsidRPr="00374785">
        <w:t>,</w:t>
      </w:r>
      <w:r w:rsidR="00642274" w:rsidRPr="00374785">
        <w:t xml:space="preserve"> where DBH is </w:t>
      </w:r>
      <w:r w:rsidR="00A63DDD" w:rsidRPr="00374785">
        <w:t>defined as</w:t>
      </w:r>
      <w:r w:rsidR="00376CB4" w:rsidRPr="00374785">
        <w:t xml:space="preserve"> 130 </w:t>
      </w:r>
      <w:r w:rsidR="00156DCD" w:rsidRPr="00374785">
        <w:t>centimetres</w:t>
      </w:r>
      <w:r w:rsidR="00A63DDD" w:rsidRPr="00374785">
        <w:t xml:space="preserve"> in</w:t>
      </w:r>
      <w:r w:rsidR="00376CB4" w:rsidRPr="00374785">
        <w:t xml:space="preserve"> height</w:t>
      </w:r>
      <w:r w:rsidRPr="00374785">
        <w:rPr>
          <w:color w:val="000000" w:themeColor="text1"/>
        </w:rPr>
        <w:t>.</w:t>
      </w:r>
      <w:r w:rsidR="00270162" w:rsidRPr="00374785">
        <w:rPr>
          <w:color w:val="000000" w:themeColor="text1"/>
        </w:rPr>
        <w:t xml:space="preserve"> </w:t>
      </w:r>
      <w:r w:rsidR="0059758A" w:rsidRPr="00374785">
        <w:rPr>
          <w:color w:val="000000" w:themeColor="text1"/>
        </w:rPr>
        <w:t xml:space="preserve"> </w:t>
      </w:r>
    </w:p>
    <w:p w:rsidR="00270162" w:rsidRPr="00374785" w:rsidRDefault="009F04E0" w:rsidP="009F04E0">
      <w:pPr>
        <w:pStyle w:val="notePara"/>
      </w:pPr>
      <w:r w:rsidRPr="00374785">
        <w:tab/>
      </w:r>
      <w:r w:rsidRPr="00374785">
        <w:rPr>
          <w:b/>
          <w:i/>
        </w:rPr>
        <w:t>Note</w:t>
      </w:r>
      <w:r w:rsidRPr="00374785">
        <w:tab/>
      </w:r>
      <w:r w:rsidR="00270162" w:rsidRPr="00374785">
        <w:t xml:space="preserve">i.e. if the </w:t>
      </w:r>
      <w:r w:rsidR="00EB3C92" w:rsidRPr="00374785">
        <w:t>common</w:t>
      </w:r>
      <w:r w:rsidRPr="00374785">
        <w:t xml:space="preserve"> </w:t>
      </w:r>
      <w:r w:rsidR="00270162" w:rsidRPr="00374785">
        <w:t>growth habit of the p</w:t>
      </w:r>
      <w:r w:rsidRPr="00374785">
        <w:t xml:space="preserve">lant precludes the possibility </w:t>
      </w:r>
      <w:r w:rsidR="00270162" w:rsidRPr="00374785">
        <w:t>for a stem diameter measurement to be taken at breast height (130</w:t>
      </w:r>
      <w:r w:rsidR="00D537DF" w:rsidRPr="00374785">
        <w:t> </w:t>
      </w:r>
      <w:r w:rsidR="00270162" w:rsidRPr="00374785">
        <w:t xml:space="preserve">cm), then the plant is </w:t>
      </w:r>
      <w:r w:rsidRPr="00374785">
        <w:t xml:space="preserve">treated </w:t>
      </w:r>
      <w:r w:rsidR="00270162" w:rsidRPr="00374785">
        <w:t>a</w:t>
      </w:r>
      <w:r w:rsidRPr="00374785">
        <w:t>s</w:t>
      </w:r>
      <w:r w:rsidR="00270162" w:rsidRPr="00374785">
        <w:t xml:space="preserve"> shrub.</w:t>
      </w:r>
    </w:p>
    <w:p w:rsidR="00887D9A" w:rsidRPr="00374785" w:rsidRDefault="00836065" w:rsidP="00FB593D">
      <w:pPr>
        <w:pStyle w:val="tDefn"/>
        <w:keepNext/>
        <w:rPr>
          <w:color w:val="000000" w:themeColor="text1"/>
        </w:rPr>
      </w:pPr>
      <w:r w:rsidRPr="00374785">
        <w:rPr>
          <w:b/>
          <w:i/>
          <w:color w:val="000000" w:themeColor="text1"/>
        </w:rPr>
        <w:t xml:space="preserve">specific calibration </w:t>
      </w:r>
      <w:r w:rsidRPr="00374785">
        <w:rPr>
          <w:color w:val="000000" w:themeColor="text1"/>
        </w:rPr>
        <w:t xml:space="preserve">means a calibration used in FullCAM </w:t>
      </w:r>
      <w:r w:rsidR="007E271B" w:rsidRPr="00374785">
        <w:rPr>
          <w:color w:val="000000" w:themeColor="text1"/>
        </w:rPr>
        <w:t xml:space="preserve">and </w:t>
      </w:r>
      <w:r w:rsidRPr="00374785">
        <w:rPr>
          <w:color w:val="000000" w:themeColor="text1"/>
        </w:rPr>
        <w:t>specified in Schedule 1 to this Determination.</w:t>
      </w:r>
    </w:p>
    <w:p w:rsidR="002B60C7" w:rsidRPr="00374785" w:rsidRDefault="002B60C7" w:rsidP="002B60C7">
      <w:pPr>
        <w:pStyle w:val="tDefn"/>
        <w:rPr>
          <w:rFonts w:eastAsiaTheme="minorHAnsi" w:cs="Calibri"/>
        </w:rPr>
      </w:pPr>
      <w:r w:rsidRPr="00374785">
        <w:rPr>
          <w:b/>
          <w:i/>
        </w:rPr>
        <w:t xml:space="preserve">stem </w:t>
      </w:r>
      <w:r w:rsidRPr="00374785">
        <w:t>means the ascending axis of a plant</w:t>
      </w:r>
      <w:r w:rsidRPr="00374785">
        <w:rPr>
          <w:rFonts w:eastAsiaTheme="minorHAnsi" w:cs="Calibri"/>
        </w:rPr>
        <w:t xml:space="preserve"> and the main structural component of the above-ground portion of trees and shrubs.</w:t>
      </w:r>
    </w:p>
    <w:p w:rsidR="002B60C7" w:rsidRPr="00374785" w:rsidRDefault="002B60C7" w:rsidP="002B60C7">
      <w:pPr>
        <w:pStyle w:val="notePara"/>
      </w:pPr>
      <w:r w:rsidRPr="00374785">
        <w:tab/>
      </w:r>
      <w:r w:rsidRPr="00374785">
        <w:rPr>
          <w:b/>
          <w:i/>
        </w:rPr>
        <w:t>Note</w:t>
      </w:r>
      <w:r w:rsidRPr="00374785">
        <w:tab/>
        <w:t>Multi-stemmed trees or shrubs are treated as a single plant for estimating stocking density.</w:t>
      </w:r>
    </w:p>
    <w:p w:rsidR="002B60C7" w:rsidRPr="00374785" w:rsidRDefault="002B60C7" w:rsidP="002B60C7">
      <w:pPr>
        <w:pStyle w:val="tDefn"/>
        <w:rPr>
          <w:rFonts w:eastAsiaTheme="minorHAnsi" w:cs="Calibri"/>
        </w:rPr>
      </w:pPr>
      <w:r w:rsidRPr="00374785">
        <w:rPr>
          <w:b/>
          <w:i/>
          <w:color w:val="000000" w:themeColor="text1"/>
        </w:rPr>
        <w:t xml:space="preserve">stocking density </w:t>
      </w:r>
      <w:r w:rsidRPr="00374785">
        <w:rPr>
          <w:color w:val="000000" w:themeColor="text1"/>
        </w:rPr>
        <w:t xml:space="preserve">means the number </w:t>
      </w:r>
      <w:r w:rsidRPr="00374785">
        <w:rPr>
          <w:rFonts w:eastAsiaTheme="minorHAnsi" w:cs="Calibri"/>
        </w:rPr>
        <w:t>of live individual trees or shrubs per hectare in a carbon estimation area</w:t>
      </w:r>
      <w:r w:rsidR="0045627D" w:rsidRPr="00374785">
        <w:rPr>
          <w:rFonts w:eastAsiaTheme="minorHAnsi" w:cs="Calibri"/>
        </w:rPr>
        <w:t xml:space="preserve"> and/or the number of live individual seedlings or seeds per hectare </w:t>
      </w:r>
      <w:r w:rsidR="00836065" w:rsidRPr="00374785">
        <w:rPr>
          <w:rFonts w:eastAsiaTheme="minorHAnsi" w:cs="Calibri"/>
        </w:rPr>
        <w:t>at establishment</w:t>
      </w:r>
      <w:r w:rsidRPr="00374785">
        <w:rPr>
          <w:rFonts w:eastAsiaTheme="minorHAnsi" w:cs="Calibri"/>
        </w:rPr>
        <w:t>.</w:t>
      </w:r>
    </w:p>
    <w:p w:rsidR="002B60C7" w:rsidRPr="00374785" w:rsidRDefault="002B60C7" w:rsidP="002B60C7">
      <w:pPr>
        <w:pStyle w:val="tDefn"/>
        <w:rPr>
          <w:color w:val="000000" w:themeColor="text1"/>
          <w:szCs w:val="18"/>
        </w:rPr>
      </w:pPr>
      <w:r w:rsidRPr="00374785">
        <w:rPr>
          <w:b/>
          <w:i/>
          <w:color w:val="000000" w:themeColor="text1"/>
        </w:rPr>
        <w:t xml:space="preserve">stratification </w:t>
      </w:r>
      <w:r w:rsidRPr="00374785">
        <w:rPr>
          <w:color w:val="000000" w:themeColor="text1"/>
        </w:rPr>
        <w:t xml:space="preserve">means the </w:t>
      </w:r>
      <w:r w:rsidRPr="00374785">
        <w:rPr>
          <w:color w:val="000000" w:themeColor="text1"/>
          <w:szCs w:val="18"/>
        </w:rPr>
        <w:t>division of the project area into one or more carbon estimation areas and, if required, exclusion areas.</w:t>
      </w:r>
    </w:p>
    <w:p w:rsidR="002B60C7" w:rsidRPr="00374785" w:rsidRDefault="002B60C7" w:rsidP="00744E06">
      <w:pPr>
        <w:pStyle w:val="tDefn"/>
      </w:pPr>
      <w:r w:rsidRPr="00374785">
        <w:rPr>
          <w:b/>
          <w:i/>
        </w:rPr>
        <w:t xml:space="preserve">thinning </w:t>
      </w:r>
      <w:r w:rsidRPr="00374785">
        <w:t xml:space="preserve">means the selective </w:t>
      </w:r>
      <w:r w:rsidR="00291E9A" w:rsidRPr="00374785">
        <w:t xml:space="preserve">removal </w:t>
      </w:r>
      <w:r w:rsidRPr="00374785">
        <w:t>of trees for ecological purposes, including to maintain species diversity or ground cover.</w:t>
      </w:r>
    </w:p>
    <w:p w:rsidR="002B60C7" w:rsidRPr="00374785" w:rsidRDefault="002B60C7" w:rsidP="002B60C7">
      <w:pPr>
        <w:pStyle w:val="tDefn"/>
      </w:pPr>
      <w:r w:rsidRPr="00374785">
        <w:rPr>
          <w:b/>
          <w:i/>
          <w:color w:val="000000" w:themeColor="text1"/>
        </w:rPr>
        <w:t>tree</w:t>
      </w:r>
      <w:r w:rsidRPr="00374785">
        <w:rPr>
          <w:color w:val="000000" w:themeColor="text1"/>
        </w:rPr>
        <w:t xml:space="preserve"> </w:t>
      </w:r>
      <w:r w:rsidR="008F4B79" w:rsidRPr="00374785">
        <w:t>means a perennial plant that has primary supporting structure</w:t>
      </w:r>
      <w:r w:rsidR="00376CB4" w:rsidRPr="00374785">
        <w:t>s consisting of secondary xylem and that</w:t>
      </w:r>
      <w:r w:rsidR="008F4B79" w:rsidRPr="00374785">
        <w:t xml:space="preserve"> has</w:t>
      </w:r>
      <w:r w:rsidR="00376CB4" w:rsidRPr="00374785">
        <w:t>,</w:t>
      </w:r>
      <w:r w:rsidR="008F4B79" w:rsidRPr="00374785">
        <w:t xml:space="preserve"> </w:t>
      </w:r>
      <w:r w:rsidR="00376CB4" w:rsidRPr="00374785">
        <w:t xml:space="preserve">or has the potential to </w:t>
      </w:r>
      <w:r w:rsidR="00C07FA8" w:rsidRPr="00374785">
        <w:t>for its</w:t>
      </w:r>
      <w:r w:rsidR="008F4B79" w:rsidRPr="00374785">
        <w:t xml:space="preserve"> stem diameter </w:t>
      </w:r>
      <w:r w:rsidR="00C07FA8" w:rsidRPr="00374785">
        <w:t xml:space="preserve">to be measured </w:t>
      </w:r>
      <w:r w:rsidR="006234A0" w:rsidRPr="00374785">
        <w:t>at</w:t>
      </w:r>
      <w:r w:rsidR="00CC75F5" w:rsidRPr="00374785">
        <w:t xml:space="preserve"> 130 centimetres height</w:t>
      </w:r>
      <w:r w:rsidR="00C07FA8" w:rsidRPr="00374785">
        <w:t xml:space="preserve"> (i.e. DBH)</w:t>
      </w:r>
      <w:r w:rsidR="008F4B79" w:rsidRPr="00374785">
        <w:t>.</w:t>
      </w:r>
    </w:p>
    <w:p w:rsidR="002B60C7" w:rsidRPr="00374785" w:rsidRDefault="002B60C7" w:rsidP="002B60C7">
      <w:pPr>
        <w:pStyle w:val="tDefn"/>
        <w:rPr>
          <w:rFonts w:eastAsiaTheme="minorHAnsi" w:cs="Calibri"/>
        </w:rPr>
      </w:pPr>
      <w:r w:rsidRPr="00374785">
        <w:rPr>
          <w:b/>
          <w:i/>
          <w:color w:val="000000" w:themeColor="text1"/>
        </w:rPr>
        <w:t xml:space="preserve">tree proportion </w:t>
      </w:r>
      <w:r w:rsidRPr="00374785">
        <w:rPr>
          <w:rFonts w:eastAsiaTheme="minorHAnsi" w:cs="Calibri"/>
        </w:rPr>
        <w:t>means the proportion of individual live trees relative to the total of individual live trees and shrubs in a mixed-species environmental planting.</w:t>
      </w:r>
    </w:p>
    <w:p w:rsidR="002D66C6" w:rsidRPr="00374785" w:rsidRDefault="004D5E3C" w:rsidP="002B60C7">
      <w:pPr>
        <w:pStyle w:val="tDefn"/>
        <w:rPr>
          <w:color w:val="000000" w:themeColor="text1"/>
        </w:rPr>
      </w:pPr>
      <w:r w:rsidRPr="00374785">
        <w:rPr>
          <w:b/>
          <w:i/>
          <w:color w:val="000000" w:themeColor="text1"/>
        </w:rPr>
        <w:t>w</w:t>
      </w:r>
      <w:r w:rsidR="002B60C7" w:rsidRPr="00374785">
        <w:rPr>
          <w:b/>
          <w:i/>
          <w:color w:val="000000" w:themeColor="text1"/>
        </w:rPr>
        <w:t>ide</w:t>
      </w:r>
      <w:r w:rsidR="00C07FA8" w:rsidRPr="00374785">
        <w:rPr>
          <w:b/>
          <w:i/>
          <w:color w:val="000000" w:themeColor="text1"/>
        </w:rPr>
        <w:t>-</w:t>
      </w:r>
      <w:r w:rsidR="002B60C7" w:rsidRPr="00374785">
        <w:rPr>
          <w:b/>
          <w:i/>
          <w:color w:val="000000" w:themeColor="text1"/>
        </w:rPr>
        <w:t>linear planting</w:t>
      </w:r>
      <w:r w:rsidR="002B60C7" w:rsidRPr="00374785">
        <w:rPr>
          <w:color w:val="000000" w:themeColor="text1"/>
        </w:rPr>
        <w:t xml:space="preserve"> </w:t>
      </w:r>
      <w:r w:rsidR="002D66C6" w:rsidRPr="00374785">
        <w:rPr>
          <w:color w:val="000000" w:themeColor="text1"/>
        </w:rPr>
        <w:t>has the meaning given in section 3.12.</w:t>
      </w:r>
    </w:p>
    <w:p w:rsidR="002B60C7" w:rsidRPr="00374785" w:rsidRDefault="00F46690" w:rsidP="00F46690">
      <w:pPr>
        <w:pStyle w:val="noteMain"/>
      </w:pPr>
      <w:r w:rsidRPr="00374785">
        <w:tab/>
      </w:r>
      <w:r w:rsidRPr="00374785">
        <w:rPr>
          <w:b/>
          <w:i/>
        </w:rPr>
        <w:t>Note</w:t>
      </w:r>
      <w:r w:rsidRPr="00374785">
        <w:tab/>
      </w:r>
      <w:r w:rsidR="002B60C7" w:rsidRPr="00374785">
        <w:t>Other words and expressions used in this Determination have the meaning given by the Act.  These include:</w:t>
      </w:r>
    </w:p>
    <w:p w:rsidR="002B60C7" w:rsidRPr="00374785" w:rsidRDefault="002B60C7" w:rsidP="002B60C7">
      <w:pPr>
        <w:pStyle w:val="tDefn"/>
        <w:rPr>
          <w:b/>
          <w:i/>
          <w:color w:val="000000" w:themeColor="text1"/>
          <w:sz w:val="20"/>
        </w:rPr>
      </w:pPr>
      <w:r w:rsidRPr="00374785">
        <w:rPr>
          <w:b/>
          <w:i/>
          <w:color w:val="000000" w:themeColor="text1"/>
          <w:sz w:val="20"/>
        </w:rPr>
        <w:t>certificate of entitlement</w:t>
      </w:r>
    </w:p>
    <w:p w:rsidR="002B60C7" w:rsidRPr="00374785" w:rsidRDefault="002B60C7" w:rsidP="002B60C7">
      <w:pPr>
        <w:pStyle w:val="notePara"/>
        <w:ind w:left="2665"/>
        <w:rPr>
          <w:b/>
          <w:i/>
          <w:color w:val="000000" w:themeColor="text1"/>
        </w:rPr>
      </w:pPr>
      <w:r w:rsidRPr="00374785">
        <w:rPr>
          <w:b/>
          <w:i/>
          <w:color w:val="000000" w:themeColor="text1"/>
        </w:rPr>
        <w:tab/>
        <w:t>eligible offsets project</w:t>
      </w:r>
    </w:p>
    <w:p w:rsidR="002B60C7" w:rsidRPr="00374785" w:rsidRDefault="002B60C7" w:rsidP="002B60C7">
      <w:pPr>
        <w:pStyle w:val="notePara"/>
        <w:ind w:left="2665"/>
        <w:rPr>
          <w:b/>
          <w:i/>
          <w:color w:val="000000" w:themeColor="text1"/>
        </w:rPr>
      </w:pPr>
      <w:r w:rsidRPr="00374785">
        <w:rPr>
          <w:b/>
          <w:i/>
          <w:color w:val="000000" w:themeColor="text1"/>
        </w:rPr>
        <w:tab/>
        <w:t>emission</w:t>
      </w:r>
    </w:p>
    <w:p w:rsidR="002B60C7" w:rsidRPr="00374785" w:rsidRDefault="002B60C7" w:rsidP="002B60C7">
      <w:pPr>
        <w:pStyle w:val="notePara"/>
        <w:ind w:left="2665"/>
        <w:rPr>
          <w:b/>
          <w:i/>
          <w:color w:val="000000" w:themeColor="text1"/>
        </w:rPr>
      </w:pPr>
      <w:r w:rsidRPr="00374785">
        <w:rPr>
          <w:b/>
          <w:i/>
          <w:color w:val="000000" w:themeColor="text1"/>
        </w:rPr>
        <w:tab/>
        <w:t>greenhouse gas</w:t>
      </w:r>
    </w:p>
    <w:p w:rsidR="002B60C7" w:rsidRPr="00374785" w:rsidRDefault="002B60C7" w:rsidP="002B60C7">
      <w:pPr>
        <w:pStyle w:val="notePara"/>
        <w:ind w:left="2665"/>
        <w:rPr>
          <w:b/>
          <w:i/>
          <w:color w:val="000000" w:themeColor="text1"/>
        </w:rPr>
      </w:pPr>
      <w:r w:rsidRPr="00374785">
        <w:rPr>
          <w:b/>
          <w:i/>
          <w:color w:val="76923C" w:themeColor="accent3" w:themeShade="BF"/>
        </w:rPr>
        <w:tab/>
      </w:r>
      <w:r w:rsidRPr="00374785">
        <w:rPr>
          <w:b/>
          <w:i/>
          <w:color w:val="000000" w:themeColor="text1"/>
        </w:rPr>
        <w:t>offsets report</w:t>
      </w:r>
    </w:p>
    <w:p w:rsidR="002B60C7" w:rsidRPr="00374785" w:rsidRDefault="002B60C7" w:rsidP="002B60C7">
      <w:pPr>
        <w:pStyle w:val="notePara"/>
        <w:rPr>
          <w:b/>
          <w:i/>
          <w:color w:val="000000" w:themeColor="text1"/>
        </w:rPr>
      </w:pPr>
      <w:r w:rsidRPr="00374785">
        <w:rPr>
          <w:b/>
          <w:i/>
          <w:color w:val="000000" w:themeColor="text1"/>
        </w:rPr>
        <w:tab/>
        <w:t>project</w:t>
      </w:r>
    </w:p>
    <w:p w:rsidR="002B60C7" w:rsidRPr="00374785" w:rsidRDefault="002B60C7" w:rsidP="002B60C7">
      <w:pPr>
        <w:pStyle w:val="notePara"/>
        <w:ind w:left="2665"/>
        <w:rPr>
          <w:b/>
          <w:i/>
          <w:color w:val="000000" w:themeColor="text1"/>
        </w:rPr>
      </w:pPr>
      <w:r w:rsidRPr="00374785">
        <w:rPr>
          <w:b/>
          <w:i/>
          <w:color w:val="000000" w:themeColor="text1"/>
        </w:rPr>
        <w:t>project area</w:t>
      </w:r>
    </w:p>
    <w:p w:rsidR="002B60C7" w:rsidRPr="00374785" w:rsidRDefault="002B60C7" w:rsidP="002B60C7">
      <w:pPr>
        <w:pStyle w:val="notePara"/>
        <w:ind w:left="2665"/>
        <w:rPr>
          <w:b/>
          <w:i/>
          <w:color w:val="000000" w:themeColor="text1"/>
        </w:rPr>
      </w:pPr>
      <w:r w:rsidRPr="00374785">
        <w:rPr>
          <w:b/>
          <w:i/>
          <w:color w:val="000000" w:themeColor="text1"/>
        </w:rPr>
        <w:t>project proponent</w:t>
      </w:r>
    </w:p>
    <w:p w:rsidR="002B60C7" w:rsidRPr="00374785" w:rsidRDefault="002B60C7" w:rsidP="002B60C7">
      <w:pPr>
        <w:pStyle w:val="notePara"/>
        <w:ind w:left="2665"/>
        <w:rPr>
          <w:b/>
          <w:i/>
          <w:color w:val="000000" w:themeColor="text1"/>
        </w:rPr>
      </w:pPr>
      <w:r w:rsidRPr="00374785">
        <w:rPr>
          <w:b/>
          <w:i/>
          <w:color w:val="000000" w:themeColor="text1"/>
        </w:rPr>
        <w:t>Regulator; and</w:t>
      </w:r>
    </w:p>
    <w:p w:rsidR="002B60C7" w:rsidRPr="00374785" w:rsidRDefault="002B60C7" w:rsidP="002B60C7">
      <w:pPr>
        <w:pStyle w:val="notePara"/>
        <w:ind w:left="2665"/>
        <w:rPr>
          <w:b/>
          <w:i/>
          <w:color w:val="000000" w:themeColor="text1"/>
        </w:rPr>
      </w:pPr>
      <w:r w:rsidRPr="00374785">
        <w:rPr>
          <w:b/>
          <w:i/>
          <w:color w:val="000000" w:themeColor="text1"/>
        </w:rPr>
        <w:t>reporting period.</w:t>
      </w:r>
    </w:p>
    <w:p w:rsidR="002B60C7" w:rsidRPr="00374785" w:rsidRDefault="007F3C0F" w:rsidP="00470F06">
      <w:pPr>
        <w:pStyle w:val="h5Section"/>
      </w:pPr>
      <w:bookmarkStart w:id="4" w:name="_Toc397681548"/>
      <w:r>
        <w:lastRenderedPageBreak/>
        <w:t>1.4</w:t>
      </w:r>
      <w:r w:rsidR="00470F06" w:rsidRPr="00374785">
        <w:tab/>
      </w:r>
      <w:r w:rsidR="00676BA5" w:rsidRPr="00374785">
        <w:t>Kind</w:t>
      </w:r>
      <w:r w:rsidR="002B60C7" w:rsidRPr="00374785">
        <w:t xml:space="preserve"> of project to which this Determination applies</w:t>
      </w:r>
      <w:bookmarkEnd w:id="4"/>
    </w:p>
    <w:p w:rsidR="00676BA5" w:rsidRPr="00374785" w:rsidRDefault="00676BA5" w:rsidP="00676BA5">
      <w:pPr>
        <w:pStyle w:val="noteMain"/>
      </w:pPr>
      <w:r w:rsidRPr="00374785">
        <w:tab/>
      </w:r>
      <w:r w:rsidRPr="00374785">
        <w:rPr>
          <w:b/>
          <w:i/>
        </w:rPr>
        <w:t>Note</w:t>
      </w:r>
      <w:r w:rsidRPr="00374785">
        <w:tab/>
        <w:t>See paragraph 106(1)(a) of the Act.</w:t>
      </w:r>
    </w:p>
    <w:p w:rsidR="00676BA5" w:rsidRPr="00374785" w:rsidRDefault="00676BA5" w:rsidP="00676BA5">
      <w:pPr>
        <w:pStyle w:val="tMain"/>
      </w:pPr>
      <w:r w:rsidRPr="00374785">
        <w:tab/>
      </w:r>
      <w:r w:rsidR="007F3C0F">
        <w:t>(1)</w:t>
      </w:r>
      <w:r w:rsidRPr="00374785">
        <w:tab/>
        <w:t>This Determination applies to the following kinds of project:</w:t>
      </w:r>
    </w:p>
    <w:p w:rsidR="00676BA5" w:rsidRPr="00374785" w:rsidRDefault="00676BA5" w:rsidP="00676BA5">
      <w:pPr>
        <w:pStyle w:val="tPara"/>
      </w:pPr>
      <w:r w:rsidRPr="00374785">
        <w:tab/>
      </w:r>
      <w:r w:rsidR="007F3C0F">
        <w:t>(a)</w:t>
      </w:r>
      <w:r w:rsidRPr="00374785">
        <w:tab/>
        <w:t xml:space="preserve">the establishment of a permanent planting on or after 1 July 2007; </w:t>
      </w:r>
    </w:p>
    <w:p w:rsidR="00676BA5" w:rsidRPr="00374785" w:rsidRDefault="00676BA5" w:rsidP="00676BA5">
      <w:pPr>
        <w:pStyle w:val="tPara"/>
      </w:pPr>
      <w:r w:rsidRPr="00374785">
        <w:tab/>
      </w:r>
      <w:r w:rsidR="007F3C0F">
        <w:t>(b)</w:t>
      </w:r>
      <w:r w:rsidRPr="00374785">
        <w:tab/>
        <w:t>a forestry project accredited under the Commonwealth Government’s Greenhouse Friendly</w:t>
      </w:r>
      <w:r w:rsidRPr="00374785">
        <w:rPr>
          <w:vertAlign w:val="superscript"/>
        </w:rPr>
        <w:t>TM</w:t>
      </w:r>
      <w:r w:rsidRPr="00374785">
        <w:t xml:space="preserve"> initiative; </w:t>
      </w:r>
    </w:p>
    <w:p w:rsidR="00676BA5" w:rsidRPr="00374785" w:rsidRDefault="00676BA5" w:rsidP="00676BA5">
      <w:pPr>
        <w:pStyle w:val="tPara"/>
      </w:pPr>
      <w:r w:rsidRPr="00374785">
        <w:tab/>
      </w:r>
      <w:r w:rsidR="007F3C0F">
        <w:t>(c)</w:t>
      </w:r>
      <w:r w:rsidRPr="00374785">
        <w:tab/>
        <w:t>a permanent planting accredited under:</w:t>
      </w:r>
    </w:p>
    <w:p w:rsidR="00676BA5" w:rsidRPr="00374785" w:rsidRDefault="00676BA5" w:rsidP="00676BA5">
      <w:pPr>
        <w:pStyle w:val="tSubpara"/>
      </w:pPr>
      <w:r w:rsidRPr="00374785">
        <w:tab/>
      </w:r>
      <w:r w:rsidR="007F3C0F">
        <w:t>(i)</w:t>
      </w:r>
      <w:r w:rsidRPr="00374785">
        <w:tab/>
        <w:t>the New South Wales Government’s Greenhouse Gas Reduction Scheme; or</w:t>
      </w:r>
    </w:p>
    <w:p w:rsidR="00676BA5" w:rsidRPr="00374785" w:rsidRDefault="00676BA5" w:rsidP="00676BA5">
      <w:pPr>
        <w:pStyle w:val="tSubpara"/>
      </w:pPr>
      <w:r w:rsidRPr="00374785">
        <w:tab/>
      </w:r>
      <w:r w:rsidR="007F3C0F">
        <w:t>(ii)</w:t>
      </w:r>
      <w:r w:rsidRPr="00374785">
        <w:tab/>
        <w:t>the Australian Capital Territory Government’s Greenhouse Gas Abatement Scheme; or</w:t>
      </w:r>
    </w:p>
    <w:p w:rsidR="00676BA5" w:rsidRPr="00374785" w:rsidRDefault="00676BA5" w:rsidP="00676BA5">
      <w:pPr>
        <w:pStyle w:val="tPara"/>
      </w:pPr>
      <w:r w:rsidRPr="00374785">
        <w:tab/>
      </w:r>
      <w:r w:rsidR="007F3C0F">
        <w:t>(d)</w:t>
      </w:r>
      <w:r w:rsidRPr="00374785">
        <w:tab/>
        <w:t>a permanent planting established before 1 July 2007 for which there is documentary evidence of a kind mentioned in subsection (2) that demonstrates, to the satisfaction of the Regulator, that the primary purpose of the planting w</w:t>
      </w:r>
      <w:r w:rsidR="00FD7912" w:rsidRPr="00374785">
        <w:t>as generation of carbon offsets.</w:t>
      </w:r>
      <w:r w:rsidRPr="00374785">
        <w:t xml:space="preserve"> </w:t>
      </w:r>
    </w:p>
    <w:p w:rsidR="00676BA5" w:rsidRPr="00374785" w:rsidRDefault="00676BA5" w:rsidP="00676BA5">
      <w:pPr>
        <w:pStyle w:val="tMain"/>
        <w:rPr>
          <w:rFonts w:eastAsiaTheme="minorHAnsi"/>
          <w:lang w:eastAsia="en-US"/>
        </w:rPr>
      </w:pPr>
      <w:r w:rsidRPr="00374785">
        <w:rPr>
          <w:rFonts w:eastAsiaTheme="minorHAnsi"/>
          <w:lang w:eastAsia="en-US"/>
        </w:rPr>
        <w:tab/>
      </w:r>
      <w:r w:rsidR="007F3C0F">
        <w:rPr>
          <w:rFonts w:eastAsiaTheme="minorHAnsi"/>
          <w:lang w:eastAsia="en-US"/>
        </w:rPr>
        <w:t>(2)</w:t>
      </w:r>
      <w:r w:rsidRPr="00374785">
        <w:rPr>
          <w:rFonts w:eastAsiaTheme="minorHAnsi"/>
          <w:lang w:eastAsia="en-US"/>
        </w:rPr>
        <w:tab/>
        <w:t>Documentary evidence, for paragraph (1)(d)</w:t>
      </w:r>
      <w:r w:rsidR="00186C6A" w:rsidRPr="00374785">
        <w:rPr>
          <w:rFonts w:eastAsiaTheme="minorHAnsi"/>
          <w:lang w:eastAsia="en-US"/>
        </w:rPr>
        <w:t xml:space="preserve"> must</w:t>
      </w:r>
      <w:r w:rsidRPr="00374785">
        <w:rPr>
          <w:rFonts w:eastAsiaTheme="minorHAnsi"/>
          <w:lang w:eastAsia="en-US"/>
        </w:rPr>
        <w:t>:</w:t>
      </w:r>
    </w:p>
    <w:p w:rsidR="00676BA5" w:rsidRPr="00374785" w:rsidRDefault="00676BA5" w:rsidP="00676BA5">
      <w:pPr>
        <w:pStyle w:val="tPara"/>
        <w:rPr>
          <w:rFonts w:eastAsiaTheme="minorHAnsi"/>
          <w:lang w:eastAsia="en-US"/>
        </w:rPr>
      </w:pPr>
      <w:r w:rsidRPr="00374785">
        <w:rPr>
          <w:rFonts w:eastAsiaTheme="minorHAnsi"/>
          <w:lang w:eastAsia="en-US"/>
        </w:rPr>
        <w:tab/>
      </w:r>
      <w:r w:rsidR="007F3C0F">
        <w:rPr>
          <w:rFonts w:eastAsiaTheme="minorHAnsi"/>
          <w:lang w:eastAsia="en-US"/>
        </w:rPr>
        <w:t>(a)</w:t>
      </w:r>
      <w:r w:rsidRPr="00374785">
        <w:rPr>
          <w:rFonts w:eastAsiaTheme="minorHAnsi"/>
          <w:lang w:eastAsia="en-US"/>
        </w:rPr>
        <w:tab/>
        <w:t xml:space="preserve">be dated no later than 2 years after the date the plantings were established; </w:t>
      </w:r>
    </w:p>
    <w:p w:rsidR="00676BA5" w:rsidRPr="00374785" w:rsidRDefault="00676BA5" w:rsidP="00676BA5">
      <w:pPr>
        <w:pStyle w:val="tPara"/>
        <w:rPr>
          <w:rFonts w:eastAsiaTheme="minorHAnsi"/>
          <w:lang w:eastAsia="en-US"/>
        </w:rPr>
      </w:pPr>
      <w:r w:rsidRPr="00374785">
        <w:rPr>
          <w:rFonts w:eastAsiaTheme="minorHAnsi"/>
          <w:lang w:eastAsia="en-US"/>
        </w:rPr>
        <w:tab/>
      </w:r>
      <w:r w:rsidR="007F3C0F">
        <w:rPr>
          <w:rFonts w:eastAsiaTheme="minorHAnsi"/>
          <w:lang w:eastAsia="en-US"/>
        </w:rPr>
        <w:t>(b)</w:t>
      </w:r>
      <w:r w:rsidRPr="00374785">
        <w:rPr>
          <w:rFonts w:eastAsiaTheme="minorHAnsi"/>
          <w:lang w:eastAsia="en-US"/>
        </w:rPr>
        <w:tab/>
        <w:t>show that carbon sequestration rights had been registered for the plantings; and</w:t>
      </w:r>
    </w:p>
    <w:p w:rsidR="00FD7912" w:rsidRPr="00374785" w:rsidRDefault="00676BA5" w:rsidP="00676BA5">
      <w:pPr>
        <w:pStyle w:val="tPara"/>
        <w:rPr>
          <w:rFonts w:eastAsiaTheme="minorHAnsi"/>
          <w:lang w:eastAsia="en-US"/>
        </w:rPr>
      </w:pPr>
      <w:r w:rsidRPr="00374785">
        <w:rPr>
          <w:rFonts w:eastAsiaTheme="minorHAnsi"/>
          <w:lang w:eastAsia="en-US"/>
        </w:rPr>
        <w:tab/>
      </w:r>
      <w:r w:rsidR="007F3C0F">
        <w:rPr>
          <w:rFonts w:eastAsiaTheme="minorHAnsi"/>
          <w:lang w:eastAsia="en-US"/>
        </w:rPr>
        <w:t>(c)</w:t>
      </w:r>
      <w:r w:rsidRPr="00374785">
        <w:rPr>
          <w:rFonts w:eastAsiaTheme="minorHAnsi"/>
          <w:lang w:eastAsia="en-US"/>
        </w:rPr>
        <w:tab/>
        <w:t>include a statutory declaration that the plantings were entirely privately funded.</w:t>
      </w:r>
      <w:r w:rsidR="00FD7912" w:rsidRPr="00374785">
        <w:rPr>
          <w:rFonts w:eastAsiaTheme="minorHAnsi"/>
          <w:lang w:eastAsia="en-US"/>
        </w:rPr>
        <w:t xml:space="preserve"> </w:t>
      </w:r>
    </w:p>
    <w:p w:rsidR="00676BA5" w:rsidRPr="00374785" w:rsidRDefault="00186C6A" w:rsidP="00186C6A">
      <w:pPr>
        <w:pStyle w:val="notePara"/>
        <w:rPr>
          <w:rFonts w:eastAsiaTheme="minorHAnsi"/>
          <w:lang w:eastAsia="en-US"/>
        </w:rPr>
      </w:pPr>
      <w:r w:rsidRPr="00374785">
        <w:rPr>
          <w:rFonts w:eastAsiaTheme="minorHAnsi"/>
          <w:lang w:eastAsia="en-US"/>
        </w:rPr>
        <w:tab/>
      </w:r>
      <w:r w:rsidRPr="00374785">
        <w:rPr>
          <w:rFonts w:eastAsiaTheme="minorHAnsi"/>
          <w:b/>
          <w:i/>
          <w:lang w:eastAsia="en-US"/>
        </w:rPr>
        <w:t>Note</w:t>
      </w:r>
      <w:r w:rsidRPr="00374785">
        <w:rPr>
          <w:rFonts w:eastAsiaTheme="minorHAnsi"/>
          <w:lang w:eastAsia="en-US"/>
        </w:rPr>
        <w:tab/>
        <w:t xml:space="preserve">The documentary evidence in paragraph (2) </w:t>
      </w:r>
      <w:r w:rsidR="00FD7912" w:rsidRPr="00374785">
        <w:rPr>
          <w:rFonts w:eastAsiaTheme="minorHAnsi"/>
          <w:lang w:eastAsia="en-US"/>
        </w:rPr>
        <w:t>may include con</w:t>
      </w:r>
      <w:r w:rsidRPr="00374785">
        <w:rPr>
          <w:rFonts w:eastAsiaTheme="minorHAnsi"/>
          <w:lang w:eastAsia="en-US"/>
        </w:rPr>
        <w:t>tracts for the sale of offsets.</w:t>
      </w:r>
    </w:p>
    <w:p w:rsidR="002B60C7" w:rsidRPr="00374785" w:rsidRDefault="002B60C7" w:rsidP="002B60C7">
      <w:pPr>
        <w:pStyle w:val="h2Part"/>
      </w:pPr>
      <w:bookmarkStart w:id="5" w:name="_Toc397681549"/>
      <w:r w:rsidRPr="00374785">
        <w:lastRenderedPageBreak/>
        <w:t xml:space="preserve">Part </w:t>
      </w:r>
      <w:r w:rsidR="007F3C0F">
        <w:t>2</w:t>
      </w:r>
      <w:r w:rsidRPr="00374785">
        <w:tab/>
        <w:t>Requirements for declaration as eligible project</w:t>
      </w:r>
      <w:bookmarkEnd w:id="5"/>
    </w:p>
    <w:p w:rsidR="002B60C7" w:rsidRPr="00374785" w:rsidRDefault="002B60C7" w:rsidP="002B60C7">
      <w:pPr>
        <w:pStyle w:val="noteMain"/>
        <w:rPr>
          <w:color w:val="000000" w:themeColor="text1"/>
        </w:rPr>
      </w:pPr>
      <w:r w:rsidRPr="00374785">
        <w:rPr>
          <w:color w:val="000000" w:themeColor="text1"/>
        </w:rPr>
        <w:tab/>
      </w:r>
      <w:r w:rsidRPr="00374785">
        <w:rPr>
          <w:b/>
          <w:i/>
          <w:color w:val="000000" w:themeColor="text1"/>
        </w:rPr>
        <w:t>Note</w:t>
      </w:r>
      <w:r w:rsidRPr="00374785">
        <w:rPr>
          <w:color w:val="000000" w:themeColor="text1"/>
        </w:rPr>
        <w:tab/>
        <w:t>See paragraphs 27(4)(c) and 106(1)(b) of the Act.</w:t>
      </w:r>
    </w:p>
    <w:p w:rsidR="002B60C7" w:rsidRPr="00374785" w:rsidRDefault="007F3C0F" w:rsidP="002B60C7">
      <w:pPr>
        <w:pStyle w:val="h5Section"/>
        <w:rPr>
          <w:color w:val="000000" w:themeColor="text1"/>
        </w:rPr>
      </w:pPr>
      <w:bookmarkStart w:id="6" w:name="_Toc397681550"/>
      <w:r>
        <w:rPr>
          <w:color w:val="000000" w:themeColor="text1"/>
        </w:rPr>
        <w:t>2.1</w:t>
      </w:r>
      <w:r w:rsidR="002B60C7" w:rsidRPr="00374785">
        <w:rPr>
          <w:color w:val="000000" w:themeColor="text1"/>
        </w:rPr>
        <w:tab/>
        <w:t>Eligible projects</w:t>
      </w:r>
      <w:bookmarkEnd w:id="6"/>
    </w:p>
    <w:p w:rsidR="002B60C7" w:rsidRPr="00374785" w:rsidRDefault="002B60C7" w:rsidP="002B60C7">
      <w:pPr>
        <w:pStyle w:val="tMain"/>
        <w:rPr>
          <w:color w:val="000000" w:themeColor="text1"/>
        </w:rPr>
      </w:pPr>
      <w:r w:rsidRPr="00374785">
        <w:rPr>
          <w:color w:val="000000" w:themeColor="text1"/>
        </w:rPr>
        <w:tab/>
      </w:r>
      <w:r w:rsidRPr="00374785">
        <w:rPr>
          <w:color w:val="000000" w:themeColor="text1"/>
        </w:rPr>
        <w:tab/>
        <w:t>To be declared an eligible offsets project, a project to which this Determination applies must meet the requirements in this Part.</w:t>
      </w:r>
    </w:p>
    <w:p w:rsidR="002B60C7" w:rsidRPr="00374785" w:rsidRDefault="002B60C7" w:rsidP="002B60C7">
      <w:pPr>
        <w:pStyle w:val="notePara"/>
        <w:rPr>
          <w:color w:val="000000" w:themeColor="text1"/>
        </w:rPr>
      </w:pPr>
      <w:r w:rsidRPr="00374785">
        <w:rPr>
          <w:color w:val="000000" w:themeColor="text1"/>
        </w:rPr>
        <w:tab/>
      </w:r>
      <w:r w:rsidRPr="00374785">
        <w:rPr>
          <w:b/>
          <w:i/>
          <w:color w:val="000000" w:themeColor="text1"/>
        </w:rPr>
        <w:t>Note</w:t>
      </w:r>
      <w:r w:rsidRPr="00374785">
        <w:rPr>
          <w:color w:val="000000" w:themeColor="text1"/>
        </w:rPr>
        <w:tab/>
        <w:t xml:space="preserve">In addition, a project must meet the requirements in section 27 of the Act and in the Regulations, including a requirement to provide, in an application for a declaration of an eligible offsets project, a geospatial map of the project area that meets the requirements of the CFI Mapping Guidelines (regulation 3.1), and that the project is not an excluded offsets project (regulations 3.36 and 3.37).  </w:t>
      </w:r>
    </w:p>
    <w:p w:rsidR="002B60C7" w:rsidRPr="00374785" w:rsidRDefault="007F3C0F" w:rsidP="002B60C7">
      <w:pPr>
        <w:pStyle w:val="h5Section"/>
      </w:pPr>
      <w:bookmarkStart w:id="7" w:name="_Toc397681551"/>
      <w:r>
        <w:t>2.2</w:t>
      </w:r>
      <w:r w:rsidR="002B60C7" w:rsidRPr="00374785">
        <w:tab/>
        <w:t>Project mechanism</w:t>
      </w:r>
      <w:bookmarkEnd w:id="7"/>
    </w:p>
    <w:p w:rsidR="002B60C7" w:rsidRPr="00374785" w:rsidRDefault="002B60C7" w:rsidP="002B60C7">
      <w:pPr>
        <w:pStyle w:val="tMain"/>
      </w:pPr>
      <w:r w:rsidRPr="00374785">
        <w:tab/>
      </w:r>
      <w:r w:rsidRPr="00374785">
        <w:tab/>
        <w:t>The project must establish by planting, and maintain</w:t>
      </w:r>
      <w:r w:rsidR="00186C6A" w:rsidRPr="00374785">
        <w:t>,</w:t>
      </w:r>
      <w:r w:rsidRPr="00374785">
        <w:t xml:space="preserve"> the following types of permanent plantings: </w:t>
      </w:r>
    </w:p>
    <w:p w:rsidR="002B60C7" w:rsidRPr="00374785" w:rsidRDefault="002B60C7" w:rsidP="002B60C7">
      <w:pPr>
        <w:pStyle w:val="tPara"/>
      </w:pPr>
      <w:r w:rsidRPr="00374785">
        <w:tab/>
      </w:r>
      <w:r w:rsidR="007F3C0F">
        <w:t>(a)</w:t>
      </w:r>
      <w:r w:rsidRPr="00374785">
        <w:tab/>
        <w:t>a mixed-species environmental planting; or</w:t>
      </w:r>
    </w:p>
    <w:p w:rsidR="002B60C7" w:rsidRPr="00374785" w:rsidRDefault="002B60C7" w:rsidP="002B60C7">
      <w:pPr>
        <w:pStyle w:val="tPara"/>
      </w:pPr>
      <w:r w:rsidRPr="00374785">
        <w:tab/>
      </w:r>
      <w:r w:rsidR="007F3C0F">
        <w:t>(b)</w:t>
      </w:r>
      <w:r w:rsidRPr="00374785">
        <w:tab/>
        <w:t>a mallee planting.</w:t>
      </w:r>
    </w:p>
    <w:p w:rsidR="002B60C7" w:rsidRPr="00374785" w:rsidRDefault="007F3C0F" w:rsidP="002B60C7">
      <w:pPr>
        <w:pStyle w:val="h5Section"/>
      </w:pPr>
      <w:bookmarkStart w:id="8" w:name="_Toc397681552"/>
      <w:r>
        <w:t>2.3</w:t>
      </w:r>
      <w:r w:rsidR="002B60C7" w:rsidRPr="00374785">
        <w:tab/>
        <w:t>Land on which project mechanism is implemented</w:t>
      </w:r>
      <w:bookmarkEnd w:id="8"/>
      <w:r w:rsidR="002B60C7" w:rsidRPr="00374785">
        <w:t xml:space="preserve"> </w:t>
      </w:r>
    </w:p>
    <w:p w:rsidR="002B60C7" w:rsidRPr="00374785" w:rsidRDefault="002B60C7" w:rsidP="002B60C7">
      <w:pPr>
        <w:pStyle w:val="tMain"/>
      </w:pPr>
      <w:r w:rsidRPr="00374785">
        <w:tab/>
      </w:r>
      <w:r w:rsidR="007F3C0F">
        <w:t>(1)</w:t>
      </w:r>
      <w:r w:rsidRPr="00374785">
        <w:tab/>
        <w:t>This section sets out requirements for the land on which the project mechanism is implemented.</w:t>
      </w:r>
    </w:p>
    <w:p w:rsidR="002B60C7" w:rsidRPr="00374785" w:rsidRDefault="002B60C7" w:rsidP="002B60C7">
      <w:pPr>
        <w:pStyle w:val="tMain"/>
      </w:pPr>
      <w:r w:rsidRPr="00374785">
        <w:tab/>
      </w:r>
      <w:r w:rsidR="007F3C0F">
        <w:t>(2)</w:t>
      </w:r>
      <w:r w:rsidRPr="00374785">
        <w:tab/>
        <w:t xml:space="preserve">The land must be: </w:t>
      </w:r>
    </w:p>
    <w:p w:rsidR="002B60C7" w:rsidRPr="00374785" w:rsidRDefault="002B60C7" w:rsidP="002B60C7">
      <w:pPr>
        <w:pStyle w:val="tPara"/>
      </w:pPr>
      <w:r w:rsidRPr="00374785">
        <w:tab/>
      </w:r>
      <w:r w:rsidR="007F3C0F">
        <w:t>(a)</w:t>
      </w:r>
      <w:r w:rsidRPr="00374785">
        <w:tab/>
        <w:t>within Australia, excluding external territories; and</w:t>
      </w:r>
    </w:p>
    <w:p w:rsidR="002B60C7" w:rsidRPr="00374785" w:rsidRDefault="002B60C7" w:rsidP="002B60C7">
      <w:pPr>
        <w:pStyle w:val="tPara"/>
      </w:pPr>
      <w:r w:rsidRPr="00374785">
        <w:tab/>
      </w:r>
      <w:r w:rsidR="007F3C0F">
        <w:t>(b)</w:t>
      </w:r>
      <w:r w:rsidRPr="00374785">
        <w:tab/>
      </w:r>
      <w:r w:rsidR="00836065" w:rsidRPr="00374785">
        <w:t>in an area for which FullCAM data exists</w:t>
      </w:r>
      <w:r w:rsidRPr="00374785">
        <w:t>.</w:t>
      </w:r>
      <w:r w:rsidRPr="00374785">
        <w:tab/>
      </w:r>
    </w:p>
    <w:p w:rsidR="002B60C7" w:rsidRPr="00374785" w:rsidRDefault="002B60C7" w:rsidP="002B60C7">
      <w:pPr>
        <w:pStyle w:val="tMain"/>
      </w:pPr>
      <w:r w:rsidRPr="00374785">
        <w:tab/>
      </w:r>
      <w:r w:rsidR="007F3C0F">
        <w:t>(3)</w:t>
      </w:r>
      <w:r w:rsidRPr="00374785">
        <w:tab/>
        <w:t xml:space="preserve">The land must not </w:t>
      </w:r>
      <w:r w:rsidR="00186C6A" w:rsidRPr="00374785">
        <w:t>contain</w:t>
      </w:r>
      <w:r w:rsidRPr="00374785">
        <w:t xml:space="preserve"> woody biomass or </w:t>
      </w:r>
      <w:r w:rsidR="00186C6A" w:rsidRPr="00374785">
        <w:t xml:space="preserve">an </w:t>
      </w:r>
      <w:r w:rsidRPr="00374785">
        <w:t>invasive native scrub species</w:t>
      </w:r>
      <w:r w:rsidR="00B4615C" w:rsidRPr="00374785">
        <w:t xml:space="preserve"> that need</w:t>
      </w:r>
      <w:r w:rsidRPr="00374785">
        <w:t xml:space="preserve"> to be cleared </w:t>
      </w:r>
      <w:r w:rsidR="00B4615C" w:rsidRPr="00374785">
        <w:t>in order for</w:t>
      </w:r>
      <w:r w:rsidRPr="00374785">
        <w:t xml:space="preserve"> planting</w:t>
      </w:r>
      <w:r w:rsidR="00B4615C" w:rsidRPr="00374785">
        <w:t xml:space="preserve"> to occur</w:t>
      </w:r>
      <w:r w:rsidRPr="00374785">
        <w:t>, other than known weed species required or authorised by law to be cleared.</w:t>
      </w:r>
    </w:p>
    <w:p w:rsidR="00F6167B" w:rsidRPr="00374785" w:rsidRDefault="00F6167B" w:rsidP="00F6167B">
      <w:pPr>
        <w:pStyle w:val="tMain"/>
      </w:pPr>
      <w:r w:rsidRPr="00374785">
        <w:tab/>
      </w:r>
      <w:r w:rsidR="007F3C0F">
        <w:t>(4)</w:t>
      </w:r>
      <w:r w:rsidRPr="00374785">
        <w:tab/>
        <w:t xml:space="preserve">For at least 5 years before </w:t>
      </w:r>
      <w:r w:rsidR="00836065" w:rsidRPr="00374785">
        <w:t>project commencement</w:t>
      </w:r>
      <w:r w:rsidRPr="00374785">
        <w:t>, the project area must have been clear of forest cover.</w:t>
      </w:r>
    </w:p>
    <w:p w:rsidR="00F6167B" w:rsidRPr="00374785" w:rsidRDefault="00F6167B" w:rsidP="00F6167B">
      <w:pPr>
        <w:pStyle w:val="tMain"/>
      </w:pPr>
      <w:r w:rsidRPr="00374785">
        <w:tab/>
      </w:r>
      <w:r w:rsidR="007F3C0F">
        <w:t>(5)</w:t>
      </w:r>
      <w:r w:rsidRPr="00374785">
        <w:tab/>
        <w:t>Project trees established on land on which the project mechanism is to be implemented will have the potential to attain:</w:t>
      </w:r>
    </w:p>
    <w:p w:rsidR="00F6167B" w:rsidRPr="00374785" w:rsidRDefault="00F6167B" w:rsidP="00F6167B">
      <w:pPr>
        <w:pStyle w:val="tPara"/>
      </w:pPr>
      <w:r w:rsidRPr="00374785">
        <w:tab/>
      </w:r>
      <w:r w:rsidR="007F3C0F">
        <w:t>(a)</w:t>
      </w:r>
      <w:r w:rsidRPr="00374785">
        <w:tab/>
        <w:t xml:space="preserve">a height of 2 metres or more; and </w:t>
      </w:r>
    </w:p>
    <w:p w:rsidR="00F6167B" w:rsidRPr="00374785" w:rsidRDefault="00F6167B" w:rsidP="00F6167B">
      <w:pPr>
        <w:pStyle w:val="tPara"/>
      </w:pPr>
      <w:r w:rsidRPr="00374785">
        <w:tab/>
      </w:r>
      <w:r w:rsidR="007F3C0F">
        <w:t>(b)</w:t>
      </w:r>
      <w:r w:rsidRPr="00374785">
        <w:tab/>
        <w:t>a crown cover of at least 20% over the total area of the stratum in which the project trees are located.</w:t>
      </w:r>
    </w:p>
    <w:p w:rsidR="00F6167B" w:rsidRPr="00374785" w:rsidRDefault="00F6167B" w:rsidP="00F6167B">
      <w:pPr>
        <w:pStyle w:val="notePara"/>
      </w:pPr>
      <w:r w:rsidRPr="00374785">
        <w:tab/>
      </w:r>
      <w:r w:rsidRPr="00374785">
        <w:rPr>
          <w:b/>
          <w:i/>
        </w:rPr>
        <w:t>Note</w:t>
      </w:r>
      <w:r w:rsidRPr="00374785">
        <w:tab/>
        <w:t xml:space="preserve">The potential to attain the requirements in subsection (2) may be demonstrated by </w:t>
      </w:r>
      <w:r w:rsidR="004C1DEA" w:rsidRPr="00374785">
        <w:t xml:space="preserve">a description of </w:t>
      </w:r>
      <w:r w:rsidRPr="00374785">
        <w:t xml:space="preserve">the species of trees to be planted, the growth characteristics of the species and the anticipated </w:t>
      </w:r>
      <w:r w:rsidR="004C1DEA" w:rsidRPr="00374785">
        <w:t xml:space="preserve">height and </w:t>
      </w:r>
      <w:r w:rsidRPr="00374785">
        <w:t>crown cover across the stratum area when project trees are at maturity.</w:t>
      </w:r>
    </w:p>
    <w:p w:rsidR="005F2F60" w:rsidRPr="00374785" w:rsidRDefault="005F2F60" w:rsidP="005F2F60">
      <w:pPr>
        <w:pStyle w:val="h6Subsec"/>
      </w:pPr>
      <w:r w:rsidRPr="00374785">
        <w:lastRenderedPageBreak/>
        <w:t>Mallee plantings—600mm long-term average annual rainfall</w:t>
      </w:r>
    </w:p>
    <w:p w:rsidR="005F2F60" w:rsidRPr="00374785" w:rsidRDefault="005F2F60" w:rsidP="005F2F60">
      <w:pPr>
        <w:pStyle w:val="tMain"/>
      </w:pPr>
      <w:r w:rsidRPr="00374785">
        <w:tab/>
      </w:r>
      <w:r w:rsidR="007F3C0F">
        <w:t>(6)</w:t>
      </w:r>
      <w:r w:rsidRPr="00374785">
        <w:tab/>
        <w:t xml:space="preserve">Subject to subsection (7), land in the project area on which a mallee planting occurs must receive long-term average rainfall </w:t>
      </w:r>
      <w:r w:rsidR="004C1DEA" w:rsidRPr="00374785">
        <w:t xml:space="preserve">of 600 millimetres </w:t>
      </w:r>
      <w:r w:rsidRPr="00374785">
        <w:t xml:space="preserve">or less, as </w:t>
      </w:r>
      <w:r w:rsidR="00B4615C" w:rsidRPr="00374785">
        <w:t>determined</w:t>
      </w:r>
      <w:r w:rsidRPr="00374785">
        <w:t xml:space="preserve"> by the long term average rainfall map layer in the CFI Mapping Tool</w:t>
      </w:r>
      <w:r w:rsidR="004C1DEA" w:rsidRPr="00374785">
        <w:t>.</w:t>
      </w:r>
      <w:r w:rsidRPr="00374785">
        <w:t xml:space="preserve"> </w:t>
      </w:r>
    </w:p>
    <w:p w:rsidR="005F2F60" w:rsidRPr="00374785" w:rsidRDefault="005F2F60" w:rsidP="005F2F60">
      <w:pPr>
        <w:pStyle w:val="tMain"/>
      </w:pPr>
      <w:r w:rsidRPr="00374785">
        <w:tab/>
      </w:r>
      <w:r w:rsidR="007F3C0F">
        <w:t>(7)</w:t>
      </w:r>
      <w:r w:rsidRPr="00374785">
        <w:tab/>
        <w:t>A mallee planting that satisfies the requirements for a specific calibration</w:t>
      </w:r>
      <w:r w:rsidR="00B4615C" w:rsidRPr="00374785">
        <w:t xml:space="preserve"> </w:t>
      </w:r>
      <w:r w:rsidRPr="00374785">
        <w:t>is not subject to the restriction in subsection (6).</w:t>
      </w:r>
    </w:p>
    <w:p w:rsidR="005F2F60" w:rsidRPr="00374785" w:rsidRDefault="005F2F60" w:rsidP="005F2F60">
      <w:pPr>
        <w:pStyle w:val="notePara"/>
      </w:pPr>
      <w:r w:rsidRPr="00374785">
        <w:tab/>
      </w:r>
      <w:r w:rsidRPr="00374785">
        <w:rPr>
          <w:b/>
          <w:i/>
        </w:rPr>
        <w:t>Note</w:t>
      </w:r>
      <w:r w:rsidRPr="00374785">
        <w:tab/>
        <w:t>The geographic limits that apply to mallee specific calibrations under FullCAM serve a similar function as the 600</w:t>
      </w:r>
      <w:r w:rsidR="004C1DEA" w:rsidRPr="00374785">
        <w:t> </w:t>
      </w:r>
      <w:r w:rsidRPr="00374785">
        <w:t>mm rainfall restriction.</w:t>
      </w:r>
    </w:p>
    <w:p w:rsidR="00167DED" w:rsidRPr="00374785" w:rsidRDefault="007F3C0F" w:rsidP="00F41F29">
      <w:pPr>
        <w:pStyle w:val="h5Section"/>
      </w:pPr>
      <w:bookmarkStart w:id="9" w:name="_Toc397681553"/>
      <w:r>
        <w:t>2.4</w:t>
      </w:r>
      <w:r w:rsidR="00F41F29" w:rsidRPr="00374785">
        <w:tab/>
      </w:r>
      <w:r w:rsidR="00167DED" w:rsidRPr="00374785">
        <w:t>Identification of project area</w:t>
      </w:r>
      <w:bookmarkEnd w:id="9"/>
    </w:p>
    <w:p w:rsidR="00167DED" w:rsidRPr="00374785" w:rsidRDefault="00F41F29" w:rsidP="00F41F29">
      <w:pPr>
        <w:pStyle w:val="tMain"/>
      </w:pPr>
      <w:r w:rsidRPr="00374785">
        <w:tab/>
      </w:r>
      <w:r w:rsidRPr="00374785">
        <w:tab/>
      </w:r>
      <w:r w:rsidR="00167DED" w:rsidRPr="00374785">
        <w:t>The boundaries of the project area must be delineated in accordance with the CFI Mapping Guidelines.</w:t>
      </w:r>
    </w:p>
    <w:p w:rsidR="00167DED" w:rsidRPr="00374785" w:rsidRDefault="002C755B" w:rsidP="002C755B">
      <w:pPr>
        <w:pStyle w:val="notePara"/>
      </w:pPr>
      <w:r w:rsidRPr="00374785">
        <w:tab/>
      </w:r>
      <w:r w:rsidRPr="00374785">
        <w:rPr>
          <w:b/>
          <w:i/>
        </w:rPr>
        <w:t>Note</w:t>
      </w:r>
      <w:r w:rsidRPr="00374785">
        <w:tab/>
      </w:r>
      <w:r w:rsidR="00167DED" w:rsidRPr="00374785">
        <w:t>Regulation 3.1 of the Regulations includes a requirement to provide, in an application for a declaration of an eligible offsets project, a geospatial map of the project area that meets the requirements of the CFI Mapping Guidelines.</w:t>
      </w:r>
    </w:p>
    <w:p w:rsidR="002B60C7" w:rsidRPr="00374785" w:rsidRDefault="002B60C7" w:rsidP="002B60C7">
      <w:pPr>
        <w:pStyle w:val="h2Part"/>
      </w:pPr>
      <w:bookmarkStart w:id="10" w:name="_Toc397681554"/>
      <w:r w:rsidRPr="00374785">
        <w:lastRenderedPageBreak/>
        <w:t xml:space="preserve">Part </w:t>
      </w:r>
      <w:r w:rsidR="007F3C0F">
        <w:t>3</w:t>
      </w:r>
      <w:r w:rsidRPr="00374785">
        <w:tab/>
      </w:r>
      <w:r w:rsidR="00E25FEB" w:rsidRPr="00374785">
        <w:t>Project operation</w:t>
      </w:r>
      <w:bookmarkEnd w:id="10"/>
    </w:p>
    <w:p w:rsidR="002B60C7" w:rsidRPr="00374785" w:rsidRDefault="002C755B" w:rsidP="002C755B">
      <w:pPr>
        <w:pStyle w:val="noteMain"/>
      </w:pPr>
      <w:r w:rsidRPr="00374785">
        <w:tab/>
      </w:r>
      <w:r w:rsidRPr="00374785">
        <w:rPr>
          <w:b/>
          <w:i/>
        </w:rPr>
        <w:t>Note</w:t>
      </w:r>
      <w:r w:rsidRPr="00374785">
        <w:tab/>
      </w:r>
      <w:r w:rsidR="002B60C7" w:rsidRPr="00374785">
        <w:t>See paragraphs 27(4)(c), 35(2)(a) and 106(1)(b) of the Act and regulations 1.12 and 3.26 of the Regulations.</w:t>
      </w:r>
    </w:p>
    <w:p w:rsidR="002B60C7" w:rsidRPr="00374785" w:rsidRDefault="002B60C7" w:rsidP="002B60C7">
      <w:pPr>
        <w:pStyle w:val="h3Div"/>
      </w:pPr>
      <w:bookmarkStart w:id="11" w:name="_Toc397681555"/>
      <w:r w:rsidRPr="00374785">
        <w:t xml:space="preserve">Division </w:t>
      </w:r>
      <w:r w:rsidR="007F3C0F">
        <w:t>3.1</w:t>
      </w:r>
      <w:r w:rsidRPr="00374785">
        <w:tab/>
        <w:t>Operation of eligible projects</w:t>
      </w:r>
      <w:bookmarkEnd w:id="11"/>
    </w:p>
    <w:p w:rsidR="002B60C7" w:rsidRPr="00374785" w:rsidRDefault="007F3C0F" w:rsidP="002B60C7">
      <w:pPr>
        <w:pStyle w:val="h5Section"/>
      </w:pPr>
      <w:bookmarkStart w:id="12" w:name="_Toc397681556"/>
      <w:r>
        <w:t>3.1</w:t>
      </w:r>
      <w:r w:rsidR="002B60C7" w:rsidRPr="00374785">
        <w:tab/>
        <w:t>Operation of eligible projects</w:t>
      </w:r>
      <w:bookmarkEnd w:id="12"/>
    </w:p>
    <w:p w:rsidR="002B60C7" w:rsidRPr="00374785" w:rsidRDefault="002B60C7" w:rsidP="002B60C7">
      <w:pPr>
        <w:pStyle w:val="tMain"/>
      </w:pPr>
      <w:r w:rsidRPr="00374785">
        <w:tab/>
      </w:r>
      <w:r w:rsidRPr="00374785">
        <w:tab/>
        <w:t>An eligible offsets project to which this Determination applies must be operated in accordance with this Part.</w:t>
      </w:r>
    </w:p>
    <w:p w:rsidR="002B60C7" w:rsidRPr="00374785" w:rsidRDefault="002B60C7" w:rsidP="002B60C7">
      <w:pPr>
        <w:pStyle w:val="h3Div"/>
      </w:pPr>
      <w:bookmarkStart w:id="13" w:name="_Toc397681557"/>
      <w:r w:rsidRPr="00374785">
        <w:t xml:space="preserve">Division </w:t>
      </w:r>
      <w:r w:rsidR="007F3C0F">
        <w:t>3.2</w:t>
      </w:r>
      <w:r w:rsidRPr="00374785">
        <w:tab/>
        <w:t>Stratification of the project area</w:t>
      </w:r>
      <w:bookmarkEnd w:id="13"/>
    </w:p>
    <w:p w:rsidR="002B60C7" w:rsidRPr="00374785" w:rsidRDefault="007F3C0F" w:rsidP="002B60C7">
      <w:pPr>
        <w:pStyle w:val="h5Section"/>
      </w:pPr>
      <w:bookmarkStart w:id="14" w:name="_Toc397681558"/>
      <w:r>
        <w:t>3.2</w:t>
      </w:r>
      <w:r w:rsidR="002B60C7" w:rsidRPr="00374785">
        <w:tab/>
        <w:t>Initial stratification of project area</w:t>
      </w:r>
      <w:bookmarkEnd w:id="14"/>
      <w:r w:rsidR="002B60C7" w:rsidRPr="00374785">
        <w:t xml:space="preserve"> </w:t>
      </w:r>
    </w:p>
    <w:p w:rsidR="002B60C7" w:rsidRPr="00374785" w:rsidRDefault="002B60C7" w:rsidP="002B60C7">
      <w:pPr>
        <w:pStyle w:val="tMain"/>
      </w:pPr>
      <w:r w:rsidRPr="00374785">
        <w:tab/>
      </w:r>
      <w:r w:rsidRPr="00374785">
        <w:tab/>
        <w:t>Before submitting the first offsets report for the project, the project proponent must stratify the project area in accordance with this Division.</w:t>
      </w:r>
    </w:p>
    <w:p w:rsidR="002B60C7" w:rsidRPr="00374785" w:rsidRDefault="007F3C0F" w:rsidP="002B60C7">
      <w:pPr>
        <w:pStyle w:val="h5Section"/>
      </w:pPr>
      <w:bookmarkStart w:id="15" w:name="_Toc397681559"/>
      <w:r>
        <w:t>3.3</w:t>
      </w:r>
      <w:r w:rsidR="002B60C7" w:rsidRPr="00374785">
        <w:tab/>
        <w:t>Requirements for a carbon estimation area</w:t>
      </w:r>
      <w:bookmarkEnd w:id="15"/>
    </w:p>
    <w:p w:rsidR="002B60C7" w:rsidRPr="00374785" w:rsidRDefault="002B60C7" w:rsidP="002B60C7">
      <w:pPr>
        <w:pStyle w:val="tMain"/>
      </w:pPr>
      <w:r w:rsidRPr="00374785">
        <w:tab/>
      </w:r>
      <w:r w:rsidR="007F3C0F">
        <w:t>(1)</w:t>
      </w:r>
      <w:r w:rsidRPr="00374785">
        <w:tab/>
        <w:t>A carbon estimation area must:</w:t>
      </w:r>
    </w:p>
    <w:p w:rsidR="002B60C7" w:rsidRPr="00374785" w:rsidRDefault="002B60C7" w:rsidP="002B60C7">
      <w:pPr>
        <w:pStyle w:val="tPara"/>
      </w:pPr>
      <w:r w:rsidRPr="00374785">
        <w:tab/>
      </w:r>
      <w:r w:rsidR="007F3C0F">
        <w:t>(a)</w:t>
      </w:r>
      <w:r w:rsidRPr="00374785">
        <w:tab/>
        <w:t>consist of land on which the project mechanism is implemented; and</w:t>
      </w:r>
    </w:p>
    <w:p w:rsidR="002B60C7" w:rsidRPr="00374785" w:rsidRDefault="00167DED" w:rsidP="00167DED">
      <w:pPr>
        <w:pStyle w:val="tPara"/>
      </w:pPr>
      <w:r w:rsidRPr="00374785">
        <w:tab/>
      </w:r>
      <w:r w:rsidR="007F3C0F">
        <w:t>(b)</w:t>
      </w:r>
      <w:r w:rsidRPr="00374785">
        <w:tab/>
      </w:r>
      <w:r w:rsidR="002B60C7" w:rsidRPr="00374785">
        <w:t>be mapped in accordance with the CFI Mapping Guidelines</w:t>
      </w:r>
      <w:r w:rsidR="002C755B" w:rsidRPr="00374785">
        <w:t>.</w:t>
      </w:r>
    </w:p>
    <w:p w:rsidR="002B60C7" w:rsidRPr="00374785" w:rsidRDefault="002B60C7" w:rsidP="002B60C7">
      <w:pPr>
        <w:pStyle w:val="h6Subsec"/>
      </w:pPr>
      <w:r w:rsidRPr="00374785">
        <w:t>Uniformity requirements</w:t>
      </w:r>
    </w:p>
    <w:p w:rsidR="002B60C7" w:rsidRPr="00374785" w:rsidRDefault="002B60C7" w:rsidP="002B60C7">
      <w:pPr>
        <w:pStyle w:val="tMain"/>
      </w:pPr>
      <w:r w:rsidRPr="00374785">
        <w:tab/>
      </w:r>
      <w:r w:rsidR="007F3C0F">
        <w:t>(2)</w:t>
      </w:r>
      <w:r w:rsidRPr="00374785">
        <w:tab/>
        <w:t>A carbon estimation area must:</w:t>
      </w:r>
    </w:p>
    <w:p w:rsidR="002B60C7" w:rsidRPr="00374785" w:rsidRDefault="002B60C7" w:rsidP="002B60C7">
      <w:pPr>
        <w:pStyle w:val="tPara"/>
      </w:pPr>
      <w:r w:rsidRPr="00374785">
        <w:tab/>
      </w:r>
      <w:r w:rsidR="007F3C0F">
        <w:t>(a)</w:t>
      </w:r>
      <w:r w:rsidRPr="00374785">
        <w:tab/>
        <w:t>have uniform site characteristics in relation to the following:</w:t>
      </w:r>
    </w:p>
    <w:p w:rsidR="002B60C7" w:rsidRPr="00374785" w:rsidRDefault="002B60C7" w:rsidP="002B60C7">
      <w:pPr>
        <w:pStyle w:val="tSubpara"/>
      </w:pPr>
      <w:r w:rsidRPr="00374785">
        <w:tab/>
      </w:r>
      <w:r w:rsidR="007F3C0F">
        <w:t>(i)</w:t>
      </w:r>
      <w:r w:rsidRPr="00374785">
        <w:tab/>
        <w:t>soil type;</w:t>
      </w:r>
    </w:p>
    <w:p w:rsidR="002B60C7" w:rsidRPr="00374785" w:rsidRDefault="002B60C7" w:rsidP="002B60C7">
      <w:pPr>
        <w:pStyle w:val="tSubpara"/>
      </w:pPr>
      <w:r w:rsidRPr="00374785">
        <w:tab/>
      </w:r>
      <w:r w:rsidR="007F3C0F">
        <w:t>(ii)</w:t>
      </w:r>
      <w:r w:rsidRPr="00374785">
        <w:tab/>
        <w:t xml:space="preserve">aspect; and </w:t>
      </w:r>
    </w:p>
    <w:p w:rsidR="002B60C7" w:rsidRPr="00374785" w:rsidRDefault="002B60C7" w:rsidP="002B60C7">
      <w:pPr>
        <w:pStyle w:val="tSubpara"/>
      </w:pPr>
      <w:r w:rsidRPr="00374785">
        <w:tab/>
      </w:r>
      <w:r w:rsidR="007F3C0F">
        <w:t>(iii)</w:t>
      </w:r>
      <w:r w:rsidRPr="00374785">
        <w:tab/>
        <w:t xml:space="preserve">slope; </w:t>
      </w:r>
    </w:p>
    <w:p w:rsidR="00F313E4" w:rsidRPr="00374785" w:rsidRDefault="002B60C7" w:rsidP="002B60C7">
      <w:pPr>
        <w:pStyle w:val="tPara"/>
      </w:pPr>
      <w:r w:rsidRPr="00374785">
        <w:tab/>
      </w:r>
      <w:r w:rsidR="007F3C0F">
        <w:t>(b)</w:t>
      </w:r>
      <w:r w:rsidRPr="00374785">
        <w:tab/>
        <w:t>be planted with the same combination of</w:t>
      </w:r>
      <w:r w:rsidR="007B0D72" w:rsidRPr="00374785">
        <w:t xml:space="preserve"> plant species;</w:t>
      </w:r>
    </w:p>
    <w:p w:rsidR="002B60C7" w:rsidRPr="00374785" w:rsidRDefault="002B60C7" w:rsidP="002B60C7">
      <w:pPr>
        <w:pStyle w:val="tPara"/>
      </w:pPr>
      <w:r w:rsidRPr="00374785">
        <w:tab/>
      </w:r>
      <w:r w:rsidR="007F3C0F">
        <w:t>(c)</w:t>
      </w:r>
      <w:r w:rsidRPr="00374785">
        <w:tab/>
        <w:t xml:space="preserve">be established and managed </w:t>
      </w:r>
      <w:r w:rsidR="00EB526B" w:rsidRPr="00374785">
        <w:t>under the same land management regime</w:t>
      </w:r>
      <w:r w:rsidRPr="00374785">
        <w:t>, including in relation to:</w:t>
      </w:r>
    </w:p>
    <w:p w:rsidR="002B60C7" w:rsidRPr="00374785" w:rsidRDefault="002B60C7" w:rsidP="002B60C7">
      <w:pPr>
        <w:pStyle w:val="tSubpara"/>
      </w:pPr>
      <w:r w:rsidRPr="00374785">
        <w:tab/>
      </w:r>
      <w:r w:rsidR="007F3C0F">
        <w:t>(i)</w:t>
      </w:r>
      <w:r w:rsidRPr="00374785">
        <w:tab/>
        <w:t>preparation prior to planting;</w:t>
      </w:r>
    </w:p>
    <w:p w:rsidR="002B60C7" w:rsidRPr="00374785" w:rsidRDefault="002B60C7" w:rsidP="002B60C7">
      <w:pPr>
        <w:pStyle w:val="tSubpara"/>
      </w:pPr>
      <w:r w:rsidRPr="00374785">
        <w:tab/>
      </w:r>
      <w:r w:rsidR="007F3C0F">
        <w:t>(ii)</w:t>
      </w:r>
      <w:r w:rsidRPr="00374785">
        <w:tab/>
        <w:t>planting;</w:t>
      </w:r>
    </w:p>
    <w:p w:rsidR="002B60C7" w:rsidRPr="00374785" w:rsidRDefault="002B60C7" w:rsidP="002B60C7">
      <w:pPr>
        <w:pStyle w:val="tSubpara"/>
      </w:pPr>
      <w:r w:rsidRPr="00374785">
        <w:tab/>
      </w:r>
      <w:r w:rsidR="007F3C0F">
        <w:t>(iii)</w:t>
      </w:r>
      <w:r w:rsidRPr="00374785">
        <w:tab/>
        <w:t>thinning;</w:t>
      </w:r>
    </w:p>
    <w:p w:rsidR="002B60C7" w:rsidRPr="00374785" w:rsidRDefault="002B60C7" w:rsidP="002B60C7">
      <w:pPr>
        <w:pStyle w:val="tSubpara"/>
      </w:pPr>
      <w:r w:rsidRPr="00374785">
        <w:tab/>
      </w:r>
      <w:r w:rsidR="007F3C0F">
        <w:t>(iv)</w:t>
      </w:r>
      <w:r w:rsidRPr="00374785">
        <w:tab/>
        <w:t>weed control treatment; and</w:t>
      </w:r>
    </w:p>
    <w:p w:rsidR="00E66B32" w:rsidRPr="00374785" w:rsidRDefault="002B60C7" w:rsidP="00E66B32">
      <w:pPr>
        <w:pStyle w:val="tSubpara"/>
      </w:pPr>
      <w:r w:rsidRPr="00374785">
        <w:tab/>
      </w:r>
      <w:r w:rsidR="007F3C0F">
        <w:t>(v)</w:t>
      </w:r>
      <w:r w:rsidRPr="00374785">
        <w:tab/>
        <w:t>the application of fertiliser.</w:t>
      </w:r>
    </w:p>
    <w:p w:rsidR="009B64FD" w:rsidRPr="00374785" w:rsidRDefault="00E66B32" w:rsidP="00E66B32">
      <w:pPr>
        <w:pStyle w:val="noteSubpara"/>
      </w:pPr>
      <w:r w:rsidRPr="00374785">
        <w:tab/>
      </w:r>
      <w:r w:rsidRPr="00374785">
        <w:rPr>
          <w:b/>
          <w:i/>
        </w:rPr>
        <w:t>Note</w:t>
      </w:r>
      <w:r w:rsidRPr="00374785">
        <w:tab/>
      </w:r>
      <w:r w:rsidR="003612C4" w:rsidRPr="00374785">
        <w:t xml:space="preserve">Project proponents may </w:t>
      </w:r>
      <w:r w:rsidR="00D55A8D" w:rsidRPr="00374785">
        <w:t>optionally</w:t>
      </w:r>
      <w:r w:rsidR="003612C4" w:rsidRPr="00374785">
        <w:t xml:space="preserve"> stratify carbon estimation areas </w:t>
      </w:r>
      <w:r w:rsidR="00124B70" w:rsidRPr="00374785">
        <w:t>based on</w:t>
      </w:r>
      <w:r w:rsidR="003612C4" w:rsidRPr="00374785">
        <w:t xml:space="preserve"> </w:t>
      </w:r>
      <w:r w:rsidR="000877D8" w:rsidRPr="00374785">
        <w:t>planting date</w:t>
      </w:r>
      <w:r w:rsidR="00124B70" w:rsidRPr="00374785">
        <w:t>.</w:t>
      </w:r>
    </w:p>
    <w:p w:rsidR="00A357D2" w:rsidRPr="00374785" w:rsidRDefault="00A357D2" w:rsidP="00A357D2">
      <w:pPr>
        <w:pStyle w:val="tMain"/>
      </w:pPr>
      <w:r w:rsidRPr="00374785">
        <w:tab/>
      </w:r>
      <w:r w:rsidR="007F3C0F">
        <w:t>(3)</w:t>
      </w:r>
      <w:r w:rsidRPr="00374785">
        <w:tab/>
        <w:t>For a</w:t>
      </w:r>
      <w:r w:rsidR="007E3014" w:rsidRPr="00374785">
        <w:t xml:space="preserve"> carbon estimation area </w:t>
      </w:r>
      <w:r w:rsidR="004C1DEA" w:rsidRPr="00374785">
        <w:t xml:space="preserve">comprised of </w:t>
      </w:r>
      <w:r w:rsidR="007E3014" w:rsidRPr="00374785">
        <w:t>a</w:t>
      </w:r>
      <w:r w:rsidRPr="00374785">
        <w:t xml:space="preserve"> </w:t>
      </w:r>
      <w:r w:rsidR="007E3014" w:rsidRPr="00374785">
        <w:t>set of</w:t>
      </w:r>
      <w:r w:rsidRPr="00374785">
        <w:t xml:space="preserve"> polygons</w:t>
      </w:r>
      <w:r w:rsidR="007E3014" w:rsidRPr="00374785">
        <w:t xml:space="preserve"> </w:t>
      </w:r>
      <w:r w:rsidR="004C1DEA" w:rsidRPr="00374785">
        <w:t xml:space="preserve">the </w:t>
      </w:r>
      <w:r w:rsidR="00836065" w:rsidRPr="00374785">
        <w:t>applicable radius</w:t>
      </w:r>
      <w:r w:rsidR="004C1DEA" w:rsidRPr="00374785">
        <w:t xml:space="preserve"> </w:t>
      </w:r>
      <w:r w:rsidR="002C755B" w:rsidRPr="00374785">
        <w:t>specified in</w:t>
      </w:r>
      <w:r w:rsidRPr="00374785">
        <w:t xml:space="preserve"> CFI Mapping Guidelines</w:t>
      </w:r>
      <w:r w:rsidR="00DA401B" w:rsidRPr="00374785">
        <w:t xml:space="preserve"> is</w:t>
      </w:r>
      <w:r w:rsidR="002C755B" w:rsidRPr="00374785">
        <w:t xml:space="preserve"> taken to be</w:t>
      </w:r>
      <w:r w:rsidRPr="00374785">
        <w:t>:</w:t>
      </w:r>
    </w:p>
    <w:p w:rsidR="00A357D2" w:rsidRPr="00374785" w:rsidRDefault="00A357D2" w:rsidP="00A357D2">
      <w:pPr>
        <w:pStyle w:val="tPara"/>
      </w:pPr>
      <w:r w:rsidRPr="00374785">
        <w:lastRenderedPageBreak/>
        <w:tab/>
      </w:r>
      <w:r w:rsidR="007F3C0F">
        <w:t>(a)</w:t>
      </w:r>
      <w:r w:rsidRPr="00374785">
        <w:tab/>
        <w:t>for a mixed specie</w:t>
      </w:r>
      <w:r w:rsidR="008C5119" w:rsidRPr="00374785">
        <w:t>s</w:t>
      </w:r>
      <w:r w:rsidRPr="00374785">
        <w:t xml:space="preserve"> environmental planting</w:t>
      </w:r>
      <w:r w:rsidR="00B726FC" w:rsidRPr="00374785">
        <w:t>—1.5 kilometres</w:t>
      </w:r>
      <w:r w:rsidRPr="00374785">
        <w:t>; and</w:t>
      </w:r>
    </w:p>
    <w:p w:rsidR="00A357D2" w:rsidRPr="00374785" w:rsidRDefault="00A357D2" w:rsidP="00A357D2">
      <w:pPr>
        <w:pStyle w:val="tPara"/>
      </w:pPr>
      <w:r w:rsidRPr="00374785">
        <w:tab/>
      </w:r>
      <w:r w:rsidR="007F3C0F">
        <w:t>(b)</w:t>
      </w:r>
      <w:r w:rsidRPr="00374785">
        <w:tab/>
        <w:t>for a mallee planting</w:t>
      </w:r>
      <w:r w:rsidR="00B726FC" w:rsidRPr="00374785">
        <w:t>—5 kilometres</w:t>
      </w:r>
      <w:r w:rsidRPr="00374785">
        <w:t>.</w:t>
      </w:r>
    </w:p>
    <w:p w:rsidR="002B60C7" w:rsidRPr="00374785" w:rsidRDefault="007F3C0F" w:rsidP="002B60C7">
      <w:pPr>
        <w:pStyle w:val="h5Section"/>
      </w:pPr>
      <w:bookmarkStart w:id="16" w:name="_Toc397681560"/>
      <w:r>
        <w:t>3.4</w:t>
      </w:r>
      <w:r w:rsidR="002B60C7" w:rsidRPr="00374785">
        <w:tab/>
        <w:t>Carbon estimation area boundaries</w:t>
      </w:r>
      <w:bookmarkEnd w:id="16"/>
    </w:p>
    <w:p w:rsidR="002B60C7" w:rsidRPr="00374785" w:rsidRDefault="002B60C7" w:rsidP="002B60C7">
      <w:pPr>
        <w:pStyle w:val="tMain"/>
      </w:pPr>
      <w:r w:rsidRPr="00374785">
        <w:tab/>
      </w:r>
      <w:r w:rsidR="007F3C0F">
        <w:t>(1)</w:t>
      </w:r>
      <w:r w:rsidRPr="00374785">
        <w:tab/>
        <w:t>This section sets out requirements for the boundaries of carbon estimation areas.</w:t>
      </w:r>
    </w:p>
    <w:p w:rsidR="00A54DBC" w:rsidRPr="00374785" w:rsidRDefault="002B60C7" w:rsidP="00A12FD8">
      <w:pPr>
        <w:pStyle w:val="tMain"/>
      </w:pPr>
      <w:r w:rsidRPr="00374785">
        <w:tab/>
      </w:r>
      <w:r w:rsidR="007F3C0F">
        <w:t>(2)</w:t>
      </w:r>
      <w:r w:rsidRPr="00374785">
        <w:tab/>
      </w:r>
      <w:r w:rsidR="00686DDF" w:rsidRPr="00374785">
        <w:t>In addition to the requirements in</w:t>
      </w:r>
      <w:r w:rsidR="00A12FD8" w:rsidRPr="00374785">
        <w:t xml:space="preserve"> subsection</w:t>
      </w:r>
      <w:r w:rsidR="00586600" w:rsidRPr="00374785">
        <w:t>s</w:t>
      </w:r>
      <w:r w:rsidR="00A12FD8" w:rsidRPr="00374785">
        <w:t xml:space="preserve"> (3)</w:t>
      </w:r>
      <w:r w:rsidR="00586600" w:rsidRPr="00374785">
        <w:t xml:space="preserve">, </w:t>
      </w:r>
      <w:r w:rsidR="00A12FD8" w:rsidRPr="00374785">
        <w:t>(4)</w:t>
      </w:r>
      <w:r w:rsidR="00AA3617" w:rsidRPr="00374785">
        <w:t xml:space="preserve"> and (5)</w:t>
      </w:r>
      <w:r w:rsidR="00A12FD8" w:rsidRPr="00374785">
        <w:t>, t</w:t>
      </w:r>
      <w:r w:rsidR="00A54DBC" w:rsidRPr="00374785">
        <w:t>he boundaries of each carbon estimation area must be defined in accordance with the CFI Mapping Guidelines</w:t>
      </w:r>
      <w:r w:rsidR="00A12FD8" w:rsidRPr="00374785">
        <w:t xml:space="preserve"> </w:t>
      </w:r>
      <w:r w:rsidR="00A54DBC" w:rsidRPr="00374785">
        <w:t>using at least one of the following:</w:t>
      </w:r>
    </w:p>
    <w:p w:rsidR="00A54DBC" w:rsidRPr="00374785" w:rsidRDefault="00686DDF" w:rsidP="00686DDF">
      <w:pPr>
        <w:pStyle w:val="tPara"/>
      </w:pPr>
      <w:r w:rsidRPr="00374785">
        <w:tab/>
      </w:r>
      <w:r w:rsidR="007F3C0F">
        <w:t>(a)</w:t>
      </w:r>
      <w:r w:rsidRPr="00374785">
        <w:tab/>
      </w:r>
      <w:r w:rsidR="00A54DBC" w:rsidRPr="00374785">
        <w:t xml:space="preserve">field surveys; </w:t>
      </w:r>
    </w:p>
    <w:p w:rsidR="00A54DBC" w:rsidRPr="00374785" w:rsidRDefault="00686DDF" w:rsidP="00686DDF">
      <w:pPr>
        <w:pStyle w:val="tPara"/>
      </w:pPr>
      <w:r w:rsidRPr="00374785">
        <w:tab/>
      </w:r>
      <w:r w:rsidR="007F3C0F">
        <w:t>(b)</w:t>
      </w:r>
      <w:r w:rsidRPr="00374785">
        <w:tab/>
      </w:r>
      <w:r w:rsidR="00A54DBC" w:rsidRPr="00374785">
        <w:t>aerial photographs;</w:t>
      </w:r>
    </w:p>
    <w:p w:rsidR="00A54DBC" w:rsidRPr="00374785" w:rsidRDefault="00686DDF" w:rsidP="00686DDF">
      <w:pPr>
        <w:pStyle w:val="tPara"/>
      </w:pPr>
      <w:r w:rsidRPr="00374785">
        <w:tab/>
      </w:r>
      <w:r w:rsidR="007F3C0F">
        <w:t>(c)</w:t>
      </w:r>
      <w:r w:rsidRPr="00374785">
        <w:tab/>
      </w:r>
      <w:r w:rsidR="00A54DBC" w:rsidRPr="00374785">
        <w:t xml:space="preserve">date-stamped, geo-referenced remotely-sensed imagery, including </w:t>
      </w:r>
      <w:r w:rsidR="00EF569A" w:rsidRPr="00374785">
        <w:t xml:space="preserve">indicators of </w:t>
      </w:r>
      <w:r w:rsidR="00A54DBC" w:rsidRPr="00374785">
        <w:t xml:space="preserve">vegetation cover data; </w:t>
      </w:r>
    </w:p>
    <w:p w:rsidR="006502EA" w:rsidRPr="00374785" w:rsidRDefault="00686DDF" w:rsidP="00686DDF">
      <w:pPr>
        <w:pStyle w:val="tPara"/>
      </w:pPr>
      <w:r w:rsidRPr="00374785">
        <w:tab/>
      </w:r>
      <w:r w:rsidR="007F3C0F">
        <w:t>(d)</w:t>
      </w:r>
      <w:r w:rsidRPr="00374785">
        <w:tab/>
      </w:r>
      <w:proofErr w:type="gramStart"/>
      <w:r w:rsidR="00A54DBC" w:rsidRPr="00374785">
        <w:t>soil</w:t>
      </w:r>
      <w:proofErr w:type="gramEnd"/>
      <w:r w:rsidR="00A54DBC" w:rsidRPr="00374785">
        <w:t xml:space="preserve">, </w:t>
      </w:r>
      <w:r w:rsidR="006502EA" w:rsidRPr="00374785">
        <w:t>vegetation or landform maps</w:t>
      </w:r>
      <w:r w:rsidR="00061919">
        <w:t>.</w:t>
      </w:r>
      <w:r w:rsidR="006502EA" w:rsidRPr="00374785">
        <w:t xml:space="preserve"> </w:t>
      </w:r>
    </w:p>
    <w:p w:rsidR="002B60C7" w:rsidRPr="00374785" w:rsidRDefault="006502EA" w:rsidP="006502EA">
      <w:pPr>
        <w:pStyle w:val="tMain"/>
      </w:pPr>
      <w:r w:rsidRPr="00374785">
        <w:tab/>
      </w:r>
      <w:r w:rsidR="007F3C0F">
        <w:t>(3)</w:t>
      </w:r>
      <w:r w:rsidRPr="00374785">
        <w:tab/>
      </w:r>
      <w:r w:rsidR="002B60C7" w:rsidRPr="00374785">
        <w:t xml:space="preserve">If the </w:t>
      </w:r>
      <w:r w:rsidR="00380AF5" w:rsidRPr="00374785">
        <w:t>plant</w:t>
      </w:r>
      <w:r w:rsidR="000A595C" w:rsidRPr="00374785">
        <w:t>ings</w:t>
      </w:r>
      <w:r w:rsidR="002B60C7" w:rsidRPr="00374785">
        <w:t xml:space="preserve"> in a carbon estimation area are </w:t>
      </w:r>
      <w:r w:rsidR="00380AF5" w:rsidRPr="00374785">
        <w:t>established</w:t>
      </w:r>
      <w:r w:rsidR="002B60C7" w:rsidRPr="00374785">
        <w:t xml:space="preserve"> in</w:t>
      </w:r>
      <w:r w:rsidR="00AA3617" w:rsidRPr="00374785">
        <w:t xml:space="preserve"> </w:t>
      </w:r>
      <w:r w:rsidR="001D5A3E" w:rsidRPr="00374785">
        <w:t>accordance with a narrow or wide</w:t>
      </w:r>
      <w:r w:rsidR="00C36A73" w:rsidRPr="00374785">
        <w:t>-</w:t>
      </w:r>
      <w:r w:rsidR="001D5A3E" w:rsidRPr="00374785">
        <w:t xml:space="preserve">linear </w:t>
      </w:r>
      <w:r w:rsidR="000A595C" w:rsidRPr="00374785">
        <w:t xml:space="preserve">planting </w:t>
      </w:r>
      <w:r w:rsidR="001D5A3E" w:rsidRPr="00374785">
        <w:t>geometry</w:t>
      </w:r>
      <w:r w:rsidR="002B60C7" w:rsidRPr="00374785">
        <w:t>:</w:t>
      </w:r>
      <w:r w:rsidR="000A595C" w:rsidRPr="00374785">
        <w:t xml:space="preserve"> </w:t>
      </w:r>
    </w:p>
    <w:p w:rsidR="002B60C7" w:rsidRPr="00374785" w:rsidRDefault="005E3B06" w:rsidP="005E3B06">
      <w:pPr>
        <w:pStyle w:val="tPara"/>
      </w:pPr>
      <w:r w:rsidRPr="00374785">
        <w:tab/>
      </w:r>
      <w:r w:rsidR="007F3C0F">
        <w:t>(a)</w:t>
      </w:r>
      <w:r w:rsidRPr="00374785">
        <w:tab/>
      </w:r>
      <w:r w:rsidR="002B60C7" w:rsidRPr="00374785">
        <w:t xml:space="preserve">the boundary parallel to the </w:t>
      </w:r>
      <w:r w:rsidR="00247356" w:rsidRPr="00374785">
        <w:t>long axis of the planting</w:t>
      </w:r>
      <w:r w:rsidR="002B60C7" w:rsidRPr="00374785">
        <w:t xml:space="preserve"> must be one metre </w:t>
      </w:r>
      <w:r w:rsidR="000E0159" w:rsidRPr="00374785">
        <w:t>beyond</w:t>
      </w:r>
      <w:r w:rsidR="002B60C7" w:rsidRPr="00374785">
        <w:t xml:space="preserve"> the outer row of stems; </w:t>
      </w:r>
    </w:p>
    <w:p w:rsidR="002B60C7" w:rsidRPr="00374785" w:rsidRDefault="005E3B06" w:rsidP="005E3B06">
      <w:pPr>
        <w:pStyle w:val="tPara"/>
      </w:pPr>
      <w:r w:rsidRPr="00374785">
        <w:tab/>
      </w:r>
      <w:r w:rsidR="007F3C0F">
        <w:t>(b)</w:t>
      </w:r>
      <w:r w:rsidRPr="00374785">
        <w:tab/>
      </w:r>
      <w:r w:rsidR="002B60C7" w:rsidRPr="00374785">
        <w:t xml:space="preserve">the boundary </w:t>
      </w:r>
      <w:r w:rsidR="00247356" w:rsidRPr="00374785">
        <w:t xml:space="preserve">parallel to the short axis of the planting </w:t>
      </w:r>
      <w:r w:rsidR="002B60C7" w:rsidRPr="00374785">
        <w:t>must be one metre</w:t>
      </w:r>
      <w:r w:rsidR="002B60C7" w:rsidRPr="00374785">
        <w:rPr>
          <w:color w:val="76923C" w:themeColor="accent3" w:themeShade="BF"/>
        </w:rPr>
        <w:t xml:space="preserve"> </w:t>
      </w:r>
      <w:r w:rsidR="000E0159" w:rsidRPr="00374785">
        <w:t>beyond</w:t>
      </w:r>
      <w:r w:rsidR="002B60C7" w:rsidRPr="00374785">
        <w:t xml:space="preserve"> the outer stems of the </w:t>
      </w:r>
      <w:r w:rsidR="00380AF5" w:rsidRPr="00374785">
        <w:t>plants</w:t>
      </w:r>
      <w:r w:rsidR="002B60C7" w:rsidRPr="00374785">
        <w:t xml:space="preserve"> at the</w:t>
      </w:r>
      <w:r w:rsidR="00A54DBC" w:rsidRPr="00374785">
        <w:t xml:space="preserve"> </w:t>
      </w:r>
      <w:r w:rsidR="002B60C7" w:rsidRPr="00374785">
        <w:t>end of the rows; and</w:t>
      </w:r>
    </w:p>
    <w:p w:rsidR="00C04E02" w:rsidRPr="00374785" w:rsidRDefault="005E3B06" w:rsidP="005E3B06">
      <w:pPr>
        <w:pStyle w:val="tPara"/>
      </w:pPr>
      <w:r w:rsidRPr="00374785">
        <w:tab/>
      </w:r>
      <w:r w:rsidR="007F3C0F">
        <w:t>(c)</w:t>
      </w:r>
      <w:r w:rsidRPr="00374785">
        <w:tab/>
      </w:r>
      <w:r w:rsidR="00C04E02" w:rsidRPr="00374785">
        <w:t xml:space="preserve">the boundary </w:t>
      </w:r>
      <w:r w:rsidR="001D5A3E" w:rsidRPr="00374785">
        <w:t>circumscribing</w:t>
      </w:r>
      <w:r w:rsidR="00C04E02" w:rsidRPr="00374785">
        <w:t xml:space="preserve"> an exclusion area within a carbon estimation area must be one metre </w:t>
      </w:r>
      <w:r w:rsidR="000E0159" w:rsidRPr="00374785">
        <w:t>beyond</w:t>
      </w:r>
      <w:r w:rsidR="00C04E02" w:rsidRPr="00374785">
        <w:t xml:space="preserve"> the </w:t>
      </w:r>
      <w:r w:rsidR="00716639" w:rsidRPr="00374785">
        <w:t xml:space="preserve">outer </w:t>
      </w:r>
      <w:r w:rsidR="00C04E02" w:rsidRPr="00374785">
        <w:t>stems bordering the exclusion area.</w:t>
      </w:r>
    </w:p>
    <w:p w:rsidR="006502EA" w:rsidRPr="00374785" w:rsidRDefault="006502EA" w:rsidP="006502EA">
      <w:pPr>
        <w:pStyle w:val="tMain"/>
      </w:pPr>
      <w:r w:rsidRPr="00374785">
        <w:tab/>
      </w:r>
      <w:r w:rsidR="007F3C0F">
        <w:t>(4)</w:t>
      </w:r>
      <w:r w:rsidRPr="00374785">
        <w:tab/>
      </w:r>
      <w:r w:rsidR="002B60C7" w:rsidRPr="00374785">
        <w:t xml:space="preserve">If the </w:t>
      </w:r>
      <w:r w:rsidR="00380AF5" w:rsidRPr="00374785">
        <w:t>plants</w:t>
      </w:r>
      <w:r w:rsidR="002B60C7" w:rsidRPr="00374785">
        <w:t xml:space="preserve"> in a carbon estimation area are </w:t>
      </w:r>
      <w:r w:rsidR="00380AF5" w:rsidRPr="00374785">
        <w:t xml:space="preserve">established </w:t>
      </w:r>
      <w:r w:rsidR="001D5A3E" w:rsidRPr="00374785">
        <w:t xml:space="preserve">in any </w:t>
      </w:r>
      <w:r w:rsidR="00716639" w:rsidRPr="00374785">
        <w:t xml:space="preserve">planting </w:t>
      </w:r>
      <w:r w:rsidR="001D5A3E" w:rsidRPr="00374785">
        <w:t>geometry that is not consistent with a narrow or wide</w:t>
      </w:r>
      <w:r w:rsidR="00C36A73" w:rsidRPr="00374785">
        <w:t>-</w:t>
      </w:r>
      <w:r w:rsidR="001D5A3E" w:rsidRPr="00374785">
        <w:t>linear planting geometry</w:t>
      </w:r>
      <w:r w:rsidR="002B60C7" w:rsidRPr="00374785">
        <w:t>:</w:t>
      </w:r>
    </w:p>
    <w:p w:rsidR="002B60C7" w:rsidRPr="00374785" w:rsidRDefault="008735CD" w:rsidP="008735CD">
      <w:pPr>
        <w:pStyle w:val="tPara"/>
      </w:pPr>
      <w:r w:rsidRPr="00374785">
        <w:tab/>
      </w:r>
      <w:r w:rsidR="007F3C0F">
        <w:t>(a)</w:t>
      </w:r>
      <w:r w:rsidRPr="00374785">
        <w:tab/>
      </w:r>
      <w:proofErr w:type="gramStart"/>
      <w:r w:rsidR="002B60C7" w:rsidRPr="00374785">
        <w:t>the</w:t>
      </w:r>
      <w:proofErr w:type="gramEnd"/>
      <w:r w:rsidR="002B60C7" w:rsidRPr="00374785">
        <w:t xml:space="preserve"> outer boundary of the carbon estimation area is immediately outside the stems of the outermost </w:t>
      </w:r>
      <w:r w:rsidR="00380AF5" w:rsidRPr="00374785">
        <w:t>plants</w:t>
      </w:r>
      <w:r w:rsidR="002B60C7" w:rsidRPr="00374785">
        <w:t>;</w:t>
      </w:r>
      <w:r w:rsidR="00061919">
        <w:t xml:space="preserve"> and</w:t>
      </w:r>
    </w:p>
    <w:p w:rsidR="002B60C7" w:rsidRPr="00374785" w:rsidRDefault="008735CD" w:rsidP="008735CD">
      <w:pPr>
        <w:pStyle w:val="tPara"/>
      </w:pPr>
      <w:r w:rsidRPr="00374785">
        <w:tab/>
      </w:r>
      <w:r w:rsidR="007F3C0F">
        <w:t>(b)</w:t>
      </w:r>
      <w:r w:rsidRPr="00374785">
        <w:tab/>
      </w:r>
      <w:proofErr w:type="gramStart"/>
      <w:r w:rsidR="002B60C7" w:rsidRPr="00374785">
        <w:t>the</w:t>
      </w:r>
      <w:proofErr w:type="gramEnd"/>
      <w:r w:rsidR="002B60C7" w:rsidRPr="00374785">
        <w:t xml:space="preserve"> boundary surrounding any exclusion area within a carbon estimation area </w:t>
      </w:r>
      <w:r w:rsidRPr="00374785">
        <w:t xml:space="preserve">is immediately outside the stems of the </w:t>
      </w:r>
      <w:r w:rsidR="00380AF5" w:rsidRPr="00374785">
        <w:t>plants</w:t>
      </w:r>
      <w:r w:rsidRPr="00374785">
        <w:t xml:space="preserve"> bordering the exclusion area.</w:t>
      </w:r>
    </w:p>
    <w:p w:rsidR="00031AF0" w:rsidRPr="00374785" w:rsidRDefault="00AA3617" w:rsidP="001D5A3E">
      <w:pPr>
        <w:pStyle w:val="tMain"/>
      </w:pPr>
      <w:r w:rsidRPr="00374785">
        <w:tab/>
      </w:r>
      <w:r w:rsidR="007F3C0F">
        <w:t>(5)</w:t>
      </w:r>
      <w:r w:rsidRPr="00374785">
        <w:tab/>
      </w:r>
      <w:r w:rsidR="001D5A3E" w:rsidRPr="00374785">
        <w:t>If the plant</w:t>
      </w:r>
      <w:r w:rsidR="00716639" w:rsidRPr="00374785">
        <w:t>ing</w:t>
      </w:r>
      <w:r w:rsidR="001D5A3E" w:rsidRPr="00374785">
        <w:t>s in a carbon estimation area are established</w:t>
      </w:r>
      <w:r w:rsidR="00031AF0" w:rsidRPr="00374785">
        <w:t>:</w:t>
      </w:r>
    </w:p>
    <w:p w:rsidR="00031AF0" w:rsidRPr="00374785" w:rsidRDefault="007158F0" w:rsidP="007158F0">
      <w:pPr>
        <w:pStyle w:val="tPara"/>
      </w:pPr>
      <w:r w:rsidRPr="00374785">
        <w:tab/>
      </w:r>
      <w:r w:rsidR="007F3C0F">
        <w:t>(a)</w:t>
      </w:r>
      <w:r w:rsidRPr="00374785">
        <w:tab/>
      </w:r>
      <w:r w:rsidR="001D5A3E" w:rsidRPr="00374785">
        <w:t>in any</w:t>
      </w:r>
      <w:r w:rsidR="00716639" w:rsidRPr="00374785">
        <w:t xml:space="preserve"> planting</w:t>
      </w:r>
      <w:r w:rsidR="001D5A3E" w:rsidRPr="00374785">
        <w:t xml:space="preserve"> geometry that is not consistent with a narrow or wide</w:t>
      </w:r>
      <w:r w:rsidR="00C36A73" w:rsidRPr="00374785">
        <w:t>-</w:t>
      </w:r>
      <w:r w:rsidR="001D5A3E" w:rsidRPr="00374785">
        <w:t>linear planting</w:t>
      </w:r>
      <w:r w:rsidR="00031AF0" w:rsidRPr="00374785">
        <w:t xml:space="preserve">; </w:t>
      </w:r>
      <w:r w:rsidR="001D5A3E" w:rsidRPr="00374785">
        <w:t>and</w:t>
      </w:r>
    </w:p>
    <w:p w:rsidR="00031AF0" w:rsidRPr="00374785" w:rsidRDefault="007158F0" w:rsidP="007158F0">
      <w:pPr>
        <w:pStyle w:val="tPara"/>
      </w:pPr>
      <w:r w:rsidRPr="00374785">
        <w:tab/>
      </w:r>
      <w:r w:rsidR="007F3C0F">
        <w:t>(b)</w:t>
      </w:r>
      <w:r w:rsidRPr="00374785">
        <w:tab/>
      </w:r>
      <w:r w:rsidR="00031AF0" w:rsidRPr="00374785">
        <w:t>the boundar</w:t>
      </w:r>
      <w:r w:rsidR="00770AA4" w:rsidRPr="00374785">
        <w:t>y</w:t>
      </w:r>
      <w:r w:rsidR="00031AF0" w:rsidRPr="00374785">
        <w:t xml:space="preserve"> of the carbon estimation area </w:t>
      </w:r>
      <w:r w:rsidR="00770AA4" w:rsidRPr="00374785">
        <w:t>was</w:t>
      </w:r>
      <w:r w:rsidR="00031AF0" w:rsidRPr="00374785">
        <w:t xml:space="preserve"> defined in accordance with </w:t>
      </w:r>
      <w:r w:rsidR="002A55DB" w:rsidRPr="00374785">
        <w:t>another</w:t>
      </w:r>
      <w:r w:rsidR="00031AF0" w:rsidRPr="00374785">
        <w:t xml:space="preserve"> CFI methodology determination</w:t>
      </w:r>
      <w:r w:rsidRPr="00374785">
        <w:t xml:space="preserve"> for which an offsets report has been submitted and accepted by the Regulator</w:t>
      </w:r>
      <w:r w:rsidR="00716639" w:rsidRPr="00374785">
        <w:t>;</w:t>
      </w:r>
      <w:r w:rsidR="00031AF0" w:rsidRPr="00374785">
        <w:t xml:space="preserve"> </w:t>
      </w:r>
    </w:p>
    <w:p w:rsidR="00031AF0" w:rsidRPr="00374785" w:rsidRDefault="007158F0" w:rsidP="007158F0">
      <w:pPr>
        <w:pStyle w:val="tMain"/>
      </w:pPr>
      <w:r w:rsidRPr="00374785">
        <w:tab/>
      </w:r>
      <w:r w:rsidRPr="00374785">
        <w:tab/>
      </w:r>
      <w:r w:rsidR="00770AA4" w:rsidRPr="00374785">
        <w:t>t</w:t>
      </w:r>
      <w:r w:rsidR="00031AF0" w:rsidRPr="00374785">
        <w:t>hen</w:t>
      </w:r>
      <w:r w:rsidR="00770AA4" w:rsidRPr="00374785">
        <w:t>,</w:t>
      </w:r>
      <w:r w:rsidR="00031AF0" w:rsidRPr="00374785">
        <w:t xml:space="preserve"> </w:t>
      </w:r>
      <w:r w:rsidR="00770AA4" w:rsidRPr="00374785">
        <w:t>subject to</w:t>
      </w:r>
      <w:r w:rsidR="00716639" w:rsidRPr="00374785">
        <w:t xml:space="preserve"> still meeting</w:t>
      </w:r>
      <w:r w:rsidR="00770AA4" w:rsidRPr="00374785">
        <w:t xml:space="preserve"> </w:t>
      </w:r>
      <w:r w:rsidR="00031AF0" w:rsidRPr="00374785">
        <w:t>the</w:t>
      </w:r>
      <w:r w:rsidR="00770AA4" w:rsidRPr="00374785">
        <w:t xml:space="preserve"> requirements of section 3.3 and 3.8, the</w:t>
      </w:r>
      <w:r w:rsidR="00031AF0" w:rsidRPr="00374785">
        <w:t xml:space="preserve"> existing carbon estimation area boundar</w:t>
      </w:r>
      <w:r w:rsidR="00770AA4" w:rsidRPr="00374785">
        <w:t>y</w:t>
      </w:r>
      <w:r w:rsidR="00031AF0" w:rsidRPr="00374785">
        <w:t xml:space="preserve"> may be </w:t>
      </w:r>
      <w:r w:rsidR="007E3014" w:rsidRPr="00374785">
        <w:t>used</w:t>
      </w:r>
      <w:r w:rsidR="00031AF0" w:rsidRPr="00374785">
        <w:t>.</w:t>
      </w:r>
    </w:p>
    <w:p w:rsidR="002B60C7" w:rsidRPr="00374785" w:rsidRDefault="00883E98" w:rsidP="00883E98">
      <w:pPr>
        <w:pStyle w:val="tMain"/>
      </w:pPr>
      <w:r w:rsidRPr="00374785">
        <w:tab/>
      </w:r>
      <w:r w:rsidR="007F3C0F">
        <w:t>(6)</w:t>
      </w:r>
      <w:r w:rsidRPr="00374785">
        <w:tab/>
      </w:r>
      <w:r w:rsidR="002B60C7" w:rsidRPr="00374785">
        <w:t>The boundaries must</w:t>
      </w:r>
      <w:r w:rsidR="00EF569A" w:rsidRPr="00374785">
        <w:t xml:space="preserve"> </w:t>
      </w:r>
      <w:r w:rsidR="00716639" w:rsidRPr="00374785">
        <w:t>be</w:t>
      </w:r>
      <w:r w:rsidR="002C3DBE" w:rsidRPr="00374785">
        <w:t xml:space="preserve"> defined</w:t>
      </w:r>
      <w:r w:rsidR="002B60C7" w:rsidRPr="00374785">
        <w:t xml:space="preserve"> before submitting the</w:t>
      </w:r>
      <w:r w:rsidR="008C00F7" w:rsidRPr="00374785">
        <w:t xml:space="preserve"> next</w:t>
      </w:r>
      <w:r w:rsidR="002B60C7" w:rsidRPr="00374785">
        <w:t xml:space="preserve"> offsets report to the Regulator.</w:t>
      </w:r>
    </w:p>
    <w:p w:rsidR="0072606D" w:rsidRPr="00374785" w:rsidRDefault="0072606D" w:rsidP="0072606D">
      <w:pPr>
        <w:pStyle w:val="tMain"/>
      </w:pPr>
      <w:r w:rsidRPr="00374785">
        <w:tab/>
      </w:r>
      <w:r w:rsidR="007F3C0F">
        <w:t>(7)</w:t>
      </w:r>
      <w:r w:rsidRPr="00374785">
        <w:tab/>
        <w:t>In this section:</w:t>
      </w:r>
    </w:p>
    <w:p w:rsidR="0072606D" w:rsidRPr="00374785" w:rsidRDefault="009F66AA" w:rsidP="0072606D">
      <w:pPr>
        <w:pStyle w:val="tDefn"/>
        <w:rPr>
          <w:b/>
          <w:i/>
        </w:rPr>
      </w:pPr>
      <w:r w:rsidRPr="00374785">
        <w:rPr>
          <w:b/>
          <w:i/>
        </w:rPr>
        <w:lastRenderedPageBreak/>
        <w:t xml:space="preserve">indicators of </w:t>
      </w:r>
      <w:r w:rsidR="0072606D" w:rsidRPr="00374785">
        <w:rPr>
          <w:b/>
          <w:i/>
        </w:rPr>
        <w:t>vegetation cover</w:t>
      </w:r>
      <w:r w:rsidR="0072606D" w:rsidRPr="00374785">
        <w:t xml:space="preserve"> means satellite or aerial imagery that has been processed to </w:t>
      </w:r>
      <w:r w:rsidRPr="00374785">
        <w:t>indicate</w:t>
      </w:r>
      <w:r w:rsidR="00EF569A" w:rsidRPr="00374785">
        <w:t xml:space="preserve"> </w:t>
      </w:r>
      <w:r w:rsidR="0072606D" w:rsidRPr="00374785">
        <w:t>vegetation cover or other relevant vegetation attributes.</w:t>
      </w:r>
    </w:p>
    <w:p w:rsidR="00EB36C0" w:rsidRPr="00374785" w:rsidRDefault="007F3C0F" w:rsidP="00AA5AE2">
      <w:pPr>
        <w:pStyle w:val="h5Section"/>
      </w:pPr>
      <w:bookmarkStart w:id="17" w:name="_Toc397681561"/>
      <w:r>
        <w:t>3.5</w:t>
      </w:r>
      <w:r w:rsidR="00AA5AE2" w:rsidRPr="00374785">
        <w:tab/>
      </w:r>
      <w:r w:rsidR="00EB36C0" w:rsidRPr="00374785">
        <w:t>Maximum permitted carbon estimation area width</w:t>
      </w:r>
      <w:bookmarkEnd w:id="17"/>
    </w:p>
    <w:p w:rsidR="0060210C" w:rsidRPr="00374785" w:rsidRDefault="0060210C" w:rsidP="0060210C">
      <w:pPr>
        <w:pStyle w:val="tMain"/>
      </w:pPr>
      <w:r w:rsidRPr="00374785">
        <w:tab/>
      </w:r>
      <w:r w:rsidRPr="00374785">
        <w:tab/>
        <w:t xml:space="preserve">The maximum permitted width for </w:t>
      </w:r>
      <w:r w:rsidR="00770AA4" w:rsidRPr="00374785">
        <w:t xml:space="preserve">a </w:t>
      </w:r>
      <w:r w:rsidRPr="00374785">
        <w:t xml:space="preserve">carbon estimation area is specified in Schedule </w:t>
      </w:r>
      <w:r w:rsidR="007A734A" w:rsidRPr="00374785">
        <w:t xml:space="preserve">2 </w:t>
      </w:r>
      <w:r w:rsidRPr="00374785">
        <w:t>to this Determination.</w:t>
      </w:r>
    </w:p>
    <w:p w:rsidR="001C725E" w:rsidRPr="00374785" w:rsidRDefault="007F3C0F" w:rsidP="001C725E">
      <w:pPr>
        <w:pStyle w:val="h5Section"/>
      </w:pPr>
      <w:bookmarkStart w:id="18" w:name="_Toc397681562"/>
      <w:r>
        <w:t>3.6</w:t>
      </w:r>
      <w:r w:rsidR="001C725E" w:rsidRPr="00374785">
        <w:tab/>
        <w:t>Carbon estimation area planting requirements</w:t>
      </w:r>
      <w:bookmarkEnd w:id="18"/>
      <w:r w:rsidR="001C725E" w:rsidRPr="00374785">
        <w:t xml:space="preserve"> </w:t>
      </w:r>
    </w:p>
    <w:p w:rsidR="001C725E" w:rsidRPr="00374785" w:rsidRDefault="001C725E" w:rsidP="001C725E">
      <w:pPr>
        <w:pStyle w:val="tMain"/>
      </w:pPr>
      <w:r w:rsidRPr="00374785">
        <w:tab/>
      </w:r>
      <w:r w:rsidR="007F3C0F">
        <w:t>(1)</w:t>
      </w:r>
      <w:r w:rsidRPr="00374785">
        <w:tab/>
        <w:t>A carbon estimation area must contain either</w:t>
      </w:r>
      <w:r w:rsidR="007E3014" w:rsidRPr="00374785">
        <w:t xml:space="preserve"> a</w:t>
      </w:r>
      <w:r w:rsidRPr="00374785">
        <w:t>:</w:t>
      </w:r>
    </w:p>
    <w:p w:rsidR="001C725E" w:rsidRPr="00374785" w:rsidRDefault="001C725E" w:rsidP="001C725E">
      <w:pPr>
        <w:pStyle w:val="tPara"/>
      </w:pPr>
      <w:r w:rsidRPr="00374785">
        <w:tab/>
      </w:r>
      <w:r w:rsidR="007F3C0F">
        <w:t>(a)</w:t>
      </w:r>
      <w:r w:rsidRPr="00374785">
        <w:tab/>
        <w:t>mixed-species environmental planting; or</w:t>
      </w:r>
    </w:p>
    <w:p w:rsidR="001C725E" w:rsidRPr="00374785" w:rsidRDefault="001C725E" w:rsidP="001C725E">
      <w:pPr>
        <w:pStyle w:val="tPara"/>
      </w:pPr>
      <w:r w:rsidRPr="00374785">
        <w:tab/>
      </w:r>
      <w:r w:rsidR="007F3C0F">
        <w:t>(b)</w:t>
      </w:r>
      <w:r w:rsidRPr="00374785">
        <w:tab/>
        <w:t>mallee planting.</w:t>
      </w:r>
    </w:p>
    <w:p w:rsidR="001C725E" w:rsidRPr="00374785" w:rsidRDefault="001C725E" w:rsidP="001C725E">
      <w:pPr>
        <w:pStyle w:val="tMain"/>
      </w:pPr>
      <w:r w:rsidRPr="00374785">
        <w:tab/>
      </w:r>
      <w:r w:rsidR="007F3C0F">
        <w:t>(2)</w:t>
      </w:r>
      <w:r w:rsidRPr="00374785">
        <w:tab/>
        <w:t>Only one calibration may be applied to a carbon estimation area</w:t>
      </w:r>
      <w:r w:rsidR="00DA401B" w:rsidRPr="00374785">
        <w:t xml:space="preserve"> in a reporting period</w:t>
      </w:r>
      <w:r w:rsidRPr="00374785">
        <w:t xml:space="preserve">. </w:t>
      </w:r>
    </w:p>
    <w:p w:rsidR="001C725E" w:rsidRPr="00374785" w:rsidRDefault="001C725E" w:rsidP="001C725E">
      <w:pPr>
        <w:pStyle w:val="tMain"/>
      </w:pPr>
      <w:r w:rsidRPr="00374785">
        <w:tab/>
      </w:r>
      <w:r w:rsidR="007F3C0F">
        <w:t>(3)</w:t>
      </w:r>
      <w:r w:rsidRPr="00374785">
        <w:tab/>
        <w:t xml:space="preserve">The planting in the carbon estimation area must </w:t>
      </w:r>
      <w:r w:rsidR="00716639" w:rsidRPr="00374785">
        <w:t xml:space="preserve">still </w:t>
      </w:r>
      <w:r w:rsidRPr="00374785">
        <w:t>have forest potential no later than 12 months after the planting date.</w:t>
      </w:r>
    </w:p>
    <w:p w:rsidR="002B60C7" w:rsidRPr="00374785" w:rsidRDefault="007F3C0F" w:rsidP="00883E98">
      <w:pPr>
        <w:pStyle w:val="h5Section"/>
      </w:pPr>
      <w:bookmarkStart w:id="19" w:name="_Toc397681563"/>
      <w:r>
        <w:t>3.7</w:t>
      </w:r>
      <w:r w:rsidR="00883E98" w:rsidRPr="00374785">
        <w:tab/>
      </w:r>
      <w:r w:rsidR="002B60C7" w:rsidRPr="00374785">
        <w:t>Requirements for an exclusion area</w:t>
      </w:r>
      <w:bookmarkEnd w:id="19"/>
    </w:p>
    <w:p w:rsidR="002B60C7" w:rsidRPr="00374785" w:rsidRDefault="00696139" w:rsidP="00696139">
      <w:pPr>
        <w:pStyle w:val="tMain"/>
      </w:pPr>
      <w:r w:rsidRPr="00374785">
        <w:tab/>
      </w:r>
      <w:r w:rsidRPr="00374785">
        <w:tab/>
        <w:t>L</w:t>
      </w:r>
      <w:r w:rsidR="002B60C7" w:rsidRPr="00374785">
        <w:t xml:space="preserve">and in the project area on which the project mechanism is not implemented must be defined </w:t>
      </w:r>
      <w:r w:rsidRPr="00374785">
        <w:t xml:space="preserve">and mapped </w:t>
      </w:r>
      <w:r w:rsidR="002B60C7" w:rsidRPr="00374785">
        <w:t>as an exclusion area</w:t>
      </w:r>
      <w:r w:rsidRPr="00374785">
        <w:t xml:space="preserve"> in accordance with the CFI Mapping Guidelines</w:t>
      </w:r>
      <w:r w:rsidR="002B60C7" w:rsidRPr="00374785">
        <w:t>.</w:t>
      </w:r>
    </w:p>
    <w:p w:rsidR="002B60C7" w:rsidRPr="00374785" w:rsidRDefault="007F3C0F" w:rsidP="001E4999">
      <w:pPr>
        <w:pStyle w:val="h5Section"/>
      </w:pPr>
      <w:bookmarkStart w:id="20" w:name="_Toc397681564"/>
      <w:r>
        <w:t>3.8</w:t>
      </w:r>
      <w:r w:rsidR="001E4999" w:rsidRPr="00374785">
        <w:tab/>
      </w:r>
      <w:r w:rsidR="002B60C7" w:rsidRPr="00374785">
        <w:t xml:space="preserve">Re-stratification of </w:t>
      </w:r>
      <w:r w:rsidR="00F44F7D" w:rsidRPr="00374785">
        <w:t>a carbon estimation</w:t>
      </w:r>
      <w:r w:rsidR="002B60C7" w:rsidRPr="00374785">
        <w:t xml:space="preserve"> area</w:t>
      </w:r>
      <w:bookmarkEnd w:id="20"/>
    </w:p>
    <w:p w:rsidR="002B60C7" w:rsidRPr="00374785" w:rsidRDefault="005B0F81" w:rsidP="005B0F81">
      <w:pPr>
        <w:pStyle w:val="tMain"/>
      </w:pPr>
      <w:r w:rsidRPr="00374785">
        <w:tab/>
      </w:r>
      <w:r w:rsidR="007F3C0F">
        <w:t>(1)</w:t>
      </w:r>
      <w:r w:rsidRPr="00374785">
        <w:tab/>
      </w:r>
      <w:r w:rsidR="00F44F7D" w:rsidRPr="00374785">
        <w:t>A</w:t>
      </w:r>
      <w:r w:rsidR="002B60C7" w:rsidRPr="00374785">
        <w:t xml:space="preserve"> </w:t>
      </w:r>
      <w:r w:rsidR="00F44F7D" w:rsidRPr="00374785">
        <w:t xml:space="preserve">carbon estimation area </w:t>
      </w:r>
      <w:r w:rsidR="002B60C7" w:rsidRPr="00374785">
        <w:t>may be re-stratified only as provided in this Division.</w:t>
      </w:r>
    </w:p>
    <w:p w:rsidR="00E95CA0" w:rsidRPr="00374785" w:rsidRDefault="00765A08" w:rsidP="00765A08">
      <w:pPr>
        <w:pStyle w:val="tMain"/>
      </w:pPr>
      <w:r w:rsidRPr="00374785">
        <w:tab/>
      </w:r>
      <w:r w:rsidR="007F3C0F">
        <w:t>(2)</w:t>
      </w:r>
      <w:r w:rsidRPr="00374785">
        <w:tab/>
      </w:r>
      <w:r w:rsidR="00EF7032" w:rsidRPr="00374785">
        <w:t>A carbon</w:t>
      </w:r>
      <w:r w:rsidR="00E95CA0" w:rsidRPr="00374785">
        <w:t xml:space="preserve"> </w:t>
      </w:r>
      <w:r w:rsidR="00417856" w:rsidRPr="00374785">
        <w:t xml:space="preserve">estimation </w:t>
      </w:r>
      <w:r w:rsidR="00E95CA0" w:rsidRPr="00374785">
        <w:t>area must be re-stratified</w:t>
      </w:r>
      <w:r w:rsidRPr="00374785">
        <w:t xml:space="preserve"> if one or more of the following occurs:</w:t>
      </w:r>
    </w:p>
    <w:p w:rsidR="00765A08" w:rsidRPr="00374785" w:rsidRDefault="00765A08" w:rsidP="00765A08">
      <w:pPr>
        <w:pStyle w:val="tPara"/>
      </w:pPr>
      <w:r w:rsidRPr="00374785">
        <w:tab/>
      </w:r>
      <w:r w:rsidR="007F3C0F">
        <w:t>(a)</w:t>
      </w:r>
      <w:r w:rsidRPr="00374785">
        <w:tab/>
        <w:t xml:space="preserve">the site characteristics in </w:t>
      </w:r>
      <w:r w:rsidR="00F44F7D" w:rsidRPr="00374785">
        <w:t>the</w:t>
      </w:r>
      <w:r w:rsidRPr="00374785">
        <w:t xml:space="preserve"> area are no longer uniform;</w:t>
      </w:r>
    </w:p>
    <w:p w:rsidR="00765A08" w:rsidRPr="00374785" w:rsidRDefault="00765A08" w:rsidP="00765A08">
      <w:pPr>
        <w:pStyle w:val="tPara"/>
      </w:pPr>
      <w:r w:rsidRPr="00374785">
        <w:tab/>
      </w:r>
      <w:r w:rsidR="007F3C0F">
        <w:t>(b)</w:t>
      </w:r>
      <w:r w:rsidRPr="00374785">
        <w:tab/>
        <w:t xml:space="preserve">the </w:t>
      </w:r>
      <w:r w:rsidR="00F43369" w:rsidRPr="00374785">
        <w:t xml:space="preserve">land </w:t>
      </w:r>
      <w:r w:rsidRPr="00374785">
        <w:t>management regime</w:t>
      </w:r>
      <w:r w:rsidR="00C923C4" w:rsidRPr="00374785">
        <w:t xml:space="preserve"> or a management event </w:t>
      </w:r>
      <w:r w:rsidR="00A82657" w:rsidRPr="00374785">
        <w:t xml:space="preserve">(e.g. weed control or fertiliser application) </w:t>
      </w:r>
      <w:r w:rsidRPr="00374785">
        <w:t xml:space="preserve">ceases to </w:t>
      </w:r>
      <w:r w:rsidR="00C923C4" w:rsidRPr="00374785">
        <w:t xml:space="preserve">be uniform across </w:t>
      </w:r>
      <w:r w:rsidR="00417856" w:rsidRPr="00374785">
        <w:t>the</w:t>
      </w:r>
      <w:r w:rsidRPr="00374785">
        <w:t xml:space="preserve"> area;</w:t>
      </w:r>
    </w:p>
    <w:p w:rsidR="00765A08" w:rsidRPr="00374785" w:rsidRDefault="00765A08" w:rsidP="00765A08">
      <w:pPr>
        <w:pStyle w:val="tPara"/>
      </w:pPr>
      <w:r w:rsidRPr="00374785">
        <w:tab/>
      </w:r>
      <w:r w:rsidR="007F3C0F">
        <w:t>(c)</w:t>
      </w:r>
      <w:r w:rsidRPr="00374785">
        <w:tab/>
      </w:r>
      <w:r w:rsidR="00874C80" w:rsidRPr="00374785">
        <w:t xml:space="preserve">parts of </w:t>
      </w:r>
      <w:r w:rsidR="00F43369" w:rsidRPr="00374785">
        <w:t>a</w:t>
      </w:r>
      <w:r w:rsidRPr="00374785">
        <w:t xml:space="preserve"> planting </w:t>
      </w:r>
      <w:r w:rsidR="00EF7032" w:rsidRPr="00374785">
        <w:t xml:space="preserve">within </w:t>
      </w:r>
      <w:r w:rsidR="00417856" w:rsidRPr="00374785">
        <w:t>the</w:t>
      </w:r>
      <w:r w:rsidR="00EF7032" w:rsidRPr="00374785">
        <w:t xml:space="preserve"> area </w:t>
      </w:r>
      <w:r w:rsidRPr="00374785">
        <w:t>fail to achieve forest potential;</w:t>
      </w:r>
    </w:p>
    <w:p w:rsidR="00A65BD6" w:rsidRPr="00374785" w:rsidRDefault="00765A08" w:rsidP="008C00F7">
      <w:pPr>
        <w:pStyle w:val="tPara"/>
      </w:pPr>
      <w:r w:rsidRPr="00374785">
        <w:tab/>
      </w:r>
      <w:r w:rsidR="007F3C0F">
        <w:t>(d)</w:t>
      </w:r>
      <w:r w:rsidRPr="00374785">
        <w:tab/>
        <w:t>a disturbance event</w:t>
      </w:r>
      <w:r w:rsidR="00BA1364" w:rsidRPr="00374785">
        <w:t xml:space="preserve"> </w:t>
      </w:r>
      <w:r w:rsidRPr="00374785">
        <w:t xml:space="preserve">kills </w:t>
      </w:r>
      <w:r w:rsidR="00BA1364" w:rsidRPr="00374785">
        <w:t xml:space="preserve">5% or more </w:t>
      </w:r>
      <w:r w:rsidRPr="00374785">
        <w:t xml:space="preserve">trees in </w:t>
      </w:r>
      <w:r w:rsidR="00417856" w:rsidRPr="00374785">
        <w:t>the</w:t>
      </w:r>
      <w:r w:rsidRPr="00374785">
        <w:t xml:space="preserve"> area;</w:t>
      </w:r>
      <w:r w:rsidR="008C00F7" w:rsidRPr="00374785">
        <w:tab/>
      </w:r>
    </w:p>
    <w:p w:rsidR="00765A08" w:rsidRPr="00374785" w:rsidRDefault="00676BA5" w:rsidP="00676BA5">
      <w:pPr>
        <w:pStyle w:val="tPara"/>
      </w:pPr>
      <w:r w:rsidRPr="00374785">
        <w:tab/>
      </w:r>
      <w:r w:rsidR="007F3C0F">
        <w:t>(e)</w:t>
      </w:r>
      <w:r w:rsidRPr="00374785">
        <w:tab/>
        <w:t xml:space="preserve">a </w:t>
      </w:r>
      <w:r w:rsidR="00EF7032" w:rsidRPr="00374785">
        <w:t>different</w:t>
      </w:r>
      <w:r w:rsidRPr="00374785">
        <w:t xml:space="preserve"> calibration is to be applied to part of an existing </w:t>
      </w:r>
      <w:r w:rsidR="00A65BD6" w:rsidRPr="00374785">
        <w:t>carbon estimation area</w:t>
      </w:r>
      <w:r w:rsidR="00EF7032" w:rsidRPr="00374785">
        <w:t>—in which case the existing carbon estimation area</w:t>
      </w:r>
      <w:r w:rsidR="00417856" w:rsidRPr="00374785">
        <w:t xml:space="preserve"> may be re-stratified according to where the different calibrations are to be applied</w:t>
      </w:r>
      <w:r w:rsidR="008C00F7" w:rsidRPr="00374785">
        <w:t>.</w:t>
      </w:r>
    </w:p>
    <w:p w:rsidR="002B60C7" w:rsidRPr="00374785" w:rsidRDefault="00B2246C" w:rsidP="00B2246C">
      <w:pPr>
        <w:pStyle w:val="tMain"/>
      </w:pPr>
      <w:r w:rsidRPr="00374785">
        <w:tab/>
      </w:r>
      <w:r w:rsidR="007F3C0F">
        <w:t>(3)</w:t>
      </w:r>
      <w:r w:rsidRPr="00374785">
        <w:tab/>
      </w:r>
      <w:r w:rsidR="002B60C7" w:rsidRPr="00374785">
        <w:t xml:space="preserve">If </w:t>
      </w:r>
      <w:r w:rsidR="00417856" w:rsidRPr="00374785">
        <w:t>a carbon estimation area</w:t>
      </w:r>
      <w:r w:rsidR="002B60C7" w:rsidRPr="00374785">
        <w:t xml:space="preserve"> is re-stratified, the new boundaries must be identified in the next offsets report that is submitted to the Regulator.</w:t>
      </w:r>
    </w:p>
    <w:p w:rsidR="00BA1364" w:rsidRPr="00374785" w:rsidRDefault="008074E7" w:rsidP="008074E7">
      <w:pPr>
        <w:pStyle w:val="tMain"/>
      </w:pPr>
      <w:r w:rsidRPr="00374785">
        <w:tab/>
      </w:r>
      <w:r w:rsidR="007F3C0F">
        <w:t>(4)</w:t>
      </w:r>
      <w:r w:rsidRPr="00374785">
        <w:tab/>
      </w:r>
      <w:r w:rsidR="002B60C7" w:rsidRPr="00374785">
        <w:t xml:space="preserve">If </w:t>
      </w:r>
      <w:r w:rsidRPr="00374785">
        <w:t xml:space="preserve">the project mechanism is carried out in </w:t>
      </w:r>
      <w:r w:rsidR="002B60C7" w:rsidRPr="00374785">
        <w:t xml:space="preserve">an area </w:t>
      </w:r>
      <w:r w:rsidR="00676BA5" w:rsidRPr="00374785">
        <w:t xml:space="preserve">previously </w:t>
      </w:r>
      <w:r w:rsidR="002B60C7" w:rsidRPr="00374785">
        <w:t>defined as an exclusion area, the area may be re-stratified as a carbon estimation area.</w:t>
      </w:r>
    </w:p>
    <w:p w:rsidR="004E3B4F" w:rsidRPr="00374785" w:rsidRDefault="00AA5AE2" w:rsidP="00371C97">
      <w:pPr>
        <w:pStyle w:val="h3Div"/>
      </w:pPr>
      <w:bookmarkStart w:id="21" w:name="_Toc397681565"/>
      <w:r w:rsidRPr="00374785">
        <w:lastRenderedPageBreak/>
        <w:t xml:space="preserve">Division </w:t>
      </w:r>
      <w:r w:rsidR="007F3C0F">
        <w:t>3.3</w:t>
      </w:r>
      <w:r w:rsidRPr="00374785">
        <w:tab/>
      </w:r>
      <w:r w:rsidR="00116F97" w:rsidRPr="00374785">
        <w:t>Domain group—p</w:t>
      </w:r>
      <w:r w:rsidR="004E3B4F" w:rsidRPr="00374785">
        <w:t>lanting</w:t>
      </w:r>
      <w:r w:rsidR="00116F97" w:rsidRPr="00374785">
        <w:t xml:space="preserve"> </w:t>
      </w:r>
      <w:r w:rsidR="00E97E6C" w:rsidRPr="00374785">
        <w:t xml:space="preserve">types and </w:t>
      </w:r>
      <w:r w:rsidR="004E3B4F" w:rsidRPr="00374785">
        <w:t>requirements</w:t>
      </w:r>
      <w:bookmarkEnd w:id="21"/>
    </w:p>
    <w:p w:rsidR="00116F97" w:rsidRPr="00374785" w:rsidRDefault="00DD569F" w:rsidP="00371C97">
      <w:pPr>
        <w:pStyle w:val="noteMain"/>
        <w:keepNext/>
      </w:pPr>
      <w:r w:rsidRPr="00374785">
        <w:tab/>
      </w:r>
      <w:r w:rsidRPr="00374785">
        <w:rPr>
          <w:b/>
          <w:i/>
        </w:rPr>
        <w:t>Note</w:t>
      </w:r>
      <w:r w:rsidRPr="00374785">
        <w:tab/>
      </w:r>
      <w:r w:rsidR="009B6F19" w:rsidRPr="00374785">
        <w:rPr>
          <w:b/>
          <w:i/>
        </w:rPr>
        <w:t>Domain group</w:t>
      </w:r>
      <w:r w:rsidR="00371C97" w:rsidRPr="00374785">
        <w:rPr>
          <w:b/>
          <w:i/>
        </w:rPr>
        <w:t>—</w:t>
      </w:r>
      <w:r w:rsidR="0064518C" w:rsidRPr="00374785">
        <w:t xml:space="preserve">Divisions 3.3 to </w:t>
      </w:r>
      <w:r w:rsidR="00522F4C" w:rsidRPr="00374785">
        <w:t>3.5 define the</w:t>
      </w:r>
      <w:r w:rsidR="00116F97" w:rsidRPr="00374785">
        <w:t xml:space="preserve"> domain group</w:t>
      </w:r>
      <w:r w:rsidR="0064518C" w:rsidRPr="00374785">
        <w:t xml:space="preserve"> for a particular calibration</w:t>
      </w:r>
      <w:r w:rsidR="00522F4C" w:rsidRPr="00374785">
        <w:t>. The domain group</w:t>
      </w:r>
      <w:r w:rsidR="00116F97" w:rsidRPr="00374785">
        <w:t xml:space="preserve"> </w:t>
      </w:r>
      <w:r w:rsidR="0064518C" w:rsidRPr="00374785">
        <w:t>is the</w:t>
      </w:r>
      <w:r w:rsidR="00116F97" w:rsidRPr="00374785">
        <w:t xml:space="preserve"> set of</w:t>
      </w:r>
      <w:r w:rsidR="0064518C" w:rsidRPr="00374785">
        <w:t xml:space="preserve"> requirements for</w:t>
      </w:r>
      <w:r w:rsidR="00116F97" w:rsidRPr="00374785">
        <w:t>:</w:t>
      </w:r>
    </w:p>
    <w:p w:rsidR="00116F97" w:rsidRPr="00374785" w:rsidRDefault="00DD569F" w:rsidP="00371C97">
      <w:pPr>
        <w:pStyle w:val="noteMain"/>
        <w:keepNext/>
        <w:ind w:left="1684"/>
      </w:pPr>
      <w:r w:rsidRPr="00374785">
        <w:tab/>
      </w:r>
      <w:r w:rsidRPr="00374785">
        <w:tab/>
      </w:r>
      <w:r w:rsidR="00116F97" w:rsidRPr="00374785">
        <w:t xml:space="preserve">planting type; </w:t>
      </w:r>
    </w:p>
    <w:p w:rsidR="00116F97" w:rsidRPr="00374785" w:rsidRDefault="00DD569F" w:rsidP="00371C97">
      <w:pPr>
        <w:pStyle w:val="noteMain"/>
        <w:keepNext/>
        <w:ind w:left="1684"/>
      </w:pPr>
      <w:r w:rsidRPr="00374785">
        <w:tab/>
      </w:r>
      <w:r w:rsidRPr="00374785">
        <w:tab/>
      </w:r>
      <w:r w:rsidR="00116F97" w:rsidRPr="00374785">
        <w:t xml:space="preserve">planting </w:t>
      </w:r>
      <w:r w:rsidR="0064518C" w:rsidRPr="00374785">
        <w:t>geometry</w:t>
      </w:r>
      <w:r w:rsidR="00116F97" w:rsidRPr="00374785">
        <w:t xml:space="preserve">; </w:t>
      </w:r>
    </w:p>
    <w:p w:rsidR="00116F97" w:rsidRPr="00374785" w:rsidRDefault="00DD569F" w:rsidP="00371C97">
      <w:pPr>
        <w:pStyle w:val="noteMain"/>
        <w:ind w:left="1684"/>
      </w:pPr>
      <w:r w:rsidRPr="00374785">
        <w:tab/>
      </w:r>
      <w:r w:rsidRPr="00374785">
        <w:tab/>
      </w:r>
      <w:r w:rsidR="00116F97" w:rsidRPr="00374785">
        <w:t>planting spacing; and</w:t>
      </w:r>
    </w:p>
    <w:p w:rsidR="00116F97" w:rsidRPr="00374785" w:rsidRDefault="00DD569F" w:rsidP="00371C97">
      <w:pPr>
        <w:pStyle w:val="noteMain"/>
        <w:ind w:left="1684"/>
        <w:rPr>
          <w:color w:val="000000" w:themeColor="text1"/>
        </w:rPr>
      </w:pPr>
      <w:r w:rsidRPr="00374785">
        <w:rPr>
          <w:color w:val="000000" w:themeColor="text1"/>
        </w:rPr>
        <w:tab/>
      </w:r>
      <w:r w:rsidRPr="00374785">
        <w:rPr>
          <w:color w:val="000000" w:themeColor="text1"/>
        </w:rPr>
        <w:tab/>
      </w:r>
      <w:r w:rsidR="00116F97" w:rsidRPr="00374785">
        <w:rPr>
          <w:color w:val="000000" w:themeColor="text1"/>
        </w:rPr>
        <w:t xml:space="preserve">if relevant, </w:t>
      </w:r>
      <w:r w:rsidR="00116F97" w:rsidRPr="00374785">
        <w:rPr>
          <w:rFonts w:eastAsiaTheme="minorHAnsi"/>
        </w:rPr>
        <w:t>stocking density and tree proportion;</w:t>
      </w:r>
      <w:r w:rsidR="00116F97" w:rsidRPr="00374785">
        <w:rPr>
          <w:color w:val="000000" w:themeColor="text1"/>
        </w:rPr>
        <w:t xml:space="preserve"> </w:t>
      </w:r>
    </w:p>
    <w:p w:rsidR="00522F4C" w:rsidRPr="00374785" w:rsidRDefault="00DD569F" w:rsidP="00DD569F">
      <w:pPr>
        <w:pStyle w:val="noteMain"/>
      </w:pPr>
      <w:r w:rsidRPr="00374785">
        <w:tab/>
      </w:r>
      <w:r w:rsidRPr="00374785">
        <w:tab/>
      </w:r>
      <w:r w:rsidR="00116F97" w:rsidRPr="00374785">
        <w:t xml:space="preserve">that taken together </w:t>
      </w:r>
      <w:r w:rsidR="0064518C" w:rsidRPr="00374785">
        <w:t>restrict the circumstances where</w:t>
      </w:r>
      <w:r w:rsidR="00116F97" w:rsidRPr="00374785">
        <w:t xml:space="preserve"> a particular calibration may be applied.</w:t>
      </w:r>
      <w:r w:rsidR="0064518C" w:rsidRPr="00374785">
        <w:t xml:space="preserve"> </w:t>
      </w:r>
    </w:p>
    <w:p w:rsidR="00522F4C" w:rsidRPr="00374785" w:rsidRDefault="00DD569F" w:rsidP="00DD569F">
      <w:pPr>
        <w:pStyle w:val="noteMain"/>
      </w:pPr>
      <w:r w:rsidRPr="00374785">
        <w:tab/>
      </w:r>
      <w:r w:rsidRPr="00374785">
        <w:tab/>
      </w:r>
      <w:r w:rsidR="0064518C" w:rsidRPr="00374785">
        <w:t>An additional restriction</w:t>
      </w:r>
      <w:r w:rsidR="00522F4C" w:rsidRPr="00374785">
        <w:t xml:space="preserve"> on the use of a specific calibration</w:t>
      </w:r>
      <w:r w:rsidR="0064518C" w:rsidRPr="00374785">
        <w:t xml:space="preserve"> </w:t>
      </w:r>
      <w:r w:rsidR="00522F4C" w:rsidRPr="00374785">
        <w:t>may arise due to competition from adjacent trees as determined in Division 3.7.</w:t>
      </w:r>
    </w:p>
    <w:p w:rsidR="00116F97" w:rsidRPr="00374785" w:rsidRDefault="00DD569F" w:rsidP="00DD569F">
      <w:pPr>
        <w:pStyle w:val="noteMain"/>
      </w:pPr>
      <w:r w:rsidRPr="00374785">
        <w:tab/>
      </w:r>
      <w:r w:rsidRPr="00374785">
        <w:tab/>
      </w:r>
      <w:r w:rsidR="00522F4C" w:rsidRPr="00374785">
        <w:t xml:space="preserve">A further restriction </w:t>
      </w:r>
      <w:r w:rsidR="00F3079F" w:rsidRPr="00374785">
        <w:t xml:space="preserve">on the application of a specific calibration </w:t>
      </w:r>
      <w:r w:rsidR="0064518C" w:rsidRPr="00374785">
        <w:t>occurs within FullCAM which</w:t>
      </w:r>
      <w:r w:rsidR="00F3079F" w:rsidRPr="00374785">
        <w:t xml:space="preserve"> intentionally</w:t>
      </w:r>
      <w:r w:rsidR="0064518C" w:rsidRPr="00374785">
        <w:t xml:space="preserve"> limits</w:t>
      </w:r>
      <w:r w:rsidR="00522F4C" w:rsidRPr="00374785">
        <w:t xml:space="preserve"> the availability of a specific calibration for modelling</w:t>
      </w:r>
      <w:r w:rsidR="00F3079F" w:rsidRPr="00374785">
        <w:t xml:space="preserve"> purposes </w:t>
      </w:r>
      <w:r w:rsidR="00522F4C" w:rsidRPr="00374785">
        <w:t xml:space="preserve">to within the geographical area for which </w:t>
      </w:r>
      <w:r w:rsidR="00F3079F" w:rsidRPr="00374785">
        <w:t>the</w:t>
      </w:r>
      <w:r w:rsidR="00522F4C" w:rsidRPr="00374785">
        <w:t xml:space="preserve"> specific calibration</w:t>
      </w:r>
      <w:r w:rsidR="00F3079F" w:rsidRPr="00374785">
        <w:t xml:space="preserve"> has been validated</w:t>
      </w:r>
      <w:r w:rsidR="00522F4C" w:rsidRPr="00374785">
        <w:t>.</w:t>
      </w:r>
      <w:r w:rsidR="0064518C" w:rsidRPr="00374785">
        <w:t xml:space="preserve"> </w:t>
      </w:r>
    </w:p>
    <w:p w:rsidR="00DD569F" w:rsidRPr="00374785" w:rsidRDefault="00DD569F" w:rsidP="00DD569F">
      <w:pPr>
        <w:pStyle w:val="noteMain"/>
      </w:pPr>
      <w:r w:rsidRPr="00374785">
        <w:tab/>
      </w:r>
      <w:r w:rsidRPr="00374785">
        <w:tab/>
        <w:t>Section 4.9 creates limited exceptions to the requirement to satisfy the domain group conditions.</w:t>
      </w:r>
    </w:p>
    <w:p w:rsidR="00AD492D" w:rsidRPr="00374785" w:rsidRDefault="007F3C0F" w:rsidP="00AA5AE2">
      <w:pPr>
        <w:pStyle w:val="h5Section"/>
      </w:pPr>
      <w:bookmarkStart w:id="22" w:name="_Toc397681566"/>
      <w:r>
        <w:t>3.9</w:t>
      </w:r>
      <w:r w:rsidR="00AA5AE2" w:rsidRPr="00374785">
        <w:tab/>
      </w:r>
      <w:r w:rsidR="00AD492D" w:rsidRPr="00374785">
        <w:t>Mallee plantings</w:t>
      </w:r>
      <w:bookmarkEnd w:id="22"/>
    </w:p>
    <w:p w:rsidR="002D66C6" w:rsidRPr="00374785" w:rsidRDefault="004E5637" w:rsidP="004E5637">
      <w:pPr>
        <w:pStyle w:val="tMain"/>
        <w:rPr>
          <w:rFonts w:eastAsiaTheme="minorHAnsi" w:cs="Calibri"/>
        </w:rPr>
      </w:pPr>
      <w:r w:rsidRPr="00374785">
        <w:tab/>
      </w:r>
      <w:r w:rsidR="007F3C0F">
        <w:t>(1)</w:t>
      </w:r>
      <w:r w:rsidRPr="00374785">
        <w:tab/>
      </w:r>
      <w:r w:rsidR="002D66C6" w:rsidRPr="00374785">
        <w:t>A mallee</w:t>
      </w:r>
      <w:r w:rsidR="002D66C6" w:rsidRPr="00374785">
        <w:rPr>
          <w:color w:val="76923C" w:themeColor="accent3" w:themeShade="BF"/>
        </w:rPr>
        <w:t xml:space="preserve"> </w:t>
      </w:r>
      <w:r w:rsidR="002D66C6" w:rsidRPr="00374785">
        <w:rPr>
          <w:rFonts w:eastAsiaTheme="minorHAnsi" w:cs="Calibri"/>
        </w:rPr>
        <w:t xml:space="preserve">planting </w:t>
      </w:r>
      <w:r w:rsidR="00C923C4" w:rsidRPr="00374785">
        <w:rPr>
          <w:rFonts w:eastAsiaTheme="minorHAnsi" w:cs="Calibri"/>
        </w:rPr>
        <w:t>must consist</w:t>
      </w:r>
      <w:r w:rsidR="002D66C6" w:rsidRPr="00374785">
        <w:rPr>
          <w:rFonts w:eastAsiaTheme="minorHAnsi" w:cs="Calibri"/>
        </w:rPr>
        <w:t xml:space="preserve"> of </w:t>
      </w:r>
      <w:r w:rsidR="00377F83" w:rsidRPr="00374785">
        <w:rPr>
          <w:rFonts w:eastAsiaTheme="minorHAnsi" w:cs="Calibri"/>
        </w:rPr>
        <w:t xml:space="preserve">a planting only of </w:t>
      </w:r>
      <w:r w:rsidR="002D66C6" w:rsidRPr="00374785">
        <w:rPr>
          <w:rFonts w:eastAsiaTheme="minorHAnsi" w:cs="Calibri"/>
        </w:rPr>
        <w:t>mallee</w:t>
      </w:r>
      <w:r w:rsidR="00BA7E50" w:rsidRPr="00374785">
        <w:rPr>
          <w:rFonts w:eastAsiaTheme="minorHAnsi" w:cs="Calibri"/>
        </w:rPr>
        <w:t xml:space="preserve"> species</w:t>
      </w:r>
      <w:r w:rsidR="002D66C6" w:rsidRPr="00374785">
        <w:rPr>
          <w:rFonts w:eastAsiaTheme="minorHAnsi" w:cs="Calibri"/>
        </w:rPr>
        <w:t>.</w:t>
      </w:r>
    </w:p>
    <w:p w:rsidR="0092113D" w:rsidRPr="00374785" w:rsidRDefault="002D66C6" w:rsidP="002D66C6">
      <w:pPr>
        <w:pStyle w:val="tMain"/>
      </w:pPr>
      <w:r w:rsidRPr="00374785">
        <w:tab/>
      </w:r>
      <w:r w:rsidR="007F3C0F">
        <w:t>(2)</w:t>
      </w:r>
      <w:r w:rsidRPr="00374785">
        <w:tab/>
      </w:r>
      <w:r w:rsidR="00836065" w:rsidRPr="00374785">
        <w:t xml:space="preserve">A mallee </w:t>
      </w:r>
      <w:r w:rsidR="0092113D" w:rsidRPr="00374785">
        <w:t xml:space="preserve">planting is only </w:t>
      </w:r>
      <w:r w:rsidR="00836065" w:rsidRPr="00374785">
        <w:t>eligible for the application of a specific calibration</w:t>
      </w:r>
      <w:r w:rsidR="0092113D" w:rsidRPr="00374785">
        <w:t xml:space="preserve"> if: </w:t>
      </w:r>
    </w:p>
    <w:p w:rsidR="002A7316" w:rsidRPr="00374785" w:rsidRDefault="002A7316" w:rsidP="002A7316">
      <w:pPr>
        <w:pStyle w:val="tPara"/>
      </w:pPr>
      <w:r w:rsidRPr="00374785">
        <w:tab/>
      </w:r>
      <w:r w:rsidR="007F3C0F">
        <w:t>(a)</w:t>
      </w:r>
      <w:r w:rsidRPr="00374785">
        <w:tab/>
      </w:r>
      <w:r w:rsidR="0092113D" w:rsidRPr="00374785">
        <w:t>the planting</w:t>
      </w:r>
      <w:r w:rsidR="00836065" w:rsidRPr="00374785">
        <w:t xml:space="preserve"> </w:t>
      </w:r>
      <w:r w:rsidR="0092113D" w:rsidRPr="00374785">
        <w:t>satisfies</w:t>
      </w:r>
      <w:r w:rsidR="00836065" w:rsidRPr="00374785">
        <w:t xml:space="preserve"> the requirements </w:t>
      </w:r>
      <w:r w:rsidR="00E34608" w:rsidRPr="00374785">
        <w:t xml:space="preserve">of </w:t>
      </w:r>
      <w:r w:rsidR="00836065" w:rsidRPr="00374785">
        <w:t xml:space="preserve">the domain </w:t>
      </w:r>
      <w:r w:rsidR="0092113D" w:rsidRPr="00374785">
        <w:t>group for a</w:t>
      </w:r>
      <w:r w:rsidR="0088737A" w:rsidRPr="00374785">
        <w:t xml:space="preserve"> </w:t>
      </w:r>
      <w:r w:rsidR="0092113D" w:rsidRPr="00374785">
        <w:t xml:space="preserve"> specific </w:t>
      </w:r>
      <w:r w:rsidR="0088737A" w:rsidRPr="00374785">
        <w:t>calibration</w:t>
      </w:r>
      <w:r w:rsidRPr="00374785">
        <w:t>;</w:t>
      </w:r>
      <w:r w:rsidR="00E34608" w:rsidRPr="00374785">
        <w:t xml:space="preserve"> </w:t>
      </w:r>
      <w:r w:rsidR="0092113D" w:rsidRPr="00374785">
        <w:t xml:space="preserve">and </w:t>
      </w:r>
    </w:p>
    <w:p w:rsidR="00AD492D" w:rsidRPr="00374785" w:rsidRDefault="002A7316" w:rsidP="002A7316">
      <w:pPr>
        <w:pStyle w:val="tPara"/>
      </w:pPr>
      <w:r w:rsidRPr="00374785">
        <w:tab/>
      </w:r>
      <w:r w:rsidR="007F3C0F">
        <w:t>(b)</w:t>
      </w:r>
      <w:r w:rsidRPr="00374785">
        <w:tab/>
      </w:r>
      <w:r w:rsidR="0092113D" w:rsidRPr="00374785">
        <w:t>the planting consists of</w:t>
      </w:r>
      <w:r w:rsidR="00E34608" w:rsidRPr="00374785">
        <w:t xml:space="preserve"> a </w:t>
      </w:r>
      <w:r w:rsidR="00836065" w:rsidRPr="00374785">
        <w:t>specified mallee species.</w:t>
      </w:r>
    </w:p>
    <w:p w:rsidR="00B52BD0" w:rsidRPr="00374785" w:rsidRDefault="00F15A77" w:rsidP="00F15A77">
      <w:pPr>
        <w:pStyle w:val="notePara"/>
      </w:pPr>
      <w:r w:rsidRPr="00374785">
        <w:tab/>
      </w:r>
      <w:r w:rsidRPr="00374785">
        <w:rPr>
          <w:b/>
          <w:i/>
        </w:rPr>
        <w:t>Note</w:t>
      </w:r>
      <w:r w:rsidRPr="00374785">
        <w:tab/>
        <w:t xml:space="preserve">To avoid doubt, a </w:t>
      </w:r>
      <w:r w:rsidR="00B52BD0" w:rsidRPr="00374785">
        <w:t xml:space="preserve">mallee </w:t>
      </w:r>
      <w:r w:rsidR="00D67B60" w:rsidRPr="00374785">
        <w:t xml:space="preserve">planting </w:t>
      </w:r>
      <w:r w:rsidR="00556C6C" w:rsidRPr="00374785">
        <w:t xml:space="preserve">that </w:t>
      </w:r>
      <w:r w:rsidRPr="00374785">
        <w:t>is not a specified mallee species</w:t>
      </w:r>
      <w:r w:rsidR="004245BD" w:rsidRPr="00374785">
        <w:t xml:space="preserve"> </w:t>
      </w:r>
      <w:r w:rsidR="00556C6C" w:rsidRPr="00374785">
        <w:t>is</w:t>
      </w:r>
      <w:r w:rsidR="00B52BD0" w:rsidRPr="00374785">
        <w:t xml:space="preserve"> not</w:t>
      </w:r>
      <w:r w:rsidR="004245BD" w:rsidRPr="00374785">
        <w:t xml:space="preserve"> eligible for the application of</w:t>
      </w:r>
      <w:r w:rsidR="00B52BD0" w:rsidRPr="00374785">
        <w:t xml:space="preserve"> a specific calibration. </w:t>
      </w:r>
    </w:p>
    <w:p w:rsidR="002F37A2" w:rsidRPr="00374785" w:rsidRDefault="002154FE" w:rsidP="005F2F60">
      <w:pPr>
        <w:pStyle w:val="tMain"/>
      </w:pPr>
      <w:r w:rsidRPr="00374785">
        <w:tab/>
      </w:r>
      <w:r w:rsidR="007F3C0F">
        <w:t>(3)</w:t>
      </w:r>
      <w:r w:rsidRPr="00374785">
        <w:tab/>
      </w:r>
      <w:r w:rsidR="00A357D2" w:rsidRPr="00374785">
        <w:t xml:space="preserve">Subject to </w:t>
      </w:r>
      <w:r w:rsidR="00061919">
        <w:t>sub</w:t>
      </w:r>
      <w:r w:rsidR="00A357D2" w:rsidRPr="00374785">
        <w:t>section</w:t>
      </w:r>
      <w:r w:rsidR="00061919">
        <w:t>s</w:t>
      </w:r>
      <w:r w:rsidR="00A357D2" w:rsidRPr="00374785">
        <w:t xml:space="preserve"> </w:t>
      </w:r>
      <w:r w:rsidR="005F2F60" w:rsidRPr="00374785">
        <w:t xml:space="preserve">2.3(6) and (7), a project proponent may choose to apply the generic calibration to a mallee planting at any time. </w:t>
      </w:r>
    </w:p>
    <w:p w:rsidR="00F15A77" w:rsidRPr="00374785" w:rsidRDefault="00F15A77" w:rsidP="00F15A77">
      <w:pPr>
        <w:pStyle w:val="tMain"/>
      </w:pPr>
      <w:r w:rsidRPr="00374785">
        <w:tab/>
      </w:r>
      <w:r w:rsidR="007F3C0F">
        <w:t>(4)</w:t>
      </w:r>
      <w:r w:rsidRPr="00374785">
        <w:tab/>
        <w:t>In this section:</w:t>
      </w:r>
    </w:p>
    <w:p w:rsidR="00F15A77" w:rsidRPr="00374785" w:rsidRDefault="00F15A77" w:rsidP="00F15A77">
      <w:pPr>
        <w:pStyle w:val="tDefn"/>
      </w:pPr>
      <w:r w:rsidRPr="00374785">
        <w:rPr>
          <w:b/>
          <w:i/>
        </w:rPr>
        <w:t>specified mallee species</w:t>
      </w:r>
      <w:r w:rsidRPr="00374785">
        <w:t xml:space="preserve"> means a single species planting of one of the following: </w:t>
      </w:r>
    </w:p>
    <w:p w:rsidR="00F15A77" w:rsidRPr="00374785" w:rsidRDefault="00F15A77" w:rsidP="00F15A77">
      <w:pPr>
        <w:pStyle w:val="tPara"/>
        <w:rPr>
          <w:rFonts w:eastAsiaTheme="minorHAnsi"/>
        </w:rPr>
      </w:pPr>
      <w:r w:rsidRPr="00374785">
        <w:rPr>
          <w:rFonts w:eastAsiaTheme="minorHAnsi"/>
          <w:i/>
          <w:iCs/>
        </w:rPr>
        <w:tab/>
      </w:r>
      <w:r w:rsidRPr="00374785">
        <w:rPr>
          <w:rFonts w:eastAsiaTheme="minorHAnsi"/>
          <w:iCs/>
        </w:rPr>
        <w:t>(a)</w:t>
      </w:r>
      <w:r w:rsidRPr="00374785">
        <w:rPr>
          <w:rFonts w:eastAsiaTheme="minorHAnsi"/>
          <w:i/>
          <w:iCs/>
        </w:rPr>
        <w:tab/>
        <w:t xml:space="preserve">Eucalyptus loxophleba </w:t>
      </w:r>
      <w:r w:rsidRPr="00374785">
        <w:rPr>
          <w:rFonts w:eastAsiaTheme="minorHAnsi"/>
        </w:rPr>
        <w:t xml:space="preserve">ssp. </w:t>
      </w:r>
      <w:r w:rsidRPr="00374785">
        <w:rPr>
          <w:rFonts w:eastAsiaTheme="minorHAnsi"/>
          <w:i/>
          <w:iCs/>
        </w:rPr>
        <w:t xml:space="preserve">lissophloia </w:t>
      </w:r>
      <w:r w:rsidRPr="00374785">
        <w:rPr>
          <w:rFonts w:eastAsiaTheme="minorHAnsi"/>
        </w:rPr>
        <w:t>L.A.S. Johnson and K.D. Hill (smooth bark York gum); or</w:t>
      </w:r>
    </w:p>
    <w:p w:rsidR="00F15A77" w:rsidRPr="00374785" w:rsidRDefault="00F15A77" w:rsidP="00F15A77">
      <w:pPr>
        <w:pStyle w:val="tPara"/>
        <w:rPr>
          <w:rFonts w:eastAsiaTheme="minorHAnsi"/>
        </w:rPr>
      </w:pPr>
      <w:r w:rsidRPr="00374785">
        <w:rPr>
          <w:rFonts w:eastAsiaTheme="minorHAnsi"/>
          <w:i/>
          <w:iCs/>
        </w:rPr>
        <w:tab/>
      </w:r>
      <w:r w:rsidRPr="00374785">
        <w:rPr>
          <w:rFonts w:eastAsiaTheme="minorHAnsi"/>
          <w:iCs/>
        </w:rPr>
        <w:t>(b)</w:t>
      </w:r>
      <w:r w:rsidRPr="00374785">
        <w:rPr>
          <w:rFonts w:eastAsiaTheme="minorHAnsi"/>
          <w:i/>
          <w:iCs/>
        </w:rPr>
        <w:tab/>
        <w:t xml:space="preserve">Eucalyptus polybractea </w:t>
      </w:r>
      <w:r w:rsidRPr="00374785">
        <w:rPr>
          <w:rFonts w:eastAsiaTheme="minorHAnsi"/>
        </w:rPr>
        <w:t>R.T. Baker (blue mallee); or</w:t>
      </w:r>
    </w:p>
    <w:p w:rsidR="00F15A77" w:rsidRPr="00374785" w:rsidRDefault="00F15A77" w:rsidP="00F15A77">
      <w:pPr>
        <w:pStyle w:val="tPara"/>
        <w:rPr>
          <w:rFonts w:eastAsiaTheme="minorHAnsi"/>
        </w:rPr>
      </w:pPr>
      <w:r w:rsidRPr="00374785">
        <w:rPr>
          <w:rFonts w:eastAsiaTheme="minorHAnsi"/>
        </w:rPr>
        <w:tab/>
        <w:t>(c)</w:t>
      </w:r>
      <w:r w:rsidRPr="00374785">
        <w:rPr>
          <w:rFonts w:eastAsiaTheme="minorHAnsi"/>
        </w:rPr>
        <w:tab/>
      </w:r>
      <w:r w:rsidRPr="00374785">
        <w:rPr>
          <w:rFonts w:eastAsiaTheme="minorHAnsi"/>
          <w:i/>
          <w:iCs/>
        </w:rPr>
        <w:t>Eucalyptus kochii</w:t>
      </w:r>
      <w:r w:rsidRPr="00374785">
        <w:rPr>
          <w:rFonts w:eastAsiaTheme="minorHAnsi"/>
        </w:rPr>
        <w:t xml:space="preserve"> sub-species comprising:</w:t>
      </w:r>
    </w:p>
    <w:p w:rsidR="00F15A77" w:rsidRPr="00374785" w:rsidRDefault="00F15A77" w:rsidP="00F15A77">
      <w:pPr>
        <w:pStyle w:val="tSubpara"/>
        <w:rPr>
          <w:rFonts w:eastAsiaTheme="minorHAnsi"/>
        </w:rPr>
      </w:pPr>
      <w:r w:rsidRPr="00374785">
        <w:rPr>
          <w:rFonts w:eastAsiaTheme="minorHAnsi"/>
          <w:i/>
          <w:iCs/>
        </w:rPr>
        <w:tab/>
      </w:r>
      <w:r w:rsidRPr="00374785">
        <w:rPr>
          <w:rFonts w:eastAsiaTheme="minorHAnsi"/>
          <w:iCs/>
        </w:rPr>
        <w:t>(i)</w:t>
      </w:r>
      <w:r w:rsidRPr="00374785">
        <w:rPr>
          <w:rFonts w:eastAsiaTheme="minorHAnsi"/>
          <w:i/>
          <w:iCs/>
        </w:rPr>
        <w:tab/>
        <w:t>E. kochii</w:t>
      </w:r>
      <w:r w:rsidRPr="00374785">
        <w:rPr>
          <w:rFonts w:eastAsiaTheme="minorHAnsi"/>
        </w:rPr>
        <w:t>, Maiden and Blakely; and/or</w:t>
      </w:r>
    </w:p>
    <w:p w:rsidR="00F15A77" w:rsidRPr="00374785" w:rsidRDefault="00F15A77" w:rsidP="00F15A77">
      <w:pPr>
        <w:pStyle w:val="tSubpara"/>
        <w:rPr>
          <w:rFonts w:eastAsiaTheme="minorHAnsi"/>
        </w:rPr>
      </w:pPr>
      <w:r w:rsidRPr="00374785">
        <w:rPr>
          <w:rFonts w:eastAsiaTheme="minorHAnsi"/>
          <w:i/>
          <w:iCs/>
        </w:rPr>
        <w:tab/>
      </w:r>
      <w:r w:rsidRPr="00374785">
        <w:rPr>
          <w:rFonts w:eastAsiaTheme="minorHAnsi"/>
          <w:iCs/>
        </w:rPr>
        <w:t>(ii)</w:t>
      </w:r>
      <w:r w:rsidRPr="00374785">
        <w:rPr>
          <w:rFonts w:eastAsiaTheme="minorHAnsi"/>
          <w:i/>
          <w:iCs/>
        </w:rPr>
        <w:tab/>
        <w:t xml:space="preserve">E. kochii </w:t>
      </w:r>
      <w:r w:rsidRPr="00374785">
        <w:rPr>
          <w:rFonts w:eastAsiaTheme="minorHAnsi"/>
        </w:rPr>
        <w:t xml:space="preserve">ssp. </w:t>
      </w:r>
      <w:r w:rsidRPr="00374785">
        <w:rPr>
          <w:rFonts w:eastAsiaTheme="minorHAnsi"/>
          <w:i/>
          <w:iCs/>
        </w:rPr>
        <w:t xml:space="preserve">borealis </w:t>
      </w:r>
      <w:r w:rsidRPr="00374785">
        <w:rPr>
          <w:rFonts w:eastAsiaTheme="minorHAnsi"/>
        </w:rPr>
        <w:t>C.A. Gardner; and/or</w:t>
      </w:r>
    </w:p>
    <w:p w:rsidR="00F15A77" w:rsidRPr="00374785" w:rsidRDefault="00F15A77" w:rsidP="00F15A77">
      <w:pPr>
        <w:pStyle w:val="tSubpara"/>
        <w:rPr>
          <w:rFonts w:eastAsiaTheme="minorHAnsi"/>
        </w:rPr>
      </w:pPr>
      <w:r w:rsidRPr="00374785">
        <w:rPr>
          <w:rFonts w:eastAsiaTheme="minorHAnsi"/>
        </w:rPr>
        <w:tab/>
        <w:t>(iii)</w:t>
      </w:r>
      <w:r w:rsidRPr="00374785">
        <w:rPr>
          <w:rFonts w:eastAsiaTheme="minorHAnsi"/>
        </w:rPr>
        <w:tab/>
      </w:r>
      <w:r w:rsidRPr="00374785">
        <w:rPr>
          <w:rFonts w:eastAsiaTheme="minorHAnsi"/>
          <w:i/>
        </w:rPr>
        <w:t>E. kochii</w:t>
      </w:r>
      <w:r w:rsidRPr="00374785">
        <w:rPr>
          <w:rFonts w:eastAsiaTheme="minorHAnsi"/>
        </w:rPr>
        <w:t xml:space="preserve"> ssp. </w:t>
      </w:r>
      <w:r w:rsidRPr="00374785">
        <w:rPr>
          <w:rFonts w:eastAsiaTheme="minorHAnsi"/>
          <w:i/>
        </w:rPr>
        <w:t>plenissima</w:t>
      </w:r>
      <w:r w:rsidRPr="00374785">
        <w:rPr>
          <w:rFonts w:eastAsiaTheme="minorHAnsi"/>
        </w:rPr>
        <w:t xml:space="preserve"> C.A. Gardner.</w:t>
      </w:r>
    </w:p>
    <w:p w:rsidR="00AD492D" w:rsidRPr="00374785" w:rsidRDefault="007F3C0F" w:rsidP="004E3B4F">
      <w:pPr>
        <w:pStyle w:val="h5Section"/>
      </w:pPr>
      <w:bookmarkStart w:id="23" w:name="_Toc397681567"/>
      <w:r>
        <w:t>3.10</w:t>
      </w:r>
      <w:r w:rsidR="004E3B4F" w:rsidRPr="00374785">
        <w:tab/>
      </w:r>
      <w:r w:rsidR="005225C6" w:rsidRPr="00374785">
        <w:t>Mixed-species environmental plantings</w:t>
      </w:r>
      <w:bookmarkEnd w:id="23"/>
    </w:p>
    <w:p w:rsidR="005225C6" w:rsidRPr="00374785" w:rsidRDefault="00B726DB" w:rsidP="00B726DB">
      <w:pPr>
        <w:pStyle w:val="tMain"/>
      </w:pPr>
      <w:r w:rsidRPr="00374785">
        <w:tab/>
      </w:r>
      <w:r w:rsidR="007F3C0F">
        <w:t>(1)</w:t>
      </w:r>
      <w:r w:rsidRPr="00374785">
        <w:tab/>
      </w:r>
      <w:r w:rsidR="005225C6" w:rsidRPr="00374785">
        <w:t>A mixed-species environmental planting must consist of a mixture of tree and shrub species that:</w:t>
      </w:r>
    </w:p>
    <w:p w:rsidR="005225C6" w:rsidRPr="00374785" w:rsidRDefault="005225C6" w:rsidP="005225C6">
      <w:pPr>
        <w:pStyle w:val="ListParagraph"/>
        <w:numPr>
          <w:ilvl w:val="4"/>
          <w:numId w:val="20"/>
        </w:numPr>
        <w:autoSpaceDE w:val="0"/>
        <w:autoSpaceDN w:val="0"/>
        <w:adjustRightInd w:val="0"/>
        <w:spacing w:before="120" w:after="120"/>
        <w:contextualSpacing/>
        <w:rPr>
          <w:rFonts w:eastAsiaTheme="minorHAnsi" w:cs="Calibri"/>
        </w:rPr>
      </w:pPr>
      <w:r w:rsidRPr="00374785">
        <w:rPr>
          <w:rFonts w:eastAsiaTheme="minorHAnsi" w:cs="Calibri"/>
        </w:rPr>
        <w:t xml:space="preserve">are native to the local area of the planting; </w:t>
      </w:r>
    </w:p>
    <w:p w:rsidR="005225C6" w:rsidRPr="00374785" w:rsidRDefault="005225C6" w:rsidP="005225C6">
      <w:pPr>
        <w:pStyle w:val="ListParagraph"/>
        <w:numPr>
          <w:ilvl w:val="4"/>
          <w:numId w:val="20"/>
        </w:numPr>
        <w:autoSpaceDE w:val="0"/>
        <w:autoSpaceDN w:val="0"/>
        <w:adjustRightInd w:val="0"/>
        <w:spacing w:before="120" w:after="120"/>
        <w:contextualSpacing/>
        <w:rPr>
          <w:rFonts w:eastAsiaTheme="minorHAnsi" w:cs="Calibri"/>
        </w:rPr>
      </w:pPr>
      <w:r w:rsidRPr="00374785">
        <w:rPr>
          <w:rFonts w:eastAsiaTheme="minorHAnsi" w:cs="Calibri"/>
        </w:rPr>
        <w:t>are sourced from seeds:</w:t>
      </w:r>
    </w:p>
    <w:p w:rsidR="005225C6" w:rsidRPr="00374785" w:rsidRDefault="005225C6" w:rsidP="005225C6">
      <w:pPr>
        <w:pStyle w:val="ListParagraph"/>
        <w:numPr>
          <w:ilvl w:val="5"/>
          <w:numId w:val="20"/>
        </w:numPr>
        <w:autoSpaceDE w:val="0"/>
        <w:autoSpaceDN w:val="0"/>
        <w:adjustRightInd w:val="0"/>
        <w:spacing w:before="120" w:after="120"/>
        <w:contextualSpacing/>
        <w:rPr>
          <w:rFonts w:eastAsiaTheme="minorHAnsi" w:cs="Calibri"/>
        </w:rPr>
      </w:pPr>
      <w:r w:rsidRPr="00374785">
        <w:rPr>
          <w:rFonts w:eastAsiaTheme="minorHAnsi" w:cs="Calibri"/>
        </w:rPr>
        <w:t>from within the natural distribution of the species; and</w:t>
      </w:r>
    </w:p>
    <w:p w:rsidR="005225C6" w:rsidRPr="00374785" w:rsidRDefault="005225C6" w:rsidP="005225C6">
      <w:pPr>
        <w:pStyle w:val="ListParagraph"/>
        <w:numPr>
          <w:ilvl w:val="5"/>
          <w:numId w:val="20"/>
        </w:numPr>
        <w:autoSpaceDE w:val="0"/>
        <w:autoSpaceDN w:val="0"/>
        <w:adjustRightInd w:val="0"/>
        <w:spacing w:before="120" w:after="120"/>
        <w:contextualSpacing/>
        <w:rPr>
          <w:rFonts w:eastAsiaTheme="minorHAnsi" w:cs="Calibri"/>
        </w:rPr>
      </w:pPr>
      <w:r w:rsidRPr="00374785">
        <w:rPr>
          <w:rFonts w:eastAsiaTheme="minorHAnsi" w:cs="Calibri"/>
        </w:rPr>
        <w:lastRenderedPageBreak/>
        <w:t xml:space="preserve">that are appropriate to the biophysical characteristics of the area of the planting; </w:t>
      </w:r>
    </w:p>
    <w:p w:rsidR="005225C6" w:rsidRPr="00374785" w:rsidRDefault="005225C6" w:rsidP="005225C6">
      <w:pPr>
        <w:pStyle w:val="ListParagraph"/>
        <w:numPr>
          <w:ilvl w:val="4"/>
          <w:numId w:val="20"/>
        </w:numPr>
        <w:autoSpaceDE w:val="0"/>
        <w:autoSpaceDN w:val="0"/>
        <w:adjustRightInd w:val="0"/>
        <w:spacing w:before="120" w:after="120"/>
        <w:contextualSpacing/>
        <w:rPr>
          <w:rFonts w:eastAsiaTheme="minorHAnsi" w:cs="Calibri"/>
        </w:rPr>
      </w:pPr>
      <w:r w:rsidRPr="00374785">
        <w:rPr>
          <w:rFonts w:eastAsiaTheme="minorHAnsi" w:cs="Calibri"/>
        </w:rPr>
        <w:t>may be a mix of trees, shrubs, and understorey species where the mix reflects the structure and composition of the local native vegetation community</w:t>
      </w:r>
      <w:r w:rsidR="003C4F09" w:rsidRPr="00374785">
        <w:rPr>
          <w:rFonts w:eastAsiaTheme="minorHAnsi" w:cs="Calibri"/>
        </w:rPr>
        <w:t>;</w:t>
      </w:r>
      <w:r w:rsidRPr="00374785">
        <w:rPr>
          <w:rFonts w:eastAsiaTheme="minorHAnsi" w:cs="Calibri"/>
        </w:rPr>
        <w:t xml:space="preserve"> and </w:t>
      </w:r>
    </w:p>
    <w:p w:rsidR="005225C6" w:rsidRPr="00374785" w:rsidRDefault="005225C6" w:rsidP="005225C6">
      <w:pPr>
        <w:pStyle w:val="ListParagraph"/>
        <w:numPr>
          <w:ilvl w:val="4"/>
          <w:numId w:val="20"/>
        </w:numPr>
        <w:autoSpaceDE w:val="0"/>
        <w:autoSpaceDN w:val="0"/>
        <w:adjustRightInd w:val="0"/>
        <w:spacing w:before="120" w:after="120"/>
        <w:contextualSpacing/>
        <w:rPr>
          <w:rFonts w:eastAsiaTheme="minorHAnsi" w:cs="Calibri"/>
          <w:u w:val="single"/>
        </w:rPr>
      </w:pPr>
      <w:r w:rsidRPr="00374785">
        <w:rPr>
          <w:rFonts w:eastAsiaTheme="minorHAnsi" w:cs="Calibri"/>
        </w:rPr>
        <w:t xml:space="preserve">are established through planting. </w:t>
      </w:r>
    </w:p>
    <w:p w:rsidR="007D4334" w:rsidRPr="00374785" w:rsidRDefault="00B726DB" w:rsidP="00B726DB">
      <w:pPr>
        <w:pStyle w:val="tMain"/>
      </w:pPr>
      <w:r w:rsidRPr="00374785">
        <w:tab/>
      </w:r>
      <w:r w:rsidR="007F3C0F">
        <w:t>(2)</w:t>
      </w:r>
      <w:r w:rsidRPr="00374785">
        <w:tab/>
      </w:r>
      <w:r w:rsidR="00BA7E50" w:rsidRPr="00374785">
        <w:t xml:space="preserve">A </w:t>
      </w:r>
      <w:r w:rsidRPr="00374785">
        <w:t xml:space="preserve">mixed-species environmental planting </w:t>
      </w:r>
      <w:r w:rsidR="00787893" w:rsidRPr="00374785">
        <w:t>is only</w:t>
      </w:r>
      <w:r w:rsidRPr="00374785">
        <w:t xml:space="preserve"> eligible for the</w:t>
      </w:r>
      <w:r w:rsidR="00BA7E50" w:rsidRPr="00374785">
        <w:t xml:space="preserve"> applica</w:t>
      </w:r>
      <w:r w:rsidRPr="00374785">
        <w:t>tion of</w:t>
      </w:r>
      <w:r w:rsidR="00BA7E50" w:rsidRPr="00374785">
        <w:t xml:space="preserve"> a specific calibration </w:t>
      </w:r>
      <w:r w:rsidR="00787893" w:rsidRPr="00374785">
        <w:t>if the planting</w:t>
      </w:r>
      <w:r w:rsidR="007D4334" w:rsidRPr="00374785">
        <w:t xml:space="preserve"> </w:t>
      </w:r>
      <w:r w:rsidR="00A53D0F" w:rsidRPr="00374785">
        <w:t>satisfies the requirements for one of the following domain groups</w:t>
      </w:r>
      <w:r w:rsidR="00F1175C" w:rsidRPr="00374785">
        <w:t xml:space="preserve"> as specified in Schedule 1</w:t>
      </w:r>
      <w:r w:rsidR="007D4334" w:rsidRPr="00374785">
        <w:t>:</w:t>
      </w:r>
    </w:p>
    <w:p w:rsidR="007D4334" w:rsidRPr="00374785" w:rsidRDefault="007D4334" w:rsidP="007D4334">
      <w:pPr>
        <w:pStyle w:val="tPara"/>
      </w:pPr>
      <w:r w:rsidRPr="00374785">
        <w:tab/>
      </w:r>
      <w:r w:rsidR="007F3C0F">
        <w:t>(a)</w:t>
      </w:r>
      <w:r w:rsidRPr="00374785">
        <w:tab/>
      </w:r>
      <w:r w:rsidR="009E3112" w:rsidRPr="00374785">
        <w:t>Mixed-species environmental planting—</w:t>
      </w:r>
      <w:r w:rsidRPr="00374785">
        <w:t>tropical; or</w:t>
      </w:r>
    </w:p>
    <w:p w:rsidR="007D4334" w:rsidRPr="00374785" w:rsidRDefault="007D4334" w:rsidP="007D4334">
      <w:pPr>
        <w:pStyle w:val="tPara"/>
      </w:pPr>
      <w:r w:rsidRPr="00374785">
        <w:tab/>
      </w:r>
      <w:r w:rsidR="007F3C0F">
        <w:t>(b)</w:t>
      </w:r>
      <w:r w:rsidRPr="00374785">
        <w:tab/>
      </w:r>
      <w:r w:rsidR="009E3112" w:rsidRPr="00374785">
        <w:t>Mixed-species environmental planting—</w:t>
      </w:r>
      <w:r w:rsidRPr="00374785">
        <w:t>temperate.</w:t>
      </w:r>
    </w:p>
    <w:p w:rsidR="004245BD" w:rsidRPr="00374785" w:rsidRDefault="00787893" w:rsidP="00787893">
      <w:pPr>
        <w:pStyle w:val="notePara"/>
      </w:pPr>
      <w:r w:rsidRPr="00374785">
        <w:tab/>
      </w:r>
      <w:r w:rsidRPr="00374785">
        <w:rPr>
          <w:b/>
          <w:i/>
        </w:rPr>
        <w:t>Note</w:t>
      </w:r>
      <w:r w:rsidRPr="00374785">
        <w:tab/>
      </w:r>
      <w:r w:rsidR="004245BD" w:rsidRPr="00374785">
        <w:t xml:space="preserve">To avoid doubt, a mixed-species environmental planting that does not meet the requirements of subsection (2) is not eligible for the </w:t>
      </w:r>
      <w:r w:rsidR="001039B9" w:rsidRPr="00374785">
        <w:t>application</w:t>
      </w:r>
      <w:r w:rsidR="004245BD" w:rsidRPr="00374785">
        <w:t xml:space="preserve"> </w:t>
      </w:r>
      <w:r w:rsidR="001039B9" w:rsidRPr="00374785">
        <w:t>of</w:t>
      </w:r>
      <w:r w:rsidR="004245BD" w:rsidRPr="00374785">
        <w:t xml:space="preserve"> a specific calibration. </w:t>
      </w:r>
    </w:p>
    <w:p w:rsidR="008C5119" w:rsidRPr="00374785" w:rsidRDefault="008C5119" w:rsidP="008C5119">
      <w:pPr>
        <w:pStyle w:val="tMain"/>
      </w:pPr>
      <w:r w:rsidRPr="00374785">
        <w:tab/>
      </w:r>
      <w:r w:rsidR="007F3C0F">
        <w:t>(3)</w:t>
      </w:r>
      <w:r w:rsidRPr="00374785">
        <w:tab/>
        <w:t>A project proponent may choose to apply the generic calibration to a mixed</w:t>
      </w:r>
      <w:r w:rsidR="002A3D61" w:rsidRPr="00374785">
        <w:t>-</w:t>
      </w:r>
      <w:r w:rsidRPr="00374785">
        <w:t xml:space="preserve">species environmental planting at any time. </w:t>
      </w:r>
    </w:p>
    <w:p w:rsidR="00E97E6C" w:rsidRPr="00374785" w:rsidRDefault="00E97E6C" w:rsidP="00E97E6C">
      <w:pPr>
        <w:pStyle w:val="h3Div"/>
        <w:ind w:left="0" w:firstLine="0"/>
      </w:pPr>
      <w:bookmarkStart w:id="24" w:name="_Toc397681568"/>
      <w:r w:rsidRPr="00374785">
        <w:t xml:space="preserve">Division </w:t>
      </w:r>
      <w:r w:rsidR="007F3C0F">
        <w:t>3.4</w:t>
      </w:r>
      <w:r w:rsidRPr="00374785">
        <w:tab/>
      </w:r>
      <w:r w:rsidR="00116F97" w:rsidRPr="00374785">
        <w:t>Domain group—p</w:t>
      </w:r>
      <w:r w:rsidRPr="00374785">
        <w:t>lanting</w:t>
      </w:r>
      <w:r w:rsidR="00116F97" w:rsidRPr="00374785">
        <w:t xml:space="preserve"> </w:t>
      </w:r>
      <w:r w:rsidRPr="00374785">
        <w:t>geometry and spacing</w:t>
      </w:r>
      <w:bookmarkEnd w:id="24"/>
    </w:p>
    <w:p w:rsidR="005225C6" w:rsidRPr="00374785" w:rsidRDefault="007F3C0F" w:rsidP="004E3B4F">
      <w:pPr>
        <w:pStyle w:val="h5Section"/>
      </w:pPr>
      <w:bookmarkStart w:id="25" w:name="_Toc397681569"/>
      <w:r>
        <w:t>3.11</w:t>
      </w:r>
      <w:r w:rsidR="004E3B4F" w:rsidRPr="00374785">
        <w:tab/>
        <w:t>Narrow linear plantings</w:t>
      </w:r>
      <w:bookmarkEnd w:id="25"/>
    </w:p>
    <w:p w:rsidR="004E3B4F" w:rsidRPr="00374785" w:rsidRDefault="00970CED" w:rsidP="00970CED">
      <w:pPr>
        <w:pStyle w:val="tMain"/>
      </w:pPr>
      <w:r w:rsidRPr="00374785">
        <w:tab/>
      </w:r>
      <w:r w:rsidRPr="00374785">
        <w:tab/>
      </w:r>
      <w:r w:rsidR="004E3B4F" w:rsidRPr="00374785">
        <w:t>A narrow linear planting must consist of:</w:t>
      </w:r>
    </w:p>
    <w:p w:rsidR="004E3B4F" w:rsidRPr="00374785" w:rsidRDefault="004E3B4F" w:rsidP="004E3B4F">
      <w:pPr>
        <w:pStyle w:val="tPara"/>
      </w:pPr>
      <w:r w:rsidRPr="00374785">
        <w:tab/>
      </w:r>
      <w:r w:rsidR="007F3C0F">
        <w:t>(a)</w:t>
      </w:r>
      <w:r w:rsidRPr="00374785">
        <w:tab/>
        <w:t xml:space="preserve">for a mallee planting—a belt planting: </w:t>
      </w:r>
    </w:p>
    <w:p w:rsidR="004E3B4F" w:rsidRPr="00374785" w:rsidRDefault="00AA5AE2" w:rsidP="00AA5AE2">
      <w:pPr>
        <w:pStyle w:val="tSubpara"/>
      </w:pPr>
      <w:r w:rsidRPr="00374785">
        <w:tab/>
      </w:r>
      <w:r w:rsidR="007F3C0F">
        <w:t>(i)</w:t>
      </w:r>
      <w:r w:rsidRPr="00374785">
        <w:tab/>
      </w:r>
      <w:r w:rsidR="004E3B4F" w:rsidRPr="00374785">
        <w:t>of 2 rows of trees planted from tube</w:t>
      </w:r>
      <w:r w:rsidR="004E3B4F" w:rsidRPr="00374785">
        <w:noBreakHyphen/>
        <w:t>stock or direct seeding; and</w:t>
      </w:r>
    </w:p>
    <w:p w:rsidR="00AA5AE2" w:rsidRPr="00374785" w:rsidRDefault="00AA5AE2" w:rsidP="00AA5AE2">
      <w:pPr>
        <w:pStyle w:val="tSubpara"/>
      </w:pPr>
      <w:r w:rsidRPr="00374785">
        <w:tab/>
      </w:r>
      <w:r w:rsidR="007F3C0F">
        <w:t>(ii)</w:t>
      </w:r>
      <w:r w:rsidRPr="00374785">
        <w:tab/>
      </w:r>
      <w:r w:rsidR="004E3B4F" w:rsidRPr="00374785">
        <w:t xml:space="preserve">that meets the requirements of </w:t>
      </w:r>
      <w:r w:rsidR="009D0B69" w:rsidRPr="00374785">
        <w:t>section 3.1</w:t>
      </w:r>
      <w:r w:rsidR="0017606F" w:rsidRPr="00374785">
        <w:t>4</w:t>
      </w:r>
      <w:r w:rsidR="00F904CC" w:rsidRPr="00374785">
        <w:t>.</w:t>
      </w:r>
    </w:p>
    <w:p w:rsidR="004E3B4F" w:rsidRPr="00374785" w:rsidRDefault="00AA5AE2" w:rsidP="00AA5AE2">
      <w:pPr>
        <w:pStyle w:val="tPara"/>
      </w:pPr>
      <w:r w:rsidRPr="00374785">
        <w:tab/>
      </w:r>
      <w:r w:rsidR="007F3C0F">
        <w:t>(b)</w:t>
      </w:r>
      <w:r w:rsidRPr="00374785">
        <w:tab/>
      </w:r>
      <w:r w:rsidR="004E3B4F" w:rsidRPr="00374785">
        <w:t>for a mixed-species environmental planting—a planting that:</w:t>
      </w:r>
    </w:p>
    <w:p w:rsidR="004E3B4F" w:rsidRPr="00374785" w:rsidRDefault="00AA5AE2" w:rsidP="00AA5AE2">
      <w:pPr>
        <w:pStyle w:val="tSubpara"/>
        <w:rPr>
          <w:color w:val="000000" w:themeColor="text1"/>
        </w:rPr>
      </w:pPr>
      <w:r w:rsidRPr="00374785">
        <w:tab/>
      </w:r>
      <w:r w:rsidR="007F3C0F">
        <w:t>(i)</w:t>
      </w:r>
      <w:r w:rsidRPr="00374785">
        <w:tab/>
      </w:r>
      <w:r w:rsidR="004E3B4F" w:rsidRPr="00374785">
        <w:t>is established:</w:t>
      </w:r>
      <w:r w:rsidR="004E3B4F" w:rsidRPr="00374785">
        <w:rPr>
          <w:color w:val="000000" w:themeColor="text1"/>
        </w:rPr>
        <w:t xml:space="preserve"> </w:t>
      </w:r>
    </w:p>
    <w:p w:rsidR="004E3B4F" w:rsidRPr="00374785" w:rsidRDefault="00AA5AE2" w:rsidP="00AA5AE2">
      <w:pPr>
        <w:pStyle w:val="tSubsub"/>
      </w:pPr>
      <w:r w:rsidRPr="00374785">
        <w:tab/>
      </w:r>
      <w:r w:rsidR="007F3C0F">
        <w:t>(A)</w:t>
      </w:r>
      <w:r w:rsidRPr="00374785">
        <w:tab/>
      </w:r>
      <w:r w:rsidR="004E3B4F" w:rsidRPr="00374785">
        <w:t>in rows using tube-stock or direct seeding; or</w:t>
      </w:r>
    </w:p>
    <w:p w:rsidR="004E3B4F" w:rsidRPr="00374785" w:rsidRDefault="00AA5AE2" w:rsidP="00AA5AE2">
      <w:pPr>
        <w:pStyle w:val="tSubsub"/>
      </w:pPr>
      <w:r w:rsidRPr="00374785">
        <w:tab/>
      </w:r>
      <w:r w:rsidR="007F3C0F">
        <w:t>(B)</w:t>
      </w:r>
      <w:r w:rsidRPr="00374785">
        <w:tab/>
      </w:r>
      <w:r w:rsidR="004E3B4F" w:rsidRPr="00374785">
        <w:t>randomly using tube-stock or broadcast seeding, or both; and</w:t>
      </w:r>
    </w:p>
    <w:p w:rsidR="004E3B4F" w:rsidRPr="00374785" w:rsidRDefault="00AA5AE2" w:rsidP="00AA5AE2">
      <w:pPr>
        <w:pStyle w:val="tSubpara"/>
      </w:pPr>
      <w:r w:rsidRPr="00374785">
        <w:tab/>
      </w:r>
      <w:r w:rsidR="007F3C0F">
        <w:t>(ii)</w:t>
      </w:r>
      <w:r w:rsidRPr="00374785">
        <w:tab/>
      </w:r>
      <w:r w:rsidR="004E3B4F" w:rsidRPr="00374785">
        <w:t xml:space="preserve">meets the requirements of </w:t>
      </w:r>
      <w:r w:rsidR="009D0B69" w:rsidRPr="00374785">
        <w:t>section 3.1</w:t>
      </w:r>
      <w:r w:rsidR="0017606F" w:rsidRPr="00374785">
        <w:t>5</w:t>
      </w:r>
      <w:r w:rsidR="00F904CC" w:rsidRPr="00374785">
        <w:t>.</w:t>
      </w:r>
    </w:p>
    <w:p w:rsidR="00744E06" w:rsidRPr="00374785" w:rsidRDefault="007F3C0F" w:rsidP="00744E06">
      <w:pPr>
        <w:pStyle w:val="h5Section"/>
      </w:pPr>
      <w:bookmarkStart w:id="26" w:name="_Toc397681570"/>
      <w:r>
        <w:t>3.12</w:t>
      </w:r>
      <w:r w:rsidR="00744E06" w:rsidRPr="00374785">
        <w:tab/>
        <w:t>Wide linear plantings</w:t>
      </w:r>
      <w:bookmarkEnd w:id="26"/>
    </w:p>
    <w:p w:rsidR="00744E06" w:rsidRPr="00374785" w:rsidRDefault="00744E06" w:rsidP="00744E06">
      <w:pPr>
        <w:pStyle w:val="tMain"/>
      </w:pPr>
      <w:r w:rsidRPr="00374785">
        <w:tab/>
      </w:r>
      <w:r w:rsidRPr="00374785">
        <w:tab/>
        <w:t>A wide linear planting must consist of:</w:t>
      </w:r>
    </w:p>
    <w:p w:rsidR="00744E06" w:rsidRPr="00374785" w:rsidRDefault="00744E06" w:rsidP="00744E06">
      <w:pPr>
        <w:pStyle w:val="tPara"/>
      </w:pPr>
      <w:r w:rsidRPr="00374785">
        <w:tab/>
      </w:r>
      <w:r w:rsidR="007F3C0F">
        <w:t>(a)</w:t>
      </w:r>
      <w:r w:rsidRPr="00374785">
        <w:tab/>
        <w:t xml:space="preserve">for a mallee planting—a belt planting: </w:t>
      </w:r>
    </w:p>
    <w:p w:rsidR="00744E06" w:rsidRPr="00374785" w:rsidRDefault="00744E06" w:rsidP="00744E06">
      <w:pPr>
        <w:pStyle w:val="tSubpara"/>
      </w:pPr>
      <w:r w:rsidRPr="00374785">
        <w:tab/>
      </w:r>
      <w:r w:rsidR="007F3C0F">
        <w:t>(i)</w:t>
      </w:r>
      <w:r w:rsidRPr="00374785">
        <w:tab/>
        <w:t>of at least 3 and no more than 8 rows of trees planted from tube</w:t>
      </w:r>
      <w:r w:rsidR="002D66C6" w:rsidRPr="00374785">
        <w:noBreakHyphen/>
      </w:r>
      <w:r w:rsidRPr="00374785">
        <w:t>stock or direct seeding; and</w:t>
      </w:r>
    </w:p>
    <w:p w:rsidR="00744E06" w:rsidRPr="00374785" w:rsidRDefault="00744E06" w:rsidP="00744E06">
      <w:pPr>
        <w:pStyle w:val="tSubpara"/>
      </w:pPr>
      <w:r w:rsidRPr="00374785">
        <w:tab/>
      </w:r>
      <w:r w:rsidR="007F3C0F">
        <w:t>(ii)</w:t>
      </w:r>
      <w:r w:rsidRPr="00374785">
        <w:tab/>
        <w:t xml:space="preserve">that meets the requirements of </w:t>
      </w:r>
      <w:r w:rsidR="001D26AB" w:rsidRPr="00374785">
        <w:t>section 3.1</w:t>
      </w:r>
      <w:r w:rsidR="0017606F" w:rsidRPr="00374785">
        <w:t>4</w:t>
      </w:r>
      <w:r w:rsidRPr="00374785">
        <w:t xml:space="preserve">; </w:t>
      </w:r>
    </w:p>
    <w:p w:rsidR="00744E06" w:rsidRPr="00374785" w:rsidRDefault="00744E06" w:rsidP="00744E06">
      <w:pPr>
        <w:pStyle w:val="tPara"/>
        <w:rPr>
          <w:color w:val="000000" w:themeColor="text1"/>
        </w:rPr>
      </w:pPr>
      <w:r w:rsidRPr="00374785">
        <w:tab/>
      </w:r>
      <w:r w:rsidR="007F3C0F">
        <w:t>(b)</w:t>
      </w:r>
      <w:r w:rsidRPr="00374785">
        <w:tab/>
        <w:t xml:space="preserve">for a mixed-species environmental planting—a planting that </w:t>
      </w:r>
    </w:p>
    <w:p w:rsidR="00744E06" w:rsidRPr="00374785" w:rsidRDefault="00744E06" w:rsidP="00744E06">
      <w:pPr>
        <w:pStyle w:val="tSubpara"/>
        <w:rPr>
          <w:color w:val="000000" w:themeColor="text1"/>
        </w:rPr>
      </w:pPr>
      <w:r w:rsidRPr="00374785">
        <w:tab/>
      </w:r>
      <w:r w:rsidR="007F3C0F">
        <w:t>(i)</w:t>
      </w:r>
      <w:r w:rsidRPr="00374785">
        <w:tab/>
        <w:t>is established:</w:t>
      </w:r>
      <w:r w:rsidRPr="00374785">
        <w:rPr>
          <w:color w:val="000000" w:themeColor="text1"/>
        </w:rPr>
        <w:t xml:space="preserve"> </w:t>
      </w:r>
    </w:p>
    <w:p w:rsidR="00744E06" w:rsidRPr="00374785" w:rsidRDefault="00744E06" w:rsidP="00744E06">
      <w:pPr>
        <w:pStyle w:val="tSubsub"/>
      </w:pPr>
      <w:r w:rsidRPr="00374785">
        <w:tab/>
      </w:r>
      <w:r w:rsidR="007F3C0F">
        <w:t>(A)</w:t>
      </w:r>
      <w:r w:rsidRPr="00374785">
        <w:tab/>
        <w:t>in rows using tube-stock or direct seeding; or</w:t>
      </w:r>
    </w:p>
    <w:p w:rsidR="00744E06" w:rsidRPr="00374785" w:rsidRDefault="00744E06" w:rsidP="00744E06">
      <w:pPr>
        <w:pStyle w:val="tSubsub"/>
      </w:pPr>
      <w:r w:rsidRPr="00374785">
        <w:lastRenderedPageBreak/>
        <w:tab/>
      </w:r>
      <w:r w:rsidR="007F3C0F">
        <w:t>(B)</w:t>
      </w:r>
      <w:r w:rsidRPr="00374785">
        <w:tab/>
        <w:t>randomly using tube-stock or broadcast seeding, or both; and</w:t>
      </w:r>
    </w:p>
    <w:p w:rsidR="00744E06" w:rsidRPr="00374785" w:rsidRDefault="00744E06" w:rsidP="00744E06">
      <w:pPr>
        <w:pStyle w:val="tSubpara"/>
        <w:rPr>
          <w:color w:val="000000" w:themeColor="text1"/>
        </w:rPr>
      </w:pPr>
      <w:r w:rsidRPr="00374785">
        <w:tab/>
      </w:r>
      <w:r w:rsidR="007F3C0F">
        <w:t>(ii)</w:t>
      </w:r>
      <w:r w:rsidRPr="00374785">
        <w:tab/>
        <w:t xml:space="preserve">meets the requirements of </w:t>
      </w:r>
      <w:r w:rsidR="001D26AB" w:rsidRPr="00374785">
        <w:t>section 3.1</w:t>
      </w:r>
      <w:r w:rsidR="0017606F" w:rsidRPr="00374785">
        <w:t>6</w:t>
      </w:r>
      <w:r w:rsidR="001D26AB" w:rsidRPr="00374785">
        <w:t>.</w:t>
      </w:r>
    </w:p>
    <w:p w:rsidR="0017606F" w:rsidRPr="00374785" w:rsidRDefault="007F3C0F" w:rsidP="0017606F">
      <w:pPr>
        <w:pStyle w:val="h5Section"/>
      </w:pPr>
      <w:bookmarkStart w:id="27" w:name="_Toc397681571"/>
      <w:r>
        <w:t>3.13</w:t>
      </w:r>
      <w:r w:rsidR="0017606F" w:rsidRPr="00374785">
        <w:tab/>
        <w:t>Block planting</w:t>
      </w:r>
      <w:bookmarkEnd w:id="27"/>
    </w:p>
    <w:p w:rsidR="00640290" w:rsidRPr="00374785" w:rsidRDefault="00640290" w:rsidP="00640290">
      <w:pPr>
        <w:pStyle w:val="tMain"/>
      </w:pPr>
      <w:r w:rsidRPr="00374785">
        <w:tab/>
      </w:r>
      <w:r w:rsidRPr="00374785">
        <w:tab/>
        <w:t>A block planting is any planting that does not meet the requirements of a:</w:t>
      </w:r>
    </w:p>
    <w:p w:rsidR="00640290" w:rsidRPr="00374785" w:rsidRDefault="00640290" w:rsidP="00640290">
      <w:pPr>
        <w:pStyle w:val="tPara"/>
      </w:pPr>
      <w:r w:rsidRPr="00374785">
        <w:tab/>
      </w:r>
      <w:r w:rsidR="007F3C0F">
        <w:t>(a)</w:t>
      </w:r>
      <w:r w:rsidRPr="00374785">
        <w:tab/>
        <w:t>narrow linear planting; or</w:t>
      </w:r>
    </w:p>
    <w:p w:rsidR="00E364C5" w:rsidRPr="00374785" w:rsidRDefault="00640290" w:rsidP="00640290">
      <w:pPr>
        <w:pStyle w:val="tPara"/>
      </w:pPr>
      <w:r w:rsidRPr="00374785">
        <w:tab/>
      </w:r>
      <w:r w:rsidR="007F3C0F">
        <w:t>(b)</w:t>
      </w:r>
      <w:r w:rsidRPr="00374785">
        <w:tab/>
        <w:t>wide linear planting</w:t>
      </w:r>
      <w:r w:rsidR="00E364C5" w:rsidRPr="00374785">
        <w:t>;</w:t>
      </w:r>
    </w:p>
    <w:p w:rsidR="00681248" w:rsidRPr="00374785" w:rsidRDefault="005D009F" w:rsidP="005D009F">
      <w:pPr>
        <w:pStyle w:val="tMain"/>
      </w:pPr>
      <w:r w:rsidRPr="00374785">
        <w:tab/>
      </w:r>
      <w:r w:rsidRPr="00374785">
        <w:tab/>
        <w:t>a</w:t>
      </w:r>
      <w:r w:rsidR="00E364C5" w:rsidRPr="00374785">
        <w:t xml:space="preserve">nd </w:t>
      </w:r>
      <w:r w:rsidR="002F37A2" w:rsidRPr="00374785">
        <w:t>which</w:t>
      </w:r>
      <w:r w:rsidR="00681248" w:rsidRPr="00374785">
        <w:t>:</w:t>
      </w:r>
    </w:p>
    <w:p w:rsidR="00681248" w:rsidRPr="00374785" w:rsidRDefault="003E2268" w:rsidP="003E2268">
      <w:pPr>
        <w:pStyle w:val="tPara"/>
      </w:pPr>
      <w:r w:rsidRPr="00374785">
        <w:tab/>
      </w:r>
      <w:r w:rsidR="007F3C0F">
        <w:t>(c)</w:t>
      </w:r>
      <w:r w:rsidRPr="00374785">
        <w:tab/>
      </w:r>
      <w:r w:rsidR="00681248" w:rsidRPr="00374785">
        <w:t>meets the requirements specified in section 3.17; and</w:t>
      </w:r>
    </w:p>
    <w:p w:rsidR="00640290" w:rsidRPr="00374785" w:rsidRDefault="003E2268" w:rsidP="003E2268">
      <w:pPr>
        <w:pStyle w:val="tPara"/>
      </w:pPr>
      <w:r w:rsidRPr="00374785">
        <w:tab/>
      </w:r>
      <w:r w:rsidR="007F3C0F">
        <w:t>(d)</w:t>
      </w:r>
      <w:r w:rsidRPr="00374785">
        <w:tab/>
      </w:r>
      <w:r w:rsidR="00E364C5" w:rsidRPr="00374785">
        <w:t>does</w:t>
      </w:r>
      <w:r w:rsidR="005D009F" w:rsidRPr="00374785">
        <w:t xml:space="preserve"> not consist of a single row.</w:t>
      </w:r>
    </w:p>
    <w:p w:rsidR="00E97E6C" w:rsidRPr="00374785" w:rsidRDefault="007F3C0F" w:rsidP="00E97E6C">
      <w:pPr>
        <w:pStyle w:val="h5Section"/>
      </w:pPr>
      <w:bookmarkStart w:id="28" w:name="_Toc397681572"/>
      <w:r>
        <w:t>3.14</w:t>
      </w:r>
      <w:r w:rsidR="00E97E6C" w:rsidRPr="00374785">
        <w:tab/>
        <w:t>Mallee plantings—</w:t>
      </w:r>
      <w:r w:rsidR="002A3D61" w:rsidRPr="00374785">
        <w:t xml:space="preserve">plant </w:t>
      </w:r>
      <w:r w:rsidR="00E97E6C" w:rsidRPr="00374785">
        <w:t>spacing</w:t>
      </w:r>
      <w:bookmarkEnd w:id="28"/>
      <w:r w:rsidR="00562311" w:rsidRPr="00374785">
        <w:t xml:space="preserve"> </w:t>
      </w:r>
      <w:r w:rsidR="00B7269C" w:rsidRPr="00374785">
        <w:t xml:space="preserve"> </w:t>
      </w:r>
    </w:p>
    <w:p w:rsidR="00E97E6C" w:rsidRPr="00374785" w:rsidRDefault="00E97E6C" w:rsidP="00E97E6C">
      <w:pPr>
        <w:pStyle w:val="tMain"/>
      </w:pPr>
      <w:r w:rsidRPr="00374785">
        <w:tab/>
      </w:r>
      <w:r w:rsidR="007F3C0F">
        <w:t>(1)</w:t>
      </w:r>
      <w:r w:rsidRPr="00374785">
        <w:tab/>
        <w:t xml:space="preserve">This section specifies the </w:t>
      </w:r>
      <w:r w:rsidR="002F37A2" w:rsidRPr="00374785">
        <w:t>plant spacing</w:t>
      </w:r>
      <w:r w:rsidRPr="00374785">
        <w:t xml:space="preserve"> of a narrow or wide linear planting </w:t>
      </w:r>
      <w:r w:rsidR="002A3D61" w:rsidRPr="00374785">
        <w:t xml:space="preserve">for </w:t>
      </w:r>
      <w:r w:rsidRPr="00374785">
        <w:t>a mallee planting.</w:t>
      </w:r>
    </w:p>
    <w:p w:rsidR="00E97E6C" w:rsidRPr="00374785" w:rsidRDefault="00E97E6C" w:rsidP="00E97E6C">
      <w:pPr>
        <w:pStyle w:val="tMain"/>
      </w:pPr>
      <w:r w:rsidRPr="00374785">
        <w:tab/>
      </w:r>
      <w:r w:rsidR="007F3C0F">
        <w:t>(2)</w:t>
      </w:r>
      <w:r w:rsidRPr="00374785">
        <w:tab/>
        <w:t>The average distance between the rows in the planting must be no greater than 4 metres.</w:t>
      </w:r>
    </w:p>
    <w:p w:rsidR="00E97E6C" w:rsidRPr="00374785" w:rsidRDefault="00E97E6C" w:rsidP="00E97E6C">
      <w:pPr>
        <w:pStyle w:val="tMain"/>
      </w:pPr>
      <w:r w:rsidRPr="00374785">
        <w:tab/>
      </w:r>
      <w:r w:rsidR="007F3C0F">
        <w:t>(3)</w:t>
      </w:r>
      <w:r w:rsidRPr="00374785">
        <w:tab/>
        <w:t>The distance between the stems of the trees in the outermost rows in the planting must be at least 40 metres from the stems of any adjacent planting in the project area.</w:t>
      </w:r>
    </w:p>
    <w:p w:rsidR="00E97E6C" w:rsidRPr="00374785" w:rsidRDefault="00E97E6C" w:rsidP="00831A72">
      <w:pPr>
        <w:pStyle w:val="tMain"/>
      </w:pPr>
      <w:r w:rsidRPr="00374785">
        <w:tab/>
      </w:r>
      <w:r w:rsidR="007F3C0F">
        <w:t>(4)</w:t>
      </w:r>
      <w:r w:rsidRPr="00374785">
        <w:tab/>
      </w:r>
      <w:r w:rsidR="00831A72" w:rsidRPr="00374785">
        <w:t xml:space="preserve">The planting must not be affected by material competition from adjacent trees as determined by Division </w:t>
      </w:r>
      <w:r w:rsidR="007C7709" w:rsidRPr="00374785">
        <w:t>3.7</w:t>
      </w:r>
      <w:r w:rsidR="002A3D61" w:rsidRPr="00374785">
        <w:t>.</w:t>
      </w:r>
    </w:p>
    <w:p w:rsidR="003003DB" w:rsidRPr="00374785" w:rsidRDefault="007F3C0F" w:rsidP="008D45EA">
      <w:pPr>
        <w:pStyle w:val="h5Section"/>
      </w:pPr>
      <w:bookmarkStart w:id="29" w:name="_Toc397681573"/>
      <w:r>
        <w:t>3.15</w:t>
      </w:r>
      <w:r w:rsidR="008D45EA" w:rsidRPr="00374785">
        <w:tab/>
      </w:r>
      <w:r w:rsidR="0017606F" w:rsidRPr="00374785">
        <w:t>M</w:t>
      </w:r>
      <w:r w:rsidR="00BD3FBF" w:rsidRPr="00374785">
        <w:t>ixed-species environmental planting</w:t>
      </w:r>
      <w:r w:rsidR="003243F3" w:rsidRPr="00374785">
        <w:t>s—</w:t>
      </w:r>
      <w:r w:rsidR="0017606F" w:rsidRPr="00374785">
        <w:t xml:space="preserve">narrow linear plant </w:t>
      </w:r>
      <w:r w:rsidR="003243F3" w:rsidRPr="00374785">
        <w:t>spacing</w:t>
      </w:r>
      <w:bookmarkEnd w:id="29"/>
    </w:p>
    <w:p w:rsidR="007004CE" w:rsidRPr="00374785" w:rsidRDefault="00BD3FBF" w:rsidP="00BD3FBF">
      <w:pPr>
        <w:pStyle w:val="tMain"/>
      </w:pPr>
      <w:r w:rsidRPr="00374785">
        <w:tab/>
      </w:r>
      <w:r w:rsidR="007F3C0F">
        <w:t>(1)</w:t>
      </w:r>
      <w:r w:rsidRPr="00374785">
        <w:tab/>
      </w:r>
      <w:r w:rsidR="007004CE" w:rsidRPr="00374785">
        <w:t xml:space="preserve">This section specifies the </w:t>
      </w:r>
      <w:r w:rsidR="00B5239E" w:rsidRPr="00374785">
        <w:t>plant spacing</w:t>
      </w:r>
      <w:r w:rsidR="007004CE" w:rsidRPr="00374785">
        <w:t xml:space="preserve"> of a narrow linear planting </w:t>
      </w:r>
      <w:r w:rsidR="002A3D61" w:rsidRPr="00374785">
        <w:t xml:space="preserve">for </w:t>
      </w:r>
      <w:r w:rsidR="007004CE" w:rsidRPr="00374785">
        <w:t>a mixed-species environmental planting.</w:t>
      </w:r>
    </w:p>
    <w:p w:rsidR="005913B5" w:rsidRPr="00374785" w:rsidRDefault="007004CE" w:rsidP="007004CE">
      <w:pPr>
        <w:pStyle w:val="tMain"/>
      </w:pPr>
      <w:r w:rsidRPr="00374785">
        <w:tab/>
      </w:r>
      <w:r w:rsidR="007F3C0F">
        <w:t>(2)</w:t>
      </w:r>
      <w:r w:rsidRPr="00374785">
        <w:tab/>
      </w:r>
      <w:r w:rsidR="005913B5" w:rsidRPr="00374785">
        <w:t>The distance between:</w:t>
      </w:r>
    </w:p>
    <w:p w:rsidR="003E2268" w:rsidRPr="00374785" w:rsidRDefault="00BD3FBF" w:rsidP="003E2268">
      <w:pPr>
        <w:pStyle w:val="tPara"/>
      </w:pPr>
      <w:r w:rsidRPr="00374785">
        <w:tab/>
      </w:r>
      <w:r w:rsidR="007F3C0F">
        <w:t>(a)</w:t>
      </w:r>
      <w:r w:rsidR="003E2268" w:rsidRPr="00374785">
        <w:tab/>
        <w:t>for random plantings—the stems of the outermost trees or shrubs on one side of the planting to that of the stems of the outermost trees or shrubs on</w:t>
      </w:r>
      <w:r w:rsidR="00681532" w:rsidRPr="00374785">
        <w:t xml:space="preserve"> the other side of the planting</w:t>
      </w:r>
      <w:r w:rsidR="003E2268" w:rsidRPr="00374785">
        <w:t>; or</w:t>
      </w:r>
    </w:p>
    <w:p w:rsidR="003E2268" w:rsidRPr="00374785" w:rsidRDefault="003E2268" w:rsidP="003E2268">
      <w:pPr>
        <w:pStyle w:val="tPara"/>
      </w:pPr>
      <w:r w:rsidRPr="00374785">
        <w:tab/>
      </w:r>
      <w:r w:rsidR="007F3C0F">
        <w:t>(b)</w:t>
      </w:r>
      <w:r w:rsidRPr="00374785">
        <w:tab/>
        <w:t xml:space="preserve">for other plantings—the outermost row on one side of the planting to that of the outermost row on the other side of the planting; </w:t>
      </w:r>
    </w:p>
    <w:p w:rsidR="00905AC8" w:rsidRPr="00374785" w:rsidRDefault="003E2268" w:rsidP="003E2268">
      <w:pPr>
        <w:pStyle w:val="tMain"/>
      </w:pPr>
      <w:r w:rsidRPr="00374785">
        <w:tab/>
      </w:r>
      <w:r w:rsidRPr="00374785">
        <w:tab/>
      </w:r>
      <w:r w:rsidR="00905AC8" w:rsidRPr="00374785">
        <w:t xml:space="preserve">must be less than </w:t>
      </w:r>
      <w:r w:rsidR="00A468B4" w:rsidRPr="00374785">
        <w:t xml:space="preserve">or equal to </w:t>
      </w:r>
      <w:r w:rsidR="00905AC8" w:rsidRPr="00374785">
        <w:t>20 metres.</w:t>
      </w:r>
    </w:p>
    <w:p w:rsidR="00905AC8" w:rsidRPr="00374785" w:rsidRDefault="00BD3FBF" w:rsidP="00BD3FBF">
      <w:pPr>
        <w:pStyle w:val="tMain"/>
      </w:pPr>
      <w:r w:rsidRPr="00374785">
        <w:tab/>
      </w:r>
      <w:r w:rsidR="007F3C0F">
        <w:t>(3)</w:t>
      </w:r>
      <w:r w:rsidRPr="00374785">
        <w:tab/>
      </w:r>
      <w:r w:rsidR="00905AC8" w:rsidRPr="00374785">
        <w:t>T</w:t>
      </w:r>
      <w:r w:rsidR="00A961E7" w:rsidRPr="00374785">
        <w:t>he distance between the stems o</w:t>
      </w:r>
      <w:r w:rsidR="00905AC8" w:rsidRPr="00374785">
        <w:t>f</w:t>
      </w:r>
      <w:r w:rsidR="00A961E7" w:rsidRPr="00374785">
        <w:t xml:space="preserve"> </w:t>
      </w:r>
      <w:r w:rsidR="00905AC8" w:rsidRPr="00374785">
        <w:t>trees or shrubs at the outermost edge of the planting must be at least 40 metres from the s</w:t>
      </w:r>
      <w:r w:rsidR="00485209" w:rsidRPr="00374785">
        <w:t xml:space="preserve">tems of </w:t>
      </w:r>
      <w:r w:rsidR="00017E7E" w:rsidRPr="00374785">
        <w:t>another</w:t>
      </w:r>
      <w:r w:rsidR="00485209" w:rsidRPr="00374785">
        <w:t xml:space="preserve"> planting </w:t>
      </w:r>
      <w:r w:rsidR="00905AC8" w:rsidRPr="00374785">
        <w:t>in the project area.</w:t>
      </w:r>
    </w:p>
    <w:p w:rsidR="00BD3FBF" w:rsidRPr="00374785" w:rsidRDefault="00BD3FBF" w:rsidP="00BD3FBF">
      <w:pPr>
        <w:pStyle w:val="tMain"/>
      </w:pPr>
      <w:r w:rsidRPr="00374785">
        <w:tab/>
      </w:r>
      <w:r w:rsidR="007F3C0F">
        <w:t>(4)</w:t>
      </w:r>
      <w:r w:rsidRPr="00374785">
        <w:tab/>
      </w:r>
      <w:r w:rsidR="00831A72" w:rsidRPr="00374785">
        <w:t xml:space="preserve">The planting must not be affected by material competition from adjacent trees as determined by Division </w:t>
      </w:r>
      <w:r w:rsidR="007C7709" w:rsidRPr="00374785">
        <w:t>3.7.</w:t>
      </w:r>
    </w:p>
    <w:p w:rsidR="004A75A7" w:rsidRPr="00374785" w:rsidRDefault="007F3C0F" w:rsidP="00114EDF">
      <w:pPr>
        <w:pStyle w:val="h5Section"/>
      </w:pPr>
      <w:bookmarkStart w:id="30" w:name="_Toc397681574"/>
      <w:r>
        <w:t>3.16</w:t>
      </w:r>
      <w:r w:rsidR="004A75A7" w:rsidRPr="00374785">
        <w:tab/>
      </w:r>
      <w:r w:rsidR="0017606F" w:rsidRPr="00374785">
        <w:t>Mi</w:t>
      </w:r>
      <w:r w:rsidR="004A75A7" w:rsidRPr="00374785">
        <w:t>xed-species environmental planting</w:t>
      </w:r>
      <w:r w:rsidR="003243F3" w:rsidRPr="00374785">
        <w:t>s—</w:t>
      </w:r>
      <w:r w:rsidR="0017606F" w:rsidRPr="00374785">
        <w:t xml:space="preserve">wide linear plant </w:t>
      </w:r>
      <w:r w:rsidR="003243F3" w:rsidRPr="00374785">
        <w:t>spacing</w:t>
      </w:r>
      <w:bookmarkEnd w:id="30"/>
    </w:p>
    <w:p w:rsidR="007004CE" w:rsidRPr="00374785" w:rsidRDefault="00114EDF" w:rsidP="007004CE">
      <w:pPr>
        <w:pStyle w:val="tMain"/>
      </w:pPr>
      <w:r w:rsidRPr="00374785">
        <w:tab/>
      </w:r>
      <w:r w:rsidR="007F3C0F">
        <w:t>(1)</w:t>
      </w:r>
      <w:r w:rsidRPr="00374785">
        <w:tab/>
      </w:r>
      <w:r w:rsidR="007004CE" w:rsidRPr="00374785">
        <w:t xml:space="preserve">This section specifies the </w:t>
      </w:r>
      <w:r w:rsidR="00D34073" w:rsidRPr="00374785">
        <w:t>plant spacing</w:t>
      </w:r>
      <w:r w:rsidR="007004CE" w:rsidRPr="00374785">
        <w:t xml:space="preserve"> of a wide linear planting in a mixed</w:t>
      </w:r>
      <w:r w:rsidR="007004CE" w:rsidRPr="00374785">
        <w:noBreakHyphen/>
      </w:r>
      <w:r w:rsidR="0017606F" w:rsidRPr="00374785">
        <w:t>species</w:t>
      </w:r>
      <w:r w:rsidR="007004CE" w:rsidRPr="00374785">
        <w:t xml:space="preserve"> environmental planting.</w:t>
      </w:r>
    </w:p>
    <w:p w:rsidR="00114EDF" w:rsidRPr="00374785" w:rsidRDefault="007004CE" w:rsidP="007004CE">
      <w:pPr>
        <w:pStyle w:val="tMain"/>
      </w:pPr>
      <w:r w:rsidRPr="00374785">
        <w:lastRenderedPageBreak/>
        <w:tab/>
      </w:r>
      <w:r w:rsidR="007F3C0F">
        <w:t>(2)</w:t>
      </w:r>
      <w:r w:rsidRPr="00374785">
        <w:tab/>
      </w:r>
      <w:r w:rsidR="00114EDF" w:rsidRPr="00374785">
        <w:t>The distance between:</w:t>
      </w:r>
    </w:p>
    <w:p w:rsidR="00114EDF" w:rsidRPr="00374785" w:rsidRDefault="00114EDF" w:rsidP="00114EDF">
      <w:pPr>
        <w:pStyle w:val="tPara"/>
      </w:pPr>
      <w:r w:rsidRPr="00374785">
        <w:tab/>
      </w:r>
      <w:r w:rsidR="007F3C0F">
        <w:t>(a)</w:t>
      </w:r>
      <w:r w:rsidRPr="00374785">
        <w:tab/>
        <w:t xml:space="preserve">for random plantings—the stems of the outermost trees or shrubs; </w:t>
      </w:r>
    </w:p>
    <w:p w:rsidR="00114EDF" w:rsidRPr="00374785" w:rsidRDefault="00114EDF" w:rsidP="00114EDF">
      <w:pPr>
        <w:pStyle w:val="tPara"/>
      </w:pPr>
      <w:r w:rsidRPr="00374785">
        <w:tab/>
      </w:r>
      <w:r w:rsidR="007F3C0F">
        <w:t>(b)</w:t>
      </w:r>
      <w:r w:rsidRPr="00374785">
        <w:tab/>
        <w:t xml:space="preserve">for other plantings—the </w:t>
      </w:r>
      <w:r w:rsidR="005B383E" w:rsidRPr="00374785">
        <w:t xml:space="preserve">outermost </w:t>
      </w:r>
      <w:r w:rsidRPr="00374785">
        <w:t xml:space="preserve">rows; </w:t>
      </w:r>
    </w:p>
    <w:p w:rsidR="00114EDF" w:rsidRPr="00374785" w:rsidRDefault="00114EDF" w:rsidP="00114EDF">
      <w:pPr>
        <w:pStyle w:val="tMain"/>
      </w:pPr>
      <w:r w:rsidRPr="00374785">
        <w:tab/>
      </w:r>
      <w:r w:rsidRPr="00374785">
        <w:tab/>
        <w:t>must be greater than 20 metres and less than 40 metres.</w:t>
      </w:r>
    </w:p>
    <w:p w:rsidR="00114EDF" w:rsidRPr="00374785" w:rsidRDefault="00114EDF" w:rsidP="00114EDF">
      <w:pPr>
        <w:pStyle w:val="tMain"/>
      </w:pPr>
      <w:r w:rsidRPr="00374785">
        <w:tab/>
      </w:r>
      <w:r w:rsidR="007F3C0F">
        <w:t>(3)</w:t>
      </w:r>
      <w:r w:rsidRPr="00374785">
        <w:tab/>
        <w:t xml:space="preserve">The distance between the stems of trees or shrubs at the outermost edge of the planting must be at least 40 metres from the stems of </w:t>
      </w:r>
      <w:r w:rsidR="00017E7E" w:rsidRPr="00374785">
        <w:t>another</w:t>
      </w:r>
      <w:r w:rsidRPr="00374785">
        <w:t xml:space="preserve"> planting in the project area.</w:t>
      </w:r>
    </w:p>
    <w:p w:rsidR="004A75A7" w:rsidRPr="00374785" w:rsidRDefault="00114EDF" w:rsidP="00114EDF">
      <w:pPr>
        <w:pStyle w:val="tMain"/>
      </w:pPr>
      <w:r w:rsidRPr="00374785">
        <w:tab/>
      </w:r>
      <w:r w:rsidR="007F3C0F">
        <w:t>(4)</w:t>
      </w:r>
      <w:r w:rsidRPr="00374785">
        <w:tab/>
        <w:t xml:space="preserve">The planting must not be </w:t>
      </w:r>
      <w:r w:rsidR="00F238DC" w:rsidRPr="00374785">
        <w:t>affected by material competition</w:t>
      </w:r>
      <w:r w:rsidRPr="00374785">
        <w:t xml:space="preserve"> </w:t>
      </w:r>
      <w:r w:rsidR="00F238DC" w:rsidRPr="00374785">
        <w:t>from</w:t>
      </w:r>
      <w:r w:rsidRPr="00374785">
        <w:t xml:space="preserve"> adjacent tree</w:t>
      </w:r>
      <w:r w:rsidR="00A468B4" w:rsidRPr="00374785">
        <w:t>s</w:t>
      </w:r>
      <w:r w:rsidR="00F238DC" w:rsidRPr="00374785">
        <w:t xml:space="preserve"> as determined by </w:t>
      </w:r>
      <w:r w:rsidR="00831A72" w:rsidRPr="00374785">
        <w:t xml:space="preserve">Division </w:t>
      </w:r>
      <w:r w:rsidR="007C7709" w:rsidRPr="00374785">
        <w:t>3.7</w:t>
      </w:r>
      <w:r w:rsidRPr="00374785">
        <w:t>.</w:t>
      </w:r>
    </w:p>
    <w:p w:rsidR="00C00910" w:rsidRPr="00374785" w:rsidRDefault="007F3C0F" w:rsidP="00C00910">
      <w:pPr>
        <w:pStyle w:val="h5Section"/>
      </w:pPr>
      <w:bookmarkStart w:id="31" w:name="_Toc397681575"/>
      <w:r>
        <w:t>3.17</w:t>
      </w:r>
      <w:r w:rsidR="00C00910" w:rsidRPr="00374785">
        <w:tab/>
        <w:t>Block planting—</w:t>
      </w:r>
      <w:r w:rsidR="002A3D61" w:rsidRPr="00374785">
        <w:t xml:space="preserve">plant </w:t>
      </w:r>
      <w:r w:rsidR="00C00910" w:rsidRPr="00374785">
        <w:t>spacing</w:t>
      </w:r>
      <w:bookmarkEnd w:id="31"/>
    </w:p>
    <w:p w:rsidR="00C00910" w:rsidRPr="00374785" w:rsidRDefault="00C00910" w:rsidP="00C00910">
      <w:pPr>
        <w:pStyle w:val="tMain"/>
      </w:pPr>
      <w:r w:rsidRPr="00374785">
        <w:tab/>
      </w:r>
      <w:r w:rsidRPr="00374785">
        <w:tab/>
      </w:r>
      <w:r w:rsidR="00C2639F" w:rsidRPr="00374785">
        <w:t>For the avoidance of doubt, s</w:t>
      </w:r>
      <w:r w:rsidRPr="00374785">
        <w:t>pacing</w:t>
      </w:r>
      <w:r w:rsidR="00C2639F" w:rsidRPr="00374785">
        <w:t xml:space="preserve"> within and</w:t>
      </w:r>
      <w:r w:rsidRPr="00374785">
        <w:t xml:space="preserve"> between block plantings must </w:t>
      </w:r>
      <w:r w:rsidR="00C0279F" w:rsidRPr="00374785">
        <w:t>be in accordance with</w:t>
      </w:r>
      <w:r w:rsidRPr="00374785">
        <w:t xml:space="preserve"> the CFI Mapping Guidelines.</w:t>
      </w:r>
    </w:p>
    <w:p w:rsidR="00E25FEB" w:rsidRPr="00374785" w:rsidRDefault="00E25FEB" w:rsidP="00E25FEB">
      <w:pPr>
        <w:pStyle w:val="h3Div"/>
      </w:pPr>
      <w:bookmarkStart w:id="32" w:name="_Toc397681576"/>
      <w:r w:rsidRPr="00374785">
        <w:t xml:space="preserve">Division </w:t>
      </w:r>
      <w:r w:rsidR="007F3C0F">
        <w:t>3.5</w:t>
      </w:r>
      <w:r w:rsidRPr="00374785">
        <w:tab/>
      </w:r>
      <w:r w:rsidR="00116F97" w:rsidRPr="00374785">
        <w:t>Domain group—s</w:t>
      </w:r>
      <w:r w:rsidRPr="00374785">
        <w:t>tocking density and tree proportion</w:t>
      </w:r>
      <w:bookmarkEnd w:id="32"/>
      <w:r w:rsidR="006361FA" w:rsidRPr="00374785">
        <w:t xml:space="preserve"> </w:t>
      </w:r>
    </w:p>
    <w:p w:rsidR="00E25FEB" w:rsidRPr="00374785" w:rsidRDefault="00E25FEB" w:rsidP="00E25FEB">
      <w:pPr>
        <w:pStyle w:val="h4Subdiv"/>
      </w:pPr>
      <w:bookmarkStart w:id="33" w:name="_Toc397681577"/>
      <w:r w:rsidRPr="00374785">
        <w:t xml:space="preserve">Subdivision </w:t>
      </w:r>
      <w:r w:rsidR="007F3C0F">
        <w:t>3.5.1</w:t>
      </w:r>
      <w:r w:rsidRPr="00374785">
        <w:tab/>
        <w:t xml:space="preserve">Stocking density and tree proportion—default </w:t>
      </w:r>
      <w:r w:rsidR="00C22E28" w:rsidRPr="00374785">
        <w:t>values</w:t>
      </w:r>
      <w:bookmarkEnd w:id="33"/>
    </w:p>
    <w:p w:rsidR="00E25FEB" w:rsidRPr="00374785" w:rsidRDefault="007F3C0F" w:rsidP="00E25FEB">
      <w:pPr>
        <w:pStyle w:val="h5Section"/>
      </w:pPr>
      <w:bookmarkStart w:id="34" w:name="_Toc397681578"/>
      <w:r>
        <w:t>3.18</w:t>
      </w:r>
      <w:r w:rsidR="00E25FEB" w:rsidRPr="00374785">
        <w:tab/>
      </w:r>
      <w:r w:rsidR="00AE1422" w:rsidRPr="00374785">
        <w:rPr>
          <w:color w:val="000000" w:themeColor="text1"/>
        </w:rPr>
        <w:t>Propagated seedling stock—</w:t>
      </w:r>
      <w:r w:rsidR="00AE1422" w:rsidRPr="00374785">
        <w:t>d</w:t>
      </w:r>
      <w:r w:rsidR="008348F2" w:rsidRPr="00374785">
        <w:t xml:space="preserve">efault </w:t>
      </w:r>
      <w:r w:rsidR="00AE1422" w:rsidRPr="00374785">
        <w:t>values</w:t>
      </w:r>
      <w:bookmarkEnd w:id="34"/>
      <w:r w:rsidR="00AE1422" w:rsidRPr="00374785">
        <w:t xml:space="preserve"> </w:t>
      </w:r>
      <w:r w:rsidR="00A12810" w:rsidRPr="00374785">
        <w:t xml:space="preserve"> </w:t>
      </w:r>
    </w:p>
    <w:p w:rsidR="00E25FEB" w:rsidRPr="00374785" w:rsidRDefault="00E25FEB" w:rsidP="00E25FEB">
      <w:pPr>
        <w:pStyle w:val="tMain"/>
      </w:pPr>
      <w:r w:rsidRPr="00374785">
        <w:tab/>
      </w:r>
      <w:r w:rsidRPr="00374785">
        <w:tab/>
        <w:t xml:space="preserve">If a carbon estimation area is established using </w:t>
      </w:r>
      <w:r w:rsidR="00AE1422" w:rsidRPr="00374785">
        <w:rPr>
          <w:color w:val="000000" w:themeColor="text1"/>
        </w:rPr>
        <w:t>propagated seedling stock</w:t>
      </w:r>
      <w:r w:rsidRPr="00374785">
        <w:t>:</w:t>
      </w:r>
    </w:p>
    <w:p w:rsidR="00E25FEB" w:rsidRPr="00374785" w:rsidRDefault="00E25FEB" w:rsidP="00E25FEB">
      <w:pPr>
        <w:pStyle w:val="tPara"/>
      </w:pPr>
      <w:r w:rsidRPr="00374785">
        <w:tab/>
      </w:r>
      <w:r w:rsidR="007F3C0F">
        <w:t>(a)</w:t>
      </w:r>
      <w:r w:rsidRPr="00374785">
        <w:tab/>
        <w:t>for the first 5 years following the planting date:</w:t>
      </w:r>
    </w:p>
    <w:p w:rsidR="00E25FEB" w:rsidRPr="00374785" w:rsidRDefault="00E25FEB" w:rsidP="00E25FEB">
      <w:pPr>
        <w:pStyle w:val="tSubpara"/>
      </w:pPr>
      <w:r w:rsidRPr="00374785">
        <w:tab/>
      </w:r>
      <w:r w:rsidR="007F3C0F">
        <w:t>(i)</w:t>
      </w:r>
      <w:r w:rsidRPr="00374785">
        <w:tab/>
        <w:t xml:space="preserve">the planting is taken to have </w:t>
      </w:r>
      <w:r w:rsidR="004F0533" w:rsidRPr="00374785">
        <w:t>a stocking density of</w:t>
      </w:r>
      <w:r w:rsidRPr="00374785">
        <w:t xml:space="preserve"> 85% </w:t>
      </w:r>
      <w:r w:rsidR="00A12810" w:rsidRPr="00374785">
        <w:t>of</w:t>
      </w:r>
      <w:r w:rsidR="00A12810" w:rsidRPr="00374785">
        <w:rPr>
          <w:color w:val="000000" w:themeColor="text1"/>
        </w:rPr>
        <w:t xml:space="preserve"> the </w:t>
      </w:r>
      <w:r w:rsidR="00626E69" w:rsidRPr="00374785">
        <w:rPr>
          <w:color w:val="000000" w:themeColor="text1"/>
        </w:rPr>
        <w:t xml:space="preserve">average </w:t>
      </w:r>
      <w:r w:rsidR="00A12810" w:rsidRPr="00374785">
        <w:rPr>
          <w:color w:val="000000" w:themeColor="text1"/>
        </w:rPr>
        <w:t>number of propagated seedling stock</w:t>
      </w:r>
      <w:r w:rsidR="00A12810" w:rsidRPr="00374785">
        <w:t xml:space="preserve"> planted</w:t>
      </w:r>
      <w:r w:rsidR="00626E69" w:rsidRPr="00374785">
        <w:t xml:space="preserve"> per hectare for the carbon estimation area</w:t>
      </w:r>
      <w:r w:rsidRPr="00374785">
        <w:t>; and</w:t>
      </w:r>
    </w:p>
    <w:p w:rsidR="00540C5E" w:rsidRPr="00374785" w:rsidRDefault="00E25FEB" w:rsidP="00E25FEB">
      <w:pPr>
        <w:pStyle w:val="tSubpara"/>
      </w:pPr>
      <w:r w:rsidRPr="00374785">
        <w:tab/>
      </w:r>
      <w:r w:rsidR="007F3C0F">
        <w:t>(ii)</w:t>
      </w:r>
      <w:r w:rsidRPr="00374785">
        <w:tab/>
        <w:t xml:space="preserve">tree proportion is </w:t>
      </w:r>
      <w:r w:rsidR="00540C5E" w:rsidRPr="00374785">
        <w:t xml:space="preserve">taken to be the same as the proportion of trees to shrubs </w:t>
      </w:r>
      <w:r w:rsidR="004F0533" w:rsidRPr="00374785">
        <w:t>for the</w:t>
      </w:r>
      <w:r w:rsidR="004F0533" w:rsidRPr="00374785">
        <w:rPr>
          <w:color w:val="000000" w:themeColor="text1"/>
        </w:rPr>
        <w:t xml:space="preserve"> propagated seedling stock</w:t>
      </w:r>
      <w:r w:rsidR="004F0533" w:rsidRPr="00374785">
        <w:t xml:space="preserve"> planted</w:t>
      </w:r>
      <w:r w:rsidRPr="00374785">
        <w:t xml:space="preserve">; </w:t>
      </w:r>
      <w:r w:rsidR="00EE1F0C" w:rsidRPr="00374785">
        <w:t>and</w:t>
      </w:r>
    </w:p>
    <w:p w:rsidR="00E25FEB" w:rsidRPr="00374785" w:rsidRDefault="00E25FEB" w:rsidP="00E25FEB">
      <w:pPr>
        <w:pStyle w:val="tPara"/>
      </w:pPr>
      <w:r w:rsidRPr="00374785">
        <w:tab/>
      </w:r>
      <w:r w:rsidR="007F3C0F">
        <w:t>(b)</w:t>
      </w:r>
      <w:r w:rsidRPr="00374785">
        <w:tab/>
        <w:t>after 5 years from the planting date:</w:t>
      </w:r>
    </w:p>
    <w:p w:rsidR="00E25FEB" w:rsidRPr="00374785" w:rsidRDefault="00E25FEB" w:rsidP="00E25FEB">
      <w:pPr>
        <w:pStyle w:val="tSubpara"/>
      </w:pPr>
      <w:r w:rsidRPr="00374785">
        <w:tab/>
      </w:r>
      <w:r w:rsidR="007F3C0F">
        <w:t>(i)</w:t>
      </w:r>
      <w:r w:rsidRPr="00374785">
        <w:tab/>
        <w:t xml:space="preserve">stocking density is taken to be </w:t>
      </w:r>
      <w:r w:rsidR="00FD6B02" w:rsidRPr="00374785">
        <w:t>less</w:t>
      </w:r>
      <w:r w:rsidRPr="00374785">
        <w:t xml:space="preserve"> than 500 stems per hectare; and</w:t>
      </w:r>
    </w:p>
    <w:p w:rsidR="00E25FEB" w:rsidRPr="00374785" w:rsidRDefault="00E25FEB" w:rsidP="00E25FEB">
      <w:pPr>
        <w:pStyle w:val="tSubpara"/>
      </w:pPr>
      <w:r w:rsidRPr="00374785">
        <w:tab/>
      </w:r>
      <w:r w:rsidR="007F3C0F">
        <w:t>(ii)</w:t>
      </w:r>
      <w:r w:rsidRPr="00374785">
        <w:tab/>
      </w:r>
      <w:r w:rsidR="00B90D0D" w:rsidRPr="00374785">
        <w:t xml:space="preserve">if the planting includes a mix of tree and shrubs—the tree proportion is taken to be less than </w:t>
      </w:r>
      <w:r w:rsidR="00EA12D6" w:rsidRPr="00374785">
        <w:t>0.75</w:t>
      </w:r>
      <w:r w:rsidR="00B90D0D" w:rsidRPr="00374785">
        <w:t>.</w:t>
      </w:r>
    </w:p>
    <w:p w:rsidR="00E25FEB" w:rsidRPr="00374785" w:rsidRDefault="007F3C0F" w:rsidP="00E25FEB">
      <w:pPr>
        <w:pStyle w:val="h5Section"/>
      </w:pPr>
      <w:bookmarkStart w:id="35" w:name="_Toc397681579"/>
      <w:r>
        <w:t>3.19</w:t>
      </w:r>
      <w:r w:rsidR="00E25FEB" w:rsidRPr="00374785">
        <w:tab/>
      </w:r>
      <w:r w:rsidR="00AE1422" w:rsidRPr="00374785">
        <w:t>D</w:t>
      </w:r>
      <w:r w:rsidR="00E25FEB" w:rsidRPr="00374785">
        <w:t>irect seeding</w:t>
      </w:r>
      <w:r w:rsidR="00AE1422" w:rsidRPr="00374785">
        <w:t>—default values</w:t>
      </w:r>
      <w:bookmarkEnd w:id="35"/>
    </w:p>
    <w:p w:rsidR="00E25FEB" w:rsidRPr="00374785" w:rsidRDefault="00E25FEB" w:rsidP="00E25FEB">
      <w:pPr>
        <w:pStyle w:val="tMain"/>
      </w:pPr>
      <w:r w:rsidRPr="00374785">
        <w:tab/>
      </w:r>
      <w:r w:rsidRPr="00374785">
        <w:tab/>
        <w:t>If a carbon estimation area is established using direct seeding:</w:t>
      </w:r>
    </w:p>
    <w:p w:rsidR="00E25FEB" w:rsidRPr="00374785" w:rsidRDefault="00E25FEB" w:rsidP="00E25FEB">
      <w:pPr>
        <w:pStyle w:val="tPara"/>
      </w:pPr>
      <w:r w:rsidRPr="00374785">
        <w:tab/>
      </w:r>
      <w:r w:rsidR="007F3C0F">
        <w:t>(a)</w:t>
      </w:r>
      <w:r w:rsidRPr="00374785">
        <w:tab/>
        <w:t xml:space="preserve">stocking density is taken to be </w:t>
      </w:r>
      <w:r w:rsidR="002E2EB7" w:rsidRPr="00374785">
        <w:t>less</w:t>
      </w:r>
      <w:r w:rsidRPr="00374785">
        <w:t xml:space="preserve"> than 500 stems per hectare; and</w:t>
      </w:r>
    </w:p>
    <w:p w:rsidR="00540C5E" w:rsidRPr="00374785" w:rsidRDefault="00E25FEB" w:rsidP="00E25FEB">
      <w:pPr>
        <w:pStyle w:val="tPara"/>
      </w:pPr>
      <w:r w:rsidRPr="00374785">
        <w:tab/>
      </w:r>
      <w:r w:rsidR="007F3C0F">
        <w:t>(b)</w:t>
      </w:r>
      <w:r w:rsidRPr="00374785">
        <w:tab/>
        <w:t xml:space="preserve">if the </w:t>
      </w:r>
      <w:r w:rsidR="00540C5E" w:rsidRPr="00374785">
        <w:t>seed used:</w:t>
      </w:r>
    </w:p>
    <w:p w:rsidR="004F0533" w:rsidRPr="00374785" w:rsidRDefault="004F0533" w:rsidP="004F0533">
      <w:pPr>
        <w:pStyle w:val="tSubpara"/>
      </w:pPr>
      <w:r w:rsidRPr="00374785">
        <w:tab/>
      </w:r>
      <w:r w:rsidR="007F3C0F">
        <w:t>(i)</w:t>
      </w:r>
      <w:r w:rsidRPr="00374785">
        <w:tab/>
        <w:t xml:space="preserve">consisted of tree species only—the tree proportion is taken to be greater than </w:t>
      </w:r>
      <w:r w:rsidR="004D522E" w:rsidRPr="00374785">
        <w:t>0.75</w:t>
      </w:r>
      <w:r w:rsidRPr="00374785">
        <w:t>; or</w:t>
      </w:r>
    </w:p>
    <w:p w:rsidR="00E25FEB" w:rsidRPr="00374785" w:rsidRDefault="00540C5E" w:rsidP="00540C5E">
      <w:pPr>
        <w:pStyle w:val="tSubpara"/>
      </w:pPr>
      <w:r w:rsidRPr="00374785">
        <w:lastRenderedPageBreak/>
        <w:tab/>
      </w:r>
      <w:r w:rsidR="007F3C0F">
        <w:t>(ii)</w:t>
      </w:r>
      <w:r w:rsidRPr="00374785">
        <w:tab/>
      </w:r>
      <w:r w:rsidR="00B90D0D" w:rsidRPr="00374785">
        <w:t xml:space="preserve">consisted of a mix of tree and shrub species—the tree proportion is taken to be less than </w:t>
      </w:r>
      <w:r w:rsidR="004D522E" w:rsidRPr="00374785">
        <w:t>0.75</w:t>
      </w:r>
      <w:r w:rsidR="00B90D0D" w:rsidRPr="00374785">
        <w:t>.</w:t>
      </w:r>
    </w:p>
    <w:p w:rsidR="00AE3495" w:rsidRPr="00374785" w:rsidRDefault="007F3C0F" w:rsidP="00AE3495">
      <w:pPr>
        <w:pStyle w:val="h5Section"/>
      </w:pPr>
      <w:bookmarkStart w:id="36" w:name="_Toc397681580"/>
      <w:r>
        <w:t>3.20</w:t>
      </w:r>
      <w:r w:rsidR="00AE3495" w:rsidRPr="00374785">
        <w:tab/>
        <w:t>Alternatives to default values</w:t>
      </w:r>
      <w:bookmarkEnd w:id="36"/>
    </w:p>
    <w:p w:rsidR="00AE3495" w:rsidRPr="00374785" w:rsidRDefault="00AE3495" w:rsidP="00AE3495">
      <w:pPr>
        <w:pStyle w:val="tMain"/>
      </w:pPr>
      <w:r w:rsidRPr="00374785">
        <w:tab/>
      </w:r>
      <w:r w:rsidRPr="00374785">
        <w:tab/>
        <w:t>After 2 years from the planting date, a project proponent may choose to sample stocking density and tree proportion to ascertain measured values for relevant carbon estimation areas in accordance with Subdivision</w:t>
      </w:r>
      <w:r w:rsidR="002C2149" w:rsidRPr="00374785">
        <w:t xml:space="preserve"> 3.5.2</w:t>
      </w:r>
      <w:r w:rsidRPr="00374785">
        <w:t>.</w:t>
      </w:r>
    </w:p>
    <w:p w:rsidR="00F06B58" w:rsidRPr="00374785" w:rsidRDefault="00F06B58" w:rsidP="00F06B58">
      <w:pPr>
        <w:pStyle w:val="h4Subdiv"/>
      </w:pPr>
      <w:bookmarkStart w:id="37" w:name="_Toc397681581"/>
      <w:r w:rsidRPr="00374785">
        <w:t xml:space="preserve">Subdivision </w:t>
      </w:r>
      <w:r w:rsidR="007F3C0F">
        <w:t>3.5.2</w:t>
      </w:r>
      <w:r w:rsidRPr="00374785">
        <w:tab/>
        <w:t>Stocking density and tree proportion requirements</w:t>
      </w:r>
      <w:bookmarkEnd w:id="37"/>
    </w:p>
    <w:p w:rsidR="00AE3495" w:rsidRPr="00374785" w:rsidRDefault="007F3C0F" w:rsidP="00AE3495">
      <w:pPr>
        <w:pStyle w:val="h5Section"/>
      </w:pPr>
      <w:bookmarkStart w:id="38" w:name="_Toc397681582"/>
      <w:r>
        <w:t>3.21</w:t>
      </w:r>
      <w:r w:rsidR="00AE3495" w:rsidRPr="00374785">
        <w:tab/>
        <w:t>Requirements for a specific calibration</w:t>
      </w:r>
      <w:bookmarkEnd w:id="38"/>
    </w:p>
    <w:p w:rsidR="00AE3495" w:rsidRPr="00374785" w:rsidRDefault="00AE3495" w:rsidP="00AE3495">
      <w:pPr>
        <w:pStyle w:val="tMain"/>
      </w:pPr>
      <w:r w:rsidRPr="00374785">
        <w:tab/>
      </w:r>
      <w:r w:rsidR="007F3C0F">
        <w:t>(1)</w:t>
      </w:r>
      <w:r w:rsidRPr="00374785">
        <w:tab/>
        <w:t>For the purposes of section</w:t>
      </w:r>
      <w:r w:rsidR="00A82842" w:rsidRPr="00374785">
        <w:t>s 3.22 and</w:t>
      </w:r>
      <w:r w:rsidRPr="00374785">
        <w:t xml:space="preserve"> 4.8, to be eligible to use a specific calibration for which a stocking density and/or tree proportion is defined in Schedule 1, a project proponent must: </w:t>
      </w:r>
    </w:p>
    <w:p w:rsidR="00AE3495" w:rsidRPr="00374785" w:rsidRDefault="00AE3495" w:rsidP="00AE3495">
      <w:pPr>
        <w:pStyle w:val="tPara"/>
      </w:pPr>
      <w:r w:rsidRPr="00374785">
        <w:tab/>
      </w:r>
      <w:r w:rsidR="007F3C0F">
        <w:t>(a)</w:t>
      </w:r>
      <w:r w:rsidRPr="00374785">
        <w:tab/>
        <w:t>apply the default values determined in accordance with section 3.18 or 3.19; or</w:t>
      </w:r>
    </w:p>
    <w:p w:rsidR="00D72F20" w:rsidRPr="00374785" w:rsidRDefault="00AE3495" w:rsidP="00AE3495">
      <w:pPr>
        <w:pStyle w:val="tPara"/>
      </w:pPr>
      <w:r w:rsidRPr="00374785">
        <w:tab/>
      </w:r>
      <w:r w:rsidR="007F3C0F">
        <w:t>(b)</w:t>
      </w:r>
      <w:r w:rsidRPr="00374785">
        <w:tab/>
        <w:t xml:space="preserve">measure </w:t>
      </w:r>
      <w:r w:rsidR="00A82842" w:rsidRPr="00374785">
        <w:t xml:space="preserve">the values for </w:t>
      </w:r>
      <w:r w:rsidRPr="00374785">
        <w:t>stocking density and/or tree proportion in accordance with section 3.20 and this Subdivision.</w:t>
      </w:r>
    </w:p>
    <w:p w:rsidR="00AE3495" w:rsidRPr="00374785" w:rsidRDefault="00D72F20" w:rsidP="00D72F20">
      <w:pPr>
        <w:pStyle w:val="tMain"/>
      </w:pPr>
      <w:r w:rsidRPr="00374785">
        <w:tab/>
      </w:r>
      <w:r w:rsidR="007F3C0F">
        <w:t>(2)</w:t>
      </w:r>
      <w:r w:rsidRPr="00374785">
        <w:tab/>
        <w:t xml:space="preserve">Subject to subsection (3), a project proponent is only </w:t>
      </w:r>
      <w:r w:rsidR="00B90D0D" w:rsidRPr="00374785">
        <w:t xml:space="preserve">required to </w:t>
      </w:r>
      <w:r w:rsidR="0088737A" w:rsidRPr="00374785">
        <w:t>estimate</w:t>
      </w:r>
      <w:r w:rsidR="00B90D0D" w:rsidRPr="00374785">
        <w:t xml:space="preserve"> the stocking density and/or tree proportion once </w:t>
      </w:r>
      <w:r w:rsidR="00E96AD5" w:rsidRPr="00374785">
        <w:t>over</w:t>
      </w:r>
      <w:r w:rsidR="00B90D0D" w:rsidRPr="00374785">
        <w:t xml:space="preserve"> the duration of the crediting period</w:t>
      </w:r>
      <w:r w:rsidRPr="00374785">
        <w:t>.</w:t>
      </w:r>
    </w:p>
    <w:p w:rsidR="007B1967" w:rsidRPr="00374785" w:rsidRDefault="007B1967" w:rsidP="007B1967">
      <w:pPr>
        <w:pStyle w:val="tMain"/>
      </w:pPr>
      <w:r w:rsidRPr="00374785">
        <w:tab/>
      </w:r>
      <w:r w:rsidR="007F3C0F">
        <w:t>(3)</w:t>
      </w:r>
      <w:r w:rsidRPr="00374785">
        <w:tab/>
      </w:r>
      <w:r w:rsidR="00D72F20" w:rsidRPr="00374785">
        <w:t>If an event occurs that may change the stocking density and/or tree proportion</w:t>
      </w:r>
      <w:r w:rsidRPr="00374785">
        <w:t xml:space="preserve"> such that the requirements for a specific calibration </w:t>
      </w:r>
      <w:r w:rsidR="00A82842" w:rsidRPr="00374785">
        <w:t>may</w:t>
      </w:r>
      <w:r w:rsidRPr="00374785">
        <w:t xml:space="preserve"> no longer </w:t>
      </w:r>
      <w:r w:rsidR="00E96AD5" w:rsidRPr="00374785">
        <w:t xml:space="preserve">be </w:t>
      </w:r>
      <w:r w:rsidRPr="00374785">
        <w:t xml:space="preserve">met, then </w:t>
      </w:r>
      <w:r w:rsidR="00A82842" w:rsidRPr="00374785">
        <w:t xml:space="preserve">for the purpose of section 3.22, </w:t>
      </w:r>
      <w:r w:rsidRPr="00374785">
        <w:t>the project proponent must remeasure the stocking density and/or tree proportion in accordance with section 3.20 and this Subdivision.</w:t>
      </w:r>
    </w:p>
    <w:p w:rsidR="009E79F8" w:rsidRPr="00374785" w:rsidRDefault="00D17AA3" w:rsidP="009E79F8">
      <w:pPr>
        <w:pStyle w:val="h6Subsec"/>
      </w:pPr>
      <w:r w:rsidRPr="00374785">
        <w:t>“No s</w:t>
      </w:r>
      <w:r w:rsidR="009E79F8" w:rsidRPr="00374785">
        <w:t xml:space="preserve">ampling” </w:t>
      </w:r>
      <w:r w:rsidRPr="00374785">
        <w:t>r</w:t>
      </w:r>
      <w:r w:rsidR="009E79F8" w:rsidRPr="00374785">
        <w:t xml:space="preserve">equirement for a specific calibration </w:t>
      </w:r>
    </w:p>
    <w:p w:rsidR="009E79F8" w:rsidRPr="00374785" w:rsidRDefault="00CF0399" w:rsidP="00CF0399">
      <w:pPr>
        <w:pStyle w:val="tMain"/>
      </w:pPr>
      <w:r w:rsidRPr="00374785">
        <w:tab/>
      </w:r>
      <w:r w:rsidR="007F3C0F">
        <w:t>(4)</w:t>
      </w:r>
      <w:r w:rsidRPr="00374785">
        <w:tab/>
        <w:t xml:space="preserve">If </w:t>
      </w:r>
      <w:r w:rsidR="00EE1F0C" w:rsidRPr="00374785">
        <w:t xml:space="preserve">it is </w:t>
      </w:r>
      <w:r w:rsidR="009E79F8" w:rsidRPr="00374785">
        <w:t>specified in Schedule 1</w:t>
      </w:r>
      <w:r w:rsidRPr="00374785">
        <w:t xml:space="preserve"> that no sampling is required for a specific calibration</w:t>
      </w:r>
      <w:r w:rsidR="009E79F8" w:rsidRPr="00374785">
        <w:t xml:space="preserve"> then</w:t>
      </w:r>
      <w:r w:rsidR="00EE1F0C" w:rsidRPr="00374785">
        <w:t xml:space="preserve"> for that specific calibration</w:t>
      </w:r>
      <w:r w:rsidR="009E79F8" w:rsidRPr="00374785">
        <w:t>:</w:t>
      </w:r>
    </w:p>
    <w:p w:rsidR="009E79F8" w:rsidRPr="00374785" w:rsidRDefault="009E79F8" w:rsidP="009E79F8">
      <w:pPr>
        <w:pStyle w:val="tPara"/>
      </w:pPr>
      <w:r w:rsidRPr="00374785">
        <w:tab/>
      </w:r>
      <w:r w:rsidR="007F3C0F">
        <w:t>(a)</w:t>
      </w:r>
      <w:r w:rsidRPr="00374785">
        <w:tab/>
      </w:r>
      <w:r w:rsidR="00CF0399" w:rsidRPr="00374785">
        <w:t xml:space="preserve">a project proponent is not required to </w:t>
      </w:r>
      <w:r w:rsidRPr="00374785">
        <w:t>undertake the processes in section</w:t>
      </w:r>
      <w:r w:rsidR="002A2243" w:rsidRPr="00374785">
        <w:t> </w:t>
      </w:r>
      <w:r w:rsidRPr="00374785">
        <w:t xml:space="preserve">3.18 or 3.19; and </w:t>
      </w:r>
    </w:p>
    <w:p w:rsidR="00C40C36" w:rsidRPr="00374785" w:rsidRDefault="009E79F8" w:rsidP="009E79F8">
      <w:pPr>
        <w:pStyle w:val="tPara"/>
      </w:pPr>
      <w:r w:rsidRPr="00374785">
        <w:tab/>
      </w:r>
      <w:r w:rsidR="007F3C0F">
        <w:t>(b)</w:t>
      </w:r>
      <w:r w:rsidRPr="00374785">
        <w:tab/>
        <w:t>the evidence requirements in section 3.22 do not apply</w:t>
      </w:r>
      <w:r w:rsidR="00C93E42" w:rsidRPr="00374785">
        <w:t>.</w:t>
      </w:r>
    </w:p>
    <w:p w:rsidR="00E25FEB" w:rsidRPr="00374785" w:rsidRDefault="007F3C0F" w:rsidP="00E25FEB">
      <w:pPr>
        <w:pStyle w:val="h5Section"/>
      </w:pPr>
      <w:bookmarkStart w:id="39" w:name="_Toc397681583"/>
      <w:r>
        <w:t>3.22</w:t>
      </w:r>
      <w:r w:rsidR="00E25FEB" w:rsidRPr="00374785">
        <w:tab/>
      </w:r>
      <w:r w:rsidR="003D3C29" w:rsidRPr="00374785">
        <w:t>Evidence of s</w:t>
      </w:r>
      <w:r w:rsidR="00E25FEB" w:rsidRPr="00374785">
        <w:t>tocki</w:t>
      </w:r>
      <w:r w:rsidR="003D3C29" w:rsidRPr="00374785">
        <w:t>ng density and tree proportion</w:t>
      </w:r>
      <w:bookmarkEnd w:id="39"/>
    </w:p>
    <w:p w:rsidR="00CC0D78" w:rsidRPr="00374785" w:rsidRDefault="00E25FEB" w:rsidP="00E25FEB">
      <w:pPr>
        <w:pStyle w:val="tMain"/>
      </w:pPr>
      <w:r w:rsidRPr="00374785">
        <w:tab/>
      </w:r>
      <w:r w:rsidRPr="00374785">
        <w:tab/>
      </w:r>
      <w:r w:rsidR="00CC0D78" w:rsidRPr="00374785">
        <w:t>A</w:t>
      </w:r>
      <w:r w:rsidRPr="00374785">
        <w:t xml:space="preserve"> project proponent</w:t>
      </w:r>
      <w:r w:rsidR="00115F27" w:rsidRPr="00374785">
        <w:t xml:space="preserve"> that has</w:t>
      </w:r>
      <w:r w:rsidR="00CC0D78" w:rsidRPr="00374785">
        <w:t>:</w:t>
      </w:r>
    </w:p>
    <w:p w:rsidR="00CC0D78" w:rsidRPr="00374785" w:rsidRDefault="00CC0D78" w:rsidP="00CC0D78">
      <w:pPr>
        <w:pStyle w:val="tPara"/>
      </w:pPr>
      <w:r w:rsidRPr="00374785">
        <w:tab/>
      </w:r>
      <w:r w:rsidR="007F3C0F">
        <w:t>(a)</w:t>
      </w:r>
      <w:r w:rsidRPr="00374785">
        <w:tab/>
      </w:r>
      <w:r w:rsidR="00115F27" w:rsidRPr="00374785">
        <w:t>applied a specific calibration</w:t>
      </w:r>
      <w:r w:rsidR="00FD3D59" w:rsidRPr="00374785">
        <w:t xml:space="preserve"> for the purposes of section 4.8</w:t>
      </w:r>
      <w:r w:rsidRPr="00374785">
        <w:t>;</w:t>
      </w:r>
      <w:r w:rsidR="00E25FEB" w:rsidRPr="00374785">
        <w:t xml:space="preserve"> </w:t>
      </w:r>
      <w:r w:rsidR="00FD3D59" w:rsidRPr="00374785">
        <w:t>and</w:t>
      </w:r>
    </w:p>
    <w:p w:rsidR="00CC0D78" w:rsidRPr="00374785" w:rsidRDefault="00CC0D78" w:rsidP="00CC0D78">
      <w:pPr>
        <w:pStyle w:val="tPara"/>
      </w:pPr>
      <w:r w:rsidRPr="00374785">
        <w:tab/>
      </w:r>
      <w:r w:rsidR="007F3C0F">
        <w:t>(b)</w:t>
      </w:r>
      <w:r w:rsidRPr="00374785">
        <w:tab/>
      </w:r>
      <w:r w:rsidR="00122F91" w:rsidRPr="00374785">
        <w:t>not applied default values determined in accordance with s</w:t>
      </w:r>
      <w:r w:rsidR="00F1175C" w:rsidRPr="00374785">
        <w:t>ection</w:t>
      </w:r>
      <w:r w:rsidR="00122F91" w:rsidRPr="00374785">
        <w:t xml:space="preserve"> 3.18 or 3.19; </w:t>
      </w:r>
    </w:p>
    <w:p w:rsidR="00E25FEB" w:rsidRPr="00374785" w:rsidRDefault="00CC0D78" w:rsidP="00CC0D78">
      <w:pPr>
        <w:pStyle w:val="tMain"/>
      </w:pPr>
      <w:r w:rsidRPr="00374785">
        <w:tab/>
      </w:r>
      <w:r w:rsidRPr="00374785">
        <w:tab/>
      </w:r>
      <w:r w:rsidR="00122F91" w:rsidRPr="00374785">
        <w:t xml:space="preserve">must </w:t>
      </w:r>
      <w:r w:rsidR="00F06B58" w:rsidRPr="00374785">
        <w:t>be able to demonstrate, to the satisfaction of the Regulator,</w:t>
      </w:r>
      <w:r w:rsidR="00004926" w:rsidRPr="00374785">
        <w:t xml:space="preserve"> </w:t>
      </w:r>
      <w:r w:rsidR="00E25FEB" w:rsidRPr="00374785">
        <w:t xml:space="preserve">that </w:t>
      </w:r>
      <w:r w:rsidR="003D3C29" w:rsidRPr="00374785">
        <w:t>a</w:t>
      </w:r>
      <w:r w:rsidR="00E25FEB" w:rsidRPr="00374785">
        <w:t xml:space="preserve"> planting </w:t>
      </w:r>
      <w:r w:rsidR="003D3C29" w:rsidRPr="00374785">
        <w:t xml:space="preserve">in a carbon estimation area </w:t>
      </w:r>
      <w:r w:rsidR="00E25FEB" w:rsidRPr="00374785">
        <w:t>meets or exceeds the stocking density or tree proportion</w:t>
      </w:r>
      <w:r w:rsidR="00004926" w:rsidRPr="00374785">
        <w:t xml:space="preserve"> requirements</w:t>
      </w:r>
      <w:r w:rsidR="00115F27" w:rsidRPr="00374785">
        <w:t xml:space="preserve"> for the specific</w:t>
      </w:r>
      <w:r w:rsidR="00004926" w:rsidRPr="00374785">
        <w:t xml:space="preserve"> calibration</w:t>
      </w:r>
      <w:r w:rsidR="00F06B58" w:rsidRPr="00374785">
        <w:t xml:space="preserve"> with information collected in accordance with </w:t>
      </w:r>
      <w:r w:rsidR="00BE5D2E" w:rsidRPr="00374785">
        <w:t>this Subdivision</w:t>
      </w:r>
      <w:r w:rsidR="00E25FEB" w:rsidRPr="00374785">
        <w:t>.</w:t>
      </w:r>
      <w:r w:rsidRPr="00374785">
        <w:t xml:space="preserve"> </w:t>
      </w:r>
    </w:p>
    <w:p w:rsidR="00E25FEB" w:rsidRPr="00374785" w:rsidRDefault="007F3C0F" w:rsidP="00E25FEB">
      <w:pPr>
        <w:pStyle w:val="h5Section"/>
      </w:pPr>
      <w:bookmarkStart w:id="40" w:name="_Toc397681584"/>
      <w:r>
        <w:lastRenderedPageBreak/>
        <w:t>3.23</w:t>
      </w:r>
      <w:r w:rsidR="00E25FEB" w:rsidRPr="00374785">
        <w:tab/>
      </w:r>
      <w:r w:rsidR="0080786C" w:rsidRPr="00374785">
        <w:t>Estimating s</w:t>
      </w:r>
      <w:r w:rsidR="00C8525B" w:rsidRPr="00374785">
        <w:t>tocking density</w:t>
      </w:r>
      <w:bookmarkEnd w:id="40"/>
      <w:r w:rsidR="00C8525B" w:rsidRPr="00374785">
        <w:t xml:space="preserve"> </w:t>
      </w:r>
    </w:p>
    <w:p w:rsidR="00E25FEB" w:rsidRPr="00374785" w:rsidRDefault="008B1DDA" w:rsidP="008B1DDA">
      <w:pPr>
        <w:pStyle w:val="notePara"/>
      </w:pPr>
      <w:r w:rsidRPr="00374785">
        <w:tab/>
      </w:r>
      <w:r w:rsidRPr="00374785">
        <w:rPr>
          <w:b/>
          <w:i/>
        </w:rPr>
        <w:t>Note</w:t>
      </w:r>
      <w:r w:rsidRPr="00374785">
        <w:tab/>
      </w:r>
      <w:r w:rsidR="00B90D0D" w:rsidRPr="00374785">
        <w:t>For reasons of efficiency, it is likely that the method applied to estimate stocking density under this section would be the same kind as that used to estimate tree proportion under section 3.24.</w:t>
      </w:r>
    </w:p>
    <w:p w:rsidR="00E25FEB" w:rsidRPr="00374785" w:rsidRDefault="00E25FEB" w:rsidP="00E25FEB">
      <w:pPr>
        <w:pStyle w:val="tMain"/>
      </w:pPr>
      <w:r w:rsidRPr="00374785">
        <w:tab/>
      </w:r>
      <w:r w:rsidR="007F3C0F">
        <w:t>(1)</w:t>
      </w:r>
      <w:r w:rsidRPr="00374785">
        <w:tab/>
        <w:t>Stocking density for a carbon estimation area may be estimated by:</w:t>
      </w:r>
    </w:p>
    <w:p w:rsidR="00E25FEB" w:rsidRPr="00374785" w:rsidRDefault="00E25FEB" w:rsidP="00E25FEB">
      <w:pPr>
        <w:pStyle w:val="tPara"/>
      </w:pPr>
      <w:r w:rsidRPr="00374785">
        <w:tab/>
      </w:r>
      <w:r w:rsidR="007F3C0F">
        <w:t>(a)</w:t>
      </w:r>
      <w:r w:rsidRPr="00374785">
        <w:tab/>
        <w:t xml:space="preserve">counting </w:t>
      </w:r>
      <w:r w:rsidR="006338C3" w:rsidRPr="00374785">
        <w:t>every</w:t>
      </w:r>
      <w:r w:rsidRPr="00374785">
        <w:t xml:space="preserve"> tree and shrub, and dividing </w:t>
      </w:r>
      <w:r w:rsidR="00E96AD5" w:rsidRPr="00374785">
        <w:t xml:space="preserve">the total number </w:t>
      </w:r>
      <w:r w:rsidRPr="00374785">
        <w:t>by the area of the carbon estimation area; or</w:t>
      </w:r>
    </w:p>
    <w:p w:rsidR="00E25FEB" w:rsidRPr="00374785" w:rsidRDefault="00E25FEB" w:rsidP="00E25FEB">
      <w:pPr>
        <w:pStyle w:val="tPara"/>
      </w:pPr>
      <w:r w:rsidRPr="00374785">
        <w:tab/>
      </w:r>
      <w:r w:rsidR="007F3C0F">
        <w:t>(b)</w:t>
      </w:r>
      <w:r w:rsidRPr="00374785">
        <w:tab/>
        <w:t>systematic random sampling in accordance with subsection (</w:t>
      </w:r>
      <w:r w:rsidR="005D31F8" w:rsidRPr="00374785">
        <w:t>2</w:t>
      </w:r>
      <w:r w:rsidRPr="00374785">
        <w:t>).</w:t>
      </w:r>
    </w:p>
    <w:p w:rsidR="00E25FEB" w:rsidRPr="00374785" w:rsidRDefault="00E25FEB" w:rsidP="00B72ADD">
      <w:pPr>
        <w:pStyle w:val="tMain"/>
      </w:pPr>
      <w:r w:rsidRPr="00374785">
        <w:tab/>
      </w:r>
      <w:r w:rsidR="007F3C0F">
        <w:t>(2)</w:t>
      </w:r>
      <w:r w:rsidRPr="00374785">
        <w:tab/>
        <w:t xml:space="preserve">If systematic random sampling is used to estimate stocking density, </w:t>
      </w:r>
      <w:r w:rsidR="00FB4439" w:rsidRPr="00374785">
        <w:t xml:space="preserve">intended </w:t>
      </w:r>
      <w:r w:rsidRPr="00374785">
        <w:t>plot</w:t>
      </w:r>
      <w:r w:rsidR="00FB4439" w:rsidRPr="00374785">
        <w:t xml:space="preserve"> locations</w:t>
      </w:r>
      <w:r w:rsidRPr="00374785">
        <w:t xml:space="preserve"> must be selected </w:t>
      </w:r>
      <w:r w:rsidR="00453783" w:rsidRPr="00374785">
        <w:t>in accordance with section 3.</w:t>
      </w:r>
      <w:r w:rsidR="00AB395D" w:rsidRPr="00374785">
        <w:t>27</w:t>
      </w:r>
      <w:r w:rsidRPr="00374785">
        <w:t>.</w:t>
      </w:r>
    </w:p>
    <w:p w:rsidR="008B1DDA" w:rsidRPr="00374785" w:rsidRDefault="006338C3" w:rsidP="006338C3">
      <w:pPr>
        <w:pStyle w:val="tMain"/>
      </w:pPr>
      <w:r w:rsidRPr="00374785">
        <w:tab/>
      </w:r>
      <w:r w:rsidR="007F3C0F">
        <w:t>(3)</w:t>
      </w:r>
      <w:r w:rsidRPr="00374785">
        <w:tab/>
      </w:r>
      <w:r w:rsidR="008B1DDA" w:rsidRPr="00374785">
        <w:t>The m</w:t>
      </w:r>
      <w:r w:rsidRPr="00374785">
        <w:t xml:space="preserve">ethods specified in subsection </w:t>
      </w:r>
      <w:r w:rsidR="008B1DDA" w:rsidRPr="00374785">
        <w:t>(</w:t>
      </w:r>
      <w:r w:rsidRPr="00374785">
        <w:t>1</w:t>
      </w:r>
      <w:r w:rsidR="008B1DDA" w:rsidRPr="00374785">
        <w:t>) may be undertaken by:</w:t>
      </w:r>
    </w:p>
    <w:p w:rsidR="008B1DDA" w:rsidRPr="00374785" w:rsidRDefault="008B1DDA" w:rsidP="008B1DDA">
      <w:pPr>
        <w:pStyle w:val="tPara"/>
      </w:pPr>
      <w:r w:rsidRPr="00374785">
        <w:tab/>
      </w:r>
      <w:r w:rsidR="007F3C0F">
        <w:t>(a)</w:t>
      </w:r>
      <w:r w:rsidRPr="00374785">
        <w:tab/>
        <w:t xml:space="preserve">on-ground measurement; or </w:t>
      </w:r>
    </w:p>
    <w:p w:rsidR="008B1DDA" w:rsidRPr="00374785" w:rsidRDefault="008B1DDA" w:rsidP="008B1DDA">
      <w:pPr>
        <w:pStyle w:val="tPara"/>
      </w:pPr>
      <w:r w:rsidRPr="00374785">
        <w:tab/>
      </w:r>
      <w:r w:rsidR="007F3C0F">
        <w:t>(b)</w:t>
      </w:r>
      <w:r w:rsidRPr="00374785">
        <w:tab/>
        <w:t>using date-stamped, geo-refe</w:t>
      </w:r>
      <w:r w:rsidR="00EE1F0C" w:rsidRPr="00374785">
        <w:t>renced, remotely-sensed imagery.</w:t>
      </w:r>
    </w:p>
    <w:p w:rsidR="006338C3" w:rsidRPr="00374785" w:rsidRDefault="006338C3" w:rsidP="006338C3">
      <w:pPr>
        <w:pStyle w:val="tMain"/>
      </w:pPr>
      <w:r w:rsidRPr="00374785">
        <w:tab/>
      </w:r>
      <w:r w:rsidR="007F3C0F">
        <w:t>(4)</w:t>
      </w:r>
      <w:r w:rsidRPr="00374785">
        <w:tab/>
        <w:t>To estimate stocking density by on-ground measurement:</w:t>
      </w:r>
    </w:p>
    <w:p w:rsidR="006338C3" w:rsidRPr="00374785" w:rsidRDefault="006338C3" w:rsidP="006338C3">
      <w:pPr>
        <w:pStyle w:val="tPara"/>
      </w:pPr>
      <w:r w:rsidRPr="00374785">
        <w:tab/>
      </w:r>
      <w:r w:rsidR="007F3C0F">
        <w:t>(a)</w:t>
      </w:r>
      <w:r w:rsidRPr="00374785">
        <w:tab/>
        <w:t xml:space="preserve">plots must be established within the carbon estimation area </w:t>
      </w:r>
      <w:r w:rsidR="0089576B" w:rsidRPr="00374785">
        <w:t>at intended</w:t>
      </w:r>
      <w:r w:rsidRPr="00374785">
        <w:t xml:space="preserve"> plot locations; </w:t>
      </w:r>
    </w:p>
    <w:p w:rsidR="006338C3" w:rsidRPr="00374785" w:rsidRDefault="006338C3" w:rsidP="006338C3">
      <w:pPr>
        <w:pStyle w:val="tPara"/>
      </w:pPr>
      <w:r w:rsidRPr="00374785">
        <w:tab/>
      </w:r>
      <w:r w:rsidR="007F3C0F">
        <w:t>(b)</w:t>
      </w:r>
      <w:r w:rsidRPr="00374785">
        <w:tab/>
        <w:t>each living tree and shrub in th</w:t>
      </w:r>
      <w:r w:rsidR="00D94DD0" w:rsidRPr="00374785">
        <w:t>e plot must be counted; and</w:t>
      </w:r>
    </w:p>
    <w:p w:rsidR="0002042B" w:rsidRPr="00374785" w:rsidRDefault="0002042B" w:rsidP="0002042B">
      <w:pPr>
        <w:pStyle w:val="tPara"/>
      </w:pPr>
      <w:r w:rsidRPr="00374785">
        <w:tab/>
      </w:r>
      <w:r w:rsidR="007F3C0F">
        <w:t>(c)</w:t>
      </w:r>
      <w:r w:rsidRPr="00374785">
        <w:tab/>
        <w:t xml:space="preserve"> </w:t>
      </w:r>
      <w:r w:rsidR="003D3C29" w:rsidRPr="00374785">
        <w:t>the</w:t>
      </w:r>
      <w:r w:rsidRPr="00374785">
        <w:t xml:space="preserve"> stocking density for the carbon estimation area must be calculated using the calculations specifie</w:t>
      </w:r>
      <w:r w:rsidR="00AB395D" w:rsidRPr="00374785">
        <w:t>d in Subdivision 3.6</w:t>
      </w:r>
      <w:r w:rsidRPr="00374785">
        <w:t>.1.</w:t>
      </w:r>
    </w:p>
    <w:p w:rsidR="00D94DD0" w:rsidRPr="00374785" w:rsidRDefault="008B1DDA" w:rsidP="008B1DDA">
      <w:pPr>
        <w:pStyle w:val="tMain"/>
      </w:pPr>
      <w:r w:rsidRPr="00374785">
        <w:tab/>
      </w:r>
      <w:r w:rsidR="007F3C0F">
        <w:t>(5)</w:t>
      </w:r>
      <w:r w:rsidRPr="00374785">
        <w:tab/>
      </w:r>
      <w:r w:rsidR="006A0D68" w:rsidRPr="00374785">
        <w:t>To estimate stocking density using date-stamped, geo-referenced, remotely-sensed imagery</w:t>
      </w:r>
      <w:r w:rsidR="00D94DD0" w:rsidRPr="00374785">
        <w:t>:</w:t>
      </w:r>
    </w:p>
    <w:p w:rsidR="00E25FEB" w:rsidRPr="00374785" w:rsidRDefault="00D94DD0" w:rsidP="00D94DD0">
      <w:pPr>
        <w:pStyle w:val="tPara"/>
      </w:pPr>
      <w:r w:rsidRPr="00374785">
        <w:tab/>
      </w:r>
      <w:r w:rsidR="007F3C0F">
        <w:t>(a)</w:t>
      </w:r>
      <w:r w:rsidRPr="00374785">
        <w:tab/>
      </w:r>
      <w:r w:rsidR="006A0D68" w:rsidRPr="00374785">
        <w:t>the imagery must have</w:t>
      </w:r>
      <w:r w:rsidR="00E25FEB" w:rsidRPr="00374785">
        <w:t xml:space="preserve">: </w:t>
      </w:r>
    </w:p>
    <w:p w:rsidR="00E25FEB" w:rsidRPr="00374785" w:rsidRDefault="00D94DD0" w:rsidP="00D94DD0">
      <w:pPr>
        <w:pStyle w:val="tSubpara"/>
      </w:pPr>
      <w:r w:rsidRPr="00374785">
        <w:tab/>
      </w:r>
      <w:r w:rsidR="007F3C0F">
        <w:t>(i)</w:t>
      </w:r>
      <w:r w:rsidRPr="00374785">
        <w:tab/>
      </w:r>
      <w:r w:rsidR="006A0D68" w:rsidRPr="00374785">
        <w:t xml:space="preserve">a </w:t>
      </w:r>
      <w:r w:rsidR="00B90D0D" w:rsidRPr="00374785">
        <w:t>horizontal accuracy</w:t>
      </w:r>
      <w:r w:rsidR="00E25FEB" w:rsidRPr="00374785">
        <w:t xml:space="preserve"> </w:t>
      </w:r>
      <w:r w:rsidR="00EE1F0C" w:rsidRPr="00374785">
        <w:t>that meets</w:t>
      </w:r>
      <w:r w:rsidR="00E25FEB" w:rsidRPr="00374785">
        <w:t xml:space="preserve"> the CFI Mapping Guidelines; and</w:t>
      </w:r>
    </w:p>
    <w:p w:rsidR="00E25FEB" w:rsidRPr="00374785" w:rsidRDefault="00D94DD0" w:rsidP="00D94DD0">
      <w:pPr>
        <w:pStyle w:val="tSubpara"/>
      </w:pPr>
      <w:r w:rsidRPr="00374785">
        <w:tab/>
      </w:r>
      <w:r w:rsidR="007F3C0F">
        <w:t>(ii)</w:t>
      </w:r>
      <w:r w:rsidRPr="00374785">
        <w:tab/>
      </w:r>
      <w:r w:rsidR="006A0D68" w:rsidRPr="00374785">
        <w:t xml:space="preserve">a </w:t>
      </w:r>
      <w:r w:rsidR="00E25FEB" w:rsidRPr="00374785">
        <w:t xml:space="preserve">pixel resolution </w:t>
      </w:r>
      <w:r w:rsidR="00E96AD5" w:rsidRPr="00374785">
        <w:t>of</w:t>
      </w:r>
      <w:r w:rsidR="00E25FEB" w:rsidRPr="00374785">
        <w:t xml:space="preserve"> 2.5 metres</w:t>
      </w:r>
      <w:r w:rsidR="00E96AD5" w:rsidRPr="00374785">
        <w:t xml:space="preserve"> or better</w:t>
      </w:r>
      <w:r w:rsidR="00E25FEB" w:rsidRPr="00374785">
        <w:t xml:space="preserve"> so that individual trees can be differentiated; and  </w:t>
      </w:r>
    </w:p>
    <w:p w:rsidR="00E25FEB" w:rsidRPr="00374785" w:rsidRDefault="00D94DD0" w:rsidP="00D94DD0">
      <w:pPr>
        <w:pStyle w:val="tSubpara"/>
      </w:pPr>
      <w:r w:rsidRPr="00374785">
        <w:tab/>
      </w:r>
      <w:r w:rsidR="007F3C0F">
        <w:t>(iii)</w:t>
      </w:r>
      <w:r w:rsidRPr="00374785">
        <w:tab/>
      </w:r>
      <w:r w:rsidR="00E25FEB" w:rsidRPr="00374785">
        <w:t xml:space="preserve">plots established at each intended plot location </w:t>
      </w:r>
      <w:r w:rsidR="008B1DDA" w:rsidRPr="00374785">
        <w:t>specified in subsection (</w:t>
      </w:r>
      <w:r w:rsidR="005D31F8" w:rsidRPr="00374785">
        <w:t>2</w:t>
      </w:r>
      <w:r w:rsidR="00FB4439" w:rsidRPr="00374785">
        <w:t>)</w:t>
      </w:r>
      <w:r w:rsidRPr="00374785">
        <w:t>;</w:t>
      </w:r>
      <w:r w:rsidR="00EE1F0C" w:rsidRPr="00374785">
        <w:t xml:space="preserve"> and</w:t>
      </w:r>
    </w:p>
    <w:p w:rsidR="00D94DD0" w:rsidRPr="00374785" w:rsidRDefault="00D94DD0" w:rsidP="00D94DD0">
      <w:pPr>
        <w:pStyle w:val="tPara"/>
      </w:pPr>
      <w:r w:rsidRPr="00374785">
        <w:tab/>
      </w:r>
      <w:r w:rsidR="007F3C0F">
        <w:t>(b)</w:t>
      </w:r>
      <w:r w:rsidRPr="00374785">
        <w:tab/>
        <w:t>each living tree and shrub in the plot must be counted; and</w:t>
      </w:r>
    </w:p>
    <w:p w:rsidR="0002042B" w:rsidRPr="00374785" w:rsidRDefault="0002042B" w:rsidP="0002042B">
      <w:pPr>
        <w:pStyle w:val="tPara"/>
      </w:pPr>
      <w:r w:rsidRPr="00374785">
        <w:tab/>
      </w:r>
      <w:r w:rsidR="007F3C0F">
        <w:t>(c)</w:t>
      </w:r>
      <w:r w:rsidRPr="00374785">
        <w:tab/>
        <w:t xml:space="preserve"> </w:t>
      </w:r>
      <w:r w:rsidR="003D3C29" w:rsidRPr="00374785">
        <w:t xml:space="preserve">the </w:t>
      </w:r>
      <w:r w:rsidRPr="00374785">
        <w:t>stocking density for the carbon estimation area must be calculated using the calculations specified in Subdivision 3.</w:t>
      </w:r>
      <w:r w:rsidR="00AB395D" w:rsidRPr="00374785">
        <w:t>6</w:t>
      </w:r>
      <w:r w:rsidRPr="00374785">
        <w:t>.1.</w:t>
      </w:r>
    </w:p>
    <w:p w:rsidR="0080786C" w:rsidRPr="00374785" w:rsidRDefault="007F3C0F" w:rsidP="0080786C">
      <w:pPr>
        <w:pStyle w:val="h5Section"/>
      </w:pPr>
      <w:bookmarkStart w:id="41" w:name="_Toc397681585"/>
      <w:r>
        <w:t>3.24</w:t>
      </w:r>
      <w:r w:rsidR="0080786C" w:rsidRPr="00374785">
        <w:tab/>
      </w:r>
      <w:r w:rsidR="00F06B58" w:rsidRPr="00374785">
        <w:t>Estimating t</w:t>
      </w:r>
      <w:r w:rsidR="0080786C" w:rsidRPr="00374785">
        <w:t>ree proportion</w:t>
      </w:r>
      <w:bookmarkEnd w:id="41"/>
      <w:r w:rsidR="0080786C" w:rsidRPr="00374785">
        <w:t xml:space="preserve"> </w:t>
      </w:r>
    </w:p>
    <w:p w:rsidR="00245843" w:rsidRPr="00374785" w:rsidRDefault="00245843" w:rsidP="00245843">
      <w:pPr>
        <w:pStyle w:val="notePara"/>
      </w:pPr>
      <w:r w:rsidRPr="00374785">
        <w:tab/>
      </w:r>
      <w:r w:rsidRPr="00374785">
        <w:rPr>
          <w:b/>
          <w:i/>
        </w:rPr>
        <w:t>Note</w:t>
      </w:r>
      <w:r w:rsidRPr="00374785">
        <w:tab/>
      </w:r>
      <w:r w:rsidR="00B90D0D" w:rsidRPr="00374785">
        <w:t>For reasons of efficiency, it is likely that the method applied to estimate tree proportion under this section would be the same kind as that used to estimate stocking density under section 3.23.</w:t>
      </w:r>
    </w:p>
    <w:p w:rsidR="0080786C" w:rsidRPr="00374785" w:rsidRDefault="0080786C" w:rsidP="0080786C">
      <w:pPr>
        <w:pStyle w:val="tMain"/>
      </w:pPr>
      <w:r w:rsidRPr="00374785">
        <w:tab/>
      </w:r>
      <w:r w:rsidR="007F3C0F">
        <w:t>(1)</w:t>
      </w:r>
      <w:r w:rsidRPr="00374785">
        <w:tab/>
      </w:r>
      <w:r w:rsidR="008B1DDA" w:rsidRPr="00374785">
        <w:t xml:space="preserve">Tree proportion </w:t>
      </w:r>
      <w:r w:rsidRPr="00374785">
        <w:t>for a carbon estimation area may be estimated by:</w:t>
      </w:r>
    </w:p>
    <w:p w:rsidR="0080786C" w:rsidRPr="00374785" w:rsidRDefault="0080786C" w:rsidP="0080786C">
      <w:pPr>
        <w:pStyle w:val="tPara"/>
      </w:pPr>
      <w:r w:rsidRPr="00374785">
        <w:tab/>
      </w:r>
      <w:r w:rsidR="007F3C0F">
        <w:t>(a)</w:t>
      </w:r>
      <w:r w:rsidRPr="00374785">
        <w:tab/>
        <w:t xml:space="preserve">counting </w:t>
      </w:r>
      <w:r w:rsidR="006338C3" w:rsidRPr="00374785">
        <w:t>every</w:t>
      </w:r>
      <w:r w:rsidRPr="00374785">
        <w:t xml:space="preserve"> tree and shrub, and </w:t>
      </w:r>
      <w:r w:rsidR="006338C3" w:rsidRPr="00374785">
        <w:t>calculati</w:t>
      </w:r>
      <w:r w:rsidR="00444C98" w:rsidRPr="00374785">
        <w:t>ng the ratio</w:t>
      </w:r>
      <w:r w:rsidRPr="00374785">
        <w:t>; or</w:t>
      </w:r>
    </w:p>
    <w:p w:rsidR="0080786C" w:rsidRPr="00374785" w:rsidRDefault="0080786C" w:rsidP="0080786C">
      <w:pPr>
        <w:pStyle w:val="tPara"/>
      </w:pPr>
      <w:r w:rsidRPr="00374785">
        <w:tab/>
      </w:r>
      <w:r w:rsidR="007F3C0F">
        <w:t>(b)</w:t>
      </w:r>
      <w:r w:rsidRPr="00374785">
        <w:tab/>
        <w:t>systematic random sampling in accordance with subsection (</w:t>
      </w:r>
      <w:r w:rsidR="00444C98" w:rsidRPr="00374785">
        <w:t>3</w:t>
      </w:r>
      <w:r w:rsidRPr="00374785">
        <w:t>).</w:t>
      </w:r>
    </w:p>
    <w:p w:rsidR="0080786C" w:rsidRPr="00374785" w:rsidRDefault="0080786C" w:rsidP="00444C98">
      <w:pPr>
        <w:pStyle w:val="tMain"/>
      </w:pPr>
      <w:r w:rsidRPr="00374785">
        <w:tab/>
      </w:r>
      <w:r w:rsidR="007F3C0F">
        <w:t>(2)</w:t>
      </w:r>
      <w:r w:rsidRPr="00374785">
        <w:tab/>
      </w:r>
      <w:r w:rsidR="00444C98" w:rsidRPr="00374785">
        <w:t>If systematic random sampling is used to estimate tree proportion, intended plot locations must be selected in accordance with section 3.</w:t>
      </w:r>
      <w:r w:rsidR="00FC3667" w:rsidRPr="00374785">
        <w:t>27</w:t>
      </w:r>
      <w:r w:rsidRPr="00374785">
        <w:t>.</w:t>
      </w:r>
    </w:p>
    <w:p w:rsidR="00BD1DA3" w:rsidRPr="00374785" w:rsidRDefault="00BD1DA3" w:rsidP="00BD1DA3">
      <w:pPr>
        <w:pStyle w:val="tMain"/>
      </w:pPr>
      <w:r w:rsidRPr="00374785">
        <w:lastRenderedPageBreak/>
        <w:tab/>
      </w:r>
      <w:r w:rsidR="007F3C0F">
        <w:t>(3)</w:t>
      </w:r>
      <w:r w:rsidRPr="00374785">
        <w:tab/>
        <w:t>To estimate tree proportion:</w:t>
      </w:r>
    </w:p>
    <w:p w:rsidR="00BD1DA3" w:rsidRPr="00374785" w:rsidRDefault="00BD1DA3" w:rsidP="00BD1DA3">
      <w:pPr>
        <w:pStyle w:val="tPara"/>
      </w:pPr>
      <w:r w:rsidRPr="00374785">
        <w:tab/>
      </w:r>
      <w:r w:rsidR="007F3C0F">
        <w:t>(a)</w:t>
      </w:r>
      <w:r w:rsidRPr="00374785">
        <w:tab/>
        <w:t xml:space="preserve">plots must be established within the carbon estimation area at intended plot locations; </w:t>
      </w:r>
    </w:p>
    <w:p w:rsidR="003D51D3" w:rsidRPr="00374785" w:rsidRDefault="00BD1DA3" w:rsidP="003D51D3">
      <w:pPr>
        <w:pStyle w:val="tPara"/>
      </w:pPr>
      <w:r w:rsidRPr="00374785">
        <w:tab/>
      </w:r>
      <w:r w:rsidR="007F3C0F">
        <w:t>(b)</w:t>
      </w:r>
      <w:r w:rsidRPr="00374785">
        <w:tab/>
        <w:t>each living tree and shrub in th</w:t>
      </w:r>
      <w:r w:rsidR="003D51D3" w:rsidRPr="00374785">
        <w:t>e plot must be counted; and</w:t>
      </w:r>
    </w:p>
    <w:p w:rsidR="00467E27" w:rsidRPr="00374785" w:rsidRDefault="00467E27" w:rsidP="00467E27">
      <w:pPr>
        <w:pStyle w:val="tPara"/>
      </w:pPr>
      <w:r w:rsidRPr="00374785">
        <w:tab/>
      </w:r>
      <w:r w:rsidR="007F3C0F">
        <w:t>(c)</w:t>
      </w:r>
      <w:r w:rsidR="00EE1F0C" w:rsidRPr="00374785">
        <w:tab/>
      </w:r>
      <w:r w:rsidR="003D3C29" w:rsidRPr="00374785">
        <w:t>the</w:t>
      </w:r>
      <w:r w:rsidRPr="00374785">
        <w:t xml:space="preserve"> </w:t>
      </w:r>
      <w:r w:rsidR="00B90D0D" w:rsidRPr="00374785">
        <w:t>tree proportion</w:t>
      </w:r>
      <w:r w:rsidRPr="00374785">
        <w:t xml:space="preserve"> for the carbon estimation area must be calculated using the calculations specified in Subdivision 3.</w:t>
      </w:r>
      <w:r w:rsidR="00AB395D" w:rsidRPr="00374785">
        <w:t>6</w:t>
      </w:r>
      <w:r w:rsidRPr="00374785">
        <w:t>.2.</w:t>
      </w:r>
    </w:p>
    <w:p w:rsidR="00E25FEB" w:rsidRPr="00374785" w:rsidRDefault="007F3C0F" w:rsidP="00E25FEB">
      <w:pPr>
        <w:pStyle w:val="h5Section"/>
      </w:pPr>
      <w:bookmarkStart w:id="42" w:name="_Toc397681586"/>
      <w:r>
        <w:t>3.25</w:t>
      </w:r>
      <w:r w:rsidR="00E25FEB" w:rsidRPr="00374785">
        <w:tab/>
      </w:r>
      <w:r w:rsidR="000F01C5" w:rsidRPr="00374785">
        <w:t xml:space="preserve">Number of plots and </w:t>
      </w:r>
      <w:r w:rsidR="00E25FEB" w:rsidRPr="00374785">
        <w:t>probable limits of error</w:t>
      </w:r>
      <w:bookmarkEnd w:id="42"/>
    </w:p>
    <w:p w:rsidR="00B7240F" w:rsidRPr="00374785" w:rsidRDefault="00E25FEB" w:rsidP="00E25FEB">
      <w:pPr>
        <w:pStyle w:val="tMain"/>
      </w:pPr>
      <w:r w:rsidRPr="00374785">
        <w:tab/>
      </w:r>
      <w:r w:rsidR="007F3C0F">
        <w:t>(1)</w:t>
      </w:r>
      <w:r w:rsidRPr="00374785">
        <w:tab/>
      </w:r>
      <w:r w:rsidR="00B7240F" w:rsidRPr="00374785">
        <w:t>Subject to subsection (2), if a project proponent undertakes</w:t>
      </w:r>
      <w:r w:rsidR="00FC3667" w:rsidRPr="00374785">
        <w:t xml:space="preserve"> systematic random</w:t>
      </w:r>
      <w:r w:rsidR="00B7240F" w:rsidRPr="00374785">
        <w:t xml:space="preserve"> sampling in a carbon estimation area, the</w:t>
      </w:r>
      <w:r w:rsidRPr="00374785">
        <w:t xml:space="preserve"> project proponent must establish and analyse a minimum of </w:t>
      </w:r>
      <w:r w:rsidR="000F01C5" w:rsidRPr="00374785">
        <w:t>10</w:t>
      </w:r>
      <w:r w:rsidRPr="00374785">
        <w:t xml:space="preserve"> plots in each </w:t>
      </w:r>
      <w:r w:rsidR="00B7240F" w:rsidRPr="00374785">
        <w:t>carbon estimation area.</w:t>
      </w:r>
    </w:p>
    <w:p w:rsidR="00B7240F" w:rsidRPr="00374785" w:rsidRDefault="00B7240F" w:rsidP="00B7240F">
      <w:pPr>
        <w:pStyle w:val="tMain"/>
      </w:pPr>
      <w:r w:rsidRPr="00374785">
        <w:tab/>
      </w:r>
      <w:r w:rsidR="007F3C0F">
        <w:t>(2)</w:t>
      </w:r>
      <w:r w:rsidRPr="00374785">
        <w:tab/>
        <w:t xml:space="preserve">The project proponent must establish and analyse </w:t>
      </w:r>
      <w:r w:rsidR="004E6CCC" w:rsidRPr="00374785">
        <w:t>an</w:t>
      </w:r>
      <w:r w:rsidRPr="00374785">
        <w:t xml:space="preserve"> additional number of </w:t>
      </w:r>
      <w:r w:rsidR="00E25FEB" w:rsidRPr="00374785">
        <w:t>plots</w:t>
      </w:r>
      <w:r w:rsidRPr="00374785">
        <w:t xml:space="preserve"> </w:t>
      </w:r>
      <w:r w:rsidR="00327A08" w:rsidRPr="00374785">
        <w:t xml:space="preserve">estimated </w:t>
      </w:r>
      <w:r w:rsidR="00E25FEB" w:rsidRPr="00374785">
        <w:t xml:space="preserve">to achieve </w:t>
      </w:r>
      <w:r w:rsidR="00B90D0D" w:rsidRPr="00374785">
        <w:t xml:space="preserve">a target probable limit of error at the </w:t>
      </w:r>
      <w:r w:rsidR="00B90D0D" w:rsidRPr="00374785">
        <w:rPr>
          <w:i/>
        </w:rPr>
        <w:t>P</w:t>
      </w:r>
      <w:r w:rsidR="00B90D0D" w:rsidRPr="00374785">
        <w:t>=0.05 level.</w:t>
      </w:r>
    </w:p>
    <w:p w:rsidR="00394696" w:rsidRPr="00374785" w:rsidRDefault="007F3C0F" w:rsidP="00862BAE">
      <w:pPr>
        <w:pStyle w:val="h5Section"/>
      </w:pPr>
      <w:bookmarkStart w:id="43" w:name="_Toc397681587"/>
      <w:r>
        <w:t>3.26</w:t>
      </w:r>
      <w:r w:rsidR="00862BAE" w:rsidRPr="00374785">
        <w:tab/>
      </w:r>
      <w:r w:rsidR="00394696" w:rsidRPr="00374785">
        <w:t>Determining values for stocking density and tree proportion</w:t>
      </w:r>
      <w:bookmarkEnd w:id="43"/>
    </w:p>
    <w:p w:rsidR="004E6CCC" w:rsidRPr="00374785" w:rsidRDefault="004E6CCC" w:rsidP="004E6CCC">
      <w:pPr>
        <w:pStyle w:val="h6Subsec"/>
      </w:pPr>
      <w:r w:rsidRPr="00374785">
        <w:t>For stocking density</w:t>
      </w:r>
    </w:p>
    <w:p w:rsidR="004709E7" w:rsidRPr="00374785" w:rsidRDefault="004709E7" w:rsidP="004709E7">
      <w:pPr>
        <w:pStyle w:val="tMain"/>
      </w:pPr>
      <w:r w:rsidRPr="00374785">
        <w:tab/>
      </w:r>
      <w:r w:rsidR="007F3C0F">
        <w:t>(1)</w:t>
      </w:r>
      <w:r w:rsidRPr="00374785">
        <w:tab/>
      </w:r>
      <w:r w:rsidR="00E25FEB" w:rsidRPr="00374785">
        <w:t xml:space="preserve">If the probable limit of error </w:t>
      </w:r>
      <w:r w:rsidR="00C24812" w:rsidRPr="00374785">
        <w:t xml:space="preserve">for stocking density </w:t>
      </w:r>
      <w:r w:rsidR="00E25FEB" w:rsidRPr="00374785">
        <w:t xml:space="preserve">at the </w:t>
      </w:r>
      <w:r w:rsidR="00B90D0D" w:rsidRPr="00374785">
        <w:rPr>
          <w:i/>
        </w:rPr>
        <w:t>P</w:t>
      </w:r>
      <w:r w:rsidR="00B90D0D" w:rsidRPr="00374785">
        <w:t>=0.05 level of</w:t>
      </w:r>
      <w:r w:rsidR="00E25FEB" w:rsidRPr="00374785">
        <w:t xml:space="preserve"> significance</w:t>
      </w:r>
      <w:r w:rsidR="00C24812" w:rsidRPr="00374785">
        <w:t xml:space="preserve"> </w:t>
      </w:r>
      <w:r w:rsidR="00AF0A99" w:rsidRPr="00374785">
        <w:t>is</w:t>
      </w:r>
      <w:r w:rsidRPr="00374785">
        <w:t>:</w:t>
      </w:r>
    </w:p>
    <w:p w:rsidR="00E25FEB" w:rsidRPr="00374785" w:rsidRDefault="00327A08" w:rsidP="00C24812">
      <w:pPr>
        <w:pStyle w:val="tPara"/>
      </w:pPr>
      <w:r w:rsidRPr="00374785">
        <w:tab/>
      </w:r>
      <w:r w:rsidR="007F3C0F">
        <w:t>(a)</w:t>
      </w:r>
      <w:r w:rsidRPr="00374785">
        <w:tab/>
      </w:r>
      <w:r w:rsidR="004709E7" w:rsidRPr="00374785">
        <w:t>equal to or less than</w:t>
      </w:r>
      <w:r w:rsidR="00E25FEB" w:rsidRPr="00374785">
        <w:t xml:space="preserve"> 10%</w:t>
      </w:r>
      <w:r w:rsidR="00C24812" w:rsidRPr="00374785">
        <w:t>—</w:t>
      </w:r>
      <w:r w:rsidR="00E25FEB" w:rsidRPr="00374785">
        <w:t>the</w:t>
      </w:r>
      <w:r w:rsidR="00394696" w:rsidRPr="00374785">
        <w:t>n</w:t>
      </w:r>
      <w:r w:rsidR="00C24812" w:rsidRPr="00374785">
        <w:t xml:space="preserve"> </w:t>
      </w:r>
      <w:r w:rsidR="00BA1B75" w:rsidRPr="00374785">
        <w:t>the</w:t>
      </w:r>
      <w:r w:rsidR="00E25FEB" w:rsidRPr="00374785">
        <w:t xml:space="preserve"> stocking density </w:t>
      </w:r>
      <w:r w:rsidR="00BA1B75" w:rsidRPr="00374785">
        <w:t xml:space="preserve">for the </w:t>
      </w:r>
      <w:r w:rsidR="00E25FEB" w:rsidRPr="00374785">
        <w:t>carbon estimation area may be taken to be equal to the</w:t>
      </w:r>
      <w:r w:rsidR="00C24812" w:rsidRPr="00374785">
        <w:t xml:space="preserve"> </w:t>
      </w:r>
      <w:r w:rsidR="00E25FEB" w:rsidRPr="00374785">
        <w:t xml:space="preserve">mean </w:t>
      </w:r>
      <w:r w:rsidR="00C24812" w:rsidRPr="00374785">
        <w:t xml:space="preserve">as calculated </w:t>
      </w:r>
      <w:r w:rsidR="00196D4E" w:rsidRPr="00374785">
        <w:t>by</w:t>
      </w:r>
      <w:r w:rsidR="00C24812" w:rsidRPr="00374785">
        <w:t xml:space="preserve"> </w:t>
      </w:r>
      <w:r w:rsidR="00E25FEB" w:rsidRPr="00374785">
        <w:t>Equation 2</w:t>
      </w:r>
      <w:r w:rsidR="00196D4E" w:rsidRPr="00374785">
        <w:t xml:space="preserve"> in section 3.3</w:t>
      </w:r>
      <w:r w:rsidR="00AB395D" w:rsidRPr="00374785">
        <w:t>3</w:t>
      </w:r>
      <w:r w:rsidR="004709E7" w:rsidRPr="00374785">
        <w:t>;</w:t>
      </w:r>
      <w:r w:rsidR="00C24812" w:rsidRPr="00374785">
        <w:t xml:space="preserve"> </w:t>
      </w:r>
    </w:p>
    <w:p w:rsidR="00E25FEB" w:rsidRPr="00374785" w:rsidRDefault="00327A08" w:rsidP="00327A08">
      <w:pPr>
        <w:pStyle w:val="tPara"/>
      </w:pPr>
      <w:r w:rsidRPr="00374785">
        <w:tab/>
      </w:r>
      <w:r w:rsidR="007F3C0F">
        <w:t>(b)</w:t>
      </w:r>
      <w:r w:rsidRPr="00374785">
        <w:tab/>
      </w:r>
      <w:r w:rsidR="002575CF" w:rsidRPr="00374785">
        <w:t xml:space="preserve">greater than 10% and </w:t>
      </w:r>
      <w:r w:rsidR="00BA1B75" w:rsidRPr="00374785">
        <w:t>equal to or less than 50%—then</w:t>
      </w:r>
      <w:r w:rsidR="00E25FEB" w:rsidRPr="00374785">
        <w:t xml:space="preserve"> </w:t>
      </w:r>
      <w:r w:rsidR="00BA1B75" w:rsidRPr="00374785">
        <w:t xml:space="preserve">the stocking density for </w:t>
      </w:r>
      <w:r w:rsidR="00196D4E" w:rsidRPr="00374785">
        <w:t xml:space="preserve">the </w:t>
      </w:r>
      <w:r w:rsidR="00E25FEB" w:rsidRPr="00374785">
        <w:t>carbon estimation area may be taken to be equal to the</w:t>
      </w:r>
      <w:r w:rsidR="00701323" w:rsidRPr="00374785">
        <w:t xml:space="preserve"> </w:t>
      </w:r>
      <w:r w:rsidR="00E25FEB" w:rsidRPr="00374785">
        <w:t xml:space="preserve">lower confidence limit </w:t>
      </w:r>
      <w:r w:rsidR="00196D4E" w:rsidRPr="00374785">
        <w:t>as calculated by Equation 5 in section 3.3</w:t>
      </w:r>
      <w:r w:rsidR="00AB395D" w:rsidRPr="00374785">
        <w:t>6</w:t>
      </w:r>
      <w:r w:rsidR="004709E7" w:rsidRPr="00374785">
        <w:t>; or</w:t>
      </w:r>
    </w:p>
    <w:p w:rsidR="0002042B" w:rsidRPr="00374785" w:rsidRDefault="00327A08" w:rsidP="00327A08">
      <w:pPr>
        <w:pStyle w:val="tPara"/>
      </w:pPr>
      <w:r w:rsidRPr="00374785">
        <w:tab/>
      </w:r>
      <w:r w:rsidR="007F3C0F">
        <w:t>(c)</w:t>
      </w:r>
      <w:r w:rsidRPr="00374785">
        <w:tab/>
      </w:r>
      <w:r w:rsidR="0002042B" w:rsidRPr="00374785">
        <w:t>greater than 50%—then:</w:t>
      </w:r>
    </w:p>
    <w:p w:rsidR="0002042B" w:rsidRPr="00374785" w:rsidRDefault="0002042B" w:rsidP="0002042B">
      <w:pPr>
        <w:pStyle w:val="tSubpara"/>
      </w:pPr>
      <w:r w:rsidRPr="00374785">
        <w:tab/>
      </w:r>
      <w:r w:rsidR="007F3C0F">
        <w:t>(i)</w:t>
      </w:r>
      <w:r w:rsidRPr="00374785">
        <w:tab/>
      </w:r>
      <w:r w:rsidR="00196D4E" w:rsidRPr="00374785">
        <w:t xml:space="preserve">the </w:t>
      </w:r>
      <w:r w:rsidR="00E25FEB" w:rsidRPr="00374785">
        <w:t>sampling process must be repeated with an additional grid</w:t>
      </w:r>
      <w:r w:rsidRPr="00374785">
        <w:t xml:space="preserve"> overl</w:t>
      </w:r>
      <w:r w:rsidR="00AF0A99" w:rsidRPr="00374785">
        <w:t>a</w:t>
      </w:r>
      <w:r w:rsidRPr="00374785">
        <w:t xml:space="preserve">y as specified in </w:t>
      </w:r>
      <w:r w:rsidR="00AB395D" w:rsidRPr="00374785">
        <w:t>section 3.27</w:t>
      </w:r>
      <w:r w:rsidRPr="00374785">
        <w:t>; or</w:t>
      </w:r>
    </w:p>
    <w:p w:rsidR="00E25FEB" w:rsidRPr="00374785" w:rsidRDefault="0002042B" w:rsidP="0002042B">
      <w:pPr>
        <w:pStyle w:val="tSubpara"/>
      </w:pPr>
      <w:r w:rsidRPr="00374785">
        <w:tab/>
      </w:r>
      <w:r w:rsidR="007F3C0F">
        <w:t>(ii)</w:t>
      </w:r>
      <w:r w:rsidRPr="00374785">
        <w:tab/>
      </w:r>
      <w:r w:rsidR="00196D4E" w:rsidRPr="00374785">
        <w:t xml:space="preserve">the </w:t>
      </w:r>
      <w:r w:rsidR="00E25FEB" w:rsidRPr="00374785">
        <w:t>default</w:t>
      </w:r>
      <w:r w:rsidR="00196D4E" w:rsidRPr="00374785">
        <w:t xml:space="preserve"> stocking density for the </w:t>
      </w:r>
      <w:r w:rsidR="000B3BCF" w:rsidRPr="00374785">
        <w:t>planting as specified in section 3.</w:t>
      </w:r>
      <w:r w:rsidR="00AB395D" w:rsidRPr="00374785">
        <w:t>18</w:t>
      </w:r>
      <w:r w:rsidR="000B3BCF" w:rsidRPr="00374785">
        <w:t xml:space="preserve"> or section 3.</w:t>
      </w:r>
      <w:r w:rsidR="00AB395D" w:rsidRPr="00374785">
        <w:t>19</w:t>
      </w:r>
      <w:r w:rsidR="000B3BCF" w:rsidRPr="00374785">
        <w:t xml:space="preserve"> must be used</w:t>
      </w:r>
      <w:r w:rsidR="00E25FEB" w:rsidRPr="00374785">
        <w:t>.</w:t>
      </w:r>
    </w:p>
    <w:p w:rsidR="004E6CCC" w:rsidRPr="00374785" w:rsidRDefault="004E6CCC" w:rsidP="004E6CCC">
      <w:pPr>
        <w:pStyle w:val="h6Subsec"/>
      </w:pPr>
      <w:r w:rsidRPr="00374785">
        <w:t xml:space="preserve">For tree proportion </w:t>
      </w:r>
    </w:p>
    <w:p w:rsidR="000B3BCF" w:rsidRPr="00374785" w:rsidRDefault="000B3BCF" w:rsidP="000B3BCF">
      <w:pPr>
        <w:pStyle w:val="tMain"/>
      </w:pPr>
      <w:r w:rsidRPr="00374785">
        <w:tab/>
      </w:r>
      <w:r w:rsidR="007F3C0F">
        <w:t>(2)</w:t>
      </w:r>
      <w:r w:rsidRPr="00374785">
        <w:tab/>
        <w:t xml:space="preserve">If the probable limit of error for tree proportion at the </w:t>
      </w:r>
      <w:r w:rsidR="00B90D0D" w:rsidRPr="00374785">
        <w:rPr>
          <w:i/>
        </w:rPr>
        <w:t>P</w:t>
      </w:r>
      <w:r w:rsidR="00B90D0D" w:rsidRPr="00374785">
        <w:t>=0.05 level of significance</w:t>
      </w:r>
      <w:r w:rsidRPr="00374785">
        <w:t xml:space="preserve"> </w:t>
      </w:r>
      <w:r w:rsidR="00AF0A99" w:rsidRPr="00374785">
        <w:t>is</w:t>
      </w:r>
      <w:r w:rsidRPr="00374785">
        <w:t>:</w:t>
      </w:r>
    </w:p>
    <w:p w:rsidR="000B3BCF" w:rsidRPr="00374785" w:rsidRDefault="000B3BCF" w:rsidP="000B3BCF">
      <w:pPr>
        <w:pStyle w:val="tPara"/>
      </w:pPr>
      <w:r w:rsidRPr="00374785">
        <w:tab/>
      </w:r>
      <w:r w:rsidR="007F3C0F">
        <w:t>(a)</w:t>
      </w:r>
      <w:r w:rsidRPr="00374785">
        <w:tab/>
        <w:t xml:space="preserve">equal to or less than 10%—then the tree proportion for the carbon estimation area may be taken to be equal to the mean as calculated by Equation </w:t>
      </w:r>
      <w:r w:rsidR="00701323" w:rsidRPr="00374785">
        <w:t>7</w:t>
      </w:r>
      <w:r w:rsidRPr="00374785">
        <w:t xml:space="preserve"> in section 3.</w:t>
      </w:r>
      <w:r w:rsidR="00825049" w:rsidRPr="00374785">
        <w:t>38</w:t>
      </w:r>
      <w:r w:rsidRPr="00374785">
        <w:t xml:space="preserve">; </w:t>
      </w:r>
    </w:p>
    <w:p w:rsidR="000B3BCF" w:rsidRPr="00374785" w:rsidRDefault="000B3BCF" w:rsidP="000B3BCF">
      <w:pPr>
        <w:pStyle w:val="tPara"/>
      </w:pPr>
      <w:r w:rsidRPr="00374785">
        <w:tab/>
      </w:r>
      <w:r w:rsidR="007F3C0F">
        <w:t>(b)</w:t>
      </w:r>
      <w:r w:rsidRPr="00374785">
        <w:tab/>
      </w:r>
      <w:r w:rsidR="002575CF" w:rsidRPr="00374785">
        <w:t xml:space="preserve">greater than 10% and </w:t>
      </w:r>
      <w:r w:rsidRPr="00374785">
        <w:t xml:space="preserve">equal to or less than 50%—then the tree proportion for the carbon estimation area may be taken to be equal to the lower confidence limit as calculated by Equation </w:t>
      </w:r>
      <w:r w:rsidR="00701323" w:rsidRPr="00374785">
        <w:t>10</w:t>
      </w:r>
      <w:r w:rsidRPr="00374785">
        <w:t xml:space="preserve"> in section 3.</w:t>
      </w:r>
      <w:r w:rsidR="00825049" w:rsidRPr="00374785">
        <w:t>41</w:t>
      </w:r>
      <w:r w:rsidRPr="00374785">
        <w:t>; or</w:t>
      </w:r>
    </w:p>
    <w:p w:rsidR="000B3BCF" w:rsidRPr="00374785" w:rsidRDefault="000B3BCF" w:rsidP="000B3BCF">
      <w:pPr>
        <w:pStyle w:val="tPara"/>
      </w:pPr>
      <w:r w:rsidRPr="00374785">
        <w:tab/>
      </w:r>
      <w:r w:rsidR="007F3C0F">
        <w:t>(c)</w:t>
      </w:r>
      <w:r w:rsidRPr="00374785">
        <w:tab/>
        <w:t>greater than 50%—then:</w:t>
      </w:r>
    </w:p>
    <w:p w:rsidR="000B3BCF" w:rsidRPr="00374785" w:rsidRDefault="000B3BCF" w:rsidP="000B3BCF">
      <w:pPr>
        <w:pStyle w:val="tSubpara"/>
      </w:pPr>
      <w:r w:rsidRPr="00374785">
        <w:tab/>
      </w:r>
      <w:r w:rsidR="007F3C0F">
        <w:t>(i)</w:t>
      </w:r>
      <w:r w:rsidRPr="00374785">
        <w:tab/>
        <w:t>the sampling process must be repeated with an additional grid overl</w:t>
      </w:r>
      <w:r w:rsidR="00C40437" w:rsidRPr="00374785">
        <w:t>a</w:t>
      </w:r>
      <w:r w:rsidRPr="00374785">
        <w:t>y as specified in section 3.</w:t>
      </w:r>
      <w:r w:rsidR="00825049" w:rsidRPr="00374785">
        <w:t>27</w:t>
      </w:r>
      <w:r w:rsidRPr="00374785">
        <w:t>; or</w:t>
      </w:r>
    </w:p>
    <w:p w:rsidR="000B3BCF" w:rsidRPr="00374785" w:rsidRDefault="000B3BCF" w:rsidP="000B3BCF">
      <w:pPr>
        <w:pStyle w:val="tSubpara"/>
      </w:pPr>
      <w:r w:rsidRPr="00374785">
        <w:lastRenderedPageBreak/>
        <w:tab/>
      </w:r>
      <w:r w:rsidR="007F3C0F">
        <w:t>(ii)</w:t>
      </w:r>
      <w:r w:rsidRPr="00374785">
        <w:tab/>
        <w:t>the applicable default tree proportion for the planting as specified in section 3.</w:t>
      </w:r>
      <w:r w:rsidR="00825049" w:rsidRPr="00374785">
        <w:t>18</w:t>
      </w:r>
      <w:r w:rsidRPr="00374785">
        <w:t xml:space="preserve"> or section 3.</w:t>
      </w:r>
      <w:r w:rsidR="00825049" w:rsidRPr="00374785">
        <w:t>19</w:t>
      </w:r>
      <w:r w:rsidRPr="00374785">
        <w:t xml:space="preserve"> must be used.</w:t>
      </w:r>
    </w:p>
    <w:p w:rsidR="00E25FEB" w:rsidRPr="00374785" w:rsidRDefault="007F3C0F" w:rsidP="00E25FEB">
      <w:pPr>
        <w:pStyle w:val="h5Section"/>
      </w:pPr>
      <w:bookmarkStart w:id="44" w:name="_Toc397681588"/>
      <w:r>
        <w:t>3.27</w:t>
      </w:r>
      <w:r w:rsidR="00E25FEB" w:rsidRPr="00374785">
        <w:tab/>
        <w:t>Establishing a grid overlay</w:t>
      </w:r>
      <w:bookmarkEnd w:id="44"/>
    </w:p>
    <w:p w:rsidR="00E25FEB" w:rsidRPr="00374785" w:rsidRDefault="00E25FEB" w:rsidP="00E25FEB">
      <w:pPr>
        <w:pStyle w:val="tMain"/>
      </w:pPr>
      <w:r w:rsidRPr="00374785">
        <w:tab/>
      </w:r>
      <w:r w:rsidR="007F3C0F">
        <w:t>(1)</w:t>
      </w:r>
      <w:r w:rsidRPr="00374785">
        <w:tab/>
        <w:t xml:space="preserve">If a project proponent </w:t>
      </w:r>
      <w:r w:rsidR="00AF0A99" w:rsidRPr="00374785">
        <w:t xml:space="preserve">samples </w:t>
      </w:r>
      <w:r w:rsidRPr="00374785">
        <w:t xml:space="preserve">in </w:t>
      </w:r>
      <w:r w:rsidR="00C40437" w:rsidRPr="00374785">
        <w:t>accordance with section 3.23 or 3.24</w:t>
      </w:r>
      <w:r w:rsidRPr="00374785">
        <w:t>, a grid overlay must be established in accordance with this section.</w:t>
      </w:r>
    </w:p>
    <w:p w:rsidR="00E25FEB" w:rsidRPr="00374785" w:rsidRDefault="00E25FEB" w:rsidP="00E25FEB">
      <w:pPr>
        <w:pStyle w:val="tMain"/>
      </w:pPr>
      <w:r w:rsidRPr="00374785">
        <w:tab/>
      </w:r>
      <w:r w:rsidR="007F3C0F">
        <w:t>(2)</w:t>
      </w:r>
      <w:r w:rsidRPr="00374785">
        <w:tab/>
        <w:t xml:space="preserve">The grid must consist </w:t>
      </w:r>
      <w:r w:rsidRPr="00374785">
        <w:rPr>
          <w:color w:val="000000" w:themeColor="text1"/>
        </w:rPr>
        <w:t>of</w:t>
      </w:r>
      <w:r w:rsidRPr="00374785">
        <w:t xml:space="preserve"> square cells.</w:t>
      </w:r>
    </w:p>
    <w:p w:rsidR="00E25FEB" w:rsidRPr="00374785" w:rsidRDefault="00E25FEB" w:rsidP="00E25FEB">
      <w:pPr>
        <w:pStyle w:val="tMain"/>
      </w:pPr>
      <w:r w:rsidRPr="00374785">
        <w:tab/>
      </w:r>
      <w:r w:rsidR="007F3C0F">
        <w:t>(3)</w:t>
      </w:r>
      <w:r w:rsidRPr="00374785">
        <w:tab/>
        <w:t xml:space="preserve">There must be at least 10 grid intersects within each </w:t>
      </w:r>
      <w:r w:rsidR="0089576B" w:rsidRPr="00374785">
        <w:t xml:space="preserve">carbon estimation </w:t>
      </w:r>
      <w:r w:rsidRPr="00374785">
        <w:t>area</w:t>
      </w:r>
      <w:r w:rsidR="003612C4" w:rsidRPr="00374785">
        <w:t xml:space="preserve"> being sampled</w:t>
      </w:r>
      <w:r w:rsidRPr="00374785">
        <w:t>.</w:t>
      </w:r>
    </w:p>
    <w:p w:rsidR="00991451" w:rsidRPr="00374785" w:rsidRDefault="00E25FEB" w:rsidP="00E25FEB">
      <w:pPr>
        <w:pStyle w:val="tMain"/>
      </w:pPr>
      <w:r w:rsidRPr="00374785">
        <w:tab/>
      </w:r>
      <w:r w:rsidR="007F3C0F">
        <w:t>(4)</w:t>
      </w:r>
      <w:r w:rsidRPr="00374785">
        <w:tab/>
      </w:r>
      <w:r w:rsidR="0074463D" w:rsidRPr="00374785">
        <w:t>Subject to subsection 5, a</w:t>
      </w:r>
      <w:r w:rsidRPr="00374785">
        <w:t xml:space="preserve">n anchor point for the grid must be </w:t>
      </w:r>
      <w:r w:rsidR="0074463D" w:rsidRPr="00374785">
        <w:t>e</w:t>
      </w:r>
      <w:r w:rsidR="005F2F60" w:rsidRPr="00374785">
        <w:t>stablished</w:t>
      </w:r>
      <w:r w:rsidR="00991451" w:rsidRPr="00374785">
        <w:t xml:space="preserve"> </w:t>
      </w:r>
      <w:r w:rsidRPr="00374785">
        <w:t>by</w:t>
      </w:r>
      <w:r w:rsidR="00991451" w:rsidRPr="00374785">
        <w:t>:</w:t>
      </w:r>
    </w:p>
    <w:p w:rsidR="00991451" w:rsidRPr="00374785" w:rsidRDefault="0074463D" w:rsidP="0074463D">
      <w:pPr>
        <w:pStyle w:val="tPara"/>
      </w:pPr>
      <w:r w:rsidRPr="00374785">
        <w:tab/>
      </w:r>
      <w:r w:rsidR="007F3C0F">
        <w:t>(a)</w:t>
      </w:r>
      <w:r w:rsidRPr="00374785">
        <w:tab/>
      </w:r>
      <w:r w:rsidR="00991451" w:rsidRPr="00374785">
        <w:t xml:space="preserve">adopting an anchor point as determined by the requirements of </w:t>
      </w:r>
      <w:r w:rsidRPr="00374785">
        <w:t>a</w:t>
      </w:r>
      <w:r w:rsidR="002A55DB" w:rsidRPr="00374785">
        <w:t>nother</w:t>
      </w:r>
      <w:r w:rsidRPr="00374785">
        <w:t xml:space="preserve"> </w:t>
      </w:r>
      <w:r w:rsidR="00991451" w:rsidRPr="00374785">
        <w:t>CFI methodology determination; or</w:t>
      </w:r>
    </w:p>
    <w:p w:rsidR="00E25FEB" w:rsidRPr="00374785" w:rsidRDefault="0074463D" w:rsidP="0074463D">
      <w:pPr>
        <w:pStyle w:val="tPara"/>
      </w:pPr>
      <w:r w:rsidRPr="00374785">
        <w:tab/>
      </w:r>
      <w:r w:rsidR="007F3C0F">
        <w:t>(b)</w:t>
      </w:r>
      <w:r w:rsidRPr="00374785">
        <w:tab/>
      </w:r>
      <w:r w:rsidR="00E25FEB" w:rsidRPr="00374785">
        <w:t xml:space="preserve">randomly selecting easting and northing </w:t>
      </w:r>
      <w:r w:rsidR="00943D6D" w:rsidRPr="00374785">
        <w:t xml:space="preserve">coordinates </w:t>
      </w:r>
      <w:r w:rsidR="00E25FEB" w:rsidRPr="00374785">
        <w:t xml:space="preserve">within the ranges of easting and northing coordinates for the </w:t>
      </w:r>
      <w:r w:rsidR="00F142CF" w:rsidRPr="00374785">
        <w:t>project</w:t>
      </w:r>
      <w:r w:rsidR="00E25FEB" w:rsidRPr="00374785">
        <w:t xml:space="preserve"> area.</w:t>
      </w:r>
    </w:p>
    <w:p w:rsidR="0074463D" w:rsidRPr="00374785" w:rsidRDefault="0074463D" w:rsidP="0074463D">
      <w:pPr>
        <w:pStyle w:val="notePara"/>
      </w:pPr>
      <w:r w:rsidRPr="00374785">
        <w:tab/>
      </w:r>
      <w:r w:rsidRPr="00374785">
        <w:rPr>
          <w:b/>
          <w:i/>
        </w:rPr>
        <w:t>Note</w:t>
      </w:r>
      <w:r w:rsidRPr="00374785">
        <w:tab/>
        <w:t xml:space="preserve">A project may require more than </w:t>
      </w:r>
      <w:r w:rsidR="00943D6D" w:rsidRPr="00374785">
        <w:t xml:space="preserve">one </w:t>
      </w:r>
      <w:r w:rsidRPr="00374785">
        <w:t xml:space="preserve">grid anchor point to be established. </w:t>
      </w:r>
    </w:p>
    <w:p w:rsidR="00E25FEB" w:rsidRPr="00374785" w:rsidRDefault="00E25FEB" w:rsidP="00E25FEB">
      <w:pPr>
        <w:pStyle w:val="tMain"/>
      </w:pPr>
      <w:r w:rsidRPr="00374785">
        <w:tab/>
      </w:r>
      <w:r w:rsidR="007F3C0F">
        <w:t>(5)</w:t>
      </w:r>
      <w:r w:rsidRPr="00374785">
        <w:tab/>
        <w:t>The easting and northing coordinates referred to in subsection (4) must be from the Map Grid of Australia, known as MGA94, or any Australian standard that replaces MGA94.</w:t>
      </w:r>
    </w:p>
    <w:p w:rsidR="00E25FEB" w:rsidRPr="00374785" w:rsidRDefault="00E25FEB" w:rsidP="00E25FEB">
      <w:pPr>
        <w:pStyle w:val="tMain"/>
      </w:pPr>
      <w:r w:rsidRPr="00374785">
        <w:tab/>
      </w:r>
      <w:r w:rsidR="007F3C0F">
        <w:t>(6)</w:t>
      </w:r>
      <w:r w:rsidRPr="00374785">
        <w:tab/>
        <w:t xml:space="preserve">The orientation of </w:t>
      </w:r>
      <w:r w:rsidR="0014464D" w:rsidRPr="00374785">
        <w:t xml:space="preserve">one axis of </w:t>
      </w:r>
      <w:r w:rsidRPr="00374785">
        <w:t xml:space="preserve">the grid must be </w:t>
      </w:r>
      <w:r w:rsidR="0014464D" w:rsidRPr="00374785">
        <w:t xml:space="preserve">along an azimuth </w:t>
      </w:r>
      <w:r w:rsidRPr="00374785">
        <w:t xml:space="preserve">determined by randomly selecting </w:t>
      </w:r>
      <w:r w:rsidR="00C46782" w:rsidRPr="00374785">
        <w:t xml:space="preserve">a whole number </w:t>
      </w:r>
      <w:r w:rsidRPr="00374785">
        <w:t xml:space="preserve">angle </w:t>
      </w:r>
      <w:r w:rsidR="00100792" w:rsidRPr="00374785">
        <w:t>within the range of</w:t>
      </w:r>
      <w:r w:rsidRPr="00374785">
        <w:t xml:space="preserve"> zero and 89 degrees</w:t>
      </w:r>
      <w:r w:rsidR="002A2243" w:rsidRPr="00374785">
        <w:t xml:space="preserve"> inclusive</w:t>
      </w:r>
      <w:r w:rsidR="0014464D" w:rsidRPr="00374785">
        <w:t>, where zero</w:t>
      </w:r>
      <w:r w:rsidR="00943D6D" w:rsidRPr="00374785">
        <w:t xml:space="preserve"> degrees</w:t>
      </w:r>
      <w:r w:rsidR="0014464D" w:rsidRPr="00374785">
        <w:t xml:space="preserve"> is true north</w:t>
      </w:r>
      <w:r w:rsidRPr="00374785">
        <w:t>.</w:t>
      </w:r>
    </w:p>
    <w:p w:rsidR="00E25FEB" w:rsidRPr="00374785" w:rsidRDefault="00E25FEB" w:rsidP="00E25FEB">
      <w:pPr>
        <w:pStyle w:val="tMain"/>
      </w:pPr>
      <w:r w:rsidRPr="00374785">
        <w:tab/>
      </w:r>
      <w:r w:rsidR="007F3C0F">
        <w:t>(7)</w:t>
      </w:r>
      <w:r w:rsidRPr="00374785">
        <w:tab/>
        <w:t>Each grid intersect must be assigned a unique identifier.</w:t>
      </w:r>
    </w:p>
    <w:p w:rsidR="00E25FEB" w:rsidRPr="00374785" w:rsidRDefault="00E25FEB" w:rsidP="00E25FEB">
      <w:pPr>
        <w:pStyle w:val="tMain"/>
      </w:pPr>
      <w:r w:rsidRPr="00374785">
        <w:tab/>
      </w:r>
      <w:r w:rsidR="007F3C0F">
        <w:t>(8)</w:t>
      </w:r>
      <w:r w:rsidRPr="00374785">
        <w:tab/>
        <w:t>Actual plot locations must be located within 10 metres of each intended plot location.</w:t>
      </w:r>
    </w:p>
    <w:p w:rsidR="00E25FEB" w:rsidRPr="00374785" w:rsidRDefault="007F3C0F" w:rsidP="00E25FEB">
      <w:pPr>
        <w:pStyle w:val="h5Section"/>
      </w:pPr>
      <w:bookmarkStart w:id="45" w:name="_Toc397681589"/>
      <w:r>
        <w:t>3.28</w:t>
      </w:r>
      <w:r w:rsidR="00E25FEB" w:rsidRPr="00374785">
        <w:tab/>
        <w:t>Plot shapes—general</w:t>
      </w:r>
      <w:bookmarkEnd w:id="45"/>
    </w:p>
    <w:p w:rsidR="00E25FEB" w:rsidRPr="00374785" w:rsidRDefault="00E25FEB" w:rsidP="00E25FEB">
      <w:pPr>
        <w:pStyle w:val="tMain"/>
      </w:pPr>
      <w:r w:rsidRPr="00374785">
        <w:tab/>
      </w:r>
      <w:r w:rsidR="007F3C0F">
        <w:t>(1)</w:t>
      </w:r>
      <w:r w:rsidRPr="00374785">
        <w:tab/>
        <w:t>Plots must have:</w:t>
      </w:r>
    </w:p>
    <w:p w:rsidR="00E25FEB" w:rsidRPr="00374785" w:rsidRDefault="00E25FEB" w:rsidP="00E25FEB">
      <w:pPr>
        <w:pStyle w:val="tPara"/>
      </w:pPr>
      <w:r w:rsidRPr="00374785">
        <w:tab/>
      </w:r>
      <w:r w:rsidR="007F3C0F">
        <w:t>(a)</w:t>
      </w:r>
      <w:r w:rsidRPr="00374785">
        <w:tab/>
        <w:t>a fixed orthogonal area; and</w:t>
      </w:r>
    </w:p>
    <w:p w:rsidR="00E25FEB" w:rsidRPr="00374785" w:rsidRDefault="00E25FEB" w:rsidP="00E25FEB">
      <w:pPr>
        <w:pStyle w:val="tPara"/>
      </w:pPr>
      <w:r w:rsidRPr="00374785">
        <w:tab/>
      </w:r>
      <w:r w:rsidR="007F3C0F">
        <w:t>(b)</w:t>
      </w:r>
      <w:r w:rsidRPr="00374785">
        <w:tab/>
        <w:t>a minimum size of 0.01</w:t>
      </w:r>
      <w:r w:rsidR="00885EB7" w:rsidRPr="00374785">
        <w:t> </w:t>
      </w:r>
      <w:r w:rsidRPr="00374785">
        <w:t>ha.</w:t>
      </w:r>
    </w:p>
    <w:p w:rsidR="00E25FEB" w:rsidRPr="00374785" w:rsidRDefault="00E25FEB" w:rsidP="00E25FEB">
      <w:pPr>
        <w:pStyle w:val="tMain"/>
      </w:pPr>
      <w:r w:rsidRPr="00374785">
        <w:tab/>
      </w:r>
      <w:r w:rsidR="007F3C0F">
        <w:t>(2)</w:t>
      </w:r>
      <w:r w:rsidRPr="00374785">
        <w:tab/>
        <w:t>All plots in a carbon estimation area must have the same shape.</w:t>
      </w:r>
    </w:p>
    <w:p w:rsidR="00E25FEB" w:rsidRPr="00374785" w:rsidRDefault="00E25FEB" w:rsidP="00E25FEB">
      <w:pPr>
        <w:pStyle w:val="tMain"/>
      </w:pPr>
      <w:r w:rsidRPr="00374785">
        <w:tab/>
        <w:t>(3)</w:t>
      </w:r>
      <w:r w:rsidRPr="00374785">
        <w:tab/>
        <w:t>In this section:</w:t>
      </w:r>
    </w:p>
    <w:p w:rsidR="00E25FEB" w:rsidRPr="00374785" w:rsidRDefault="00E25FEB" w:rsidP="00E25FEB">
      <w:pPr>
        <w:pStyle w:val="tMain"/>
      </w:pPr>
      <w:r w:rsidRPr="00374785">
        <w:tab/>
      </w:r>
      <w:r w:rsidRPr="00374785">
        <w:tab/>
      </w:r>
      <w:r w:rsidRPr="00374785">
        <w:rPr>
          <w:b/>
          <w:i/>
        </w:rPr>
        <w:t>orthogonal area</w:t>
      </w:r>
      <w:r w:rsidRPr="00374785">
        <w:t xml:space="preserve"> means the area in a horizontal plane, not a sloping plane. Any measurements of length (e.g. the length of the side of a rectangular plot) must be the horizontal distance, not the slope distance.</w:t>
      </w:r>
    </w:p>
    <w:p w:rsidR="00E25FEB" w:rsidRPr="00374785" w:rsidRDefault="007F3C0F" w:rsidP="00E25FEB">
      <w:pPr>
        <w:pStyle w:val="h5Section"/>
      </w:pPr>
      <w:bookmarkStart w:id="46" w:name="_Toc397681590"/>
      <w:r>
        <w:t>3.29</w:t>
      </w:r>
      <w:r w:rsidR="00E25FEB" w:rsidRPr="00374785">
        <w:tab/>
        <w:t>Plot shapes—block plantings</w:t>
      </w:r>
      <w:bookmarkEnd w:id="46"/>
    </w:p>
    <w:p w:rsidR="00E25FEB" w:rsidRPr="00374785" w:rsidRDefault="00E25FEB" w:rsidP="00E25FEB">
      <w:pPr>
        <w:pStyle w:val="tMain"/>
      </w:pPr>
      <w:r w:rsidRPr="00374785">
        <w:tab/>
      </w:r>
      <w:r w:rsidR="007F3C0F">
        <w:t>(1)</w:t>
      </w:r>
      <w:r w:rsidRPr="00374785">
        <w:tab/>
        <w:t>If a carbon estimation area contains one or more block plantings, the plots must be either circular or rectangular.</w:t>
      </w:r>
    </w:p>
    <w:p w:rsidR="00E25FEB" w:rsidRPr="00374785" w:rsidRDefault="00E25FEB" w:rsidP="00E25FEB">
      <w:pPr>
        <w:pStyle w:val="h6Subsec"/>
      </w:pPr>
      <w:r w:rsidRPr="00374785">
        <w:t>Circular plots</w:t>
      </w:r>
    </w:p>
    <w:p w:rsidR="00E25FEB" w:rsidRPr="00374785" w:rsidRDefault="00E25FEB" w:rsidP="00E25FEB">
      <w:pPr>
        <w:pStyle w:val="tMain"/>
      </w:pPr>
      <w:r w:rsidRPr="00374785">
        <w:tab/>
      </w:r>
      <w:r w:rsidR="007F3C0F">
        <w:t>(2)</w:t>
      </w:r>
      <w:r w:rsidRPr="00374785">
        <w:tab/>
        <w:t>A circular plot must be established so that:</w:t>
      </w:r>
    </w:p>
    <w:p w:rsidR="00E25FEB" w:rsidRPr="00374785" w:rsidRDefault="00E25FEB" w:rsidP="00E25FEB">
      <w:pPr>
        <w:pStyle w:val="tPara"/>
      </w:pPr>
      <w:r w:rsidRPr="00374785">
        <w:lastRenderedPageBreak/>
        <w:tab/>
      </w:r>
      <w:r w:rsidR="007F3C0F">
        <w:t>(a)</w:t>
      </w:r>
      <w:r w:rsidRPr="00374785">
        <w:tab/>
        <w:t>the centre of the circular plot is the actual plot location; and</w:t>
      </w:r>
    </w:p>
    <w:p w:rsidR="00E25FEB" w:rsidRPr="00374785" w:rsidRDefault="00E25FEB" w:rsidP="00E25FEB">
      <w:pPr>
        <w:pStyle w:val="tPara"/>
      </w:pPr>
      <w:r w:rsidRPr="00374785">
        <w:tab/>
      </w:r>
      <w:r w:rsidR="007F3C0F">
        <w:t>(b)</w:t>
      </w:r>
      <w:r w:rsidRPr="00374785">
        <w:tab/>
        <w:t>the boundary of the circular plot is defined by the circumference.</w:t>
      </w:r>
    </w:p>
    <w:p w:rsidR="00E25FEB" w:rsidRPr="00374785" w:rsidRDefault="00E25FEB" w:rsidP="00E25FEB">
      <w:pPr>
        <w:pStyle w:val="h6Subsec"/>
      </w:pPr>
      <w:r w:rsidRPr="00374785">
        <w:t>Rectangular plots</w:t>
      </w:r>
    </w:p>
    <w:p w:rsidR="00E25FEB" w:rsidRPr="00374785" w:rsidRDefault="00E25FEB" w:rsidP="00E25FEB">
      <w:pPr>
        <w:pStyle w:val="tMain"/>
      </w:pPr>
      <w:r w:rsidRPr="00374785">
        <w:tab/>
      </w:r>
      <w:r w:rsidR="007F3C0F">
        <w:t>(3)</w:t>
      </w:r>
      <w:r w:rsidRPr="00374785">
        <w:tab/>
        <w:t xml:space="preserve">A rectangular plot must be established so that the actual plot location </w:t>
      </w:r>
      <w:r w:rsidR="002A2243" w:rsidRPr="00374785">
        <w:t xml:space="preserve">is </w:t>
      </w:r>
      <w:r w:rsidR="00B05F4F" w:rsidRPr="00374785">
        <w:t>sited</w:t>
      </w:r>
      <w:r w:rsidR="002A2243" w:rsidRPr="00374785">
        <w:t xml:space="preserve"> at the</w:t>
      </w:r>
      <w:r w:rsidRPr="00374785">
        <w:t xml:space="preserve"> same relative position in each rectangular plot in the carbon estimation area.</w:t>
      </w:r>
    </w:p>
    <w:p w:rsidR="00E25FEB" w:rsidRPr="00374785" w:rsidRDefault="00E25FEB" w:rsidP="00127901">
      <w:pPr>
        <w:pStyle w:val="tMain"/>
        <w:keepNext/>
      </w:pPr>
      <w:r w:rsidRPr="00374785">
        <w:tab/>
      </w:r>
      <w:r w:rsidR="007F3C0F">
        <w:t>(4)</w:t>
      </w:r>
      <w:r w:rsidRPr="00374785">
        <w:tab/>
        <w:t>In this section:</w:t>
      </w:r>
    </w:p>
    <w:p w:rsidR="00E25FEB" w:rsidRPr="00374785" w:rsidRDefault="00E25FEB" w:rsidP="00127901">
      <w:pPr>
        <w:pStyle w:val="tDefn"/>
        <w:keepNext/>
      </w:pPr>
      <w:r w:rsidRPr="00374785">
        <w:rPr>
          <w:b/>
          <w:i/>
        </w:rPr>
        <w:t>relative position</w:t>
      </w:r>
      <w:r w:rsidRPr="00374785">
        <w:t xml:space="preserve"> means the most north-westerly, north-easterly, south-easterly or south-westerly corner of a rectangular plot.</w:t>
      </w:r>
    </w:p>
    <w:p w:rsidR="00E25FEB" w:rsidRPr="00374785" w:rsidRDefault="007F3C0F" w:rsidP="00E25FEB">
      <w:pPr>
        <w:pStyle w:val="h5Section"/>
      </w:pPr>
      <w:bookmarkStart w:id="47" w:name="_Toc397681591"/>
      <w:r>
        <w:t>3.30</w:t>
      </w:r>
      <w:r w:rsidR="00E25FEB" w:rsidRPr="00374785">
        <w:tab/>
        <w:t>Plot shapes—linear plantings</w:t>
      </w:r>
      <w:bookmarkEnd w:id="47"/>
    </w:p>
    <w:p w:rsidR="00E25FEB" w:rsidRPr="00374785" w:rsidRDefault="00E25FEB" w:rsidP="00E25FEB">
      <w:pPr>
        <w:pStyle w:val="tMain"/>
      </w:pPr>
      <w:r w:rsidRPr="00374785">
        <w:tab/>
      </w:r>
      <w:r w:rsidR="007F3C0F">
        <w:t>(1)</w:t>
      </w:r>
      <w:r w:rsidRPr="00374785">
        <w:tab/>
        <w:t>If the carbon estimation area contains a narrow or wide linear planting, the plots must be established in accordance with this section.</w:t>
      </w:r>
    </w:p>
    <w:p w:rsidR="00E25FEB" w:rsidRPr="00374785" w:rsidRDefault="00E25FEB" w:rsidP="00E25FEB">
      <w:pPr>
        <w:pStyle w:val="tMain"/>
      </w:pPr>
      <w:r w:rsidRPr="00374785">
        <w:tab/>
      </w:r>
      <w:r w:rsidR="007F3C0F">
        <w:t>(2)</w:t>
      </w:r>
      <w:r w:rsidRPr="00374785">
        <w:tab/>
        <w:t>The plots must have a rectangular shape.</w:t>
      </w:r>
    </w:p>
    <w:p w:rsidR="00E25FEB" w:rsidRPr="00374785" w:rsidRDefault="00E25FEB" w:rsidP="00E25FEB">
      <w:pPr>
        <w:pStyle w:val="tMain"/>
      </w:pPr>
      <w:r w:rsidRPr="00374785">
        <w:tab/>
      </w:r>
      <w:r w:rsidR="007F3C0F">
        <w:t>(3)</w:t>
      </w:r>
      <w:r w:rsidRPr="00374785">
        <w:tab/>
        <w:t xml:space="preserve">The centre line of the plot must: </w:t>
      </w:r>
    </w:p>
    <w:p w:rsidR="00E25FEB" w:rsidRPr="00374785" w:rsidRDefault="00E25FEB" w:rsidP="00E25FEB">
      <w:pPr>
        <w:pStyle w:val="tPara"/>
      </w:pPr>
      <w:r w:rsidRPr="00374785">
        <w:tab/>
      </w:r>
      <w:r w:rsidR="007F3C0F">
        <w:t>(a)</w:t>
      </w:r>
      <w:r w:rsidRPr="00374785">
        <w:tab/>
        <w:t xml:space="preserve">be perpendicular to the </w:t>
      </w:r>
      <w:r w:rsidR="002A2243" w:rsidRPr="00374785">
        <w:t>long axis of the planting</w:t>
      </w:r>
      <w:r w:rsidRPr="00374785">
        <w:t>; and</w:t>
      </w:r>
    </w:p>
    <w:p w:rsidR="00E25FEB" w:rsidRPr="00374785" w:rsidRDefault="00E25FEB" w:rsidP="00E25FEB">
      <w:pPr>
        <w:pStyle w:val="tPara"/>
      </w:pPr>
      <w:r w:rsidRPr="00374785">
        <w:tab/>
      </w:r>
      <w:r w:rsidR="007F3C0F">
        <w:t>(b)</w:t>
      </w:r>
      <w:r w:rsidRPr="00374785">
        <w:tab/>
        <w:t>pass through the actual plot location.</w:t>
      </w:r>
    </w:p>
    <w:p w:rsidR="00E25FEB" w:rsidRPr="00374785" w:rsidRDefault="00E25FEB" w:rsidP="00E25FEB">
      <w:pPr>
        <w:pStyle w:val="tMain"/>
      </w:pPr>
      <w:r w:rsidRPr="00374785">
        <w:tab/>
      </w:r>
      <w:r w:rsidR="007F3C0F">
        <w:t>(4)</w:t>
      </w:r>
      <w:r w:rsidRPr="00374785">
        <w:tab/>
        <w:t>The centre line between the boundaries of the carbon estimation area must be used to measure the plot width.</w:t>
      </w:r>
    </w:p>
    <w:p w:rsidR="00E25FEB" w:rsidRPr="00374785" w:rsidRDefault="00E25FEB" w:rsidP="00E25FEB">
      <w:pPr>
        <w:pStyle w:val="tMain"/>
      </w:pPr>
      <w:r w:rsidRPr="00374785">
        <w:tab/>
      </w:r>
      <w:r w:rsidR="007F3C0F">
        <w:t>(5)</w:t>
      </w:r>
      <w:r w:rsidRPr="00374785">
        <w:tab/>
        <w:t xml:space="preserve">The distance between the 2 ends of the plot must be determined by: </w:t>
      </w:r>
    </w:p>
    <w:p w:rsidR="00E25FEB" w:rsidRPr="00374785" w:rsidRDefault="00E25FEB" w:rsidP="00E25FEB">
      <w:pPr>
        <w:pStyle w:val="tPara"/>
      </w:pPr>
      <w:r w:rsidRPr="00374785">
        <w:tab/>
      </w:r>
      <w:r w:rsidR="007F3C0F">
        <w:t>(a)</w:t>
      </w:r>
      <w:r w:rsidRPr="00374785">
        <w:tab/>
        <w:t>dividing the plot area (square metres) by plot width (metres); and</w:t>
      </w:r>
    </w:p>
    <w:p w:rsidR="00E25FEB" w:rsidRPr="00374785" w:rsidRDefault="00E25FEB" w:rsidP="00E25FEB">
      <w:pPr>
        <w:pStyle w:val="tPara"/>
      </w:pPr>
      <w:r w:rsidRPr="00374785">
        <w:tab/>
      </w:r>
      <w:r w:rsidR="007F3C0F">
        <w:t>(b)</w:t>
      </w:r>
      <w:r w:rsidRPr="00374785">
        <w:tab/>
        <w:t>establishing the lines dividing the 2 ends of the plot parallel to and equidistant from the centre line.</w:t>
      </w:r>
    </w:p>
    <w:p w:rsidR="00E25FEB" w:rsidRPr="00374785" w:rsidRDefault="007F3C0F" w:rsidP="00E25FEB">
      <w:pPr>
        <w:pStyle w:val="h5Section"/>
      </w:pPr>
      <w:bookmarkStart w:id="48" w:name="_Toc397681592"/>
      <w:r>
        <w:t>3.31</w:t>
      </w:r>
      <w:r w:rsidR="00E25FEB" w:rsidRPr="00374785">
        <w:tab/>
        <w:t>Plots extending beyond carbon estimation area</w:t>
      </w:r>
      <w:bookmarkEnd w:id="48"/>
      <w:r w:rsidR="00E25FEB" w:rsidRPr="00374785">
        <w:t xml:space="preserve"> </w:t>
      </w:r>
    </w:p>
    <w:p w:rsidR="00E25FEB" w:rsidRPr="00374785" w:rsidRDefault="00D01BE7" w:rsidP="00D01BE7">
      <w:pPr>
        <w:pStyle w:val="tMain"/>
      </w:pPr>
      <w:r w:rsidRPr="00374785">
        <w:tab/>
      </w:r>
      <w:r w:rsidR="007F3C0F">
        <w:t>(1)</w:t>
      </w:r>
      <w:r w:rsidRPr="00374785">
        <w:tab/>
        <w:t>Subject to subsection 2, i</w:t>
      </w:r>
      <w:r w:rsidR="00E25FEB" w:rsidRPr="00374785">
        <w:t xml:space="preserve">f a plot extends beyond the boundaries of a carbon estimation area, only trees and shrubs </w:t>
      </w:r>
      <w:r w:rsidR="00900627" w:rsidRPr="00374785">
        <w:t>in</w:t>
      </w:r>
      <w:r w:rsidR="00E25FEB" w:rsidRPr="00374785">
        <w:t xml:space="preserve"> the </w:t>
      </w:r>
      <w:r w:rsidR="007032AA" w:rsidRPr="00374785">
        <w:t xml:space="preserve">plot that are also within the carbon estimation </w:t>
      </w:r>
      <w:r w:rsidR="00E25FEB" w:rsidRPr="00374785">
        <w:t>area boundar</w:t>
      </w:r>
      <w:r w:rsidR="007032AA" w:rsidRPr="00374785">
        <w:t>y</w:t>
      </w:r>
      <w:r w:rsidR="00E25FEB" w:rsidRPr="00374785">
        <w:t xml:space="preserve"> </w:t>
      </w:r>
      <w:r w:rsidR="005D31F8" w:rsidRPr="00374785">
        <w:t>are permitted to</w:t>
      </w:r>
      <w:r w:rsidR="00E25FEB" w:rsidRPr="00374785">
        <w:t xml:space="preserve"> be counted.</w:t>
      </w:r>
    </w:p>
    <w:p w:rsidR="00D01BE7" w:rsidRPr="00374785" w:rsidRDefault="00D01BE7" w:rsidP="00D01BE7">
      <w:pPr>
        <w:pStyle w:val="notePara"/>
      </w:pPr>
      <w:r w:rsidRPr="00374785">
        <w:tab/>
      </w:r>
      <w:r w:rsidRPr="00374785">
        <w:rPr>
          <w:b/>
          <w:i/>
        </w:rPr>
        <w:t>Note</w:t>
      </w:r>
      <w:r w:rsidRPr="00374785">
        <w:tab/>
        <w:t xml:space="preserve">For plots that extend beyond a carbon estimation area’s boundary, only trees and shrubs within the CEA are counted, but for calculation purposes the area of the plot is taken to be the same as for other plots in that CEA. </w:t>
      </w:r>
    </w:p>
    <w:p w:rsidR="007032AA" w:rsidRPr="00374785" w:rsidRDefault="007032AA" w:rsidP="007032AA">
      <w:pPr>
        <w:pStyle w:val="tMain"/>
      </w:pPr>
      <w:r w:rsidRPr="00374785">
        <w:tab/>
      </w:r>
      <w:r w:rsidR="007F3C0F">
        <w:t>(2)</w:t>
      </w:r>
      <w:r w:rsidRPr="00374785">
        <w:tab/>
        <w:t xml:space="preserve">If the plot has been established in accordance with </w:t>
      </w:r>
      <w:r w:rsidR="002A55DB" w:rsidRPr="00374785">
        <w:t>another</w:t>
      </w:r>
      <w:r w:rsidRPr="00374785">
        <w:t xml:space="preserve"> CFI methodology determination, the rules pertaining to the treatment of a plot crossing the boundary of a carbon estimation area or equivalent under that CFI methodology determination may be applied to the treatment of the plot.</w:t>
      </w:r>
    </w:p>
    <w:p w:rsidR="00F94614" w:rsidRPr="00374785" w:rsidRDefault="00F94614" w:rsidP="00F94614">
      <w:pPr>
        <w:pStyle w:val="h3Div"/>
      </w:pPr>
      <w:bookmarkStart w:id="49" w:name="_Toc397681593"/>
      <w:r w:rsidRPr="00374785">
        <w:lastRenderedPageBreak/>
        <w:t xml:space="preserve">Division </w:t>
      </w:r>
      <w:r w:rsidR="007F3C0F">
        <w:t>3.6</w:t>
      </w:r>
      <w:r w:rsidRPr="00374785">
        <w:tab/>
        <w:t>Calculating stocking density and tree proportion</w:t>
      </w:r>
      <w:bookmarkEnd w:id="49"/>
    </w:p>
    <w:p w:rsidR="00F94614" w:rsidRPr="00374785" w:rsidRDefault="00F94614" w:rsidP="00F94614">
      <w:pPr>
        <w:pStyle w:val="h4Subdiv"/>
      </w:pPr>
      <w:bookmarkStart w:id="50" w:name="_Toc397681594"/>
      <w:r w:rsidRPr="00374785">
        <w:t xml:space="preserve">Subdivision </w:t>
      </w:r>
      <w:r w:rsidR="007F3C0F">
        <w:t>3.6.1</w:t>
      </w:r>
      <w:r w:rsidRPr="00374785">
        <w:tab/>
        <w:t>Stocking density</w:t>
      </w:r>
      <w:bookmarkEnd w:id="50"/>
    </w:p>
    <w:p w:rsidR="00F94614" w:rsidRPr="00374785" w:rsidRDefault="007F3C0F" w:rsidP="00F94614">
      <w:pPr>
        <w:pStyle w:val="h5Section"/>
      </w:pPr>
      <w:bookmarkStart w:id="51" w:name="_Toc397681595"/>
      <w:r>
        <w:t>3.32</w:t>
      </w:r>
      <w:r w:rsidR="00F94614" w:rsidRPr="00374785">
        <w:tab/>
        <w:t>Calculating stocking density of a plot</w:t>
      </w:r>
      <w:bookmarkEnd w:id="51"/>
    </w:p>
    <w:p w:rsidR="00F94614" w:rsidRPr="00374785" w:rsidRDefault="00F94614" w:rsidP="00F94614">
      <w:pPr>
        <w:pStyle w:val="tMain"/>
      </w:pPr>
      <w:r w:rsidRPr="00374785">
        <w:tab/>
      </w:r>
      <w:r w:rsidRPr="00374785">
        <w:tab/>
        <w:t>The stocking density of a plot must be calculated using the following formula:</w:t>
      </w:r>
    </w:p>
    <w:p w:rsidR="00F94614" w:rsidRPr="00374785" w:rsidRDefault="00F94614" w:rsidP="00F94614"/>
    <w:tbl>
      <w:tblPr>
        <w:tblStyle w:val="TableGrid"/>
        <w:tblW w:w="0" w:type="auto"/>
        <w:tblInd w:w="964" w:type="dxa"/>
        <w:tblLook w:val="04A0"/>
      </w:tblPr>
      <w:tblGrid>
        <w:gridCol w:w="6374"/>
        <w:gridCol w:w="1904"/>
      </w:tblGrid>
      <w:tr w:rsidR="00F94614" w:rsidRPr="00374785" w:rsidTr="00F94614">
        <w:tc>
          <w:tcPr>
            <w:tcW w:w="6374" w:type="dxa"/>
          </w:tcPr>
          <w:p w:rsidR="00F94614" w:rsidRPr="00374785" w:rsidRDefault="0020376C" w:rsidP="00E41C30">
            <w:pPr>
              <w:pStyle w:val="tMain"/>
              <w:spacing w:before="100" w:line="360" w:lineRule="auto"/>
              <w:ind w:left="0" w:firstLine="0"/>
              <w:rPr>
                <w:color w:val="000000" w:themeColor="text1"/>
              </w:rPr>
            </w:pPr>
            <m:oMathPara>
              <m:oMath>
                <m:sSub>
                  <m:sSubPr>
                    <m:ctrlPr>
                      <w:rPr>
                        <w:rFonts w:ascii="Cambria Math" w:hAnsi="Cambria Math" w:cs="Calibri"/>
                        <w:i/>
                        <w:color w:val="000000" w:themeColor="text1"/>
                        <w:lang w:eastAsia="en-US"/>
                      </w:rPr>
                    </m:ctrlPr>
                  </m:sSubPr>
                  <m:e>
                    <m:r>
                      <w:rPr>
                        <w:rFonts w:ascii="Cambria Math" w:hAnsi="Cambria Math" w:cs="Calibri"/>
                        <w:color w:val="000000" w:themeColor="text1"/>
                        <w:lang w:eastAsia="en-US"/>
                      </w:rPr>
                      <m:t>z</m:t>
                    </m:r>
                  </m:e>
                  <m:sub>
                    <m:r>
                      <w:rPr>
                        <w:rFonts w:ascii="Cambria Math" w:hAnsi="Cambria Math" w:cs="Calibri"/>
                        <w:color w:val="000000" w:themeColor="text1"/>
                        <w:lang w:eastAsia="en-US"/>
                      </w:rPr>
                      <m:t>ij</m:t>
                    </m:r>
                  </m:sub>
                </m:sSub>
                <m:r>
                  <m:rPr>
                    <m:sty m:val="p"/>
                  </m:rPr>
                  <w:rPr>
                    <w:rFonts w:ascii="Cambria Math" w:hAnsi="Cambria Math" w:cs="Calibri"/>
                    <w:color w:val="000000" w:themeColor="text1"/>
                    <w:lang w:eastAsia="en-US"/>
                  </w:rPr>
                  <m:t>=</m:t>
                </m:r>
                <m:f>
                  <m:fPr>
                    <m:ctrlPr>
                      <w:rPr>
                        <w:rFonts w:ascii="Cambria Math" w:hAnsi="Cambria Math" w:cs="Calibri"/>
                        <w:color w:val="000000" w:themeColor="text1"/>
                        <w:lang w:eastAsia="en-US"/>
                      </w:rPr>
                    </m:ctrlPr>
                  </m:fPr>
                  <m:num>
                    <m:sSub>
                      <m:sSubPr>
                        <m:ctrlPr>
                          <w:rPr>
                            <w:rFonts w:ascii="Cambria Math" w:hAnsi="Cambria Math"/>
                            <w:i/>
                            <w:iCs/>
                            <w:color w:val="000000" w:themeColor="text1"/>
                          </w:rPr>
                        </m:ctrlPr>
                      </m:sSubPr>
                      <m:e>
                        <m:r>
                          <w:rPr>
                            <w:rFonts w:ascii="Cambria Math" w:hAnsi="Cambria Math"/>
                            <w:color w:val="000000" w:themeColor="text1"/>
                          </w:rPr>
                          <m:t>S</m:t>
                        </m:r>
                      </m:e>
                      <m:sub>
                        <m:r>
                          <w:rPr>
                            <w:rFonts w:ascii="Cambria Math" w:hAnsi="Cambria Math"/>
                            <w:color w:val="000000" w:themeColor="text1"/>
                          </w:rPr>
                          <m:t>ij</m:t>
                        </m:r>
                      </m:sub>
                    </m:sSub>
                  </m:num>
                  <m:den>
                    <m:sSub>
                      <m:sSubPr>
                        <m:ctrlPr>
                          <w:rPr>
                            <w:rFonts w:ascii="Cambria Math" w:hAnsi="Cambria Math"/>
                            <w:i/>
                            <w:iCs/>
                            <w:color w:val="000000" w:themeColor="text1"/>
                          </w:rPr>
                        </m:ctrlPr>
                      </m:sSubPr>
                      <m:e>
                        <m:r>
                          <w:rPr>
                            <w:rFonts w:ascii="Cambria Math" w:hAnsi="Cambria Math"/>
                            <w:color w:val="000000" w:themeColor="text1"/>
                          </w:rPr>
                          <m:t>a</m:t>
                        </m:r>
                      </m:e>
                      <m:sub>
                        <m:r>
                          <w:rPr>
                            <w:rFonts w:ascii="Cambria Math" w:hAnsi="Cambria Math"/>
                            <w:color w:val="000000" w:themeColor="text1"/>
                          </w:rPr>
                          <m:t>j</m:t>
                        </m:r>
                      </m:sub>
                    </m:sSub>
                  </m:den>
                </m:f>
              </m:oMath>
            </m:oMathPara>
          </w:p>
        </w:tc>
        <w:tc>
          <w:tcPr>
            <w:tcW w:w="1904" w:type="dxa"/>
            <w:vAlign w:val="center"/>
          </w:tcPr>
          <w:p w:rsidR="00F94614" w:rsidRPr="00374785" w:rsidRDefault="00F94614" w:rsidP="00F94614">
            <w:pPr>
              <w:pStyle w:val="tMain"/>
              <w:ind w:left="0" w:firstLine="0"/>
              <w:jc w:val="center"/>
              <w:rPr>
                <w:b/>
                <w:color w:val="000000" w:themeColor="text1"/>
              </w:rPr>
            </w:pPr>
            <w:r w:rsidRPr="00374785">
              <w:rPr>
                <w:b/>
                <w:color w:val="000000" w:themeColor="text1"/>
              </w:rPr>
              <w:t>Equation 1</w:t>
            </w:r>
          </w:p>
        </w:tc>
      </w:tr>
    </w:tbl>
    <w:p w:rsidR="00F94614" w:rsidRPr="00374785" w:rsidRDefault="00F94614" w:rsidP="00F94614">
      <w:pPr>
        <w:pStyle w:val="tMain"/>
        <w:rPr>
          <w:color w:val="000000" w:themeColor="text1"/>
        </w:rPr>
      </w:pPr>
      <w:r w:rsidRPr="00374785">
        <w:rPr>
          <w:color w:val="000000" w:themeColor="text1"/>
        </w:rPr>
        <w:tab/>
      </w:r>
      <w:r w:rsidRPr="00374785">
        <w:rPr>
          <w:color w:val="000000" w:themeColor="text1"/>
        </w:rPr>
        <w:tab/>
        <w:t>Where:</w:t>
      </w:r>
    </w:p>
    <w:tbl>
      <w:tblPr>
        <w:tblStyle w:val="TableGrid"/>
        <w:tblW w:w="0" w:type="auto"/>
        <w:tblInd w:w="964" w:type="dxa"/>
        <w:tblLook w:val="04A0"/>
      </w:tblPr>
      <w:tblGrid>
        <w:gridCol w:w="1696"/>
        <w:gridCol w:w="6582"/>
      </w:tblGrid>
      <w:tr w:rsidR="00F94614" w:rsidRPr="00374785" w:rsidTr="00F94614">
        <w:tc>
          <w:tcPr>
            <w:tcW w:w="1696" w:type="dxa"/>
            <w:vAlign w:val="center"/>
          </w:tcPr>
          <w:p w:rsidR="00F94614" w:rsidRPr="00374785" w:rsidRDefault="0020376C" w:rsidP="00E41C30">
            <w:pPr>
              <w:pStyle w:val="tMain"/>
              <w:ind w:left="0" w:firstLine="0"/>
              <w:jc w:val="right"/>
              <w:rPr>
                <w:color w:val="000000" w:themeColor="text1"/>
              </w:rPr>
            </w:pPr>
            <m:oMath>
              <m:sSub>
                <m:sSubPr>
                  <m:ctrlPr>
                    <w:rPr>
                      <w:rFonts w:ascii="Cambria Math" w:hAnsi="Cambria Math" w:cs="Calibri"/>
                      <w:i/>
                      <w:color w:val="000000" w:themeColor="text1"/>
                      <w:lang w:eastAsia="en-US"/>
                    </w:rPr>
                  </m:ctrlPr>
                </m:sSubPr>
                <m:e>
                  <m:r>
                    <w:rPr>
                      <w:rFonts w:ascii="Cambria Math" w:hAnsi="Cambria Math" w:cs="Calibri"/>
                      <w:color w:val="000000" w:themeColor="text1"/>
                      <w:lang w:eastAsia="en-US"/>
                    </w:rPr>
                    <m:t>z</m:t>
                  </m:r>
                </m:e>
                <m:sub>
                  <m:r>
                    <w:rPr>
                      <w:rFonts w:ascii="Cambria Math" w:hAnsi="Cambria Math" w:cs="Calibri"/>
                      <w:color w:val="000000" w:themeColor="text1"/>
                      <w:lang w:eastAsia="en-US"/>
                    </w:rPr>
                    <m:t>ij</m:t>
                  </m:r>
                </m:sub>
              </m:sSub>
              <m:r>
                <m:rPr>
                  <m:sty m:val="p"/>
                </m:rPr>
                <w:rPr>
                  <w:rFonts w:ascii="Cambria Math" w:hAnsi="Cambria Math"/>
                  <w:color w:val="000000" w:themeColor="text1"/>
                </w:rPr>
                <m:t>=</m:t>
              </m:r>
            </m:oMath>
            <w:r w:rsidR="00F94614" w:rsidRPr="00374785">
              <w:rPr>
                <w:color w:val="000000" w:themeColor="text1"/>
              </w:rPr>
              <w:t xml:space="preserve"> </w:t>
            </w:r>
          </w:p>
        </w:tc>
        <w:tc>
          <w:tcPr>
            <w:tcW w:w="6582" w:type="dxa"/>
          </w:tcPr>
          <w:p w:rsidR="00F94614" w:rsidRPr="00374785" w:rsidRDefault="00F94614" w:rsidP="006672C9">
            <w:pPr>
              <w:pStyle w:val="tMain"/>
              <w:ind w:left="0" w:firstLine="0"/>
              <w:rPr>
                <w:color w:val="000000" w:themeColor="text1"/>
              </w:rPr>
            </w:pPr>
            <w:r w:rsidRPr="00374785">
              <w:rPr>
                <w:color w:val="000000" w:themeColor="text1"/>
              </w:rPr>
              <w:t xml:space="preserve">stocking density (in stems/ha) </w:t>
            </w:r>
            <w:r w:rsidR="00DF4660" w:rsidRPr="00374785">
              <w:rPr>
                <w:color w:val="000000" w:themeColor="text1"/>
              </w:rPr>
              <w:t>of</w:t>
            </w:r>
            <w:r w:rsidRPr="00374785">
              <w:rPr>
                <w:color w:val="000000" w:themeColor="text1"/>
              </w:rPr>
              <w:t xml:space="preserve"> the </w:t>
            </w:r>
            <m:oMath>
              <m:r>
                <w:rPr>
                  <w:rFonts w:ascii="Cambria Math" w:hAnsi="Cambria Math"/>
                  <w:color w:val="000000" w:themeColor="text1"/>
                </w:rPr>
                <m:t>j</m:t>
              </m:r>
            </m:oMath>
            <w:r w:rsidRPr="00374785">
              <w:rPr>
                <w:color w:val="000000" w:themeColor="text1"/>
                <w:vertAlign w:val="superscript"/>
              </w:rPr>
              <w:t>th</w:t>
            </w:r>
            <w:r w:rsidRPr="00374785">
              <w:rPr>
                <w:color w:val="000000" w:themeColor="text1"/>
              </w:rPr>
              <w:t xml:space="preserve"> plot in the </w:t>
            </w:r>
            <w:r w:rsidR="008B7F4F" w:rsidRPr="00374785">
              <w:rPr>
                <w:i/>
              </w:rPr>
              <w:t>i</w:t>
            </w:r>
            <w:r w:rsidR="008B7F4F" w:rsidRPr="00374785">
              <w:rPr>
                <w:vertAlign w:val="superscript"/>
              </w:rPr>
              <w:t>th</w:t>
            </w:r>
            <w:r w:rsidR="008B7F4F" w:rsidRPr="00374785">
              <w:rPr>
                <w:color w:val="000000" w:themeColor="text1"/>
              </w:rPr>
              <w:t xml:space="preserve"> </w:t>
            </w:r>
            <w:r w:rsidRPr="00374785">
              <w:rPr>
                <w:color w:val="000000" w:themeColor="text1"/>
              </w:rPr>
              <w:t>carbon estimation area.</w:t>
            </w:r>
          </w:p>
        </w:tc>
      </w:tr>
      <w:tr w:rsidR="00F94614" w:rsidRPr="00374785" w:rsidTr="00F94614">
        <w:tc>
          <w:tcPr>
            <w:tcW w:w="1696" w:type="dxa"/>
            <w:vAlign w:val="center"/>
          </w:tcPr>
          <w:p w:rsidR="00F94614" w:rsidRPr="00374785" w:rsidRDefault="0020376C" w:rsidP="00E41C30">
            <w:pPr>
              <w:pStyle w:val="tMain"/>
              <w:ind w:left="0" w:firstLine="0"/>
              <w:jc w:val="right"/>
              <w:rPr>
                <w:color w:val="000000" w:themeColor="text1"/>
              </w:rPr>
            </w:pPr>
            <m:oMathPara>
              <m:oMathParaPr>
                <m:jc m:val="right"/>
              </m:oMathParaPr>
              <m:oMath>
                <m:sSub>
                  <m:sSubPr>
                    <m:ctrlPr>
                      <w:rPr>
                        <w:rFonts w:ascii="Cambria Math" w:hAnsi="Cambria Math"/>
                        <w:i/>
                        <w:iCs/>
                        <w:color w:val="000000" w:themeColor="text1"/>
                      </w:rPr>
                    </m:ctrlPr>
                  </m:sSubPr>
                  <m:e>
                    <m:r>
                      <w:rPr>
                        <w:rFonts w:ascii="Cambria Math" w:hAnsi="Cambria Math"/>
                        <w:color w:val="000000" w:themeColor="text1"/>
                      </w:rPr>
                      <m:t>S</m:t>
                    </m:r>
                  </m:e>
                  <m:sub>
                    <m:r>
                      <w:rPr>
                        <w:rFonts w:ascii="Cambria Math" w:hAnsi="Cambria Math"/>
                        <w:color w:val="000000" w:themeColor="text1"/>
                      </w:rPr>
                      <m:t>ij</m:t>
                    </m:r>
                  </m:sub>
                </m:sSub>
                <m:r>
                  <m:rPr>
                    <m:sty m:val="p"/>
                  </m:rPr>
                  <w:rPr>
                    <w:rFonts w:ascii="Cambria Math" w:hAnsi="Cambria Math"/>
                    <w:color w:val="000000" w:themeColor="text1"/>
                  </w:rPr>
                  <m:t>=</m:t>
                </m:r>
              </m:oMath>
            </m:oMathPara>
          </w:p>
        </w:tc>
        <w:tc>
          <w:tcPr>
            <w:tcW w:w="6582" w:type="dxa"/>
          </w:tcPr>
          <w:p w:rsidR="00F94614" w:rsidRPr="00374785" w:rsidRDefault="00F94614" w:rsidP="006672C9">
            <w:pPr>
              <w:pStyle w:val="tMain"/>
              <w:ind w:left="0" w:firstLine="0"/>
              <w:rPr>
                <w:color w:val="000000" w:themeColor="text1"/>
              </w:rPr>
            </w:pPr>
            <w:r w:rsidRPr="00374785">
              <w:rPr>
                <w:color w:val="000000" w:themeColor="text1"/>
              </w:rPr>
              <w:t xml:space="preserve">total number of individual living trees </w:t>
            </w:r>
            <w:r w:rsidR="00890DB9" w:rsidRPr="00374785">
              <w:rPr>
                <w:color w:val="000000" w:themeColor="text1"/>
              </w:rPr>
              <w:t>and</w:t>
            </w:r>
            <w:r w:rsidRPr="00374785">
              <w:rPr>
                <w:color w:val="000000" w:themeColor="text1"/>
              </w:rPr>
              <w:t xml:space="preserve"> shrubs in the </w:t>
            </w:r>
            <m:oMath>
              <m:r>
                <w:rPr>
                  <w:rFonts w:ascii="Cambria Math" w:hAnsi="Cambria Math"/>
                  <w:color w:val="000000" w:themeColor="text1"/>
                </w:rPr>
                <m:t>j</m:t>
              </m:r>
            </m:oMath>
            <w:r w:rsidRPr="00374785">
              <w:rPr>
                <w:color w:val="000000" w:themeColor="text1"/>
                <w:vertAlign w:val="superscript"/>
              </w:rPr>
              <w:t xml:space="preserve">th </w:t>
            </w:r>
            <w:r w:rsidRPr="00374785">
              <w:rPr>
                <w:color w:val="000000" w:themeColor="text1"/>
              </w:rPr>
              <w:t xml:space="preserve">plot in the </w:t>
            </w:r>
            <w:r w:rsidR="008B7F4F" w:rsidRPr="00374785">
              <w:rPr>
                <w:i/>
              </w:rPr>
              <w:t>i</w:t>
            </w:r>
            <w:r w:rsidR="008B7F4F" w:rsidRPr="00374785">
              <w:rPr>
                <w:vertAlign w:val="superscript"/>
              </w:rPr>
              <w:t>th</w:t>
            </w:r>
            <w:r w:rsidR="008B7F4F" w:rsidRPr="00374785">
              <w:rPr>
                <w:color w:val="000000" w:themeColor="text1"/>
              </w:rPr>
              <w:t xml:space="preserve"> </w:t>
            </w:r>
            <w:r w:rsidRPr="00374785">
              <w:rPr>
                <w:color w:val="000000" w:themeColor="text1"/>
              </w:rPr>
              <w:t>carbon estimation area</w:t>
            </w:r>
          </w:p>
        </w:tc>
      </w:tr>
      <w:tr w:rsidR="00F94614" w:rsidRPr="00374785" w:rsidTr="00F94614">
        <w:tc>
          <w:tcPr>
            <w:tcW w:w="1696" w:type="dxa"/>
            <w:vAlign w:val="center"/>
          </w:tcPr>
          <w:p w:rsidR="00F94614" w:rsidRPr="00374785" w:rsidRDefault="0020376C" w:rsidP="00F94614">
            <w:pPr>
              <w:pStyle w:val="tMain"/>
              <w:ind w:left="0" w:firstLine="0"/>
              <w:jc w:val="right"/>
              <w:rPr>
                <w:color w:val="000000" w:themeColor="text1"/>
              </w:rPr>
            </w:pPr>
            <m:oMathPara>
              <m:oMathParaPr>
                <m:jc m:val="right"/>
              </m:oMathParaPr>
              <m:oMath>
                <m:sSub>
                  <m:sSubPr>
                    <m:ctrlPr>
                      <w:rPr>
                        <w:rFonts w:ascii="Cambria Math" w:hAnsi="Cambria Math"/>
                        <w:i/>
                        <w:iCs/>
                        <w:color w:val="000000" w:themeColor="text1"/>
                      </w:rPr>
                    </m:ctrlPr>
                  </m:sSubPr>
                  <m:e>
                    <m:r>
                      <w:rPr>
                        <w:rFonts w:ascii="Cambria Math" w:hAnsi="Cambria Math"/>
                        <w:color w:val="000000" w:themeColor="text1"/>
                      </w:rPr>
                      <m:t>a</m:t>
                    </m:r>
                  </m:e>
                  <m:sub>
                    <m:r>
                      <w:rPr>
                        <w:rFonts w:ascii="Cambria Math" w:hAnsi="Cambria Math"/>
                        <w:color w:val="000000" w:themeColor="text1"/>
                      </w:rPr>
                      <m:t>j</m:t>
                    </m:r>
                  </m:sub>
                </m:sSub>
                <m:r>
                  <m:rPr>
                    <m:sty m:val="p"/>
                  </m:rPr>
                  <w:rPr>
                    <w:rFonts w:ascii="Cambria Math" w:hAnsi="Cambria Math"/>
                    <w:color w:val="000000" w:themeColor="text1"/>
                  </w:rPr>
                  <m:t>=</m:t>
                </m:r>
              </m:oMath>
            </m:oMathPara>
          </w:p>
        </w:tc>
        <w:tc>
          <w:tcPr>
            <w:tcW w:w="6582" w:type="dxa"/>
          </w:tcPr>
          <w:p w:rsidR="00F94614" w:rsidRPr="00374785" w:rsidRDefault="00F94614" w:rsidP="00F94614">
            <w:pPr>
              <w:pStyle w:val="tMain"/>
              <w:ind w:left="0" w:firstLine="0"/>
              <w:rPr>
                <w:color w:val="000000" w:themeColor="text1"/>
              </w:rPr>
            </w:pPr>
            <w:r w:rsidRPr="00374785">
              <w:rPr>
                <w:color w:val="000000" w:themeColor="text1"/>
              </w:rPr>
              <w:t xml:space="preserve">plot area (in hectares) </w:t>
            </w:r>
          </w:p>
        </w:tc>
      </w:tr>
      <w:tr w:rsidR="00904D50" w:rsidRPr="00374785" w:rsidTr="00904D50">
        <w:tc>
          <w:tcPr>
            <w:tcW w:w="1696" w:type="dxa"/>
            <w:vAlign w:val="center"/>
          </w:tcPr>
          <w:p w:rsidR="00904D50" w:rsidRPr="00374785" w:rsidRDefault="00904D50" w:rsidP="00904D50">
            <w:pPr>
              <w:pStyle w:val="tMain"/>
              <w:ind w:left="0" w:firstLine="0"/>
              <w:jc w:val="right"/>
              <w:rPr>
                <w:iCs/>
                <w:color w:val="000000"/>
              </w:rPr>
            </w:pPr>
            <w:r w:rsidRPr="00374785">
              <w:rPr>
                <w:i/>
              </w:rPr>
              <w:t>i =</w:t>
            </w:r>
          </w:p>
        </w:tc>
        <w:tc>
          <w:tcPr>
            <w:tcW w:w="6582" w:type="dxa"/>
          </w:tcPr>
          <w:p w:rsidR="00904D50" w:rsidRPr="00374785" w:rsidRDefault="00904D50" w:rsidP="00904D50">
            <w:pPr>
              <w:pStyle w:val="tMain"/>
              <w:ind w:left="0" w:firstLine="0"/>
              <w:rPr>
                <w:color w:val="000000" w:themeColor="text1"/>
              </w:rPr>
            </w:pPr>
            <w:r w:rsidRPr="00374785">
              <w:rPr>
                <w:i/>
              </w:rPr>
              <w:t>i</w:t>
            </w:r>
            <w:r w:rsidRPr="00374785">
              <w:rPr>
                <w:vertAlign w:val="superscript"/>
              </w:rPr>
              <w:t>th</w:t>
            </w:r>
            <w:r w:rsidRPr="00374785">
              <w:t xml:space="preserve"> carbon estimation area.</w:t>
            </w:r>
          </w:p>
        </w:tc>
      </w:tr>
      <w:tr w:rsidR="00C629AD" w:rsidRPr="00374785" w:rsidTr="00F94614">
        <w:tc>
          <w:tcPr>
            <w:tcW w:w="1696" w:type="dxa"/>
            <w:vAlign w:val="center"/>
          </w:tcPr>
          <w:p w:rsidR="00C629AD" w:rsidRPr="00374785" w:rsidRDefault="00C629AD" w:rsidP="00F94614">
            <w:pPr>
              <w:pStyle w:val="tMain"/>
              <w:ind w:left="0" w:firstLine="0"/>
              <w:jc w:val="right"/>
              <w:rPr>
                <w:iCs/>
                <w:color w:val="000000" w:themeColor="text1"/>
              </w:rPr>
            </w:pPr>
            <m:oMathPara>
              <m:oMathParaPr>
                <m:jc m:val="right"/>
              </m:oMathParaPr>
              <m:oMath>
                <m:r>
                  <w:rPr>
                    <w:rFonts w:ascii="Cambria Math" w:hAnsi="Cambria Math"/>
                  </w:rPr>
                  <m:t>j=</m:t>
                </m:r>
              </m:oMath>
            </m:oMathPara>
          </w:p>
        </w:tc>
        <w:tc>
          <w:tcPr>
            <w:tcW w:w="6582" w:type="dxa"/>
          </w:tcPr>
          <w:p w:rsidR="00C629AD" w:rsidRPr="00374785" w:rsidRDefault="00C629AD" w:rsidP="00F94614">
            <w:pPr>
              <w:pStyle w:val="tMain"/>
              <w:ind w:left="0" w:firstLine="0"/>
              <w:rPr>
                <w:color w:val="000000" w:themeColor="text1"/>
              </w:rPr>
            </w:pPr>
            <m:oMath>
              <m:r>
                <w:rPr>
                  <w:rFonts w:ascii="Cambria Math" w:hAnsi="Cambria Math"/>
                </w:rPr>
                <m:t>j</m:t>
              </m:r>
            </m:oMath>
            <w:r w:rsidRPr="00374785">
              <w:rPr>
                <w:vertAlign w:val="superscript"/>
              </w:rPr>
              <w:t xml:space="preserve"> </w:t>
            </w:r>
            <w:r w:rsidR="00B90D0D" w:rsidRPr="00374785">
              <w:rPr>
                <w:vertAlign w:val="superscript"/>
              </w:rPr>
              <w:t>th</w:t>
            </w:r>
            <w:r w:rsidRPr="00374785">
              <w:t xml:space="preserve"> plot</w:t>
            </w:r>
          </w:p>
        </w:tc>
      </w:tr>
    </w:tbl>
    <w:p w:rsidR="00F94614" w:rsidRPr="00374785" w:rsidRDefault="007F3C0F" w:rsidP="00F94614">
      <w:pPr>
        <w:pStyle w:val="h5Section"/>
      </w:pPr>
      <w:bookmarkStart w:id="52" w:name="_Toc397681596"/>
      <w:r>
        <w:t>3.33</w:t>
      </w:r>
      <w:r w:rsidR="00F94614" w:rsidRPr="00374785">
        <w:tab/>
        <w:t>Calculating average stocking density</w:t>
      </w:r>
      <w:bookmarkEnd w:id="52"/>
      <w:r w:rsidR="00F94614" w:rsidRPr="00374785">
        <w:t xml:space="preserve"> </w:t>
      </w:r>
    </w:p>
    <w:p w:rsidR="00F94614" w:rsidRPr="00374785" w:rsidRDefault="00F94614" w:rsidP="00F94614">
      <w:pPr>
        <w:pStyle w:val="tMain"/>
      </w:pPr>
      <w:r w:rsidRPr="00374785">
        <w:tab/>
      </w:r>
      <w:r w:rsidRPr="00374785">
        <w:tab/>
        <w:t>The average stocking density of a carbon estimation area must be calculated using the following formula:</w:t>
      </w:r>
    </w:p>
    <w:tbl>
      <w:tblPr>
        <w:tblStyle w:val="TableGrid"/>
        <w:tblW w:w="0" w:type="auto"/>
        <w:tblInd w:w="964" w:type="dxa"/>
        <w:tblLook w:val="04A0"/>
      </w:tblPr>
      <w:tblGrid>
        <w:gridCol w:w="6374"/>
        <w:gridCol w:w="1904"/>
      </w:tblGrid>
      <w:tr w:rsidR="00F94614" w:rsidRPr="00374785" w:rsidTr="00F94614">
        <w:tc>
          <w:tcPr>
            <w:tcW w:w="6374" w:type="dxa"/>
          </w:tcPr>
          <w:p w:rsidR="00F94614" w:rsidRPr="00374785" w:rsidRDefault="0020376C" w:rsidP="00E41C30">
            <w:pPr>
              <w:pStyle w:val="tMain"/>
              <w:spacing w:before="100" w:line="360" w:lineRule="auto"/>
              <w:ind w:left="0" w:firstLine="0"/>
              <w:rPr>
                <w:color w:val="76923C" w:themeColor="accent3" w:themeShade="BF"/>
              </w:rPr>
            </w:pPr>
            <m:oMathPara>
              <m:oMath>
                <m:sSub>
                  <m:sSubPr>
                    <m:ctrlPr>
                      <w:rPr>
                        <w:rFonts w:ascii="Cambria Math" w:eastAsiaTheme="minorEastAsia" w:hAnsi="Cambria Math"/>
                        <w:i/>
                        <w:iCs/>
                        <w:color w:val="000000"/>
                      </w:rPr>
                    </m:ctrlPr>
                  </m:sSubPr>
                  <m:e>
                    <m:bar>
                      <m:barPr>
                        <m:pos m:val="top"/>
                        <m:ctrlPr>
                          <w:rPr>
                            <w:rFonts w:ascii="Cambria Math" w:hAnsi="Cambria Math"/>
                            <w:i/>
                            <w:color w:val="000000"/>
                          </w:rPr>
                        </m:ctrlPr>
                      </m:barPr>
                      <m:e>
                        <m:r>
                          <w:rPr>
                            <w:rFonts w:ascii="Cambria Math" w:hAnsi="Cambria Math"/>
                            <w:color w:val="000000"/>
                          </w:rPr>
                          <m:t>z</m:t>
                        </m:r>
                      </m:e>
                    </m:bar>
                  </m:e>
                  <m:sub>
                    <m:r>
                      <w:rPr>
                        <w:rFonts w:ascii="Cambria Math" w:eastAsiaTheme="minorEastAsia" w:hAnsi="Cambria Math"/>
                        <w:color w:val="000000"/>
                      </w:rPr>
                      <m:t>i</m:t>
                    </m:r>
                  </m:sub>
                </m:sSub>
                <m:r>
                  <w:rPr>
                    <w:rFonts w:ascii="Cambria Math" w:eastAsiaTheme="minorEastAsia" w:hAnsi="Cambria Math"/>
                    <w:color w:val="000000"/>
                  </w:rPr>
                  <m:t xml:space="preserve"> = </m:t>
                </m:r>
                <m:f>
                  <m:fPr>
                    <m:ctrlPr>
                      <w:rPr>
                        <w:rFonts w:ascii="Cambria Math" w:eastAsiaTheme="minorEastAsia" w:hAnsi="Cambria Math"/>
                        <w:i/>
                        <w:iCs/>
                        <w:color w:val="000000"/>
                      </w:rPr>
                    </m:ctrlPr>
                  </m:fPr>
                  <m:num>
                    <m:nary>
                      <m:naryPr>
                        <m:chr m:val="∑"/>
                        <m:limLoc m:val="undOvr"/>
                        <m:ctrlPr>
                          <w:rPr>
                            <w:rFonts w:ascii="Cambria Math" w:eastAsiaTheme="minorEastAsia" w:hAnsi="Cambria Math"/>
                            <w:i/>
                            <w:iCs/>
                            <w:color w:val="000000"/>
                          </w:rPr>
                        </m:ctrlPr>
                      </m:naryPr>
                      <m:sub>
                        <m:r>
                          <w:rPr>
                            <w:rFonts w:ascii="Cambria Math" w:hAnsi="Cambria Math"/>
                            <w:color w:val="000000"/>
                          </w:rPr>
                          <m:t>j=1</m:t>
                        </m:r>
                      </m:sub>
                      <m:sup>
                        <m:sSub>
                          <m:sSubPr>
                            <m:ctrlPr>
                              <w:rPr>
                                <w:rFonts w:ascii="Cambria Math" w:eastAsiaTheme="minorEastAsia" w:hAnsi="Cambria Math"/>
                                <w:i/>
                                <w:color w:val="000000"/>
                              </w:rPr>
                            </m:ctrlPr>
                          </m:sSubPr>
                          <m:e>
                            <m:r>
                              <w:rPr>
                                <w:rFonts w:ascii="Cambria Math" w:eastAsiaTheme="minorEastAsia" w:hAnsi="Cambria Math"/>
                                <w:color w:val="000000"/>
                              </w:rPr>
                              <m:t>M</m:t>
                            </m:r>
                          </m:e>
                          <m:sub>
                            <m:r>
                              <w:rPr>
                                <w:rFonts w:ascii="Cambria Math" w:eastAsiaTheme="minorEastAsia" w:hAnsi="Cambria Math"/>
                                <w:color w:val="000000"/>
                              </w:rPr>
                              <m:t>i</m:t>
                            </m:r>
                          </m:sub>
                        </m:sSub>
                      </m:sup>
                      <m:e>
                        <m:sSub>
                          <m:sSubPr>
                            <m:ctrlPr>
                              <w:rPr>
                                <w:rFonts w:ascii="Cambria Math" w:hAnsi="Cambria Math"/>
                                <w:i/>
                                <w:iCs/>
                                <w:color w:val="000000"/>
                              </w:rPr>
                            </m:ctrlPr>
                          </m:sSubPr>
                          <m:e>
                            <m:r>
                              <m:rPr>
                                <m:sty m:val="p"/>
                              </m:rPr>
                              <w:rPr>
                                <w:rFonts w:ascii="Cambria Math" w:hAnsi="Cambria Math"/>
                                <w:color w:val="000000"/>
                              </w:rPr>
                              <m:t>z</m:t>
                            </m:r>
                          </m:e>
                          <m:sub>
                            <m:r>
                              <w:rPr>
                                <w:rFonts w:ascii="Cambria Math" w:hAnsi="Cambria Math"/>
                                <w:color w:val="000000"/>
                              </w:rPr>
                              <m:t>ij</m:t>
                            </m:r>
                          </m:sub>
                        </m:sSub>
                      </m:e>
                    </m:nary>
                  </m:num>
                  <m:den>
                    <m:sSub>
                      <m:sSubPr>
                        <m:ctrlPr>
                          <w:rPr>
                            <w:rFonts w:ascii="Cambria Math" w:eastAsiaTheme="minorEastAsia" w:hAnsi="Cambria Math"/>
                            <w:i/>
                            <w:color w:val="000000"/>
                          </w:rPr>
                        </m:ctrlPr>
                      </m:sSubPr>
                      <m:e>
                        <m:r>
                          <w:rPr>
                            <w:rFonts w:ascii="Cambria Math" w:eastAsiaTheme="minorEastAsia" w:hAnsi="Cambria Math"/>
                            <w:color w:val="000000"/>
                          </w:rPr>
                          <m:t>M</m:t>
                        </m:r>
                      </m:e>
                      <m:sub>
                        <m:r>
                          <w:rPr>
                            <w:rFonts w:ascii="Cambria Math" w:eastAsiaTheme="minorEastAsia" w:hAnsi="Cambria Math"/>
                            <w:color w:val="000000"/>
                          </w:rPr>
                          <m:t>i</m:t>
                        </m:r>
                      </m:sub>
                    </m:sSub>
                  </m:den>
                </m:f>
              </m:oMath>
            </m:oMathPara>
          </w:p>
        </w:tc>
        <w:tc>
          <w:tcPr>
            <w:tcW w:w="1904" w:type="dxa"/>
            <w:vAlign w:val="center"/>
          </w:tcPr>
          <w:p w:rsidR="00F94614" w:rsidRPr="00374785" w:rsidRDefault="00F94614" w:rsidP="00F94614">
            <w:pPr>
              <w:pStyle w:val="tMain"/>
              <w:ind w:left="0" w:firstLine="0"/>
              <w:jc w:val="center"/>
              <w:rPr>
                <w:b/>
                <w:color w:val="000000" w:themeColor="text1"/>
              </w:rPr>
            </w:pPr>
            <w:r w:rsidRPr="00374785">
              <w:rPr>
                <w:b/>
                <w:color w:val="000000" w:themeColor="text1"/>
              </w:rPr>
              <w:t>Equation 2</w:t>
            </w:r>
          </w:p>
        </w:tc>
      </w:tr>
    </w:tbl>
    <w:p w:rsidR="00F94614" w:rsidRPr="00374785" w:rsidRDefault="00F94614" w:rsidP="00F94614">
      <w:pPr>
        <w:pStyle w:val="tMain"/>
      </w:pPr>
      <w:r w:rsidRPr="00374785">
        <w:tab/>
      </w:r>
      <w:r w:rsidRPr="00374785">
        <w:tab/>
        <w:t>Where:</w:t>
      </w:r>
    </w:p>
    <w:tbl>
      <w:tblPr>
        <w:tblStyle w:val="TableGrid"/>
        <w:tblW w:w="0" w:type="auto"/>
        <w:tblInd w:w="964" w:type="dxa"/>
        <w:tblLook w:val="04A0"/>
      </w:tblPr>
      <w:tblGrid>
        <w:gridCol w:w="1696"/>
        <w:gridCol w:w="6582"/>
      </w:tblGrid>
      <w:tr w:rsidR="00F94614" w:rsidRPr="00374785" w:rsidTr="008B7F4F">
        <w:tc>
          <w:tcPr>
            <w:tcW w:w="1696" w:type="dxa"/>
            <w:vAlign w:val="center"/>
          </w:tcPr>
          <w:p w:rsidR="00F94614" w:rsidRPr="00374785" w:rsidRDefault="0020376C" w:rsidP="008B7F4F">
            <w:pPr>
              <w:pStyle w:val="tMain"/>
              <w:ind w:left="0" w:firstLine="0"/>
              <w:jc w:val="right"/>
            </w:pPr>
            <m:oMathPara>
              <m:oMathParaPr>
                <m:jc m:val="right"/>
              </m:oMathParaPr>
              <m:oMath>
                <m:sSub>
                  <m:sSubPr>
                    <m:ctrlPr>
                      <w:rPr>
                        <w:rFonts w:ascii="Cambria Math" w:eastAsiaTheme="minorEastAsia" w:hAnsi="Cambria Math"/>
                        <w:i/>
                        <w:iCs/>
                      </w:rPr>
                    </m:ctrlPr>
                  </m:sSubPr>
                  <m:e>
                    <m:bar>
                      <m:barPr>
                        <m:pos m:val="top"/>
                        <m:ctrlPr>
                          <w:rPr>
                            <w:rFonts w:ascii="Cambria Math" w:hAnsi="Cambria Math"/>
                            <w:i/>
                          </w:rPr>
                        </m:ctrlPr>
                      </m:barPr>
                      <m:e>
                        <m:r>
                          <w:rPr>
                            <w:rFonts w:ascii="Cambria Math" w:hAnsi="Cambria Math"/>
                          </w:rPr>
                          <m:t>z</m:t>
                        </m:r>
                      </m:e>
                    </m:bar>
                  </m:e>
                  <m:sub>
                    <m:r>
                      <w:rPr>
                        <w:rFonts w:ascii="Cambria Math" w:eastAsiaTheme="minorEastAsia" w:hAnsi="Cambria Math"/>
                      </w:rPr>
                      <m:t>i</m:t>
                    </m:r>
                  </m:sub>
                </m:sSub>
                <m:r>
                  <w:rPr>
                    <w:rFonts w:ascii="Cambria Math" w:hAnsi="Cambria Math"/>
                  </w:rPr>
                  <m:t>=</m:t>
                </m:r>
              </m:oMath>
            </m:oMathPara>
          </w:p>
        </w:tc>
        <w:tc>
          <w:tcPr>
            <w:tcW w:w="6582" w:type="dxa"/>
          </w:tcPr>
          <w:p w:rsidR="00F94614" w:rsidRPr="00374785" w:rsidRDefault="00F94614" w:rsidP="00F94614">
            <w:pPr>
              <w:pStyle w:val="tMain"/>
              <w:ind w:left="0" w:firstLine="0"/>
            </w:pPr>
            <w:r w:rsidRPr="00374785">
              <w:t xml:space="preserve">average stocking density (in stems/ha) for the </w:t>
            </w:r>
            <w:r w:rsidR="008B7F4F" w:rsidRPr="00374785">
              <w:rPr>
                <w:i/>
              </w:rPr>
              <w:t>i</w:t>
            </w:r>
            <w:r w:rsidR="008B7F4F" w:rsidRPr="00374785">
              <w:rPr>
                <w:vertAlign w:val="superscript"/>
              </w:rPr>
              <w:t>th</w:t>
            </w:r>
            <w:r w:rsidR="008B7F4F" w:rsidRPr="00374785">
              <w:t xml:space="preserve"> </w:t>
            </w:r>
            <w:r w:rsidRPr="00374785">
              <w:t>carbon estimation area.</w:t>
            </w:r>
          </w:p>
        </w:tc>
      </w:tr>
      <w:tr w:rsidR="00F94614" w:rsidRPr="00374785" w:rsidTr="008B7F4F">
        <w:tc>
          <w:tcPr>
            <w:tcW w:w="1696" w:type="dxa"/>
            <w:vAlign w:val="center"/>
          </w:tcPr>
          <w:p w:rsidR="00F94614" w:rsidRPr="00374785" w:rsidRDefault="0020376C" w:rsidP="008B7F4F">
            <w:pPr>
              <w:pStyle w:val="tMain"/>
              <w:ind w:left="0" w:firstLine="0"/>
              <w:jc w:val="right"/>
            </w:pPr>
            <m:oMath>
              <m:sSub>
                <m:sSubPr>
                  <m:ctrlPr>
                    <w:rPr>
                      <w:rFonts w:ascii="Cambria Math" w:hAnsi="Cambria Math"/>
                      <w:i/>
                    </w:rPr>
                  </m:ctrlPr>
                </m:sSubPr>
                <m:e>
                  <m:r>
                    <w:rPr>
                      <w:rFonts w:ascii="Cambria Math" w:eastAsiaTheme="minorEastAsia" w:hAnsi="Cambria Math"/>
                      <w:color w:val="000000"/>
                    </w:rPr>
                    <m:t>M</m:t>
                  </m:r>
                </m:e>
                <m:sub>
                  <m:r>
                    <w:rPr>
                      <w:rFonts w:ascii="Cambria Math" w:hAnsi="Cambria Math"/>
                    </w:rPr>
                    <m:t>i</m:t>
                  </m:r>
                </m:sub>
              </m:sSub>
            </m:oMath>
            <w:r w:rsidR="00F94614" w:rsidRPr="00374785">
              <w:t xml:space="preserve"> </w:t>
            </w:r>
            <m:oMath>
              <m:r>
                <w:rPr>
                  <w:rFonts w:ascii="Cambria Math" w:hAnsi="Cambria Math"/>
                </w:rPr>
                <m:t>=</m:t>
              </m:r>
            </m:oMath>
          </w:p>
        </w:tc>
        <w:tc>
          <w:tcPr>
            <w:tcW w:w="6582" w:type="dxa"/>
          </w:tcPr>
          <w:p w:rsidR="00F94614" w:rsidRPr="00374785" w:rsidRDefault="00904D50" w:rsidP="00DD1563">
            <w:pPr>
              <w:pStyle w:val="tMain"/>
              <w:ind w:left="0" w:firstLine="0"/>
            </w:pPr>
            <w:r w:rsidRPr="00374785">
              <w:rPr>
                <w:color w:val="000000" w:themeColor="text1"/>
              </w:rPr>
              <w:t xml:space="preserve">total number of plots in the </w:t>
            </w:r>
            <w:r w:rsidRPr="00374785">
              <w:rPr>
                <w:i/>
              </w:rPr>
              <w:t>i</w:t>
            </w:r>
            <w:r w:rsidRPr="00374785">
              <w:rPr>
                <w:vertAlign w:val="superscript"/>
              </w:rPr>
              <w:t>th</w:t>
            </w:r>
            <w:r w:rsidRPr="00374785">
              <w:rPr>
                <w:color w:val="000000" w:themeColor="text1"/>
              </w:rPr>
              <w:t xml:space="preserve"> carbon estimation area.</w:t>
            </w:r>
          </w:p>
        </w:tc>
      </w:tr>
      <w:tr w:rsidR="00F94614" w:rsidRPr="00374785" w:rsidTr="008B7F4F">
        <w:tc>
          <w:tcPr>
            <w:tcW w:w="1696" w:type="dxa"/>
            <w:vAlign w:val="center"/>
          </w:tcPr>
          <w:p w:rsidR="00F94614" w:rsidRPr="00374785" w:rsidRDefault="0020376C" w:rsidP="00E41C30">
            <w:pPr>
              <w:pStyle w:val="tMain"/>
              <w:ind w:left="0" w:firstLine="0"/>
              <w:jc w:val="right"/>
            </w:pPr>
            <m:oMathPara>
              <m:oMathParaPr>
                <m:jc m:val="right"/>
              </m:oMathParaPr>
              <m:oMath>
                <m:sSub>
                  <m:sSubPr>
                    <m:ctrlPr>
                      <w:rPr>
                        <w:rFonts w:ascii="Cambria Math" w:hAnsi="Cambria Math"/>
                        <w:i/>
                        <w:iCs/>
                        <w:color w:val="000000"/>
                      </w:rPr>
                    </m:ctrlPr>
                  </m:sSubPr>
                  <m:e>
                    <m:r>
                      <m:rPr>
                        <m:sty m:val="p"/>
                      </m:rPr>
                      <w:rPr>
                        <w:rFonts w:ascii="Cambria Math" w:hAnsi="Cambria Math"/>
                        <w:color w:val="000000"/>
                      </w:rPr>
                      <m:t>z</m:t>
                    </m:r>
                  </m:e>
                  <m:sub>
                    <m:r>
                      <w:rPr>
                        <w:rFonts w:ascii="Cambria Math" w:hAnsi="Cambria Math"/>
                        <w:color w:val="000000"/>
                      </w:rPr>
                      <m:t>ij</m:t>
                    </m:r>
                  </m:sub>
                </m:sSub>
                <m:r>
                  <w:rPr>
                    <w:rFonts w:ascii="Cambria Math" w:hAnsi="Cambria Math"/>
                  </w:rPr>
                  <m:t>=</m:t>
                </m:r>
              </m:oMath>
            </m:oMathPara>
          </w:p>
        </w:tc>
        <w:tc>
          <w:tcPr>
            <w:tcW w:w="6582" w:type="dxa"/>
          </w:tcPr>
          <w:p w:rsidR="00F94614" w:rsidRPr="00374785" w:rsidRDefault="0049247A" w:rsidP="00FC4C65">
            <w:pPr>
              <w:pStyle w:val="tMain"/>
              <w:ind w:left="0" w:firstLine="0"/>
            </w:pPr>
            <w:proofErr w:type="gramStart"/>
            <w:r w:rsidRPr="00374785">
              <w:rPr>
                <w:color w:val="000000" w:themeColor="text1"/>
              </w:rPr>
              <w:t>stocking</w:t>
            </w:r>
            <w:proofErr w:type="gramEnd"/>
            <w:r w:rsidRPr="00374785">
              <w:rPr>
                <w:color w:val="000000" w:themeColor="text1"/>
              </w:rPr>
              <w:t xml:space="preserve"> density (in stems/ha) </w:t>
            </w:r>
            <w:r w:rsidR="00FC4C65" w:rsidRPr="00374785">
              <w:rPr>
                <w:color w:val="000000" w:themeColor="text1"/>
              </w:rPr>
              <w:t>of</w:t>
            </w:r>
            <w:r w:rsidRPr="00374785">
              <w:rPr>
                <w:color w:val="000000" w:themeColor="text1"/>
              </w:rPr>
              <w:t xml:space="preserve"> the </w:t>
            </w:r>
            <m:oMath>
              <m:r>
                <w:rPr>
                  <w:rFonts w:ascii="Cambria Math" w:hAnsi="Cambria Math"/>
                  <w:color w:val="000000" w:themeColor="text1"/>
                </w:rPr>
                <m:t>j</m:t>
              </m:r>
            </m:oMath>
            <w:r w:rsidRPr="00374785">
              <w:rPr>
                <w:color w:val="000000" w:themeColor="text1"/>
                <w:vertAlign w:val="superscript"/>
              </w:rPr>
              <w:t>th</w:t>
            </w:r>
            <w:r w:rsidRPr="00374785">
              <w:rPr>
                <w:color w:val="000000" w:themeColor="text1"/>
              </w:rPr>
              <w:t xml:space="preserve"> plot in the </w:t>
            </w:r>
            <w:proofErr w:type="spellStart"/>
            <w:r w:rsidRPr="00374785">
              <w:rPr>
                <w:i/>
                <w:color w:val="000000" w:themeColor="text1"/>
              </w:rPr>
              <w:t>i</w:t>
            </w:r>
            <w:r w:rsidRPr="00374785">
              <w:rPr>
                <w:i/>
                <w:color w:val="000000" w:themeColor="text1"/>
                <w:vertAlign w:val="superscript"/>
              </w:rPr>
              <w:t>th</w:t>
            </w:r>
            <w:proofErr w:type="spellEnd"/>
            <w:r w:rsidRPr="00374785">
              <w:rPr>
                <w:i/>
                <w:color w:val="000000" w:themeColor="text1"/>
                <w:vertAlign w:val="superscript"/>
              </w:rPr>
              <w:t xml:space="preserve"> </w:t>
            </w:r>
            <w:r w:rsidRPr="00374785">
              <w:rPr>
                <w:color w:val="000000" w:themeColor="text1"/>
              </w:rPr>
              <w:t>carbon estimation area</w:t>
            </w:r>
            <w:r w:rsidR="00061919">
              <w:rPr>
                <w:color w:val="000000" w:themeColor="text1"/>
              </w:rPr>
              <w:t>—see equation 1</w:t>
            </w:r>
            <w:r w:rsidRPr="00374785">
              <w:rPr>
                <w:color w:val="000000" w:themeColor="text1"/>
              </w:rPr>
              <w:t>.</w:t>
            </w:r>
          </w:p>
        </w:tc>
      </w:tr>
      <w:tr w:rsidR="00E41C30" w:rsidRPr="00374785" w:rsidTr="00E41C30">
        <w:tc>
          <w:tcPr>
            <w:tcW w:w="1696" w:type="dxa"/>
            <w:vAlign w:val="center"/>
          </w:tcPr>
          <w:p w:rsidR="00E41C30" w:rsidRPr="00374785" w:rsidRDefault="00E41C30" w:rsidP="00E41C30">
            <w:pPr>
              <w:pStyle w:val="tMain"/>
              <w:ind w:left="0" w:firstLine="0"/>
              <w:jc w:val="right"/>
              <w:rPr>
                <w:iCs/>
                <w:color w:val="000000"/>
              </w:rPr>
            </w:pPr>
            <w:r w:rsidRPr="00374785">
              <w:rPr>
                <w:i/>
              </w:rPr>
              <w:t>i =</w:t>
            </w:r>
          </w:p>
        </w:tc>
        <w:tc>
          <w:tcPr>
            <w:tcW w:w="6582" w:type="dxa"/>
          </w:tcPr>
          <w:p w:rsidR="00E41C30" w:rsidRPr="00374785" w:rsidRDefault="00E41C30" w:rsidP="00E41C30">
            <w:pPr>
              <w:pStyle w:val="tMain"/>
              <w:ind w:left="0" w:firstLine="0"/>
              <w:rPr>
                <w:color w:val="000000" w:themeColor="text1"/>
              </w:rPr>
            </w:pPr>
            <w:r w:rsidRPr="00374785">
              <w:rPr>
                <w:i/>
              </w:rPr>
              <w:t>i</w:t>
            </w:r>
            <w:r w:rsidRPr="00374785">
              <w:rPr>
                <w:vertAlign w:val="superscript"/>
              </w:rPr>
              <w:t>th</w:t>
            </w:r>
            <w:r w:rsidRPr="00374785">
              <w:t xml:space="preserve"> carbon estimation area.</w:t>
            </w:r>
          </w:p>
        </w:tc>
      </w:tr>
      <w:tr w:rsidR="00E41C30" w:rsidRPr="00374785" w:rsidTr="00E41C30">
        <w:tc>
          <w:tcPr>
            <w:tcW w:w="1696" w:type="dxa"/>
            <w:vAlign w:val="center"/>
          </w:tcPr>
          <w:p w:rsidR="00E41C30" w:rsidRPr="00374785" w:rsidRDefault="00E41C30" w:rsidP="00E41C30">
            <w:pPr>
              <w:pStyle w:val="tMain"/>
              <w:ind w:left="0" w:firstLine="0"/>
              <w:jc w:val="right"/>
              <w:rPr>
                <w:iCs/>
                <w:color w:val="000000" w:themeColor="text1"/>
              </w:rPr>
            </w:pPr>
            <m:oMathPara>
              <m:oMathParaPr>
                <m:jc m:val="right"/>
              </m:oMathParaPr>
              <m:oMath>
                <m:r>
                  <w:rPr>
                    <w:rFonts w:ascii="Cambria Math" w:hAnsi="Cambria Math"/>
                  </w:rPr>
                  <m:t>j=</m:t>
                </m:r>
              </m:oMath>
            </m:oMathPara>
          </w:p>
        </w:tc>
        <w:tc>
          <w:tcPr>
            <w:tcW w:w="6582" w:type="dxa"/>
          </w:tcPr>
          <w:p w:rsidR="00E41C30" w:rsidRPr="00374785" w:rsidRDefault="00E41C30" w:rsidP="00E41C30">
            <w:pPr>
              <w:pStyle w:val="tMain"/>
              <w:ind w:left="0" w:firstLine="0"/>
              <w:rPr>
                <w:color w:val="000000" w:themeColor="text1"/>
              </w:rPr>
            </w:pPr>
            <m:oMath>
              <m:r>
                <w:rPr>
                  <w:rFonts w:ascii="Cambria Math" w:hAnsi="Cambria Math"/>
                </w:rPr>
                <m:t>j</m:t>
              </m:r>
            </m:oMath>
            <w:r w:rsidRPr="00374785">
              <w:rPr>
                <w:vertAlign w:val="superscript"/>
              </w:rPr>
              <w:t xml:space="preserve"> th</w:t>
            </w:r>
            <w:r w:rsidRPr="00374785">
              <w:t xml:space="preserve"> plot</w:t>
            </w:r>
          </w:p>
        </w:tc>
      </w:tr>
    </w:tbl>
    <w:p w:rsidR="00F94614" w:rsidRPr="00374785" w:rsidRDefault="007F3C0F" w:rsidP="00F94614">
      <w:pPr>
        <w:pStyle w:val="h5Section"/>
      </w:pPr>
      <w:bookmarkStart w:id="53" w:name="_Toc397681597"/>
      <w:r>
        <w:lastRenderedPageBreak/>
        <w:t>3.34</w:t>
      </w:r>
      <w:r w:rsidR="00F94614" w:rsidRPr="00374785">
        <w:tab/>
        <w:t>Calculating margin of error for stocking density</w:t>
      </w:r>
      <w:bookmarkEnd w:id="53"/>
    </w:p>
    <w:p w:rsidR="00F94614" w:rsidRPr="00374785" w:rsidRDefault="003D3233" w:rsidP="003D3233">
      <w:pPr>
        <w:pStyle w:val="tMain"/>
      </w:pPr>
      <w:r w:rsidRPr="00374785">
        <w:tab/>
      </w:r>
      <w:r w:rsidR="007F3C0F">
        <w:t>(1)</w:t>
      </w:r>
      <w:r w:rsidRPr="00374785">
        <w:tab/>
      </w:r>
      <w:r w:rsidR="00F94614" w:rsidRPr="00374785">
        <w:t>The margin of error for the</w:t>
      </w:r>
      <w:r w:rsidR="006B7902" w:rsidRPr="00374785">
        <w:t xml:space="preserve"> average</w:t>
      </w:r>
      <w:r w:rsidR="00F94614" w:rsidRPr="00374785">
        <w:t xml:space="preserve"> stocking density of a carbon estimation area must be calculated using the following formula:</w:t>
      </w:r>
    </w:p>
    <w:tbl>
      <w:tblPr>
        <w:tblStyle w:val="TableGrid"/>
        <w:tblW w:w="0" w:type="auto"/>
        <w:tblInd w:w="964" w:type="dxa"/>
        <w:tblLook w:val="04A0"/>
      </w:tblPr>
      <w:tblGrid>
        <w:gridCol w:w="6374"/>
        <w:gridCol w:w="1904"/>
      </w:tblGrid>
      <w:tr w:rsidR="00F94614" w:rsidRPr="00374785" w:rsidTr="00F94614">
        <w:tc>
          <w:tcPr>
            <w:tcW w:w="6374" w:type="dxa"/>
          </w:tcPr>
          <w:p w:rsidR="00F94614" w:rsidRPr="00374785" w:rsidRDefault="0020376C" w:rsidP="00890DB9">
            <w:pPr>
              <w:pStyle w:val="tMain"/>
              <w:spacing w:before="100" w:line="360" w:lineRule="auto"/>
              <w:ind w:left="0" w:firstLine="0"/>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E</m:t>
                    </m:r>
                  </m:e>
                  <m:sub>
                    <m:bar>
                      <m:barPr>
                        <m:pos m:val="top"/>
                        <m:ctrlPr>
                          <w:rPr>
                            <w:rFonts w:ascii="Cambria Math" w:hAnsi="Cambria Math"/>
                            <w:i/>
                          </w:rPr>
                        </m:ctrlPr>
                      </m:barPr>
                      <m:e>
                        <m:r>
                          <w:rPr>
                            <w:rFonts w:ascii="Cambria Math" w:hAnsi="Cambria Math"/>
                          </w:rPr>
                          <m:t>z</m:t>
                        </m:r>
                      </m:e>
                    </m:bar>
                    <m:r>
                      <w:rPr>
                        <w:rFonts w:ascii="Cambria Math" w:hAnsi="Cambria Math"/>
                        <w:color w:val="000000" w:themeColor="text1"/>
                      </w:rPr>
                      <m:t>i</m:t>
                    </m:r>
                  </m:sub>
                </m:sSub>
                <m:r>
                  <w:rPr>
                    <w:rFonts w:ascii="Cambria Math" w:hAnsi="Cambria Math" w:cs="Calibri"/>
                    <w:color w:val="000000" w:themeColor="text1"/>
                    <w:lang w:eastAsia="en-US"/>
                  </w:rPr>
                  <m:t>=</m:t>
                </m:r>
                <m:sSub>
                  <m:sSubPr>
                    <m:ctrlPr>
                      <w:rPr>
                        <w:rFonts w:ascii="Cambria Math" w:hAnsi="Cambria Math" w:cs="Calibri"/>
                        <w:color w:val="000000" w:themeColor="text1"/>
                        <w:lang w:eastAsia="en-US"/>
                      </w:rPr>
                    </m:ctrlPr>
                  </m:sSubPr>
                  <m:e>
                    <m:r>
                      <w:rPr>
                        <w:rFonts w:ascii="Cambria Math" w:hAnsi="Cambria Math" w:cs="Calibri"/>
                        <w:color w:val="000000" w:themeColor="text1"/>
                        <w:lang w:eastAsia="en-US"/>
                      </w:rPr>
                      <m:t>t</m:t>
                    </m:r>
                  </m:e>
                  <m:sub>
                    <m:r>
                      <w:rPr>
                        <w:rFonts w:ascii="Cambria Math" w:hAnsi="Cambria Math" w:cs="Calibri"/>
                        <w:color w:val="000000" w:themeColor="text1"/>
                        <w:lang w:eastAsia="en-US"/>
                      </w:rPr>
                      <m:t>0.05</m:t>
                    </m:r>
                  </m:sub>
                </m:sSub>
                <m:r>
                  <w:rPr>
                    <w:rFonts w:ascii="Cambria Math" w:hAnsi="Cambria Math" w:cs="Calibri"/>
                    <w:color w:val="000000" w:themeColor="text1"/>
                    <w:lang w:eastAsia="en-US"/>
                  </w:rPr>
                  <m:t>×</m:t>
                </m:r>
                <m:f>
                  <m:fPr>
                    <m:ctrlPr>
                      <w:rPr>
                        <w:rFonts w:ascii="Cambria Math" w:hAnsi="Cambria Math" w:cs="Calibri"/>
                        <w:i/>
                        <w:color w:val="000000" w:themeColor="text1"/>
                        <w:lang w:eastAsia="en-US"/>
                      </w:rPr>
                    </m:ctrlPr>
                  </m:fPr>
                  <m:num>
                    <m:sSub>
                      <m:sSubPr>
                        <m:ctrlPr>
                          <w:rPr>
                            <w:rFonts w:ascii="Cambria Math" w:hAnsi="Cambria Math" w:cs="Calibri"/>
                            <w:i/>
                            <w:color w:val="000000" w:themeColor="text1"/>
                            <w:lang w:eastAsia="en-US"/>
                          </w:rPr>
                        </m:ctrlPr>
                      </m:sSubPr>
                      <m:e>
                        <m:r>
                          <m:rPr>
                            <m:sty m:val="p"/>
                          </m:rPr>
                          <w:rPr>
                            <w:rFonts w:ascii="Cambria Math" w:hAnsi="Cambria Math"/>
                            <w:color w:val="000000"/>
                          </w:rPr>
                          <m:t>σ</m:t>
                        </m:r>
                      </m:e>
                      <m:sub>
                        <m:bar>
                          <m:barPr>
                            <m:pos m:val="top"/>
                            <m:ctrlPr>
                              <w:rPr>
                                <w:rFonts w:ascii="Cambria Math" w:hAnsi="Cambria Math"/>
                                <w:i/>
                                <w:color w:val="000000"/>
                              </w:rPr>
                            </m:ctrlPr>
                          </m:barPr>
                          <m:e>
                            <m:r>
                              <w:rPr>
                                <w:rFonts w:ascii="Cambria Math" w:hAnsi="Cambria Math"/>
                                <w:color w:val="000000"/>
                              </w:rPr>
                              <m:t>z</m:t>
                            </m:r>
                          </m:e>
                        </m:bar>
                        <m:r>
                          <w:rPr>
                            <w:rFonts w:ascii="Cambria Math" w:hAnsi="Cambria Math" w:cs="Calibri"/>
                            <w:color w:val="000000" w:themeColor="text1"/>
                            <w:lang w:eastAsia="en-US"/>
                          </w:rPr>
                          <m:t>i</m:t>
                        </m:r>
                      </m:sub>
                    </m:sSub>
                  </m:num>
                  <m:den>
                    <m:rad>
                      <m:radPr>
                        <m:degHide m:val="on"/>
                        <m:ctrlPr>
                          <w:rPr>
                            <w:rFonts w:ascii="Cambria Math" w:hAnsi="Cambria Math" w:cs="Calibri"/>
                            <w:i/>
                            <w:color w:val="000000" w:themeColor="text1"/>
                            <w:lang w:eastAsia="en-US"/>
                          </w:rPr>
                        </m:ctrlPr>
                      </m:radPr>
                      <m:deg/>
                      <m:e>
                        <m:sSub>
                          <m:sSubPr>
                            <m:ctrlPr>
                              <w:rPr>
                                <w:rFonts w:ascii="Cambria Math" w:hAnsi="Cambria Math"/>
                                <w:color w:val="000000" w:themeColor="text1"/>
                              </w:rPr>
                            </m:ctrlPr>
                          </m:sSubPr>
                          <m:e>
                            <m:r>
                              <w:rPr>
                                <w:rFonts w:ascii="Cambria Math" w:eastAsiaTheme="minorEastAsia" w:hAnsi="Cambria Math"/>
                                <w:color w:val="000000"/>
                              </w:rPr>
                              <m:t>M</m:t>
                            </m:r>
                          </m:e>
                          <m:sub>
                            <m:r>
                              <w:rPr>
                                <w:rFonts w:ascii="Cambria Math" w:hAnsi="Cambria Math"/>
                                <w:color w:val="000000" w:themeColor="text1"/>
                              </w:rPr>
                              <m:t>i</m:t>
                            </m:r>
                          </m:sub>
                        </m:sSub>
                      </m:e>
                    </m:rad>
                  </m:den>
                </m:f>
              </m:oMath>
            </m:oMathPara>
          </w:p>
        </w:tc>
        <w:tc>
          <w:tcPr>
            <w:tcW w:w="1904" w:type="dxa"/>
            <w:vAlign w:val="center"/>
          </w:tcPr>
          <w:p w:rsidR="00F94614" w:rsidRPr="00374785" w:rsidRDefault="00F94614" w:rsidP="00F94614">
            <w:pPr>
              <w:pStyle w:val="tMain"/>
              <w:ind w:left="0" w:firstLine="0"/>
              <w:jc w:val="center"/>
              <w:rPr>
                <w:b/>
                <w:color w:val="000000" w:themeColor="text1"/>
              </w:rPr>
            </w:pPr>
            <w:r w:rsidRPr="00374785">
              <w:rPr>
                <w:b/>
                <w:color w:val="000000" w:themeColor="text1"/>
              </w:rPr>
              <w:t>Equation 3</w:t>
            </w:r>
          </w:p>
        </w:tc>
      </w:tr>
    </w:tbl>
    <w:p w:rsidR="00F94614" w:rsidRPr="00374785" w:rsidRDefault="00F94614" w:rsidP="00F94614">
      <w:pPr>
        <w:pStyle w:val="tMain"/>
        <w:rPr>
          <w:color w:val="000000" w:themeColor="text1"/>
        </w:rPr>
      </w:pPr>
      <w:r w:rsidRPr="00374785">
        <w:rPr>
          <w:color w:val="000000" w:themeColor="text1"/>
        </w:rPr>
        <w:tab/>
      </w:r>
      <w:r w:rsidRPr="00374785">
        <w:rPr>
          <w:color w:val="000000" w:themeColor="text1"/>
        </w:rPr>
        <w:tab/>
        <w:t>Where:</w:t>
      </w:r>
    </w:p>
    <w:tbl>
      <w:tblPr>
        <w:tblStyle w:val="TableGrid"/>
        <w:tblW w:w="0" w:type="auto"/>
        <w:tblInd w:w="964" w:type="dxa"/>
        <w:tblLook w:val="04A0"/>
      </w:tblPr>
      <w:tblGrid>
        <w:gridCol w:w="1696"/>
        <w:gridCol w:w="6582"/>
      </w:tblGrid>
      <w:tr w:rsidR="00F94614" w:rsidRPr="00374785" w:rsidTr="00F94614">
        <w:tc>
          <w:tcPr>
            <w:tcW w:w="1696" w:type="dxa"/>
            <w:vAlign w:val="center"/>
          </w:tcPr>
          <w:p w:rsidR="00F94614" w:rsidRPr="00374785" w:rsidRDefault="0020376C" w:rsidP="00F94614">
            <w:pPr>
              <w:pStyle w:val="tMain"/>
              <w:ind w:left="0" w:firstLine="0"/>
              <w:jc w:val="right"/>
              <w:rPr>
                <w:color w:val="000000" w:themeColor="text1"/>
              </w:rPr>
            </w:pPr>
            <m:oMathPara>
              <m:oMathParaPr>
                <m:jc m:val="right"/>
              </m:oMathParaPr>
              <m:oMath>
                <m:sSub>
                  <m:sSubPr>
                    <m:ctrlPr>
                      <w:rPr>
                        <w:rFonts w:ascii="Cambria Math" w:hAnsi="Cambria Math"/>
                        <w:i/>
                        <w:color w:val="000000" w:themeColor="text1"/>
                      </w:rPr>
                    </m:ctrlPr>
                  </m:sSubPr>
                  <m:e>
                    <m:r>
                      <w:rPr>
                        <w:rFonts w:ascii="Cambria Math" w:hAnsi="Cambria Math"/>
                        <w:color w:val="000000" w:themeColor="text1"/>
                      </w:rPr>
                      <m:t>E</m:t>
                    </m:r>
                  </m:e>
                  <m:sub>
                    <m:bar>
                      <m:barPr>
                        <m:pos m:val="top"/>
                        <m:ctrlPr>
                          <w:rPr>
                            <w:rFonts w:ascii="Cambria Math" w:hAnsi="Cambria Math"/>
                            <w:i/>
                          </w:rPr>
                        </m:ctrlPr>
                      </m:barPr>
                      <m:e>
                        <m:r>
                          <w:rPr>
                            <w:rFonts w:ascii="Cambria Math" w:hAnsi="Cambria Math"/>
                          </w:rPr>
                          <m:t>z</m:t>
                        </m:r>
                      </m:e>
                    </m:bar>
                    <m:r>
                      <w:rPr>
                        <w:rFonts w:ascii="Cambria Math" w:hAnsi="Cambria Math"/>
                        <w:color w:val="000000" w:themeColor="text1"/>
                      </w:rPr>
                      <m:t>i</m:t>
                    </m:r>
                  </m:sub>
                </m:sSub>
                <m:r>
                  <m:rPr>
                    <m:sty m:val="p"/>
                  </m:rPr>
                  <w:rPr>
                    <w:rFonts w:ascii="Cambria Math"/>
                    <w:color w:val="000000" w:themeColor="text1"/>
                  </w:rPr>
                  <m:t>=</m:t>
                </m:r>
              </m:oMath>
            </m:oMathPara>
          </w:p>
        </w:tc>
        <w:tc>
          <w:tcPr>
            <w:tcW w:w="6582" w:type="dxa"/>
          </w:tcPr>
          <w:p w:rsidR="00F94614" w:rsidRPr="00374785" w:rsidRDefault="00F94614" w:rsidP="00904D50">
            <w:pPr>
              <w:pStyle w:val="tMain"/>
              <w:ind w:left="0" w:firstLine="0"/>
              <w:rPr>
                <w:color w:val="000000" w:themeColor="text1"/>
              </w:rPr>
            </w:pPr>
            <w:r w:rsidRPr="00374785">
              <w:rPr>
                <w:color w:val="000000" w:themeColor="text1"/>
              </w:rPr>
              <w:t xml:space="preserve">margin of error for the </w:t>
            </w:r>
            <w:r w:rsidR="006B7902" w:rsidRPr="00374785">
              <w:rPr>
                <w:color w:val="000000" w:themeColor="text1"/>
              </w:rPr>
              <w:t xml:space="preserve">average </w:t>
            </w:r>
            <w:r w:rsidRPr="00374785">
              <w:rPr>
                <w:color w:val="000000" w:themeColor="text1"/>
              </w:rPr>
              <w:t xml:space="preserve">stocking density (in stems/ha) </w:t>
            </w:r>
            <w:r w:rsidR="00904D50" w:rsidRPr="00374785">
              <w:rPr>
                <w:color w:val="000000" w:themeColor="text1"/>
              </w:rPr>
              <w:t>for</w:t>
            </w:r>
            <w:r w:rsidRPr="00374785">
              <w:rPr>
                <w:color w:val="000000" w:themeColor="text1"/>
              </w:rPr>
              <w:t xml:space="preserve"> the </w:t>
            </w:r>
            <w:r w:rsidRPr="00374785">
              <w:rPr>
                <w:i/>
                <w:color w:val="000000" w:themeColor="text1"/>
              </w:rPr>
              <w:t>i</w:t>
            </w:r>
            <w:r w:rsidRPr="00374785">
              <w:rPr>
                <w:color w:val="000000" w:themeColor="text1"/>
                <w:vertAlign w:val="superscript"/>
              </w:rPr>
              <w:t xml:space="preserve">th </w:t>
            </w:r>
            <w:r w:rsidRPr="00374785">
              <w:rPr>
                <w:color w:val="000000" w:themeColor="text1"/>
              </w:rPr>
              <w:t>carbon estimation area.</w:t>
            </w:r>
          </w:p>
        </w:tc>
      </w:tr>
      <w:tr w:rsidR="00F94614" w:rsidRPr="00374785" w:rsidTr="00F94614">
        <w:tc>
          <w:tcPr>
            <w:tcW w:w="1696" w:type="dxa"/>
            <w:vAlign w:val="center"/>
          </w:tcPr>
          <w:p w:rsidR="00F94614" w:rsidRPr="00374785" w:rsidRDefault="0020376C" w:rsidP="00F94614">
            <w:pPr>
              <w:pStyle w:val="tMain"/>
              <w:ind w:left="0" w:firstLine="0"/>
              <w:jc w:val="right"/>
              <w:rPr>
                <w:color w:val="000000" w:themeColor="text1"/>
              </w:rPr>
            </w:pPr>
            <m:oMathPara>
              <m:oMathParaPr>
                <m:jc m:val="right"/>
              </m:oMathParaPr>
              <m:oMath>
                <m:sSub>
                  <m:sSubPr>
                    <m:ctrlPr>
                      <w:rPr>
                        <w:rFonts w:ascii="Cambria Math" w:hAnsi="Cambria Math" w:cs="Calibri"/>
                        <w:color w:val="000000" w:themeColor="text1"/>
                        <w:lang w:eastAsia="en-US"/>
                      </w:rPr>
                    </m:ctrlPr>
                  </m:sSubPr>
                  <m:e>
                    <m:r>
                      <w:rPr>
                        <w:rFonts w:ascii="Cambria Math" w:hAnsi="Cambria Math" w:cs="Calibri"/>
                        <w:color w:val="000000" w:themeColor="text1"/>
                        <w:lang w:eastAsia="en-US"/>
                      </w:rPr>
                      <m:t>t</m:t>
                    </m:r>
                  </m:e>
                  <m:sub>
                    <m:r>
                      <w:rPr>
                        <w:rFonts w:ascii="Cambria Math" w:hAnsi="Cambria Math" w:cs="Calibri"/>
                        <w:color w:val="000000" w:themeColor="text1"/>
                        <w:lang w:eastAsia="en-US"/>
                      </w:rPr>
                      <m:t>0.05</m:t>
                    </m:r>
                  </m:sub>
                </m:sSub>
                <m:r>
                  <w:rPr>
                    <w:rFonts w:ascii="Cambria Math" w:hAnsi="Cambria Math" w:cs="Calibri"/>
                    <w:color w:val="000000" w:themeColor="text1"/>
                    <w:lang w:eastAsia="en-US"/>
                  </w:rPr>
                  <m:t>=</m:t>
                </m:r>
              </m:oMath>
            </m:oMathPara>
          </w:p>
        </w:tc>
        <w:tc>
          <w:tcPr>
            <w:tcW w:w="6582" w:type="dxa"/>
          </w:tcPr>
          <w:p w:rsidR="00F94614" w:rsidRPr="00374785" w:rsidRDefault="00F94614" w:rsidP="001D74E4">
            <w:pPr>
              <w:pStyle w:val="tMain"/>
              <w:ind w:left="0" w:firstLine="0"/>
              <w:rPr>
                <w:color w:val="000000" w:themeColor="text1"/>
              </w:rPr>
            </w:pPr>
            <w:r w:rsidRPr="00374785">
              <w:rPr>
                <w:color w:val="000000" w:themeColor="text1"/>
              </w:rPr>
              <w:t>critical value of the t-distribution for a Student</w:t>
            </w:r>
            <w:r w:rsidR="00BD24D7" w:rsidRPr="00374785">
              <w:rPr>
                <w:color w:val="000000" w:themeColor="text1"/>
              </w:rPr>
              <w:t>’s</w:t>
            </w:r>
            <w:r w:rsidRPr="00374785">
              <w:rPr>
                <w:color w:val="000000" w:themeColor="text1"/>
              </w:rPr>
              <w:t xml:space="preserve"> t-test, using </w:t>
            </w:r>
            <m:oMath>
              <m:sSub>
                <m:sSubPr>
                  <m:ctrlPr>
                    <w:rPr>
                      <w:rFonts w:ascii="Cambria Math" w:hAnsi="Cambria Math"/>
                      <w:i/>
                      <w:color w:val="000000" w:themeColor="text1"/>
                    </w:rPr>
                  </m:ctrlPr>
                </m:sSubPr>
                <m:e>
                  <m:r>
                    <w:rPr>
                      <w:rFonts w:ascii="Cambria Math" w:eastAsiaTheme="minorEastAsia" w:hAnsi="Cambria Math"/>
                      <w:color w:val="000000"/>
                    </w:rPr>
                    <m:t>M</m:t>
                  </m:r>
                </m:e>
                <m:sub>
                  <m:r>
                    <w:rPr>
                      <w:rFonts w:ascii="Cambria Math" w:hAnsi="Cambria Math"/>
                      <w:color w:val="000000" w:themeColor="text1"/>
                    </w:rPr>
                    <m:t>i</m:t>
                  </m:r>
                </m:sub>
              </m:sSub>
            </m:oMath>
            <w:r w:rsidRPr="00374785">
              <w:rPr>
                <w:color w:val="000000" w:themeColor="text1"/>
              </w:rPr>
              <w:t xml:space="preserve">-1 degrees of freedom at the </w:t>
            </w:r>
            <w:r w:rsidRPr="00374785">
              <w:rPr>
                <w:i/>
                <w:color w:val="000000" w:themeColor="text1"/>
              </w:rPr>
              <w:t>P</w:t>
            </w:r>
            <w:r w:rsidRPr="00374785">
              <w:rPr>
                <w:color w:val="000000" w:themeColor="text1"/>
              </w:rPr>
              <w:t>=0.05 level of significance.</w:t>
            </w:r>
          </w:p>
        </w:tc>
      </w:tr>
      <w:tr w:rsidR="00F94614" w:rsidRPr="00374785" w:rsidTr="00F94614">
        <w:tc>
          <w:tcPr>
            <w:tcW w:w="1696" w:type="dxa"/>
            <w:vAlign w:val="center"/>
          </w:tcPr>
          <w:p w:rsidR="00F94614" w:rsidRPr="00374785" w:rsidRDefault="0020376C" w:rsidP="00F94614">
            <w:pPr>
              <w:pStyle w:val="tMain"/>
              <w:ind w:left="0" w:firstLine="0"/>
              <w:jc w:val="right"/>
              <w:rPr>
                <w:color w:val="000000" w:themeColor="text1"/>
              </w:rPr>
            </w:pPr>
            <m:oMathPara>
              <m:oMathParaPr>
                <m:jc m:val="right"/>
              </m:oMathParaPr>
              <m:oMath>
                <m:sSub>
                  <m:sSubPr>
                    <m:ctrlPr>
                      <w:rPr>
                        <w:rFonts w:ascii="Cambria Math" w:hAnsi="Cambria Math" w:cs="Calibri"/>
                        <w:i/>
                        <w:color w:val="000000" w:themeColor="text1"/>
                        <w:lang w:eastAsia="en-US"/>
                      </w:rPr>
                    </m:ctrlPr>
                  </m:sSubPr>
                  <m:e>
                    <m:r>
                      <m:rPr>
                        <m:sty m:val="p"/>
                      </m:rPr>
                      <w:rPr>
                        <w:rFonts w:ascii="Cambria Math" w:hAnsi="Cambria Math"/>
                        <w:color w:val="000000"/>
                      </w:rPr>
                      <m:t>σ</m:t>
                    </m:r>
                  </m:e>
                  <m:sub>
                    <m:bar>
                      <m:barPr>
                        <m:pos m:val="top"/>
                        <m:ctrlPr>
                          <w:rPr>
                            <w:rFonts w:ascii="Cambria Math" w:hAnsi="Cambria Math"/>
                            <w:i/>
                            <w:color w:val="000000"/>
                          </w:rPr>
                        </m:ctrlPr>
                      </m:barPr>
                      <m:e>
                        <m:r>
                          <w:rPr>
                            <w:rFonts w:ascii="Cambria Math" w:hAnsi="Cambria Math"/>
                            <w:color w:val="000000"/>
                          </w:rPr>
                          <m:t>z</m:t>
                        </m:r>
                      </m:e>
                    </m:bar>
                    <m:r>
                      <w:rPr>
                        <w:rFonts w:ascii="Cambria Math" w:hAnsi="Cambria Math" w:cs="Calibri"/>
                        <w:color w:val="000000" w:themeColor="text1"/>
                        <w:lang w:eastAsia="en-US"/>
                      </w:rPr>
                      <m:t>i</m:t>
                    </m:r>
                  </m:sub>
                </m:sSub>
                <m:r>
                  <w:rPr>
                    <w:rFonts w:ascii="Cambria Math" w:hAnsi="Cambria Math" w:cs="Calibri"/>
                    <w:color w:val="000000" w:themeColor="text1"/>
                    <w:lang w:eastAsia="en-US"/>
                  </w:rPr>
                  <m:t>=</m:t>
                </m:r>
              </m:oMath>
            </m:oMathPara>
          </w:p>
        </w:tc>
        <w:tc>
          <w:tcPr>
            <w:tcW w:w="6582" w:type="dxa"/>
          </w:tcPr>
          <w:p w:rsidR="00F94614" w:rsidRPr="00374785" w:rsidRDefault="00F94614" w:rsidP="00F94614">
            <w:pPr>
              <w:pStyle w:val="tMain"/>
              <w:ind w:left="0" w:firstLine="0"/>
              <w:rPr>
                <w:color w:val="000000" w:themeColor="text1"/>
              </w:rPr>
            </w:pPr>
            <w:r w:rsidRPr="00374785">
              <w:rPr>
                <w:color w:val="000000" w:themeColor="text1"/>
              </w:rPr>
              <w:t>standard deviation of average stocking density (</w:t>
            </w:r>
            <m:oMath>
              <m:bar>
                <m:barPr>
                  <m:pos m:val="top"/>
                  <m:ctrlPr>
                    <w:rPr>
                      <w:rFonts w:ascii="Cambria Math" w:hAnsi="Cambria Math"/>
                      <w:i/>
                    </w:rPr>
                  </m:ctrlPr>
                </m:barPr>
                <m:e>
                  <m:r>
                    <w:rPr>
                      <w:rFonts w:ascii="Cambria Math" w:hAnsi="Cambria Math"/>
                    </w:rPr>
                    <m:t>z</m:t>
                  </m:r>
                </m:e>
              </m:bar>
            </m:oMath>
            <w:r w:rsidRPr="00374785">
              <w:rPr>
                <w:color w:val="000000" w:themeColor="text1"/>
              </w:rPr>
              <w:t xml:space="preserve">) for plots within the </w:t>
            </w:r>
            <w:r w:rsidRPr="00374785">
              <w:rPr>
                <w:i/>
                <w:color w:val="000000" w:themeColor="text1"/>
              </w:rPr>
              <w:t>i</w:t>
            </w:r>
            <w:r w:rsidRPr="00374785">
              <w:rPr>
                <w:color w:val="000000" w:themeColor="text1"/>
                <w:vertAlign w:val="superscript"/>
              </w:rPr>
              <w:t xml:space="preserve">th </w:t>
            </w:r>
            <w:r w:rsidRPr="00374785">
              <w:rPr>
                <w:color w:val="000000" w:themeColor="text1"/>
              </w:rPr>
              <w:t>carbon estimation area.</w:t>
            </w:r>
          </w:p>
        </w:tc>
      </w:tr>
      <w:tr w:rsidR="00F94614" w:rsidRPr="00374785" w:rsidTr="00F94614">
        <w:tc>
          <w:tcPr>
            <w:tcW w:w="1696" w:type="dxa"/>
            <w:vAlign w:val="center"/>
          </w:tcPr>
          <w:p w:rsidR="00F94614" w:rsidRPr="00374785" w:rsidRDefault="0020376C" w:rsidP="00F94614">
            <w:pPr>
              <w:pStyle w:val="tMain"/>
              <w:ind w:left="0" w:firstLine="0"/>
              <w:jc w:val="right"/>
              <w:rPr>
                <w:color w:val="000000" w:themeColor="text1"/>
              </w:rPr>
            </w:pPr>
            <m:oMath>
              <m:sSub>
                <m:sSubPr>
                  <m:ctrlPr>
                    <w:rPr>
                      <w:rFonts w:ascii="Cambria Math" w:hAnsi="Cambria Math"/>
                      <w:i/>
                      <w:color w:val="000000" w:themeColor="text1"/>
                    </w:rPr>
                  </m:ctrlPr>
                </m:sSubPr>
                <m:e>
                  <m:r>
                    <w:rPr>
                      <w:rFonts w:ascii="Cambria Math" w:eastAsiaTheme="minorEastAsia" w:hAnsi="Cambria Math"/>
                      <w:color w:val="000000"/>
                    </w:rPr>
                    <m:t>M</m:t>
                  </m:r>
                </m:e>
                <m:sub>
                  <m:r>
                    <w:rPr>
                      <w:rFonts w:ascii="Cambria Math" w:hAnsi="Cambria Math"/>
                      <w:color w:val="000000" w:themeColor="text1"/>
                    </w:rPr>
                    <m:t>i</m:t>
                  </m:r>
                </m:sub>
              </m:sSub>
            </m:oMath>
            <w:r w:rsidR="00F94614" w:rsidRPr="00374785">
              <w:rPr>
                <w:color w:val="000000" w:themeColor="text1"/>
              </w:rPr>
              <w:t xml:space="preserve"> </w:t>
            </w:r>
            <m:oMath>
              <m:r>
                <w:rPr>
                  <w:rFonts w:ascii="Cambria Math" w:hAnsi="Cambria Math"/>
                  <w:color w:val="000000" w:themeColor="text1"/>
                </w:rPr>
                <m:t>=</m:t>
              </m:r>
            </m:oMath>
          </w:p>
        </w:tc>
        <w:tc>
          <w:tcPr>
            <w:tcW w:w="6582" w:type="dxa"/>
          </w:tcPr>
          <w:p w:rsidR="00F94614" w:rsidRPr="00374785" w:rsidRDefault="00904D50" w:rsidP="006B7902">
            <w:pPr>
              <w:pStyle w:val="tMain"/>
              <w:ind w:left="0" w:firstLine="0"/>
              <w:rPr>
                <w:color w:val="000000" w:themeColor="text1"/>
              </w:rPr>
            </w:pPr>
            <w:r w:rsidRPr="00374785">
              <w:rPr>
                <w:color w:val="000000" w:themeColor="text1"/>
              </w:rPr>
              <w:t xml:space="preserve">total number of plots in the </w:t>
            </w:r>
            <w:r w:rsidRPr="00374785">
              <w:rPr>
                <w:i/>
              </w:rPr>
              <w:t>i</w:t>
            </w:r>
            <w:r w:rsidRPr="00374785">
              <w:rPr>
                <w:vertAlign w:val="superscript"/>
              </w:rPr>
              <w:t>th</w:t>
            </w:r>
            <w:r w:rsidRPr="00374785">
              <w:rPr>
                <w:color w:val="000000" w:themeColor="text1"/>
              </w:rPr>
              <w:t xml:space="preserve"> carbon estimation area.</w:t>
            </w:r>
          </w:p>
        </w:tc>
      </w:tr>
      <w:tr w:rsidR="006570B5" w:rsidRPr="00374785" w:rsidTr="006570B5">
        <w:tc>
          <w:tcPr>
            <w:tcW w:w="1696" w:type="dxa"/>
            <w:vAlign w:val="center"/>
          </w:tcPr>
          <w:p w:rsidR="006570B5" w:rsidRPr="00374785" w:rsidRDefault="006570B5" w:rsidP="008B7F4F">
            <w:pPr>
              <w:pStyle w:val="tMain"/>
              <w:ind w:left="0" w:firstLine="0"/>
              <w:jc w:val="right"/>
              <w:rPr>
                <w:iCs/>
                <w:color w:val="000000"/>
              </w:rPr>
            </w:pPr>
            <w:r w:rsidRPr="00374785">
              <w:rPr>
                <w:i/>
              </w:rPr>
              <w:t>i</w:t>
            </w:r>
            <w:r w:rsidR="008B7F4F" w:rsidRPr="00374785">
              <w:rPr>
                <w:i/>
              </w:rPr>
              <w:t xml:space="preserve"> </w:t>
            </w:r>
            <w:r w:rsidRPr="00374785">
              <w:rPr>
                <w:i/>
              </w:rPr>
              <w:t>=</w:t>
            </w:r>
          </w:p>
        </w:tc>
        <w:tc>
          <w:tcPr>
            <w:tcW w:w="6582" w:type="dxa"/>
          </w:tcPr>
          <w:p w:rsidR="006570B5" w:rsidRPr="00374785" w:rsidRDefault="008B7F4F" w:rsidP="006570B5">
            <w:pPr>
              <w:pStyle w:val="tMain"/>
              <w:ind w:left="0" w:firstLine="0"/>
              <w:rPr>
                <w:color w:val="000000" w:themeColor="text1"/>
              </w:rPr>
            </w:pPr>
            <w:r w:rsidRPr="00374785">
              <w:rPr>
                <w:i/>
              </w:rPr>
              <w:t>i</w:t>
            </w:r>
            <w:r w:rsidRPr="00374785">
              <w:rPr>
                <w:vertAlign w:val="superscript"/>
              </w:rPr>
              <w:t>th</w:t>
            </w:r>
            <w:r w:rsidRPr="00374785">
              <w:t xml:space="preserve"> </w:t>
            </w:r>
            <w:r w:rsidR="006570B5" w:rsidRPr="00374785">
              <w:t>carbon estimation area.</w:t>
            </w:r>
          </w:p>
        </w:tc>
      </w:tr>
    </w:tbl>
    <w:p w:rsidR="003D3233" w:rsidRPr="00374785" w:rsidRDefault="003D3233" w:rsidP="003D3233">
      <w:pPr>
        <w:pStyle w:val="tMain"/>
      </w:pPr>
      <w:r w:rsidRPr="00374785">
        <w:tab/>
      </w:r>
      <w:r w:rsidR="007F3C0F">
        <w:t>(2)</w:t>
      </w:r>
      <w:r w:rsidRPr="00374785">
        <w:tab/>
        <w:t xml:space="preserve">The standard deviation </w:t>
      </w:r>
      <w:r w:rsidR="009870AB" w:rsidRPr="00374785">
        <w:t xml:space="preserve">of the average </w:t>
      </w:r>
      <w:r w:rsidR="009870AB" w:rsidRPr="00374785">
        <w:rPr>
          <w:color w:val="000000" w:themeColor="text1"/>
        </w:rPr>
        <w:t>stocking density</w:t>
      </w:r>
      <w:r w:rsidR="009870AB" w:rsidRPr="00374785">
        <w:t xml:space="preserve"> for plots within the carbon estimation area </w:t>
      </w:r>
      <w:r w:rsidRPr="00374785">
        <w:t xml:space="preserve">must be calculated using the formula for sample standard deviation </w:t>
      </w:r>
      <w:r w:rsidR="00FB2F5A" w:rsidRPr="00374785">
        <w:t xml:space="preserve">using Equation 3a </w:t>
      </w:r>
      <w:r w:rsidRPr="00374785">
        <w:t>as follows:</w:t>
      </w:r>
    </w:p>
    <w:tbl>
      <w:tblPr>
        <w:tblStyle w:val="TableGrid"/>
        <w:tblW w:w="0" w:type="auto"/>
        <w:tblInd w:w="964" w:type="dxa"/>
        <w:tblLook w:val="04A0"/>
      </w:tblPr>
      <w:tblGrid>
        <w:gridCol w:w="6374"/>
        <w:gridCol w:w="1904"/>
      </w:tblGrid>
      <w:tr w:rsidR="004C700A" w:rsidRPr="00374785" w:rsidTr="00B671D2">
        <w:trPr>
          <w:trHeight w:val="2024"/>
        </w:trPr>
        <w:tc>
          <w:tcPr>
            <w:tcW w:w="6374" w:type="dxa"/>
            <w:vAlign w:val="center"/>
          </w:tcPr>
          <w:p w:rsidR="004C700A" w:rsidRPr="00374785" w:rsidRDefault="0020376C" w:rsidP="004C700A">
            <w:pPr>
              <w:jc w:val="center"/>
              <w:rPr>
                <w:sz w:val="22"/>
                <w:szCs w:val="22"/>
                <w:lang w:eastAsia="en-US"/>
              </w:rPr>
            </w:pPr>
            <m:oMathPara>
              <m:oMath>
                <m:sSub>
                  <m:sSubPr>
                    <m:ctrlPr>
                      <w:rPr>
                        <w:rFonts w:ascii="Cambria Math" w:hAnsi="Cambria Math" w:cs="Calibri"/>
                        <w:i/>
                        <w:color w:val="000000" w:themeColor="text1"/>
                        <w:lang w:eastAsia="en-US"/>
                      </w:rPr>
                    </m:ctrlPr>
                  </m:sSubPr>
                  <m:e>
                    <m:r>
                      <m:rPr>
                        <m:sty m:val="p"/>
                      </m:rPr>
                      <w:rPr>
                        <w:rFonts w:ascii="Cambria Math" w:hAnsi="Cambria Math"/>
                        <w:color w:val="000000"/>
                      </w:rPr>
                      <m:t>σ</m:t>
                    </m:r>
                  </m:e>
                  <m:sub>
                    <m:bar>
                      <m:barPr>
                        <m:pos m:val="top"/>
                        <m:ctrlPr>
                          <w:rPr>
                            <w:rFonts w:ascii="Cambria Math" w:hAnsi="Cambria Math"/>
                            <w:i/>
                            <w:color w:val="000000"/>
                          </w:rPr>
                        </m:ctrlPr>
                      </m:barPr>
                      <m:e>
                        <m:r>
                          <w:rPr>
                            <w:rFonts w:ascii="Cambria Math" w:hAnsi="Cambria Math"/>
                            <w:color w:val="000000"/>
                          </w:rPr>
                          <m:t>z</m:t>
                        </m:r>
                      </m:e>
                    </m:bar>
                    <m:r>
                      <w:rPr>
                        <w:rFonts w:ascii="Cambria Math" w:hAnsi="Cambria Math" w:cs="Calibri"/>
                        <w:color w:val="000000" w:themeColor="text1"/>
                        <w:lang w:eastAsia="en-US"/>
                      </w:rPr>
                      <m:t>i</m:t>
                    </m:r>
                  </m:sub>
                </m:sSub>
                <m:r>
                  <m:rPr>
                    <m:sty m:val="p"/>
                  </m:rPr>
                  <w:rPr>
                    <w:rFonts w:ascii="Cambria Math" w:hAnsi="Cambria Math" w:cs="Cambria Math"/>
                  </w:rPr>
                  <m:t>=</m:t>
                </m:r>
                <m:rad>
                  <m:radPr>
                    <m:degHide m:val="on"/>
                    <m:ctrlPr>
                      <w:rPr>
                        <w:rFonts w:ascii="Cambria Math" w:hAnsi="Cambria Math"/>
                      </w:rPr>
                    </m:ctrlPr>
                  </m:radPr>
                  <m:deg/>
                  <m:e>
                    <m:f>
                      <m:fPr>
                        <m:ctrlPr>
                          <w:rPr>
                            <w:rFonts w:ascii="Cambria Math" w:hAnsi="Cambria Math"/>
                          </w:rPr>
                        </m:ctrlPr>
                      </m:fPr>
                      <m:num>
                        <m:r>
                          <m:rPr>
                            <m:sty m:val="p"/>
                          </m:rPr>
                          <w:rPr>
                            <w:rFonts w:ascii="Cambria Math" w:hAnsi="Cambria Math" w:cs="Cambria Math"/>
                          </w:rPr>
                          <m:t>1</m:t>
                        </m:r>
                      </m:num>
                      <m:den>
                        <m:sSub>
                          <m:sSubPr>
                            <m:ctrlPr>
                              <w:rPr>
                                <w:rFonts w:ascii="Cambria Math" w:hAnsi="Cambria Math"/>
                                <w:i/>
                                <w:color w:val="000000" w:themeColor="text1"/>
                              </w:rPr>
                            </m:ctrlPr>
                          </m:sSubPr>
                          <m:e>
                            <m:r>
                              <w:rPr>
                                <w:rFonts w:ascii="Cambria Math" w:eastAsiaTheme="minorEastAsia" w:hAnsi="Cambria Math"/>
                                <w:color w:val="000000"/>
                              </w:rPr>
                              <m:t>M</m:t>
                            </m:r>
                          </m:e>
                          <m:sub>
                            <m:r>
                              <w:rPr>
                                <w:rFonts w:ascii="Cambria Math" w:hAnsi="Cambria Math"/>
                                <w:color w:val="000000" w:themeColor="text1"/>
                              </w:rPr>
                              <m:t>i</m:t>
                            </m:r>
                          </m:sub>
                        </m:sSub>
                        <m:r>
                          <w:rPr>
                            <w:rFonts w:ascii="Cambria Math" w:hAnsi="Cambria Math"/>
                            <w:color w:val="000000" w:themeColor="text1"/>
                          </w:rPr>
                          <m:t>-1</m:t>
                        </m:r>
                      </m:den>
                    </m:f>
                    <m:nary>
                      <m:naryPr>
                        <m:chr m:val="∑"/>
                        <m:limLoc m:val="undOvr"/>
                        <m:ctrlPr>
                          <w:rPr>
                            <w:rFonts w:ascii="Cambria Math" w:eastAsiaTheme="minorHAnsi" w:hAnsi="Cambria Math" w:cs="Cambria Math"/>
                            <w:i/>
                            <w:sz w:val="22"/>
                            <w:szCs w:val="22"/>
                            <w:lang w:eastAsia="en-US"/>
                          </w:rPr>
                        </m:ctrlPr>
                      </m:naryPr>
                      <m:sub>
                        <m:r>
                          <w:rPr>
                            <w:rFonts w:ascii="Cambria Math" w:hAnsi="Cambria Math" w:cs="Cambria Math"/>
                          </w:rPr>
                          <m:t>i=1</m:t>
                        </m:r>
                      </m:sub>
                      <m:sup>
                        <m:sSub>
                          <m:sSubPr>
                            <m:ctrlPr>
                              <w:rPr>
                                <w:rFonts w:ascii="Cambria Math" w:hAnsi="Cambria Math"/>
                                <w:i/>
                                <w:color w:val="000000" w:themeColor="text1"/>
                              </w:rPr>
                            </m:ctrlPr>
                          </m:sSubPr>
                          <m:e>
                            <m:r>
                              <w:rPr>
                                <w:rFonts w:ascii="Cambria Math" w:eastAsiaTheme="minorEastAsia" w:hAnsi="Cambria Math"/>
                                <w:color w:val="000000"/>
                              </w:rPr>
                              <m:t>M</m:t>
                            </m:r>
                          </m:e>
                          <m:sub>
                            <m:r>
                              <w:rPr>
                                <w:rFonts w:ascii="Cambria Math" w:hAnsi="Cambria Math"/>
                                <w:color w:val="000000" w:themeColor="text1"/>
                              </w:rPr>
                              <m:t>i</m:t>
                            </m:r>
                          </m:sub>
                        </m:sSub>
                      </m:sup>
                      <m:e>
                        <m:sSup>
                          <m:sSupPr>
                            <m:ctrlPr>
                              <w:rPr>
                                <w:rFonts w:ascii="Cambria Math" w:eastAsiaTheme="minorHAnsi" w:hAnsi="Cambria Math" w:cs="Cambria Math"/>
                                <w:i/>
                                <w:sz w:val="22"/>
                                <w:szCs w:val="22"/>
                                <w:lang w:eastAsia="en-US"/>
                              </w:rPr>
                            </m:ctrlPr>
                          </m:sSupPr>
                          <m:e>
                            <m:r>
                              <w:rPr>
                                <w:rFonts w:ascii="Cambria Math" w:hAnsi="Cambria Math" w:cs="Cambria Math"/>
                              </w:rPr>
                              <m:t>(</m:t>
                            </m:r>
                            <m:sSub>
                              <m:sSubPr>
                                <m:ctrlPr>
                                  <w:rPr>
                                    <w:rFonts w:ascii="Cambria Math" w:hAnsi="Cambria Math"/>
                                    <w:i/>
                                    <w:iCs/>
                                    <w:color w:val="000000"/>
                                  </w:rPr>
                                </m:ctrlPr>
                              </m:sSubPr>
                              <m:e>
                                <m:r>
                                  <m:rPr>
                                    <m:sty m:val="p"/>
                                  </m:rPr>
                                  <w:rPr>
                                    <w:rFonts w:ascii="Cambria Math" w:hAnsi="Cambria Math"/>
                                    <w:color w:val="000000"/>
                                  </w:rPr>
                                  <m:t>z</m:t>
                                </m:r>
                              </m:e>
                              <m:sub>
                                <m:r>
                                  <w:rPr>
                                    <w:rFonts w:ascii="Cambria Math" w:hAnsi="Cambria Math"/>
                                    <w:color w:val="000000"/>
                                  </w:rPr>
                                  <m:t>ij</m:t>
                                </m:r>
                              </m:sub>
                            </m:sSub>
                            <m:r>
                              <w:rPr>
                                <w:rFonts w:ascii="Cambria Math" w:hAnsi="Cambria Math" w:cs="Cambria Math"/>
                              </w:rPr>
                              <m:t>-</m:t>
                            </m:r>
                            <m:sSub>
                              <m:sSubPr>
                                <m:ctrlPr>
                                  <w:rPr>
                                    <w:rFonts w:ascii="Cambria Math" w:hAnsi="Cambria Math" w:cs="Cambria Math"/>
                                    <w:i/>
                                  </w:rPr>
                                </m:ctrlPr>
                              </m:sSubPr>
                              <m:e>
                                <m:r>
                                  <w:rPr>
                                    <w:rFonts w:ascii="Cambria Math" w:hAnsi="Cambria Math" w:cs="Cambria Math"/>
                                  </w:rPr>
                                  <m:t>μ</m:t>
                                </m:r>
                              </m:e>
                              <m:sub>
                                <m:r>
                                  <w:rPr>
                                    <w:rFonts w:ascii="Cambria Math" w:hAnsi="Cambria Math" w:cs="Cambria Math"/>
                                  </w:rPr>
                                  <m:t>z</m:t>
                                </m:r>
                              </m:sub>
                            </m:sSub>
                            <m:r>
                              <w:rPr>
                                <w:rFonts w:ascii="Cambria Math" w:hAnsi="Cambria Math" w:cs="Cambria Math"/>
                              </w:rPr>
                              <m:t>)</m:t>
                            </m:r>
                          </m:e>
                          <m:sup>
                            <m:r>
                              <w:rPr>
                                <w:rFonts w:ascii="Cambria Math" w:hAnsi="Cambria Math" w:cs="Cambria Math"/>
                              </w:rPr>
                              <m:t>2</m:t>
                            </m:r>
                          </m:sup>
                        </m:sSup>
                      </m:e>
                    </m:nary>
                    <m:r>
                      <w:rPr>
                        <w:rFonts w:ascii="Cambria Math" w:hAnsi="Cambria Math" w:cs="Cambria Math"/>
                      </w:rPr>
                      <m:t xml:space="preserve"> </m:t>
                    </m:r>
                  </m:e>
                </m:rad>
                <m:r>
                  <m:rPr>
                    <m:sty m:val="p"/>
                  </m:rPr>
                  <w:rPr>
                    <w:rFonts w:ascii="Cambria Math" w:hAnsi="Cambria Math"/>
                  </w:rPr>
                  <m:t xml:space="preserve">          </m:t>
                </m:r>
                <m:r>
                  <m:rPr>
                    <m:sty m:val="p"/>
                  </m:rPr>
                  <w:rPr>
                    <w:rFonts w:ascii="Cambria Math" w:hAnsi="Cambria Math" w:cs="Cambria Math"/>
                  </w:rPr>
                  <m:t>where</m:t>
                </m:r>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μ</m:t>
                    </m:r>
                  </m:e>
                  <m:sub>
                    <m:r>
                      <w:rPr>
                        <w:rFonts w:ascii="Cambria Math" w:hAnsi="Cambria Math" w:cs="Cambria Math"/>
                      </w:rPr>
                      <m:t>z</m:t>
                    </m:r>
                  </m:sub>
                </m:sSub>
                <m:r>
                  <w:rPr>
                    <w:rFonts w:ascii="Cambria Math" w:hAnsi="Cambria Math" w:cs="Cambria Math"/>
                  </w:rPr>
                  <m:t>=</m:t>
                </m:r>
                <m:f>
                  <m:fPr>
                    <m:ctrlPr>
                      <w:rPr>
                        <w:rFonts w:ascii="Cambria Math" w:hAnsi="Cambria Math"/>
                      </w:rPr>
                    </m:ctrlPr>
                  </m:fPr>
                  <m:num>
                    <m:r>
                      <m:rPr>
                        <m:sty m:val="p"/>
                      </m:rPr>
                      <w:rPr>
                        <w:rFonts w:ascii="Cambria Math" w:hAnsi="Cambria Math" w:cs="Cambria Math"/>
                      </w:rPr>
                      <m:t>1</m:t>
                    </m:r>
                  </m:num>
                  <m:den>
                    <m:sSub>
                      <m:sSubPr>
                        <m:ctrlPr>
                          <w:rPr>
                            <w:rFonts w:ascii="Cambria Math" w:hAnsi="Cambria Math"/>
                            <w:i/>
                            <w:color w:val="000000" w:themeColor="text1"/>
                          </w:rPr>
                        </m:ctrlPr>
                      </m:sSubPr>
                      <m:e>
                        <m:r>
                          <w:rPr>
                            <w:rFonts w:ascii="Cambria Math" w:eastAsiaTheme="minorEastAsia" w:hAnsi="Cambria Math"/>
                            <w:color w:val="000000"/>
                          </w:rPr>
                          <m:t>M</m:t>
                        </m:r>
                      </m:e>
                      <m:sub>
                        <m:r>
                          <w:rPr>
                            <w:rFonts w:ascii="Cambria Math" w:hAnsi="Cambria Math"/>
                            <w:color w:val="000000" w:themeColor="text1"/>
                          </w:rPr>
                          <m:t>i</m:t>
                        </m:r>
                      </m:sub>
                    </m:sSub>
                    <m:r>
                      <w:rPr>
                        <w:rFonts w:ascii="Cambria Math" w:hAnsi="Cambria Math"/>
                        <w:color w:val="000000" w:themeColor="text1"/>
                      </w:rPr>
                      <m:t>-1</m:t>
                    </m:r>
                  </m:den>
                </m:f>
                <m:nary>
                  <m:naryPr>
                    <m:chr m:val="∑"/>
                    <m:limLoc m:val="undOvr"/>
                    <m:ctrlPr>
                      <w:rPr>
                        <w:rFonts w:ascii="Cambria Math" w:eastAsiaTheme="minorHAnsi" w:hAnsi="Cambria Math" w:cs="Cambria Math"/>
                        <w:i/>
                        <w:sz w:val="22"/>
                        <w:szCs w:val="22"/>
                        <w:lang w:eastAsia="en-US"/>
                      </w:rPr>
                    </m:ctrlPr>
                  </m:naryPr>
                  <m:sub>
                    <m:r>
                      <w:rPr>
                        <w:rFonts w:ascii="Cambria Math" w:hAnsi="Cambria Math" w:cs="Cambria Math"/>
                      </w:rPr>
                      <m:t>i=1</m:t>
                    </m:r>
                  </m:sub>
                  <m:sup>
                    <m:sSub>
                      <m:sSubPr>
                        <m:ctrlPr>
                          <w:rPr>
                            <w:rFonts w:ascii="Cambria Math" w:hAnsi="Cambria Math"/>
                            <w:i/>
                            <w:color w:val="000000" w:themeColor="text1"/>
                          </w:rPr>
                        </m:ctrlPr>
                      </m:sSubPr>
                      <m:e>
                        <m:r>
                          <w:rPr>
                            <w:rFonts w:ascii="Cambria Math" w:eastAsiaTheme="minorEastAsia" w:hAnsi="Cambria Math"/>
                            <w:color w:val="000000"/>
                          </w:rPr>
                          <m:t>M</m:t>
                        </m:r>
                      </m:e>
                      <m:sub>
                        <m:r>
                          <w:rPr>
                            <w:rFonts w:ascii="Cambria Math" w:hAnsi="Cambria Math"/>
                            <w:color w:val="000000" w:themeColor="text1"/>
                          </w:rPr>
                          <m:t>i</m:t>
                        </m:r>
                      </m:sub>
                    </m:sSub>
                  </m:sup>
                  <m:e>
                    <m:sSub>
                      <m:sSubPr>
                        <m:ctrlPr>
                          <w:rPr>
                            <w:rFonts w:ascii="Cambria Math" w:hAnsi="Cambria Math"/>
                            <w:i/>
                            <w:iCs/>
                            <w:color w:val="000000"/>
                          </w:rPr>
                        </m:ctrlPr>
                      </m:sSubPr>
                      <m:e>
                        <m:r>
                          <m:rPr>
                            <m:sty m:val="p"/>
                          </m:rPr>
                          <w:rPr>
                            <w:rFonts w:ascii="Cambria Math" w:hAnsi="Cambria Math"/>
                            <w:color w:val="000000"/>
                          </w:rPr>
                          <m:t>z</m:t>
                        </m:r>
                      </m:e>
                      <m:sub>
                        <m:r>
                          <w:rPr>
                            <w:rFonts w:ascii="Cambria Math" w:hAnsi="Cambria Math"/>
                            <w:color w:val="000000"/>
                          </w:rPr>
                          <m:t>ij</m:t>
                        </m:r>
                      </m:sub>
                    </m:sSub>
                  </m:e>
                </m:nary>
              </m:oMath>
            </m:oMathPara>
          </w:p>
          <w:p w:rsidR="004C700A" w:rsidRPr="00374785" w:rsidRDefault="004C700A" w:rsidP="004C700A">
            <w:pPr>
              <w:pStyle w:val="tMain"/>
              <w:spacing w:before="100" w:line="360" w:lineRule="auto"/>
              <w:ind w:left="0" w:firstLine="0"/>
              <w:jc w:val="center"/>
              <w:rPr>
                <w:color w:val="000000" w:themeColor="text1"/>
              </w:rPr>
            </w:pPr>
          </w:p>
        </w:tc>
        <w:tc>
          <w:tcPr>
            <w:tcW w:w="1904" w:type="dxa"/>
            <w:vAlign w:val="center"/>
          </w:tcPr>
          <w:p w:rsidR="004C700A" w:rsidRPr="00374785" w:rsidRDefault="004C700A" w:rsidP="004C700A">
            <w:pPr>
              <w:pStyle w:val="tMain"/>
              <w:ind w:left="0" w:firstLine="0"/>
              <w:jc w:val="center"/>
              <w:rPr>
                <w:b/>
                <w:color w:val="000000" w:themeColor="text1"/>
              </w:rPr>
            </w:pPr>
            <w:r w:rsidRPr="00374785">
              <w:rPr>
                <w:b/>
                <w:color w:val="000000" w:themeColor="text1"/>
              </w:rPr>
              <w:t>Equation 3a</w:t>
            </w:r>
          </w:p>
        </w:tc>
      </w:tr>
    </w:tbl>
    <w:p w:rsidR="00E41C30" w:rsidRPr="00374785" w:rsidRDefault="00E41C30" w:rsidP="00E41C30">
      <w:pPr>
        <w:pStyle w:val="tMain"/>
        <w:rPr>
          <w:color w:val="000000" w:themeColor="text1"/>
        </w:rPr>
      </w:pPr>
      <w:r w:rsidRPr="00374785">
        <w:rPr>
          <w:color w:val="000000" w:themeColor="text1"/>
        </w:rPr>
        <w:tab/>
      </w:r>
      <w:r w:rsidRPr="00374785">
        <w:rPr>
          <w:color w:val="000000" w:themeColor="text1"/>
        </w:rPr>
        <w:tab/>
        <w:t>Where:</w:t>
      </w:r>
    </w:p>
    <w:tbl>
      <w:tblPr>
        <w:tblStyle w:val="TableGrid"/>
        <w:tblW w:w="0" w:type="auto"/>
        <w:tblInd w:w="964" w:type="dxa"/>
        <w:tblLook w:val="04A0"/>
      </w:tblPr>
      <w:tblGrid>
        <w:gridCol w:w="1696"/>
        <w:gridCol w:w="6582"/>
      </w:tblGrid>
      <w:tr w:rsidR="00E41C30" w:rsidRPr="00374785" w:rsidTr="00E41C30">
        <w:tc>
          <w:tcPr>
            <w:tcW w:w="1696" w:type="dxa"/>
            <w:vAlign w:val="center"/>
          </w:tcPr>
          <w:p w:rsidR="00E41C30" w:rsidRPr="00374785" w:rsidRDefault="0020376C" w:rsidP="00E41C30">
            <w:pPr>
              <w:pStyle w:val="tMain"/>
              <w:ind w:left="0" w:firstLine="0"/>
              <w:jc w:val="right"/>
              <w:rPr>
                <w:color w:val="000000" w:themeColor="text1"/>
              </w:rPr>
            </w:pPr>
            <m:oMathPara>
              <m:oMathParaPr>
                <m:jc m:val="right"/>
              </m:oMathParaPr>
              <m:oMath>
                <m:sSub>
                  <m:sSubPr>
                    <m:ctrlPr>
                      <w:rPr>
                        <w:rFonts w:ascii="Cambria Math" w:hAnsi="Cambria Math" w:cs="Calibri"/>
                        <w:i/>
                        <w:color w:val="000000" w:themeColor="text1"/>
                        <w:lang w:eastAsia="en-US"/>
                      </w:rPr>
                    </m:ctrlPr>
                  </m:sSubPr>
                  <m:e>
                    <m:r>
                      <m:rPr>
                        <m:sty m:val="p"/>
                      </m:rPr>
                      <w:rPr>
                        <w:rFonts w:ascii="Cambria Math" w:hAnsi="Cambria Math"/>
                        <w:color w:val="000000"/>
                      </w:rPr>
                      <m:t>σ</m:t>
                    </m:r>
                  </m:e>
                  <m:sub>
                    <m:bar>
                      <m:barPr>
                        <m:pos m:val="top"/>
                        <m:ctrlPr>
                          <w:rPr>
                            <w:rFonts w:ascii="Cambria Math" w:hAnsi="Cambria Math"/>
                            <w:i/>
                            <w:color w:val="000000"/>
                          </w:rPr>
                        </m:ctrlPr>
                      </m:barPr>
                      <m:e>
                        <m:r>
                          <w:rPr>
                            <w:rFonts w:ascii="Cambria Math" w:hAnsi="Cambria Math"/>
                            <w:color w:val="000000"/>
                          </w:rPr>
                          <m:t>z</m:t>
                        </m:r>
                      </m:e>
                    </m:bar>
                    <m:r>
                      <w:rPr>
                        <w:rFonts w:ascii="Cambria Math" w:hAnsi="Cambria Math" w:cs="Calibri"/>
                        <w:color w:val="000000" w:themeColor="text1"/>
                        <w:lang w:eastAsia="en-US"/>
                      </w:rPr>
                      <m:t>i</m:t>
                    </m:r>
                  </m:sub>
                </m:sSub>
                <m:r>
                  <m:rPr>
                    <m:sty m:val="p"/>
                  </m:rPr>
                  <w:rPr>
                    <w:rFonts w:ascii="Cambria Math"/>
                    <w:color w:val="000000" w:themeColor="text1"/>
                  </w:rPr>
                  <m:t>=</m:t>
                </m:r>
              </m:oMath>
            </m:oMathPara>
          </w:p>
        </w:tc>
        <w:tc>
          <w:tcPr>
            <w:tcW w:w="6582" w:type="dxa"/>
          </w:tcPr>
          <w:p w:rsidR="00E41C30" w:rsidRPr="00374785" w:rsidRDefault="00E41C30" w:rsidP="00E41C30">
            <w:pPr>
              <w:pStyle w:val="tMain"/>
              <w:ind w:left="0" w:firstLine="0"/>
              <w:rPr>
                <w:color w:val="000000" w:themeColor="text1"/>
              </w:rPr>
            </w:pPr>
            <w:r w:rsidRPr="00374785">
              <w:rPr>
                <w:color w:val="000000" w:themeColor="text1"/>
              </w:rPr>
              <w:t>standard deviation of average stocking density (</w:t>
            </w:r>
            <m:oMath>
              <m:bar>
                <m:barPr>
                  <m:pos m:val="top"/>
                  <m:ctrlPr>
                    <w:rPr>
                      <w:rFonts w:ascii="Cambria Math" w:hAnsi="Cambria Math"/>
                      <w:i/>
                    </w:rPr>
                  </m:ctrlPr>
                </m:barPr>
                <m:e>
                  <m:r>
                    <w:rPr>
                      <w:rFonts w:ascii="Cambria Math" w:hAnsi="Cambria Math"/>
                    </w:rPr>
                    <m:t>z</m:t>
                  </m:r>
                </m:e>
              </m:bar>
            </m:oMath>
            <w:r w:rsidRPr="00374785">
              <w:rPr>
                <w:color w:val="000000" w:themeColor="text1"/>
              </w:rPr>
              <w:t xml:space="preserve">) for plots within the </w:t>
            </w:r>
            <w:r w:rsidRPr="00374785">
              <w:rPr>
                <w:i/>
                <w:color w:val="000000" w:themeColor="text1"/>
              </w:rPr>
              <w:t>i</w:t>
            </w:r>
            <w:r w:rsidRPr="00374785">
              <w:rPr>
                <w:color w:val="000000" w:themeColor="text1"/>
                <w:vertAlign w:val="superscript"/>
              </w:rPr>
              <w:t xml:space="preserve">th </w:t>
            </w:r>
            <w:r w:rsidRPr="00374785">
              <w:rPr>
                <w:color w:val="000000" w:themeColor="text1"/>
              </w:rPr>
              <w:t>carbon estimation area.</w:t>
            </w:r>
          </w:p>
        </w:tc>
      </w:tr>
      <w:tr w:rsidR="00E41C30" w:rsidRPr="00374785" w:rsidTr="00E41C30">
        <w:tc>
          <w:tcPr>
            <w:tcW w:w="1696" w:type="dxa"/>
            <w:vAlign w:val="center"/>
          </w:tcPr>
          <w:p w:rsidR="00E41C30" w:rsidRPr="00374785" w:rsidRDefault="0020376C" w:rsidP="00BF7F0A">
            <w:pPr>
              <w:pStyle w:val="tMain"/>
              <w:ind w:left="0" w:firstLine="0"/>
              <w:jc w:val="right"/>
              <w:rPr>
                <w:color w:val="000000" w:themeColor="text1"/>
              </w:rPr>
            </w:pPr>
            <m:oMathPara>
              <m:oMathParaPr>
                <m:jc m:val="right"/>
              </m:oMathParaPr>
              <m:oMath>
                <m:sSub>
                  <m:sSubPr>
                    <m:ctrlPr>
                      <w:rPr>
                        <w:rFonts w:ascii="Cambria Math" w:hAnsi="Cambria Math" w:cs="Cambria Math"/>
                        <w:i/>
                      </w:rPr>
                    </m:ctrlPr>
                  </m:sSubPr>
                  <m:e>
                    <m:r>
                      <w:rPr>
                        <w:rFonts w:ascii="Cambria Math" w:hAnsi="Cambria Math" w:cs="Cambria Math"/>
                      </w:rPr>
                      <m:t>μ</m:t>
                    </m:r>
                  </m:e>
                  <m:sub>
                    <m:r>
                      <w:rPr>
                        <w:rFonts w:ascii="Cambria Math" w:hAnsi="Cambria Math" w:cs="Cambria Math"/>
                      </w:rPr>
                      <m:t>z</m:t>
                    </m:r>
                  </m:sub>
                </m:sSub>
                <m:r>
                  <w:rPr>
                    <w:rFonts w:ascii="Cambria Math" w:hAnsi="Cambria Math" w:cs="Calibri"/>
                    <w:color w:val="000000" w:themeColor="text1"/>
                    <w:lang w:eastAsia="en-US"/>
                  </w:rPr>
                  <m:t>=</m:t>
                </m:r>
              </m:oMath>
            </m:oMathPara>
          </w:p>
        </w:tc>
        <w:tc>
          <w:tcPr>
            <w:tcW w:w="6582" w:type="dxa"/>
          </w:tcPr>
          <w:p w:rsidR="00E41C30" w:rsidRPr="00374785" w:rsidRDefault="00E41C30" w:rsidP="00FC4C65">
            <w:pPr>
              <w:pStyle w:val="tMain"/>
              <w:ind w:left="0" w:firstLine="0"/>
              <w:rPr>
                <w:color w:val="000000" w:themeColor="text1"/>
              </w:rPr>
            </w:pPr>
            <w:r w:rsidRPr="00374785">
              <w:rPr>
                <w:color w:val="000000" w:themeColor="text1"/>
              </w:rPr>
              <w:t xml:space="preserve">average </w:t>
            </w:r>
            <w:r w:rsidR="00475C3C" w:rsidRPr="00374785">
              <w:rPr>
                <w:color w:val="000000" w:themeColor="text1"/>
              </w:rPr>
              <w:t xml:space="preserve">of the </w:t>
            </w:r>
            <w:r w:rsidRPr="00374785">
              <w:rPr>
                <w:color w:val="000000" w:themeColor="text1"/>
              </w:rPr>
              <w:t xml:space="preserve">stocking density </w:t>
            </w:r>
            <m:oMath>
              <m:sSub>
                <m:sSubPr>
                  <m:ctrlPr>
                    <w:rPr>
                      <w:rFonts w:ascii="Cambria Math" w:hAnsi="Cambria Math"/>
                      <w:i/>
                      <w:iCs/>
                      <w:color w:val="000000"/>
                    </w:rPr>
                  </m:ctrlPr>
                </m:sSubPr>
                <m:e>
                  <m:r>
                    <m:rPr>
                      <m:sty m:val="p"/>
                    </m:rPr>
                    <w:rPr>
                      <w:rFonts w:ascii="Cambria Math" w:hAnsi="Cambria Math"/>
                      <w:color w:val="000000"/>
                    </w:rPr>
                    <m:t>z</m:t>
                  </m:r>
                </m:e>
                <m:sub>
                  <m:r>
                    <w:rPr>
                      <w:rFonts w:ascii="Cambria Math" w:hAnsi="Cambria Math"/>
                      <w:color w:val="000000"/>
                    </w:rPr>
                    <m:t>ij</m:t>
                  </m:r>
                </m:sub>
              </m:sSub>
            </m:oMath>
            <w:r w:rsidRPr="00374785">
              <w:rPr>
                <w:color w:val="000000" w:themeColor="text1"/>
              </w:rPr>
              <w:t xml:space="preserve">for </w:t>
            </w:r>
            <w:r w:rsidR="00475C3C" w:rsidRPr="00374785">
              <w:rPr>
                <w:i/>
                <w:color w:val="000000" w:themeColor="text1"/>
              </w:rPr>
              <w:t>j</w:t>
            </w:r>
            <w:r w:rsidR="00475C3C" w:rsidRPr="00374785">
              <w:rPr>
                <w:color w:val="000000" w:themeColor="text1"/>
              </w:rPr>
              <w:t xml:space="preserve"> </w:t>
            </w:r>
            <w:r w:rsidRPr="00374785">
              <w:rPr>
                <w:color w:val="000000" w:themeColor="text1"/>
              </w:rPr>
              <w:t xml:space="preserve">plots within the </w:t>
            </w:r>
            <w:r w:rsidRPr="00374785">
              <w:rPr>
                <w:i/>
                <w:color w:val="000000" w:themeColor="text1"/>
              </w:rPr>
              <w:t>i</w:t>
            </w:r>
            <w:r w:rsidRPr="00374785">
              <w:rPr>
                <w:color w:val="000000" w:themeColor="text1"/>
                <w:vertAlign w:val="superscript"/>
              </w:rPr>
              <w:t xml:space="preserve">th </w:t>
            </w:r>
            <w:r w:rsidRPr="00374785">
              <w:rPr>
                <w:color w:val="000000" w:themeColor="text1"/>
              </w:rPr>
              <w:t>carbon estimation area.</w:t>
            </w:r>
          </w:p>
        </w:tc>
      </w:tr>
      <w:tr w:rsidR="00BF05EE" w:rsidRPr="00374785" w:rsidTr="00BF05EE">
        <w:tc>
          <w:tcPr>
            <w:tcW w:w="1696" w:type="dxa"/>
            <w:vAlign w:val="center"/>
          </w:tcPr>
          <w:p w:rsidR="00BF05EE" w:rsidRPr="00374785" w:rsidRDefault="0020376C" w:rsidP="00BF05EE">
            <w:pPr>
              <w:pStyle w:val="tMain"/>
              <w:ind w:left="0" w:firstLine="0"/>
              <w:jc w:val="right"/>
            </w:pPr>
            <m:oMathPara>
              <m:oMathParaPr>
                <m:jc m:val="right"/>
              </m:oMathParaPr>
              <m:oMath>
                <m:sSub>
                  <m:sSubPr>
                    <m:ctrlPr>
                      <w:rPr>
                        <w:rFonts w:ascii="Cambria Math" w:hAnsi="Cambria Math"/>
                        <w:i/>
                        <w:iCs/>
                        <w:color w:val="000000"/>
                      </w:rPr>
                    </m:ctrlPr>
                  </m:sSubPr>
                  <m:e>
                    <m:r>
                      <m:rPr>
                        <m:sty m:val="p"/>
                      </m:rPr>
                      <w:rPr>
                        <w:rFonts w:ascii="Cambria Math" w:hAnsi="Cambria Math"/>
                        <w:color w:val="000000"/>
                      </w:rPr>
                      <m:t>z</m:t>
                    </m:r>
                  </m:e>
                  <m:sub>
                    <m:r>
                      <w:rPr>
                        <w:rFonts w:ascii="Cambria Math" w:hAnsi="Cambria Math"/>
                        <w:color w:val="000000"/>
                      </w:rPr>
                      <m:t>ij</m:t>
                    </m:r>
                  </m:sub>
                </m:sSub>
                <m:r>
                  <w:rPr>
                    <w:rFonts w:ascii="Cambria Math" w:hAnsi="Cambria Math"/>
                  </w:rPr>
                  <m:t>=</m:t>
                </m:r>
              </m:oMath>
            </m:oMathPara>
          </w:p>
        </w:tc>
        <w:tc>
          <w:tcPr>
            <w:tcW w:w="6582" w:type="dxa"/>
          </w:tcPr>
          <w:p w:rsidR="00BF05EE" w:rsidRPr="00374785" w:rsidRDefault="00BF05EE" w:rsidP="00BF05EE">
            <w:pPr>
              <w:pStyle w:val="tMain"/>
              <w:ind w:left="0" w:firstLine="0"/>
            </w:pPr>
            <w:r w:rsidRPr="00374785">
              <w:rPr>
                <w:color w:val="000000" w:themeColor="text1"/>
              </w:rPr>
              <w:t xml:space="preserve">stocking density (in stems/ha) of the </w:t>
            </w:r>
            <m:oMath>
              <m:r>
                <w:rPr>
                  <w:rFonts w:ascii="Cambria Math" w:hAnsi="Cambria Math"/>
                  <w:color w:val="000000" w:themeColor="text1"/>
                </w:rPr>
                <m:t>j</m:t>
              </m:r>
            </m:oMath>
            <w:r w:rsidRPr="00374785">
              <w:rPr>
                <w:color w:val="000000" w:themeColor="text1"/>
                <w:vertAlign w:val="superscript"/>
              </w:rPr>
              <w:t>th</w:t>
            </w:r>
            <w:r w:rsidRPr="00374785">
              <w:rPr>
                <w:color w:val="000000" w:themeColor="text1"/>
              </w:rPr>
              <w:t xml:space="preserve"> plot in the </w:t>
            </w:r>
            <w:r w:rsidRPr="00374785">
              <w:rPr>
                <w:i/>
                <w:color w:val="000000" w:themeColor="text1"/>
              </w:rPr>
              <w:t>i</w:t>
            </w:r>
            <w:r w:rsidRPr="00374785">
              <w:rPr>
                <w:i/>
                <w:color w:val="000000" w:themeColor="text1"/>
                <w:vertAlign w:val="superscript"/>
              </w:rPr>
              <w:t xml:space="preserve">th </w:t>
            </w:r>
            <w:r w:rsidRPr="00374785">
              <w:rPr>
                <w:color w:val="000000" w:themeColor="text1"/>
              </w:rPr>
              <w:t>carbon estimation area.</w:t>
            </w:r>
          </w:p>
        </w:tc>
      </w:tr>
      <w:tr w:rsidR="00E41C30" w:rsidRPr="00374785" w:rsidTr="00E41C30">
        <w:tc>
          <w:tcPr>
            <w:tcW w:w="1696" w:type="dxa"/>
            <w:vAlign w:val="center"/>
          </w:tcPr>
          <w:p w:rsidR="00E41C30" w:rsidRPr="00374785" w:rsidRDefault="0020376C" w:rsidP="00E41C30">
            <w:pPr>
              <w:pStyle w:val="tMain"/>
              <w:ind w:left="0" w:firstLine="0"/>
              <w:jc w:val="right"/>
              <w:rPr>
                <w:color w:val="000000" w:themeColor="text1"/>
              </w:rPr>
            </w:pPr>
            <m:oMath>
              <m:sSub>
                <m:sSubPr>
                  <m:ctrlPr>
                    <w:rPr>
                      <w:rFonts w:ascii="Cambria Math" w:hAnsi="Cambria Math"/>
                      <w:i/>
                      <w:color w:val="000000" w:themeColor="text1"/>
                    </w:rPr>
                  </m:ctrlPr>
                </m:sSubPr>
                <m:e>
                  <m:r>
                    <w:rPr>
                      <w:rFonts w:ascii="Cambria Math" w:eastAsiaTheme="minorEastAsia" w:hAnsi="Cambria Math"/>
                      <w:color w:val="000000"/>
                    </w:rPr>
                    <m:t>M</m:t>
                  </m:r>
                </m:e>
                <m:sub>
                  <m:r>
                    <w:rPr>
                      <w:rFonts w:ascii="Cambria Math" w:hAnsi="Cambria Math"/>
                      <w:color w:val="000000" w:themeColor="text1"/>
                    </w:rPr>
                    <m:t>i</m:t>
                  </m:r>
                </m:sub>
              </m:sSub>
            </m:oMath>
            <w:r w:rsidR="00E41C30" w:rsidRPr="00374785">
              <w:rPr>
                <w:color w:val="000000" w:themeColor="text1"/>
              </w:rPr>
              <w:t xml:space="preserve"> </w:t>
            </w:r>
            <m:oMath>
              <m:r>
                <w:rPr>
                  <w:rFonts w:ascii="Cambria Math" w:hAnsi="Cambria Math"/>
                  <w:color w:val="000000" w:themeColor="text1"/>
                </w:rPr>
                <m:t>=</m:t>
              </m:r>
            </m:oMath>
          </w:p>
        </w:tc>
        <w:tc>
          <w:tcPr>
            <w:tcW w:w="6582" w:type="dxa"/>
          </w:tcPr>
          <w:p w:rsidR="00E41C30" w:rsidRPr="00374785" w:rsidRDefault="00904D50" w:rsidP="00E41C30">
            <w:pPr>
              <w:pStyle w:val="tMain"/>
              <w:ind w:left="0" w:firstLine="0"/>
              <w:rPr>
                <w:color w:val="000000" w:themeColor="text1"/>
              </w:rPr>
            </w:pPr>
            <w:r w:rsidRPr="00374785">
              <w:rPr>
                <w:color w:val="000000" w:themeColor="text1"/>
              </w:rPr>
              <w:t xml:space="preserve">total number of plots in the </w:t>
            </w:r>
            <w:r w:rsidRPr="00374785">
              <w:rPr>
                <w:i/>
              </w:rPr>
              <w:t>i</w:t>
            </w:r>
            <w:r w:rsidRPr="00374785">
              <w:rPr>
                <w:vertAlign w:val="superscript"/>
              </w:rPr>
              <w:t>th</w:t>
            </w:r>
            <w:r w:rsidRPr="00374785">
              <w:rPr>
                <w:color w:val="000000" w:themeColor="text1"/>
              </w:rPr>
              <w:t xml:space="preserve"> carbon estimation area.</w:t>
            </w:r>
          </w:p>
        </w:tc>
      </w:tr>
      <w:tr w:rsidR="00E41C30" w:rsidRPr="00374785" w:rsidTr="00E41C30">
        <w:tc>
          <w:tcPr>
            <w:tcW w:w="1696" w:type="dxa"/>
            <w:vAlign w:val="center"/>
          </w:tcPr>
          <w:p w:rsidR="00E41C30" w:rsidRPr="00374785" w:rsidRDefault="00E41C30" w:rsidP="00E41C30">
            <w:pPr>
              <w:pStyle w:val="tMain"/>
              <w:ind w:left="0" w:firstLine="0"/>
              <w:jc w:val="right"/>
              <w:rPr>
                <w:iCs/>
                <w:color w:val="000000"/>
              </w:rPr>
            </w:pPr>
            <w:r w:rsidRPr="00374785">
              <w:rPr>
                <w:i/>
              </w:rPr>
              <w:t>i =</w:t>
            </w:r>
          </w:p>
        </w:tc>
        <w:tc>
          <w:tcPr>
            <w:tcW w:w="6582" w:type="dxa"/>
          </w:tcPr>
          <w:p w:rsidR="00E41C30" w:rsidRPr="00374785" w:rsidRDefault="00E41C30" w:rsidP="00E41C30">
            <w:pPr>
              <w:pStyle w:val="tMain"/>
              <w:ind w:left="0" w:firstLine="0"/>
              <w:rPr>
                <w:color w:val="000000" w:themeColor="text1"/>
              </w:rPr>
            </w:pPr>
            <w:r w:rsidRPr="00374785">
              <w:rPr>
                <w:i/>
              </w:rPr>
              <w:t>i</w:t>
            </w:r>
            <w:r w:rsidRPr="00374785">
              <w:rPr>
                <w:vertAlign w:val="superscript"/>
              </w:rPr>
              <w:t>th</w:t>
            </w:r>
            <w:r w:rsidRPr="00374785">
              <w:t xml:space="preserve"> carbon estimation area.</w:t>
            </w:r>
          </w:p>
        </w:tc>
      </w:tr>
      <w:tr w:rsidR="00BF05EE" w:rsidRPr="00374785" w:rsidTr="00BF05EE">
        <w:tc>
          <w:tcPr>
            <w:tcW w:w="1696" w:type="dxa"/>
            <w:vAlign w:val="center"/>
          </w:tcPr>
          <w:p w:rsidR="00BF05EE" w:rsidRPr="00374785" w:rsidRDefault="00BF05EE" w:rsidP="00BF05EE">
            <w:pPr>
              <w:pStyle w:val="tMain"/>
              <w:ind w:left="0" w:firstLine="0"/>
              <w:jc w:val="right"/>
              <w:rPr>
                <w:iCs/>
                <w:color w:val="000000" w:themeColor="text1"/>
              </w:rPr>
            </w:pPr>
            <m:oMathPara>
              <m:oMathParaPr>
                <m:jc m:val="right"/>
              </m:oMathParaPr>
              <m:oMath>
                <m:r>
                  <w:rPr>
                    <w:rFonts w:ascii="Cambria Math" w:hAnsi="Cambria Math"/>
                  </w:rPr>
                  <m:t>j=</m:t>
                </m:r>
              </m:oMath>
            </m:oMathPara>
          </w:p>
        </w:tc>
        <w:tc>
          <w:tcPr>
            <w:tcW w:w="6582" w:type="dxa"/>
          </w:tcPr>
          <w:p w:rsidR="00BF05EE" w:rsidRPr="00374785" w:rsidRDefault="00BF05EE" w:rsidP="00BF05EE">
            <w:pPr>
              <w:pStyle w:val="tMain"/>
              <w:ind w:left="0" w:firstLine="0"/>
              <w:rPr>
                <w:color w:val="000000" w:themeColor="text1"/>
              </w:rPr>
            </w:pPr>
            <m:oMath>
              <m:r>
                <w:rPr>
                  <w:rFonts w:ascii="Cambria Math" w:hAnsi="Cambria Math"/>
                </w:rPr>
                <m:t>j</m:t>
              </m:r>
            </m:oMath>
            <w:r w:rsidRPr="00374785">
              <w:rPr>
                <w:vertAlign w:val="superscript"/>
              </w:rPr>
              <w:t xml:space="preserve"> th</w:t>
            </w:r>
            <w:r w:rsidRPr="00374785">
              <w:t xml:space="preserve"> plot</w:t>
            </w:r>
          </w:p>
        </w:tc>
      </w:tr>
    </w:tbl>
    <w:p w:rsidR="00F94614" w:rsidRPr="00374785" w:rsidRDefault="007F3C0F" w:rsidP="00F94614">
      <w:pPr>
        <w:pStyle w:val="h5Section"/>
      </w:pPr>
      <w:bookmarkStart w:id="54" w:name="_Toc397681598"/>
      <w:r>
        <w:lastRenderedPageBreak/>
        <w:t>3.35</w:t>
      </w:r>
      <w:r w:rsidR="00F94614" w:rsidRPr="00374785">
        <w:tab/>
        <w:t>Calculating probable limits of error for stocking density</w:t>
      </w:r>
      <w:bookmarkEnd w:id="54"/>
    </w:p>
    <w:p w:rsidR="00F94614" w:rsidRPr="00374785" w:rsidRDefault="00F94614" w:rsidP="00F94614">
      <w:pPr>
        <w:pStyle w:val="tMain"/>
      </w:pPr>
      <w:r w:rsidRPr="00374785">
        <w:tab/>
      </w:r>
      <w:r w:rsidRPr="00374785">
        <w:tab/>
        <w:t xml:space="preserve">The probable limit of error for the </w:t>
      </w:r>
      <w:r w:rsidR="006B7902" w:rsidRPr="00374785">
        <w:t xml:space="preserve">average </w:t>
      </w:r>
      <w:r w:rsidRPr="00374785">
        <w:t>stocking density of a carbon estimation area must be calculated using the following formula:</w:t>
      </w:r>
    </w:p>
    <w:tbl>
      <w:tblPr>
        <w:tblStyle w:val="TableGrid"/>
        <w:tblW w:w="0" w:type="auto"/>
        <w:tblInd w:w="964" w:type="dxa"/>
        <w:tblLook w:val="04A0"/>
      </w:tblPr>
      <w:tblGrid>
        <w:gridCol w:w="6374"/>
        <w:gridCol w:w="1904"/>
      </w:tblGrid>
      <w:tr w:rsidR="00F94614" w:rsidRPr="00374785" w:rsidTr="00F94614">
        <w:tc>
          <w:tcPr>
            <w:tcW w:w="6374" w:type="dxa"/>
          </w:tcPr>
          <w:p w:rsidR="00F94614" w:rsidRPr="00374785" w:rsidRDefault="0020376C" w:rsidP="00F94614">
            <w:pPr>
              <w:pStyle w:val="tMain"/>
              <w:spacing w:before="100" w:line="360" w:lineRule="auto"/>
              <w:ind w:left="0" w:firstLine="0"/>
              <w:rPr>
                <w:color w:val="000000" w:themeColor="text1"/>
              </w:rPr>
            </w:pPr>
            <m:oMathPara>
              <m:oMath>
                <m:sSub>
                  <m:sSubPr>
                    <m:ctrlPr>
                      <w:rPr>
                        <w:rFonts w:ascii="Cambria Math" w:hAnsi="Cambria Math" w:cs="Calibri"/>
                        <w:i/>
                        <w:color w:val="000000" w:themeColor="text1"/>
                        <w:lang w:eastAsia="en-US"/>
                      </w:rPr>
                    </m:ctrlPr>
                  </m:sSubPr>
                  <m:e>
                    <m:r>
                      <w:rPr>
                        <w:rFonts w:ascii="Cambria Math" w:hAnsi="Cambria Math" w:cs="Calibri"/>
                        <w:color w:val="000000" w:themeColor="text1"/>
                        <w:lang w:eastAsia="en-US"/>
                      </w:rPr>
                      <m:t>L</m:t>
                    </m:r>
                  </m:e>
                  <m:sub>
                    <m:bar>
                      <m:barPr>
                        <m:pos m:val="top"/>
                        <m:ctrlPr>
                          <w:rPr>
                            <w:rFonts w:ascii="Cambria Math" w:hAnsi="Cambria Math"/>
                            <w:i/>
                            <w:color w:val="000000"/>
                          </w:rPr>
                        </m:ctrlPr>
                      </m:barPr>
                      <m:e>
                        <m:r>
                          <w:rPr>
                            <w:rFonts w:ascii="Cambria Math" w:hAnsi="Cambria Math"/>
                            <w:color w:val="000000"/>
                          </w:rPr>
                          <m:t>z</m:t>
                        </m:r>
                      </m:e>
                    </m:bar>
                    <m:r>
                      <w:rPr>
                        <w:rFonts w:ascii="Cambria Math" w:hAnsi="Cambria Math" w:cs="Calibri"/>
                        <w:color w:val="000000" w:themeColor="text1"/>
                        <w:lang w:eastAsia="en-US"/>
                      </w:rPr>
                      <m:t>,i</m:t>
                    </m:r>
                  </m:sub>
                </m:sSub>
                <m:r>
                  <w:rPr>
                    <w:rFonts w:ascii="Cambria Math" w:hAnsi="Cambria Math" w:cs="Calibri"/>
                    <w:color w:val="000000" w:themeColor="text1"/>
                    <w:lang w:eastAsia="en-US"/>
                  </w:rPr>
                  <m:t>=</m:t>
                </m:r>
                <m:d>
                  <m:dPr>
                    <m:ctrlPr>
                      <w:rPr>
                        <w:rFonts w:ascii="Cambria Math" w:hAnsi="Cambria Math" w:cs="Calibri"/>
                        <w:i/>
                        <w:color w:val="000000" w:themeColor="text1"/>
                        <w:lang w:eastAsia="en-US"/>
                      </w:rPr>
                    </m:ctrlPr>
                  </m:dPr>
                  <m:e>
                    <m:f>
                      <m:fPr>
                        <m:ctrlPr>
                          <w:rPr>
                            <w:rFonts w:ascii="Cambria Math" w:hAnsi="Cambria Math" w:cs="Calibri"/>
                            <w:i/>
                            <w:color w:val="000000" w:themeColor="text1"/>
                            <w:lang w:eastAsia="en-US"/>
                          </w:rPr>
                        </m:ctrlPr>
                      </m:fPr>
                      <m:num>
                        <m:sSub>
                          <m:sSubPr>
                            <m:ctrlPr>
                              <w:rPr>
                                <w:rFonts w:ascii="Cambria Math" w:hAnsi="Cambria Math"/>
                                <w:i/>
                                <w:color w:val="000000" w:themeColor="text1"/>
                              </w:rPr>
                            </m:ctrlPr>
                          </m:sSubPr>
                          <m:e>
                            <m:r>
                              <w:rPr>
                                <w:rFonts w:ascii="Cambria Math" w:hAnsi="Cambria Math"/>
                                <w:color w:val="000000" w:themeColor="text1"/>
                              </w:rPr>
                              <m:t>E</m:t>
                            </m:r>
                          </m:e>
                          <m:sub>
                            <m:bar>
                              <m:barPr>
                                <m:pos m:val="top"/>
                                <m:ctrlPr>
                                  <w:rPr>
                                    <w:rFonts w:ascii="Cambria Math" w:hAnsi="Cambria Math"/>
                                    <w:i/>
                                  </w:rPr>
                                </m:ctrlPr>
                              </m:barPr>
                              <m:e>
                                <m:r>
                                  <w:rPr>
                                    <w:rFonts w:ascii="Cambria Math" w:hAnsi="Cambria Math"/>
                                  </w:rPr>
                                  <m:t>z</m:t>
                                </m:r>
                              </m:e>
                            </m:bar>
                            <m:r>
                              <w:rPr>
                                <w:rFonts w:ascii="Cambria Math" w:hAnsi="Cambria Math"/>
                                <w:color w:val="000000" w:themeColor="text1"/>
                              </w:rPr>
                              <m:t>i</m:t>
                            </m:r>
                          </m:sub>
                        </m:sSub>
                      </m:num>
                      <m:den>
                        <m:sSub>
                          <m:sSubPr>
                            <m:ctrlPr>
                              <w:rPr>
                                <w:rFonts w:ascii="Cambria Math" w:hAnsi="Cambria Math" w:cs="Calibri"/>
                                <w:i/>
                                <w:color w:val="000000" w:themeColor="text1"/>
                                <w:lang w:eastAsia="en-US"/>
                              </w:rPr>
                            </m:ctrlPr>
                          </m:sSubPr>
                          <m:e>
                            <m:acc>
                              <m:accPr>
                                <m:chr m:val="̅"/>
                                <m:ctrlPr>
                                  <w:rPr>
                                    <w:rFonts w:ascii="Cambria Math" w:hAnsi="Cambria Math" w:cs="Calibri"/>
                                    <w:i/>
                                    <w:color w:val="000000" w:themeColor="text1"/>
                                    <w:lang w:eastAsia="en-US"/>
                                  </w:rPr>
                                </m:ctrlPr>
                              </m:accPr>
                              <m:e>
                                <m:r>
                                  <w:rPr>
                                    <w:rFonts w:ascii="Cambria Math" w:hAnsi="Cambria Math" w:cs="Calibri"/>
                                    <w:color w:val="000000" w:themeColor="text1"/>
                                    <w:lang w:eastAsia="en-US"/>
                                  </w:rPr>
                                  <m:t>z</m:t>
                                </m:r>
                              </m:e>
                            </m:acc>
                          </m:e>
                          <m:sub>
                            <m:r>
                              <w:rPr>
                                <w:rFonts w:ascii="Cambria Math" w:hAnsi="Cambria Math" w:cs="Calibri"/>
                                <w:color w:val="000000" w:themeColor="text1"/>
                                <w:lang w:eastAsia="en-US"/>
                              </w:rPr>
                              <m:t>i</m:t>
                            </m:r>
                          </m:sub>
                        </m:sSub>
                      </m:den>
                    </m:f>
                    <m:r>
                      <w:rPr>
                        <w:rFonts w:ascii="Cambria Math" w:hAnsi="Cambria Math" w:cs="Calibri"/>
                        <w:color w:val="000000" w:themeColor="text1"/>
                        <w:lang w:eastAsia="en-US"/>
                      </w:rPr>
                      <m:t xml:space="preserve"> </m:t>
                    </m:r>
                  </m:e>
                </m:d>
                <m:r>
                  <w:rPr>
                    <w:rFonts w:ascii="Cambria Math" w:hAnsi="Cambria Math" w:cs="Calibri"/>
                    <w:color w:val="000000" w:themeColor="text1"/>
                    <w:lang w:eastAsia="en-US"/>
                  </w:rPr>
                  <m:t>×100</m:t>
                </m:r>
              </m:oMath>
            </m:oMathPara>
          </w:p>
        </w:tc>
        <w:tc>
          <w:tcPr>
            <w:tcW w:w="1904" w:type="dxa"/>
            <w:vAlign w:val="center"/>
          </w:tcPr>
          <w:p w:rsidR="00F94614" w:rsidRPr="00374785" w:rsidRDefault="00F94614" w:rsidP="00F94614">
            <w:pPr>
              <w:pStyle w:val="tMain"/>
              <w:ind w:left="0" w:firstLine="0"/>
              <w:jc w:val="center"/>
              <w:rPr>
                <w:b/>
                <w:color w:val="000000" w:themeColor="text1"/>
              </w:rPr>
            </w:pPr>
            <w:r w:rsidRPr="00374785">
              <w:rPr>
                <w:b/>
                <w:color w:val="000000" w:themeColor="text1"/>
              </w:rPr>
              <w:t>Equation 4</w:t>
            </w:r>
          </w:p>
        </w:tc>
      </w:tr>
    </w:tbl>
    <w:p w:rsidR="00F94614" w:rsidRPr="00374785" w:rsidRDefault="00F94614" w:rsidP="00F94614">
      <w:pPr>
        <w:pStyle w:val="tMain"/>
      </w:pPr>
      <w:r w:rsidRPr="00374785">
        <w:tab/>
      </w:r>
      <w:r w:rsidRPr="00374785">
        <w:tab/>
        <w:t>Where:</w:t>
      </w:r>
    </w:p>
    <w:tbl>
      <w:tblPr>
        <w:tblStyle w:val="TableGrid"/>
        <w:tblW w:w="0" w:type="auto"/>
        <w:tblInd w:w="964" w:type="dxa"/>
        <w:tblLook w:val="04A0"/>
      </w:tblPr>
      <w:tblGrid>
        <w:gridCol w:w="1696"/>
        <w:gridCol w:w="6582"/>
      </w:tblGrid>
      <w:tr w:rsidR="00F94614" w:rsidRPr="00374785" w:rsidTr="00F94614">
        <w:tc>
          <w:tcPr>
            <w:tcW w:w="1696" w:type="dxa"/>
            <w:vAlign w:val="center"/>
          </w:tcPr>
          <w:p w:rsidR="00F94614" w:rsidRPr="00374785" w:rsidRDefault="0020376C" w:rsidP="00F94614">
            <w:pPr>
              <w:pStyle w:val="tMain"/>
              <w:ind w:left="0" w:firstLine="0"/>
              <w:jc w:val="right"/>
              <w:rPr>
                <w:color w:val="000000" w:themeColor="text1"/>
              </w:rPr>
            </w:pPr>
            <m:oMathPara>
              <m:oMathParaPr>
                <m:jc m:val="right"/>
              </m:oMathParaPr>
              <m:oMath>
                <m:sSub>
                  <m:sSubPr>
                    <m:ctrlPr>
                      <w:rPr>
                        <w:rFonts w:ascii="Cambria Math" w:hAnsi="Cambria Math" w:cs="Calibri"/>
                        <w:i/>
                        <w:color w:val="000000" w:themeColor="text1"/>
                        <w:lang w:eastAsia="en-US"/>
                      </w:rPr>
                    </m:ctrlPr>
                  </m:sSubPr>
                  <m:e>
                    <m:r>
                      <w:rPr>
                        <w:rFonts w:ascii="Cambria Math" w:hAnsi="Cambria Math" w:cs="Calibri"/>
                        <w:color w:val="000000" w:themeColor="text1"/>
                        <w:lang w:eastAsia="en-US"/>
                      </w:rPr>
                      <m:t>L</m:t>
                    </m:r>
                  </m:e>
                  <m:sub>
                    <m:bar>
                      <m:barPr>
                        <m:pos m:val="top"/>
                        <m:ctrlPr>
                          <w:rPr>
                            <w:rFonts w:ascii="Cambria Math" w:hAnsi="Cambria Math"/>
                            <w:i/>
                            <w:color w:val="000000"/>
                          </w:rPr>
                        </m:ctrlPr>
                      </m:barPr>
                      <m:e>
                        <m:r>
                          <w:rPr>
                            <w:rFonts w:ascii="Cambria Math" w:hAnsi="Cambria Math"/>
                            <w:color w:val="000000"/>
                          </w:rPr>
                          <m:t>z</m:t>
                        </m:r>
                      </m:e>
                    </m:bar>
                    <m:r>
                      <w:rPr>
                        <w:rFonts w:ascii="Cambria Math" w:hAnsi="Cambria Math" w:cs="Calibri"/>
                        <w:color w:val="000000" w:themeColor="text1"/>
                        <w:lang w:eastAsia="en-US"/>
                      </w:rPr>
                      <m:t xml:space="preserve"> i</m:t>
                    </m:r>
                  </m:sub>
                </m:sSub>
                <m:r>
                  <m:rPr>
                    <m:sty m:val="bi"/>
                  </m:rPr>
                  <w:rPr>
                    <w:rFonts w:ascii="Cambria Math" w:hAnsi="Cambria Math" w:cs="Calibri"/>
                    <w:color w:val="000000" w:themeColor="text1"/>
                    <w:lang w:eastAsia="en-US"/>
                  </w:rPr>
                  <m:t>=</m:t>
                </m:r>
              </m:oMath>
            </m:oMathPara>
          </w:p>
        </w:tc>
        <w:tc>
          <w:tcPr>
            <w:tcW w:w="6582" w:type="dxa"/>
          </w:tcPr>
          <w:p w:rsidR="00F94614" w:rsidRPr="00374785" w:rsidRDefault="00F94614" w:rsidP="00961E41">
            <w:pPr>
              <w:pStyle w:val="tMain"/>
              <w:ind w:left="0" w:firstLine="0"/>
              <w:rPr>
                <w:color w:val="000000" w:themeColor="text1"/>
              </w:rPr>
            </w:pPr>
            <w:r w:rsidRPr="00374785">
              <w:rPr>
                <w:color w:val="000000" w:themeColor="text1"/>
              </w:rPr>
              <w:t xml:space="preserve">probable limits of error (PLE) </w:t>
            </w:r>
            <w:r w:rsidRPr="00374785">
              <w:rPr>
                <w:color w:val="000000" w:themeColor="text1"/>
                <w:lang w:eastAsia="en-US"/>
              </w:rPr>
              <w:t xml:space="preserve">for </w:t>
            </w:r>
            <w:r w:rsidR="006B7902" w:rsidRPr="00374785">
              <w:rPr>
                <w:color w:val="000000" w:themeColor="text1"/>
                <w:lang w:eastAsia="en-US"/>
              </w:rPr>
              <w:t xml:space="preserve">the average </w:t>
            </w:r>
            <w:r w:rsidRPr="00374785">
              <w:rPr>
                <w:color w:val="000000" w:themeColor="text1"/>
                <w:lang w:eastAsia="en-US"/>
              </w:rPr>
              <w:t>stocking density (</w:t>
            </w:r>
            <m:oMath>
              <m:bar>
                <m:barPr>
                  <m:pos m:val="top"/>
                  <m:ctrlPr>
                    <w:rPr>
                      <w:rFonts w:ascii="Cambria Math" w:hAnsi="Cambria Math"/>
                      <w:i/>
                      <w:color w:val="000000"/>
                    </w:rPr>
                  </m:ctrlPr>
                </m:barPr>
                <m:e>
                  <m:r>
                    <w:rPr>
                      <w:rFonts w:ascii="Cambria Math" w:hAnsi="Cambria Math"/>
                      <w:color w:val="000000"/>
                    </w:rPr>
                    <m:t>z</m:t>
                  </m:r>
                </m:e>
              </m:bar>
            </m:oMath>
            <w:r w:rsidRPr="00374785">
              <w:rPr>
                <w:color w:val="000000" w:themeColor="text1"/>
                <w:lang w:eastAsia="en-US"/>
              </w:rPr>
              <w:t xml:space="preserve">), at </w:t>
            </w:r>
            <w:r w:rsidRPr="00374785">
              <w:rPr>
                <w:color w:val="000000" w:themeColor="text1"/>
              </w:rPr>
              <w:t xml:space="preserve">the </w:t>
            </w:r>
            <w:r w:rsidR="00B90D0D" w:rsidRPr="00374785">
              <w:rPr>
                <w:i/>
                <w:color w:val="000000" w:themeColor="text1"/>
              </w:rPr>
              <w:t>P</w:t>
            </w:r>
            <w:r w:rsidR="00B90D0D" w:rsidRPr="00374785">
              <w:rPr>
                <w:color w:val="000000" w:themeColor="text1"/>
              </w:rPr>
              <w:t xml:space="preserve">=0.05 level of </w:t>
            </w:r>
            <w:r w:rsidR="00B90D0D" w:rsidRPr="00374785">
              <w:rPr>
                <w:color w:val="000000" w:themeColor="text1"/>
                <w:lang w:eastAsia="en-US"/>
              </w:rPr>
              <w:t>significance</w:t>
            </w:r>
            <w:r w:rsidRPr="00374785">
              <w:rPr>
                <w:color w:val="000000" w:themeColor="text1"/>
                <w:lang w:eastAsia="en-US"/>
              </w:rPr>
              <w:t xml:space="preserve"> for the </w:t>
            </w:r>
            <w:r w:rsidRPr="00374785">
              <w:rPr>
                <w:i/>
                <w:color w:val="000000" w:themeColor="text1"/>
                <w:lang w:eastAsia="en-US"/>
              </w:rPr>
              <w:t>i</w:t>
            </w:r>
            <w:r w:rsidRPr="00374785">
              <w:rPr>
                <w:i/>
                <w:color w:val="000000" w:themeColor="text1"/>
                <w:vertAlign w:val="superscript"/>
                <w:lang w:eastAsia="en-US"/>
              </w:rPr>
              <w:t>th</w:t>
            </w:r>
            <w:r w:rsidRPr="00374785">
              <w:rPr>
                <w:color w:val="000000" w:themeColor="text1"/>
                <w:vertAlign w:val="superscript"/>
                <w:lang w:eastAsia="en-US"/>
              </w:rPr>
              <w:t xml:space="preserve"> </w:t>
            </w:r>
            <w:r w:rsidRPr="00374785">
              <w:rPr>
                <w:color w:val="000000" w:themeColor="text1"/>
              </w:rPr>
              <w:t>carbon estimation area</w:t>
            </w:r>
            <w:r w:rsidR="009870AB" w:rsidRPr="00374785">
              <w:rPr>
                <w:color w:val="000000" w:themeColor="text1"/>
              </w:rPr>
              <w:t xml:space="preserve"> as a percentage</w:t>
            </w:r>
            <w:r w:rsidRPr="00374785">
              <w:rPr>
                <w:color w:val="000000" w:themeColor="text1"/>
              </w:rPr>
              <w:t>.</w:t>
            </w:r>
          </w:p>
        </w:tc>
      </w:tr>
      <w:tr w:rsidR="00F94614" w:rsidRPr="00374785" w:rsidTr="00F94614">
        <w:tc>
          <w:tcPr>
            <w:tcW w:w="1696" w:type="dxa"/>
            <w:vAlign w:val="center"/>
          </w:tcPr>
          <w:p w:rsidR="00F94614" w:rsidRPr="00374785" w:rsidRDefault="0020376C" w:rsidP="00F94614">
            <w:pPr>
              <w:pStyle w:val="tMain"/>
              <w:ind w:left="0" w:firstLine="0"/>
              <w:jc w:val="right"/>
              <w:rPr>
                <w:color w:val="000000" w:themeColor="text1"/>
              </w:rPr>
            </w:pPr>
            <m:oMathPara>
              <m:oMathParaPr>
                <m:jc m:val="right"/>
              </m:oMathParaPr>
              <m:oMath>
                <m:sSub>
                  <m:sSubPr>
                    <m:ctrlPr>
                      <w:rPr>
                        <w:rFonts w:ascii="Cambria Math" w:hAnsi="Cambria Math"/>
                        <w:i/>
                        <w:color w:val="000000" w:themeColor="text1"/>
                      </w:rPr>
                    </m:ctrlPr>
                  </m:sSubPr>
                  <m:e>
                    <m:r>
                      <w:rPr>
                        <w:rFonts w:ascii="Cambria Math" w:hAnsi="Cambria Math"/>
                        <w:color w:val="000000" w:themeColor="text1"/>
                      </w:rPr>
                      <m:t>E</m:t>
                    </m:r>
                  </m:e>
                  <m:sub>
                    <m:bar>
                      <m:barPr>
                        <m:pos m:val="top"/>
                        <m:ctrlPr>
                          <w:rPr>
                            <w:rFonts w:ascii="Cambria Math" w:hAnsi="Cambria Math"/>
                            <w:i/>
                          </w:rPr>
                        </m:ctrlPr>
                      </m:barPr>
                      <m:e>
                        <m:r>
                          <w:rPr>
                            <w:rFonts w:ascii="Cambria Math" w:hAnsi="Cambria Math"/>
                          </w:rPr>
                          <m:t>z</m:t>
                        </m:r>
                      </m:e>
                    </m:bar>
                    <m:r>
                      <w:rPr>
                        <w:rFonts w:ascii="Cambria Math" w:hAnsi="Cambria Math"/>
                        <w:color w:val="000000" w:themeColor="text1"/>
                      </w:rPr>
                      <m:t>i</m:t>
                    </m:r>
                  </m:sub>
                </m:sSub>
                <m:r>
                  <m:rPr>
                    <m:sty m:val="bi"/>
                  </m:rPr>
                  <w:rPr>
                    <w:rFonts w:ascii="Cambria Math" w:hAnsi="Cambria Math" w:cs="Calibri"/>
                    <w:color w:val="000000" w:themeColor="text1"/>
                    <w:lang w:eastAsia="en-US"/>
                  </w:rPr>
                  <m:t>=</m:t>
                </m:r>
              </m:oMath>
            </m:oMathPara>
          </w:p>
        </w:tc>
        <w:tc>
          <w:tcPr>
            <w:tcW w:w="6582" w:type="dxa"/>
          </w:tcPr>
          <w:p w:rsidR="00F94614" w:rsidRPr="00374785" w:rsidRDefault="00F94614" w:rsidP="00061919">
            <w:pPr>
              <w:pStyle w:val="tMain"/>
              <w:ind w:left="0" w:firstLine="0"/>
              <w:rPr>
                <w:color w:val="000000" w:themeColor="text1"/>
              </w:rPr>
            </w:pPr>
            <w:proofErr w:type="gramStart"/>
            <w:r w:rsidRPr="00374785">
              <w:rPr>
                <w:color w:val="000000" w:themeColor="text1"/>
              </w:rPr>
              <w:t>margin</w:t>
            </w:r>
            <w:proofErr w:type="gramEnd"/>
            <w:r w:rsidRPr="00374785">
              <w:rPr>
                <w:color w:val="000000" w:themeColor="text1"/>
              </w:rPr>
              <w:t xml:space="preserve"> of error for the </w:t>
            </w:r>
            <w:r w:rsidR="006B7902" w:rsidRPr="00374785">
              <w:rPr>
                <w:color w:val="000000" w:themeColor="text1"/>
              </w:rPr>
              <w:t xml:space="preserve">average </w:t>
            </w:r>
            <w:r w:rsidRPr="00374785">
              <w:rPr>
                <w:color w:val="000000" w:themeColor="text1"/>
              </w:rPr>
              <w:t xml:space="preserve">stocking density (in stems/ha) </w:t>
            </w:r>
            <w:r w:rsidR="00904D50" w:rsidRPr="00374785">
              <w:rPr>
                <w:color w:val="000000" w:themeColor="text1"/>
              </w:rPr>
              <w:t>for</w:t>
            </w:r>
            <w:r w:rsidRPr="00374785">
              <w:rPr>
                <w:color w:val="000000" w:themeColor="text1"/>
              </w:rPr>
              <w:t xml:space="preserve"> the </w:t>
            </w:r>
            <w:proofErr w:type="spellStart"/>
            <w:r w:rsidRPr="00374785">
              <w:rPr>
                <w:i/>
                <w:color w:val="000000" w:themeColor="text1"/>
              </w:rPr>
              <w:t>i</w:t>
            </w:r>
            <w:r w:rsidRPr="00374785">
              <w:rPr>
                <w:i/>
                <w:color w:val="000000" w:themeColor="text1"/>
                <w:vertAlign w:val="superscript"/>
              </w:rPr>
              <w:t>th</w:t>
            </w:r>
            <w:proofErr w:type="spellEnd"/>
            <w:r w:rsidRPr="00374785">
              <w:rPr>
                <w:color w:val="000000" w:themeColor="text1"/>
                <w:vertAlign w:val="superscript"/>
              </w:rPr>
              <w:t xml:space="preserve"> </w:t>
            </w:r>
            <w:r w:rsidRPr="00374785">
              <w:rPr>
                <w:color w:val="000000" w:themeColor="text1"/>
              </w:rPr>
              <w:t>carbon estimation area</w:t>
            </w:r>
            <w:r w:rsidR="00061919">
              <w:rPr>
                <w:color w:val="000000" w:themeColor="text1"/>
              </w:rPr>
              <w:t>—see equation 3</w:t>
            </w:r>
            <w:r w:rsidRPr="00374785">
              <w:rPr>
                <w:color w:val="000000" w:themeColor="text1"/>
              </w:rPr>
              <w:t>.</w:t>
            </w:r>
          </w:p>
        </w:tc>
      </w:tr>
      <w:tr w:rsidR="00F94614" w:rsidRPr="00374785" w:rsidTr="00F94614">
        <w:tc>
          <w:tcPr>
            <w:tcW w:w="1696" w:type="dxa"/>
            <w:vAlign w:val="center"/>
          </w:tcPr>
          <w:p w:rsidR="00F94614" w:rsidRPr="00374785" w:rsidRDefault="0020376C" w:rsidP="00F94614">
            <w:pPr>
              <w:pStyle w:val="tMain"/>
              <w:ind w:left="0" w:firstLine="0"/>
              <w:jc w:val="right"/>
              <w:rPr>
                <w:color w:val="000000" w:themeColor="text1"/>
              </w:rPr>
            </w:pPr>
            <m:oMathPara>
              <m:oMathParaPr>
                <m:jc m:val="right"/>
              </m:oMathParaPr>
              <m:oMath>
                <m:sSub>
                  <m:sSubPr>
                    <m:ctrlPr>
                      <w:rPr>
                        <w:rFonts w:ascii="Cambria Math" w:hAnsi="Cambria Math" w:cs="Calibri"/>
                        <w:i/>
                        <w:color w:val="000000" w:themeColor="text1"/>
                        <w:lang w:eastAsia="en-US"/>
                      </w:rPr>
                    </m:ctrlPr>
                  </m:sSubPr>
                  <m:e>
                    <m:acc>
                      <m:accPr>
                        <m:chr m:val="̅"/>
                        <m:ctrlPr>
                          <w:rPr>
                            <w:rFonts w:ascii="Cambria Math" w:hAnsi="Cambria Math" w:cs="Calibri"/>
                            <w:i/>
                            <w:color w:val="000000" w:themeColor="text1"/>
                            <w:lang w:eastAsia="en-US"/>
                          </w:rPr>
                        </m:ctrlPr>
                      </m:accPr>
                      <m:e>
                        <m:r>
                          <w:rPr>
                            <w:rFonts w:ascii="Cambria Math" w:hAnsi="Cambria Math" w:cs="Calibri"/>
                            <w:color w:val="000000" w:themeColor="text1"/>
                            <w:lang w:eastAsia="en-US"/>
                          </w:rPr>
                          <m:t>z</m:t>
                        </m:r>
                      </m:e>
                    </m:acc>
                  </m:e>
                  <m:sub>
                    <m:r>
                      <w:rPr>
                        <w:rFonts w:ascii="Cambria Math" w:hAnsi="Cambria Math" w:cs="Calibri"/>
                        <w:color w:val="000000" w:themeColor="text1"/>
                        <w:lang w:eastAsia="en-US"/>
                      </w:rPr>
                      <m:t>i</m:t>
                    </m:r>
                  </m:sub>
                </m:sSub>
                <m:r>
                  <m:rPr>
                    <m:sty m:val="bi"/>
                  </m:rPr>
                  <w:rPr>
                    <w:rFonts w:ascii="Cambria Math" w:hAnsi="Cambria Math" w:cs="Calibri"/>
                    <w:color w:val="000000" w:themeColor="text1"/>
                    <w:lang w:eastAsia="en-US"/>
                  </w:rPr>
                  <m:t>=</m:t>
                </m:r>
              </m:oMath>
            </m:oMathPara>
          </w:p>
        </w:tc>
        <w:tc>
          <w:tcPr>
            <w:tcW w:w="6582" w:type="dxa"/>
          </w:tcPr>
          <w:p w:rsidR="00F94614" w:rsidRPr="00374785" w:rsidRDefault="00F94614" w:rsidP="00061919">
            <w:pPr>
              <w:pStyle w:val="tMain"/>
              <w:ind w:left="0" w:firstLine="0"/>
              <w:rPr>
                <w:color w:val="000000" w:themeColor="text1"/>
              </w:rPr>
            </w:pPr>
            <w:proofErr w:type="gramStart"/>
            <w:r w:rsidRPr="00374785">
              <w:rPr>
                <w:color w:val="000000" w:themeColor="text1"/>
              </w:rPr>
              <w:t>average</w:t>
            </w:r>
            <w:proofErr w:type="gramEnd"/>
            <w:r w:rsidRPr="00374785">
              <w:rPr>
                <w:color w:val="000000" w:themeColor="text1"/>
              </w:rPr>
              <w:t xml:space="preserve"> stocking density (in stems/ha) for the </w:t>
            </w:r>
            <w:proofErr w:type="spellStart"/>
            <w:r w:rsidRPr="00374785">
              <w:rPr>
                <w:i/>
                <w:color w:val="000000" w:themeColor="text1"/>
              </w:rPr>
              <w:t>i</w:t>
            </w:r>
            <w:r w:rsidRPr="00374785">
              <w:rPr>
                <w:i/>
                <w:color w:val="000000" w:themeColor="text1"/>
                <w:vertAlign w:val="superscript"/>
              </w:rPr>
              <w:t>th</w:t>
            </w:r>
            <w:proofErr w:type="spellEnd"/>
            <w:r w:rsidRPr="00374785">
              <w:rPr>
                <w:i/>
                <w:color w:val="000000" w:themeColor="text1"/>
                <w:vertAlign w:val="superscript"/>
              </w:rPr>
              <w:t xml:space="preserve"> </w:t>
            </w:r>
            <w:r w:rsidRPr="00374785">
              <w:rPr>
                <w:color w:val="000000" w:themeColor="text1"/>
              </w:rPr>
              <w:t>carbon estimation area</w:t>
            </w:r>
            <w:r w:rsidR="00061919">
              <w:rPr>
                <w:color w:val="000000" w:themeColor="text1"/>
              </w:rPr>
              <w:t>—see equation 2</w:t>
            </w:r>
            <w:r w:rsidRPr="00374785">
              <w:rPr>
                <w:color w:val="000000" w:themeColor="text1"/>
              </w:rPr>
              <w:t>.</w:t>
            </w:r>
          </w:p>
        </w:tc>
      </w:tr>
      <w:tr w:rsidR="006570B5" w:rsidRPr="00374785" w:rsidTr="006570B5">
        <w:tc>
          <w:tcPr>
            <w:tcW w:w="1696" w:type="dxa"/>
            <w:vAlign w:val="center"/>
          </w:tcPr>
          <w:p w:rsidR="006570B5" w:rsidRPr="00374785" w:rsidRDefault="006570B5" w:rsidP="006570B5">
            <w:pPr>
              <w:pStyle w:val="tMain"/>
              <w:ind w:left="0" w:firstLine="0"/>
              <w:jc w:val="right"/>
              <w:rPr>
                <w:iCs/>
                <w:color w:val="000000"/>
              </w:rPr>
            </w:pPr>
            <w:r w:rsidRPr="00374785">
              <w:rPr>
                <w:i/>
              </w:rPr>
              <w:t>i =</w:t>
            </w:r>
          </w:p>
        </w:tc>
        <w:tc>
          <w:tcPr>
            <w:tcW w:w="6582" w:type="dxa"/>
          </w:tcPr>
          <w:p w:rsidR="006570B5" w:rsidRPr="00374785" w:rsidRDefault="008B7F4F" w:rsidP="006570B5">
            <w:pPr>
              <w:pStyle w:val="tMain"/>
              <w:ind w:left="0" w:firstLine="0"/>
              <w:rPr>
                <w:color w:val="000000" w:themeColor="text1"/>
              </w:rPr>
            </w:pPr>
            <w:r w:rsidRPr="00374785">
              <w:rPr>
                <w:i/>
              </w:rPr>
              <w:t>i</w:t>
            </w:r>
            <w:r w:rsidRPr="00374785">
              <w:rPr>
                <w:vertAlign w:val="superscript"/>
              </w:rPr>
              <w:t>th</w:t>
            </w:r>
            <w:r w:rsidRPr="00374785">
              <w:t xml:space="preserve"> </w:t>
            </w:r>
            <w:r w:rsidR="006570B5" w:rsidRPr="00374785">
              <w:t>carbon estimation area.</w:t>
            </w:r>
          </w:p>
        </w:tc>
      </w:tr>
    </w:tbl>
    <w:p w:rsidR="00F94614" w:rsidRPr="00374785" w:rsidRDefault="007F3C0F" w:rsidP="00F94614">
      <w:pPr>
        <w:pStyle w:val="h5Section"/>
      </w:pPr>
      <w:bookmarkStart w:id="55" w:name="_Toc397681599"/>
      <w:r>
        <w:t>3.36</w:t>
      </w:r>
      <w:r w:rsidR="00F94614" w:rsidRPr="00374785">
        <w:tab/>
        <w:t>Calculating conservative estimate of stocking density</w:t>
      </w:r>
      <w:bookmarkEnd w:id="55"/>
    </w:p>
    <w:p w:rsidR="00F94614" w:rsidRPr="00374785" w:rsidRDefault="00F94614" w:rsidP="00F94614">
      <w:pPr>
        <w:pStyle w:val="tMain"/>
      </w:pPr>
      <w:r w:rsidRPr="00374785">
        <w:tab/>
      </w:r>
      <w:r w:rsidRPr="00374785">
        <w:tab/>
        <w:t xml:space="preserve">The conservative estimate of </w:t>
      </w:r>
      <w:r w:rsidR="006B7902" w:rsidRPr="00374785">
        <w:t xml:space="preserve">the average </w:t>
      </w:r>
      <w:r w:rsidRPr="00374785">
        <w:t>stocking density of a carbon estimation area must be calculated</w:t>
      </w:r>
      <w:r w:rsidR="00E9576A" w:rsidRPr="00374785">
        <w:t xml:space="preserve"> as the lower confidence limit</w:t>
      </w:r>
      <w:r w:rsidRPr="00374785">
        <w:t xml:space="preserve"> using the following formula:</w:t>
      </w:r>
    </w:p>
    <w:tbl>
      <w:tblPr>
        <w:tblStyle w:val="TableGrid"/>
        <w:tblW w:w="0" w:type="auto"/>
        <w:tblInd w:w="964" w:type="dxa"/>
        <w:tblLook w:val="04A0"/>
      </w:tblPr>
      <w:tblGrid>
        <w:gridCol w:w="6374"/>
        <w:gridCol w:w="1904"/>
      </w:tblGrid>
      <w:tr w:rsidR="00F94614" w:rsidRPr="00374785" w:rsidTr="00F94614">
        <w:tc>
          <w:tcPr>
            <w:tcW w:w="6374" w:type="dxa"/>
          </w:tcPr>
          <w:p w:rsidR="00F94614" w:rsidRPr="00374785" w:rsidRDefault="0020376C" w:rsidP="002575CF">
            <w:pPr>
              <w:pStyle w:val="tMain"/>
              <w:spacing w:before="100" w:line="360" w:lineRule="auto"/>
              <w:ind w:left="0" w:firstLine="0"/>
              <w:rPr>
                <w:color w:val="76923C" w:themeColor="accent3" w:themeShade="BF"/>
              </w:rPr>
            </w:pPr>
            <m:oMathPara>
              <m:oMath>
                <m:sSub>
                  <m:sSubPr>
                    <m:ctrlPr>
                      <w:rPr>
                        <w:rFonts w:ascii="Cambria Math" w:hAnsi="Cambria Math"/>
                        <w:i/>
                        <w:color w:val="000000"/>
                      </w:rPr>
                    </m:ctrlPr>
                  </m:sSubPr>
                  <m:e>
                    <m:acc>
                      <m:accPr>
                        <m:chr m:val="̃"/>
                        <m:ctrlPr>
                          <w:rPr>
                            <w:rFonts w:ascii="Cambria Math" w:hAnsi="Cambria Math"/>
                            <w:i/>
                            <w:color w:val="000000"/>
                          </w:rPr>
                        </m:ctrlPr>
                      </m:accPr>
                      <m:e>
                        <m:r>
                          <w:rPr>
                            <w:rFonts w:ascii="Cambria Math" w:hAnsi="Cambria Math"/>
                            <w:color w:val="000000"/>
                          </w:rPr>
                          <m:t>z</m:t>
                        </m:r>
                      </m:e>
                    </m:acc>
                  </m:e>
                  <m:sub>
                    <m:r>
                      <w:rPr>
                        <w:rFonts w:ascii="Cambria Math" w:hAnsi="Cambria Math"/>
                        <w:color w:val="000000"/>
                      </w:rPr>
                      <m:t>i</m:t>
                    </m:r>
                  </m:sub>
                </m:sSub>
                <m:r>
                  <m:rPr>
                    <m:sty m:val="p"/>
                  </m:rPr>
                  <w:rPr>
                    <w:rFonts w:ascii="Cambria Math" w:hAnsi="Cambria Math"/>
                    <w:color w:val="000000"/>
                  </w:rPr>
                  <m:t>=</m:t>
                </m:r>
                <m:r>
                  <m:rPr>
                    <m:sty m:val="p"/>
                  </m:rPr>
                  <w:rPr>
                    <w:rFonts w:ascii="Cambria Math"/>
                    <w:color w:val="000000"/>
                  </w:rPr>
                  <m:t xml:space="preserve"> </m:t>
                </m:r>
                <m:r>
                  <w:rPr>
                    <w:rFonts w:ascii="Cambria Math" w:hAnsi="Cambria Math"/>
                    <w:color w:val="000000"/>
                  </w:rPr>
                  <m:t> </m:t>
                </m:r>
                <m:sSub>
                  <m:sSubPr>
                    <m:ctrlPr>
                      <w:rPr>
                        <w:rFonts w:ascii="Cambria Math" w:eastAsiaTheme="minorEastAsia" w:hAnsi="Cambria Math"/>
                        <w:i/>
                        <w:iCs/>
                        <w:color w:val="000000"/>
                      </w:rPr>
                    </m:ctrlPr>
                  </m:sSubPr>
                  <m:e>
                    <m:bar>
                      <m:barPr>
                        <m:pos m:val="top"/>
                        <m:ctrlPr>
                          <w:rPr>
                            <w:rFonts w:ascii="Cambria Math" w:hAnsi="Cambria Math"/>
                            <w:i/>
                            <w:color w:val="000000"/>
                          </w:rPr>
                        </m:ctrlPr>
                      </m:barPr>
                      <m:e>
                        <m:r>
                          <w:rPr>
                            <w:rFonts w:ascii="Cambria Math" w:hAnsi="Cambria Math"/>
                            <w:color w:val="000000"/>
                          </w:rPr>
                          <m:t>z</m:t>
                        </m:r>
                      </m:e>
                    </m:bar>
                  </m:e>
                  <m:sub>
                    <m:r>
                      <w:rPr>
                        <w:rFonts w:ascii="Cambria Math" w:eastAsiaTheme="minorEastAsia" w:hAnsi="Cambria Math"/>
                        <w:color w:val="000000"/>
                      </w:rPr>
                      <m:t>i</m:t>
                    </m:r>
                  </m:sub>
                </m:sSub>
                <m:r>
                  <w:rPr>
                    <w:rFonts w:ascii="Cambria Math" w:eastAsiaTheme="minorEastAsia" w:hAnsi="Cambria Math"/>
                    <w:color w:val="000000"/>
                  </w:rPr>
                  <m:t xml:space="preserve">- </m:t>
                </m:r>
                <m:d>
                  <m:dPr>
                    <m:ctrlPr>
                      <w:rPr>
                        <w:rFonts w:ascii="Cambria Math" w:hAnsi="Cambria Math"/>
                        <w:i/>
                        <w:color w:val="000000"/>
                      </w:rPr>
                    </m:ctrlPr>
                  </m:dPr>
                  <m:e>
                    <m:sSub>
                      <m:sSubPr>
                        <m:ctrlPr>
                          <w:rPr>
                            <w:rFonts w:ascii="Cambria Math" w:hAnsi="Cambria Math"/>
                            <w:color w:val="000000"/>
                          </w:rPr>
                        </m:ctrlPr>
                      </m:sSubPr>
                      <m:e>
                        <m:r>
                          <m:rPr>
                            <m:sty m:val="p"/>
                          </m:rPr>
                          <w:rPr>
                            <w:rFonts w:ascii="Cambria Math" w:hAnsi="Cambria Math"/>
                            <w:color w:val="000000"/>
                          </w:rPr>
                          <m:t>t</m:t>
                        </m:r>
                      </m:e>
                      <m:sub>
                        <m:r>
                          <w:rPr>
                            <w:rFonts w:ascii="Cambria Math" w:hAnsi="Cambria Math"/>
                            <w:color w:val="000000"/>
                          </w:rPr>
                          <m:t>0.05</m:t>
                        </m:r>
                      </m:sub>
                    </m:sSub>
                    <m:r>
                      <m:rPr>
                        <m:sty m:val="p"/>
                      </m:rPr>
                      <w:rPr>
                        <w:rFonts w:ascii="Cambria Math" w:hAnsi="Cambria Math"/>
                        <w:color w:val="000000"/>
                      </w:rPr>
                      <m:t xml:space="preserve"> × </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σ</m:t>
                            </m:r>
                          </m:e>
                          <m:sub>
                            <m:bar>
                              <m:barPr>
                                <m:pos m:val="top"/>
                                <m:ctrlPr>
                                  <w:rPr>
                                    <w:rFonts w:ascii="Cambria Math" w:hAnsi="Cambria Math"/>
                                    <w:i/>
                                  </w:rPr>
                                </m:ctrlPr>
                              </m:barPr>
                              <m:e>
                                <m:r>
                                  <w:rPr>
                                    <w:rFonts w:ascii="Cambria Math" w:hAnsi="Cambria Math"/>
                                  </w:rPr>
                                  <m:t>z</m:t>
                                </m:r>
                              </m:e>
                            </m:bar>
                            <m:r>
                              <m:rPr>
                                <m:sty m:val="p"/>
                              </m:rPr>
                              <w:rPr>
                                <w:rFonts w:ascii="Cambria Math" w:hAnsi="Cambria Math"/>
                                <w:color w:val="000000"/>
                              </w:rPr>
                              <m:t>,</m:t>
                            </m:r>
                            <m:r>
                              <w:rPr>
                                <w:rFonts w:ascii="Cambria Math" w:hAnsi="Cambria Math"/>
                                <w:color w:val="000000"/>
                              </w:rPr>
                              <m:t>i</m:t>
                            </m:r>
                          </m:sub>
                        </m:sSub>
                      </m:num>
                      <m:den>
                        <m:rad>
                          <m:radPr>
                            <m:degHide m:val="on"/>
                            <m:ctrlPr>
                              <w:rPr>
                                <w:rFonts w:ascii="Cambria Math" w:hAnsi="Cambria Math"/>
                                <w:color w:val="000000"/>
                              </w:rPr>
                            </m:ctrlPr>
                          </m:radPr>
                          <m:deg/>
                          <m:e>
                            <m:sSub>
                              <m:sSubPr>
                                <m:ctrlPr>
                                  <w:rPr>
                                    <w:rFonts w:ascii="Cambria Math" w:hAnsi="Cambria Math"/>
                                    <w:color w:val="000000"/>
                                  </w:rPr>
                                </m:ctrlPr>
                              </m:sSubPr>
                              <m:e>
                                <m:r>
                                  <w:rPr>
                                    <w:rFonts w:ascii="Cambria Math" w:eastAsiaTheme="minorEastAsia" w:hAnsi="Cambria Math"/>
                                    <w:color w:val="000000"/>
                                  </w:rPr>
                                  <m:t>M</m:t>
                                </m:r>
                              </m:e>
                              <m:sub>
                                <m:r>
                                  <w:rPr>
                                    <w:rFonts w:ascii="Cambria Math" w:hAnsi="Cambria Math"/>
                                    <w:color w:val="000000"/>
                                  </w:rPr>
                                  <m:t>i</m:t>
                                </m:r>
                              </m:sub>
                            </m:sSub>
                          </m:e>
                        </m:rad>
                      </m:den>
                    </m:f>
                    <m:r>
                      <m:rPr>
                        <m:sty m:val="p"/>
                      </m:rPr>
                      <w:rPr>
                        <w:rFonts w:ascii="Cambria Math" w:hAnsi="Cambria Math"/>
                      </w:rPr>
                      <m:t xml:space="preserve"> </m:t>
                    </m:r>
                  </m:e>
                </m:d>
              </m:oMath>
            </m:oMathPara>
          </w:p>
        </w:tc>
        <w:tc>
          <w:tcPr>
            <w:tcW w:w="1904" w:type="dxa"/>
            <w:vAlign w:val="center"/>
          </w:tcPr>
          <w:p w:rsidR="00F94614" w:rsidRPr="00374785" w:rsidRDefault="00F94614" w:rsidP="00F94614">
            <w:pPr>
              <w:pStyle w:val="tMain"/>
              <w:ind w:left="0" w:firstLine="0"/>
              <w:jc w:val="center"/>
              <w:rPr>
                <w:b/>
                <w:color w:val="000000" w:themeColor="text1"/>
              </w:rPr>
            </w:pPr>
            <w:r w:rsidRPr="00374785">
              <w:rPr>
                <w:b/>
                <w:color w:val="000000" w:themeColor="text1"/>
              </w:rPr>
              <w:t>Equation 5</w:t>
            </w:r>
          </w:p>
        </w:tc>
      </w:tr>
    </w:tbl>
    <w:p w:rsidR="00F94614" w:rsidRPr="00374785" w:rsidRDefault="00F94614" w:rsidP="00F94614">
      <w:pPr>
        <w:pStyle w:val="tMain"/>
      </w:pPr>
      <w:r w:rsidRPr="00374785">
        <w:tab/>
      </w:r>
      <w:r w:rsidRPr="00374785">
        <w:tab/>
        <w:t>Where:</w:t>
      </w:r>
    </w:p>
    <w:tbl>
      <w:tblPr>
        <w:tblStyle w:val="TableGrid"/>
        <w:tblW w:w="0" w:type="auto"/>
        <w:tblInd w:w="964" w:type="dxa"/>
        <w:tblLook w:val="04A0"/>
      </w:tblPr>
      <w:tblGrid>
        <w:gridCol w:w="1696"/>
        <w:gridCol w:w="6582"/>
      </w:tblGrid>
      <w:tr w:rsidR="00F94614" w:rsidRPr="00374785" w:rsidTr="00F94614">
        <w:tc>
          <w:tcPr>
            <w:tcW w:w="1696" w:type="dxa"/>
            <w:vAlign w:val="center"/>
          </w:tcPr>
          <w:p w:rsidR="00F94614" w:rsidRPr="00374785" w:rsidRDefault="0020376C" w:rsidP="00F94614">
            <w:pPr>
              <w:pStyle w:val="tMain"/>
              <w:ind w:left="0" w:firstLine="0"/>
              <w:jc w:val="right"/>
              <w:rPr>
                <w:color w:val="000000" w:themeColor="text1"/>
              </w:rPr>
            </w:pPr>
            <m:oMathPara>
              <m:oMathParaPr>
                <m:jc m:val="right"/>
              </m:oMathParaPr>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z</m:t>
                        </m:r>
                      </m:e>
                    </m:acc>
                  </m:e>
                  <m:sub>
                    <m:r>
                      <w:rPr>
                        <w:rFonts w:ascii="Cambria Math" w:hAnsi="Cambria Math"/>
                        <w:color w:val="000000" w:themeColor="text1"/>
                      </w:rPr>
                      <m:t>i</m:t>
                    </m:r>
                  </m:sub>
                </m:sSub>
                <m:r>
                  <w:rPr>
                    <w:rFonts w:ascii="Cambria Math" w:hAnsi="Cambria Math" w:cs="Calibri"/>
                    <w:color w:val="000000" w:themeColor="text1"/>
                    <w:lang w:eastAsia="en-US"/>
                  </w:rPr>
                  <m:t>=</m:t>
                </m:r>
              </m:oMath>
            </m:oMathPara>
          </w:p>
        </w:tc>
        <w:tc>
          <w:tcPr>
            <w:tcW w:w="6582" w:type="dxa"/>
          </w:tcPr>
          <w:p w:rsidR="00F94614" w:rsidRPr="00374785" w:rsidRDefault="00F94614" w:rsidP="00F94614">
            <w:pPr>
              <w:pStyle w:val="tMain"/>
              <w:ind w:left="0" w:firstLine="0"/>
              <w:rPr>
                <w:color w:val="000000" w:themeColor="text1"/>
              </w:rPr>
            </w:pPr>
            <w:r w:rsidRPr="00374785">
              <w:rPr>
                <w:color w:val="000000" w:themeColor="text1"/>
              </w:rPr>
              <w:t xml:space="preserve">conservative estimate of </w:t>
            </w:r>
            <w:r w:rsidR="006B7902" w:rsidRPr="00374785">
              <w:rPr>
                <w:color w:val="000000" w:themeColor="text1"/>
              </w:rPr>
              <w:t xml:space="preserve">the average </w:t>
            </w:r>
            <w:r w:rsidRPr="00374785">
              <w:rPr>
                <w:color w:val="000000" w:themeColor="text1"/>
              </w:rPr>
              <w:t xml:space="preserve">stocking density (in stems/ha) within the </w:t>
            </w:r>
            <w:r w:rsidRPr="00374785">
              <w:rPr>
                <w:i/>
                <w:color w:val="000000" w:themeColor="text1"/>
              </w:rPr>
              <w:t>i</w:t>
            </w:r>
            <w:r w:rsidRPr="00374785">
              <w:rPr>
                <w:color w:val="000000" w:themeColor="text1"/>
                <w:vertAlign w:val="superscript"/>
              </w:rPr>
              <w:t xml:space="preserve">th </w:t>
            </w:r>
            <w:r w:rsidRPr="00374785">
              <w:rPr>
                <w:color w:val="000000" w:themeColor="text1"/>
              </w:rPr>
              <w:t xml:space="preserve">carbon estimation area. </w:t>
            </w:r>
          </w:p>
        </w:tc>
      </w:tr>
      <w:tr w:rsidR="00F94614" w:rsidRPr="00374785" w:rsidTr="00F94614">
        <w:tc>
          <w:tcPr>
            <w:tcW w:w="1696" w:type="dxa"/>
            <w:vAlign w:val="center"/>
          </w:tcPr>
          <w:p w:rsidR="00F94614" w:rsidRPr="00374785" w:rsidRDefault="0020376C" w:rsidP="00F94614">
            <w:pPr>
              <w:pStyle w:val="tMain"/>
              <w:ind w:left="0" w:firstLine="0"/>
              <w:jc w:val="right"/>
              <w:rPr>
                <w:color w:val="000000" w:themeColor="text1"/>
              </w:rPr>
            </w:pPr>
            <m:oMathPara>
              <m:oMathParaPr>
                <m:jc m:val="right"/>
              </m:oMathParaPr>
              <m:oMath>
                <m:acc>
                  <m:accPr>
                    <m:chr m:val="̅"/>
                    <m:ctrlPr>
                      <w:rPr>
                        <w:rFonts w:ascii="Cambria Math" w:hAnsi="Cambria Math" w:cs="Calibri"/>
                        <w:i/>
                        <w:color w:val="000000" w:themeColor="text1"/>
                        <w:lang w:eastAsia="en-US"/>
                      </w:rPr>
                    </m:ctrlPr>
                  </m:accPr>
                  <m:e>
                    <m:sSub>
                      <m:sSubPr>
                        <m:ctrlPr>
                          <w:rPr>
                            <w:rFonts w:ascii="Cambria Math" w:hAnsi="Cambria Math" w:cs="Calibri"/>
                            <w:i/>
                            <w:color w:val="000000" w:themeColor="text1"/>
                            <w:lang w:eastAsia="en-US"/>
                          </w:rPr>
                        </m:ctrlPr>
                      </m:sSubPr>
                      <m:e>
                        <m:r>
                          <w:rPr>
                            <w:rFonts w:ascii="Cambria Math" w:hAnsi="Cambria Math" w:cs="Calibri"/>
                            <w:color w:val="000000" w:themeColor="text1"/>
                            <w:lang w:eastAsia="en-US"/>
                          </w:rPr>
                          <m:t>z</m:t>
                        </m:r>
                      </m:e>
                      <m:sub>
                        <m:r>
                          <w:rPr>
                            <w:rFonts w:ascii="Cambria Math" w:hAnsi="Cambria Math" w:cs="Calibri"/>
                            <w:color w:val="000000" w:themeColor="text1"/>
                            <w:lang w:eastAsia="en-US"/>
                          </w:rPr>
                          <m:t>i</m:t>
                        </m:r>
                      </m:sub>
                    </m:sSub>
                  </m:e>
                </m:acc>
                <m:r>
                  <w:rPr>
                    <w:rFonts w:ascii="Cambria Math" w:hAnsi="Cambria Math" w:cs="Calibri"/>
                    <w:color w:val="000000" w:themeColor="text1"/>
                    <w:lang w:eastAsia="en-US"/>
                  </w:rPr>
                  <m:t>=</m:t>
                </m:r>
              </m:oMath>
            </m:oMathPara>
          </w:p>
        </w:tc>
        <w:tc>
          <w:tcPr>
            <w:tcW w:w="6582" w:type="dxa"/>
          </w:tcPr>
          <w:p w:rsidR="00F94614" w:rsidRPr="00374785" w:rsidRDefault="00F94614" w:rsidP="00F94614">
            <w:pPr>
              <w:pStyle w:val="tMain"/>
              <w:ind w:left="0" w:firstLine="0"/>
              <w:rPr>
                <w:color w:val="000000" w:themeColor="text1"/>
              </w:rPr>
            </w:pPr>
            <w:proofErr w:type="gramStart"/>
            <w:r w:rsidRPr="00374785">
              <w:rPr>
                <w:color w:val="000000" w:themeColor="text1"/>
              </w:rPr>
              <w:t>average</w:t>
            </w:r>
            <w:proofErr w:type="gramEnd"/>
            <w:r w:rsidRPr="00374785">
              <w:rPr>
                <w:color w:val="000000" w:themeColor="text1"/>
              </w:rPr>
              <w:t xml:space="preserve"> stocking density (in stems/ha) for the </w:t>
            </w:r>
            <w:proofErr w:type="spellStart"/>
            <w:r w:rsidRPr="00374785">
              <w:rPr>
                <w:i/>
                <w:color w:val="000000" w:themeColor="text1"/>
              </w:rPr>
              <w:t>i</w:t>
            </w:r>
            <w:r w:rsidRPr="00374785">
              <w:rPr>
                <w:i/>
                <w:color w:val="000000" w:themeColor="text1"/>
                <w:vertAlign w:val="superscript"/>
              </w:rPr>
              <w:t>th</w:t>
            </w:r>
            <w:proofErr w:type="spellEnd"/>
            <w:r w:rsidRPr="00374785">
              <w:rPr>
                <w:i/>
                <w:color w:val="000000" w:themeColor="text1"/>
                <w:vertAlign w:val="superscript"/>
              </w:rPr>
              <w:t xml:space="preserve"> </w:t>
            </w:r>
            <w:r w:rsidRPr="00374785">
              <w:rPr>
                <w:color w:val="000000" w:themeColor="text1"/>
              </w:rPr>
              <w:t>carbon estimation area</w:t>
            </w:r>
            <w:r w:rsidR="00061919">
              <w:rPr>
                <w:color w:val="000000" w:themeColor="text1"/>
              </w:rPr>
              <w:t>—see equation 2</w:t>
            </w:r>
            <w:r w:rsidRPr="00374785">
              <w:rPr>
                <w:color w:val="000000" w:themeColor="text1"/>
              </w:rPr>
              <w:t>.</w:t>
            </w:r>
          </w:p>
        </w:tc>
      </w:tr>
      <w:tr w:rsidR="00F94614" w:rsidRPr="00374785" w:rsidTr="00F94614">
        <w:tc>
          <w:tcPr>
            <w:tcW w:w="1696" w:type="dxa"/>
            <w:vAlign w:val="center"/>
          </w:tcPr>
          <w:p w:rsidR="00F94614" w:rsidRPr="00374785" w:rsidRDefault="0020376C" w:rsidP="002575CF">
            <w:pPr>
              <w:pStyle w:val="tMain"/>
              <w:ind w:left="0" w:firstLine="0"/>
              <w:jc w:val="right"/>
              <w:rPr>
                <w:color w:val="000000" w:themeColor="text1"/>
              </w:rPr>
            </w:pPr>
            <m:oMathPara>
              <m:oMathParaPr>
                <m:jc m:val="right"/>
              </m:oMathParaPr>
              <m:oMath>
                <m:sSub>
                  <m:sSubPr>
                    <m:ctrlPr>
                      <w:rPr>
                        <w:rFonts w:ascii="Cambria Math" w:hAnsi="Cambria Math" w:cs="Calibri"/>
                        <w:color w:val="000000" w:themeColor="text1"/>
                        <w:lang w:eastAsia="en-US"/>
                      </w:rPr>
                    </m:ctrlPr>
                  </m:sSubPr>
                  <m:e>
                    <m:r>
                      <w:rPr>
                        <w:rFonts w:ascii="Cambria Math" w:hAnsi="Cambria Math" w:cs="Calibri"/>
                        <w:color w:val="000000" w:themeColor="text1"/>
                        <w:lang w:eastAsia="en-US"/>
                      </w:rPr>
                      <m:t>t</m:t>
                    </m:r>
                  </m:e>
                  <m:sub>
                    <m:r>
                      <w:rPr>
                        <w:rFonts w:ascii="Cambria Math" w:hAnsi="Cambria Math" w:cs="Calibri"/>
                        <w:color w:val="000000" w:themeColor="text1"/>
                        <w:lang w:eastAsia="en-US"/>
                      </w:rPr>
                      <m:t>0.05</m:t>
                    </m:r>
                  </m:sub>
                </m:sSub>
                <m:r>
                  <w:rPr>
                    <w:rFonts w:ascii="Cambria Math" w:hAnsi="Cambria Math" w:cs="Calibri"/>
                    <w:color w:val="000000" w:themeColor="text1"/>
                    <w:lang w:eastAsia="en-US"/>
                  </w:rPr>
                  <m:t>=</m:t>
                </m:r>
              </m:oMath>
            </m:oMathPara>
          </w:p>
        </w:tc>
        <w:tc>
          <w:tcPr>
            <w:tcW w:w="6582" w:type="dxa"/>
          </w:tcPr>
          <w:p w:rsidR="00F94614" w:rsidRPr="00374785" w:rsidRDefault="00F94614" w:rsidP="002575CF">
            <w:pPr>
              <w:pStyle w:val="tMain"/>
              <w:ind w:left="0" w:firstLine="0"/>
              <w:rPr>
                <w:color w:val="000000" w:themeColor="text1"/>
              </w:rPr>
            </w:pPr>
            <w:r w:rsidRPr="00374785">
              <w:rPr>
                <w:color w:val="000000" w:themeColor="text1"/>
              </w:rPr>
              <w:t>critical value of the t-distribution for a Student’</w:t>
            </w:r>
            <w:r w:rsidR="00FC3667" w:rsidRPr="00374785">
              <w:rPr>
                <w:color w:val="000000" w:themeColor="text1"/>
              </w:rPr>
              <w:t>s</w:t>
            </w:r>
            <w:r w:rsidRPr="00374785">
              <w:rPr>
                <w:color w:val="000000" w:themeColor="text1"/>
              </w:rPr>
              <w:t xml:space="preserve"> t-test, using </w:t>
            </w:r>
            <w:r w:rsidRPr="00374785">
              <w:rPr>
                <w:i/>
                <w:color w:val="000000" w:themeColor="text1"/>
              </w:rPr>
              <w:t>n</w:t>
            </w:r>
            <w:r w:rsidRPr="00374785">
              <w:rPr>
                <w:color w:val="000000" w:themeColor="text1"/>
              </w:rPr>
              <w:t xml:space="preserve">-1 degrees of freedom at the </w:t>
            </w:r>
            <w:r w:rsidRPr="00374785">
              <w:rPr>
                <w:i/>
                <w:color w:val="000000" w:themeColor="text1"/>
              </w:rPr>
              <w:t>P</w:t>
            </w:r>
            <w:r w:rsidRPr="00374785">
              <w:rPr>
                <w:color w:val="000000" w:themeColor="text1"/>
              </w:rPr>
              <w:t>=0.05 level of significance.</w:t>
            </w:r>
          </w:p>
        </w:tc>
      </w:tr>
      <w:tr w:rsidR="00F94614" w:rsidRPr="00374785" w:rsidTr="00F94614">
        <w:tc>
          <w:tcPr>
            <w:tcW w:w="1696" w:type="dxa"/>
            <w:vAlign w:val="center"/>
          </w:tcPr>
          <w:p w:rsidR="00F94614" w:rsidRPr="00374785" w:rsidRDefault="0020376C" w:rsidP="000B6E66">
            <w:pPr>
              <w:pStyle w:val="tMain"/>
              <w:ind w:left="0" w:firstLine="0"/>
              <w:jc w:val="right"/>
              <w:rPr>
                <w:color w:val="000000" w:themeColor="text1"/>
              </w:rPr>
            </w:pPr>
            <m:oMathPara>
              <m:oMathParaPr>
                <m:jc m:val="right"/>
              </m:oMathParaPr>
              <m:oMath>
                <m:sSub>
                  <m:sSubPr>
                    <m:ctrlPr>
                      <w:rPr>
                        <w:rFonts w:ascii="Cambria Math" w:hAnsi="Cambria Math"/>
                        <w:color w:val="000000"/>
                      </w:rPr>
                    </m:ctrlPr>
                  </m:sSubPr>
                  <m:e>
                    <m:r>
                      <m:rPr>
                        <m:sty m:val="p"/>
                      </m:rPr>
                      <w:rPr>
                        <w:rFonts w:ascii="Cambria Math" w:hAnsi="Cambria Math"/>
                        <w:color w:val="000000"/>
                      </w:rPr>
                      <m:t>σ</m:t>
                    </m:r>
                  </m:e>
                  <m:sub>
                    <m:bar>
                      <m:barPr>
                        <m:pos m:val="top"/>
                        <m:ctrlPr>
                          <w:rPr>
                            <w:rFonts w:ascii="Cambria Math" w:hAnsi="Cambria Math"/>
                            <w:i/>
                          </w:rPr>
                        </m:ctrlPr>
                      </m:barPr>
                      <m:e>
                        <m:r>
                          <w:rPr>
                            <w:rFonts w:ascii="Cambria Math" w:hAnsi="Cambria Math"/>
                          </w:rPr>
                          <m:t>z</m:t>
                        </m:r>
                      </m:e>
                    </m:bar>
                    <m:r>
                      <w:rPr>
                        <w:rFonts w:ascii="Cambria Math" w:hAnsi="Cambria Math"/>
                        <w:color w:val="000000"/>
                      </w:rPr>
                      <m:t>i</m:t>
                    </m:r>
                  </m:sub>
                </m:sSub>
                <m:r>
                  <w:rPr>
                    <w:rFonts w:ascii="Cambria Math" w:hAnsi="Cambria Math" w:cs="Calibri"/>
                    <w:color w:val="000000" w:themeColor="text1"/>
                    <w:lang w:eastAsia="en-US"/>
                  </w:rPr>
                  <m:t>=</m:t>
                </m:r>
              </m:oMath>
            </m:oMathPara>
          </w:p>
        </w:tc>
        <w:tc>
          <w:tcPr>
            <w:tcW w:w="6582" w:type="dxa"/>
          </w:tcPr>
          <w:p w:rsidR="00F94614" w:rsidRPr="00374785" w:rsidRDefault="00F94614" w:rsidP="00F94614">
            <w:pPr>
              <w:pStyle w:val="tMain"/>
              <w:ind w:left="0" w:firstLine="0"/>
              <w:rPr>
                <w:color w:val="000000" w:themeColor="text1"/>
              </w:rPr>
            </w:pPr>
            <w:proofErr w:type="gramStart"/>
            <w:r w:rsidRPr="00374785">
              <w:rPr>
                <w:color w:val="000000" w:themeColor="text1"/>
              </w:rPr>
              <w:t>standard</w:t>
            </w:r>
            <w:proofErr w:type="gramEnd"/>
            <w:r w:rsidRPr="00374785">
              <w:rPr>
                <w:color w:val="000000" w:themeColor="text1"/>
              </w:rPr>
              <w:t xml:space="preserve"> deviation of average stocking density (</w:t>
            </w:r>
            <m:oMath>
              <m:bar>
                <m:barPr>
                  <m:pos m:val="top"/>
                  <m:ctrlPr>
                    <w:rPr>
                      <w:rFonts w:ascii="Cambria Math" w:hAnsi="Cambria Math"/>
                      <w:i/>
                    </w:rPr>
                  </m:ctrlPr>
                </m:barPr>
                <m:e>
                  <m:r>
                    <w:rPr>
                      <w:rFonts w:ascii="Cambria Math" w:hAnsi="Cambria Math"/>
                    </w:rPr>
                    <m:t>z</m:t>
                  </m:r>
                </m:e>
              </m:bar>
            </m:oMath>
            <w:r w:rsidRPr="00374785">
              <w:rPr>
                <w:color w:val="000000" w:themeColor="text1"/>
              </w:rPr>
              <w:t xml:space="preserve">) for plots within the </w:t>
            </w:r>
            <w:proofErr w:type="spellStart"/>
            <w:r w:rsidRPr="00374785">
              <w:rPr>
                <w:i/>
                <w:color w:val="000000" w:themeColor="text1"/>
              </w:rPr>
              <w:t>i</w:t>
            </w:r>
            <w:r w:rsidRPr="00374785">
              <w:rPr>
                <w:color w:val="000000" w:themeColor="text1"/>
                <w:vertAlign w:val="superscript"/>
              </w:rPr>
              <w:t>th</w:t>
            </w:r>
            <w:proofErr w:type="spellEnd"/>
            <w:r w:rsidRPr="00374785">
              <w:rPr>
                <w:color w:val="000000" w:themeColor="text1"/>
                <w:vertAlign w:val="superscript"/>
              </w:rPr>
              <w:t xml:space="preserve"> </w:t>
            </w:r>
            <w:r w:rsidRPr="00374785">
              <w:rPr>
                <w:color w:val="000000" w:themeColor="text1"/>
              </w:rPr>
              <w:t>carbon estimation area</w:t>
            </w:r>
            <w:r w:rsidR="00311E13">
              <w:rPr>
                <w:color w:val="000000" w:themeColor="text1"/>
              </w:rPr>
              <w:t>—see equation 3a</w:t>
            </w:r>
            <w:r w:rsidRPr="00374785">
              <w:rPr>
                <w:color w:val="000000" w:themeColor="text1"/>
              </w:rPr>
              <w:t>.</w:t>
            </w:r>
          </w:p>
        </w:tc>
      </w:tr>
      <w:tr w:rsidR="00F94614" w:rsidRPr="00374785" w:rsidTr="00F94614">
        <w:tc>
          <w:tcPr>
            <w:tcW w:w="1696" w:type="dxa"/>
            <w:vAlign w:val="center"/>
          </w:tcPr>
          <w:p w:rsidR="00F94614" w:rsidRPr="00374785" w:rsidRDefault="0020376C" w:rsidP="00F94614">
            <w:pPr>
              <w:pStyle w:val="tMain"/>
              <w:ind w:left="0" w:firstLine="0"/>
              <w:jc w:val="right"/>
              <w:rPr>
                <w:color w:val="000000" w:themeColor="text1"/>
              </w:rPr>
            </w:pPr>
            <m:oMath>
              <m:sSub>
                <m:sSubPr>
                  <m:ctrlPr>
                    <w:rPr>
                      <w:rFonts w:ascii="Cambria Math" w:hAnsi="Cambria Math"/>
                      <w:i/>
                      <w:color w:val="000000" w:themeColor="text1"/>
                    </w:rPr>
                  </m:ctrlPr>
                </m:sSubPr>
                <m:e>
                  <m:r>
                    <w:rPr>
                      <w:rFonts w:ascii="Cambria Math" w:eastAsiaTheme="minorEastAsia" w:hAnsi="Cambria Math"/>
                      <w:color w:val="000000"/>
                    </w:rPr>
                    <m:t>M</m:t>
                  </m:r>
                </m:e>
                <m:sub>
                  <m:r>
                    <w:rPr>
                      <w:rFonts w:ascii="Cambria Math" w:hAnsi="Cambria Math"/>
                      <w:color w:val="000000" w:themeColor="text1"/>
                    </w:rPr>
                    <m:t>i</m:t>
                  </m:r>
                </m:sub>
              </m:sSub>
            </m:oMath>
            <w:r w:rsidR="00F94614" w:rsidRPr="00374785">
              <w:rPr>
                <w:color w:val="000000" w:themeColor="text1"/>
              </w:rPr>
              <w:t xml:space="preserve"> </w:t>
            </w:r>
            <m:oMath>
              <m:r>
                <w:rPr>
                  <w:rFonts w:ascii="Cambria Math" w:hAnsi="Cambria Math"/>
                  <w:color w:val="000000" w:themeColor="text1"/>
                </w:rPr>
                <m:t>=</m:t>
              </m:r>
            </m:oMath>
          </w:p>
        </w:tc>
        <w:tc>
          <w:tcPr>
            <w:tcW w:w="6582" w:type="dxa"/>
          </w:tcPr>
          <w:p w:rsidR="00F94614" w:rsidRPr="00374785" w:rsidRDefault="00904D50" w:rsidP="006B7902">
            <w:pPr>
              <w:pStyle w:val="tMain"/>
              <w:ind w:left="0" w:firstLine="0"/>
              <w:rPr>
                <w:color w:val="000000" w:themeColor="text1"/>
              </w:rPr>
            </w:pPr>
            <w:r w:rsidRPr="00374785">
              <w:rPr>
                <w:color w:val="000000" w:themeColor="text1"/>
              </w:rPr>
              <w:t xml:space="preserve">total number of plots in the </w:t>
            </w:r>
            <w:r w:rsidRPr="00374785">
              <w:rPr>
                <w:i/>
              </w:rPr>
              <w:t>i</w:t>
            </w:r>
            <w:r w:rsidRPr="00374785">
              <w:rPr>
                <w:vertAlign w:val="superscript"/>
              </w:rPr>
              <w:t>th</w:t>
            </w:r>
            <w:r w:rsidRPr="00374785">
              <w:rPr>
                <w:color w:val="000000" w:themeColor="text1"/>
              </w:rPr>
              <w:t xml:space="preserve"> carbon estimation area.</w:t>
            </w:r>
          </w:p>
        </w:tc>
      </w:tr>
      <w:tr w:rsidR="006570B5" w:rsidRPr="00374785" w:rsidTr="006570B5">
        <w:tc>
          <w:tcPr>
            <w:tcW w:w="1696" w:type="dxa"/>
            <w:vAlign w:val="center"/>
          </w:tcPr>
          <w:p w:rsidR="006570B5" w:rsidRPr="00374785" w:rsidRDefault="006570B5" w:rsidP="006570B5">
            <w:pPr>
              <w:pStyle w:val="tMain"/>
              <w:ind w:left="0" w:firstLine="0"/>
              <w:jc w:val="right"/>
              <w:rPr>
                <w:iCs/>
                <w:color w:val="000000"/>
              </w:rPr>
            </w:pPr>
            <w:r w:rsidRPr="00374785">
              <w:rPr>
                <w:i/>
              </w:rPr>
              <w:t>i =</w:t>
            </w:r>
          </w:p>
        </w:tc>
        <w:tc>
          <w:tcPr>
            <w:tcW w:w="6582" w:type="dxa"/>
          </w:tcPr>
          <w:p w:rsidR="006570B5" w:rsidRPr="00374785" w:rsidRDefault="008B7F4F" w:rsidP="006570B5">
            <w:pPr>
              <w:pStyle w:val="tMain"/>
              <w:ind w:left="0" w:firstLine="0"/>
              <w:rPr>
                <w:color w:val="000000" w:themeColor="text1"/>
              </w:rPr>
            </w:pPr>
            <w:r w:rsidRPr="00374785">
              <w:rPr>
                <w:i/>
              </w:rPr>
              <w:t>i</w:t>
            </w:r>
            <w:r w:rsidRPr="00374785">
              <w:rPr>
                <w:vertAlign w:val="superscript"/>
              </w:rPr>
              <w:t>th</w:t>
            </w:r>
            <w:r w:rsidRPr="00374785">
              <w:t xml:space="preserve"> </w:t>
            </w:r>
            <w:r w:rsidR="006570B5" w:rsidRPr="00374785">
              <w:t>carbon estimation area.</w:t>
            </w:r>
          </w:p>
        </w:tc>
      </w:tr>
    </w:tbl>
    <w:p w:rsidR="00F94614" w:rsidRPr="00374785" w:rsidRDefault="00F94614" w:rsidP="00F94614">
      <w:pPr>
        <w:pStyle w:val="h4Subdiv"/>
      </w:pPr>
      <w:bookmarkStart w:id="56" w:name="_Toc397681600"/>
      <w:r w:rsidRPr="00374785">
        <w:lastRenderedPageBreak/>
        <w:t xml:space="preserve">Subdivision </w:t>
      </w:r>
      <w:r w:rsidR="007F3C0F">
        <w:t>3.6.2</w:t>
      </w:r>
      <w:r w:rsidRPr="00374785">
        <w:tab/>
        <w:t>Tree proportion</w:t>
      </w:r>
      <w:bookmarkEnd w:id="56"/>
    </w:p>
    <w:p w:rsidR="00F94614" w:rsidRPr="00374785" w:rsidRDefault="007F3C0F" w:rsidP="00F94614">
      <w:pPr>
        <w:pStyle w:val="h5Section"/>
      </w:pPr>
      <w:bookmarkStart w:id="57" w:name="_Toc397681601"/>
      <w:r>
        <w:t>3.37</w:t>
      </w:r>
      <w:r w:rsidR="00F94614" w:rsidRPr="00374785">
        <w:tab/>
        <w:t>Calculating tree proportion</w:t>
      </w:r>
      <w:bookmarkEnd w:id="57"/>
    </w:p>
    <w:p w:rsidR="00F94614" w:rsidRPr="00374785" w:rsidRDefault="00F94614" w:rsidP="00F94614">
      <w:pPr>
        <w:pStyle w:val="tMain"/>
      </w:pPr>
      <w:r w:rsidRPr="00374785">
        <w:tab/>
      </w:r>
      <w:r w:rsidRPr="00374785">
        <w:tab/>
        <w:t xml:space="preserve">The proportion of the planting consisting of trees in a plot in </w:t>
      </w:r>
      <w:r w:rsidR="00DF5CFD" w:rsidRPr="00374785">
        <w:t>a carbon</w:t>
      </w:r>
      <w:r w:rsidRPr="00374785">
        <w:t xml:space="preserve"> estimation area must be calculated using the following formula:</w:t>
      </w:r>
    </w:p>
    <w:tbl>
      <w:tblPr>
        <w:tblStyle w:val="TableGrid"/>
        <w:tblW w:w="0" w:type="auto"/>
        <w:tblInd w:w="964" w:type="dxa"/>
        <w:tblLook w:val="04A0"/>
      </w:tblPr>
      <w:tblGrid>
        <w:gridCol w:w="6374"/>
        <w:gridCol w:w="1904"/>
      </w:tblGrid>
      <w:tr w:rsidR="00F94614" w:rsidRPr="00374785" w:rsidTr="00F94614">
        <w:tc>
          <w:tcPr>
            <w:tcW w:w="6374" w:type="dxa"/>
          </w:tcPr>
          <w:p w:rsidR="00F94614" w:rsidRPr="00374785" w:rsidRDefault="0020376C" w:rsidP="009820B5">
            <w:pPr>
              <w:pStyle w:val="tMain"/>
              <w:spacing w:before="100" w:line="360" w:lineRule="auto"/>
              <w:ind w:left="0" w:firstLine="0"/>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ij</m:t>
                    </m:r>
                  </m:sub>
                </m:sSub>
                <m:r>
                  <w:rPr>
                    <w:rFonts w:ascii="Cambria Math" w:hAnsi="Cambria Math"/>
                    <w:color w:val="000000" w:themeColor="text1"/>
                  </w:rPr>
                  <m:t xml:space="preserve">= </m:t>
                </m:r>
                <m:d>
                  <m:dPr>
                    <m:ctrlPr>
                      <w:rPr>
                        <w:rFonts w:ascii="Cambria Math" w:hAnsi="Cambria Math"/>
                        <w:i/>
                        <w:color w:val="000000" w:themeColor="text1"/>
                      </w:rPr>
                    </m:ctrlPr>
                  </m:dPr>
                  <m:e>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ij</m:t>
                            </m:r>
                          </m:sub>
                        </m:sSub>
                      </m:num>
                      <m:den>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ij</m:t>
                            </m:r>
                          </m:sub>
                        </m:sSub>
                      </m:den>
                    </m:f>
                  </m:e>
                </m:d>
                <m:r>
                  <w:rPr>
                    <w:rFonts w:ascii="Cambria Math" w:hAnsi="Cambria Math"/>
                    <w:color w:val="000000" w:themeColor="text1"/>
                  </w:rPr>
                  <m:t xml:space="preserve"> </m:t>
                </m:r>
              </m:oMath>
            </m:oMathPara>
          </w:p>
        </w:tc>
        <w:tc>
          <w:tcPr>
            <w:tcW w:w="1904" w:type="dxa"/>
            <w:vAlign w:val="center"/>
          </w:tcPr>
          <w:p w:rsidR="00F94614" w:rsidRPr="00374785" w:rsidRDefault="00F94614" w:rsidP="00F94614">
            <w:pPr>
              <w:pStyle w:val="tMain"/>
              <w:ind w:left="0" w:firstLine="0"/>
              <w:jc w:val="center"/>
              <w:rPr>
                <w:b/>
                <w:color w:val="000000" w:themeColor="text1"/>
              </w:rPr>
            </w:pPr>
            <w:r w:rsidRPr="00374785">
              <w:rPr>
                <w:b/>
                <w:color w:val="000000" w:themeColor="text1"/>
              </w:rPr>
              <w:t>Equation 6</w:t>
            </w:r>
          </w:p>
        </w:tc>
      </w:tr>
    </w:tbl>
    <w:p w:rsidR="00F94614" w:rsidRPr="00374785" w:rsidRDefault="00F94614" w:rsidP="00F94614">
      <w:pPr>
        <w:pStyle w:val="tMain"/>
        <w:rPr>
          <w:color w:val="000000" w:themeColor="text1"/>
        </w:rPr>
      </w:pPr>
      <w:r w:rsidRPr="00374785">
        <w:rPr>
          <w:color w:val="000000" w:themeColor="text1"/>
        </w:rPr>
        <w:tab/>
      </w:r>
      <w:r w:rsidRPr="00374785">
        <w:rPr>
          <w:color w:val="000000" w:themeColor="text1"/>
        </w:rPr>
        <w:tab/>
        <w:t>Where:</w:t>
      </w:r>
    </w:p>
    <w:tbl>
      <w:tblPr>
        <w:tblStyle w:val="TableGrid"/>
        <w:tblW w:w="0" w:type="auto"/>
        <w:tblInd w:w="964" w:type="dxa"/>
        <w:tblLook w:val="04A0"/>
      </w:tblPr>
      <w:tblGrid>
        <w:gridCol w:w="1696"/>
        <w:gridCol w:w="6582"/>
      </w:tblGrid>
      <w:tr w:rsidR="00F94614" w:rsidRPr="00374785" w:rsidTr="00F94614">
        <w:tc>
          <w:tcPr>
            <w:tcW w:w="1696" w:type="dxa"/>
            <w:vAlign w:val="center"/>
          </w:tcPr>
          <w:p w:rsidR="00F94614" w:rsidRPr="00374785" w:rsidRDefault="0020376C" w:rsidP="009820B5">
            <w:pPr>
              <w:pStyle w:val="tMain"/>
              <w:ind w:left="0" w:firstLine="0"/>
              <w:jc w:val="right"/>
              <w:rPr>
                <w:color w:val="000000" w:themeColor="text1"/>
              </w:rPr>
            </w:pPr>
            <m:oMathPara>
              <m:oMathParaPr>
                <m:jc m:val="right"/>
              </m:oMathParaPr>
              <m:oMath>
                <m:sSub>
                  <m:sSubPr>
                    <m:ctrlPr>
                      <w:rPr>
                        <w:rFonts w:ascii="Cambria Math" w:hAnsi="Cambria Math" w:cs="Calibri"/>
                        <w:b/>
                        <w:i/>
                        <w:color w:val="000000" w:themeColor="text1"/>
                        <w:lang w:eastAsia="en-US"/>
                      </w:rPr>
                    </m:ctrlPr>
                  </m:sSubPr>
                  <m:e>
                    <m:r>
                      <w:rPr>
                        <w:rFonts w:ascii="Cambria Math" w:hAnsi="Cambria Math" w:cs="Calibri"/>
                        <w:color w:val="000000" w:themeColor="text1"/>
                        <w:lang w:eastAsia="en-US"/>
                      </w:rPr>
                      <m:t>R</m:t>
                    </m:r>
                  </m:e>
                  <m:sub>
                    <m:r>
                      <w:rPr>
                        <w:rFonts w:ascii="Cambria Math" w:hAnsi="Cambria Math" w:cs="Calibri"/>
                        <w:color w:val="000000" w:themeColor="text1"/>
                        <w:lang w:eastAsia="en-US"/>
                      </w:rPr>
                      <m:t>ij</m:t>
                    </m:r>
                  </m:sub>
                </m:sSub>
                <m:r>
                  <m:rPr>
                    <m:sty m:val="bi"/>
                  </m:rPr>
                  <w:rPr>
                    <w:rFonts w:ascii="Cambria Math" w:hAnsi="Cambria Math" w:cs="Calibri"/>
                    <w:color w:val="000000" w:themeColor="text1"/>
                    <w:lang w:eastAsia="en-US"/>
                  </w:rPr>
                  <m:t>=</m:t>
                </m:r>
              </m:oMath>
            </m:oMathPara>
          </w:p>
        </w:tc>
        <w:tc>
          <w:tcPr>
            <w:tcW w:w="6582" w:type="dxa"/>
          </w:tcPr>
          <w:p w:rsidR="00F94614" w:rsidRPr="00374785" w:rsidRDefault="00F94614" w:rsidP="00F94614">
            <w:pPr>
              <w:pStyle w:val="tMain"/>
              <w:ind w:left="0" w:firstLine="0"/>
              <w:rPr>
                <w:color w:val="000000" w:themeColor="text1"/>
              </w:rPr>
            </w:pPr>
            <w:r w:rsidRPr="00374785">
              <w:rPr>
                <w:color w:val="000000" w:themeColor="text1"/>
              </w:rPr>
              <w:t xml:space="preserve">proportion of the planting consisting of trees in the </w:t>
            </w:r>
            <m:oMath>
              <m:r>
                <w:rPr>
                  <w:rFonts w:ascii="Cambria Math" w:hAnsi="Cambria Math"/>
                  <w:color w:val="000000" w:themeColor="text1"/>
                </w:rPr>
                <m:t>j</m:t>
              </m:r>
            </m:oMath>
            <w:r w:rsidRPr="00374785">
              <w:rPr>
                <w:color w:val="000000" w:themeColor="text1"/>
                <w:vertAlign w:val="superscript"/>
              </w:rPr>
              <w:t>th</w:t>
            </w:r>
            <w:r w:rsidRPr="00374785">
              <w:rPr>
                <w:color w:val="000000" w:themeColor="text1"/>
              </w:rPr>
              <w:t xml:space="preserve"> plot within the </w:t>
            </w:r>
            <m:oMath>
              <m:r>
                <w:rPr>
                  <w:rFonts w:ascii="Cambria Math" w:hAnsi="Cambria Math"/>
                  <w:color w:val="000000" w:themeColor="text1"/>
                </w:rPr>
                <m:t>i</m:t>
              </m:r>
            </m:oMath>
            <w:r w:rsidRPr="00374785">
              <w:rPr>
                <w:color w:val="000000" w:themeColor="text1"/>
                <w:vertAlign w:val="superscript"/>
              </w:rPr>
              <w:t>th</w:t>
            </w:r>
            <w:r w:rsidRPr="00374785">
              <w:rPr>
                <w:color w:val="000000" w:themeColor="text1"/>
              </w:rPr>
              <w:t xml:space="preserve"> carbon estimation area.</w:t>
            </w:r>
          </w:p>
        </w:tc>
      </w:tr>
      <w:tr w:rsidR="00F94614" w:rsidRPr="00374785" w:rsidTr="00F94614">
        <w:tc>
          <w:tcPr>
            <w:tcW w:w="1696" w:type="dxa"/>
            <w:vAlign w:val="center"/>
          </w:tcPr>
          <w:p w:rsidR="00F94614" w:rsidRPr="00374785" w:rsidRDefault="0020376C" w:rsidP="009820B5">
            <w:pPr>
              <w:pStyle w:val="tMain"/>
              <w:ind w:left="0" w:firstLine="0"/>
              <w:jc w:val="right"/>
              <w:rPr>
                <w:color w:val="000000" w:themeColor="text1"/>
              </w:rPr>
            </w:pPr>
            <m:oMathPara>
              <m:oMathParaPr>
                <m:jc m:val="right"/>
              </m:oMathParaPr>
              <m:oMath>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ij</m:t>
                    </m:r>
                  </m:sub>
                </m:sSub>
                <m:r>
                  <m:rPr>
                    <m:sty m:val="bi"/>
                  </m:rPr>
                  <w:rPr>
                    <w:rFonts w:ascii="Cambria Math" w:hAnsi="Cambria Math" w:cs="Calibri"/>
                    <w:color w:val="000000" w:themeColor="text1"/>
                    <w:lang w:eastAsia="en-US"/>
                  </w:rPr>
                  <m:t>=</m:t>
                </m:r>
              </m:oMath>
            </m:oMathPara>
          </w:p>
        </w:tc>
        <w:tc>
          <w:tcPr>
            <w:tcW w:w="6582" w:type="dxa"/>
          </w:tcPr>
          <w:p w:rsidR="00F94614" w:rsidRPr="00374785" w:rsidRDefault="00F94614" w:rsidP="00F94614">
            <w:pPr>
              <w:pStyle w:val="tMain"/>
              <w:ind w:left="0" w:firstLine="0"/>
              <w:rPr>
                <w:color w:val="000000" w:themeColor="text1"/>
              </w:rPr>
            </w:pPr>
            <w:r w:rsidRPr="00374785">
              <w:rPr>
                <w:color w:val="000000" w:themeColor="text1"/>
              </w:rPr>
              <w:t xml:space="preserve">total number of individual living trees in the </w:t>
            </w:r>
            <m:oMath>
              <m:r>
                <w:rPr>
                  <w:rFonts w:ascii="Cambria Math" w:hAnsi="Cambria Math"/>
                  <w:color w:val="000000" w:themeColor="text1"/>
                </w:rPr>
                <m:t>j</m:t>
              </m:r>
            </m:oMath>
            <w:r w:rsidRPr="00374785">
              <w:rPr>
                <w:color w:val="000000" w:themeColor="text1"/>
                <w:vertAlign w:val="superscript"/>
              </w:rPr>
              <w:t>th</w:t>
            </w:r>
            <w:r w:rsidRPr="00374785">
              <w:rPr>
                <w:color w:val="000000" w:themeColor="text1"/>
              </w:rPr>
              <w:t xml:space="preserve"> plot within the </w:t>
            </w:r>
            <m:oMath>
              <m:r>
                <w:rPr>
                  <w:rFonts w:ascii="Cambria Math" w:hAnsi="Cambria Math"/>
                  <w:color w:val="000000" w:themeColor="text1"/>
                </w:rPr>
                <m:t>i</m:t>
              </m:r>
            </m:oMath>
            <w:r w:rsidRPr="00374785">
              <w:rPr>
                <w:color w:val="000000" w:themeColor="text1"/>
                <w:vertAlign w:val="superscript"/>
              </w:rPr>
              <w:t>th</w:t>
            </w:r>
            <w:r w:rsidRPr="00374785">
              <w:rPr>
                <w:color w:val="000000" w:themeColor="text1"/>
              </w:rPr>
              <w:t xml:space="preserve"> carbon estimation area.</w:t>
            </w:r>
          </w:p>
        </w:tc>
      </w:tr>
      <w:tr w:rsidR="00F94614" w:rsidRPr="00374785" w:rsidTr="00F94614">
        <w:tc>
          <w:tcPr>
            <w:tcW w:w="1696" w:type="dxa"/>
            <w:vAlign w:val="center"/>
          </w:tcPr>
          <w:p w:rsidR="00F94614" w:rsidRPr="00374785" w:rsidRDefault="0020376C" w:rsidP="009820B5">
            <w:pPr>
              <w:pStyle w:val="tMain"/>
              <w:ind w:left="0" w:firstLine="0"/>
              <w:jc w:val="right"/>
              <w:rPr>
                <w:color w:val="000000" w:themeColor="text1"/>
              </w:rPr>
            </w:pPr>
            <m:oMathPara>
              <m:oMathParaPr>
                <m:jc m:val="right"/>
              </m:oMathParaPr>
              <m:oMath>
                <m:sSub>
                  <m:sSubPr>
                    <m:ctrlPr>
                      <w:rPr>
                        <w:rFonts w:ascii="Cambria Math" w:hAnsi="Cambria Math"/>
                        <w:i/>
                        <w:iCs/>
                        <w:color w:val="000000" w:themeColor="text1"/>
                      </w:rPr>
                    </m:ctrlPr>
                  </m:sSubPr>
                  <m:e>
                    <m:r>
                      <w:rPr>
                        <w:rFonts w:ascii="Cambria Math" w:hAnsi="Cambria Math"/>
                        <w:color w:val="000000" w:themeColor="text1"/>
                      </w:rPr>
                      <m:t>S</m:t>
                    </m:r>
                  </m:e>
                  <m:sub>
                    <m:r>
                      <w:rPr>
                        <w:rFonts w:ascii="Cambria Math" w:hAnsi="Cambria Math"/>
                        <w:color w:val="000000" w:themeColor="text1"/>
                      </w:rPr>
                      <m:t>ij</m:t>
                    </m:r>
                  </m:sub>
                </m:sSub>
                <m:r>
                  <m:rPr>
                    <m:sty m:val="p"/>
                  </m:rPr>
                  <w:rPr>
                    <w:rFonts w:ascii="Cambria Math" w:hAnsi="Cambria Math"/>
                    <w:color w:val="000000" w:themeColor="text1"/>
                  </w:rPr>
                  <m:t>=</m:t>
                </m:r>
              </m:oMath>
            </m:oMathPara>
          </w:p>
        </w:tc>
        <w:tc>
          <w:tcPr>
            <w:tcW w:w="6582" w:type="dxa"/>
          </w:tcPr>
          <w:p w:rsidR="00F94614" w:rsidRPr="00374785" w:rsidRDefault="00F94614" w:rsidP="0049247A">
            <w:pPr>
              <w:pStyle w:val="tMain"/>
              <w:ind w:left="0" w:firstLine="0"/>
              <w:rPr>
                <w:color w:val="000000" w:themeColor="text1"/>
              </w:rPr>
            </w:pPr>
            <w:r w:rsidRPr="00374785">
              <w:rPr>
                <w:color w:val="000000" w:themeColor="text1"/>
              </w:rPr>
              <w:t xml:space="preserve">total number of individual living trees </w:t>
            </w:r>
            <w:r w:rsidR="0049247A" w:rsidRPr="00374785">
              <w:rPr>
                <w:color w:val="000000" w:themeColor="text1"/>
              </w:rPr>
              <w:t>and</w:t>
            </w:r>
            <w:r w:rsidRPr="00374785">
              <w:rPr>
                <w:color w:val="000000" w:themeColor="text1"/>
              </w:rPr>
              <w:t xml:space="preserve"> shrubs in the </w:t>
            </w:r>
            <m:oMath>
              <m:r>
                <w:rPr>
                  <w:rFonts w:ascii="Cambria Math" w:hAnsi="Cambria Math"/>
                  <w:color w:val="000000" w:themeColor="text1"/>
                </w:rPr>
                <m:t>j</m:t>
              </m:r>
            </m:oMath>
            <w:r w:rsidR="009820B5" w:rsidRPr="00374785">
              <w:rPr>
                <w:color w:val="000000" w:themeColor="text1"/>
                <w:vertAlign w:val="superscript"/>
              </w:rPr>
              <w:t>th</w:t>
            </w:r>
            <w:r w:rsidRPr="00374785">
              <w:rPr>
                <w:color w:val="000000" w:themeColor="text1"/>
                <w:vertAlign w:val="superscript"/>
              </w:rPr>
              <w:t xml:space="preserve"> </w:t>
            </w:r>
            <w:r w:rsidRPr="00374785">
              <w:rPr>
                <w:color w:val="000000" w:themeColor="text1"/>
              </w:rPr>
              <w:t xml:space="preserve">plot in the </w:t>
            </w:r>
            <w:r w:rsidRPr="00374785">
              <w:rPr>
                <w:i/>
                <w:color w:val="000000" w:themeColor="text1"/>
              </w:rPr>
              <w:t>i</w:t>
            </w:r>
            <w:r w:rsidRPr="00374785">
              <w:rPr>
                <w:i/>
                <w:color w:val="000000" w:themeColor="text1"/>
                <w:vertAlign w:val="superscript"/>
              </w:rPr>
              <w:t xml:space="preserve">th </w:t>
            </w:r>
            <w:r w:rsidRPr="00374785">
              <w:rPr>
                <w:color w:val="000000" w:themeColor="text1"/>
              </w:rPr>
              <w:t>carbon estimation area</w:t>
            </w:r>
            <w:r w:rsidR="0049247A" w:rsidRPr="00374785">
              <w:rPr>
                <w:color w:val="000000" w:themeColor="text1"/>
              </w:rPr>
              <w:t>.</w:t>
            </w:r>
          </w:p>
        </w:tc>
      </w:tr>
      <w:tr w:rsidR="008B7F4F" w:rsidRPr="00374785" w:rsidTr="008B7F4F">
        <w:tc>
          <w:tcPr>
            <w:tcW w:w="1696" w:type="dxa"/>
            <w:vAlign w:val="center"/>
          </w:tcPr>
          <w:p w:rsidR="008B7F4F" w:rsidRPr="00374785" w:rsidRDefault="008B7F4F" w:rsidP="008B7F4F">
            <w:pPr>
              <w:pStyle w:val="tMain"/>
              <w:ind w:left="0" w:firstLine="0"/>
              <w:jc w:val="right"/>
              <w:rPr>
                <w:iCs/>
                <w:color w:val="000000"/>
              </w:rPr>
            </w:pPr>
            <w:r w:rsidRPr="00374785">
              <w:rPr>
                <w:i/>
              </w:rPr>
              <w:t>i =</w:t>
            </w:r>
          </w:p>
        </w:tc>
        <w:tc>
          <w:tcPr>
            <w:tcW w:w="6582" w:type="dxa"/>
          </w:tcPr>
          <w:p w:rsidR="008B7F4F" w:rsidRPr="00374785" w:rsidRDefault="008B7F4F" w:rsidP="008B7F4F">
            <w:pPr>
              <w:pStyle w:val="tMain"/>
              <w:ind w:left="0" w:firstLine="0"/>
              <w:rPr>
                <w:color w:val="000000" w:themeColor="text1"/>
              </w:rPr>
            </w:pPr>
            <w:r w:rsidRPr="00374785">
              <w:rPr>
                <w:i/>
              </w:rPr>
              <w:t>i</w:t>
            </w:r>
            <w:r w:rsidRPr="00374785">
              <w:rPr>
                <w:vertAlign w:val="superscript"/>
              </w:rPr>
              <w:t>th</w:t>
            </w:r>
            <w:r w:rsidRPr="00374785">
              <w:t xml:space="preserve"> carbon estimation area.</w:t>
            </w:r>
          </w:p>
        </w:tc>
      </w:tr>
      <w:tr w:rsidR="00BF05EE" w:rsidRPr="00374785" w:rsidTr="00BF05EE">
        <w:tc>
          <w:tcPr>
            <w:tcW w:w="1696" w:type="dxa"/>
            <w:vAlign w:val="center"/>
          </w:tcPr>
          <w:p w:rsidR="00BF05EE" w:rsidRPr="00374785" w:rsidRDefault="00BF05EE" w:rsidP="00BF05EE">
            <w:pPr>
              <w:pStyle w:val="tMain"/>
              <w:ind w:left="0" w:firstLine="0"/>
              <w:jc w:val="right"/>
              <w:rPr>
                <w:iCs/>
                <w:color w:val="000000" w:themeColor="text1"/>
              </w:rPr>
            </w:pPr>
            <m:oMathPara>
              <m:oMathParaPr>
                <m:jc m:val="right"/>
              </m:oMathParaPr>
              <m:oMath>
                <m:r>
                  <w:rPr>
                    <w:rFonts w:ascii="Cambria Math" w:hAnsi="Cambria Math"/>
                  </w:rPr>
                  <m:t>j=</m:t>
                </m:r>
              </m:oMath>
            </m:oMathPara>
          </w:p>
        </w:tc>
        <w:tc>
          <w:tcPr>
            <w:tcW w:w="6582" w:type="dxa"/>
          </w:tcPr>
          <w:p w:rsidR="00BF05EE" w:rsidRPr="00374785" w:rsidRDefault="00BF05EE" w:rsidP="00BF05EE">
            <w:pPr>
              <w:pStyle w:val="tMain"/>
              <w:ind w:left="0" w:firstLine="0"/>
              <w:rPr>
                <w:color w:val="000000" w:themeColor="text1"/>
              </w:rPr>
            </w:pPr>
            <m:oMath>
              <m:r>
                <w:rPr>
                  <w:rFonts w:ascii="Cambria Math" w:hAnsi="Cambria Math"/>
                </w:rPr>
                <m:t>j</m:t>
              </m:r>
            </m:oMath>
            <w:r w:rsidRPr="00374785">
              <w:rPr>
                <w:vertAlign w:val="superscript"/>
              </w:rPr>
              <w:t xml:space="preserve"> th</w:t>
            </w:r>
            <w:r w:rsidRPr="00374785">
              <w:t xml:space="preserve"> plot</w:t>
            </w:r>
          </w:p>
        </w:tc>
      </w:tr>
    </w:tbl>
    <w:p w:rsidR="00F94614" w:rsidRPr="00374785" w:rsidRDefault="007F3C0F" w:rsidP="00F94614">
      <w:pPr>
        <w:pStyle w:val="h5Section"/>
      </w:pPr>
      <w:bookmarkStart w:id="58" w:name="_Toc397681602"/>
      <w:r>
        <w:t>3.38</w:t>
      </w:r>
      <w:r w:rsidR="00F94614" w:rsidRPr="00374785">
        <w:tab/>
        <w:t>Calculating average tree proportion</w:t>
      </w:r>
      <w:bookmarkEnd w:id="58"/>
    </w:p>
    <w:p w:rsidR="00F94614" w:rsidRPr="00374785" w:rsidRDefault="00F94614" w:rsidP="00F94614">
      <w:pPr>
        <w:pStyle w:val="tMain"/>
      </w:pPr>
      <w:r w:rsidRPr="00374785">
        <w:tab/>
      </w:r>
      <w:r w:rsidRPr="00374785">
        <w:tab/>
        <w:t>The average proportion of trees in a carbon estimation area must be calculated using the following formula:</w:t>
      </w:r>
    </w:p>
    <w:tbl>
      <w:tblPr>
        <w:tblStyle w:val="TableGrid"/>
        <w:tblW w:w="0" w:type="auto"/>
        <w:tblInd w:w="964" w:type="dxa"/>
        <w:tblLook w:val="04A0"/>
      </w:tblPr>
      <w:tblGrid>
        <w:gridCol w:w="6374"/>
        <w:gridCol w:w="1904"/>
      </w:tblGrid>
      <w:tr w:rsidR="00F94614" w:rsidRPr="00374785" w:rsidTr="00F94614">
        <w:tc>
          <w:tcPr>
            <w:tcW w:w="6374" w:type="dxa"/>
          </w:tcPr>
          <w:p w:rsidR="00F94614" w:rsidRPr="00374785" w:rsidRDefault="0020376C" w:rsidP="009820B5">
            <w:pPr>
              <w:pStyle w:val="tMain"/>
              <w:spacing w:before="100" w:line="360" w:lineRule="auto"/>
              <w:ind w:left="0" w:firstLine="0"/>
              <w:rPr>
                <w:color w:val="000000" w:themeColor="text1"/>
              </w:rPr>
            </w:pPr>
            <m:oMathPara>
              <m:oMath>
                <m:sSub>
                  <m:sSubPr>
                    <m:ctrlPr>
                      <w:rPr>
                        <w:rFonts w:ascii="Cambria Math" w:hAnsi="Cambria Math"/>
                        <w:i/>
                        <w:color w:val="000000" w:themeColor="text1"/>
                      </w:rPr>
                    </m:ctrlPr>
                  </m:sSubPr>
                  <m:e>
                    <m:bar>
                      <m:barPr>
                        <m:pos m:val="top"/>
                        <m:ctrlPr>
                          <w:rPr>
                            <w:rFonts w:ascii="Cambria Math" w:hAnsi="Cambria Math"/>
                            <w:i/>
                            <w:color w:val="000000" w:themeColor="text1"/>
                          </w:rPr>
                        </m:ctrlPr>
                      </m:barPr>
                      <m:e>
                        <m:r>
                          <w:rPr>
                            <w:rFonts w:ascii="Cambria Math" w:hAnsi="Cambria Math"/>
                            <w:color w:val="000000" w:themeColor="text1"/>
                          </w:rPr>
                          <m:t>R</m:t>
                        </m:r>
                      </m:e>
                    </m:bar>
                  </m:e>
                  <m:sub>
                    <m:r>
                      <w:rPr>
                        <w:rFonts w:ascii="Cambria Math" w:hAnsi="Cambria Math"/>
                        <w:color w:val="000000" w:themeColor="text1"/>
                      </w:rPr>
                      <m:t>i</m:t>
                    </m:r>
                  </m:sub>
                </m:sSub>
                <m:r>
                  <m:rPr>
                    <m:sty m:val="p"/>
                  </m:rPr>
                  <w:rPr>
                    <w:rFonts w:ascii="Cambria Math" w:hAnsi="Cambria Math"/>
                    <w:color w:val="000000" w:themeColor="text1"/>
                  </w:rPr>
                  <m:t xml:space="preserve"> = </m:t>
                </m:r>
                <m:f>
                  <m:fPr>
                    <m:ctrlPr>
                      <w:rPr>
                        <w:rFonts w:ascii="Cambria Math" w:hAnsi="Cambria Math"/>
                        <w:color w:val="000000" w:themeColor="text1"/>
                      </w:rPr>
                    </m:ctrlPr>
                  </m:fPr>
                  <m:num>
                    <m:nary>
                      <m:naryPr>
                        <m:chr m:val="∑"/>
                        <m:limLoc m:val="subSup"/>
                        <m:ctrlPr>
                          <w:rPr>
                            <w:rFonts w:ascii="Cambria Math" w:hAnsi="Cambria Math"/>
                            <w:color w:val="000000" w:themeColor="text1"/>
                          </w:rPr>
                        </m:ctrlPr>
                      </m:naryPr>
                      <m:sub>
                        <m:r>
                          <m:rPr>
                            <m:sty m:val="p"/>
                          </m:rPr>
                          <w:rPr>
                            <w:rFonts w:ascii="Cambria Math" w:hAnsi="Cambria Math"/>
                            <w:color w:val="000000" w:themeColor="text1"/>
                          </w:rPr>
                          <m:t>j=1</m:t>
                        </m:r>
                      </m:sub>
                      <m:sup>
                        <m:sSub>
                          <m:sSubPr>
                            <m:ctrlPr>
                              <w:rPr>
                                <w:rFonts w:ascii="Cambria Math" w:hAnsi="Cambria Math"/>
                                <w:i/>
                                <w:color w:val="000000" w:themeColor="text1"/>
                              </w:rPr>
                            </m:ctrlPr>
                          </m:sSubPr>
                          <m:e>
                            <m:r>
                              <w:rPr>
                                <w:rFonts w:ascii="Cambria Math" w:eastAsiaTheme="minorEastAsia" w:hAnsi="Cambria Math"/>
                                <w:color w:val="000000"/>
                              </w:rPr>
                              <m:t>M</m:t>
                            </m:r>
                          </m:e>
                          <m:sub>
                            <m:r>
                              <w:rPr>
                                <w:rFonts w:ascii="Cambria Math" w:hAnsi="Cambria Math"/>
                                <w:color w:val="000000" w:themeColor="text1"/>
                              </w:rPr>
                              <m:t>i</m:t>
                            </m:r>
                          </m:sub>
                        </m:sSub>
                      </m:sup>
                      <m:e>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ij</m:t>
                            </m:r>
                          </m:sub>
                        </m:sSub>
                      </m:e>
                    </m:nary>
                  </m:num>
                  <m:den>
                    <m:sSub>
                      <m:sSubPr>
                        <m:ctrlPr>
                          <w:rPr>
                            <w:rFonts w:ascii="Cambria Math" w:hAnsi="Cambria Math"/>
                            <w:i/>
                            <w:color w:val="000000" w:themeColor="text1"/>
                          </w:rPr>
                        </m:ctrlPr>
                      </m:sSubPr>
                      <m:e>
                        <m:r>
                          <w:rPr>
                            <w:rFonts w:ascii="Cambria Math" w:eastAsiaTheme="minorEastAsia" w:hAnsi="Cambria Math"/>
                            <w:color w:val="000000"/>
                          </w:rPr>
                          <m:t>M</m:t>
                        </m:r>
                      </m:e>
                      <m:sub>
                        <m:r>
                          <w:rPr>
                            <w:rFonts w:ascii="Cambria Math" w:hAnsi="Cambria Math"/>
                            <w:color w:val="000000" w:themeColor="text1"/>
                          </w:rPr>
                          <m:t>i</m:t>
                        </m:r>
                      </m:sub>
                    </m:sSub>
                  </m:den>
                </m:f>
              </m:oMath>
            </m:oMathPara>
          </w:p>
        </w:tc>
        <w:tc>
          <w:tcPr>
            <w:tcW w:w="1904" w:type="dxa"/>
            <w:vAlign w:val="center"/>
          </w:tcPr>
          <w:p w:rsidR="00F94614" w:rsidRPr="00374785" w:rsidRDefault="00F94614" w:rsidP="00F94614">
            <w:pPr>
              <w:pStyle w:val="tMain"/>
              <w:ind w:left="0" w:firstLine="0"/>
              <w:jc w:val="center"/>
              <w:rPr>
                <w:b/>
                <w:color w:val="000000" w:themeColor="text1"/>
              </w:rPr>
            </w:pPr>
            <w:r w:rsidRPr="00374785">
              <w:rPr>
                <w:b/>
                <w:color w:val="000000" w:themeColor="text1"/>
              </w:rPr>
              <w:t>Equation 7</w:t>
            </w:r>
          </w:p>
        </w:tc>
      </w:tr>
    </w:tbl>
    <w:p w:rsidR="00F94614" w:rsidRPr="00374785" w:rsidRDefault="00F94614" w:rsidP="00F94614">
      <w:pPr>
        <w:pStyle w:val="tMain"/>
      </w:pPr>
      <w:r w:rsidRPr="00374785">
        <w:tab/>
      </w:r>
      <w:r w:rsidRPr="00374785">
        <w:tab/>
        <w:t>Where:</w:t>
      </w:r>
    </w:p>
    <w:tbl>
      <w:tblPr>
        <w:tblStyle w:val="TableGrid"/>
        <w:tblW w:w="0" w:type="auto"/>
        <w:tblInd w:w="964" w:type="dxa"/>
        <w:tblLook w:val="04A0"/>
      </w:tblPr>
      <w:tblGrid>
        <w:gridCol w:w="1696"/>
        <w:gridCol w:w="6582"/>
      </w:tblGrid>
      <w:tr w:rsidR="00F94614" w:rsidRPr="00374785" w:rsidTr="00F94614">
        <w:tc>
          <w:tcPr>
            <w:tcW w:w="1696" w:type="dxa"/>
            <w:vAlign w:val="center"/>
          </w:tcPr>
          <w:p w:rsidR="00F94614" w:rsidRPr="00374785" w:rsidRDefault="0020376C" w:rsidP="00441F38">
            <w:pPr>
              <w:pStyle w:val="tMain"/>
              <w:ind w:left="0" w:firstLine="0"/>
              <w:jc w:val="right"/>
              <w:rPr>
                <w:color w:val="000000" w:themeColor="text1"/>
              </w:rPr>
            </w:pPr>
            <m:oMathPara>
              <m:oMathParaPr>
                <m:jc m:val="right"/>
              </m:oMathParaPr>
              <m:oMath>
                <m:acc>
                  <m:accPr>
                    <m:chr m:val="̅"/>
                    <m:ctrlPr>
                      <w:rPr>
                        <w:rFonts w:ascii="Cambria Math" w:hAnsi="Cambria Math" w:cs="Calibri"/>
                        <w:b/>
                        <w:i/>
                        <w:color w:val="000000" w:themeColor="text1"/>
                        <w:lang w:eastAsia="en-US"/>
                      </w:rPr>
                    </m:ctrlPr>
                  </m:accPr>
                  <m:e>
                    <m:sSub>
                      <m:sSubPr>
                        <m:ctrlPr>
                          <w:rPr>
                            <w:rFonts w:ascii="Cambria Math" w:hAnsi="Cambria Math" w:cs="Calibri"/>
                            <w:i/>
                            <w:color w:val="000000" w:themeColor="text1"/>
                            <w:lang w:eastAsia="en-US"/>
                          </w:rPr>
                        </m:ctrlPr>
                      </m:sSubPr>
                      <m:e>
                        <m:r>
                          <w:rPr>
                            <w:rFonts w:ascii="Cambria Math" w:hAnsi="Cambria Math" w:cs="Calibri"/>
                            <w:color w:val="000000" w:themeColor="text1"/>
                            <w:lang w:eastAsia="en-US"/>
                          </w:rPr>
                          <m:t>R</m:t>
                        </m:r>
                      </m:e>
                      <m:sub>
                        <m:r>
                          <w:rPr>
                            <w:rFonts w:ascii="Cambria Math" w:hAnsi="Cambria Math" w:cs="Calibri"/>
                            <w:color w:val="000000" w:themeColor="text1"/>
                            <w:lang w:eastAsia="en-US"/>
                          </w:rPr>
                          <m:t>i</m:t>
                        </m:r>
                      </m:sub>
                    </m:sSub>
                  </m:e>
                </m:acc>
                <m:r>
                  <m:rPr>
                    <m:sty m:val="bi"/>
                  </m:rPr>
                  <w:rPr>
                    <w:rFonts w:ascii="Cambria Math" w:hAnsi="Cambria Math" w:cs="Calibri"/>
                    <w:color w:val="000000" w:themeColor="text1"/>
                    <w:lang w:eastAsia="en-US"/>
                  </w:rPr>
                  <m:t>=</m:t>
                </m:r>
              </m:oMath>
            </m:oMathPara>
          </w:p>
        </w:tc>
        <w:tc>
          <w:tcPr>
            <w:tcW w:w="6582" w:type="dxa"/>
          </w:tcPr>
          <w:p w:rsidR="00F94614" w:rsidRPr="00374785" w:rsidRDefault="00F94614" w:rsidP="00AA21E0">
            <w:pPr>
              <w:pStyle w:val="tMain"/>
              <w:ind w:left="0" w:firstLine="0"/>
              <w:rPr>
                <w:color w:val="000000" w:themeColor="text1"/>
              </w:rPr>
            </w:pPr>
            <w:r w:rsidRPr="00374785">
              <w:rPr>
                <w:color w:val="000000" w:themeColor="text1"/>
              </w:rPr>
              <w:t xml:space="preserve">average proportion of trees for the </w:t>
            </w:r>
            <m:oMath>
              <m:r>
                <w:rPr>
                  <w:rFonts w:ascii="Cambria Math" w:hAnsi="Cambria Math"/>
                  <w:color w:val="000000" w:themeColor="text1"/>
                </w:rPr>
                <m:t>i</m:t>
              </m:r>
            </m:oMath>
            <w:r w:rsidRPr="00374785">
              <w:rPr>
                <w:color w:val="000000" w:themeColor="text1"/>
                <w:vertAlign w:val="superscript"/>
              </w:rPr>
              <w:t>th</w:t>
            </w:r>
            <w:r w:rsidRPr="00374785">
              <w:rPr>
                <w:color w:val="000000" w:themeColor="text1"/>
              </w:rPr>
              <w:t xml:space="preserve"> carbon estimation area.</w:t>
            </w:r>
          </w:p>
        </w:tc>
      </w:tr>
      <w:tr w:rsidR="00F94614" w:rsidRPr="00374785" w:rsidTr="00F94614">
        <w:tc>
          <w:tcPr>
            <w:tcW w:w="1696" w:type="dxa"/>
            <w:vAlign w:val="center"/>
          </w:tcPr>
          <w:p w:rsidR="00F94614" w:rsidRPr="00374785" w:rsidRDefault="000B6E66" w:rsidP="00F94614">
            <w:pPr>
              <w:pStyle w:val="tMain"/>
              <w:ind w:left="0" w:firstLine="0"/>
              <w:jc w:val="right"/>
              <w:rPr>
                <w:color w:val="000000" w:themeColor="text1"/>
              </w:rPr>
            </w:pPr>
            <m:oMathPara>
              <m:oMathParaPr>
                <m:jc m:val="right"/>
              </m:oMathParaPr>
              <m:oMath>
                <m:r>
                  <w:rPr>
                    <w:rFonts w:ascii="Cambria Math" w:hAnsi="Cambria Math"/>
                    <w:color w:val="000000" w:themeColor="text1"/>
                  </w:rPr>
                  <m:t>j=</m:t>
                </m:r>
              </m:oMath>
            </m:oMathPara>
          </w:p>
        </w:tc>
        <w:tc>
          <w:tcPr>
            <w:tcW w:w="6582" w:type="dxa"/>
          </w:tcPr>
          <w:p w:rsidR="00F94614" w:rsidRPr="00374785" w:rsidRDefault="009820B5" w:rsidP="00F94614">
            <w:pPr>
              <w:pStyle w:val="tMain"/>
              <w:ind w:left="0" w:firstLine="0"/>
              <w:rPr>
                <w:color w:val="000000" w:themeColor="text1"/>
              </w:rPr>
            </w:pPr>
            <m:oMath>
              <m:r>
                <w:rPr>
                  <w:rFonts w:ascii="Cambria Math" w:hAnsi="Cambria Math"/>
                </w:rPr>
                <m:t>j</m:t>
              </m:r>
            </m:oMath>
            <w:r w:rsidRPr="00374785">
              <w:rPr>
                <w:vertAlign w:val="superscript"/>
              </w:rPr>
              <w:t xml:space="preserve"> th</w:t>
            </w:r>
            <w:r w:rsidRPr="00374785">
              <w:t xml:space="preserve"> plot</w:t>
            </w:r>
          </w:p>
        </w:tc>
      </w:tr>
      <w:tr w:rsidR="00F94614" w:rsidRPr="00374785" w:rsidTr="00F94614">
        <w:tc>
          <w:tcPr>
            <w:tcW w:w="1696" w:type="dxa"/>
            <w:vAlign w:val="center"/>
          </w:tcPr>
          <w:p w:rsidR="00F94614" w:rsidRPr="00374785" w:rsidRDefault="0020376C" w:rsidP="009820B5">
            <w:pPr>
              <w:pStyle w:val="tMain"/>
              <w:ind w:left="0" w:firstLine="0"/>
              <w:jc w:val="right"/>
              <w:rPr>
                <w:color w:val="000000" w:themeColor="text1"/>
              </w:rPr>
            </w:pPr>
            <m:oMathPara>
              <m:oMathParaPr>
                <m:jc m:val="right"/>
              </m:oMathParaPr>
              <m:oMath>
                <m:sSub>
                  <m:sSubPr>
                    <m:ctrlPr>
                      <w:rPr>
                        <w:rFonts w:ascii="Cambria Math" w:hAnsi="Cambria Math" w:cs="Calibri"/>
                        <w:i/>
                        <w:color w:val="000000" w:themeColor="text1"/>
                        <w:lang w:eastAsia="en-US"/>
                      </w:rPr>
                    </m:ctrlPr>
                  </m:sSubPr>
                  <m:e>
                    <m:r>
                      <w:rPr>
                        <w:rFonts w:ascii="Cambria Math" w:hAnsi="Cambria Math" w:cs="Calibri"/>
                        <w:color w:val="000000" w:themeColor="text1"/>
                        <w:lang w:eastAsia="en-US"/>
                      </w:rPr>
                      <m:t>R</m:t>
                    </m:r>
                  </m:e>
                  <m:sub>
                    <m:r>
                      <w:rPr>
                        <w:rFonts w:ascii="Cambria Math" w:hAnsi="Cambria Math" w:cs="Calibri"/>
                        <w:color w:val="000000" w:themeColor="text1"/>
                        <w:lang w:eastAsia="en-US"/>
                      </w:rPr>
                      <m:t>ij</m:t>
                    </m:r>
                  </m:sub>
                </m:sSub>
                <m:r>
                  <m:rPr>
                    <m:sty m:val="bi"/>
                  </m:rPr>
                  <w:rPr>
                    <w:rFonts w:ascii="Cambria Math" w:hAnsi="Cambria Math" w:cs="Calibri"/>
                    <w:color w:val="000000" w:themeColor="text1"/>
                    <w:lang w:eastAsia="en-US"/>
                  </w:rPr>
                  <m:t>=</m:t>
                </m:r>
              </m:oMath>
            </m:oMathPara>
          </w:p>
        </w:tc>
        <w:tc>
          <w:tcPr>
            <w:tcW w:w="6582" w:type="dxa"/>
          </w:tcPr>
          <w:p w:rsidR="00F94614" w:rsidRPr="00374785" w:rsidRDefault="00F94614" w:rsidP="00937821">
            <w:pPr>
              <w:pStyle w:val="tMain"/>
              <w:ind w:left="0" w:firstLine="0"/>
              <w:rPr>
                <w:color w:val="000000" w:themeColor="text1"/>
              </w:rPr>
            </w:pPr>
            <w:proofErr w:type="gramStart"/>
            <w:r w:rsidRPr="00374785">
              <w:rPr>
                <w:color w:val="000000" w:themeColor="text1"/>
              </w:rPr>
              <w:t>proportion</w:t>
            </w:r>
            <w:proofErr w:type="gramEnd"/>
            <w:r w:rsidRPr="00374785">
              <w:rPr>
                <w:color w:val="000000" w:themeColor="text1"/>
              </w:rPr>
              <w:t xml:space="preserve"> of the planting consisting of trees in the </w:t>
            </w:r>
            <m:oMath>
              <m:r>
                <w:rPr>
                  <w:rFonts w:ascii="Cambria Math" w:hAnsi="Cambria Math"/>
                  <w:color w:val="000000" w:themeColor="text1"/>
                </w:rPr>
                <m:t>j</m:t>
              </m:r>
            </m:oMath>
            <w:r w:rsidRPr="00374785">
              <w:rPr>
                <w:color w:val="000000" w:themeColor="text1"/>
                <w:vertAlign w:val="superscript"/>
              </w:rPr>
              <w:t>th</w:t>
            </w:r>
            <w:r w:rsidRPr="00374785">
              <w:rPr>
                <w:color w:val="000000" w:themeColor="text1"/>
              </w:rPr>
              <w:t xml:space="preserve"> plot within the </w:t>
            </w:r>
            <m:oMath>
              <m:r>
                <w:rPr>
                  <w:rFonts w:ascii="Cambria Math" w:hAnsi="Cambria Math"/>
                  <w:color w:val="000000" w:themeColor="text1"/>
                </w:rPr>
                <m:t>i</m:t>
              </m:r>
            </m:oMath>
            <w:r w:rsidRPr="00374785">
              <w:rPr>
                <w:color w:val="000000" w:themeColor="text1"/>
                <w:vertAlign w:val="superscript"/>
              </w:rPr>
              <w:t>th</w:t>
            </w:r>
            <w:r w:rsidR="00602D55" w:rsidRPr="00374785">
              <w:rPr>
                <w:color w:val="000000" w:themeColor="text1"/>
              </w:rPr>
              <w:t xml:space="preserve"> carbon estimation area</w:t>
            </w:r>
            <w:r w:rsidR="00061919">
              <w:rPr>
                <w:color w:val="000000" w:themeColor="text1"/>
              </w:rPr>
              <w:t>—see equation 6</w:t>
            </w:r>
            <w:r w:rsidRPr="00374785">
              <w:rPr>
                <w:color w:val="000000" w:themeColor="text1"/>
              </w:rPr>
              <w:t>.</w:t>
            </w:r>
            <w:r w:rsidR="00952A0A" w:rsidRPr="00374785">
              <w:rPr>
                <w:color w:val="000000" w:themeColor="text1"/>
              </w:rPr>
              <w:t xml:space="preserve"> </w:t>
            </w:r>
          </w:p>
        </w:tc>
      </w:tr>
      <w:tr w:rsidR="00F94614" w:rsidRPr="00374785" w:rsidTr="00F94614">
        <w:tc>
          <w:tcPr>
            <w:tcW w:w="1696" w:type="dxa"/>
            <w:vAlign w:val="center"/>
          </w:tcPr>
          <w:p w:rsidR="00F94614" w:rsidRPr="00374785" w:rsidRDefault="0020376C" w:rsidP="00F94614">
            <w:pPr>
              <w:pStyle w:val="tMain"/>
              <w:ind w:left="0" w:firstLine="0"/>
              <w:jc w:val="right"/>
              <w:rPr>
                <w:color w:val="000000" w:themeColor="text1"/>
              </w:rPr>
            </w:pPr>
            <m:oMath>
              <m:sSub>
                <m:sSubPr>
                  <m:ctrlPr>
                    <w:rPr>
                      <w:rFonts w:ascii="Cambria Math" w:hAnsi="Cambria Math"/>
                      <w:i/>
                      <w:color w:val="000000" w:themeColor="text1"/>
                    </w:rPr>
                  </m:ctrlPr>
                </m:sSubPr>
                <m:e>
                  <m:r>
                    <w:rPr>
                      <w:rFonts w:ascii="Cambria Math" w:eastAsiaTheme="minorEastAsia" w:hAnsi="Cambria Math"/>
                      <w:color w:val="000000"/>
                    </w:rPr>
                    <m:t>M</m:t>
                  </m:r>
                </m:e>
                <m:sub>
                  <m:r>
                    <w:rPr>
                      <w:rFonts w:ascii="Cambria Math" w:hAnsi="Cambria Math"/>
                      <w:color w:val="000000" w:themeColor="text1"/>
                    </w:rPr>
                    <m:t>i</m:t>
                  </m:r>
                </m:sub>
              </m:sSub>
            </m:oMath>
            <w:r w:rsidR="00F94614" w:rsidRPr="00374785">
              <w:rPr>
                <w:color w:val="000000" w:themeColor="text1"/>
              </w:rPr>
              <w:t xml:space="preserve"> </w:t>
            </w:r>
            <m:oMath>
              <m:r>
                <w:rPr>
                  <w:rFonts w:ascii="Cambria Math" w:hAnsi="Cambria Math"/>
                  <w:color w:val="000000" w:themeColor="text1"/>
                </w:rPr>
                <m:t>=</m:t>
              </m:r>
            </m:oMath>
          </w:p>
        </w:tc>
        <w:tc>
          <w:tcPr>
            <w:tcW w:w="6582" w:type="dxa"/>
          </w:tcPr>
          <w:p w:rsidR="00F94614" w:rsidRPr="00374785" w:rsidRDefault="00904D50" w:rsidP="00441F38">
            <w:pPr>
              <w:pStyle w:val="tMain"/>
              <w:ind w:left="0" w:firstLine="0"/>
              <w:rPr>
                <w:color w:val="000000" w:themeColor="text1"/>
              </w:rPr>
            </w:pPr>
            <w:r w:rsidRPr="00374785">
              <w:rPr>
                <w:color w:val="000000" w:themeColor="text1"/>
              </w:rPr>
              <w:t xml:space="preserve">total number of plots in the </w:t>
            </w:r>
            <w:r w:rsidRPr="00374785">
              <w:rPr>
                <w:i/>
              </w:rPr>
              <w:t>i</w:t>
            </w:r>
            <w:r w:rsidRPr="00374785">
              <w:rPr>
                <w:vertAlign w:val="superscript"/>
              </w:rPr>
              <w:t>th</w:t>
            </w:r>
            <w:r w:rsidRPr="00374785">
              <w:rPr>
                <w:color w:val="000000" w:themeColor="text1"/>
              </w:rPr>
              <w:t xml:space="preserve"> carbon estimation area.</w:t>
            </w:r>
          </w:p>
        </w:tc>
      </w:tr>
      <w:tr w:rsidR="008B7F4F" w:rsidRPr="00374785" w:rsidTr="008B7F4F">
        <w:tc>
          <w:tcPr>
            <w:tcW w:w="1696" w:type="dxa"/>
            <w:vAlign w:val="center"/>
          </w:tcPr>
          <w:p w:rsidR="008B7F4F" w:rsidRPr="00374785" w:rsidRDefault="008B7F4F" w:rsidP="008B7F4F">
            <w:pPr>
              <w:pStyle w:val="tMain"/>
              <w:ind w:left="0" w:firstLine="0"/>
              <w:jc w:val="right"/>
              <w:rPr>
                <w:iCs/>
                <w:color w:val="000000"/>
              </w:rPr>
            </w:pPr>
            <w:r w:rsidRPr="00374785">
              <w:rPr>
                <w:i/>
              </w:rPr>
              <w:t>i =</w:t>
            </w:r>
          </w:p>
        </w:tc>
        <w:tc>
          <w:tcPr>
            <w:tcW w:w="6582" w:type="dxa"/>
          </w:tcPr>
          <w:p w:rsidR="008B7F4F" w:rsidRPr="00374785" w:rsidRDefault="008B7F4F" w:rsidP="008B7F4F">
            <w:pPr>
              <w:pStyle w:val="tMain"/>
              <w:ind w:left="0" w:firstLine="0"/>
              <w:rPr>
                <w:color w:val="000000" w:themeColor="text1"/>
              </w:rPr>
            </w:pPr>
            <w:r w:rsidRPr="00374785">
              <w:rPr>
                <w:i/>
              </w:rPr>
              <w:t>i</w:t>
            </w:r>
            <w:r w:rsidRPr="00374785">
              <w:rPr>
                <w:vertAlign w:val="superscript"/>
              </w:rPr>
              <w:t>th</w:t>
            </w:r>
            <w:r w:rsidRPr="00374785">
              <w:t xml:space="preserve"> carbon estimation area.</w:t>
            </w:r>
          </w:p>
        </w:tc>
      </w:tr>
    </w:tbl>
    <w:p w:rsidR="00F94614" w:rsidRPr="00374785" w:rsidRDefault="007F3C0F" w:rsidP="00F94614">
      <w:pPr>
        <w:pStyle w:val="h5Section"/>
      </w:pPr>
      <w:bookmarkStart w:id="59" w:name="_Toc397681603"/>
      <w:r>
        <w:t>3.39</w:t>
      </w:r>
      <w:r w:rsidR="00F94614" w:rsidRPr="00374785">
        <w:tab/>
        <w:t>Calculating margin of error for tree proportion</w:t>
      </w:r>
      <w:bookmarkEnd w:id="59"/>
    </w:p>
    <w:p w:rsidR="00F94614" w:rsidRPr="00374785" w:rsidRDefault="0069088C" w:rsidP="0069088C">
      <w:pPr>
        <w:pStyle w:val="tMain"/>
      </w:pPr>
      <w:r w:rsidRPr="00374785">
        <w:tab/>
      </w:r>
      <w:r w:rsidR="007F3C0F">
        <w:t>(1)</w:t>
      </w:r>
      <w:r w:rsidRPr="00374785">
        <w:tab/>
      </w:r>
      <w:r w:rsidR="00F94614" w:rsidRPr="00374785">
        <w:t xml:space="preserve">The margin of error for the </w:t>
      </w:r>
      <w:r w:rsidR="00DF5CFD" w:rsidRPr="00374785">
        <w:t xml:space="preserve">average </w:t>
      </w:r>
      <w:r w:rsidR="00F94614" w:rsidRPr="00374785">
        <w:t>tree proportion in a carbon estimation area must be calculated using the following formula:</w:t>
      </w:r>
    </w:p>
    <w:tbl>
      <w:tblPr>
        <w:tblStyle w:val="TableGrid"/>
        <w:tblW w:w="0" w:type="auto"/>
        <w:tblInd w:w="964" w:type="dxa"/>
        <w:tblLook w:val="04A0"/>
      </w:tblPr>
      <w:tblGrid>
        <w:gridCol w:w="6374"/>
        <w:gridCol w:w="1904"/>
      </w:tblGrid>
      <w:tr w:rsidR="00F94614" w:rsidRPr="00374785" w:rsidTr="00F94614">
        <w:tc>
          <w:tcPr>
            <w:tcW w:w="6374" w:type="dxa"/>
          </w:tcPr>
          <w:p w:rsidR="00F94614" w:rsidRPr="00374785" w:rsidRDefault="0020376C" w:rsidP="002575CF">
            <w:pPr>
              <w:pStyle w:val="tMain"/>
              <w:spacing w:before="100" w:line="360" w:lineRule="auto"/>
              <w:ind w:left="0" w:firstLine="0"/>
              <w:rPr>
                <w:color w:val="76923C" w:themeColor="accent3" w:themeShade="BF"/>
              </w:rPr>
            </w:pPr>
            <m:oMathPara>
              <m:oMath>
                <m:sSub>
                  <m:sSubPr>
                    <m:ctrlPr>
                      <w:rPr>
                        <w:rFonts w:ascii="Cambria Math" w:hAnsi="Cambria Math"/>
                        <w:color w:val="000000"/>
                      </w:rPr>
                    </m:ctrlPr>
                  </m:sSubPr>
                  <m:e>
                    <m:r>
                      <w:rPr>
                        <w:rFonts w:ascii="Cambria Math" w:hAnsi="Cambria Math"/>
                        <w:color w:val="000000"/>
                      </w:rPr>
                      <m:t>E</m:t>
                    </m:r>
                  </m:e>
                  <m:sub>
                    <m:bar>
                      <m:barPr>
                        <m:pos m:val="top"/>
                        <m:ctrlPr>
                          <w:rPr>
                            <w:rFonts w:ascii="Cambria Math" w:hAnsi="Cambria Math"/>
                            <w:i/>
                            <w:color w:val="000000" w:themeColor="text1"/>
                          </w:rPr>
                        </m:ctrlPr>
                      </m:barPr>
                      <m:e>
                        <m:r>
                          <w:rPr>
                            <w:rFonts w:ascii="Cambria Math" w:hAnsi="Cambria Math"/>
                            <w:color w:val="000000" w:themeColor="text1"/>
                          </w:rPr>
                          <m:t>R</m:t>
                        </m:r>
                      </m:e>
                    </m:bar>
                    <m:r>
                      <w:rPr>
                        <w:rFonts w:ascii="Cambria Math" w:hAnsi="Cambria Math"/>
                        <w:color w:val="000000"/>
                      </w:rPr>
                      <m:t>i</m:t>
                    </m:r>
                  </m:sub>
                </m:sSub>
                <m:r>
                  <m:rPr>
                    <m:sty m:val="p"/>
                  </m:rPr>
                  <w:rPr>
                    <w:rFonts w:ascii="Cambria Math" w:hAnsi="Cambria Math"/>
                    <w:color w:val="000000"/>
                  </w:rPr>
                  <m:t xml:space="preserve">= </m:t>
                </m:r>
                <m:r>
                  <m:rPr>
                    <m:sty m:val="p"/>
                  </m:rPr>
                  <w:rPr>
                    <w:rFonts w:ascii="Cambria Math"/>
                    <w:color w:val="000000"/>
                  </w:rPr>
                  <m:t xml:space="preserve"> </m:t>
                </m:r>
                <m:sSub>
                  <m:sSubPr>
                    <m:ctrlPr>
                      <w:rPr>
                        <w:rFonts w:ascii="Cambria Math" w:hAnsi="Cambria Math"/>
                        <w:color w:val="000000"/>
                      </w:rPr>
                    </m:ctrlPr>
                  </m:sSubPr>
                  <m:e>
                    <m:r>
                      <m:rPr>
                        <m:sty m:val="p"/>
                      </m:rPr>
                      <w:rPr>
                        <w:rFonts w:ascii="Cambria Math" w:hAnsi="Cambria Math"/>
                        <w:color w:val="000000"/>
                      </w:rPr>
                      <m:t>t</m:t>
                    </m:r>
                  </m:e>
                  <m:sub>
                    <m:r>
                      <w:rPr>
                        <w:rFonts w:ascii="Cambria Math" w:hAnsi="Cambria Math"/>
                        <w:color w:val="000000"/>
                      </w:rPr>
                      <m:t>0.05</m:t>
                    </m:r>
                  </m:sub>
                </m:sSub>
                <m:r>
                  <m:rPr>
                    <m:sty m:val="p"/>
                  </m:rPr>
                  <w:rPr>
                    <w:rFonts w:ascii="Cambria Math" w:hAnsi="Cambria Math"/>
                    <w:color w:val="000000"/>
                  </w:rPr>
                  <m:t xml:space="preserve"> × </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σ</m:t>
                        </m:r>
                      </m:e>
                      <m:sub>
                        <m:bar>
                          <m:barPr>
                            <m:pos m:val="top"/>
                            <m:ctrlPr>
                              <w:rPr>
                                <w:rFonts w:ascii="Cambria Math" w:hAnsi="Cambria Math"/>
                                <w:i/>
                                <w:color w:val="000000" w:themeColor="text1"/>
                              </w:rPr>
                            </m:ctrlPr>
                          </m:barPr>
                          <m:e>
                            <m:r>
                              <w:rPr>
                                <w:rFonts w:ascii="Cambria Math" w:hAnsi="Cambria Math"/>
                                <w:color w:val="000000" w:themeColor="text1"/>
                              </w:rPr>
                              <m:t>R</m:t>
                            </m:r>
                          </m:e>
                        </m:bar>
                        <m:r>
                          <w:rPr>
                            <w:rFonts w:ascii="Cambria Math" w:hAnsi="Cambria Math"/>
                            <w:color w:val="000000"/>
                          </w:rPr>
                          <m:t>i</m:t>
                        </m:r>
                      </m:sub>
                    </m:sSub>
                  </m:num>
                  <m:den>
                    <m:rad>
                      <m:radPr>
                        <m:degHide m:val="on"/>
                        <m:ctrlPr>
                          <w:rPr>
                            <w:rFonts w:ascii="Cambria Math" w:hAnsi="Cambria Math"/>
                            <w:color w:val="000000"/>
                          </w:rPr>
                        </m:ctrlPr>
                      </m:radPr>
                      <m:deg/>
                      <m:e>
                        <m:sSub>
                          <m:sSubPr>
                            <m:ctrlPr>
                              <w:rPr>
                                <w:rFonts w:ascii="Cambria Math" w:hAnsi="Cambria Math"/>
                                <w:i/>
                                <w:color w:val="000000" w:themeColor="text1"/>
                              </w:rPr>
                            </m:ctrlPr>
                          </m:sSubPr>
                          <m:e>
                            <m:r>
                              <w:rPr>
                                <w:rFonts w:ascii="Cambria Math" w:eastAsiaTheme="minorEastAsia" w:hAnsi="Cambria Math"/>
                                <w:color w:val="000000"/>
                              </w:rPr>
                              <m:t>M</m:t>
                            </m:r>
                          </m:e>
                          <m:sub>
                            <m:r>
                              <w:rPr>
                                <w:rFonts w:ascii="Cambria Math" w:hAnsi="Cambria Math"/>
                                <w:color w:val="000000" w:themeColor="text1"/>
                              </w:rPr>
                              <m:t>i</m:t>
                            </m:r>
                          </m:sub>
                        </m:sSub>
                      </m:e>
                    </m:rad>
                  </m:den>
                </m:f>
              </m:oMath>
            </m:oMathPara>
          </w:p>
        </w:tc>
        <w:tc>
          <w:tcPr>
            <w:tcW w:w="1904" w:type="dxa"/>
            <w:vAlign w:val="center"/>
          </w:tcPr>
          <w:p w:rsidR="00F94614" w:rsidRPr="00374785" w:rsidRDefault="00F94614" w:rsidP="00F94614">
            <w:pPr>
              <w:pStyle w:val="tMain"/>
              <w:ind w:left="0" w:firstLine="0"/>
              <w:jc w:val="center"/>
              <w:rPr>
                <w:b/>
                <w:color w:val="000000" w:themeColor="text1"/>
              </w:rPr>
            </w:pPr>
            <w:r w:rsidRPr="00374785">
              <w:rPr>
                <w:b/>
                <w:color w:val="000000" w:themeColor="text1"/>
              </w:rPr>
              <w:t>Equation 8</w:t>
            </w:r>
          </w:p>
        </w:tc>
      </w:tr>
    </w:tbl>
    <w:p w:rsidR="00F94614" w:rsidRPr="00374785" w:rsidRDefault="00F94614" w:rsidP="00F94614">
      <w:pPr>
        <w:pStyle w:val="tMain"/>
      </w:pPr>
      <w:r w:rsidRPr="00374785">
        <w:tab/>
      </w:r>
      <w:r w:rsidRPr="00374785">
        <w:tab/>
        <w:t>Where:</w:t>
      </w:r>
    </w:p>
    <w:tbl>
      <w:tblPr>
        <w:tblStyle w:val="TableGrid"/>
        <w:tblW w:w="0" w:type="auto"/>
        <w:tblInd w:w="964" w:type="dxa"/>
        <w:tblLook w:val="04A0"/>
      </w:tblPr>
      <w:tblGrid>
        <w:gridCol w:w="1696"/>
        <w:gridCol w:w="6582"/>
      </w:tblGrid>
      <w:tr w:rsidR="00F94614" w:rsidRPr="00374785" w:rsidTr="00F94614">
        <w:tc>
          <w:tcPr>
            <w:tcW w:w="1696" w:type="dxa"/>
            <w:vAlign w:val="center"/>
          </w:tcPr>
          <w:p w:rsidR="00F94614" w:rsidRPr="00374785" w:rsidRDefault="0020376C" w:rsidP="00F94614">
            <w:pPr>
              <w:pStyle w:val="tMain"/>
              <w:ind w:left="0" w:firstLine="0"/>
              <w:jc w:val="right"/>
              <w:rPr>
                <w:color w:val="000000" w:themeColor="text1"/>
              </w:rPr>
            </w:pPr>
            <m:oMathPara>
              <m:oMathParaPr>
                <m:jc m:val="right"/>
              </m:oMathParaPr>
              <m:oMath>
                <m:sSub>
                  <m:sSubPr>
                    <m:ctrlPr>
                      <w:rPr>
                        <w:rFonts w:ascii="Cambria Math" w:hAnsi="Cambria Math"/>
                        <w:color w:val="000000" w:themeColor="text1"/>
                      </w:rPr>
                    </m:ctrlPr>
                  </m:sSubPr>
                  <m:e>
                    <m:r>
                      <w:rPr>
                        <w:rFonts w:ascii="Cambria Math" w:hAnsi="Cambria Math"/>
                        <w:color w:val="000000" w:themeColor="text1"/>
                      </w:rPr>
                      <m:t>E</m:t>
                    </m:r>
                  </m:e>
                  <m:sub>
                    <m:bar>
                      <m:barPr>
                        <m:pos m:val="top"/>
                        <m:ctrlPr>
                          <w:rPr>
                            <w:rFonts w:ascii="Cambria Math" w:hAnsi="Cambria Math"/>
                            <w:i/>
                            <w:color w:val="000000" w:themeColor="text1"/>
                          </w:rPr>
                        </m:ctrlPr>
                      </m:barPr>
                      <m:e>
                        <m:r>
                          <w:rPr>
                            <w:rFonts w:ascii="Cambria Math" w:hAnsi="Cambria Math"/>
                            <w:color w:val="000000" w:themeColor="text1"/>
                          </w:rPr>
                          <m:t>R</m:t>
                        </m:r>
                      </m:e>
                    </m:bar>
                    <m:r>
                      <w:rPr>
                        <w:rFonts w:ascii="Cambria Math" w:hAnsi="Cambria Math"/>
                        <w:color w:val="000000" w:themeColor="text1"/>
                      </w:rPr>
                      <m:t>i</m:t>
                    </m:r>
                  </m:sub>
                </m:sSub>
                <m:r>
                  <m:rPr>
                    <m:sty m:val="bi"/>
                  </m:rPr>
                  <w:rPr>
                    <w:rFonts w:ascii="Cambria Math" w:hAnsi="Cambria Math" w:cs="Calibri"/>
                    <w:color w:val="000000" w:themeColor="text1"/>
                    <w:lang w:eastAsia="en-US"/>
                  </w:rPr>
                  <m:t>=</m:t>
                </m:r>
              </m:oMath>
            </m:oMathPara>
          </w:p>
        </w:tc>
        <w:tc>
          <w:tcPr>
            <w:tcW w:w="6582" w:type="dxa"/>
          </w:tcPr>
          <w:p w:rsidR="00F94614" w:rsidRPr="00374785" w:rsidRDefault="00F94614" w:rsidP="00B56A4F">
            <w:pPr>
              <w:pStyle w:val="tMain"/>
              <w:ind w:left="0" w:firstLine="0"/>
              <w:rPr>
                <w:color w:val="000000" w:themeColor="text1"/>
              </w:rPr>
            </w:pPr>
            <w:r w:rsidRPr="00374785">
              <w:rPr>
                <w:color w:val="000000" w:themeColor="text1"/>
              </w:rPr>
              <w:t xml:space="preserve">margin of error for the </w:t>
            </w:r>
            <w:r w:rsidR="00DF5CFD" w:rsidRPr="00374785">
              <w:rPr>
                <w:color w:val="000000" w:themeColor="text1"/>
              </w:rPr>
              <w:t xml:space="preserve">average </w:t>
            </w:r>
            <w:r w:rsidRPr="00374785">
              <w:rPr>
                <w:color w:val="000000" w:themeColor="text1"/>
              </w:rPr>
              <w:t xml:space="preserve">tree proportion in the </w:t>
            </w:r>
            <m:oMath>
              <m:r>
                <w:rPr>
                  <w:rFonts w:ascii="Cambria Math" w:hAnsi="Cambria Math"/>
                  <w:color w:val="000000" w:themeColor="text1"/>
                </w:rPr>
                <m:t>i</m:t>
              </m:r>
            </m:oMath>
            <w:r w:rsidRPr="00374785">
              <w:rPr>
                <w:color w:val="000000" w:themeColor="text1"/>
                <w:vertAlign w:val="superscript"/>
              </w:rPr>
              <w:t>th</w:t>
            </w:r>
            <w:r w:rsidRPr="00374785">
              <w:rPr>
                <w:color w:val="000000" w:themeColor="text1"/>
              </w:rPr>
              <w:t xml:space="preserve"> carbon estimation area.</w:t>
            </w:r>
          </w:p>
        </w:tc>
      </w:tr>
      <w:tr w:rsidR="00F94614" w:rsidRPr="00374785" w:rsidTr="00F94614">
        <w:tc>
          <w:tcPr>
            <w:tcW w:w="1696" w:type="dxa"/>
            <w:vAlign w:val="center"/>
          </w:tcPr>
          <w:p w:rsidR="00F94614" w:rsidRPr="00374785" w:rsidRDefault="0020376C" w:rsidP="002575CF">
            <w:pPr>
              <w:pStyle w:val="tMain"/>
              <w:ind w:left="0" w:firstLine="0"/>
              <w:jc w:val="right"/>
              <w:rPr>
                <w:color w:val="000000" w:themeColor="text1"/>
              </w:rPr>
            </w:pPr>
            <m:oMathPara>
              <m:oMathParaPr>
                <m:jc m:val="right"/>
              </m:oMathParaPr>
              <m:oMath>
                <m:sSub>
                  <m:sSubPr>
                    <m:ctrlPr>
                      <w:rPr>
                        <w:rFonts w:ascii="Cambria Math" w:hAnsi="Cambria Math" w:cs="Calibri"/>
                        <w:color w:val="000000" w:themeColor="text1"/>
                        <w:lang w:eastAsia="en-US"/>
                      </w:rPr>
                    </m:ctrlPr>
                  </m:sSubPr>
                  <m:e>
                    <m:r>
                      <w:rPr>
                        <w:rFonts w:ascii="Cambria Math" w:hAnsi="Cambria Math" w:cs="Calibri"/>
                        <w:color w:val="000000" w:themeColor="text1"/>
                        <w:lang w:eastAsia="en-US"/>
                      </w:rPr>
                      <m:t>t</m:t>
                    </m:r>
                  </m:e>
                  <m:sub>
                    <m:r>
                      <w:rPr>
                        <w:rFonts w:ascii="Cambria Math" w:hAnsi="Cambria Math" w:cs="Calibri"/>
                        <w:color w:val="000000" w:themeColor="text1"/>
                        <w:lang w:eastAsia="en-US"/>
                      </w:rPr>
                      <m:t>0.05</m:t>
                    </m:r>
                  </m:sub>
                </m:sSub>
                <m:r>
                  <m:rPr>
                    <m:sty m:val="bi"/>
                  </m:rPr>
                  <w:rPr>
                    <w:rFonts w:ascii="Cambria Math" w:hAnsi="Cambria Math" w:cs="Calibri"/>
                    <w:color w:val="000000" w:themeColor="text1"/>
                    <w:lang w:eastAsia="en-US"/>
                  </w:rPr>
                  <m:t>=</m:t>
                </m:r>
              </m:oMath>
            </m:oMathPara>
          </w:p>
        </w:tc>
        <w:tc>
          <w:tcPr>
            <w:tcW w:w="6582" w:type="dxa"/>
          </w:tcPr>
          <w:p w:rsidR="00F94614" w:rsidRPr="00374785" w:rsidRDefault="00F94614" w:rsidP="000B6E66">
            <w:pPr>
              <w:pStyle w:val="tMain"/>
              <w:ind w:left="0" w:firstLine="0"/>
              <w:rPr>
                <w:color w:val="000000" w:themeColor="text1"/>
              </w:rPr>
            </w:pPr>
            <w:r w:rsidRPr="00374785">
              <w:rPr>
                <w:color w:val="000000" w:themeColor="text1"/>
              </w:rPr>
              <w:t>critical value of the t-distribution for a Student</w:t>
            </w:r>
            <w:r w:rsidR="00BD24D7" w:rsidRPr="00374785">
              <w:rPr>
                <w:color w:val="000000" w:themeColor="text1"/>
              </w:rPr>
              <w:t>’s</w:t>
            </w:r>
            <w:r w:rsidRPr="00374785">
              <w:rPr>
                <w:color w:val="000000" w:themeColor="text1"/>
              </w:rPr>
              <w:t xml:space="preserve"> t-test, using</w:t>
            </w:r>
            <w:r w:rsidR="000B6E66" w:rsidRPr="00374785">
              <w:rPr>
                <w:color w:val="000000" w:themeColor="text1"/>
              </w:rPr>
              <w:t xml:space="preserve"> </w:t>
            </w:r>
            <m:oMath>
              <m:sSub>
                <m:sSubPr>
                  <m:ctrlPr>
                    <w:rPr>
                      <w:rFonts w:ascii="Cambria Math" w:hAnsi="Cambria Math"/>
                      <w:i/>
                      <w:color w:val="000000" w:themeColor="text1"/>
                    </w:rPr>
                  </m:ctrlPr>
                </m:sSubPr>
                <m:e>
                  <m:r>
                    <w:rPr>
                      <w:rFonts w:ascii="Cambria Math" w:eastAsiaTheme="minorEastAsia" w:hAnsi="Cambria Math"/>
                      <w:color w:val="000000"/>
                    </w:rPr>
                    <m:t>M</m:t>
                  </m:r>
                </m:e>
                <m:sub>
                  <m:r>
                    <w:rPr>
                      <w:rFonts w:ascii="Cambria Math" w:hAnsi="Cambria Math"/>
                      <w:color w:val="000000" w:themeColor="text1"/>
                    </w:rPr>
                    <m:t>i</m:t>
                  </m:r>
                </m:sub>
              </m:sSub>
            </m:oMath>
            <w:r w:rsidRPr="00374785">
              <w:rPr>
                <w:color w:val="000000" w:themeColor="text1"/>
              </w:rPr>
              <w:t xml:space="preserve">-1 degrees of freedom at the </w:t>
            </w:r>
            <w:r w:rsidRPr="00374785">
              <w:rPr>
                <w:i/>
                <w:color w:val="000000" w:themeColor="text1"/>
              </w:rPr>
              <w:t>P</w:t>
            </w:r>
            <w:r w:rsidRPr="00374785">
              <w:rPr>
                <w:color w:val="000000" w:themeColor="text1"/>
              </w:rPr>
              <w:t>=0.05 level of significance.</w:t>
            </w:r>
          </w:p>
        </w:tc>
      </w:tr>
      <w:tr w:rsidR="00F94614" w:rsidRPr="00374785" w:rsidTr="00F94614">
        <w:tc>
          <w:tcPr>
            <w:tcW w:w="1696" w:type="dxa"/>
            <w:vAlign w:val="center"/>
          </w:tcPr>
          <w:p w:rsidR="00F94614" w:rsidRPr="00374785" w:rsidRDefault="0020376C" w:rsidP="00441F38">
            <w:pPr>
              <w:pStyle w:val="tMain"/>
              <w:ind w:left="0" w:firstLine="0"/>
              <w:jc w:val="right"/>
              <w:rPr>
                <w:color w:val="000000" w:themeColor="text1"/>
              </w:rPr>
            </w:pPr>
            <m:oMathPara>
              <m:oMathParaPr>
                <m:jc m:val="right"/>
              </m:oMathParaPr>
              <m:oMath>
                <m:sSub>
                  <m:sSubPr>
                    <m:ctrlPr>
                      <w:rPr>
                        <w:rFonts w:ascii="Cambria Math" w:hAnsi="Cambria Math"/>
                        <w:color w:val="000000"/>
                      </w:rPr>
                    </m:ctrlPr>
                  </m:sSubPr>
                  <m:e>
                    <m:r>
                      <m:rPr>
                        <m:sty m:val="p"/>
                      </m:rPr>
                      <w:rPr>
                        <w:rFonts w:ascii="Cambria Math" w:hAnsi="Cambria Math"/>
                        <w:color w:val="000000"/>
                      </w:rPr>
                      <m:t>σ</m:t>
                    </m:r>
                  </m:e>
                  <m:sub>
                    <m:bar>
                      <m:barPr>
                        <m:pos m:val="top"/>
                        <m:ctrlPr>
                          <w:rPr>
                            <w:rFonts w:ascii="Cambria Math" w:hAnsi="Cambria Math"/>
                            <w:i/>
                            <w:color w:val="000000" w:themeColor="text1"/>
                          </w:rPr>
                        </m:ctrlPr>
                      </m:barPr>
                      <m:e>
                        <m:r>
                          <w:rPr>
                            <w:rFonts w:ascii="Cambria Math" w:hAnsi="Cambria Math"/>
                            <w:color w:val="000000" w:themeColor="text1"/>
                          </w:rPr>
                          <m:t>R</m:t>
                        </m:r>
                      </m:e>
                    </m:bar>
                    <m:r>
                      <w:rPr>
                        <w:rFonts w:ascii="Cambria Math" w:hAnsi="Cambria Math"/>
                        <w:color w:val="000000"/>
                      </w:rPr>
                      <m:t>i</m:t>
                    </m:r>
                  </m:sub>
                </m:sSub>
                <m:r>
                  <m:rPr>
                    <m:sty m:val="bi"/>
                  </m:rPr>
                  <w:rPr>
                    <w:rFonts w:ascii="Cambria Math" w:hAnsi="Cambria Math" w:cs="Calibri"/>
                    <w:color w:val="000000" w:themeColor="text1"/>
                    <w:lang w:eastAsia="en-US"/>
                  </w:rPr>
                  <m:t>=</m:t>
                </m:r>
              </m:oMath>
            </m:oMathPara>
          </w:p>
        </w:tc>
        <w:tc>
          <w:tcPr>
            <w:tcW w:w="6582" w:type="dxa"/>
          </w:tcPr>
          <w:p w:rsidR="00F94614" w:rsidRPr="00374785" w:rsidRDefault="00F94614" w:rsidP="00F94614">
            <w:pPr>
              <w:pStyle w:val="tMain"/>
              <w:ind w:left="0" w:firstLine="0"/>
              <w:rPr>
                <w:color w:val="000000" w:themeColor="text1"/>
              </w:rPr>
            </w:pPr>
            <w:r w:rsidRPr="00374785">
              <w:rPr>
                <w:color w:val="000000" w:themeColor="text1"/>
              </w:rPr>
              <w:t>standard deviation of average tree proportion (</w:t>
            </w:r>
            <m:oMath>
              <m:bar>
                <m:barPr>
                  <m:pos m:val="top"/>
                  <m:ctrlPr>
                    <w:rPr>
                      <w:rFonts w:ascii="Cambria Math" w:hAnsi="Cambria Math"/>
                      <w:i/>
                      <w:color w:val="000000" w:themeColor="text1"/>
                    </w:rPr>
                  </m:ctrlPr>
                </m:barPr>
                <m:e>
                  <m:r>
                    <w:rPr>
                      <w:rFonts w:ascii="Cambria Math" w:hAnsi="Cambria Math"/>
                      <w:color w:val="000000" w:themeColor="text1"/>
                    </w:rPr>
                    <m:t>R</m:t>
                  </m:r>
                </m:e>
              </m:bar>
            </m:oMath>
            <w:r w:rsidRPr="00374785">
              <w:rPr>
                <w:color w:val="000000" w:themeColor="text1"/>
              </w:rPr>
              <w:t xml:space="preserve">) for plots within the </w:t>
            </w:r>
            <m:oMath>
              <m:r>
                <w:rPr>
                  <w:rFonts w:ascii="Cambria Math" w:hAnsi="Cambria Math"/>
                  <w:color w:val="000000" w:themeColor="text1"/>
                </w:rPr>
                <m:t>i</m:t>
              </m:r>
            </m:oMath>
            <w:r w:rsidRPr="00374785">
              <w:rPr>
                <w:color w:val="000000" w:themeColor="text1"/>
                <w:vertAlign w:val="superscript"/>
              </w:rPr>
              <w:t>th</w:t>
            </w:r>
            <w:r w:rsidRPr="00374785">
              <w:rPr>
                <w:color w:val="000000" w:themeColor="text1"/>
              </w:rPr>
              <w:t xml:space="preserve"> carbon estimation area.</w:t>
            </w:r>
          </w:p>
        </w:tc>
      </w:tr>
      <w:tr w:rsidR="00F94614" w:rsidRPr="00374785" w:rsidTr="00F94614">
        <w:tc>
          <w:tcPr>
            <w:tcW w:w="1696" w:type="dxa"/>
            <w:vAlign w:val="center"/>
          </w:tcPr>
          <w:p w:rsidR="00F94614" w:rsidRPr="00374785" w:rsidRDefault="0020376C" w:rsidP="00F94614">
            <w:pPr>
              <w:pStyle w:val="tMain"/>
              <w:ind w:left="0" w:firstLine="0"/>
              <w:jc w:val="right"/>
              <w:rPr>
                <w:color w:val="000000" w:themeColor="text1"/>
              </w:rPr>
            </w:pPr>
            <m:oMath>
              <m:sSub>
                <m:sSubPr>
                  <m:ctrlPr>
                    <w:rPr>
                      <w:rFonts w:ascii="Cambria Math" w:hAnsi="Cambria Math"/>
                      <w:i/>
                      <w:color w:val="000000" w:themeColor="text1"/>
                    </w:rPr>
                  </m:ctrlPr>
                </m:sSubPr>
                <m:e>
                  <m:r>
                    <w:rPr>
                      <w:rFonts w:ascii="Cambria Math" w:eastAsiaTheme="minorEastAsia" w:hAnsi="Cambria Math"/>
                      <w:color w:val="000000"/>
                    </w:rPr>
                    <m:t>M</m:t>
                  </m:r>
                </m:e>
                <m:sub>
                  <m:r>
                    <w:rPr>
                      <w:rFonts w:ascii="Cambria Math" w:hAnsi="Cambria Math"/>
                      <w:color w:val="000000" w:themeColor="text1"/>
                    </w:rPr>
                    <m:t>i</m:t>
                  </m:r>
                </m:sub>
              </m:sSub>
            </m:oMath>
            <w:r w:rsidR="00F94614" w:rsidRPr="00374785">
              <w:rPr>
                <w:color w:val="000000" w:themeColor="text1"/>
              </w:rPr>
              <w:t xml:space="preserve"> </w:t>
            </w:r>
            <m:oMath>
              <m:r>
                <w:rPr>
                  <w:rFonts w:ascii="Cambria Math" w:hAnsi="Cambria Math"/>
                  <w:color w:val="000000" w:themeColor="text1"/>
                </w:rPr>
                <m:t>=</m:t>
              </m:r>
            </m:oMath>
          </w:p>
        </w:tc>
        <w:tc>
          <w:tcPr>
            <w:tcW w:w="6582" w:type="dxa"/>
          </w:tcPr>
          <w:p w:rsidR="00F94614" w:rsidRPr="00374785" w:rsidRDefault="00904D50" w:rsidP="00DF5CFD">
            <w:pPr>
              <w:pStyle w:val="tMain"/>
              <w:ind w:left="0" w:firstLine="0"/>
              <w:rPr>
                <w:color w:val="000000" w:themeColor="text1"/>
              </w:rPr>
            </w:pPr>
            <w:r w:rsidRPr="00374785">
              <w:rPr>
                <w:color w:val="000000" w:themeColor="text1"/>
              </w:rPr>
              <w:t xml:space="preserve">total number of plots in the </w:t>
            </w:r>
            <w:r w:rsidRPr="00374785">
              <w:rPr>
                <w:i/>
              </w:rPr>
              <w:t>i</w:t>
            </w:r>
            <w:r w:rsidRPr="00374785">
              <w:rPr>
                <w:vertAlign w:val="superscript"/>
              </w:rPr>
              <w:t>th</w:t>
            </w:r>
            <w:r w:rsidRPr="00374785">
              <w:rPr>
                <w:color w:val="000000" w:themeColor="text1"/>
              </w:rPr>
              <w:t xml:space="preserve"> carbon estimation area</w:t>
            </w:r>
            <w:r w:rsidR="00F94614" w:rsidRPr="00374785">
              <w:rPr>
                <w:color w:val="000000" w:themeColor="text1"/>
              </w:rPr>
              <w:t>.</w:t>
            </w:r>
          </w:p>
        </w:tc>
      </w:tr>
      <w:tr w:rsidR="008B7F4F" w:rsidRPr="00374785" w:rsidTr="008B7F4F">
        <w:tc>
          <w:tcPr>
            <w:tcW w:w="1696" w:type="dxa"/>
            <w:vAlign w:val="center"/>
          </w:tcPr>
          <w:p w:rsidR="008B7F4F" w:rsidRPr="00374785" w:rsidRDefault="008B7F4F" w:rsidP="008B7F4F">
            <w:pPr>
              <w:pStyle w:val="tMain"/>
              <w:ind w:left="0" w:firstLine="0"/>
              <w:jc w:val="right"/>
              <w:rPr>
                <w:iCs/>
                <w:color w:val="000000"/>
              </w:rPr>
            </w:pPr>
            <w:r w:rsidRPr="00374785">
              <w:rPr>
                <w:i/>
              </w:rPr>
              <w:t>i =</w:t>
            </w:r>
          </w:p>
        </w:tc>
        <w:tc>
          <w:tcPr>
            <w:tcW w:w="6582" w:type="dxa"/>
          </w:tcPr>
          <w:p w:rsidR="008B7F4F" w:rsidRPr="00374785" w:rsidRDefault="008B7F4F" w:rsidP="008B7F4F">
            <w:pPr>
              <w:pStyle w:val="tMain"/>
              <w:ind w:left="0" w:firstLine="0"/>
              <w:rPr>
                <w:color w:val="000000" w:themeColor="text1"/>
              </w:rPr>
            </w:pPr>
            <w:r w:rsidRPr="00374785">
              <w:rPr>
                <w:i/>
              </w:rPr>
              <w:t>i</w:t>
            </w:r>
            <w:r w:rsidRPr="00374785">
              <w:rPr>
                <w:vertAlign w:val="superscript"/>
              </w:rPr>
              <w:t>th</w:t>
            </w:r>
            <w:r w:rsidRPr="00374785">
              <w:rPr>
                <w:i/>
                <w:vertAlign w:val="superscript"/>
              </w:rPr>
              <w:t xml:space="preserve"> </w:t>
            </w:r>
            <w:r w:rsidRPr="00374785">
              <w:t>carbon estimation area.</w:t>
            </w:r>
          </w:p>
        </w:tc>
      </w:tr>
    </w:tbl>
    <w:p w:rsidR="00D10A56" w:rsidRPr="00374785" w:rsidRDefault="0069088C" w:rsidP="0069088C">
      <w:pPr>
        <w:pStyle w:val="tMain"/>
      </w:pPr>
      <w:r w:rsidRPr="00374785">
        <w:tab/>
      </w:r>
      <w:r w:rsidR="007F3C0F">
        <w:t>(2)</w:t>
      </w:r>
      <w:r w:rsidRPr="00374785">
        <w:tab/>
      </w:r>
      <w:r w:rsidR="00D10A56" w:rsidRPr="00374785">
        <w:t xml:space="preserve">The </w:t>
      </w:r>
      <w:r w:rsidR="003D3233" w:rsidRPr="00374785">
        <w:t xml:space="preserve">standard deviation </w:t>
      </w:r>
      <w:r w:rsidR="0096299B" w:rsidRPr="00374785">
        <w:t xml:space="preserve">of the average tree proportion for plots within the carbon estimation area </w:t>
      </w:r>
      <w:r w:rsidR="003D3233" w:rsidRPr="00374785">
        <w:t xml:space="preserve">must be calculated using the formula for sample standard deviation </w:t>
      </w:r>
      <w:r w:rsidR="00FB2F5A" w:rsidRPr="00374785">
        <w:t xml:space="preserve">using Equation 8a </w:t>
      </w:r>
      <w:r w:rsidR="003D3233" w:rsidRPr="00374785">
        <w:t>as follows</w:t>
      </w:r>
      <w:r w:rsidRPr="00374785">
        <w:t>:</w:t>
      </w:r>
    </w:p>
    <w:tbl>
      <w:tblPr>
        <w:tblStyle w:val="TableGrid"/>
        <w:tblW w:w="0" w:type="auto"/>
        <w:tblInd w:w="964" w:type="dxa"/>
        <w:tblLook w:val="04A0"/>
      </w:tblPr>
      <w:tblGrid>
        <w:gridCol w:w="6657"/>
        <w:gridCol w:w="1621"/>
      </w:tblGrid>
      <w:tr w:rsidR="00B671D2" w:rsidRPr="00374785" w:rsidTr="00B671D2">
        <w:trPr>
          <w:trHeight w:val="2043"/>
        </w:trPr>
        <w:tc>
          <w:tcPr>
            <w:tcW w:w="6657" w:type="dxa"/>
            <w:vAlign w:val="center"/>
          </w:tcPr>
          <w:p w:rsidR="00B671D2" w:rsidRPr="00374785" w:rsidRDefault="0020376C" w:rsidP="00B671D2">
            <w:pPr>
              <w:jc w:val="center"/>
            </w:pPr>
            <m:oMathPara>
              <m:oMath>
                <m:sSub>
                  <m:sSubPr>
                    <m:ctrlPr>
                      <w:rPr>
                        <w:rFonts w:ascii="Cambria Math" w:hAnsi="Cambria Math"/>
                        <w:color w:val="000000"/>
                      </w:rPr>
                    </m:ctrlPr>
                  </m:sSubPr>
                  <m:e>
                    <m:r>
                      <m:rPr>
                        <m:sty m:val="p"/>
                      </m:rPr>
                      <w:rPr>
                        <w:rFonts w:ascii="Cambria Math" w:hAnsi="Cambria Math"/>
                        <w:color w:val="000000"/>
                      </w:rPr>
                      <m:t>σ</m:t>
                    </m:r>
                  </m:e>
                  <m:sub>
                    <m:bar>
                      <m:barPr>
                        <m:pos m:val="top"/>
                        <m:ctrlPr>
                          <w:rPr>
                            <w:rFonts w:ascii="Cambria Math" w:hAnsi="Cambria Math"/>
                            <w:i/>
                            <w:color w:val="000000" w:themeColor="text1"/>
                          </w:rPr>
                        </m:ctrlPr>
                      </m:barPr>
                      <m:e>
                        <m:r>
                          <w:rPr>
                            <w:rFonts w:ascii="Cambria Math" w:hAnsi="Cambria Math"/>
                            <w:color w:val="000000" w:themeColor="text1"/>
                          </w:rPr>
                          <m:t>R</m:t>
                        </m:r>
                      </m:e>
                    </m:bar>
                    <m:r>
                      <w:rPr>
                        <w:rFonts w:ascii="Cambria Math" w:hAnsi="Cambria Math"/>
                        <w:color w:val="000000"/>
                      </w:rPr>
                      <m:t>i</m:t>
                    </m:r>
                  </m:sub>
                </m:sSub>
                <m:r>
                  <m:rPr>
                    <m:sty m:val="p"/>
                  </m:rPr>
                  <w:rPr>
                    <w:rFonts w:ascii="Cambria Math" w:hAnsi="Cambria Math" w:cs="Cambria Math"/>
                  </w:rPr>
                  <m:t>=</m:t>
                </m:r>
                <m:rad>
                  <m:radPr>
                    <m:degHide m:val="on"/>
                    <m:ctrlPr>
                      <w:rPr>
                        <w:rFonts w:ascii="Cambria Math" w:hAnsi="Cambria Math"/>
                      </w:rPr>
                    </m:ctrlPr>
                  </m:radPr>
                  <m:deg/>
                  <m:e>
                    <m:f>
                      <m:fPr>
                        <m:ctrlPr>
                          <w:rPr>
                            <w:rFonts w:ascii="Cambria Math" w:hAnsi="Cambria Math"/>
                          </w:rPr>
                        </m:ctrlPr>
                      </m:fPr>
                      <m:num>
                        <m:r>
                          <m:rPr>
                            <m:sty m:val="p"/>
                          </m:rPr>
                          <w:rPr>
                            <w:rFonts w:ascii="Cambria Math" w:hAnsi="Cambria Math" w:cs="Cambria Math"/>
                          </w:rPr>
                          <m:t>1</m:t>
                        </m:r>
                      </m:num>
                      <m:den>
                        <m:sSub>
                          <m:sSubPr>
                            <m:ctrlPr>
                              <w:rPr>
                                <w:rFonts w:ascii="Cambria Math" w:hAnsi="Cambria Math"/>
                                <w:i/>
                                <w:color w:val="000000" w:themeColor="text1"/>
                              </w:rPr>
                            </m:ctrlPr>
                          </m:sSubPr>
                          <m:e>
                            <m:r>
                              <w:rPr>
                                <w:rFonts w:ascii="Cambria Math" w:eastAsiaTheme="minorEastAsia" w:hAnsi="Cambria Math"/>
                                <w:color w:val="000000"/>
                              </w:rPr>
                              <m:t>M</m:t>
                            </m:r>
                          </m:e>
                          <m:sub>
                            <m:r>
                              <w:rPr>
                                <w:rFonts w:ascii="Cambria Math" w:hAnsi="Cambria Math"/>
                                <w:color w:val="000000" w:themeColor="text1"/>
                              </w:rPr>
                              <m:t>i</m:t>
                            </m:r>
                          </m:sub>
                        </m:sSub>
                        <m:r>
                          <w:rPr>
                            <w:rFonts w:ascii="Cambria Math" w:hAnsi="Cambria Math"/>
                            <w:color w:val="000000" w:themeColor="text1"/>
                          </w:rPr>
                          <m:t>-1</m:t>
                        </m:r>
                      </m:den>
                    </m:f>
                    <m:nary>
                      <m:naryPr>
                        <m:chr m:val="∑"/>
                        <m:limLoc m:val="undOvr"/>
                        <m:ctrlPr>
                          <w:rPr>
                            <w:rFonts w:ascii="Cambria Math" w:eastAsiaTheme="minorHAnsi" w:hAnsi="Cambria Math" w:cs="Cambria Math"/>
                            <w:i/>
                            <w:sz w:val="22"/>
                            <w:szCs w:val="22"/>
                            <w:lang w:eastAsia="en-US"/>
                          </w:rPr>
                        </m:ctrlPr>
                      </m:naryPr>
                      <m:sub>
                        <m:r>
                          <w:rPr>
                            <w:rFonts w:ascii="Cambria Math" w:hAnsi="Cambria Math" w:cs="Cambria Math"/>
                          </w:rPr>
                          <m:t>i=1</m:t>
                        </m:r>
                      </m:sub>
                      <m:sup>
                        <m:sSub>
                          <m:sSubPr>
                            <m:ctrlPr>
                              <w:rPr>
                                <w:rFonts w:ascii="Cambria Math" w:hAnsi="Cambria Math"/>
                                <w:i/>
                                <w:color w:val="000000" w:themeColor="text1"/>
                              </w:rPr>
                            </m:ctrlPr>
                          </m:sSubPr>
                          <m:e>
                            <m:r>
                              <w:rPr>
                                <w:rFonts w:ascii="Cambria Math" w:eastAsiaTheme="minorEastAsia" w:hAnsi="Cambria Math"/>
                                <w:color w:val="000000"/>
                              </w:rPr>
                              <m:t>M</m:t>
                            </m:r>
                          </m:e>
                          <m:sub>
                            <m:r>
                              <w:rPr>
                                <w:rFonts w:ascii="Cambria Math" w:hAnsi="Cambria Math"/>
                                <w:color w:val="000000" w:themeColor="text1"/>
                              </w:rPr>
                              <m:t>i</m:t>
                            </m:r>
                          </m:sub>
                        </m:sSub>
                      </m:sup>
                      <m:e>
                        <m:sSup>
                          <m:sSupPr>
                            <m:ctrlPr>
                              <w:rPr>
                                <w:rFonts w:ascii="Cambria Math" w:eastAsiaTheme="minorHAnsi" w:hAnsi="Cambria Math" w:cs="Cambria Math"/>
                                <w:i/>
                                <w:sz w:val="22"/>
                                <w:szCs w:val="22"/>
                                <w:lang w:eastAsia="en-US"/>
                              </w:rPr>
                            </m:ctrlPr>
                          </m:sSupPr>
                          <m:e>
                            <m:r>
                              <w:rPr>
                                <w:rFonts w:ascii="Cambria Math" w:hAnsi="Cambria Math" w:cs="Cambria Math"/>
                              </w:rPr>
                              <m:t>(</m:t>
                            </m:r>
                            <m:sSub>
                              <m:sSubPr>
                                <m:ctrlPr>
                                  <w:rPr>
                                    <w:rFonts w:ascii="Cambria Math" w:hAnsi="Cambria Math" w:cs="Calibri"/>
                                    <w:i/>
                                    <w:color w:val="000000" w:themeColor="text1"/>
                                    <w:lang w:eastAsia="en-US"/>
                                  </w:rPr>
                                </m:ctrlPr>
                              </m:sSubPr>
                              <m:e>
                                <m:r>
                                  <w:rPr>
                                    <w:rFonts w:ascii="Cambria Math" w:hAnsi="Cambria Math" w:cs="Calibri"/>
                                    <w:color w:val="000000" w:themeColor="text1"/>
                                    <w:lang w:eastAsia="en-US"/>
                                  </w:rPr>
                                  <m:t>R</m:t>
                                </m:r>
                              </m:e>
                              <m:sub>
                                <m:r>
                                  <w:rPr>
                                    <w:rFonts w:ascii="Cambria Math" w:hAnsi="Cambria Math" w:cs="Calibri"/>
                                    <w:color w:val="000000" w:themeColor="text1"/>
                                    <w:lang w:eastAsia="en-US"/>
                                  </w:rPr>
                                  <m:t>ij</m:t>
                                </m:r>
                              </m:sub>
                            </m:sSub>
                            <m:r>
                              <w:rPr>
                                <w:rFonts w:ascii="Cambria Math" w:hAnsi="Cambria Math" w:cs="Cambria Math"/>
                              </w:rPr>
                              <m:t>-</m:t>
                            </m:r>
                            <m:sSub>
                              <m:sSubPr>
                                <m:ctrlPr>
                                  <w:rPr>
                                    <w:rFonts w:ascii="Cambria Math" w:hAnsi="Cambria Math" w:cs="Cambria Math"/>
                                    <w:i/>
                                  </w:rPr>
                                </m:ctrlPr>
                              </m:sSubPr>
                              <m:e>
                                <m:r>
                                  <w:rPr>
                                    <w:rFonts w:ascii="Cambria Math" w:hAnsi="Cambria Math" w:cs="Cambria Math"/>
                                  </w:rPr>
                                  <m:t>μ</m:t>
                                </m:r>
                              </m:e>
                              <m:sub>
                                <m:r>
                                  <w:rPr>
                                    <w:rFonts w:ascii="Cambria Math" w:hAnsi="Cambria Math" w:cs="Cambria Math"/>
                                  </w:rPr>
                                  <m:t>R</m:t>
                                </m:r>
                              </m:sub>
                            </m:sSub>
                            <m:r>
                              <w:rPr>
                                <w:rFonts w:ascii="Cambria Math" w:hAnsi="Cambria Math" w:cs="Cambria Math"/>
                              </w:rPr>
                              <m:t>)</m:t>
                            </m:r>
                          </m:e>
                          <m:sup>
                            <m:r>
                              <w:rPr>
                                <w:rFonts w:ascii="Cambria Math" w:hAnsi="Cambria Math" w:cs="Cambria Math"/>
                              </w:rPr>
                              <m:t>2</m:t>
                            </m:r>
                          </m:sup>
                        </m:sSup>
                      </m:e>
                    </m:nary>
                    <m:r>
                      <w:rPr>
                        <w:rFonts w:ascii="Cambria Math" w:hAnsi="Cambria Math" w:cs="Cambria Math"/>
                      </w:rPr>
                      <m:t xml:space="preserve"> </m:t>
                    </m:r>
                  </m:e>
                </m:rad>
                <m:r>
                  <m:rPr>
                    <m:sty m:val="p"/>
                  </m:rPr>
                  <w:rPr>
                    <w:rFonts w:ascii="Cambria Math" w:hAnsi="Cambria Math"/>
                  </w:rPr>
                  <m:t xml:space="preserve">          </m:t>
                </m:r>
                <m:r>
                  <m:rPr>
                    <m:sty m:val="p"/>
                  </m:rPr>
                  <w:rPr>
                    <w:rFonts w:ascii="Cambria Math" w:hAnsi="Cambria Math" w:cs="Cambria Math"/>
                  </w:rPr>
                  <m:t>where</m:t>
                </m:r>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μ</m:t>
                    </m:r>
                  </m:e>
                  <m:sub>
                    <m:r>
                      <w:rPr>
                        <w:rFonts w:ascii="Cambria Math" w:hAnsi="Cambria Math" w:cs="Cambria Math"/>
                      </w:rPr>
                      <m:t>R</m:t>
                    </m:r>
                  </m:sub>
                </m:sSub>
                <m:r>
                  <w:rPr>
                    <w:rFonts w:ascii="Cambria Math" w:hAnsi="Cambria Math" w:cs="Cambria Math"/>
                  </w:rPr>
                  <m:t>=</m:t>
                </m:r>
                <m:f>
                  <m:fPr>
                    <m:ctrlPr>
                      <w:rPr>
                        <w:rFonts w:ascii="Cambria Math" w:hAnsi="Cambria Math"/>
                      </w:rPr>
                    </m:ctrlPr>
                  </m:fPr>
                  <m:num>
                    <m:r>
                      <m:rPr>
                        <m:sty m:val="p"/>
                      </m:rPr>
                      <w:rPr>
                        <w:rFonts w:ascii="Cambria Math" w:hAnsi="Cambria Math" w:cs="Cambria Math"/>
                      </w:rPr>
                      <m:t>1</m:t>
                    </m:r>
                  </m:num>
                  <m:den>
                    <m:sSub>
                      <m:sSubPr>
                        <m:ctrlPr>
                          <w:rPr>
                            <w:rFonts w:ascii="Cambria Math" w:hAnsi="Cambria Math"/>
                            <w:i/>
                            <w:color w:val="000000" w:themeColor="text1"/>
                          </w:rPr>
                        </m:ctrlPr>
                      </m:sSubPr>
                      <m:e>
                        <m:r>
                          <w:rPr>
                            <w:rFonts w:ascii="Cambria Math" w:eastAsiaTheme="minorEastAsia" w:hAnsi="Cambria Math"/>
                            <w:color w:val="000000"/>
                          </w:rPr>
                          <m:t>M</m:t>
                        </m:r>
                      </m:e>
                      <m:sub>
                        <m:r>
                          <w:rPr>
                            <w:rFonts w:ascii="Cambria Math" w:hAnsi="Cambria Math"/>
                            <w:color w:val="000000" w:themeColor="text1"/>
                          </w:rPr>
                          <m:t>i</m:t>
                        </m:r>
                      </m:sub>
                    </m:sSub>
                    <m:r>
                      <w:rPr>
                        <w:rFonts w:ascii="Cambria Math" w:hAnsi="Cambria Math"/>
                        <w:color w:val="000000" w:themeColor="text1"/>
                      </w:rPr>
                      <m:t>-1</m:t>
                    </m:r>
                  </m:den>
                </m:f>
                <m:nary>
                  <m:naryPr>
                    <m:chr m:val="∑"/>
                    <m:limLoc m:val="undOvr"/>
                    <m:ctrlPr>
                      <w:rPr>
                        <w:rFonts w:ascii="Cambria Math" w:eastAsiaTheme="minorHAnsi" w:hAnsi="Cambria Math" w:cs="Cambria Math"/>
                        <w:i/>
                        <w:sz w:val="22"/>
                        <w:szCs w:val="22"/>
                        <w:lang w:eastAsia="en-US"/>
                      </w:rPr>
                    </m:ctrlPr>
                  </m:naryPr>
                  <m:sub>
                    <m:r>
                      <w:rPr>
                        <w:rFonts w:ascii="Cambria Math" w:hAnsi="Cambria Math" w:cs="Cambria Math"/>
                      </w:rPr>
                      <m:t>i=1</m:t>
                    </m:r>
                  </m:sub>
                  <m:sup>
                    <m:sSub>
                      <m:sSubPr>
                        <m:ctrlPr>
                          <w:rPr>
                            <w:rFonts w:ascii="Cambria Math" w:hAnsi="Cambria Math"/>
                            <w:i/>
                            <w:color w:val="000000" w:themeColor="text1"/>
                          </w:rPr>
                        </m:ctrlPr>
                      </m:sSubPr>
                      <m:e>
                        <m:r>
                          <w:rPr>
                            <w:rFonts w:ascii="Cambria Math" w:eastAsiaTheme="minorEastAsia" w:hAnsi="Cambria Math"/>
                            <w:color w:val="000000"/>
                          </w:rPr>
                          <m:t>M</m:t>
                        </m:r>
                      </m:e>
                      <m:sub>
                        <m:r>
                          <w:rPr>
                            <w:rFonts w:ascii="Cambria Math" w:hAnsi="Cambria Math"/>
                            <w:color w:val="000000" w:themeColor="text1"/>
                          </w:rPr>
                          <m:t>i</m:t>
                        </m:r>
                      </m:sub>
                    </m:sSub>
                  </m:sup>
                  <m:e>
                    <m:sSub>
                      <m:sSubPr>
                        <m:ctrlPr>
                          <w:rPr>
                            <w:rFonts w:ascii="Cambria Math" w:hAnsi="Cambria Math" w:cs="Calibri"/>
                            <w:i/>
                            <w:color w:val="000000" w:themeColor="text1"/>
                            <w:lang w:eastAsia="en-US"/>
                          </w:rPr>
                        </m:ctrlPr>
                      </m:sSubPr>
                      <m:e>
                        <m:r>
                          <w:rPr>
                            <w:rFonts w:ascii="Cambria Math" w:hAnsi="Cambria Math" w:cs="Calibri"/>
                            <w:color w:val="000000" w:themeColor="text1"/>
                            <w:lang w:eastAsia="en-US"/>
                          </w:rPr>
                          <m:t>R</m:t>
                        </m:r>
                      </m:e>
                      <m:sub>
                        <m:r>
                          <w:rPr>
                            <w:rFonts w:ascii="Cambria Math" w:hAnsi="Cambria Math" w:cs="Calibri"/>
                            <w:color w:val="000000" w:themeColor="text1"/>
                            <w:lang w:eastAsia="en-US"/>
                          </w:rPr>
                          <m:t>ij</m:t>
                        </m:r>
                      </m:sub>
                    </m:sSub>
                  </m:e>
                </m:nary>
              </m:oMath>
            </m:oMathPara>
          </w:p>
          <w:p w:rsidR="00B671D2" w:rsidRPr="00374785" w:rsidRDefault="00B671D2" w:rsidP="00B671D2">
            <w:pPr>
              <w:pStyle w:val="tMain"/>
              <w:spacing w:before="100" w:line="360" w:lineRule="auto"/>
              <w:ind w:left="0" w:firstLine="0"/>
              <w:jc w:val="center"/>
              <w:rPr>
                <w:color w:val="76923C" w:themeColor="accent3" w:themeShade="BF"/>
              </w:rPr>
            </w:pPr>
          </w:p>
        </w:tc>
        <w:tc>
          <w:tcPr>
            <w:tcW w:w="1621" w:type="dxa"/>
            <w:vAlign w:val="center"/>
          </w:tcPr>
          <w:p w:rsidR="00B671D2" w:rsidRPr="00374785" w:rsidRDefault="00B671D2" w:rsidP="00B671D2">
            <w:pPr>
              <w:pStyle w:val="tMain"/>
              <w:ind w:left="0" w:firstLine="0"/>
              <w:jc w:val="center"/>
              <w:rPr>
                <w:b/>
                <w:color w:val="000000" w:themeColor="text1"/>
              </w:rPr>
            </w:pPr>
            <w:r w:rsidRPr="00374785">
              <w:rPr>
                <w:b/>
                <w:color w:val="000000" w:themeColor="text1"/>
              </w:rPr>
              <w:t>Equation 8a</w:t>
            </w:r>
          </w:p>
        </w:tc>
      </w:tr>
    </w:tbl>
    <w:p w:rsidR="00B671D2" w:rsidRPr="00374785" w:rsidRDefault="00B671D2" w:rsidP="00B671D2">
      <w:pPr>
        <w:pStyle w:val="tMain"/>
      </w:pPr>
      <w:r w:rsidRPr="00374785">
        <w:t>Where:</w:t>
      </w:r>
    </w:p>
    <w:tbl>
      <w:tblPr>
        <w:tblStyle w:val="TableGrid"/>
        <w:tblW w:w="0" w:type="auto"/>
        <w:tblInd w:w="964" w:type="dxa"/>
        <w:tblLook w:val="04A0"/>
      </w:tblPr>
      <w:tblGrid>
        <w:gridCol w:w="1696"/>
        <w:gridCol w:w="6582"/>
      </w:tblGrid>
      <w:tr w:rsidR="00B671D2" w:rsidRPr="00374785" w:rsidTr="00B671D2">
        <w:tc>
          <w:tcPr>
            <w:tcW w:w="1696" w:type="dxa"/>
            <w:vAlign w:val="center"/>
          </w:tcPr>
          <w:p w:rsidR="00B671D2" w:rsidRPr="00374785" w:rsidRDefault="0020376C" w:rsidP="00B671D2">
            <w:pPr>
              <w:pStyle w:val="tMain"/>
              <w:ind w:left="0" w:firstLine="0"/>
              <w:jc w:val="right"/>
              <w:rPr>
                <w:color w:val="000000" w:themeColor="text1"/>
              </w:rPr>
            </w:pPr>
            <m:oMathPara>
              <m:oMathParaPr>
                <m:jc m:val="right"/>
              </m:oMathParaPr>
              <m:oMath>
                <m:sSub>
                  <m:sSubPr>
                    <m:ctrlPr>
                      <w:rPr>
                        <w:rFonts w:ascii="Cambria Math" w:hAnsi="Cambria Math"/>
                        <w:color w:val="000000"/>
                      </w:rPr>
                    </m:ctrlPr>
                  </m:sSubPr>
                  <m:e>
                    <m:r>
                      <m:rPr>
                        <m:sty m:val="p"/>
                      </m:rPr>
                      <w:rPr>
                        <w:rFonts w:ascii="Cambria Math" w:hAnsi="Cambria Math"/>
                        <w:color w:val="000000"/>
                      </w:rPr>
                      <m:t>σ</m:t>
                    </m:r>
                  </m:e>
                  <m:sub>
                    <m:bar>
                      <m:barPr>
                        <m:pos m:val="top"/>
                        <m:ctrlPr>
                          <w:rPr>
                            <w:rFonts w:ascii="Cambria Math" w:hAnsi="Cambria Math"/>
                            <w:i/>
                            <w:color w:val="000000" w:themeColor="text1"/>
                          </w:rPr>
                        </m:ctrlPr>
                      </m:barPr>
                      <m:e>
                        <m:r>
                          <w:rPr>
                            <w:rFonts w:ascii="Cambria Math" w:hAnsi="Cambria Math"/>
                            <w:color w:val="000000" w:themeColor="text1"/>
                          </w:rPr>
                          <m:t>R</m:t>
                        </m:r>
                      </m:e>
                    </m:bar>
                    <m:r>
                      <w:rPr>
                        <w:rFonts w:ascii="Cambria Math" w:hAnsi="Cambria Math"/>
                        <w:color w:val="000000"/>
                      </w:rPr>
                      <m:t>i</m:t>
                    </m:r>
                  </m:sub>
                </m:sSub>
                <m:r>
                  <m:rPr>
                    <m:sty m:val="bi"/>
                  </m:rPr>
                  <w:rPr>
                    <w:rFonts w:ascii="Cambria Math" w:hAnsi="Cambria Math" w:cs="Calibri"/>
                    <w:color w:val="000000" w:themeColor="text1"/>
                    <w:lang w:eastAsia="en-US"/>
                  </w:rPr>
                  <m:t>=</m:t>
                </m:r>
              </m:oMath>
            </m:oMathPara>
          </w:p>
        </w:tc>
        <w:tc>
          <w:tcPr>
            <w:tcW w:w="6582" w:type="dxa"/>
          </w:tcPr>
          <w:p w:rsidR="00B671D2" w:rsidRPr="00374785" w:rsidRDefault="00B671D2" w:rsidP="00B671D2">
            <w:pPr>
              <w:pStyle w:val="tMain"/>
              <w:ind w:left="0" w:firstLine="0"/>
              <w:rPr>
                <w:color w:val="000000" w:themeColor="text1"/>
              </w:rPr>
            </w:pPr>
            <w:r w:rsidRPr="00374785">
              <w:rPr>
                <w:color w:val="000000" w:themeColor="text1"/>
              </w:rPr>
              <w:t>standard deviation of average tree proportion (</w:t>
            </w:r>
            <m:oMath>
              <m:acc>
                <m:accPr>
                  <m:chr m:val="̅"/>
                  <m:ctrlPr>
                    <w:rPr>
                      <w:rFonts w:ascii="Cambria Math" w:hAnsi="Cambria Math" w:cs="Calibri"/>
                      <w:b/>
                      <w:i/>
                      <w:color w:val="000000" w:themeColor="text1"/>
                      <w:lang w:eastAsia="en-US"/>
                    </w:rPr>
                  </m:ctrlPr>
                </m:accPr>
                <m:e>
                  <m:sSub>
                    <m:sSubPr>
                      <m:ctrlPr>
                        <w:rPr>
                          <w:rFonts w:ascii="Cambria Math" w:hAnsi="Cambria Math" w:cs="Calibri"/>
                          <w:i/>
                          <w:color w:val="000000" w:themeColor="text1"/>
                          <w:lang w:eastAsia="en-US"/>
                        </w:rPr>
                      </m:ctrlPr>
                    </m:sSubPr>
                    <m:e>
                      <m:r>
                        <w:rPr>
                          <w:rFonts w:ascii="Cambria Math" w:hAnsi="Cambria Math" w:cs="Calibri"/>
                          <w:color w:val="000000" w:themeColor="text1"/>
                          <w:lang w:eastAsia="en-US"/>
                        </w:rPr>
                        <m:t>R</m:t>
                      </m:r>
                    </m:e>
                    <m:sub>
                      <m:r>
                        <w:rPr>
                          <w:rFonts w:ascii="Cambria Math" w:hAnsi="Cambria Math" w:cs="Calibri"/>
                          <w:color w:val="000000" w:themeColor="text1"/>
                          <w:lang w:eastAsia="en-US"/>
                        </w:rPr>
                        <m:t>i</m:t>
                      </m:r>
                    </m:sub>
                  </m:sSub>
                </m:e>
              </m:acc>
            </m:oMath>
            <w:r w:rsidRPr="00374785">
              <w:rPr>
                <w:color w:val="000000" w:themeColor="text1"/>
              </w:rPr>
              <w:t xml:space="preserve">) for plots within the </w:t>
            </w:r>
            <m:oMath>
              <m:r>
                <w:rPr>
                  <w:rFonts w:ascii="Cambria Math" w:hAnsi="Cambria Math"/>
                  <w:color w:val="000000" w:themeColor="text1"/>
                </w:rPr>
                <m:t>i</m:t>
              </m:r>
            </m:oMath>
            <w:r w:rsidRPr="00374785">
              <w:rPr>
                <w:color w:val="000000" w:themeColor="text1"/>
                <w:vertAlign w:val="superscript"/>
              </w:rPr>
              <w:t>th</w:t>
            </w:r>
            <w:r w:rsidRPr="00374785">
              <w:rPr>
                <w:color w:val="000000" w:themeColor="text1"/>
              </w:rPr>
              <w:t xml:space="preserve"> carbon estimation area.</w:t>
            </w:r>
          </w:p>
        </w:tc>
      </w:tr>
      <w:tr w:rsidR="009820B5" w:rsidRPr="00374785" w:rsidTr="00B671D2">
        <w:tc>
          <w:tcPr>
            <w:tcW w:w="1696" w:type="dxa"/>
            <w:vAlign w:val="center"/>
          </w:tcPr>
          <w:p w:rsidR="009820B5" w:rsidRPr="00374785" w:rsidRDefault="0020376C" w:rsidP="00B671D2">
            <w:pPr>
              <w:pStyle w:val="tMain"/>
              <w:ind w:left="0" w:firstLine="0"/>
              <w:jc w:val="right"/>
              <w:rPr>
                <w:color w:val="000000" w:themeColor="text1"/>
              </w:rPr>
            </w:pPr>
            <m:oMathPara>
              <m:oMathParaPr>
                <m:jc m:val="right"/>
              </m:oMathParaPr>
              <m:oMath>
                <m:sSub>
                  <m:sSubPr>
                    <m:ctrlPr>
                      <w:rPr>
                        <w:rFonts w:ascii="Cambria Math" w:hAnsi="Cambria Math" w:cs="Cambria Math"/>
                        <w:i/>
                      </w:rPr>
                    </m:ctrlPr>
                  </m:sSubPr>
                  <m:e>
                    <m:r>
                      <w:rPr>
                        <w:rFonts w:ascii="Cambria Math" w:hAnsi="Cambria Math" w:cs="Cambria Math"/>
                      </w:rPr>
                      <m:t>μ</m:t>
                    </m:r>
                  </m:e>
                  <m:sub>
                    <m:r>
                      <w:rPr>
                        <w:rFonts w:ascii="Cambria Math" w:hAnsi="Cambria Math" w:cs="Cambria Math"/>
                      </w:rPr>
                      <m:t>R</m:t>
                    </m:r>
                  </m:sub>
                </m:sSub>
                <m:r>
                  <m:rPr>
                    <m:sty m:val="bi"/>
                  </m:rPr>
                  <w:rPr>
                    <w:rFonts w:ascii="Cambria Math" w:hAnsi="Cambria Math" w:cs="Calibri"/>
                    <w:color w:val="000000" w:themeColor="text1"/>
                    <w:lang w:eastAsia="en-US"/>
                  </w:rPr>
                  <m:t>=</m:t>
                </m:r>
              </m:oMath>
            </m:oMathPara>
          </w:p>
        </w:tc>
        <w:tc>
          <w:tcPr>
            <w:tcW w:w="6582" w:type="dxa"/>
          </w:tcPr>
          <w:p w:rsidR="009820B5" w:rsidRPr="00374785" w:rsidRDefault="009820B5" w:rsidP="009820B5">
            <w:pPr>
              <w:pStyle w:val="tMain"/>
              <w:ind w:left="0" w:firstLine="0"/>
              <w:rPr>
                <w:color w:val="000000" w:themeColor="text1"/>
              </w:rPr>
            </w:pPr>
            <w:r w:rsidRPr="00374785">
              <w:rPr>
                <w:color w:val="000000" w:themeColor="text1"/>
              </w:rPr>
              <w:t xml:space="preserve">average of the tree proportion </w:t>
            </w:r>
            <m:oMath>
              <m:sSub>
                <m:sSubPr>
                  <m:ctrlPr>
                    <w:rPr>
                      <w:rFonts w:ascii="Cambria Math" w:hAnsi="Cambria Math" w:cs="Calibri"/>
                      <w:i/>
                      <w:color w:val="000000" w:themeColor="text1"/>
                      <w:lang w:eastAsia="en-US"/>
                    </w:rPr>
                  </m:ctrlPr>
                </m:sSubPr>
                <m:e>
                  <m:r>
                    <w:rPr>
                      <w:rFonts w:ascii="Cambria Math" w:hAnsi="Cambria Math" w:cs="Calibri"/>
                      <w:color w:val="000000" w:themeColor="text1"/>
                      <w:lang w:eastAsia="en-US"/>
                    </w:rPr>
                    <m:t>R</m:t>
                  </m:r>
                </m:e>
                <m:sub>
                  <m:r>
                    <w:rPr>
                      <w:rFonts w:ascii="Cambria Math" w:hAnsi="Cambria Math" w:cs="Calibri"/>
                      <w:color w:val="000000" w:themeColor="text1"/>
                      <w:lang w:eastAsia="en-US"/>
                    </w:rPr>
                    <m:t>ij</m:t>
                  </m:r>
                </m:sub>
              </m:sSub>
              <m:r>
                <w:rPr>
                  <w:rFonts w:ascii="Cambria Math" w:hAnsi="Cambria Math" w:cs="Calibri"/>
                  <w:color w:val="000000" w:themeColor="text1"/>
                  <w:lang w:eastAsia="en-US"/>
                </w:rPr>
                <m:t xml:space="preserve"> </m:t>
              </m:r>
            </m:oMath>
            <w:r w:rsidRPr="00374785">
              <w:rPr>
                <w:color w:val="000000" w:themeColor="text1"/>
              </w:rPr>
              <w:t xml:space="preserve">for </w:t>
            </w:r>
            <w:r w:rsidRPr="00374785">
              <w:rPr>
                <w:i/>
                <w:color w:val="000000" w:themeColor="text1"/>
              </w:rPr>
              <w:t>j</w:t>
            </w:r>
            <w:r w:rsidRPr="00374785">
              <w:rPr>
                <w:color w:val="000000" w:themeColor="text1"/>
              </w:rPr>
              <w:t xml:space="preserve"> plots within the </w:t>
            </w:r>
            <w:r w:rsidRPr="00374785">
              <w:rPr>
                <w:i/>
                <w:color w:val="000000" w:themeColor="text1"/>
              </w:rPr>
              <w:t>i</w:t>
            </w:r>
            <w:r w:rsidRPr="00374785">
              <w:rPr>
                <w:color w:val="000000" w:themeColor="text1"/>
                <w:vertAlign w:val="superscript"/>
              </w:rPr>
              <w:t xml:space="preserve">th </w:t>
            </w:r>
            <w:r w:rsidRPr="00374785">
              <w:rPr>
                <w:color w:val="000000" w:themeColor="text1"/>
              </w:rPr>
              <w:t>carbon estimation area.</w:t>
            </w:r>
          </w:p>
        </w:tc>
      </w:tr>
      <w:tr w:rsidR="00BF05EE" w:rsidRPr="00374785" w:rsidTr="00BF05EE">
        <w:tc>
          <w:tcPr>
            <w:tcW w:w="1696" w:type="dxa"/>
            <w:vAlign w:val="center"/>
          </w:tcPr>
          <w:p w:rsidR="00BF05EE" w:rsidRPr="00374785" w:rsidRDefault="0020376C" w:rsidP="00BF05EE">
            <w:pPr>
              <w:pStyle w:val="tMain"/>
              <w:ind w:left="0" w:firstLine="0"/>
              <w:jc w:val="right"/>
              <w:rPr>
                <w:color w:val="000000" w:themeColor="text1"/>
              </w:rPr>
            </w:pPr>
            <m:oMathPara>
              <m:oMathParaPr>
                <m:jc m:val="right"/>
              </m:oMathParaPr>
              <m:oMath>
                <m:sSub>
                  <m:sSubPr>
                    <m:ctrlPr>
                      <w:rPr>
                        <w:rFonts w:ascii="Cambria Math" w:hAnsi="Cambria Math" w:cs="Calibri"/>
                        <w:i/>
                        <w:color w:val="000000" w:themeColor="text1"/>
                        <w:lang w:eastAsia="en-US"/>
                      </w:rPr>
                    </m:ctrlPr>
                  </m:sSubPr>
                  <m:e>
                    <m:r>
                      <w:rPr>
                        <w:rFonts w:ascii="Cambria Math" w:hAnsi="Cambria Math" w:cs="Calibri"/>
                        <w:color w:val="000000" w:themeColor="text1"/>
                        <w:lang w:eastAsia="en-US"/>
                      </w:rPr>
                      <m:t>R</m:t>
                    </m:r>
                  </m:e>
                  <m:sub>
                    <m:r>
                      <w:rPr>
                        <w:rFonts w:ascii="Cambria Math" w:hAnsi="Cambria Math" w:cs="Calibri"/>
                        <w:color w:val="000000" w:themeColor="text1"/>
                        <w:lang w:eastAsia="en-US"/>
                      </w:rPr>
                      <m:t>ij</m:t>
                    </m:r>
                  </m:sub>
                </m:sSub>
                <m:r>
                  <m:rPr>
                    <m:sty m:val="bi"/>
                  </m:rPr>
                  <w:rPr>
                    <w:rFonts w:ascii="Cambria Math" w:hAnsi="Cambria Math" w:cs="Calibri"/>
                    <w:color w:val="000000" w:themeColor="text1"/>
                    <w:lang w:eastAsia="en-US"/>
                  </w:rPr>
                  <m:t>=</m:t>
                </m:r>
              </m:oMath>
            </m:oMathPara>
          </w:p>
        </w:tc>
        <w:tc>
          <w:tcPr>
            <w:tcW w:w="6582" w:type="dxa"/>
          </w:tcPr>
          <w:p w:rsidR="00BF05EE" w:rsidRPr="00374785" w:rsidRDefault="00BF05EE" w:rsidP="00BF05EE">
            <w:pPr>
              <w:pStyle w:val="tMain"/>
              <w:ind w:left="0" w:firstLine="0"/>
              <w:rPr>
                <w:color w:val="000000" w:themeColor="text1"/>
              </w:rPr>
            </w:pPr>
            <w:proofErr w:type="gramStart"/>
            <w:r w:rsidRPr="00374785">
              <w:rPr>
                <w:color w:val="000000" w:themeColor="text1"/>
              </w:rPr>
              <w:t>proportion</w:t>
            </w:r>
            <w:proofErr w:type="gramEnd"/>
            <w:r w:rsidRPr="00374785">
              <w:rPr>
                <w:color w:val="000000" w:themeColor="text1"/>
              </w:rPr>
              <w:t xml:space="preserve"> of the planting consisting of trees in the </w:t>
            </w:r>
            <m:oMath>
              <m:r>
                <w:rPr>
                  <w:rFonts w:ascii="Cambria Math" w:hAnsi="Cambria Math"/>
                  <w:color w:val="000000" w:themeColor="text1"/>
                </w:rPr>
                <m:t>j</m:t>
              </m:r>
            </m:oMath>
            <w:r w:rsidRPr="00374785">
              <w:rPr>
                <w:color w:val="000000" w:themeColor="text1"/>
                <w:vertAlign w:val="superscript"/>
              </w:rPr>
              <w:t>th</w:t>
            </w:r>
            <w:r w:rsidRPr="00374785">
              <w:rPr>
                <w:color w:val="000000" w:themeColor="text1"/>
              </w:rPr>
              <w:t xml:space="preserve"> plot within the </w:t>
            </w:r>
            <m:oMath>
              <m:r>
                <w:rPr>
                  <w:rFonts w:ascii="Cambria Math" w:hAnsi="Cambria Math"/>
                  <w:color w:val="000000" w:themeColor="text1"/>
                </w:rPr>
                <m:t>i</m:t>
              </m:r>
            </m:oMath>
            <w:r w:rsidRPr="00374785">
              <w:rPr>
                <w:color w:val="000000" w:themeColor="text1"/>
                <w:vertAlign w:val="superscript"/>
              </w:rPr>
              <w:t>th</w:t>
            </w:r>
            <w:r w:rsidRPr="00374785">
              <w:rPr>
                <w:color w:val="000000" w:themeColor="text1"/>
              </w:rPr>
              <w:t xml:space="preserve"> carbon estimation area</w:t>
            </w:r>
            <w:r w:rsidR="00061919">
              <w:rPr>
                <w:color w:val="000000" w:themeColor="text1"/>
              </w:rPr>
              <w:t>—see equation 6</w:t>
            </w:r>
            <w:r w:rsidRPr="00374785">
              <w:rPr>
                <w:color w:val="000000" w:themeColor="text1"/>
              </w:rPr>
              <w:t>.</w:t>
            </w:r>
          </w:p>
        </w:tc>
      </w:tr>
      <w:tr w:rsidR="009820B5" w:rsidRPr="00374785" w:rsidTr="00B671D2">
        <w:tc>
          <w:tcPr>
            <w:tcW w:w="1696" w:type="dxa"/>
            <w:vAlign w:val="center"/>
          </w:tcPr>
          <w:p w:rsidR="009820B5" w:rsidRPr="00374785" w:rsidRDefault="0020376C" w:rsidP="00B671D2">
            <w:pPr>
              <w:pStyle w:val="tMain"/>
              <w:ind w:left="0" w:firstLine="0"/>
              <w:jc w:val="right"/>
              <w:rPr>
                <w:color w:val="000000" w:themeColor="text1"/>
              </w:rPr>
            </w:pPr>
            <m:oMath>
              <m:sSub>
                <m:sSubPr>
                  <m:ctrlPr>
                    <w:rPr>
                      <w:rFonts w:ascii="Cambria Math" w:hAnsi="Cambria Math"/>
                      <w:i/>
                      <w:color w:val="000000" w:themeColor="text1"/>
                    </w:rPr>
                  </m:ctrlPr>
                </m:sSubPr>
                <m:e>
                  <m:r>
                    <w:rPr>
                      <w:rFonts w:ascii="Cambria Math" w:eastAsiaTheme="minorEastAsia" w:hAnsi="Cambria Math"/>
                      <w:color w:val="000000"/>
                    </w:rPr>
                    <m:t>M</m:t>
                  </m:r>
                </m:e>
                <m:sub>
                  <m:r>
                    <w:rPr>
                      <w:rFonts w:ascii="Cambria Math" w:hAnsi="Cambria Math"/>
                      <w:color w:val="000000" w:themeColor="text1"/>
                    </w:rPr>
                    <m:t>i</m:t>
                  </m:r>
                </m:sub>
              </m:sSub>
            </m:oMath>
            <w:r w:rsidR="009820B5" w:rsidRPr="00374785">
              <w:rPr>
                <w:color w:val="000000" w:themeColor="text1"/>
              </w:rPr>
              <w:t xml:space="preserve"> </w:t>
            </w:r>
            <m:oMath>
              <m:r>
                <w:rPr>
                  <w:rFonts w:ascii="Cambria Math" w:hAnsi="Cambria Math"/>
                  <w:color w:val="000000" w:themeColor="text1"/>
                </w:rPr>
                <m:t>=</m:t>
              </m:r>
            </m:oMath>
          </w:p>
        </w:tc>
        <w:tc>
          <w:tcPr>
            <w:tcW w:w="6582" w:type="dxa"/>
          </w:tcPr>
          <w:p w:rsidR="009820B5" w:rsidRPr="00374785" w:rsidRDefault="00904D50" w:rsidP="00B671D2">
            <w:pPr>
              <w:pStyle w:val="tMain"/>
              <w:ind w:left="0" w:firstLine="0"/>
              <w:rPr>
                <w:color w:val="000000" w:themeColor="text1"/>
              </w:rPr>
            </w:pPr>
            <w:r w:rsidRPr="00374785">
              <w:rPr>
                <w:color w:val="000000" w:themeColor="text1"/>
              </w:rPr>
              <w:t xml:space="preserve">total number of plots in the </w:t>
            </w:r>
            <w:r w:rsidRPr="00374785">
              <w:rPr>
                <w:i/>
              </w:rPr>
              <w:t>i</w:t>
            </w:r>
            <w:r w:rsidRPr="00374785">
              <w:rPr>
                <w:vertAlign w:val="superscript"/>
              </w:rPr>
              <w:t>th</w:t>
            </w:r>
            <w:r w:rsidRPr="00374785">
              <w:rPr>
                <w:color w:val="000000" w:themeColor="text1"/>
              </w:rPr>
              <w:t xml:space="preserve"> carbon estimation area.</w:t>
            </w:r>
          </w:p>
        </w:tc>
      </w:tr>
      <w:tr w:rsidR="009820B5" w:rsidRPr="00374785" w:rsidTr="00B671D2">
        <w:tc>
          <w:tcPr>
            <w:tcW w:w="1696" w:type="dxa"/>
            <w:vAlign w:val="center"/>
          </w:tcPr>
          <w:p w:rsidR="009820B5" w:rsidRPr="00374785" w:rsidRDefault="009820B5" w:rsidP="00B671D2">
            <w:pPr>
              <w:pStyle w:val="tMain"/>
              <w:ind w:left="0" w:firstLine="0"/>
              <w:jc w:val="right"/>
              <w:rPr>
                <w:iCs/>
                <w:color w:val="000000"/>
              </w:rPr>
            </w:pPr>
            <w:r w:rsidRPr="00374785">
              <w:rPr>
                <w:i/>
              </w:rPr>
              <w:t>i =</w:t>
            </w:r>
          </w:p>
        </w:tc>
        <w:tc>
          <w:tcPr>
            <w:tcW w:w="6582" w:type="dxa"/>
          </w:tcPr>
          <w:p w:rsidR="009820B5" w:rsidRPr="00374785" w:rsidRDefault="009820B5" w:rsidP="00B671D2">
            <w:pPr>
              <w:pStyle w:val="tMain"/>
              <w:ind w:left="0" w:firstLine="0"/>
              <w:rPr>
                <w:color w:val="000000" w:themeColor="text1"/>
              </w:rPr>
            </w:pPr>
            <w:r w:rsidRPr="00374785">
              <w:rPr>
                <w:i/>
              </w:rPr>
              <w:t>i</w:t>
            </w:r>
            <w:r w:rsidRPr="00374785">
              <w:rPr>
                <w:vertAlign w:val="superscript"/>
              </w:rPr>
              <w:t>th</w:t>
            </w:r>
            <w:r w:rsidRPr="00374785">
              <w:rPr>
                <w:i/>
                <w:vertAlign w:val="superscript"/>
              </w:rPr>
              <w:t xml:space="preserve"> </w:t>
            </w:r>
            <w:r w:rsidRPr="00374785">
              <w:t>carbon estimation area.</w:t>
            </w:r>
          </w:p>
        </w:tc>
      </w:tr>
      <w:tr w:rsidR="00BF05EE" w:rsidRPr="00374785" w:rsidTr="00BF05EE">
        <w:tc>
          <w:tcPr>
            <w:tcW w:w="1696" w:type="dxa"/>
            <w:vAlign w:val="center"/>
          </w:tcPr>
          <w:p w:rsidR="00BF05EE" w:rsidRPr="00374785" w:rsidRDefault="00BF05EE" w:rsidP="00BF05EE">
            <w:pPr>
              <w:pStyle w:val="tMain"/>
              <w:ind w:left="0" w:firstLine="0"/>
              <w:jc w:val="right"/>
              <w:rPr>
                <w:iCs/>
                <w:color w:val="000000" w:themeColor="text1"/>
              </w:rPr>
            </w:pPr>
            <m:oMathPara>
              <m:oMathParaPr>
                <m:jc m:val="right"/>
              </m:oMathParaPr>
              <m:oMath>
                <m:r>
                  <w:rPr>
                    <w:rFonts w:ascii="Cambria Math" w:hAnsi="Cambria Math"/>
                  </w:rPr>
                  <m:t>j=</m:t>
                </m:r>
              </m:oMath>
            </m:oMathPara>
          </w:p>
        </w:tc>
        <w:tc>
          <w:tcPr>
            <w:tcW w:w="6582" w:type="dxa"/>
          </w:tcPr>
          <w:p w:rsidR="00BF05EE" w:rsidRPr="00374785" w:rsidRDefault="00BF05EE" w:rsidP="00BF05EE">
            <w:pPr>
              <w:pStyle w:val="tMain"/>
              <w:ind w:left="0" w:firstLine="0"/>
              <w:rPr>
                <w:color w:val="000000" w:themeColor="text1"/>
              </w:rPr>
            </w:pPr>
            <m:oMath>
              <m:r>
                <w:rPr>
                  <w:rFonts w:ascii="Cambria Math" w:hAnsi="Cambria Math"/>
                </w:rPr>
                <m:t>j</m:t>
              </m:r>
            </m:oMath>
            <w:r w:rsidRPr="00374785">
              <w:rPr>
                <w:vertAlign w:val="superscript"/>
              </w:rPr>
              <w:t xml:space="preserve"> th</w:t>
            </w:r>
            <w:r w:rsidRPr="00374785">
              <w:t xml:space="preserve"> plot</w:t>
            </w:r>
          </w:p>
        </w:tc>
      </w:tr>
    </w:tbl>
    <w:p w:rsidR="00F94614" w:rsidRPr="00374785" w:rsidRDefault="007F3C0F" w:rsidP="00F94614">
      <w:pPr>
        <w:pStyle w:val="h5Section"/>
      </w:pPr>
      <w:bookmarkStart w:id="60" w:name="_Toc397681604"/>
      <w:r>
        <w:t>3.40</w:t>
      </w:r>
      <w:r w:rsidR="00F94614" w:rsidRPr="00374785">
        <w:tab/>
        <w:t>Calculating probable limits of error for tree proportion</w:t>
      </w:r>
      <w:bookmarkEnd w:id="60"/>
    </w:p>
    <w:p w:rsidR="00F94614" w:rsidRPr="00374785" w:rsidRDefault="00F94614" w:rsidP="00F94614">
      <w:pPr>
        <w:pStyle w:val="tMain"/>
      </w:pPr>
      <w:r w:rsidRPr="00374785">
        <w:tab/>
      </w:r>
      <w:r w:rsidRPr="00374785">
        <w:tab/>
        <w:t xml:space="preserve">The probable limits of error for </w:t>
      </w:r>
      <w:r w:rsidR="00DF5CFD" w:rsidRPr="00374785">
        <w:rPr>
          <w:color w:val="000000" w:themeColor="text1"/>
        </w:rPr>
        <w:t xml:space="preserve">average </w:t>
      </w:r>
      <w:r w:rsidRPr="00374785">
        <w:t>tree proportion in a carbon estimation area must be calculated using the following formula:</w:t>
      </w:r>
    </w:p>
    <w:tbl>
      <w:tblPr>
        <w:tblStyle w:val="TableGrid"/>
        <w:tblW w:w="0" w:type="auto"/>
        <w:tblInd w:w="964" w:type="dxa"/>
        <w:tblLook w:val="04A0"/>
      </w:tblPr>
      <w:tblGrid>
        <w:gridCol w:w="6374"/>
        <w:gridCol w:w="1904"/>
      </w:tblGrid>
      <w:tr w:rsidR="00F94614" w:rsidRPr="00374785" w:rsidTr="00F94614">
        <w:tc>
          <w:tcPr>
            <w:tcW w:w="6374" w:type="dxa"/>
          </w:tcPr>
          <w:p w:rsidR="00F94614" w:rsidRPr="00374785" w:rsidRDefault="0020376C" w:rsidP="009F2C9E">
            <w:pPr>
              <w:pStyle w:val="tMain"/>
              <w:spacing w:before="100" w:line="360" w:lineRule="auto"/>
              <w:ind w:left="0" w:firstLine="0"/>
              <w:rPr>
                <w:color w:val="76923C" w:themeColor="accent3" w:themeShade="BF"/>
              </w:rPr>
            </w:pPr>
            <m:oMathPara>
              <m:oMath>
                <m:sSub>
                  <m:sSubPr>
                    <m:ctrlPr>
                      <w:rPr>
                        <w:rFonts w:ascii="Cambria Math" w:hAnsi="Cambria Math"/>
                        <w:i/>
                      </w:rPr>
                    </m:ctrlPr>
                  </m:sSubPr>
                  <m:e>
                    <m:r>
                      <w:rPr>
                        <w:rFonts w:ascii="Cambria Math" w:hAnsi="Cambria Math"/>
                      </w:rPr>
                      <m:t>L</m:t>
                    </m:r>
                  </m:e>
                  <m:sub>
                    <m:bar>
                      <m:barPr>
                        <m:pos m:val="top"/>
                        <m:ctrlPr>
                          <w:rPr>
                            <w:rFonts w:ascii="Cambria Math" w:hAnsi="Cambria Math"/>
                            <w:i/>
                            <w:color w:val="000000" w:themeColor="text1"/>
                          </w:rPr>
                        </m:ctrlPr>
                      </m:barPr>
                      <m:e>
                        <m:r>
                          <w:rPr>
                            <w:rFonts w:ascii="Cambria Math" w:hAnsi="Cambria Math"/>
                            <w:color w:val="000000" w:themeColor="text1"/>
                          </w:rPr>
                          <m:t>R</m:t>
                        </m:r>
                      </m:e>
                    </m:bar>
                    <m:r>
                      <w:rPr>
                        <w:rFonts w:ascii="Cambria Math" w:hAnsi="Cambria Math"/>
                      </w:rPr>
                      <m:t>i</m:t>
                    </m:r>
                  </m:sub>
                </m:sSub>
                <m:r>
                  <w:rPr>
                    <w:rFonts w:ascii="Cambria Math" w:hAnsi="Cambria Math"/>
                  </w:rPr>
                  <m:t xml:space="preserve">= </m:t>
                </m:r>
                <m:d>
                  <m:dPr>
                    <m:ctrlPr>
                      <w:rPr>
                        <w:rFonts w:ascii="Cambria Math" w:hAnsi="Cambria Math"/>
                        <w:i/>
                      </w:rPr>
                    </m:ctrlPr>
                  </m:dPr>
                  <m:e>
                    <m:f>
                      <m:fPr>
                        <m:ctrlPr>
                          <w:rPr>
                            <w:rFonts w:ascii="Cambria Math" w:hAnsi="Cambria Math"/>
                            <w:i/>
                          </w:rPr>
                        </m:ctrlPr>
                      </m:fPr>
                      <m:num>
                        <m:sSub>
                          <m:sSubPr>
                            <m:ctrlPr>
                              <w:rPr>
                                <w:rFonts w:ascii="Cambria Math" w:hAnsi="Cambria Math"/>
                                <w:color w:val="000000"/>
                              </w:rPr>
                            </m:ctrlPr>
                          </m:sSubPr>
                          <m:e>
                            <m:r>
                              <w:rPr>
                                <w:rFonts w:ascii="Cambria Math" w:hAnsi="Cambria Math"/>
                                <w:color w:val="000000"/>
                              </w:rPr>
                              <m:t>E</m:t>
                            </m:r>
                          </m:e>
                          <m:sub>
                            <m:bar>
                              <m:barPr>
                                <m:pos m:val="top"/>
                                <m:ctrlPr>
                                  <w:rPr>
                                    <w:rFonts w:ascii="Cambria Math" w:hAnsi="Cambria Math"/>
                                    <w:i/>
                                    <w:color w:val="000000" w:themeColor="text1"/>
                                  </w:rPr>
                                </m:ctrlPr>
                              </m:barPr>
                              <m:e>
                                <m:r>
                                  <w:rPr>
                                    <w:rFonts w:ascii="Cambria Math" w:hAnsi="Cambria Math"/>
                                    <w:color w:val="000000" w:themeColor="text1"/>
                                  </w:rPr>
                                  <m:t>R</m:t>
                                </m:r>
                              </m:e>
                            </m:bar>
                            <m:r>
                              <w:rPr>
                                <w:rFonts w:ascii="Cambria Math" w:hAnsi="Cambria Math"/>
                                <w:color w:val="000000"/>
                              </w:rPr>
                              <m:t>i</m:t>
                            </m:r>
                          </m:sub>
                        </m:sSub>
                      </m:num>
                      <m:den>
                        <m:sSub>
                          <m:sSubPr>
                            <m:ctrlPr>
                              <w:rPr>
                                <w:rFonts w:ascii="Cambria Math" w:hAnsi="Cambria Math"/>
                                <w:i/>
                                <w:color w:val="000000"/>
                              </w:rPr>
                            </m:ctrlPr>
                          </m:sSubPr>
                          <m:e>
                            <m:bar>
                              <m:barPr>
                                <m:pos m:val="top"/>
                                <m:ctrlPr>
                                  <w:rPr>
                                    <w:rFonts w:ascii="Cambria Math" w:hAnsi="Cambria Math"/>
                                    <w:i/>
                                    <w:color w:val="000000"/>
                                  </w:rPr>
                                </m:ctrlPr>
                              </m:barPr>
                              <m:e>
                                <m:r>
                                  <w:rPr>
                                    <w:rFonts w:ascii="Cambria Math" w:hAnsi="Cambria Math"/>
                                    <w:color w:val="000000"/>
                                  </w:rPr>
                                  <m:t>R</m:t>
                                </m:r>
                              </m:e>
                            </m:bar>
                          </m:e>
                          <m:sub>
                            <m:r>
                              <w:rPr>
                                <w:rFonts w:ascii="Cambria Math" w:hAnsi="Cambria Math"/>
                                <w:color w:val="000000"/>
                              </w:rPr>
                              <m:t>i</m:t>
                            </m:r>
                          </m:sub>
                        </m:sSub>
                      </m:den>
                    </m:f>
                  </m:e>
                </m:d>
                <m:r>
                  <w:rPr>
                    <w:rFonts w:ascii="Cambria Math" w:hAnsi="Cambria Math"/>
                  </w:rPr>
                  <m:t xml:space="preserve"> ×100</m:t>
                </m:r>
              </m:oMath>
            </m:oMathPara>
          </w:p>
        </w:tc>
        <w:tc>
          <w:tcPr>
            <w:tcW w:w="1904" w:type="dxa"/>
            <w:vAlign w:val="center"/>
          </w:tcPr>
          <w:p w:rsidR="00F94614" w:rsidRPr="00374785" w:rsidRDefault="00F94614" w:rsidP="00F94614">
            <w:pPr>
              <w:pStyle w:val="tMain"/>
              <w:ind w:left="0" w:firstLine="0"/>
              <w:jc w:val="center"/>
              <w:rPr>
                <w:b/>
                <w:color w:val="000000" w:themeColor="text1"/>
              </w:rPr>
            </w:pPr>
            <w:r w:rsidRPr="00374785">
              <w:rPr>
                <w:b/>
                <w:color w:val="000000" w:themeColor="text1"/>
              </w:rPr>
              <w:t>Equation 9</w:t>
            </w:r>
          </w:p>
        </w:tc>
      </w:tr>
    </w:tbl>
    <w:p w:rsidR="00F94614" w:rsidRPr="00374785" w:rsidRDefault="00F94614" w:rsidP="00F94614">
      <w:pPr>
        <w:pStyle w:val="tMain"/>
      </w:pPr>
      <w:r w:rsidRPr="00374785">
        <w:tab/>
      </w:r>
      <w:r w:rsidRPr="00374785">
        <w:tab/>
        <w:t>Where:</w:t>
      </w:r>
    </w:p>
    <w:tbl>
      <w:tblPr>
        <w:tblStyle w:val="TableGrid"/>
        <w:tblW w:w="0" w:type="auto"/>
        <w:tblInd w:w="964" w:type="dxa"/>
        <w:tblLook w:val="04A0"/>
      </w:tblPr>
      <w:tblGrid>
        <w:gridCol w:w="1696"/>
        <w:gridCol w:w="6582"/>
      </w:tblGrid>
      <w:tr w:rsidR="00F94614" w:rsidRPr="00374785" w:rsidTr="00F94614">
        <w:tc>
          <w:tcPr>
            <w:tcW w:w="1696" w:type="dxa"/>
            <w:vAlign w:val="center"/>
          </w:tcPr>
          <w:p w:rsidR="00F94614" w:rsidRPr="00374785" w:rsidRDefault="0020376C" w:rsidP="00DF5CFD">
            <w:pPr>
              <w:pStyle w:val="tMain"/>
              <w:ind w:left="0" w:firstLine="0"/>
              <w:jc w:val="right"/>
              <w:rPr>
                <w:color w:val="76923C" w:themeColor="accent3" w:themeShade="BF"/>
              </w:rPr>
            </w:pPr>
            <m:oMathPara>
              <m:oMathParaPr>
                <m:jc m:val="right"/>
              </m:oMathParaPr>
              <m:oMath>
                <m:sSub>
                  <m:sSubPr>
                    <m:ctrlPr>
                      <w:rPr>
                        <w:rFonts w:ascii="Cambria Math" w:hAnsi="Cambria Math"/>
                        <w:i/>
                      </w:rPr>
                    </m:ctrlPr>
                  </m:sSubPr>
                  <m:e>
                    <m:r>
                      <w:rPr>
                        <w:rFonts w:ascii="Cambria Math" w:hAnsi="Cambria Math"/>
                      </w:rPr>
                      <m:t>L</m:t>
                    </m:r>
                  </m:e>
                  <m:sub>
                    <m:bar>
                      <m:barPr>
                        <m:pos m:val="top"/>
                        <m:ctrlPr>
                          <w:rPr>
                            <w:rFonts w:ascii="Cambria Math" w:hAnsi="Cambria Math"/>
                            <w:i/>
                            <w:color w:val="000000" w:themeColor="text1"/>
                          </w:rPr>
                        </m:ctrlPr>
                      </m:barPr>
                      <m:e>
                        <m:r>
                          <w:rPr>
                            <w:rFonts w:ascii="Cambria Math" w:hAnsi="Cambria Math"/>
                            <w:color w:val="000000" w:themeColor="text1"/>
                          </w:rPr>
                          <m:t>R</m:t>
                        </m:r>
                      </m:e>
                    </m:bar>
                    <m:r>
                      <w:rPr>
                        <w:rFonts w:ascii="Cambria Math" w:hAnsi="Cambria Math"/>
                      </w:rPr>
                      <m:t>i</m:t>
                    </m:r>
                  </m:sub>
                </m:sSub>
                <m:r>
                  <m:rPr>
                    <m:sty m:val="bi"/>
                  </m:rPr>
                  <w:rPr>
                    <w:rFonts w:ascii="Cambria Math" w:hAnsi="Cambria Math" w:cs="Calibri"/>
                    <w:color w:val="76923C" w:themeColor="accent3" w:themeShade="BF"/>
                    <w:lang w:eastAsia="en-US"/>
                  </w:rPr>
                  <m:t>=</m:t>
                </m:r>
              </m:oMath>
            </m:oMathPara>
          </w:p>
        </w:tc>
        <w:tc>
          <w:tcPr>
            <w:tcW w:w="6582" w:type="dxa"/>
          </w:tcPr>
          <w:p w:rsidR="00F94614" w:rsidRPr="00374785" w:rsidRDefault="00F94614" w:rsidP="004E76DE">
            <w:pPr>
              <w:pStyle w:val="tMain"/>
              <w:ind w:left="0" w:firstLine="0"/>
              <w:rPr>
                <w:color w:val="000000" w:themeColor="text1"/>
              </w:rPr>
            </w:pPr>
            <w:r w:rsidRPr="00374785">
              <w:rPr>
                <w:color w:val="000000" w:themeColor="text1"/>
              </w:rPr>
              <w:t xml:space="preserve">probable limits of error for </w:t>
            </w:r>
            <w:r w:rsidR="00DF5CFD" w:rsidRPr="00374785">
              <w:rPr>
                <w:color w:val="000000" w:themeColor="text1"/>
              </w:rPr>
              <w:t xml:space="preserve">average </w:t>
            </w:r>
            <w:r w:rsidRPr="00374785">
              <w:rPr>
                <w:color w:val="000000" w:themeColor="text1"/>
              </w:rPr>
              <w:t>tree proportion (</w:t>
            </w:r>
            <m:oMath>
              <m:bar>
                <m:barPr>
                  <m:pos m:val="top"/>
                  <m:ctrlPr>
                    <w:rPr>
                      <w:rFonts w:ascii="Cambria Math" w:hAnsi="Cambria Math"/>
                      <w:i/>
                      <w:color w:val="000000" w:themeColor="text1"/>
                    </w:rPr>
                  </m:ctrlPr>
                </m:barPr>
                <m:e>
                  <m:r>
                    <w:rPr>
                      <w:rFonts w:ascii="Cambria Math" w:hAnsi="Cambria Math"/>
                      <w:color w:val="000000" w:themeColor="text1"/>
                    </w:rPr>
                    <m:t>R</m:t>
                  </m:r>
                </m:e>
              </m:bar>
            </m:oMath>
            <w:r w:rsidRPr="00374785">
              <w:rPr>
                <w:color w:val="000000" w:themeColor="text1"/>
              </w:rPr>
              <w:t xml:space="preserve">), </w:t>
            </w:r>
            <w:r w:rsidR="00441F38" w:rsidRPr="00374785">
              <w:rPr>
                <w:color w:val="000000" w:themeColor="text1"/>
                <w:lang w:eastAsia="en-US"/>
              </w:rPr>
              <w:t>percentage error</w:t>
            </w:r>
            <w:r w:rsidR="00441F38" w:rsidRPr="00374785">
              <w:rPr>
                <w:color w:val="000000" w:themeColor="text1"/>
              </w:rPr>
              <w:t xml:space="preserve"> </w:t>
            </w:r>
            <w:r w:rsidRPr="00374785">
              <w:rPr>
                <w:color w:val="000000" w:themeColor="text1"/>
              </w:rPr>
              <w:t xml:space="preserve">at the </w:t>
            </w:r>
            <w:r w:rsidRPr="00374785">
              <w:rPr>
                <w:i/>
                <w:color w:val="000000" w:themeColor="text1"/>
              </w:rPr>
              <w:t>P</w:t>
            </w:r>
            <w:r w:rsidRPr="00374785">
              <w:rPr>
                <w:color w:val="000000" w:themeColor="text1"/>
              </w:rPr>
              <w:t xml:space="preserve">=0.05 level of significance for the </w:t>
            </w:r>
            <m:oMath>
              <m:r>
                <w:rPr>
                  <w:rFonts w:ascii="Cambria Math" w:hAnsi="Cambria Math"/>
                  <w:color w:val="000000" w:themeColor="text1"/>
                </w:rPr>
                <m:t>i</m:t>
              </m:r>
            </m:oMath>
            <w:r w:rsidRPr="00374785">
              <w:rPr>
                <w:color w:val="000000" w:themeColor="text1"/>
                <w:vertAlign w:val="superscript"/>
              </w:rPr>
              <w:t>th</w:t>
            </w:r>
            <w:r w:rsidRPr="00374785">
              <w:rPr>
                <w:color w:val="000000" w:themeColor="text1"/>
              </w:rPr>
              <w:t xml:space="preserve"> carbon estimation area.</w:t>
            </w:r>
          </w:p>
        </w:tc>
      </w:tr>
      <w:tr w:rsidR="00F94614" w:rsidRPr="00374785" w:rsidTr="00F94614">
        <w:tc>
          <w:tcPr>
            <w:tcW w:w="1696" w:type="dxa"/>
            <w:vAlign w:val="center"/>
          </w:tcPr>
          <w:p w:rsidR="00F94614" w:rsidRPr="00374785" w:rsidRDefault="0020376C" w:rsidP="00F94614">
            <w:pPr>
              <w:pStyle w:val="tMain"/>
              <w:ind w:left="0" w:firstLine="0"/>
              <w:jc w:val="right"/>
              <w:rPr>
                <w:color w:val="000000" w:themeColor="text1"/>
              </w:rPr>
            </w:pPr>
            <m:oMathPara>
              <m:oMathParaPr>
                <m:jc m:val="right"/>
              </m:oMathParaPr>
              <m:oMath>
                <m:sSub>
                  <m:sSubPr>
                    <m:ctrlPr>
                      <w:rPr>
                        <w:rFonts w:ascii="Cambria Math" w:hAnsi="Cambria Math"/>
                        <w:color w:val="000000" w:themeColor="text1"/>
                      </w:rPr>
                    </m:ctrlPr>
                  </m:sSubPr>
                  <m:e>
                    <m:r>
                      <w:rPr>
                        <w:rFonts w:ascii="Cambria Math" w:hAnsi="Cambria Math"/>
                        <w:color w:val="000000" w:themeColor="text1"/>
                      </w:rPr>
                      <m:t>E</m:t>
                    </m:r>
                  </m:e>
                  <m:sub>
                    <m:bar>
                      <m:barPr>
                        <m:pos m:val="top"/>
                        <m:ctrlPr>
                          <w:rPr>
                            <w:rFonts w:ascii="Cambria Math" w:hAnsi="Cambria Math"/>
                            <w:i/>
                            <w:color w:val="000000" w:themeColor="text1"/>
                          </w:rPr>
                        </m:ctrlPr>
                      </m:barPr>
                      <m:e>
                        <m:r>
                          <w:rPr>
                            <w:rFonts w:ascii="Cambria Math" w:hAnsi="Cambria Math"/>
                            <w:color w:val="000000" w:themeColor="text1"/>
                          </w:rPr>
                          <m:t>R</m:t>
                        </m:r>
                      </m:e>
                    </m:bar>
                    <m:r>
                      <w:rPr>
                        <w:rFonts w:ascii="Cambria Math" w:hAnsi="Cambria Math"/>
                        <w:color w:val="000000" w:themeColor="text1"/>
                      </w:rPr>
                      <m:t>i</m:t>
                    </m:r>
                  </m:sub>
                </m:sSub>
                <m:r>
                  <m:rPr>
                    <m:sty m:val="bi"/>
                  </m:rPr>
                  <w:rPr>
                    <w:rFonts w:ascii="Cambria Math" w:hAnsi="Cambria Math" w:cs="Calibri"/>
                    <w:color w:val="000000" w:themeColor="text1"/>
                    <w:lang w:eastAsia="en-US"/>
                  </w:rPr>
                  <m:t>=</m:t>
                </m:r>
              </m:oMath>
            </m:oMathPara>
          </w:p>
        </w:tc>
        <w:tc>
          <w:tcPr>
            <w:tcW w:w="6582" w:type="dxa"/>
          </w:tcPr>
          <w:p w:rsidR="00F94614" w:rsidRPr="00374785" w:rsidRDefault="00F94614" w:rsidP="00BF05EE">
            <w:pPr>
              <w:pStyle w:val="tMain"/>
              <w:ind w:left="0" w:firstLine="0"/>
              <w:rPr>
                <w:color w:val="000000" w:themeColor="text1"/>
              </w:rPr>
            </w:pPr>
            <w:proofErr w:type="gramStart"/>
            <w:r w:rsidRPr="00374785">
              <w:rPr>
                <w:color w:val="000000" w:themeColor="text1"/>
              </w:rPr>
              <w:t>margin</w:t>
            </w:r>
            <w:proofErr w:type="gramEnd"/>
            <w:r w:rsidRPr="00374785">
              <w:rPr>
                <w:color w:val="000000" w:themeColor="text1"/>
              </w:rPr>
              <w:t xml:space="preserve"> of error for the </w:t>
            </w:r>
            <w:r w:rsidR="00DF5CFD" w:rsidRPr="00374785">
              <w:rPr>
                <w:color w:val="000000" w:themeColor="text1"/>
              </w:rPr>
              <w:t xml:space="preserve">average </w:t>
            </w:r>
            <w:r w:rsidRPr="00374785">
              <w:rPr>
                <w:color w:val="000000" w:themeColor="text1"/>
              </w:rPr>
              <w:t xml:space="preserve">tree proportion </w:t>
            </w:r>
            <w:r w:rsidR="00BF05EE" w:rsidRPr="00374785">
              <w:rPr>
                <w:color w:val="000000" w:themeColor="text1"/>
              </w:rPr>
              <w:t>for</w:t>
            </w:r>
            <w:r w:rsidRPr="00374785">
              <w:rPr>
                <w:color w:val="000000" w:themeColor="text1"/>
              </w:rPr>
              <w:t xml:space="preserve"> the </w:t>
            </w:r>
            <m:oMath>
              <m:r>
                <w:rPr>
                  <w:rFonts w:ascii="Cambria Math" w:hAnsi="Cambria Math"/>
                  <w:color w:val="000000" w:themeColor="text1"/>
                </w:rPr>
                <m:t>i</m:t>
              </m:r>
            </m:oMath>
            <w:r w:rsidRPr="00374785">
              <w:rPr>
                <w:color w:val="000000" w:themeColor="text1"/>
                <w:vertAlign w:val="superscript"/>
              </w:rPr>
              <w:t>th</w:t>
            </w:r>
            <w:r w:rsidRPr="00374785">
              <w:rPr>
                <w:color w:val="000000" w:themeColor="text1"/>
              </w:rPr>
              <w:t xml:space="preserve"> carbon estimation area</w:t>
            </w:r>
            <w:r w:rsidR="00311E13">
              <w:rPr>
                <w:color w:val="000000" w:themeColor="text1"/>
              </w:rPr>
              <w:t>—see equation 8</w:t>
            </w:r>
            <w:r w:rsidRPr="00374785">
              <w:rPr>
                <w:color w:val="000000" w:themeColor="text1"/>
              </w:rPr>
              <w:t>.</w:t>
            </w:r>
          </w:p>
        </w:tc>
      </w:tr>
      <w:tr w:rsidR="00F94614" w:rsidRPr="00374785" w:rsidTr="00F94614">
        <w:tc>
          <w:tcPr>
            <w:tcW w:w="1696" w:type="dxa"/>
            <w:vAlign w:val="center"/>
          </w:tcPr>
          <w:p w:rsidR="00F94614" w:rsidRPr="00374785" w:rsidRDefault="0020376C" w:rsidP="00061919">
            <w:pPr>
              <w:pStyle w:val="tMain"/>
              <w:ind w:left="0" w:firstLine="0"/>
              <w:jc w:val="right"/>
              <w:rPr>
                <w:color w:val="000000" w:themeColor="text1"/>
              </w:rPr>
            </w:pPr>
            <m:oMathPara>
              <m:oMathParaPr>
                <m:jc m:val="right"/>
              </m:oMathParaPr>
              <m:oMath>
                <m:sSub>
                  <m:sSubPr>
                    <m:ctrlPr>
                      <w:rPr>
                        <w:rFonts w:ascii="Cambria Math" w:hAnsi="Cambria Math"/>
                        <w:i/>
                        <w:color w:val="000000"/>
                      </w:rPr>
                    </m:ctrlPr>
                  </m:sSubPr>
                  <m:e>
                    <m:bar>
                      <m:barPr>
                        <m:pos m:val="top"/>
                        <m:ctrlPr>
                          <w:rPr>
                            <w:rFonts w:ascii="Cambria Math" w:hAnsi="Cambria Math"/>
                            <w:i/>
                            <w:color w:val="000000"/>
                          </w:rPr>
                        </m:ctrlPr>
                      </m:barPr>
                      <m:e>
                        <m:r>
                          <w:rPr>
                            <w:rFonts w:ascii="Cambria Math" w:hAnsi="Cambria Math"/>
                            <w:color w:val="000000"/>
                          </w:rPr>
                          <m:t>R</m:t>
                        </m:r>
                      </m:e>
                    </m:bar>
                  </m:e>
                  <m:sub>
                    <m:r>
                      <w:rPr>
                        <w:rFonts w:ascii="Cambria Math" w:hAnsi="Cambria Math"/>
                        <w:color w:val="000000"/>
                      </w:rPr>
                      <m:t>i</m:t>
                    </m:r>
                  </m:sub>
                </m:sSub>
                <m:r>
                  <m:rPr>
                    <m:sty m:val="bi"/>
                  </m:rPr>
                  <w:rPr>
                    <w:rFonts w:ascii="Cambria Math" w:hAnsi="Cambria Math" w:cs="Calibri"/>
                    <w:color w:val="000000" w:themeColor="text1"/>
                    <w:lang w:eastAsia="en-US"/>
                  </w:rPr>
                  <m:t>=</m:t>
                </m:r>
              </m:oMath>
            </m:oMathPara>
          </w:p>
        </w:tc>
        <w:tc>
          <w:tcPr>
            <w:tcW w:w="6582" w:type="dxa"/>
          </w:tcPr>
          <w:p w:rsidR="00F94614" w:rsidRPr="00374785" w:rsidRDefault="00F94614" w:rsidP="00F94614">
            <w:pPr>
              <w:pStyle w:val="tMain"/>
              <w:ind w:left="0" w:firstLine="0"/>
              <w:rPr>
                <w:color w:val="000000" w:themeColor="text1"/>
              </w:rPr>
            </w:pPr>
            <w:proofErr w:type="gramStart"/>
            <w:r w:rsidRPr="00374785">
              <w:rPr>
                <w:color w:val="000000" w:themeColor="text1"/>
              </w:rPr>
              <w:t>average</w:t>
            </w:r>
            <w:proofErr w:type="gramEnd"/>
            <w:r w:rsidRPr="00374785">
              <w:rPr>
                <w:color w:val="000000" w:themeColor="text1"/>
              </w:rPr>
              <w:t xml:space="preserve"> proportion of trees for the </w:t>
            </w:r>
            <m:oMath>
              <m:r>
                <w:rPr>
                  <w:rFonts w:ascii="Cambria Math" w:hAnsi="Cambria Math"/>
                  <w:color w:val="000000" w:themeColor="text1"/>
                </w:rPr>
                <m:t>i</m:t>
              </m:r>
            </m:oMath>
            <w:r w:rsidRPr="00374785">
              <w:rPr>
                <w:color w:val="000000" w:themeColor="text1"/>
                <w:vertAlign w:val="superscript"/>
              </w:rPr>
              <w:t>th</w:t>
            </w:r>
            <w:r w:rsidRPr="00374785">
              <w:rPr>
                <w:color w:val="000000" w:themeColor="text1"/>
              </w:rPr>
              <w:t xml:space="preserve"> carbon estimation area</w:t>
            </w:r>
            <w:r w:rsidR="00311E13">
              <w:rPr>
                <w:color w:val="000000" w:themeColor="text1"/>
              </w:rPr>
              <w:t>—see equation 7</w:t>
            </w:r>
            <w:r w:rsidRPr="00374785">
              <w:rPr>
                <w:color w:val="000000" w:themeColor="text1"/>
              </w:rPr>
              <w:t>.</w:t>
            </w:r>
          </w:p>
        </w:tc>
      </w:tr>
      <w:tr w:rsidR="008B7F4F" w:rsidRPr="00374785" w:rsidTr="008B7F4F">
        <w:tc>
          <w:tcPr>
            <w:tcW w:w="1696" w:type="dxa"/>
            <w:vAlign w:val="center"/>
          </w:tcPr>
          <w:p w:rsidR="008B7F4F" w:rsidRPr="00374785" w:rsidRDefault="008B7F4F" w:rsidP="008B7F4F">
            <w:pPr>
              <w:pStyle w:val="tMain"/>
              <w:ind w:left="0" w:firstLine="0"/>
              <w:jc w:val="right"/>
              <w:rPr>
                <w:iCs/>
                <w:color w:val="000000"/>
              </w:rPr>
            </w:pPr>
            <w:r w:rsidRPr="00374785">
              <w:rPr>
                <w:i/>
              </w:rPr>
              <w:t>i =</w:t>
            </w:r>
          </w:p>
        </w:tc>
        <w:tc>
          <w:tcPr>
            <w:tcW w:w="6582" w:type="dxa"/>
          </w:tcPr>
          <w:p w:rsidR="008B7F4F" w:rsidRPr="00374785" w:rsidRDefault="008B7F4F" w:rsidP="008B7F4F">
            <w:pPr>
              <w:pStyle w:val="tMain"/>
              <w:ind w:left="0" w:firstLine="0"/>
              <w:rPr>
                <w:color w:val="000000" w:themeColor="text1"/>
              </w:rPr>
            </w:pPr>
            <w:r w:rsidRPr="00374785">
              <w:rPr>
                <w:i/>
              </w:rPr>
              <w:t>i</w:t>
            </w:r>
            <w:r w:rsidRPr="00374785">
              <w:rPr>
                <w:vertAlign w:val="superscript"/>
              </w:rPr>
              <w:t>th</w:t>
            </w:r>
            <w:r w:rsidRPr="00374785">
              <w:rPr>
                <w:i/>
                <w:vertAlign w:val="superscript"/>
              </w:rPr>
              <w:t xml:space="preserve"> </w:t>
            </w:r>
            <w:r w:rsidRPr="00374785">
              <w:t>carbon estimation area.</w:t>
            </w:r>
          </w:p>
        </w:tc>
      </w:tr>
    </w:tbl>
    <w:p w:rsidR="00F94614" w:rsidRPr="00374785" w:rsidRDefault="007F3C0F" w:rsidP="00F94614">
      <w:pPr>
        <w:pStyle w:val="h5Section"/>
      </w:pPr>
      <w:bookmarkStart w:id="61" w:name="_Toc397681605"/>
      <w:r>
        <w:t>3.41</w:t>
      </w:r>
      <w:r w:rsidR="00F94614" w:rsidRPr="00374785">
        <w:tab/>
        <w:t>Calculating conservative estimate of tree proportion</w:t>
      </w:r>
      <w:bookmarkEnd w:id="61"/>
    </w:p>
    <w:p w:rsidR="00F94614" w:rsidRPr="00374785" w:rsidRDefault="00F94614" w:rsidP="00F94614">
      <w:pPr>
        <w:pStyle w:val="tMain"/>
      </w:pPr>
      <w:r w:rsidRPr="00374785">
        <w:tab/>
      </w:r>
      <w:r w:rsidRPr="00374785">
        <w:tab/>
        <w:t xml:space="preserve">The conservative estimate of </w:t>
      </w:r>
      <w:r w:rsidR="00DF5CFD" w:rsidRPr="00374785">
        <w:t xml:space="preserve">average </w:t>
      </w:r>
      <w:r w:rsidRPr="00374785">
        <w:t xml:space="preserve">tree proportion in a carbon estimation area must be calculated </w:t>
      </w:r>
      <w:r w:rsidR="003F1CE0" w:rsidRPr="00374785">
        <w:t xml:space="preserve">as the lower confidence limit </w:t>
      </w:r>
      <w:r w:rsidRPr="00374785">
        <w:t>using the following formula:</w:t>
      </w:r>
    </w:p>
    <w:tbl>
      <w:tblPr>
        <w:tblStyle w:val="TableGrid"/>
        <w:tblW w:w="0" w:type="auto"/>
        <w:tblInd w:w="964" w:type="dxa"/>
        <w:tblLook w:val="04A0"/>
      </w:tblPr>
      <w:tblGrid>
        <w:gridCol w:w="6374"/>
        <w:gridCol w:w="1904"/>
      </w:tblGrid>
      <w:tr w:rsidR="00F94614" w:rsidRPr="00374785" w:rsidTr="00F94614">
        <w:tc>
          <w:tcPr>
            <w:tcW w:w="6374" w:type="dxa"/>
          </w:tcPr>
          <w:p w:rsidR="00F94614" w:rsidRPr="00374785" w:rsidRDefault="0020376C" w:rsidP="002575CF">
            <w:pPr>
              <w:pStyle w:val="tMain"/>
              <w:spacing w:before="100" w:line="360" w:lineRule="auto"/>
              <w:ind w:left="0" w:firstLine="0"/>
              <w:rPr>
                <w:color w:val="76923C" w:themeColor="accent3" w:themeShade="BF"/>
              </w:rPr>
            </w:pPr>
            <m:oMathPara>
              <m:oMath>
                <m:sSub>
                  <m:sSubPr>
                    <m:ctrlPr>
                      <w:rPr>
                        <w:rFonts w:ascii="Cambria Math" w:hAnsi="Cambria Math"/>
                        <w:i/>
                        <w:color w:val="000000"/>
                      </w:rPr>
                    </m:ctrlPr>
                  </m:sSubPr>
                  <m:e>
                    <m:acc>
                      <m:accPr>
                        <m:chr m:val="̃"/>
                        <m:ctrlPr>
                          <w:rPr>
                            <w:rFonts w:ascii="Cambria Math" w:hAnsi="Cambria Math"/>
                            <w:i/>
                            <w:color w:val="000000"/>
                          </w:rPr>
                        </m:ctrlPr>
                      </m:accPr>
                      <m:e>
                        <m:r>
                          <w:rPr>
                            <w:rFonts w:ascii="Cambria Math" w:hAnsi="Cambria Math"/>
                            <w:color w:val="000000"/>
                          </w:rPr>
                          <m:t>R</m:t>
                        </m:r>
                      </m:e>
                    </m:acc>
                  </m:e>
                  <m:sub>
                    <m:r>
                      <w:rPr>
                        <w:rFonts w:ascii="Cambria Math" w:hAnsi="Cambria Math"/>
                        <w:color w:val="000000"/>
                      </w:rPr>
                      <m:t>i</m:t>
                    </m:r>
                  </m:sub>
                </m:sSub>
                <m:r>
                  <w:rPr>
                    <w:rFonts w:ascii="Cambria Math" w:hAnsi="Cambria Math"/>
                    <w:color w:val="000000"/>
                  </w:rPr>
                  <m:t>=</m:t>
                </m:r>
                <m:r>
                  <w:rPr>
                    <w:rFonts w:ascii="Cambria Math"/>
                    <w:color w:val="000000"/>
                  </w:rPr>
                  <m:t xml:space="preserve"> </m:t>
                </m:r>
                <m:sSub>
                  <m:sSubPr>
                    <m:ctrlPr>
                      <w:rPr>
                        <w:rFonts w:ascii="Cambria Math" w:hAnsi="Cambria Math"/>
                        <w:i/>
                        <w:color w:val="000000"/>
                      </w:rPr>
                    </m:ctrlPr>
                  </m:sSubPr>
                  <m:e>
                    <m:bar>
                      <m:barPr>
                        <m:pos m:val="top"/>
                        <m:ctrlPr>
                          <w:rPr>
                            <w:rFonts w:ascii="Cambria Math" w:hAnsi="Cambria Math"/>
                            <w:i/>
                            <w:color w:val="000000"/>
                          </w:rPr>
                        </m:ctrlPr>
                      </m:barPr>
                      <m:e>
                        <m:r>
                          <w:rPr>
                            <w:rFonts w:ascii="Cambria Math" w:hAnsi="Cambria Math"/>
                            <w:color w:val="000000"/>
                          </w:rPr>
                          <m:t>R</m:t>
                        </m:r>
                      </m:e>
                    </m:bar>
                  </m:e>
                  <m:sub>
                    <m:r>
                      <w:rPr>
                        <w:rFonts w:ascii="Cambria Math" w:hAnsi="Cambria Math"/>
                        <w:color w:val="000000"/>
                      </w:rPr>
                      <m:t>i</m:t>
                    </m:r>
                  </m:sub>
                </m:sSub>
                <m:r>
                  <w:rPr>
                    <w:rFonts w:ascii="Cambria Math" w:eastAsiaTheme="minorEastAsia" w:hAnsi="Cambria Math"/>
                    <w:color w:val="000000"/>
                  </w:rPr>
                  <m:t xml:space="preserve">-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t</m:t>
                        </m:r>
                      </m:e>
                      <m:sub>
                        <m:r>
                          <w:rPr>
                            <w:rFonts w:ascii="Cambria Math" w:hAnsi="Cambria Math"/>
                            <w:color w:val="000000"/>
                          </w:rPr>
                          <m:t>0.05</m:t>
                        </m:r>
                      </m:sub>
                    </m:sSub>
                    <m:r>
                      <m:rPr>
                        <m:sty m:val="p"/>
                      </m:rPr>
                      <w:rPr>
                        <w:rFonts w:ascii="Cambria Math" w:hAnsi="Cambria Math"/>
                        <w:color w:val="000000"/>
                      </w:rPr>
                      <m:t xml:space="preserve"> × </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σ</m:t>
                            </m:r>
                          </m:e>
                          <m:sub>
                            <m:bar>
                              <m:barPr>
                                <m:pos m:val="top"/>
                                <m:ctrlPr>
                                  <w:rPr>
                                    <w:rFonts w:ascii="Cambria Math" w:hAnsi="Cambria Math"/>
                                    <w:i/>
                                    <w:color w:val="000000" w:themeColor="text1"/>
                                  </w:rPr>
                                </m:ctrlPr>
                              </m:barPr>
                              <m:e>
                                <m:r>
                                  <w:rPr>
                                    <w:rFonts w:ascii="Cambria Math" w:hAnsi="Cambria Math"/>
                                    <w:color w:val="000000" w:themeColor="text1"/>
                                  </w:rPr>
                                  <m:t>R</m:t>
                                </m:r>
                              </m:e>
                            </m:bar>
                            <m:r>
                              <w:rPr>
                                <w:rFonts w:ascii="Cambria Math" w:hAnsi="Cambria Math"/>
                                <w:color w:val="000000"/>
                              </w:rPr>
                              <m:t>i</m:t>
                            </m:r>
                          </m:sub>
                        </m:sSub>
                      </m:num>
                      <m:den>
                        <m:rad>
                          <m:radPr>
                            <m:degHide m:val="on"/>
                            <m:ctrlPr>
                              <w:rPr>
                                <w:rFonts w:ascii="Cambria Math" w:hAnsi="Cambria Math"/>
                                <w:color w:val="000000"/>
                              </w:rPr>
                            </m:ctrlPr>
                          </m:radPr>
                          <m:deg/>
                          <m:e>
                            <m:sSub>
                              <m:sSubPr>
                                <m:ctrlPr>
                                  <w:rPr>
                                    <w:rFonts w:ascii="Cambria Math" w:hAnsi="Cambria Math"/>
                                    <w:color w:val="000000"/>
                                  </w:rPr>
                                </m:ctrlPr>
                              </m:sSubPr>
                              <m:e>
                                <m:r>
                                  <w:rPr>
                                    <w:rFonts w:ascii="Cambria Math" w:eastAsiaTheme="minorEastAsia" w:hAnsi="Cambria Math"/>
                                    <w:color w:val="000000"/>
                                  </w:rPr>
                                  <m:t>M</m:t>
                                </m:r>
                              </m:e>
                              <m:sub>
                                <m:r>
                                  <w:rPr>
                                    <w:rFonts w:ascii="Cambria Math" w:hAnsi="Cambria Math"/>
                                    <w:color w:val="000000"/>
                                  </w:rPr>
                                  <m:t>i</m:t>
                                </m:r>
                              </m:sub>
                            </m:sSub>
                          </m:e>
                        </m:rad>
                      </m:den>
                    </m:f>
                    <m:r>
                      <m:rPr>
                        <m:sty m:val="p"/>
                      </m:rPr>
                      <w:rPr>
                        <w:rFonts w:ascii="Cambria Math" w:hAnsi="Cambria Math"/>
                      </w:rPr>
                      <m:t xml:space="preserve"> </m:t>
                    </m:r>
                  </m:e>
                </m:d>
              </m:oMath>
            </m:oMathPara>
          </w:p>
        </w:tc>
        <w:tc>
          <w:tcPr>
            <w:tcW w:w="1904" w:type="dxa"/>
            <w:vAlign w:val="center"/>
          </w:tcPr>
          <w:p w:rsidR="00F94614" w:rsidRPr="00374785" w:rsidRDefault="00F94614" w:rsidP="00F94614">
            <w:pPr>
              <w:pStyle w:val="tMain"/>
              <w:ind w:left="0" w:firstLine="0"/>
              <w:jc w:val="center"/>
              <w:rPr>
                <w:b/>
                <w:color w:val="000000" w:themeColor="text1"/>
              </w:rPr>
            </w:pPr>
            <w:r w:rsidRPr="00374785">
              <w:rPr>
                <w:b/>
                <w:color w:val="000000" w:themeColor="text1"/>
              </w:rPr>
              <w:t>Equation 10</w:t>
            </w:r>
          </w:p>
        </w:tc>
      </w:tr>
    </w:tbl>
    <w:p w:rsidR="00F94614" w:rsidRPr="00374785" w:rsidRDefault="00F94614" w:rsidP="00F94614">
      <w:pPr>
        <w:pStyle w:val="tMain"/>
      </w:pPr>
      <w:r w:rsidRPr="00374785">
        <w:tab/>
      </w:r>
      <w:r w:rsidRPr="00374785">
        <w:tab/>
        <w:t>Where:</w:t>
      </w:r>
    </w:p>
    <w:tbl>
      <w:tblPr>
        <w:tblStyle w:val="TableGrid"/>
        <w:tblW w:w="0" w:type="auto"/>
        <w:tblInd w:w="964" w:type="dxa"/>
        <w:tblLook w:val="04A0"/>
      </w:tblPr>
      <w:tblGrid>
        <w:gridCol w:w="1696"/>
        <w:gridCol w:w="6582"/>
      </w:tblGrid>
      <w:tr w:rsidR="00F94614" w:rsidRPr="00374785" w:rsidTr="00F94614">
        <w:tc>
          <w:tcPr>
            <w:tcW w:w="1696" w:type="dxa"/>
            <w:vAlign w:val="center"/>
          </w:tcPr>
          <w:p w:rsidR="00F94614" w:rsidRPr="00374785" w:rsidRDefault="0020376C" w:rsidP="00F94614">
            <w:pPr>
              <w:pStyle w:val="tMain"/>
              <w:ind w:left="0" w:firstLine="0"/>
              <w:jc w:val="right"/>
              <w:rPr>
                <w:color w:val="000000" w:themeColor="text1"/>
              </w:rPr>
            </w:pPr>
            <m:oMathPara>
              <m:oMathParaPr>
                <m:jc m:val="right"/>
              </m:oMathParaPr>
              <m:oMath>
                <m:sSub>
                  <m:sSubPr>
                    <m:ctrlPr>
                      <w:rPr>
                        <w:rFonts w:ascii="Cambria Math" w:hAnsi="Cambria Math"/>
                        <w:i/>
                        <w:color w:val="000000"/>
                      </w:rPr>
                    </m:ctrlPr>
                  </m:sSubPr>
                  <m:e>
                    <m:acc>
                      <m:accPr>
                        <m:chr m:val="̃"/>
                        <m:ctrlPr>
                          <w:rPr>
                            <w:rFonts w:ascii="Cambria Math" w:hAnsi="Cambria Math"/>
                            <w:i/>
                            <w:color w:val="000000"/>
                          </w:rPr>
                        </m:ctrlPr>
                      </m:accPr>
                      <m:e>
                        <m:r>
                          <w:rPr>
                            <w:rFonts w:ascii="Cambria Math" w:hAnsi="Cambria Math"/>
                            <w:color w:val="000000"/>
                          </w:rPr>
                          <m:t>R</m:t>
                        </m:r>
                      </m:e>
                    </m:acc>
                  </m:e>
                  <m:sub>
                    <m:r>
                      <w:rPr>
                        <w:rFonts w:ascii="Cambria Math" w:hAnsi="Cambria Math"/>
                        <w:color w:val="000000"/>
                      </w:rPr>
                      <m:t>i</m:t>
                    </m:r>
                  </m:sub>
                </m:sSub>
                <m:r>
                  <m:rPr>
                    <m:sty m:val="bi"/>
                  </m:rPr>
                  <w:rPr>
                    <w:rFonts w:ascii="Cambria Math" w:hAnsi="Cambria Math" w:cs="Calibri"/>
                    <w:color w:val="000000" w:themeColor="text1"/>
                    <w:lang w:eastAsia="en-US"/>
                  </w:rPr>
                  <m:t>=</m:t>
                </m:r>
              </m:oMath>
            </m:oMathPara>
          </w:p>
        </w:tc>
        <w:tc>
          <w:tcPr>
            <w:tcW w:w="6582" w:type="dxa"/>
          </w:tcPr>
          <w:p w:rsidR="00F94614" w:rsidRPr="00374785" w:rsidRDefault="00F94614" w:rsidP="00DF5CFD">
            <w:pPr>
              <w:pStyle w:val="tMain"/>
              <w:ind w:left="0" w:firstLine="0"/>
              <w:rPr>
                <w:color w:val="000000" w:themeColor="text1"/>
              </w:rPr>
            </w:pPr>
            <w:r w:rsidRPr="00374785">
              <w:rPr>
                <w:color w:val="000000" w:themeColor="text1"/>
              </w:rPr>
              <w:t xml:space="preserve">conservative estimate of </w:t>
            </w:r>
            <w:r w:rsidR="00DF5CFD" w:rsidRPr="00374785">
              <w:rPr>
                <w:color w:val="000000" w:themeColor="text1"/>
              </w:rPr>
              <w:t>average tree proportion</w:t>
            </w:r>
            <w:r w:rsidRPr="00374785">
              <w:rPr>
                <w:color w:val="000000" w:themeColor="text1"/>
              </w:rPr>
              <w:t xml:space="preserve"> (in stems/ha) within the </w:t>
            </w:r>
            <w:r w:rsidRPr="00374785">
              <w:rPr>
                <w:i/>
                <w:color w:val="000000" w:themeColor="text1"/>
              </w:rPr>
              <w:t>i</w:t>
            </w:r>
            <w:r w:rsidRPr="00374785">
              <w:rPr>
                <w:color w:val="000000" w:themeColor="text1"/>
                <w:vertAlign w:val="superscript"/>
              </w:rPr>
              <w:t xml:space="preserve">th </w:t>
            </w:r>
            <w:r w:rsidRPr="00374785">
              <w:rPr>
                <w:color w:val="000000" w:themeColor="text1"/>
              </w:rPr>
              <w:t xml:space="preserve">carbon estimation area. </w:t>
            </w:r>
          </w:p>
        </w:tc>
      </w:tr>
      <w:tr w:rsidR="00F94614" w:rsidRPr="00374785" w:rsidTr="00F94614">
        <w:tc>
          <w:tcPr>
            <w:tcW w:w="1696" w:type="dxa"/>
            <w:vAlign w:val="center"/>
          </w:tcPr>
          <w:p w:rsidR="00F94614" w:rsidRPr="00374785" w:rsidRDefault="0020376C" w:rsidP="00F94614">
            <w:pPr>
              <w:pStyle w:val="tMain"/>
              <w:ind w:left="0" w:firstLine="0"/>
              <w:jc w:val="right"/>
              <w:rPr>
                <w:color w:val="000000" w:themeColor="text1"/>
              </w:rPr>
            </w:pPr>
            <m:oMathPara>
              <m:oMathParaPr>
                <m:jc m:val="right"/>
              </m:oMathParaPr>
              <m:oMath>
                <m:sSub>
                  <m:sSubPr>
                    <m:ctrlPr>
                      <w:rPr>
                        <w:rFonts w:ascii="Cambria Math" w:hAnsi="Cambria Math"/>
                        <w:i/>
                        <w:color w:val="000000"/>
                      </w:rPr>
                    </m:ctrlPr>
                  </m:sSubPr>
                  <m:e>
                    <m:bar>
                      <m:barPr>
                        <m:pos m:val="top"/>
                        <m:ctrlPr>
                          <w:rPr>
                            <w:rFonts w:ascii="Cambria Math" w:hAnsi="Cambria Math"/>
                            <w:i/>
                            <w:color w:val="000000"/>
                          </w:rPr>
                        </m:ctrlPr>
                      </m:barPr>
                      <m:e>
                        <m:r>
                          <w:rPr>
                            <w:rFonts w:ascii="Cambria Math" w:hAnsi="Cambria Math"/>
                            <w:color w:val="000000"/>
                          </w:rPr>
                          <m:t>R</m:t>
                        </m:r>
                      </m:e>
                    </m:bar>
                  </m:e>
                  <m:sub>
                    <m:r>
                      <w:rPr>
                        <w:rFonts w:ascii="Cambria Math" w:hAnsi="Cambria Math"/>
                        <w:color w:val="000000"/>
                      </w:rPr>
                      <m:t>i</m:t>
                    </m:r>
                  </m:sub>
                </m:sSub>
                <m:r>
                  <m:rPr>
                    <m:sty m:val="bi"/>
                  </m:rPr>
                  <w:rPr>
                    <w:rFonts w:ascii="Cambria Math" w:hAnsi="Cambria Math" w:cs="Calibri"/>
                    <w:color w:val="000000" w:themeColor="text1"/>
                    <w:lang w:eastAsia="en-US"/>
                  </w:rPr>
                  <m:t>=</m:t>
                </m:r>
              </m:oMath>
            </m:oMathPara>
          </w:p>
        </w:tc>
        <w:tc>
          <w:tcPr>
            <w:tcW w:w="6582" w:type="dxa"/>
          </w:tcPr>
          <w:p w:rsidR="00F94614" w:rsidRPr="00374785" w:rsidRDefault="00F94614" w:rsidP="00F94614">
            <w:pPr>
              <w:pStyle w:val="tMain"/>
              <w:ind w:left="0" w:firstLine="0"/>
              <w:rPr>
                <w:color w:val="000000" w:themeColor="text1"/>
              </w:rPr>
            </w:pPr>
            <w:proofErr w:type="gramStart"/>
            <w:r w:rsidRPr="00374785">
              <w:rPr>
                <w:color w:val="000000" w:themeColor="text1"/>
              </w:rPr>
              <w:t>average</w:t>
            </w:r>
            <w:proofErr w:type="gramEnd"/>
            <w:r w:rsidRPr="00374785">
              <w:rPr>
                <w:color w:val="000000" w:themeColor="text1"/>
              </w:rPr>
              <w:t xml:space="preserve"> proportion of trees for the </w:t>
            </w:r>
            <m:oMath>
              <m:r>
                <w:rPr>
                  <w:rFonts w:ascii="Cambria Math" w:hAnsi="Cambria Math"/>
                  <w:color w:val="000000" w:themeColor="text1"/>
                </w:rPr>
                <m:t>i</m:t>
              </m:r>
            </m:oMath>
            <w:r w:rsidRPr="00374785">
              <w:rPr>
                <w:color w:val="000000" w:themeColor="text1"/>
                <w:vertAlign w:val="superscript"/>
              </w:rPr>
              <w:t>th</w:t>
            </w:r>
            <w:r w:rsidRPr="00374785">
              <w:rPr>
                <w:color w:val="000000" w:themeColor="text1"/>
              </w:rPr>
              <w:t xml:space="preserve"> carbon estimation area</w:t>
            </w:r>
            <w:r w:rsidR="00311E13">
              <w:rPr>
                <w:color w:val="000000" w:themeColor="text1"/>
              </w:rPr>
              <w:t>—see equation 7</w:t>
            </w:r>
            <w:r w:rsidRPr="00374785">
              <w:rPr>
                <w:color w:val="000000" w:themeColor="text1"/>
              </w:rPr>
              <w:t>.</w:t>
            </w:r>
          </w:p>
        </w:tc>
      </w:tr>
      <w:tr w:rsidR="00F94614" w:rsidRPr="00374785" w:rsidTr="00F94614">
        <w:tc>
          <w:tcPr>
            <w:tcW w:w="1696" w:type="dxa"/>
            <w:vAlign w:val="center"/>
          </w:tcPr>
          <w:p w:rsidR="00F94614" w:rsidRPr="00374785" w:rsidRDefault="0020376C" w:rsidP="002575CF">
            <w:pPr>
              <w:pStyle w:val="tMain"/>
              <w:ind w:left="0" w:firstLine="0"/>
              <w:jc w:val="right"/>
              <w:rPr>
                <w:color w:val="000000" w:themeColor="text1"/>
              </w:rPr>
            </w:pPr>
            <m:oMathPara>
              <m:oMathParaPr>
                <m:jc m:val="right"/>
              </m:oMathParaPr>
              <m:oMath>
                <m:sSub>
                  <m:sSubPr>
                    <m:ctrlPr>
                      <w:rPr>
                        <w:rFonts w:ascii="Cambria Math" w:hAnsi="Cambria Math" w:cs="Calibri"/>
                        <w:color w:val="000000" w:themeColor="text1"/>
                        <w:lang w:eastAsia="en-US"/>
                      </w:rPr>
                    </m:ctrlPr>
                  </m:sSubPr>
                  <m:e>
                    <m:r>
                      <w:rPr>
                        <w:rFonts w:ascii="Cambria Math" w:hAnsi="Cambria Math" w:cs="Calibri"/>
                        <w:color w:val="000000" w:themeColor="text1"/>
                        <w:lang w:eastAsia="en-US"/>
                      </w:rPr>
                      <m:t>t</m:t>
                    </m:r>
                  </m:e>
                  <m:sub>
                    <m:r>
                      <w:rPr>
                        <w:rFonts w:ascii="Cambria Math" w:hAnsi="Cambria Math" w:cs="Calibri"/>
                        <w:color w:val="000000" w:themeColor="text1"/>
                        <w:lang w:eastAsia="en-US"/>
                      </w:rPr>
                      <m:t>0.05</m:t>
                    </m:r>
                  </m:sub>
                </m:sSub>
                <m:r>
                  <w:rPr>
                    <w:rFonts w:ascii="Cambria Math" w:hAnsi="Cambria Math" w:cs="Calibri"/>
                    <w:color w:val="000000" w:themeColor="text1"/>
                    <w:lang w:eastAsia="en-US"/>
                  </w:rPr>
                  <m:t>=</m:t>
                </m:r>
              </m:oMath>
            </m:oMathPara>
          </w:p>
        </w:tc>
        <w:tc>
          <w:tcPr>
            <w:tcW w:w="6582" w:type="dxa"/>
          </w:tcPr>
          <w:p w:rsidR="00F94614" w:rsidRPr="00374785" w:rsidRDefault="00F94614" w:rsidP="002575CF">
            <w:pPr>
              <w:pStyle w:val="tMain"/>
              <w:ind w:left="0" w:firstLine="0"/>
              <w:rPr>
                <w:color w:val="000000" w:themeColor="text1"/>
              </w:rPr>
            </w:pPr>
            <w:r w:rsidRPr="00374785">
              <w:rPr>
                <w:color w:val="000000" w:themeColor="text1"/>
              </w:rPr>
              <w:t xml:space="preserve">critical value of the t-distribution for a Student’ t-test, using </w:t>
            </w:r>
            <m:oMath>
              <m:sSub>
                <m:sSubPr>
                  <m:ctrlPr>
                    <w:rPr>
                      <w:rFonts w:ascii="Cambria Math" w:hAnsi="Cambria Math"/>
                      <w:i/>
                      <w:color w:val="000000" w:themeColor="text1"/>
                    </w:rPr>
                  </m:ctrlPr>
                </m:sSubPr>
                <m:e>
                  <m:r>
                    <w:rPr>
                      <w:rFonts w:ascii="Cambria Math" w:eastAsiaTheme="minorEastAsia" w:hAnsi="Cambria Math"/>
                      <w:color w:val="000000"/>
                    </w:rPr>
                    <m:t>M</m:t>
                  </m:r>
                </m:e>
                <m:sub>
                  <m:r>
                    <w:rPr>
                      <w:rFonts w:ascii="Cambria Math" w:hAnsi="Cambria Math"/>
                      <w:color w:val="000000" w:themeColor="text1"/>
                    </w:rPr>
                    <m:t>i</m:t>
                  </m:r>
                </m:sub>
              </m:sSub>
            </m:oMath>
            <w:r w:rsidRPr="00374785">
              <w:rPr>
                <w:color w:val="000000" w:themeColor="text1"/>
              </w:rPr>
              <w:t xml:space="preserve">-1 degrees of freedom at the </w:t>
            </w:r>
            <w:r w:rsidRPr="00374785">
              <w:rPr>
                <w:i/>
                <w:color w:val="000000" w:themeColor="text1"/>
              </w:rPr>
              <w:t>P</w:t>
            </w:r>
            <w:r w:rsidRPr="00374785">
              <w:rPr>
                <w:color w:val="000000" w:themeColor="text1"/>
              </w:rPr>
              <w:t>=0.05 level of significance.</w:t>
            </w:r>
          </w:p>
        </w:tc>
      </w:tr>
      <w:tr w:rsidR="00F94614" w:rsidRPr="00374785" w:rsidTr="00F94614">
        <w:tc>
          <w:tcPr>
            <w:tcW w:w="1696" w:type="dxa"/>
            <w:vAlign w:val="center"/>
          </w:tcPr>
          <w:p w:rsidR="00F94614" w:rsidRPr="00374785" w:rsidRDefault="0020376C" w:rsidP="00F94614">
            <w:pPr>
              <w:pStyle w:val="tMain"/>
              <w:ind w:left="0" w:firstLine="0"/>
              <w:jc w:val="right"/>
              <w:rPr>
                <w:color w:val="000000" w:themeColor="text1"/>
              </w:rPr>
            </w:pPr>
            <m:oMathPara>
              <m:oMathParaPr>
                <m:jc m:val="right"/>
              </m:oMathParaPr>
              <m:oMath>
                <m:sSub>
                  <m:sSubPr>
                    <m:ctrlPr>
                      <w:rPr>
                        <w:rFonts w:ascii="Cambria Math" w:hAnsi="Cambria Math"/>
                        <w:color w:val="000000"/>
                      </w:rPr>
                    </m:ctrlPr>
                  </m:sSubPr>
                  <m:e>
                    <m:r>
                      <m:rPr>
                        <m:sty m:val="p"/>
                      </m:rPr>
                      <w:rPr>
                        <w:rFonts w:ascii="Cambria Math" w:hAnsi="Cambria Math"/>
                        <w:color w:val="000000"/>
                      </w:rPr>
                      <m:t>σ</m:t>
                    </m:r>
                  </m:e>
                  <m:sub>
                    <m:bar>
                      <m:barPr>
                        <m:pos m:val="top"/>
                        <m:ctrlPr>
                          <w:rPr>
                            <w:rFonts w:ascii="Cambria Math" w:hAnsi="Cambria Math"/>
                            <w:i/>
                            <w:color w:val="000000" w:themeColor="text1"/>
                          </w:rPr>
                        </m:ctrlPr>
                      </m:barPr>
                      <m:e>
                        <m:r>
                          <w:rPr>
                            <w:rFonts w:ascii="Cambria Math" w:hAnsi="Cambria Math"/>
                            <w:color w:val="000000" w:themeColor="text1"/>
                          </w:rPr>
                          <m:t>R</m:t>
                        </m:r>
                      </m:e>
                    </m:bar>
                    <m:r>
                      <w:rPr>
                        <w:rFonts w:ascii="Cambria Math" w:hAnsi="Cambria Math"/>
                        <w:color w:val="000000"/>
                      </w:rPr>
                      <m:t>i</m:t>
                    </m:r>
                  </m:sub>
                </m:sSub>
                <m:r>
                  <m:rPr>
                    <m:sty m:val="bi"/>
                  </m:rPr>
                  <w:rPr>
                    <w:rFonts w:ascii="Cambria Math" w:hAnsi="Cambria Math" w:cs="Calibri"/>
                    <w:color w:val="000000" w:themeColor="text1"/>
                    <w:lang w:eastAsia="en-US"/>
                  </w:rPr>
                  <m:t>=</m:t>
                </m:r>
              </m:oMath>
            </m:oMathPara>
          </w:p>
        </w:tc>
        <w:tc>
          <w:tcPr>
            <w:tcW w:w="6582" w:type="dxa"/>
          </w:tcPr>
          <w:p w:rsidR="00F94614" w:rsidRPr="00374785" w:rsidRDefault="00F94614" w:rsidP="00F94614">
            <w:pPr>
              <w:pStyle w:val="tMain"/>
              <w:ind w:left="0" w:firstLine="0"/>
              <w:rPr>
                <w:color w:val="000000" w:themeColor="text1"/>
              </w:rPr>
            </w:pPr>
            <w:proofErr w:type="gramStart"/>
            <w:r w:rsidRPr="00374785">
              <w:rPr>
                <w:color w:val="000000" w:themeColor="text1"/>
              </w:rPr>
              <w:t>standard</w:t>
            </w:r>
            <w:proofErr w:type="gramEnd"/>
            <w:r w:rsidRPr="00374785">
              <w:rPr>
                <w:color w:val="000000" w:themeColor="text1"/>
              </w:rPr>
              <w:t xml:space="preserve"> deviation of average tree proportion (</w:t>
            </w:r>
            <m:oMath>
              <m:bar>
                <m:barPr>
                  <m:pos m:val="top"/>
                  <m:ctrlPr>
                    <w:rPr>
                      <w:rFonts w:ascii="Cambria Math" w:hAnsi="Cambria Math"/>
                      <w:i/>
                      <w:color w:val="000000" w:themeColor="text1"/>
                    </w:rPr>
                  </m:ctrlPr>
                </m:barPr>
                <m:e>
                  <m:r>
                    <w:rPr>
                      <w:rFonts w:ascii="Cambria Math" w:hAnsi="Cambria Math"/>
                      <w:color w:val="000000" w:themeColor="text1"/>
                    </w:rPr>
                    <m:t>R</m:t>
                  </m:r>
                </m:e>
              </m:bar>
            </m:oMath>
            <w:r w:rsidRPr="00374785">
              <w:rPr>
                <w:color w:val="000000" w:themeColor="text1"/>
              </w:rPr>
              <w:t xml:space="preserve">) for plots within the </w:t>
            </w:r>
            <w:proofErr w:type="spellStart"/>
            <w:r w:rsidRPr="00374785">
              <w:rPr>
                <w:i/>
                <w:color w:val="000000" w:themeColor="text1"/>
              </w:rPr>
              <w:t>i</w:t>
            </w:r>
            <w:r w:rsidRPr="00374785">
              <w:rPr>
                <w:color w:val="000000" w:themeColor="text1"/>
                <w:vertAlign w:val="superscript"/>
              </w:rPr>
              <w:t>th</w:t>
            </w:r>
            <w:proofErr w:type="spellEnd"/>
            <w:r w:rsidRPr="00374785">
              <w:rPr>
                <w:color w:val="000000" w:themeColor="text1"/>
                <w:vertAlign w:val="superscript"/>
              </w:rPr>
              <w:t xml:space="preserve"> </w:t>
            </w:r>
            <w:r w:rsidRPr="00374785">
              <w:rPr>
                <w:color w:val="000000" w:themeColor="text1"/>
              </w:rPr>
              <w:t>carbon estimation area</w:t>
            </w:r>
            <w:r w:rsidR="00311E13">
              <w:rPr>
                <w:color w:val="000000" w:themeColor="text1"/>
              </w:rPr>
              <w:t>—see equation 8a</w:t>
            </w:r>
            <w:r w:rsidRPr="00374785">
              <w:rPr>
                <w:color w:val="000000" w:themeColor="text1"/>
              </w:rPr>
              <w:t>.</w:t>
            </w:r>
          </w:p>
        </w:tc>
      </w:tr>
      <w:tr w:rsidR="00F94614" w:rsidRPr="00374785" w:rsidTr="00F94614">
        <w:tc>
          <w:tcPr>
            <w:tcW w:w="1696" w:type="dxa"/>
            <w:vAlign w:val="center"/>
          </w:tcPr>
          <w:p w:rsidR="00F94614" w:rsidRPr="00374785" w:rsidRDefault="0020376C" w:rsidP="00F94614">
            <w:pPr>
              <w:pStyle w:val="tMain"/>
              <w:ind w:left="0" w:firstLine="0"/>
              <w:jc w:val="right"/>
              <w:rPr>
                <w:color w:val="000000" w:themeColor="text1"/>
              </w:rPr>
            </w:pPr>
            <m:oMath>
              <m:sSub>
                <m:sSubPr>
                  <m:ctrlPr>
                    <w:rPr>
                      <w:rFonts w:ascii="Cambria Math" w:hAnsi="Cambria Math"/>
                      <w:i/>
                      <w:color w:val="000000" w:themeColor="text1"/>
                    </w:rPr>
                  </m:ctrlPr>
                </m:sSubPr>
                <m:e>
                  <m:r>
                    <w:rPr>
                      <w:rFonts w:ascii="Cambria Math" w:eastAsiaTheme="minorEastAsia" w:hAnsi="Cambria Math"/>
                      <w:color w:val="000000"/>
                    </w:rPr>
                    <m:t>M</m:t>
                  </m:r>
                </m:e>
                <m:sub>
                  <m:r>
                    <w:rPr>
                      <w:rFonts w:ascii="Cambria Math" w:hAnsi="Cambria Math"/>
                      <w:color w:val="000000" w:themeColor="text1"/>
                    </w:rPr>
                    <m:t>i</m:t>
                  </m:r>
                </m:sub>
              </m:sSub>
            </m:oMath>
            <w:r w:rsidR="00F94614" w:rsidRPr="00374785">
              <w:rPr>
                <w:color w:val="000000" w:themeColor="text1"/>
              </w:rPr>
              <w:t xml:space="preserve"> </w:t>
            </w:r>
            <m:oMath>
              <m:r>
                <w:rPr>
                  <w:rFonts w:ascii="Cambria Math" w:hAnsi="Cambria Math"/>
                  <w:color w:val="000000" w:themeColor="text1"/>
                </w:rPr>
                <m:t>=</m:t>
              </m:r>
            </m:oMath>
          </w:p>
        </w:tc>
        <w:tc>
          <w:tcPr>
            <w:tcW w:w="6582" w:type="dxa"/>
          </w:tcPr>
          <w:p w:rsidR="00F94614" w:rsidRPr="00374785" w:rsidRDefault="00904D50" w:rsidP="00DF5CFD">
            <w:pPr>
              <w:pStyle w:val="tMain"/>
              <w:ind w:left="0" w:firstLine="0"/>
              <w:rPr>
                <w:color w:val="000000" w:themeColor="text1"/>
              </w:rPr>
            </w:pPr>
            <w:r w:rsidRPr="00374785">
              <w:rPr>
                <w:color w:val="000000" w:themeColor="text1"/>
              </w:rPr>
              <w:t xml:space="preserve">total number of plots in the </w:t>
            </w:r>
            <w:r w:rsidRPr="00374785">
              <w:rPr>
                <w:i/>
              </w:rPr>
              <w:t>i</w:t>
            </w:r>
            <w:r w:rsidRPr="00374785">
              <w:rPr>
                <w:vertAlign w:val="superscript"/>
              </w:rPr>
              <w:t>th</w:t>
            </w:r>
            <w:r w:rsidRPr="00374785">
              <w:rPr>
                <w:color w:val="000000" w:themeColor="text1"/>
              </w:rPr>
              <w:t xml:space="preserve"> carbon estimation area.</w:t>
            </w:r>
          </w:p>
        </w:tc>
      </w:tr>
      <w:tr w:rsidR="008B7F4F" w:rsidRPr="00374785" w:rsidTr="008B7F4F">
        <w:tc>
          <w:tcPr>
            <w:tcW w:w="1696" w:type="dxa"/>
            <w:vAlign w:val="center"/>
          </w:tcPr>
          <w:p w:rsidR="008B7F4F" w:rsidRPr="00374785" w:rsidRDefault="008B7F4F" w:rsidP="008B7F4F">
            <w:pPr>
              <w:pStyle w:val="tMain"/>
              <w:ind w:left="0" w:firstLine="0"/>
              <w:jc w:val="right"/>
              <w:rPr>
                <w:iCs/>
                <w:color w:val="000000"/>
              </w:rPr>
            </w:pPr>
            <w:r w:rsidRPr="00374785">
              <w:rPr>
                <w:i/>
              </w:rPr>
              <w:t>i</w:t>
            </w:r>
            <w:r w:rsidR="00F01999" w:rsidRPr="00374785">
              <w:rPr>
                <w:i/>
              </w:rPr>
              <w:t xml:space="preserve"> </w:t>
            </w:r>
            <w:r w:rsidRPr="00374785">
              <w:rPr>
                <w:i/>
              </w:rPr>
              <w:t>=</w:t>
            </w:r>
          </w:p>
        </w:tc>
        <w:tc>
          <w:tcPr>
            <w:tcW w:w="6582" w:type="dxa"/>
          </w:tcPr>
          <w:p w:rsidR="008B7F4F" w:rsidRPr="00374785" w:rsidRDefault="008B7F4F" w:rsidP="008B7F4F">
            <w:pPr>
              <w:pStyle w:val="tMain"/>
              <w:ind w:left="0" w:firstLine="0"/>
              <w:rPr>
                <w:color w:val="000000" w:themeColor="text1"/>
              </w:rPr>
            </w:pPr>
            <w:r w:rsidRPr="00374785">
              <w:rPr>
                <w:i/>
              </w:rPr>
              <w:t>i</w:t>
            </w:r>
            <w:r w:rsidRPr="00374785">
              <w:rPr>
                <w:vertAlign w:val="superscript"/>
              </w:rPr>
              <w:t>th</w:t>
            </w:r>
            <w:r w:rsidRPr="00374785">
              <w:rPr>
                <w:i/>
                <w:vertAlign w:val="superscript"/>
              </w:rPr>
              <w:t xml:space="preserve"> </w:t>
            </w:r>
            <w:r w:rsidRPr="00374785">
              <w:t>carbon estimation area.</w:t>
            </w:r>
          </w:p>
        </w:tc>
      </w:tr>
    </w:tbl>
    <w:p w:rsidR="000D62A9" w:rsidRPr="00374785" w:rsidRDefault="000D62A9" w:rsidP="000D62A9">
      <w:pPr>
        <w:pStyle w:val="h3Div"/>
      </w:pPr>
      <w:bookmarkStart w:id="62" w:name="_Toc397681606"/>
      <w:r w:rsidRPr="00374785">
        <w:lastRenderedPageBreak/>
        <w:t xml:space="preserve">Division </w:t>
      </w:r>
      <w:r w:rsidR="007F3C0F">
        <w:t>3.7</w:t>
      </w:r>
      <w:r w:rsidRPr="00374785">
        <w:tab/>
      </w:r>
      <w:r w:rsidR="00D3662C" w:rsidRPr="00374785">
        <w:t>Narrow or wide linear p</w:t>
      </w:r>
      <w:r w:rsidRPr="00374785">
        <w:t>lantings—competition from adjacent trees</w:t>
      </w:r>
      <w:bookmarkEnd w:id="62"/>
    </w:p>
    <w:p w:rsidR="000D62A9" w:rsidRPr="00374785" w:rsidRDefault="007F3C0F" w:rsidP="000D62A9">
      <w:pPr>
        <w:pStyle w:val="h5Section"/>
      </w:pPr>
      <w:bookmarkStart w:id="63" w:name="_Toc397681607"/>
      <w:r>
        <w:t>3.42</w:t>
      </w:r>
      <w:r w:rsidR="000D62A9" w:rsidRPr="00374785">
        <w:tab/>
        <w:t>Competition from adjacent trees</w:t>
      </w:r>
      <w:bookmarkEnd w:id="63"/>
    </w:p>
    <w:p w:rsidR="000D62A9" w:rsidRPr="00374785" w:rsidRDefault="000D62A9" w:rsidP="000D62A9">
      <w:pPr>
        <w:pStyle w:val="tMain"/>
      </w:pPr>
      <w:r w:rsidRPr="00374785">
        <w:tab/>
      </w:r>
      <w:r w:rsidR="007F3C0F">
        <w:t>(1)</w:t>
      </w:r>
      <w:r w:rsidRPr="00374785">
        <w:tab/>
        <w:t xml:space="preserve">A </w:t>
      </w:r>
      <w:r w:rsidR="00E2563E" w:rsidRPr="00374785">
        <w:t xml:space="preserve">narrow or wide linear planting </w:t>
      </w:r>
      <w:r w:rsidRPr="00374785">
        <w:t>must not be subject to competition from adjacent trees if the competition has a material impact on sequestration in the planting.</w:t>
      </w:r>
    </w:p>
    <w:p w:rsidR="000D62A9" w:rsidRPr="00374785" w:rsidRDefault="000D62A9" w:rsidP="000D62A9">
      <w:pPr>
        <w:pStyle w:val="tMain"/>
      </w:pPr>
      <w:r w:rsidRPr="00374785">
        <w:tab/>
      </w:r>
      <w:r w:rsidR="007F3C0F">
        <w:t>(2)</w:t>
      </w:r>
      <w:r w:rsidRPr="00374785">
        <w:tab/>
        <w:t>A project proponent must determine whether there is material competition from adjacent trees on a narrow or wide linear planting in accordance with this Division.</w:t>
      </w:r>
    </w:p>
    <w:p w:rsidR="00476C05" w:rsidRPr="00374785" w:rsidRDefault="00E2563E" w:rsidP="00476C05">
      <w:pPr>
        <w:pStyle w:val="notePara"/>
      </w:pPr>
      <w:r w:rsidRPr="00374785">
        <w:tab/>
      </w:r>
      <w:r w:rsidRPr="00374785">
        <w:rPr>
          <w:b/>
          <w:i/>
        </w:rPr>
        <w:t>Note</w:t>
      </w:r>
      <w:r w:rsidRPr="00374785">
        <w:tab/>
        <w:t xml:space="preserve">The presence or absence of adjacent trees </w:t>
      </w:r>
      <w:r w:rsidR="008320A0" w:rsidRPr="00374785">
        <w:t>may</w:t>
      </w:r>
      <w:r w:rsidRPr="00374785">
        <w:t xml:space="preserve"> be demonstrated</w:t>
      </w:r>
      <w:r w:rsidR="0096299B" w:rsidRPr="00374785">
        <w:t xml:space="preserve"> </w:t>
      </w:r>
      <w:r w:rsidRPr="00374785">
        <w:t xml:space="preserve">using remote imagery dated no earlier than 3 years prior to the planting </w:t>
      </w:r>
      <w:r w:rsidR="00C31A59" w:rsidRPr="00374785">
        <w:t>date for the planting.</w:t>
      </w:r>
      <w:r w:rsidR="005D3E94" w:rsidRPr="00374785">
        <w:t xml:space="preserve"> </w:t>
      </w:r>
      <w:r w:rsidR="00476C05" w:rsidRPr="00374785">
        <w:t>A proponent is able to re-stratify in accordance with section 3.8, to define a carbon estimation area such that it is not subject to material competition from adjacent trees.</w:t>
      </w:r>
    </w:p>
    <w:p w:rsidR="000D62A9" w:rsidRPr="00374785" w:rsidRDefault="000D62A9" w:rsidP="000D62A9">
      <w:pPr>
        <w:pStyle w:val="tMain"/>
      </w:pPr>
      <w:r w:rsidRPr="00374785">
        <w:tab/>
      </w:r>
      <w:r w:rsidR="007F3C0F">
        <w:t>(3)</w:t>
      </w:r>
      <w:r w:rsidRPr="00374785">
        <w:tab/>
        <w:t>In this Division:</w:t>
      </w:r>
    </w:p>
    <w:p w:rsidR="000D62A9" w:rsidRPr="00374785" w:rsidRDefault="0096299B" w:rsidP="000D62A9">
      <w:pPr>
        <w:pStyle w:val="tDefn"/>
      </w:pPr>
      <w:r w:rsidRPr="00374785">
        <w:rPr>
          <w:b/>
          <w:i/>
        </w:rPr>
        <w:t>grouped</w:t>
      </w:r>
      <w:r w:rsidR="000D62A9" w:rsidRPr="00374785">
        <w:rPr>
          <w:b/>
          <w:i/>
        </w:rPr>
        <w:t xml:space="preserve"> adjacent trees</w:t>
      </w:r>
      <w:r w:rsidR="000D62A9" w:rsidRPr="00374785">
        <w:t xml:space="preserve"> means a group of adjacent trees where</w:t>
      </w:r>
      <w:r w:rsidRPr="00374785">
        <w:t xml:space="preserve"> all </w:t>
      </w:r>
      <w:r w:rsidR="000D62A9" w:rsidRPr="00374785">
        <w:t xml:space="preserve">the stems </w:t>
      </w:r>
      <w:r w:rsidRPr="00374785">
        <w:t xml:space="preserve">in the group </w:t>
      </w:r>
      <w:r w:rsidR="000D62A9" w:rsidRPr="00374785">
        <w:t>are less than 20 metres apart.</w:t>
      </w:r>
    </w:p>
    <w:p w:rsidR="000D62A9" w:rsidRPr="00374785" w:rsidRDefault="000D62A9" w:rsidP="000D62A9">
      <w:pPr>
        <w:pStyle w:val="tDefn"/>
      </w:pPr>
      <w:r w:rsidRPr="00374785">
        <w:rPr>
          <w:b/>
          <w:i/>
        </w:rPr>
        <w:t>individual adjacent tree</w:t>
      </w:r>
      <w:r w:rsidRPr="00374785">
        <w:t xml:space="preserve"> means an adjacent tree that is more than 20 metres from any other adjacent tree.</w:t>
      </w:r>
    </w:p>
    <w:p w:rsidR="000D62A9" w:rsidRPr="00374785" w:rsidRDefault="007F3C0F" w:rsidP="000D62A9">
      <w:pPr>
        <w:pStyle w:val="h5Section"/>
      </w:pPr>
      <w:bookmarkStart w:id="64" w:name="_Toc397681608"/>
      <w:r>
        <w:t>3.43</w:t>
      </w:r>
      <w:r w:rsidR="000D62A9" w:rsidRPr="00374785">
        <w:tab/>
        <w:t>Determining material competition —individual adjacent trees only</w:t>
      </w:r>
      <w:bookmarkEnd w:id="64"/>
    </w:p>
    <w:p w:rsidR="000D62A9" w:rsidRPr="00374785" w:rsidRDefault="000D62A9" w:rsidP="000D62A9">
      <w:pPr>
        <w:pStyle w:val="tMain"/>
      </w:pPr>
      <w:r w:rsidRPr="00374785">
        <w:tab/>
      </w:r>
      <w:r w:rsidR="007F3C0F">
        <w:t>(1)</w:t>
      </w:r>
      <w:r w:rsidRPr="00374785">
        <w:tab/>
        <w:t>Subject to section 3.</w:t>
      </w:r>
      <w:r w:rsidR="00E679FA" w:rsidRPr="00374785">
        <w:t>44</w:t>
      </w:r>
      <w:r w:rsidRPr="00374785">
        <w:t xml:space="preserve">, material competition from </w:t>
      </w:r>
      <w:r w:rsidR="0075531C" w:rsidRPr="00374785">
        <w:t xml:space="preserve">individual </w:t>
      </w:r>
      <w:r w:rsidRPr="00374785">
        <w:t xml:space="preserve">adjacent trees is taken to </w:t>
      </w:r>
      <w:r w:rsidR="0096299B" w:rsidRPr="00374785">
        <w:t>be occurring</w:t>
      </w:r>
      <w:r w:rsidRPr="00374785">
        <w:t xml:space="preserve"> for a narrow or wide linear planting if, on average, there is more than one individual adjacent tree for:</w:t>
      </w:r>
    </w:p>
    <w:p w:rsidR="000D62A9" w:rsidRPr="00374785" w:rsidRDefault="000D62A9" w:rsidP="000D62A9">
      <w:pPr>
        <w:pStyle w:val="tPara"/>
      </w:pPr>
      <w:r w:rsidRPr="00374785">
        <w:tab/>
      </w:r>
      <w:r w:rsidR="007F3C0F">
        <w:t>(a)</w:t>
      </w:r>
      <w:r w:rsidRPr="00374785">
        <w:tab/>
        <w:t xml:space="preserve">a narrow linear planting— every 150 metres </w:t>
      </w:r>
      <w:r w:rsidR="0075531C" w:rsidRPr="00374785">
        <w:t xml:space="preserve">in length </w:t>
      </w:r>
      <w:r w:rsidRPr="00374785">
        <w:t>of the boundaries parallel to the long axis of the planting; or</w:t>
      </w:r>
    </w:p>
    <w:p w:rsidR="000D62A9" w:rsidRPr="00374785" w:rsidRDefault="000D62A9" w:rsidP="000D62A9">
      <w:pPr>
        <w:pStyle w:val="tPara"/>
      </w:pPr>
      <w:r w:rsidRPr="00374785">
        <w:tab/>
      </w:r>
      <w:r w:rsidR="007F3C0F">
        <w:t>(b)</w:t>
      </w:r>
      <w:r w:rsidRPr="00374785">
        <w:tab/>
        <w:t xml:space="preserve">a wide linear planting— every 75 metres </w:t>
      </w:r>
      <w:r w:rsidR="0075531C" w:rsidRPr="00374785">
        <w:t xml:space="preserve">in  length </w:t>
      </w:r>
      <w:r w:rsidRPr="00374785">
        <w:t>of the boundaries parallel to the long axis of the planting.</w:t>
      </w:r>
    </w:p>
    <w:p w:rsidR="000D62A9" w:rsidRPr="00374785" w:rsidRDefault="007F3C0F" w:rsidP="000D62A9">
      <w:pPr>
        <w:pStyle w:val="h5Section"/>
      </w:pPr>
      <w:bookmarkStart w:id="65" w:name="_Toc397681609"/>
      <w:r>
        <w:t>3.44</w:t>
      </w:r>
      <w:r w:rsidR="000D62A9" w:rsidRPr="00374785">
        <w:tab/>
        <w:t>Determining material competition—</w:t>
      </w:r>
      <w:r w:rsidR="0096299B" w:rsidRPr="00374785">
        <w:t>grouped</w:t>
      </w:r>
      <w:r w:rsidR="000D62A9" w:rsidRPr="00374785">
        <w:t xml:space="preserve"> adjacent trees</w:t>
      </w:r>
      <w:bookmarkEnd w:id="65"/>
    </w:p>
    <w:p w:rsidR="000D62A9" w:rsidRPr="00374785" w:rsidRDefault="000D62A9" w:rsidP="005D3E94">
      <w:pPr>
        <w:pStyle w:val="tMain"/>
      </w:pPr>
      <w:r w:rsidRPr="00374785">
        <w:tab/>
      </w:r>
      <w:r w:rsidR="007F3C0F">
        <w:t>(1)</w:t>
      </w:r>
      <w:r w:rsidRPr="00374785">
        <w:tab/>
      </w:r>
      <w:r w:rsidR="005D3E94" w:rsidRPr="00374785">
        <w:t>The occurrence of m</w:t>
      </w:r>
      <w:r w:rsidRPr="00374785">
        <w:t xml:space="preserve">aterial competition from </w:t>
      </w:r>
      <w:r w:rsidR="0096299B" w:rsidRPr="00374785">
        <w:t>grouped</w:t>
      </w:r>
      <w:r w:rsidR="0075531C" w:rsidRPr="00374785">
        <w:t xml:space="preserve"> </w:t>
      </w:r>
      <w:r w:rsidRPr="00374785">
        <w:t xml:space="preserve">adjacent trees </w:t>
      </w:r>
      <w:r w:rsidR="005D3E94" w:rsidRPr="00374785">
        <w:t>must be</w:t>
      </w:r>
      <w:r w:rsidRPr="00374785">
        <w:t xml:space="preserve"> determined in accordance with this section.</w:t>
      </w:r>
    </w:p>
    <w:p w:rsidR="00632CC6" w:rsidRPr="00374785" w:rsidRDefault="000D62A9" w:rsidP="00632CC6">
      <w:pPr>
        <w:pStyle w:val="notePara"/>
      </w:pPr>
      <w:r w:rsidRPr="00374785">
        <w:tab/>
      </w:r>
      <w:r w:rsidRPr="00374785">
        <w:rPr>
          <w:b/>
          <w:i/>
        </w:rPr>
        <w:t>Note</w:t>
      </w:r>
      <w:r w:rsidRPr="00374785">
        <w:tab/>
      </w:r>
      <w:r w:rsidR="00632CC6" w:rsidRPr="00374785">
        <w:t xml:space="preserve">Material competition from </w:t>
      </w:r>
      <w:r w:rsidR="0096299B" w:rsidRPr="00374785">
        <w:t>grouped</w:t>
      </w:r>
      <w:r w:rsidR="00632CC6" w:rsidRPr="00374785">
        <w:t xml:space="preserve"> adjacent trees for a narrow or wide linear planting could occur where there exists:</w:t>
      </w:r>
    </w:p>
    <w:p w:rsidR="00632CC6" w:rsidRPr="00374785" w:rsidRDefault="00632CC6" w:rsidP="00632CC6">
      <w:pPr>
        <w:pStyle w:val="notePara"/>
      </w:pPr>
      <w:r w:rsidRPr="00374785">
        <w:tab/>
      </w:r>
      <w:r w:rsidRPr="00374785">
        <w:tab/>
        <w:t>(a)</w:t>
      </w:r>
      <w:r w:rsidRPr="00374785">
        <w:tab/>
        <w:t xml:space="preserve">a single occurrence of </w:t>
      </w:r>
      <w:r w:rsidR="0096299B" w:rsidRPr="00374785">
        <w:t>grouped</w:t>
      </w:r>
      <w:r w:rsidRPr="00374785">
        <w:t xml:space="preserve"> adjacent trees; </w:t>
      </w:r>
    </w:p>
    <w:p w:rsidR="00632CC6" w:rsidRPr="00374785" w:rsidRDefault="00632CC6" w:rsidP="00632CC6">
      <w:pPr>
        <w:pStyle w:val="notePara"/>
      </w:pPr>
      <w:r w:rsidRPr="00374785">
        <w:tab/>
      </w:r>
      <w:r w:rsidRPr="00374785">
        <w:tab/>
        <w:t>(b)</w:t>
      </w:r>
      <w:r w:rsidRPr="00374785">
        <w:tab/>
        <w:t xml:space="preserve">multiple occurrences of </w:t>
      </w:r>
      <w:r w:rsidR="0096299B" w:rsidRPr="00374785">
        <w:t>grouped</w:t>
      </w:r>
      <w:r w:rsidRPr="00374785">
        <w:t xml:space="preserve"> adjacent trees; or</w:t>
      </w:r>
    </w:p>
    <w:p w:rsidR="00632CC6" w:rsidRPr="00374785" w:rsidRDefault="00632CC6" w:rsidP="00632CC6">
      <w:pPr>
        <w:pStyle w:val="notePara"/>
      </w:pPr>
      <w:r w:rsidRPr="00374785">
        <w:tab/>
      </w:r>
      <w:r w:rsidRPr="00374785">
        <w:tab/>
        <w:t>(c)</w:t>
      </w:r>
      <w:r w:rsidRPr="00374785">
        <w:tab/>
        <w:t>either (a) or (b) in combination with individual adjacent trees</w:t>
      </w:r>
    </w:p>
    <w:p w:rsidR="000D62A9" w:rsidRPr="00374785" w:rsidRDefault="00632CC6" w:rsidP="00632CC6">
      <w:pPr>
        <w:pStyle w:val="notePara"/>
      </w:pPr>
      <w:r w:rsidRPr="00374785">
        <w:tab/>
      </w:r>
      <w:r w:rsidRPr="00374785">
        <w:tab/>
        <w:t>I</w:t>
      </w:r>
      <w:r w:rsidR="000D62A9" w:rsidRPr="00374785">
        <w:t xml:space="preserve">f only </w:t>
      </w:r>
      <w:r w:rsidR="006D6569" w:rsidRPr="00374785">
        <w:t xml:space="preserve">individual </w:t>
      </w:r>
      <w:r w:rsidR="000D62A9" w:rsidRPr="00374785">
        <w:t>adjacent trees are present in the adjoin</w:t>
      </w:r>
      <w:r w:rsidRPr="00374785">
        <w:t>ing</w:t>
      </w:r>
      <w:r w:rsidR="000D62A9" w:rsidRPr="00374785">
        <w:t xml:space="preserve"> area </w:t>
      </w:r>
      <w:r w:rsidR="00EE5461" w:rsidRPr="00374785">
        <w:t xml:space="preserve">the project proponent must determine if </w:t>
      </w:r>
      <w:r w:rsidR="000D62A9" w:rsidRPr="00374785">
        <w:t xml:space="preserve">material </w:t>
      </w:r>
      <w:r w:rsidRPr="00374785">
        <w:t>competition</w:t>
      </w:r>
      <w:r w:rsidR="000D62A9" w:rsidRPr="00374785">
        <w:t xml:space="preserve"> </w:t>
      </w:r>
      <w:r w:rsidR="005D3E94" w:rsidRPr="00374785">
        <w:t>is determined</w:t>
      </w:r>
      <w:r w:rsidR="000D62A9" w:rsidRPr="00374785">
        <w:t xml:space="preserve"> in accordance with section 3.19.</w:t>
      </w:r>
    </w:p>
    <w:p w:rsidR="000D62A9" w:rsidRPr="00374785" w:rsidRDefault="000D62A9" w:rsidP="000D62A9">
      <w:pPr>
        <w:pStyle w:val="tMain"/>
      </w:pPr>
      <w:r w:rsidRPr="00374785">
        <w:tab/>
      </w:r>
      <w:r w:rsidR="007F3C0F">
        <w:t>(2)</w:t>
      </w:r>
      <w:r w:rsidRPr="00374785">
        <w:tab/>
        <w:t xml:space="preserve">The </w:t>
      </w:r>
      <w:r w:rsidR="00B90D0D" w:rsidRPr="00374785">
        <w:t>net length of impact</w:t>
      </w:r>
      <w:r w:rsidRPr="00374785">
        <w:t xml:space="preserve"> of </w:t>
      </w:r>
      <w:r w:rsidR="0096299B" w:rsidRPr="00374785">
        <w:t>grouped</w:t>
      </w:r>
      <w:r w:rsidRPr="00374785">
        <w:t xml:space="preserve"> adjacent trees is estimated in accordance with subsections (3) to (8).</w:t>
      </w:r>
    </w:p>
    <w:p w:rsidR="000D62A9" w:rsidRPr="00374785" w:rsidRDefault="000D62A9" w:rsidP="000D62A9">
      <w:pPr>
        <w:pStyle w:val="tMain"/>
      </w:pPr>
      <w:r w:rsidRPr="00374785">
        <w:tab/>
      </w:r>
      <w:r w:rsidR="007F3C0F">
        <w:t>(3)</w:t>
      </w:r>
      <w:r w:rsidRPr="00374785">
        <w:tab/>
        <w:t xml:space="preserve">The distance between the outermost stems of </w:t>
      </w:r>
      <w:r w:rsidR="002C4542" w:rsidRPr="00374785">
        <w:t xml:space="preserve">each </w:t>
      </w:r>
      <w:r w:rsidR="00632CC6" w:rsidRPr="00374785">
        <w:t xml:space="preserve">occurrence of </w:t>
      </w:r>
      <w:r w:rsidR="0096299B" w:rsidRPr="00374785">
        <w:t>grouped</w:t>
      </w:r>
      <w:r w:rsidRPr="00374785">
        <w:t xml:space="preserve"> adjacent trees must be measured along the long axis of the planting.</w:t>
      </w:r>
    </w:p>
    <w:p w:rsidR="000D62A9" w:rsidRPr="00374785" w:rsidRDefault="000D62A9" w:rsidP="000D62A9">
      <w:pPr>
        <w:pStyle w:val="tMain"/>
      </w:pPr>
      <w:r w:rsidRPr="00374785">
        <w:tab/>
      </w:r>
      <w:r w:rsidR="007F3C0F">
        <w:t>(4)</w:t>
      </w:r>
      <w:r w:rsidRPr="00374785">
        <w:tab/>
        <w:t>The length of impact of each clump must be determined by adding 40 metres to the distance determined in subsection (3).</w:t>
      </w:r>
    </w:p>
    <w:p w:rsidR="000D62A9" w:rsidRPr="00374785" w:rsidRDefault="000D62A9" w:rsidP="000D62A9">
      <w:pPr>
        <w:pStyle w:val="tMain"/>
      </w:pPr>
      <w:r w:rsidRPr="00374785">
        <w:lastRenderedPageBreak/>
        <w:tab/>
      </w:r>
      <w:r w:rsidR="007F3C0F">
        <w:t>(5)</w:t>
      </w:r>
      <w:r w:rsidRPr="00374785">
        <w:tab/>
        <w:t>The length of impact of each occurrence of an individual adjacent tree is taken to be 40 metres.</w:t>
      </w:r>
    </w:p>
    <w:p w:rsidR="000D62A9" w:rsidRPr="00374785" w:rsidRDefault="000D62A9" w:rsidP="000D62A9">
      <w:pPr>
        <w:pStyle w:val="tMain"/>
      </w:pPr>
      <w:r w:rsidRPr="00374785">
        <w:tab/>
      </w:r>
      <w:r w:rsidR="007F3C0F">
        <w:t>(6)</w:t>
      </w:r>
      <w:r w:rsidRPr="00374785">
        <w:tab/>
        <w:t>The gross length of impact of the adjacent trees is determined by adding together the distances specified in subsections (4) and (5)</w:t>
      </w:r>
      <w:r w:rsidR="002C4542" w:rsidRPr="00374785">
        <w:t xml:space="preserve"> for all </w:t>
      </w:r>
      <w:r w:rsidR="0096299B" w:rsidRPr="00374785">
        <w:t>grouped</w:t>
      </w:r>
      <w:r w:rsidR="002C4542" w:rsidRPr="00374785">
        <w:t xml:space="preserve"> and individual </w:t>
      </w:r>
      <w:r w:rsidR="00632CC6" w:rsidRPr="00374785">
        <w:t xml:space="preserve">adjacent </w:t>
      </w:r>
      <w:r w:rsidR="002C4542" w:rsidRPr="00374785">
        <w:t>trees</w:t>
      </w:r>
      <w:r w:rsidR="00632CC6" w:rsidRPr="00374785">
        <w:t xml:space="preserve"> </w:t>
      </w:r>
      <w:r w:rsidRPr="00374785">
        <w:t>.</w:t>
      </w:r>
    </w:p>
    <w:p w:rsidR="000D62A9" w:rsidRPr="00374785" w:rsidRDefault="000D62A9" w:rsidP="000D62A9">
      <w:pPr>
        <w:pStyle w:val="h6Subsec"/>
      </w:pPr>
      <w:r w:rsidRPr="00374785">
        <w:t xml:space="preserve">Overlap adjustment for a narrow linear planting </w:t>
      </w:r>
    </w:p>
    <w:p w:rsidR="000D62A9" w:rsidRPr="00374785" w:rsidRDefault="000D62A9" w:rsidP="000D62A9">
      <w:pPr>
        <w:pStyle w:val="tMain"/>
      </w:pPr>
      <w:r w:rsidRPr="00374785">
        <w:tab/>
      </w:r>
      <w:r w:rsidR="007F3C0F">
        <w:t>(7)</w:t>
      </w:r>
      <w:r w:rsidRPr="00374785">
        <w:tab/>
        <w:t xml:space="preserve">If the planting is a narrow linear planting where: </w:t>
      </w:r>
    </w:p>
    <w:p w:rsidR="000D62A9" w:rsidRPr="00374785" w:rsidRDefault="000D62A9" w:rsidP="000D62A9">
      <w:pPr>
        <w:pStyle w:val="tPara"/>
      </w:pPr>
      <w:r w:rsidRPr="00374785">
        <w:tab/>
      </w:r>
      <w:r w:rsidR="007F3C0F">
        <w:t>(a)</w:t>
      </w:r>
      <w:r w:rsidRPr="00374785">
        <w:tab/>
        <w:t>there are adjacent trees on opposite sides of a narrow linear planting; and</w:t>
      </w:r>
    </w:p>
    <w:p w:rsidR="000D62A9" w:rsidRPr="00374785" w:rsidRDefault="000D62A9" w:rsidP="000D62A9">
      <w:pPr>
        <w:pStyle w:val="tPara"/>
      </w:pPr>
      <w:r w:rsidRPr="00374785">
        <w:tab/>
      </w:r>
      <w:r w:rsidR="007F3C0F">
        <w:t>(b)</w:t>
      </w:r>
      <w:r w:rsidRPr="00374785">
        <w:tab/>
        <w:t>the length of impact of these adjacent trees overlaps;</w:t>
      </w:r>
    </w:p>
    <w:p w:rsidR="000D62A9" w:rsidRPr="00374785" w:rsidRDefault="000D62A9" w:rsidP="000D62A9">
      <w:pPr>
        <w:pStyle w:val="tMain"/>
      </w:pPr>
      <w:r w:rsidRPr="00374785">
        <w:tab/>
      </w:r>
      <w:r w:rsidRPr="00374785">
        <w:tab/>
        <w:t>then:</w:t>
      </w:r>
    </w:p>
    <w:p w:rsidR="000D62A9" w:rsidRPr="00374785" w:rsidRDefault="000D62A9" w:rsidP="000D62A9">
      <w:pPr>
        <w:pStyle w:val="tPara"/>
      </w:pPr>
      <w:r w:rsidRPr="00374785">
        <w:tab/>
      </w:r>
      <w:r w:rsidR="007F3C0F">
        <w:t>(c)</w:t>
      </w:r>
      <w:r w:rsidRPr="00374785">
        <w:tab/>
        <w:t>the distance of the overlap along the long axis of the planting must be measured; and</w:t>
      </w:r>
    </w:p>
    <w:p w:rsidR="000D62A9" w:rsidRPr="00374785" w:rsidRDefault="000D62A9" w:rsidP="000D62A9">
      <w:pPr>
        <w:pStyle w:val="tPara"/>
      </w:pPr>
      <w:r w:rsidRPr="00374785">
        <w:tab/>
      </w:r>
      <w:r w:rsidR="007F3C0F">
        <w:t>(d)</w:t>
      </w:r>
      <w:r w:rsidRPr="00374785">
        <w:tab/>
        <w:t>the distance determined in paragraph (c) must be halved to give the overlap adjustment; and</w:t>
      </w:r>
    </w:p>
    <w:p w:rsidR="000D62A9" w:rsidRPr="00374785" w:rsidRDefault="000D62A9" w:rsidP="000D62A9">
      <w:pPr>
        <w:pStyle w:val="tPara"/>
      </w:pPr>
      <w:r w:rsidRPr="00374785">
        <w:tab/>
      </w:r>
      <w:r w:rsidR="007F3C0F">
        <w:t>(e)</w:t>
      </w:r>
      <w:r w:rsidRPr="00374785">
        <w:tab/>
        <w:t>the overlap adjustment calculated in paragraph (d) must be subtracted from the gross length of impact determined in subsection (6).</w:t>
      </w:r>
    </w:p>
    <w:p w:rsidR="000D62A9" w:rsidRPr="00374785" w:rsidRDefault="000D62A9" w:rsidP="000D62A9">
      <w:pPr>
        <w:pStyle w:val="tMain"/>
      </w:pPr>
      <w:r w:rsidRPr="00374785">
        <w:tab/>
      </w:r>
      <w:r w:rsidR="007F3C0F">
        <w:t>(8)</w:t>
      </w:r>
      <w:r w:rsidRPr="00374785">
        <w:tab/>
        <w:t>The net length of impact must:</w:t>
      </w:r>
    </w:p>
    <w:p w:rsidR="000D62A9" w:rsidRPr="00374785" w:rsidRDefault="000D62A9" w:rsidP="000D62A9">
      <w:pPr>
        <w:pStyle w:val="tPara"/>
      </w:pPr>
      <w:r w:rsidRPr="00374785">
        <w:tab/>
      </w:r>
      <w:r w:rsidR="007F3C0F">
        <w:t>(a)</w:t>
      </w:r>
      <w:r w:rsidRPr="00374785">
        <w:tab/>
        <w:t>for a narrow linear planting—be the length determined in accordance with subsection (6) and, if relevant, subsection (7) ; or</w:t>
      </w:r>
    </w:p>
    <w:p w:rsidR="000D62A9" w:rsidRPr="00374785" w:rsidRDefault="000D62A9" w:rsidP="000D62A9">
      <w:pPr>
        <w:pStyle w:val="tPara"/>
      </w:pPr>
      <w:r w:rsidRPr="00374785">
        <w:tab/>
      </w:r>
      <w:r w:rsidR="007F3C0F">
        <w:t>(b)</w:t>
      </w:r>
      <w:r w:rsidRPr="00374785">
        <w:tab/>
        <w:t>for a wide linear planting—be the length determined in accordance with subsection (6).</w:t>
      </w:r>
    </w:p>
    <w:p w:rsidR="000D62A9" w:rsidRPr="00374785" w:rsidRDefault="000D62A9" w:rsidP="000D62A9">
      <w:pPr>
        <w:pStyle w:val="tMain"/>
      </w:pPr>
      <w:r w:rsidRPr="00374785">
        <w:tab/>
      </w:r>
      <w:r w:rsidR="007F3C0F">
        <w:t>(9)</w:t>
      </w:r>
      <w:r w:rsidRPr="00374785">
        <w:tab/>
        <w:t xml:space="preserve">If the net length of impact </w:t>
      </w:r>
      <w:r w:rsidR="00C76746" w:rsidRPr="00374785">
        <w:t xml:space="preserve">of adjacent trees </w:t>
      </w:r>
      <w:r w:rsidRPr="00374785">
        <w:t>is:</w:t>
      </w:r>
    </w:p>
    <w:p w:rsidR="000D62A9" w:rsidRPr="00374785" w:rsidRDefault="000D62A9" w:rsidP="000D62A9">
      <w:pPr>
        <w:pStyle w:val="tPara"/>
      </w:pPr>
      <w:r w:rsidRPr="00374785">
        <w:tab/>
      </w:r>
      <w:r w:rsidR="007F3C0F">
        <w:t>(a)</w:t>
      </w:r>
      <w:r w:rsidRPr="00374785">
        <w:tab/>
        <w:t>for a narrow linear planting— more than 20% of the length of the long axis of the planting; or</w:t>
      </w:r>
    </w:p>
    <w:p w:rsidR="000D62A9" w:rsidRPr="00374785" w:rsidRDefault="000D62A9" w:rsidP="000D62A9">
      <w:pPr>
        <w:pStyle w:val="tPara"/>
      </w:pPr>
      <w:r w:rsidRPr="00374785">
        <w:tab/>
      </w:r>
      <w:r w:rsidR="007F3C0F">
        <w:t>(b)</w:t>
      </w:r>
      <w:r w:rsidRPr="00374785">
        <w:tab/>
        <w:t>for a wide linear planting— more than 20% of twice the length of the long axis of the planting;</w:t>
      </w:r>
    </w:p>
    <w:p w:rsidR="000D62A9" w:rsidRPr="00374785" w:rsidRDefault="000D62A9" w:rsidP="000D62A9">
      <w:pPr>
        <w:pStyle w:val="tMain"/>
      </w:pPr>
      <w:r w:rsidRPr="00374785">
        <w:tab/>
      </w:r>
      <w:r w:rsidRPr="00374785">
        <w:tab/>
      </w:r>
      <w:r w:rsidR="00476C05" w:rsidRPr="00374785">
        <w:t>t</w:t>
      </w:r>
      <w:r w:rsidRPr="00374785">
        <w:t>hen</w:t>
      </w:r>
      <w:r w:rsidR="00476C05" w:rsidRPr="00374785">
        <w:t>:</w:t>
      </w:r>
    </w:p>
    <w:p w:rsidR="000D62A9" w:rsidRPr="00374785" w:rsidRDefault="000D62A9" w:rsidP="000D62A9">
      <w:pPr>
        <w:pStyle w:val="tPara"/>
      </w:pPr>
      <w:r w:rsidRPr="00374785">
        <w:tab/>
      </w:r>
      <w:r w:rsidR="007F3C0F">
        <w:t>(c)</w:t>
      </w:r>
      <w:r w:rsidRPr="00374785">
        <w:tab/>
        <w:t>the adjacent trees are taken</w:t>
      </w:r>
      <w:r w:rsidR="00533242" w:rsidRPr="00374785">
        <w:t xml:space="preserve"> to</w:t>
      </w:r>
      <w:r w:rsidRPr="00374785">
        <w:t xml:space="preserve"> </w:t>
      </w:r>
      <w:r w:rsidR="00533242" w:rsidRPr="00374785">
        <w:t>cause material competition for the</w:t>
      </w:r>
      <w:r w:rsidRPr="00374785">
        <w:t xml:space="preserve"> planting</w:t>
      </w:r>
      <w:r w:rsidR="00476C05" w:rsidRPr="00374785">
        <w:t>.</w:t>
      </w:r>
      <w:r w:rsidRPr="00374785">
        <w:t xml:space="preserve"> </w:t>
      </w:r>
    </w:p>
    <w:p w:rsidR="000D62A9" w:rsidRPr="00374785" w:rsidRDefault="000D62A9" w:rsidP="000D62A9">
      <w:pPr>
        <w:pStyle w:val="notePara"/>
      </w:pPr>
      <w:r w:rsidRPr="00374785">
        <w:tab/>
      </w:r>
      <w:r w:rsidRPr="00374785">
        <w:rPr>
          <w:b/>
          <w:i/>
        </w:rPr>
        <w:t>Note</w:t>
      </w:r>
      <w:r w:rsidRPr="00374785">
        <w:tab/>
        <w:t xml:space="preserve">Adjacent trees are taken to impact the entire width of a narrow linear planting, but only taken to impact one </w:t>
      </w:r>
      <w:r w:rsidR="00C76746" w:rsidRPr="00374785">
        <w:t xml:space="preserve">half of the width </w:t>
      </w:r>
      <w:r w:rsidRPr="00374785">
        <w:t>of a wide linear planting. Consequently in paragraph (9)(b) the  length of the long axis of the planting is doubled before calculating the impacted percentage of the planting. This means a wide linear planting can effectively have twice as many individual adjacent tree impacts before there is a material impact on sequestration.</w:t>
      </w:r>
    </w:p>
    <w:p w:rsidR="002B60C7" w:rsidRPr="00374785" w:rsidRDefault="00FE4296" w:rsidP="00FE4296">
      <w:pPr>
        <w:pStyle w:val="h3Div"/>
      </w:pPr>
      <w:bookmarkStart w:id="66" w:name="_Toc397681610"/>
      <w:r w:rsidRPr="00374785">
        <w:t xml:space="preserve">Division </w:t>
      </w:r>
      <w:r w:rsidR="007F3C0F">
        <w:t>3.8</w:t>
      </w:r>
      <w:r w:rsidRPr="00374785">
        <w:tab/>
      </w:r>
      <w:r w:rsidR="002B60C7" w:rsidRPr="00374785">
        <w:t>Restricted activities</w:t>
      </w:r>
      <w:bookmarkEnd w:id="66"/>
    </w:p>
    <w:p w:rsidR="002B60C7" w:rsidRPr="00374785" w:rsidRDefault="007F3C0F" w:rsidP="00FE4296">
      <w:pPr>
        <w:pStyle w:val="h5Section"/>
      </w:pPr>
      <w:bookmarkStart w:id="67" w:name="_Toc397681611"/>
      <w:r>
        <w:t>3.45</w:t>
      </w:r>
      <w:r w:rsidR="00FE4296" w:rsidRPr="00374785">
        <w:tab/>
      </w:r>
      <w:r w:rsidR="002B60C7" w:rsidRPr="00374785">
        <w:t>Harvesting</w:t>
      </w:r>
      <w:bookmarkEnd w:id="67"/>
      <w:r w:rsidR="002B60C7" w:rsidRPr="00374785">
        <w:t xml:space="preserve"> </w:t>
      </w:r>
    </w:p>
    <w:p w:rsidR="002B60C7" w:rsidRPr="00374785" w:rsidRDefault="00FE4296" w:rsidP="00FE4296">
      <w:pPr>
        <w:pStyle w:val="tMain"/>
      </w:pPr>
      <w:r w:rsidRPr="00374785">
        <w:tab/>
      </w:r>
      <w:r w:rsidR="007F3C0F">
        <w:t>(1)</w:t>
      </w:r>
      <w:r w:rsidRPr="00374785">
        <w:tab/>
      </w:r>
      <w:r w:rsidR="00635603" w:rsidRPr="00374785">
        <w:t>Subject to section 3.24, b</w:t>
      </w:r>
      <w:r w:rsidR="002B60C7" w:rsidRPr="00374785">
        <w:t xml:space="preserve">iomass must not be </w:t>
      </w:r>
      <w:r w:rsidR="00635603" w:rsidRPr="00374785">
        <w:t>removed</w:t>
      </w:r>
      <w:r w:rsidR="002B60C7" w:rsidRPr="00374785">
        <w:t xml:space="preserve"> from </w:t>
      </w:r>
      <w:r w:rsidRPr="00374785">
        <w:t xml:space="preserve">a </w:t>
      </w:r>
      <w:r w:rsidR="002B60C7" w:rsidRPr="00374785">
        <w:t xml:space="preserve">carbon estimation area except in accordance with this </w:t>
      </w:r>
      <w:r w:rsidR="00642274" w:rsidRPr="00374785">
        <w:t>Division</w:t>
      </w:r>
      <w:r w:rsidR="002B60C7" w:rsidRPr="00374785">
        <w:t>.</w:t>
      </w:r>
    </w:p>
    <w:p w:rsidR="002B60C7" w:rsidRPr="00374785" w:rsidRDefault="00FE4296" w:rsidP="00FE4296">
      <w:pPr>
        <w:pStyle w:val="tMain"/>
      </w:pPr>
      <w:r w:rsidRPr="00374785">
        <w:tab/>
      </w:r>
      <w:r w:rsidR="007F3C0F">
        <w:t>(2)</w:t>
      </w:r>
      <w:r w:rsidRPr="00374785">
        <w:tab/>
      </w:r>
      <w:r w:rsidR="002B60C7" w:rsidRPr="00374785">
        <w:t>Up to 10% of fallen timber may be removed from a carbon estimation area in a calendar year for personal use.</w:t>
      </w:r>
    </w:p>
    <w:p w:rsidR="002B60C7" w:rsidRPr="00374785" w:rsidRDefault="00FE4296" w:rsidP="00FE4296">
      <w:pPr>
        <w:pStyle w:val="tMain"/>
      </w:pPr>
      <w:r w:rsidRPr="00374785">
        <w:lastRenderedPageBreak/>
        <w:tab/>
      </w:r>
      <w:r w:rsidR="007F3C0F">
        <w:t>(3)</w:t>
      </w:r>
      <w:r w:rsidRPr="00374785">
        <w:tab/>
      </w:r>
      <w:r w:rsidR="002B60C7" w:rsidRPr="00374785">
        <w:t>In this section:</w:t>
      </w:r>
    </w:p>
    <w:p w:rsidR="002B60C7" w:rsidRPr="00374785" w:rsidRDefault="002B60C7" w:rsidP="00FE4296">
      <w:pPr>
        <w:pStyle w:val="tDefn"/>
      </w:pPr>
      <w:r w:rsidRPr="00374785">
        <w:rPr>
          <w:b/>
          <w:i/>
        </w:rPr>
        <w:t>personal use</w:t>
      </w:r>
      <w:r w:rsidRPr="00374785">
        <w:t>,</w:t>
      </w:r>
      <w:r w:rsidRPr="00374785">
        <w:rPr>
          <w:b/>
          <w:i/>
        </w:rPr>
        <w:t xml:space="preserve"> </w:t>
      </w:r>
      <w:r w:rsidRPr="00374785">
        <w:t>of fallen timber, means use that does not involve the sale, or other commercial use, of the timber.</w:t>
      </w:r>
    </w:p>
    <w:p w:rsidR="00635603" w:rsidRPr="00374785" w:rsidRDefault="007F3C0F" w:rsidP="00635603">
      <w:pPr>
        <w:pStyle w:val="h5Section"/>
      </w:pPr>
      <w:bookmarkStart w:id="68" w:name="_Toc397681612"/>
      <w:r>
        <w:t>3.46</w:t>
      </w:r>
      <w:r w:rsidR="00635603" w:rsidRPr="00374785">
        <w:tab/>
        <w:t>Other permitted removals</w:t>
      </w:r>
      <w:bookmarkEnd w:id="68"/>
      <w:r w:rsidR="00635603" w:rsidRPr="00374785">
        <w:t xml:space="preserve"> </w:t>
      </w:r>
    </w:p>
    <w:p w:rsidR="00635603" w:rsidRPr="00374785" w:rsidRDefault="006D2808" w:rsidP="006D2808">
      <w:pPr>
        <w:pStyle w:val="tMain"/>
      </w:pPr>
      <w:r w:rsidRPr="00374785">
        <w:tab/>
      </w:r>
      <w:r w:rsidRPr="00374785">
        <w:tab/>
      </w:r>
      <w:r w:rsidR="00635603" w:rsidRPr="00374785">
        <w:t>Biomass may be harvested:</w:t>
      </w:r>
    </w:p>
    <w:p w:rsidR="00635603" w:rsidRPr="00374785" w:rsidRDefault="00EE5461" w:rsidP="00EE5461">
      <w:pPr>
        <w:pStyle w:val="tPara"/>
      </w:pPr>
      <w:r w:rsidRPr="00374785">
        <w:tab/>
      </w:r>
      <w:r w:rsidR="007F3C0F">
        <w:t>(a)</w:t>
      </w:r>
      <w:r w:rsidRPr="00374785">
        <w:tab/>
      </w:r>
      <w:r w:rsidR="006D2808" w:rsidRPr="00374785">
        <w:t>subject to section 3.</w:t>
      </w:r>
      <w:r w:rsidR="0037148A" w:rsidRPr="00374785">
        <w:t>48</w:t>
      </w:r>
      <w:r w:rsidR="006D2808" w:rsidRPr="00374785">
        <w:t xml:space="preserve">, </w:t>
      </w:r>
      <w:r w:rsidR="00635603" w:rsidRPr="00374785">
        <w:t>for thinning for ecological purposes; or</w:t>
      </w:r>
    </w:p>
    <w:p w:rsidR="00635603" w:rsidRPr="00374785" w:rsidRDefault="00EE5461" w:rsidP="00EE5461">
      <w:pPr>
        <w:pStyle w:val="tPara"/>
      </w:pPr>
      <w:r w:rsidRPr="00374785">
        <w:tab/>
      </w:r>
      <w:r w:rsidR="007F3C0F">
        <w:t>(b)</w:t>
      </w:r>
      <w:r w:rsidRPr="00374785">
        <w:tab/>
      </w:r>
      <w:r w:rsidR="00635603" w:rsidRPr="00374785">
        <w:t>to remove debris for fire management; or</w:t>
      </w:r>
    </w:p>
    <w:p w:rsidR="00635603" w:rsidRPr="00374785" w:rsidRDefault="00EE5461" w:rsidP="00EE5461">
      <w:pPr>
        <w:pStyle w:val="tPara"/>
      </w:pPr>
      <w:r w:rsidRPr="00374785">
        <w:tab/>
      </w:r>
      <w:r w:rsidR="007F3C0F">
        <w:t>(c)</w:t>
      </w:r>
      <w:r w:rsidRPr="00374785">
        <w:tab/>
      </w:r>
      <w:r w:rsidR="00635603" w:rsidRPr="00374785">
        <w:t>to remove fruits, nuts, seeds, or material used for fencing or as craft materials, if those things are not removed for sale; or</w:t>
      </w:r>
    </w:p>
    <w:p w:rsidR="00635603" w:rsidRPr="00374785" w:rsidRDefault="00EE5461" w:rsidP="00EE5461">
      <w:pPr>
        <w:pStyle w:val="tPara"/>
      </w:pPr>
      <w:r w:rsidRPr="00374785">
        <w:tab/>
      </w:r>
      <w:r w:rsidR="007F3C0F">
        <w:t>(d)</w:t>
      </w:r>
      <w:r w:rsidRPr="00374785">
        <w:tab/>
      </w:r>
      <w:r w:rsidR="00635603" w:rsidRPr="00374785">
        <w:t>in accordance with traditional indigenous practic</w:t>
      </w:r>
      <w:r w:rsidR="006D2808" w:rsidRPr="00374785">
        <w:t>es or native title rights.</w:t>
      </w:r>
    </w:p>
    <w:p w:rsidR="002B60C7" w:rsidRPr="00374785" w:rsidRDefault="007F3C0F" w:rsidP="00FE4296">
      <w:pPr>
        <w:pStyle w:val="h5Section"/>
      </w:pPr>
      <w:bookmarkStart w:id="69" w:name="_Toc397681613"/>
      <w:r>
        <w:t>3.47</w:t>
      </w:r>
      <w:r w:rsidR="00FE4296" w:rsidRPr="00374785">
        <w:tab/>
      </w:r>
      <w:r w:rsidR="002B60C7" w:rsidRPr="00374785">
        <w:t>Grazing</w:t>
      </w:r>
      <w:bookmarkEnd w:id="69"/>
      <w:r w:rsidR="002B60C7" w:rsidRPr="00374785">
        <w:t xml:space="preserve"> </w:t>
      </w:r>
    </w:p>
    <w:p w:rsidR="00B81000" w:rsidRPr="00374785" w:rsidRDefault="00B81000" w:rsidP="00B81000">
      <w:pPr>
        <w:pStyle w:val="tMain"/>
      </w:pPr>
      <w:r w:rsidRPr="00374785">
        <w:tab/>
      </w:r>
      <w:r w:rsidRPr="00374785">
        <w:tab/>
      </w:r>
      <w:r w:rsidR="002B60C7" w:rsidRPr="00374785">
        <w:t>If grazing occurs in a carbon estimation area</w:t>
      </w:r>
      <w:r w:rsidRPr="00374785">
        <w:t>:</w:t>
      </w:r>
      <w:r w:rsidR="002B60C7" w:rsidRPr="00374785">
        <w:t xml:space="preserve"> </w:t>
      </w:r>
    </w:p>
    <w:p w:rsidR="002B60C7" w:rsidRPr="00374785" w:rsidRDefault="00B81000" w:rsidP="00B81000">
      <w:pPr>
        <w:pStyle w:val="tPara"/>
      </w:pPr>
      <w:r w:rsidRPr="00374785">
        <w:tab/>
      </w:r>
      <w:r w:rsidR="007F3C0F">
        <w:t>(a)</w:t>
      </w:r>
      <w:r w:rsidRPr="00374785">
        <w:tab/>
      </w:r>
      <w:r w:rsidR="002B60C7" w:rsidRPr="00374785">
        <w:t xml:space="preserve">the grazing must not </w:t>
      </w:r>
      <w:r w:rsidR="00375F75" w:rsidRPr="00374785">
        <w:t xml:space="preserve">affect the achievement or maintenance of forest cover </w:t>
      </w:r>
      <w:r w:rsidR="002B60C7" w:rsidRPr="00374785">
        <w:t>in the area</w:t>
      </w:r>
      <w:r w:rsidRPr="00374785">
        <w:t>; and</w:t>
      </w:r>
    </w:p>
    <w:p w:rsidR="00650CFC" w:rsidRPr="00374785" w:rsidRDefault="00B81000" w:rsidP="00A72468">
      <w:pPr>
        <w:pStyle w:val="tPara"/>
      </w:pPr>
      <w:r w:rsidRPr="00374785">
        <w:tab/>
      </w:r>
      <w:r w:rsidR="007F3C0F">
        <w:t>(b)</w:t>
      </w:r>
      <w:r w:rsidRPr="00374785">
        <w:tab/>
      </w:r>
      <w:r w:rsidR="002B60C7" w:rsidRPr="00374785">
        <w:t>the Regulator may requ</w:t>
      </w:r>
      <w:r w:rsidR="00EE5461" w:rsidRPr="00374785">
        <w:t>est evidence that demonstrates</w:t>
      </w:r>
      <w:r w:rsidR="002B60C7" w:rsidRPr="00374785">
        <w:t xml:space="preserve"> that the </w:t>
      </w:r>
      <w:r w:rsidR="00E45D87" w:rsidRPr="00374785">
        <w:t>grazing</w:t>
      </w:r>
      <w:r w:rsidR="00EC0D0F" w:rsidRPr="00374785">
        <w:t xml:space="preserve"> has not</w:t>
      </w:r>
      <w:r w:rsidR="00A72468" w:rsidRPr="00374785">
        <w:t xml:space="preserve"> p</w:t>
      </w:r>
      <w:r w:rsidR="002B60C7" w:rsidRPr="00374785">
        <w:t>revented</w:t>
      </w:r>
      <w:r w:rsidR="00650CFC" w:rsidRPr="00374785">
        <w:t>:</w:t>
      </w:r>
    </w:p>
    <w:p w:rsidR="00840B24" w:rsidRPr="00374785" w:rsidRDefault="00650CFC" w:rsidP="00650CFC">
      <w:pPr>
        <w:pStyle w:val="tSubpara"/>
      </w:pPr>
      <w:r w:rsidRPr="00374785">
        <w:tab/>
      </w:r>
      <w:r w:rsidR="007F3C0F">
        <w:t>(i)</w:t>
      </w:r>
      <w:r w:rsidRPr="00374785">
        <w:tab/>
        <w:t>for a generic calibration—</w:t>
      </w:r>
      <w:r w:rsidR="002B60C7" w:rsidRPr="00374785">
        <w:t xml:space="preserve">the </w:t>
      </w:r>
      <w:r w:rsidR="00314C2D" w:rsidRPr="00374785">
        <w:t xml:space="preserve">achievement </w:t>
      </w:r>
      <w:r w:rsidRPr="00374785">
        <w:t xml:space="preserve">or maintenance of forest cover; </w:t>
      </w:r>
      <w:r w:rsidR="00EE5461" w:rsidRPr="00374785">
        <w:t>or</w:t>
      </w:r>
    </w:p>
    <w:p w:rsidR="00840B24" w:rsidRPr="00374785" w:rsidRDefault="00650CFC" w:rsidP="00650CFC">
      <w:pPr>
        <w:pStyle w:val="tSubpara"/>
      </w:pPr>
      <w:r w:rsidRPr="00374785">
        <w:tab/>
      </w:r>
      <w:r w:rsidR="007F3C0F">
        <w:t>(ii)</w:t>
      </w:r>
      <w:r w:rsidRPr="00374785">
        <w:tab/>
        <w:t>for a specific calibration</w:t>
      </w:r>
      <w:r w:rsidR="00840B24" w:rsidRPr="00374785">
        <w:t>:</w:t>
      </w:r>
    </w:p>
    <w:p w:rsidR="00650CFC" w:rsidRPr="00374785" w:rsidRDefault="00840B24" w:rsidP="00840B24">
      <w:pPr>
        <w:pStyle w:val="tSubsub"/>
      </w:pPr>
      <w:r w:rsidRPr="00374785">
        <w:tab/>
      </w:r>
      <w:r w:rsidR="007F3C0F">
        <w:t>(A)</w:t>
      </w:r>
      <w:r w:rsidRPr="00374785">
        <w:tab/>
      </w:r>
      <w:r w:rsidR="00650CFC" w:rsidRPr="00374785">
        <w:t>compliance with the requirements for stocking density and/or tree</w:t>
      </w:r>
      <w:r w:rsidRPr="00374785">
        <w:t xml:space="preserve"> proportion for the calibration; and</w:t>
      </w:r>
    </w:p>
    <w:p w:rsidR="00840B24" w:rsidRPr="00374785" w:rsidRDefault="00840B24" w:rsidP="00840B24">
      <w:pPr>
        <w:pStyle w:val="tSubsub"/>
      </w:pPr>
      <w:r w:rsidRPr="00374785">
        <w:tab/>
      </w:r>
      <w:r w:rsidR="007F3C0F">
        <w:t>(B)</w:t>
      </w:r>
      <w:r w:rsidRPr="00374785">
        <w:tab/>
        <w:t>the achievement or maintenance of forest cover</w:t>
      </w:r>
      <w:r w:rsidR="0088737A" w:rsidRPr="00374785">
        <w:t>.</w:t>
      </w:r>
    </w:p>
    <w:p w:rsidR="00A72468" w:rsidRPr="00374785" w:rsidRDefault="00A72468" w:rsidP="00A72468">
      <w:pPr>
        <w:pStyle w:val="notePara"/>
        <w:rPr>
          <w:rFonts w:ascii="Arial" w:hAnsi="Arial"/>
          <w:b/>
          <w:bCs/>
          <w:iCs/>
          <w:sz w:val="24"/>
          <w:szCs w:val="26"/>
        </w:rPr>
      </w:pPr>
      <w:r w:rsidRPr="00374785">
        <w:tab/>
      </w:r>
      <w:r w:rsidRPr="00374785">
        <w:rPr>
          <w:b/>
          <w:i/>
        </w:rPr>
        <w:t>Note</w:t>
      </w:r>
      <w:r w:rsidRPr="00374785">
        <w:tab/>
        <w:t>Evidence may include date-stamped, geo-referenced</w:t>
      </w:r>
      <w:r w:rsidR="00C76746" w:rsidRPr="00374785">
        <w:t>,</w:t>
      </w:r>
      <w:r w:rsidRPr="00374785">
        <w:t xml:space="preserve"> remotely-sensed imagery.</w:t>
      </w:r>
      <w:r w:rsidRPr="00374785">
        <w:rPr>
          <w:rFonts w:ascii="Arial" w:hAnsi="Arial"/>
          <w:b/>
          <w:bCs/>
          <w:iCs/>
          <w:sz w:val="24"/>
          <w:szCs w:val="26"/>
        </w:rPr>
        <w:t xml:space="preserve">  </w:t>
      </w:r>
    </w:p>
    <w:p w:rsidR="002B60C7" w:rsidRPr="00374785" w:rsidRDefault="007F3C0F" w:rsidP="00314C2D">
      <w:pPr>
        <w:pStyle w:val="h5Section"/>
      </w:pPr>
      <w:bookmarkStart w:id="70" w:name="_Toc397681614"/>
      <w:r>
        <w:t>3.48</w:t>
      </w:r>
      <w:r w:rsidR="00314C2D" w:rsidRPr="00374785">
        <w:tab/>
      </w:r>
      <w:r w:rsidR="002B60C7" w:rsidRPr="00374785">
        <w:t>Thinning</w:t>
      </w:r>
      <w:bookmarkEnd w:id="70"/>
      <w:r w:rsidR="002B60C7" w:rsidRPr="00374785">
        <w:t xml:space="preserve"> </w:t>
      </w:r>
    </w:p>
    <w:p w:rsidR="000667B9" w:rsidRPr="00374785" w:rsidRDefault="00A1415A" w:rsidP="00A1415A">
      <w:pPr>
        <w:pStyle w:val="tMain"/>
      </w:pPr>
      <w:r w:rsidRPr="00374785">
        <w:tab/>
      </w:r>
      <w:r w:rsidRPr="00374785">
        <w:tab/>
      </w:r>
      <w:r w:rsidR="006F7690" w:rsidRPr="00374785">
        <w:t xml:space="preserve">If </w:t>
      </w:r>
      <w:r w:rsidR="000667B9" w:rsidRPr="00374785">
        <w:t>thinning occurs in a carbon estimation area:</w:t>
      </w:r>
    </w:p>
    <w:p w:rsidR="000667B9" w:rsidRPr="00374785" w:rsidRDefault="00A1415A" w:rsidP="00A1415A">
      <w:pPr>
        <w:pStyle w:val="tPara"/>
      </w:pPr>
      <w:r w:rsidRPr="00374785">
        <w:tab/>
      </w:r>
      <w:r w:rsidR="007F3C0F">
        <w:t>(a)</w:t>
      </w:r>
      <w:r w:rsidRPr="00374785">
        <w:tab/>
      </w:r>
      <w:r w:rsidR="0095060B" w:rsidRPr="00374785">
        <w:t xml:space="preserve">a </w:t>
      </w:r>
      <w:r w:rsidR="00D52CD6" w:rsidRPr="00374785">
        <w:t>specific</w:t>
      </w:r>
      <w:r w:rsidR="0095060B" w:rsidRPr="00374785">
        <w:t xml:space="preserve"> calibration</w:t>
      </w:r>
      <w:r w:rsidR="000667B9" w:rsidRPr="00374785">
        <w:t xml:space="preserve"> cannot be used; and</w:t>
      </w:r>
    </w:p>
    <w:p w:rsidR="000667B9" w:rsidRPr="00374785" w:rsidRDefault="00A1415A" w:rsidP="00A1415A">
      <w:pPr>
        <w:pStyle w:val="tPara"/>
      </w:pPr>
      <w:r w:rsidRPr="00374785">
        <w:tab/>
      </w:r>
      <w:r w:rsidR="007F3C0F">
        <w:t>(b)</w:t>
      </w:r>
      <w:r w:rsidRPr="00374785">
        <w:tab/>
      </w:r>
      <w:r w:rsidR="002F434D" w:rsidRPr="00374785">
        <w:t xml:space="preserve">the </w:t>
      </w:r>
      <w:r w:rsidR="00D52CD6" w:rsidRPr="00374785">
        <w:t>generic</w:t>
      </w:r>
      <w:r w:rsidR="002F434D" w:rsidRPr="00374785">
        <w:t xml:space="preserve"> calibration must be used</w:t>
      </w:r>
      <w:r w:rsidRPr="00374785">
        <w:t>;</w:t>
      </w:r>
      <w:r w:rsidR="004B1781" w:rsidRPr="00374785">
        <w:t xml:space="preserve"> </w:t>
      </w:r>
    </w:p>
    <w:p w:rsidR="000667B9" w:rsidRPr="00374785" w:rsidRDefault="00A1415A" w:rsidP="00A1415A">
      <w:pPr>
        <w:pStyle w:val="tMain"/>
      </w:pPr>
      <w:r w:rsidRPr="00374785">
        <w:tab/>
      </w:r>
      <w:r w:rsidRPr="00374785">
        <w:tab/>
      </w:r>
      <w:r w:rsidR="00EC0D0F" w:rsidRPr="00374785">
        <w:t>for the purpose of Division</w:t>
      </w:r>
      <w:r w:rsidR="003B3949" w:rsidRPr="00374785">
        <w:t> </w:t>
      </w:r>
      <w:r w:rsidR="00EC0D0F" w:rsidRPr="00374785">
        <w:t>4.3</w:t>
      </w:r>
      <w:r w:rsidR="002F434D" w:rsidRPr="00374785">
        <w:t>.</w:t>
      </w:r>
      <w:r w:rsidR="002B60C7" w:rsidRPr="00374785">
        <w:t xml:space="preserve"> </w:t>
      </w:r>
    </w:p>
    <w:p w:rsidR="002B60C7" w:rsidRPr="00374785" w:rsidRDefault="00A1415A" w:rsidP="00A1415A">
      <w:pPr>
        <w:pStyle w:val="notePara"/>
      </w:pPr>
      <w:r w:rsidRPr="00374785">
        <w:tab/>
      </w:r>
      <w:r w:rsidRPr="00374785">
        <w:rPr>
          <w:b/>
          <w:i/>
        </w:rPr>
        <w:t>Note</w:t>
      </w:r>
      <w:r w:rsidRPr="00374785">
        <w:tab/>
        <w:t>S</w:t>
      </w:r>
      <w:r w:rsidR="000667B9" w:rsidRPr="00374785">
        <w:t xml:space="preserve">ection 4.8 </w:t>
      </w:r>
      <w:r w:rsidRPr="00374785">
        <w:t>specifies the primary requirements to be met for the use of a specific calibration.</w:t>
      </w:r>
    </w:p>
    <w:p w:rsidR="002B60C7" w:rsidRPr="00374785" w:rsidRDefault="007F3C0F" w:rsidP="00A37E18">
      <w:pPr>
        <w:pStyle w:val="h5Section"/>
      </w:pPr>
      <w:bookmarkStart w:id="71" w:name="_Toc397681615"/>
      <w:r>
        <w:t>3.49</w:t>
      </w:r>
      <w:r w:rsidR="00A37E18" w:rsidRPr="00374785">
        <w:tab/>
      </w:r>
      <w:r w:rsidR="002B60C7" w:rsidRPr="00374785">
        <w:t>Use of lime or fertiliser</w:t>
      </w:r>
      <w:bookmarkEnd w:id="71"/>
    </w:p>
    <w:p w:rsidR="00A1415A" w:rsidRPr="00374785" w:rsidRDefault="00A1415A" w:rsidP="00A1415A">
      <w:pPr>
        <w:pStyle w:val="tMain"/>
      </w:pPr>
      <w:r w:rsidRPr="00374785">
        <w:tab/>
      </w:r>
      <w:r w:rsidRPr="00374785">
        <w:tab/>
        <w:t>If the use of lime or fertiliser occurs in a carbon estimation area:</w:t>
      </w:r>
    </w:p>
    <w:p w:rsidR="00A1415A" w:rsidRPr="00374785" w:rsidRDefault="00A1415A" w:rsidP="00A1415A">
      <w:pPr>
        <w:pStyle w:val="tPara"/>
      </w:pPr>
      <w:r w:rsidRPr="00374785">
        <w:tab/>
      </w:r>
      <w:r w:rsidR="007F3C0F">
        <w:t>(a)</w:t>
      </w:r>
      <w:r w:rsidRPr="00374785">
        <w:tab/>
        <w:t>a specific calibration cannot be used; and</w:t>
      </w:r>
    </w:p>
    <w:p w:rsidR="00A1415A" w:rsidRPr="00374785" w:rsidRDefault="00A1415A" w:rsidP="00A1415A">
      <w:pPr>
        <w:pStyle w:val="tPara"/>
      </w:pPr>
      <w:r w:rsidRPr="00374785">
        <w:tab/>
      </w:r>
      <w:r w:rsidR="007F3C0F">
        <w:t>(b)</w:t>
      </w:r>
      <w:r w:rsidRPr="00374785">
        <w:tab/>
        <w:t xml:space="preserve">the generic calibration must be used; </w:t>
      </w:r>
    </w:p>
    <w:p w:rsidR="00A1415A" w:rsidRPr="00374785" w:rsidRDefault="00A1415A" w:rsidP="00A1415A">
      <w:pPr>
        <w:pStyle w:val="tMain"/>
      </w:pPr>
      <w:r w:rsidRPr="00374785">
        <w:tab/>
      </w:r>
      <w:r w:rsidRPr="00374785">
        <w:tab/>
        <w:t xml:space="preserve">for the purpose of Division 4.3. </w:t>
      </w:r>
    </w:p>
    <w:p w:rsidR="00A1415A" w:rsidRPr="00374785" w:rsidRDefault="00A1415A" w:rsidP="00A1415A">
      <w:pPr>
        <w:pStyle w:val="notePara"/>
      </w:pPr>
      <w:r w:rsidRPr="00374785">
        <w:lastRenderedPageBreak/>
        <w:tab/>
      </w:r>
      <w:r w:rsidRPr="00374785">
        <w:rPr>
          <w:b/>
          <w:i/>
        </w:rPr>
        <w:t>Note</w:t>
      </w:r>
      <w:r w:rsidRPr="00374785">
        <w:tab/>
        <w:t>Section 4.8 specifies the primary requirements to be met for the use of a specific calibration.</w:t>
      </w:r>
    </w:p>
    <w:p w:rsidR="00DF38BF" w:rsidRPr="00374785" w:rsidRDefault="00DF38BF">
      <w:pPr>
        <w:rPr>
          <w:rFonts w:ascii="Arial" w:hAnsi="Arial" w:cs="Arial"/>
          <w:b/>
          <w:iCs/>
          <w:sz w:val="36"/>
          <w:szCs w:val="22"/>
        </w:rPr>
      </w:pPr>
      <w:r w:rsidRPr="00374785">
        <w:br w:type="page"/>
      </w:r>
    </w:p>
    <w:p w:rsidR="002B60C7" w:rsidRPr="00374785" w:rsidRDefault="00C97D45" w:rsidP="00C97D45">
      <w:pPr>
        <w:pStyle w:val="h2Part"/>
      </w:pPr>
      <w:bookmarkStart w:id="72" w:name="_Toc397681616"/>
      <w:r w:rsidRPr="00374785">
        <w:lastRenderedPageBreak/>
        <w:t xml:space="preserve">Part </w:t>
      </w:r>
      <w:r w:rsidR="007F3C0F">
        <w:t>4</w:t>
      </w:r>
      <w:r w:rsidRPr="00374785">
        <w:tab/>
      </w:r>
      <w:r w:rsidR="002B60C7" w:rsidRPr="00374785">
        <w:t>The net abatement amount</w:t>
      </w:r>
      <w:bookmarkEnd w:id="72"/>
    </w:p>
    <w:p w:rsidR="00A37E18" w:rsidRPr="00374785" w:rsidRDefault="00C97D45" w:rsidP="00A37E18">
      <w:pPr>
        <w:pStyle w:val="h3Div"/>
      </w:pPr>
      <w:bookmarkStart w:id="73" w:name="_Toc397681617"/>
      <w:r w:rsidRPr="00374785">
        <w:t xml:space="preserve">Division </w:t>
      </w:r>
      <w:r w:rsidR="007F3C0F">
        <w:t>4.1</w:t>
      </w:r>
      <w:r w:rsidRPr="00374785">
        <w:tab/>
      </w:r>
      <w:r w:rsidR="002B60C7" w:rsidRPr="00374785">
        <w:t>The net abatement amount</w:t>
      </w:r>
      <w:bookmarkEnd w:id="73"/>
    </w:p>
    <w:p w:rsidR="002B60C7" w:rsidRPr="00374785" w:rsidRDefault="007F3C0F" w:rsidP="00C97D45">
      <w:pPr>
        <w:pStyle w:val="h5Section"/>
      </w:pPr>
      <w:bookmarkStart w:id="74" w:name="_Toc397681618"/>
      <w:r>
        <w:t>4.1</w:t>
      </w:r>
      <w:r w:rsidR="00C97D45" w:rsidRPr="00374785">
        <w:tab/>
      </w:r>
      <w:r w:rsidR="002B60C7" w:rsidRPr="00374785">
        <w:t>The net abatement amount</w:t>
      </w:r>
      <w:bookmarkEnd w:id="74"/>
    </w:p>
    <w:p w:rsidR="002B60C7" w:rsidRPr="00374785" w:rsidRDefault="00C97D45" w:rsidP="00C97D45">
      <w:pPr>
        <w:pStyle w:val="noteMain"/>
      </w:pPr>
      <w:r w:rsidRPr="00374785">
        <w:tab/>
      </w:r>
      <w:r w:rsidRPr="00374785">
        <w:rPr>
          <w:b/>
          <w:i/>
        </w:rPr>
        <w:t>Note</w:t>
      </w:r>
      <w:r w:rsidRPr="00374785">
        <w:tab/>
      </w:r>
      <w:r w:rsidR="002B60C7" w:rsidRPr="00374785">
        <w:t>See paragraph 106(1)(c) of the Act.</w:t>
      </w:r>
    </w:p>
    <w:p w:rsidR="002B60C7" w:rsidRPr="00374785" w:rsidRDefault="00C97D45" w:rsidP="00C97D45">
      <w:pPr>
        <w:pStyle w:val="tMain"/>
      </w:pPr>
      <w:r w:rsidRPr="00374785">
        <w:tab/>
      </w:r>
      <w:r w:rsidRPr="00374785">
        <w:tab/>
      </w:r>
      <w:r w:rsidR="002B60C7" w:rsidRPr="00374785">
        <w:t xml:space="preserve">For an eligible offsets project to which this Determination applies, the carbon dioxide equivalent net abatement amount in relation to a reporting period for the project is taken to be the change in </w:t>
      </w:r>
      <w:r w:rsidR="00CD5DF0" w:rsidRPr="00374785">
        <w:t xml:space="preserve">total </w:t>
      </w:r>
      <w:r w:rsidR="002B60C7" w:rsidRPr="00374785">
        <w:t xml:space="preserve">carbon stock for </w:t>
      </w:r>
      <w:r w:rsidR="00CD5DF0" w:rsidRPr="00374785">
        <w:t>all</w:t>
      </w:r>
      <w:r w:rsidR="002B60C7" w:rsidRPr="00374785">
        <w:rPr>
          <w:iCs/>
        </w:rPr>
        <w:t xml:space="preserve"> of </w:t>
      </w:r>
      <w:r w:rsidR="00CD5DF0" w:rsidRPr="00374785">
        <w:rPr>
          <w:iCs/>
        </w:rPr>
        <w:t xml:space="preserve">the </w:t>
      </w:r>
      <w:r w:rsidR="002B60C7" w:rsidRPr="00374785">
        <w:rPr>
          <w:iCs/>
        </w:rPr>
        <w:t>carbon estimation areas within the project area</w:t>
      </w:r>
      <w:r w:rsidR="002B60C7" w:rsidRPr="00374785">
        <w:t xml:space="preserve"> when compared to the baseline, less the project emissions.</w:t>
      </w:r>
    </w:p>
    <w:p w:rsidR="002B60C7" w:rsidRPr="00374785" w:rsidRDefault="00C97D45" w:rsidP="00C97D45">
      <w:pPr>
        <w:pStyle w:val="h3Div"/>
      </w:pPr>
      <w:bookmarkStart w:id="75" w:name="_Toc397681619"/>
      <w:r w:rsidRPr="00374785">
        <w:t xml:space="preserve">Division </w:t>
      </w:r>
      <w:r w:rsidR="007F3C0F">
        <w:t>4.2</w:t>
      </w:r>
      <w:r w:rsidRPr="00374785">
        <w:tab/>
      </w:r>
      <w:r w:rsidR="002B60C7" w:rsidRPr="00374785">
        <w:t>Calculations—Preliminary</w:t>
      </w:r>
      <w:bookmarkEnd w:id="75"/>
    </w:p>
    <w:p w:rsidR="002B60C7" w:rsidRPr="00374785" w:rsidRDefault="00C97D45" w:rsidP="00C97D45">
      <w:pPr>
        <w:pStyle w:val="h4Subdiv"/>
      </w:pPr>
      <w:bookmarkStart w:id="76" w:name="_Toc397681620"/>
      <w:r w:rsidRPr="00374785">
        <w:t xml:space="preserve">Subdivision </w:t>
      </w:r>
      <w:r w:rsidR="007F3C0F">
        <w:t>4.2.1</w:t>
      </w:r>
      <w:r w:rsidRPr="00374785">
        <w:tab/>
      </w:r>
      <w:r w:rsidR="002B60C7" w:rsidRPr="00374785">
        <w:t>General</w:t>
      </w:r>
      <w:bookmarkEnd w:id="76"/>
    </w:p>
    <w:p w:rsidR="002B60C7" w:rsidRPr="00374785" w:rsidRDefault="007F3C0F" w:rsidP="00C97D45">
      <w:pPr>
        <w:pStyle w:val="h5Section"/>
      </w:pPr>
      <w:bookmarkStart w:id="77" w:name="_Toc397681621"/>
      <w:r>
        <w:t>4.2</w:t>
      </w:r>
      <w:r w:rsidR="00C97D45" w:rsidRPr="00374785">
        <w:tab/>
      </w:r>
      <w:r w:rsidR="002B60C7" w:rsidRPr="00374785">
        <w:t>General</w:t>
      </w:r>
      <w:bookmarkEnd w:id="77"/>
    </w:p>
    <w:p w:rsidR="002B60C7" w:rsidRPr="00374785" w:rsidRDefault="00C97D45" w:rsidP="00C97D45">
      <w:pPr>
        <w:pStyle w:val="tMain"/>
      </w:pPr>
      <w:r w:rsidRPr="00374785">
        <w:tab/>
      </w:r>
      <w:r w:rsidRPr="00374785">
        <w:tab/>
      </w:r>
      <w:r w:rsidR="002B60C7" w:rsidRPr="00374785">
        <w:t xml:space="preserve">In this Part if a calculation refers to a factor or parameter prescribed in the NGER Measurement Determination or the NGER Regulations, the person carrying out the calculations must apply, </w:t>
      </w:r>
      <w:r w:rsidR="00CD5DF0" w:rsidRPr="00374785">
        <w:t xml:space="preserve">for </w:t>
      </w:r>
      <w:r w:rsidR="002B60C7" w:rsidRPr="00374785">
        <w:t>the whole reporting period, that factor or parameter from the NGER Measurement Determination or NGER Regulations</w:t>
      </w:r>
      <w:r w:rsidR="002B60C7" w:rsidRPr="00374785">
        <w:rPr>
          <w:i/>
        </w:rPr>
        <w:t xml:space="preserve"> </w:t>
      </w:r>
      <w:r w:rsidR="002B60C7" w:rsidRPr="00374785">
        <w:t>in force at the time that the offsets report is submitted or was required to be submitted, whichever is earlier.</w:t>
      </w:r>
    </w:p>
    <w:p w:rsidR="002B60C7" w:rsidRPr="00374785" w:rsidRDefault="007F3C0F" w:rsidP="004C190C">
      <w:pPr>
        <w:pStyle w:val="h5Section"/>
      </w:pPr>
      <w:bookmarkStart w:id="78" w:name="_Toc397681622"/>
      <w:r>
        <w:t>4.3</w:t>
      </w:r>
      <w:r w:rsidR="004C190C" w:rsidRPr="00374785">
        <w:tab/>
      </w:r>
      <w:r w:rsidR="002B60C7" w:rsidRPr="00374785">
        <w:t>Greenhouse gas assessment boundary</w:t>
      </w:r>
      <w:bookmarkEnd w:id="78"/>
    </w:p>
    <w:p w:rsidR="002B60C7" w:rsidRPr="00374785" w:rsidRDefault="004C190C" w:rsidP="004C190C">
      <w:pPr>
        <w:pStyle w:val="tMain"/>
      </w:pPr>
      <w:r w:rsidRPr="00374785">
        <w:tab/>
      </w:r>
      <w:r w:rsidRPr="00374785">
        <w:tab/>
      </w:r>
      <w:r w:rsidR="002B60C7" w:rsidRPr="00374785">
        <w:t>When making calculations under this Part:</w:t>
      </w:r>
    </w:p>
    <w:p w:rsidR="002B60C7" w:rsidRPr="00374785" w:rsidRDefault="004C190C" w:rsidP="004C190C">
      <w:pPr>
        <w:pStyle w:val="tPara"/>
      </w:pPr>
      <w:r w:rsidRPr="00374785">
        <w:tab/>
      </w:r>
      <w:r w:rsidR="007F3C0F">
        <w:t>(a)</w:t>
      </w:r>
      <w:r w:rsidRPr="00374785">
        <w:tab/>
      </w:r>
      <w:r w:rsidR="002B60C7" w:rsidRPr="00374785">
        <w:t>the carbon pools and emission sources and the corresponding greenhouse gases in Table 1 must be taken into account; and</w:t>
      </w:r>
    </w:p>
    <w:p w:rsidR="002B60C7" w:rsidRPr="00374785" w:rsidRDefault="004C190C" w:rsidP="004C190C">
      <w:pPr>
        <w:pStyle w:val="tPara"/>
      </w:pPr>
      <w:r w:rsidRPr="00374785">
        <w:tab/>
      </w:r>
      <w:r w:rsidR="007F3C0F">
        <w:t>(b)</w:t>
      </w:r>
      <w:r w:rsidRPr="00374785">
        <w:tab/>
      </w:r>
      <w:r w:rsidR="002B60C7" w:rsidRPr="00374785">
        <w:t>no other gases, carbon pools or emission sources may be taken into account.</w:t>
      </w:r>
      <w:r w:rsidR="002B60C7" w:rsidRPr="00374785">
        <w:br w:type="page"/>
      </w:r>
    </w:p>
    <w:p w:rsidR="002B60C7" w:rsidRPr="00374785" w:rsidRDefault="002B60C7" w:rsidP="003A502B">
      <w:pPr>
        <w:pStyle w:val="h6Subsec"/>
      </w:pPr>
      <w:r w:rsidRPr="00374785">
        <w:lastRenderedPageBreak/>
        <w:t>Table 1: Gases accounted for in the abatement calculations</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60"/>
        <w:gridCol w:w="2573"/>
      </w:tblGrid>
      <w:tr w:rsidR="002B60C7" w:rsidRPr="00374785" w:rsidTr="009E4491">
        <w:trPr>
          <w:cantSplit/>
          <w:trHeight w:val="224"/>
        </w:trPr>
        <w:tc>
          <w:tcPr>
            <w:tcW w:w="3660" w:type="dxa"/>
            <w:tcBorders>
              <w:top w:val="single" w:sz="4" w:space="0" w:color="auto"/>
            </w:tcBorders>
          </w:tcPr>
          <w:p w:rsidR="002B60C7" w:rsidRPr="00374785" w:rsidRDefault="002B60C7" w:rsidP="009E4491">
            <w:pPr>
              <w:spacing w:before="120" w:after="120"/>
              <w:ind w:right="237"/>
              <w:rPr>
                <w:b/>
                <w:color w:val="000000" w:themeColor="text1"/>
              </w:rPr>
            </w:pPr>
            <w:r w:rsidRPr="00374785">
              <w:rPr>
                <w:b/>
                <w:color w:val="000000" w:themeColor="text1"/>
              </w:rPr>
              <w:t>Carbon pool</w:t>
            </w:r>
          </w:p>
        </w:tc>
        <w:tc>
          <w:tcPr>
            <w:tcW w:w="0" w:type="auto"/>
            <w:tcBorders>
              <w:top w:val="single" w:sz="4" w:space="0" w:color="auto"/>
            </w:tcBorders>
          </w:tcPr>
          <w:p w:rsidR="002B60C7" w:rsidRPr="00374785" w:rsidRDefault="002B60C7" w:rsidP="009E4491">
            <w:pPr>
              <w:spacing w:before="120" w:after="120"/>
              <w:ind w:right="237"/>
              <w:rPr>
                <w:color w:val="000000" w:themeColor="text1"/>
              </w:rPr>
            </w:pPr>
            <w:r w:rsidRPr="00374785">
              <w:rPr>
                <w:b/>
                <w:color w:val="000000" w:themeColor="text1"/>
              </w:rPr>
              <w:t>Greenhouse gas</w:t>
            </w:r>
          </w:p>
        </w:tc>
      </w:tr>
      <w:tr w:rsidR="002B60C7" w:rsidRPr="00374785" w:rsidTr="009E4491">
        <w:trPr>
          <w:cantSplit/>
          <w:trHeight w:val="461"/>
        </w:trPr>
        <w:tc>
          <w:tcPr>
            <w:tcW w:w="3660" w:type="dxa"/>
          </w:tcPr>
          <w:p w:rsidR="002B60C7" w:rsidRPr="00374785" w:rsidRDefault="002B60C7" w:rsidP="00E9770D">
            <w:pPr>
              <w:spacing w:before="120" w:after="120"/>
              <w:ind w:right="237"/>
              <w:rPr>
                <w:color w:val="000000" w:themeColor="text1"/>
              </w:rPr>
            </w:pPr>
            <w:r w:rsidRPr="00374785">
              <w:rPr>
                <w:color w:val="000000" w:themeColor="text1"/>
              </w:rPr>
              <w:t>Live above</w:t>
            </w:r>
            <w:r w:rsidR="00E9770D" w:rsidRPr="00374785">
              <w:rPr>
                <w:color w:val="000000" w:themeColor="text1"/>
              </w:rPr>
              <w:t>-</w:t>
            </w:r>
            <w:r w:rsidRPr="00374785">
              <w:rPr>
                <w:color w:val="000000" w:themeColor="text1"/>
              </w:rPr>
              <w:t>ground biomass</w:t>
            </w:r>
          </w:p>
        </w:tc>
        <w:tc>
          <w:tcPr>
            <w:tcW w:w="0" w:type="auto"/>
            <w:tcBorders>
              <w:top w:val="single" w:sz="4" w:space="0" w:color="auto"/>
            </w:tcBorders>
          </w:tcPr>
          <w:p w:rsidR="002B60C7" w:rsidRPr="00374785" w:rsidRDefault="002B60C7" w:rsidP="009E4491">
            <w:pPr>
              <w:spacing w:before="120" w:after="120"/>
              <w:ind w:right="237"/>
              <w:rPr>
                <w:color w:val="000000" w:themeColor="text1"/>
              </w:rPr>
            </w:pPr>
            <w:r w:rsidRPr="00374785">
              <w:rPr>
                <w:color w:val="000000" w:themeColor="text1"/>
              </w:rPr>
              <w:t>Carbon dioxide (CO</w:t>
            </w:r>
            <w:r w:rsidRPr="00374785">
              <w:rPr>
                <w:color w:val="000000" w:themeColor="text1"/>
                <w:vertAlign w:val="subscript"/>
              </w:rPr>
              <w:t>2</w:t>
            </w:r>
            <w:r w:rsidRPr="00374785">
              <w:rPr>
                <w:color w:val="000000" w:themeColor="text1"/>
              </w:rPr>
              <w:t>)</w:t>
            </w:r>
          </w:p>
        </w:tc>
      </w:tr>
      <w:tr w:rsidR="002B60C7" w:rsidRPr="00374785" w:rsidTr="009E4491">
        <w:trPr>
          <w:cantSplit/>
          <w:trHeight w:val="224"/>
        </w:trPr>
        <w:tc>
          <w:tcPr>
            <w:tcW w:w="3660" w:type="dxa"/>
          </w:tcPr>
          <w:p w:rsidR="002B60C7" w:rsidRPr="00374785" w:rsidRDefault="002B60C7" w:rsidP="00E9770D">
            <w:pPr>
              <w:spacing w:before="120" w:after="120"/>
              <w:ind w:right="237"/>
              <w:rPr>
                <w:color w:val="000000" w:themeColor="text1"/>
              </w:rPr>
            </w:pPr>
            <w:r w:rsidRPr="00374785">
              <w:rPr>
                <w:color w:val="000000" w:themeColor="text1"/>
              </w:rPr>
              <w:t>Live below</w:t>
            </w:r>
            <w:r w:rsidR="00E9770D" w:rsidRPr="00374785">
              <w:rPr>
                <w:color w:val="000000" w:themeColor="text1"/>
              </w:rPr>
              <w:t>-</w:t>
            </w:r>
            <w:r w:rsidRPr="00374785">
              <w:rPr>
                <w:color w:val="000000" w:themeColor="text1"/>
              </w:rPr>
              <w:t>ground biomass</w:t>
            </w:r>
          </w:p>
        </w:tc>
        <w:tc>
          <w:tcPr>
            <w:tcW w:w="0" w:type="auto"/>
            <w:tcBorders>
              <w:top w:val="single" w:sz="4" w:space="0" w:color="auto"/>
            </w:tcBorders>
          </w:tcPr>
          <w:p w:rsidR="002B60C7" w:rsidRPr="00374785" w:rsidRDefault="002B60C7" w:rsidP="009E4491">
            <w:pPr>
              <w:spacing w:before="120" w:after="120"/>
              <w:ind w:right="237"/>
              <w:rPr>
                <w:color w:val="000000" w:themeColor="text1"/>
              </w:rPr>
            </w:pPr>
            <w:r w:rsidRPr="00374785">
              <w:rPr>
                <w:color w:val="000000" w:themeColor="text1"/>
              </w:rPr>
              <w:t>Carbon dioxide (CO</w:t>
            </w:r>
            <w:r w:rsidRPr="00374785">
              <w:rPr>
                <w:color w:val="000000" w:themeColor="text1"/>
                <w:vertAlign w:val="subscript"/>
              </w:rPr>
              <w:t>2</w:t>
            </w:r>
            <w:r w:rsidRPr="00374785">
              <w:rPr>
                <w:color w:val="000000" w:themeColor="text1"/>
              </w:rPr>
              <w:t>)</w:t>
            </w:r>
          </w:p>
        </w:tc>
      </w:tr>
      <w:tr w:rsidR="002B60C7" w:rsidRPr="00374785" w:rsidTr="009E4491">
        <w:trPr>
          <w:cantSplit/>
          <w:trHeight w:val="224"/>
        </w:trPr>
        <w:tc>
          <w:tcPr>
            <w:tcW w:w="3660" w:type="dxa"/>
          </w:tcPr>
          <w:p w:rsidR="002B60C7" w:rsidRPr="00374785" w:rsidRDefault="002B60C7" w:rsidP="009E4491">
            <w:pPr>
              <w:spacing w:before="120" w:after="120"/>
              <w:ind w:right="237"/>
              <w:rPr>
                <w:color w:val="000000" w:themeColor="text1"/>
              </w:rPr>
            </w:pPr>
            <w:r w:rsidRPr="00374785">
              <w:rPr>
                <w:color w:val="000000" w:themeColor="text1"/>
              </w:rPr>
              <w:t>Debris</w:t>
            </w:r>
          </w:p>
        </w:tc>
        <w:tc>
          <w:tcPr>
            <w:tcW w:w="0" w:type="auto"/>
            <w:tcBorders>
              <w:top w:val="single" w:sz="4" w:space="0" w:color="auto"/>
            </w:tcBorders>
          </w:tcPr>
          <w:p w:rsidR="002B60C7" w:rsidRPr="00374785" w:rsidRDefault="002B60C7" w:rsidP="009E4491">
            <w:pPr>
              <w:spacing w:before="120" w:after="120"/>
              <w:ind w:right="237"/>
              <w:rPr>
                <w:color w:val="000000" w:themeColor="text1"/>
              </w:rPr>
            </w:pPr>
            <w:r w:rsidRPr="00374785">
              <w:rPr>
                <w:color w:val="000000" w:themeColor="text1"/>
              </w:rPr>
              <w:t>Carbon dioxide (CO</w:t>
            </w:r>
            <w:r w:rsidRPr="00374785">
              <w:rPr>
                <w:color w:val="000000" w:themeColor="text1"/>
                <w:vertAlign w:val="subscript"/>
              </w:rPr>
              <w:t>2</w:t>
            </w:r>
            <w:r w:rsidRPr="00374785">
              <w:rPr>
                <w:color w:val="000000" w:themeColor="text1"/>
              </w:rPr>
              <w:t>)</w:t>
            </w:r>
          </w:p>
        </w:tc>
      </w:tr>
      <w:tr w:rsidR="002B60C7" w:rsidRPr="00374785" w:rsidTr="009E4491">
        <w:trPr>
          <w:cantSplit/>
          <w:trHeight w:val="224"/>
        </w:trPr>
        <w:tc>
          <w:tcPr>
            <w:tcW w:w="3660" w:type="dxa"/>
          </w:tcPr>
          <w:p w:rsidR="002B60C7" w:rsidRPr="00374785" w:rsidRDefault="002B60C7" w:rsidP="009E4491">
            <w:pPr>
              <w:spacing w:before="120" w:after="120"/>
              <w:ind w:right="237"/>
              <w:rPr>
                <w:b/>
                <w:color w:val="000000" w:themeColor="text1"/>
              </w:rPr>
            </w:pPr>
            <w:r w:rsidRPr="00374785">
              <w:rPr>
                <w:b/>
                <w:color w:val="000000" w:themeColor="text1"/>
              </w:rPr>
              <w:t>Emission source</w:t>
            </w:r>
          </w:p>
        </w:tc>
        <w:tc>
          <w:tcPr>
            <w:tcW w:w="0" w:type="auto"/>
            <w:tcBorders>
              <w:top w:val="single" w:sz="4" w:space="0" w:color="auto"/>
            </w:tcBorders>
          </w:tcPr>
          <w:p w:rsidR="002B60C7" w:rsidRPr="00374785" w:rsidRDefault="002B60C7" w:rsidP="009E4491">
            <w:pPr>
              <w:spacing w:before="120" w:after="120"/>
              <w:ind w:right="237"/>
              <w:rPr>
                <w:b/>
                <w:color w:val="000000" w:themeColor="text1"/>
              </w:rPr>
            </w:pPr>
            <w:r w:rsidRPr="00374785">
              <w:rPr>
                <w:b/>
                <w:color w:val="000000" w:themeColor="text1"/>
              </w:rPr>
              <w:t>Greenhouse gas</w:t>
            </w:r>
          </w:p>
        </w:tc>
      </w:tr>
      <w:tr w:rsidR="002B60C7" w:rsidRPr="00374785" w:rsidTr="009E4491">
        <w:trPr>
          <w:cantSplit/>
          <w:trHeight w:val="224"/>
        </w:trPr>
        <w:tc>
          <w:tcPr>
            <w:tcW w:w="3660" w:type="dxa"/>
          </w:tcPr>
          <w:p w:rsidR="002B60C7" w:rsidRPr="00374785" w:rsidRDefault="002B60C7" w:rsidP="009E4491">
            <w:pPr>
              <w:spacing w:before="120" w:after="120"/>
              <w:ind w:right="237"/>
              <w:rPr>
                <w:color w:val="000000" w:themeColor="text1"/>
              </w:rPr>
            </w:pPr>
            <w:r w:rsidRPr="00374785">
              <w:rPr>
                <w:color w:val="000000" w:themeColor="text1"/>
              </w:rPr>
              <w:t>Fuel use</w:t>
            </w:r>
          </w:p>
        </w:tc>
        <w:tc>
          <w:tcPr>
            <w:tcW w:w="0" w:type="auto"/>
            <w:tcBorders>
              <w:top w:val="single" w:sz="4" w:space="0" w:color="auto"/>
            </w:tcBorders>
          </w:tcPr>
          <w:p w:rsidR="002B60C7" w:rsidRPr="00374785" w:rsidRDefault="002B60C7" w:rsidP="009E4491">
            <w:pPr>
              <w:spacing w:before="120" w:after="120"/>
              <w:ind w:right="237"/>
              <w:rPr>
                <w:color w:val="000000" w:themeColor="text1"/>
              </w:rPr>
            </w:pPr>
            <w:r w:rsidRPr="00374785">
              <w:rPr>
                <w:color w:val="000000" w:themeColor="text1"/>
              </w:rPr>
              <w:t>Methane (CH</w:t>
            </w:r>
            <w:r w:rsidRPr="00374785">
              <w:rPr>
                <w:color w:val="000000" w:themeColor="text1"/>
                <w:vertAlign w:val="subscript"/>
              </w:rPr>
              <w:t>4</w:t>
            </w:r>
            <w:r w:rsidRPr="00374785">
              <w:rPr>
                <w:color w:val="000000" w:themeColor="text1"/>
              </w:rPr>
              <w:t>)</w:t>
            </w:r>
          </w:p>
          <w:p w:rsidR="002B60C7" w:rsidRPr="00374785" w:rsidRDefault="002B60C7" w:rsidP="009E4491">
            <w:pPr>
              <w:spacing w:before="120" w:after="120"/>
              <w:ind w:right="237"/>
              <w:rPr>
                <w:color w:val="000000" w:themeColor="text1"/>
              </w:rPr>
            </w:pPr>
            <w:r w:rsidRPr="00374785">
              <w:rPr>
                <w:color w:val="000000" w:themeColor="text1"/>
              </w:rPr>
              <w:t>Nitrous oxide (N</w:t>
            </w:r>
            <w:r w:rsidRPr="00374785">
              <w:rPr>
                <w:color w:val="000000" w:themeColor="text1"/>
                <w:vertAlign w:val="subscript"/>
              </w:rPr>
              <w:t>2</w:t>
            </w:r>
            <w:r w:rsidRPr="00374785">
              <w:rPr>
                <w:color w:val="000000" w:themeColor="text1"/>
              </w:rPr>
              <w:t>O)</w:t>
            </w:r>
          </w:p>
          <w:p w:rsidR="002B60C7" w:rsidRPr="00374785" w:rsidRDefault="002B60C7" w:rsidP="009E4491">
            <w:pPr>
              <w:spacing w:before="120" w:after="120"/>
              <w:ind w:right="237"/>
              <w:rPr>
                <w:color w:val="000000" w:themeColor="text1"/>
              </w:rPr>
            </w:pPr>
            <w:r w:rsidRPr="00374785">
              <w:rPr>
                <w:color w:val="000000" w:themeColor="text1"/>
              </w:rPr>
              <w:t>Carbon dioxide (CO</w:t>
            </w:r>
            <w:r w:rsidRPr="00374785">
              <w:rPr>
                <w:color w:val="000000" w:themeColor="text1"/>
                <w:vertAlign w:val="subscript"/>
              </w:rPr>
              <w:t>2</w:t>
            </w:r>
            <w:r w:rsidRPr="00374785">
              <w:rPr>
                <w:color w:val="000000" w:themeColor="text1"/>
              </w:rPr>
              <w:t>)</w:t>
            </w:r>
          </w:p>
        </w:tc>
      </w:tr>
      <w:tr w:rsidR="002B60C7" w:rsidRPr="00374785" w:rsidTr="009E4491">
        <w:trPr>
          <w:cantSplit/>
          <w:trHeight w:val="224"/>
        </w:trPr>
        <w:tc>
          <w:tcPr>
            <w:tcW w:w="3660" w:type="dxa"/>
          </w:tcPr>
          <w:p w:rsidR="002B60C7" w:rsidRPr="00374785" w:rsidRDefault="002B60C7" w:rsidP="009E4491">
            <w:pPr>
              <w:spacing w:before="120" w:after="120"/>
              <w:ind w:right="237"/>
              <w:rPr>
                <w:color w:val="000000" w:themeColor="text1"/>
              </w:rPr>
            </w:pPr>
            <w:r w:rsidRPr="00374785">
              <w:rPr>
                <w:color w:val="000000" w:themeColor="text1"/>
              </w:rPr>
              <w:t>Fire—planned and unplanned</w:t>
            </w:r>
          </w:p>
        </w:tc>
        <w:tc>
          <w:tcPr>
            <w:tcW w:w="0" w:type="auto"/>
            <w:tcBorders>
              <w:top w:val="single" w:sz="4" w:space="0" w:color="auto"/>
            </w:tcBorders>
          </w:tcPr>
          <w:p w:rsidR="002B60C7" w:rsidRPr="00374785" w:rsidRDefault="002B60C7" w:rsidP="009E4491">
            <w:pPr>
              <w:spacing w:before="120" w:after="120"/>
              <w:ind w:right="237"/>
              <w:rPr>
                <w:color w:val="000000" w:themeColor="text1"/>
              </w:rPr>
            </w:pPr>
            <w:r w:rsidRPr="00374785">
              <w:rPr>
                <w:color w:val="000000" w:themeColor="text1"/>
              </w:rPr>
              <w:t>Methane (CH</w:t>
            </w:r>
            <w:r w:rsidRPr="00374785">
              <w:rPr>
                <w:color w:val="000000" w:themeColor="text1"/>
                <w:vertAlign w:val="subscript"/>
              </w:rPr>
              <w:t>4</w:t>
            </w:r>
            <w:r w:rsidRPr="00374785">
              <w:rPr>
                <w:color w:val="000000" w:themeColor="text1"/>
              </w:rPr>
              <w:t>)</w:t>
            </w:r>
          </w:p>
          <w:p w:rsidR="002B60C7" w:rsidRPr="00374785" w:rsidRDefault="002B60C7" w:rsidP="009E4491">
            <w:pPr>
              <w:spacing w:before="120" w:after="120"/>
              <w:ind w:right="237"/>
              <w:rPr>
                <w:color w:val="000000" w:themeColor="text1"/>
              </w:rPr>
            </w:pPr>
            <w:r w:rsidRPr="00374785">
              <w:rPr>
                <w:color w:val="000000" w:themeColor="text1"/>
              </w:rPr>
              <w:t>Nitrous oxide (N</w:t>
            </w:r>
            <w:r w:rsidRPr="00374785">
              <w:rPr>
                <w:color w:val="000000" w:themeColor="text1"/>
                <w:vertAlign w:val="subscript"/>
              </w:rPr>
              <w:t>2</w:t>
            </w:r>
            <w:r w:rsidRPr="00374785">
              <w:rPr>
                <w:color w:val="000000" w:themeColor="text1"/>
              </w:rPr>
              <w:t>O)</w:t>
            </w:r>
          </w:p>
          <w:p w:rsidR="002B60C7" w:rsidRPr="00374785" w:rsidRDefault="002B60C7" w:rsidP="009E4491">
            <w:pPr>
              <w:spacing w:before="120" w:after="120"/>
              <w:ind w:right="237"/>
              <w:rPr>
                <w:color w:val="000000" w:themeColor="text1"/>
              </w:rPr>
            </w:pPr>
            <w:r w:rsidRPr="00374785">
              <w:rPr>
                <w:color w:val="000000" w:themeColor="text1"/>
              </w:rPr>
              <w:t>Carbon dioxide (CO</w:t>
            </w:r>
            <w:r w:rsidRPr="00374785">
              <w:rPr>
                <w:color w:val="000000" w:themeColor="text1"/>
                <w:vertAlign w:val="subscript"/>
              </w:rPr>
              <w:t>2</w:t>
            </w:r>
            <w:r w:rsidRPr="00374785">
              <w:rPr>
                <w:color w:val="000000" w:themeColor="text1"/>
              </w:rPr>
              <w:t>)</w:t>
            </w:r>
          </w:p>
        </w:tc>
      </w:tr>
    </w:tbl>
    <w:p w:rsidR="002B60C7" w:rsidRPr="00374785" w:rsidRDefault="007F3C0F" w:rsidP="00646C45">
      <w:pPr>
        <w:pStyle w:val="h5Section"/>
      </w:pPr>
      <w:bookmarkStart w:id="79" w:name="_Toc397681623"/>
      <w:r>
        <w:t>4.4</w:t>
      </w:r>
      <w:r w:rsidR="00646C45" w:rsidRPr="00374785">
        <w:tab/>
      </w:r>
      <w:r w:rsidR="002B60C7" w:rsidRPr="00374785">
        <w:t>Baseline for the project</w:t>
      </w:r>
      <w:bookmarkEnd w:id="79"/>
    </w:p>
    <w:p w:rsidR="002B60C7" w:rsidRPr="00374785" w:rsidRDefault="000E0AA0" w:rsidP="000E0AA0">
      <w:pPr>
        <w:pStyle w:val="tMain"/>
      </w:pPr>
      <w:r w:rsidRPr="00374785">
        <w:tab/>
      </w:r>
      <w:r w:rsidR="007F3C0F">
        <w:t>(1)</w:t>
      </w:r>
      <w:r w:rsidRPr="00374785">
        <w:tab/>
      </w:r>
      <w:r w:rsidR="0032661E" w:rsidRPr="00374785">
        <w:t>T</w:t>
      </w:r>
      <w:r w:rsidR="002B60C7" w:rsidRPr="00374785">
        <w:t>he baseline for a project in relation to a reporting period is the carbon stock that the carbon estimation areas for the project would have had in the absence of the project if the land use and management had continued as they were during the baseline period for the project; and</w:t>
      </w:r>
    </w:p>
    <w:p w:rsidR="002B60C7" w:rsidRPr="00374785" w:rsidRDefault="000E0AA0" w:rsidP="000E0AA0">
      <w:pPr>
        <w:pStyle w:val="tMain"/>
      </w:pPr>
      <w:r w:rsidRPr="00374785">
        <w:tab/>
      </w:r>
      <w:r w:rsidR="007F3C0F">
        <w:t>(2)</w:t>
      </w:r>
      <w:r w:rsidRPr="00374785">
        <w:tab/>
      </w:r>
      <w:r w:rsidR="0032661E" w:rsidRPr="00374785">
        <w:t>T</w:t>
      </w:r>
      <w:r w:rsidR="002B60C7" w:rsidRPr="00374785">
        <w:t>he baseline amount is taken to be zero</w:t>
      </w:r>
      <w:r w:rsidR="00314A07" w:rsidRPr="00374785">
        <w:t xml:space="preserve"> and is not recalculated during the project</w:t>
      </w:r>
      <w:r w:rsidR="002B60C7" w:rsidRPr="00374785">
        <w:t>.</w:t>
      </w:r>
    </w:p>
    <w:p w:rsidR="002B60C7" w:rsidRPr="00374785" w:rsidRDefault="009845EA" w:rsidP="009845EA">
      <w:pPr>
        <w:pStyle w:val="h4Subdiv"/>
      </w:pPr>
      <w:bookmarkStart w:id="80" w:name="_Toc397681624"/>
      <w:r w:rsidRPr="00374785">
        <w:t xml:space="preserve">Subdivision </w:t>
      </w:r>
      <w:r w:rsidR="007F3C0F">
        <w:t>4.2.2</w:t>
      </w:r>
      <w:r w:rsidRPr="00374785">
        <w:tab/>
      </w:r>
      <w:r w:rsidR="002B60C7" w:rsidRPr="00374785">
        <w:t>FullCAM modelling</w:t>
      </w:r>
      <w:bookmarkEnd w:id="80"/>
    </w:p>
    <w:p w:rsidR="002B60C7" w:rsidRPr="00374785" w:rsidRDefault="007F3C0F" w:rsidP="00DF38BF">
      <w:pPr>
        <w:pStyle w:val="h5Section"/>
      </w:pPr>
      <w:bookmarkStart w:id="81" w:name="_Toc397681625"/>
      <w:r>
        <w:t>4.5</w:t>
      </w:r>
      <w:r w:rsidR="00DF38BF" w:rsidRPr="00374785">
        <w:tab/>
      </w:r>
      <w:r w:rsidR="002B60C7" w:rsidRPr="00374785">
        <w:t>FullCAM modelling</w:t>
      </w:r>
      <w:bookmarkEnd w:id="81"/>
    </w:p>
    <w:p w:rsidR="003F4D4D" w:rsidRPr="00374785" w:rsidRDefault="00DF38BF" w:rsidP="00DF38BF">
      <w:pPr>
        <w:pStyle w:val="tMain"/>
      </w:pPr>
      <w:r w:rsidRPr="00374785">
        <w:tab/>
      </w:r>
      <w:r w:rsidRPr="00374785">
        <w:tab/>
      </w:r>
      <w:r w:rsidR="002B60C7" w:rsidRPr="00374785">
        <w:t xml:space="preserve">FullCAM must be used to </w:t>
      </w:r>
      <w:r w:rsidR="001834B5" w:rsidRPr="00374785">
        <w:t>model</w:t>
      </w:r>
      <w:r w:rsidR="003F4D4D" w:rsidRPr="00374785">
        <w:t xml:space="preserve"> the following</w:t>
      </w:r>
      <w:r w:rsidR="0019443C" w:rsidRPr="00374785">
        <w:t xml:space="preserve"> parameters</w:t>
      </w:r>
      <w:r w:rsidR="00070F0E" w:rsidRPr="00374785">
        <w:t xml:space="preserve"> </w:t>
      </w:r>
      <w:r w:rsidR="003F4D4D" w:rsidRPr="00374785">
        <w:t>for each carbon estimation area</w:t>
      </w:r>
      <w:r w:rsidR="0019443C" w:rsidRPr="00374785">
        <w:t xml:space="preserve"> in accordance with the FullCAM Guidelines</w:t>
      </w:r>
      <w:r w:rsidR="003F4D4D" w:rsidRPr="00374785">
        <w:t>:</w:t>
      </w:r>
    </w:p>
    <w:p w:rsidR="003F4D4D" w:rsidRPr="00374785" w:rsidRDefault="003F4D4D" w:rsidP="003F4D4D">
      <w:pPr>
        <w:pStyle w:val="tPara"/>
      </w:pPr>
      <w:r w:rsidRPr="00374785">
        <w:tab/>
      </w:r>
      <w:r w:rsidR="007F3C0F">
        <w:t>(a)</w:t>
      </w:r>
      <w:r w:rsidRPr="00374785">
        <w:tab/>
      </w:r>
      <w:r w:rsidR="002B60C7" w:rsidRPr="00374785">
        <w:t>carbon stock</w:t>
      </w:r>
      <w:r w:rsidRPr="00374785">
        <w:t>;</w:t>
      </w:r>
    </w:p>
    <w:p w:rsidR="003F4D4D" w:rsidRPr="00374785" w:rsidRDefault="00447DBF" w:rsidP="00447DBF">
      <w:pPr>
        <w:pStyle w:val="tPara"/>
      </w:pPr>
      <w:r w:rsidRPr="00374785">
        <w:tab/>
      </w:r>
      <w:r w:rsidR="007F3C0F">
        <w:t>(b)</w:t>
      </w:r>
      <w:r w:rsidRPr="00374785">
        <w:tab/>
      </w:r>
      <w:r w:rsidR="00CD5DF0" w:rsidRPr="00374785">
        <w:t>emissions resulting from</w:t>
      </w:r>
      <w:r w:rsidRPr="00374785">
        <w:t xml:space="preserve"> </w:t>
      </w:r>
      <w:r w:rsidR="003F4D4D" w:rsidRPr="00374785">
        <w:t>disturbance; and</w:t>
      </w:r>
    </w:p>
    <w:p w:rsidR="002B60C7" w:rsidRPr="00374785" w:rsidRDefault="003F4D4D" w:rsidP="003F4D4D">
      <w:pPr>
        <w:pStyle w:val="tPara"/>
      </w:pPr>
      <w:r w:rsidRPr="00374785">
        <w:tab/>
      </w:r>
      <w:r w:rsidR="007F3C0F">
        <w:t>(c)</w:t>
      </w:r>
      <w:r w:rsidRPr="00374785">
        <w:tab/>
        <w:t xml:space="preserve">the effects of </w:t>
      </w:r>
      <w:r w:rsidR="00070F0E" w:rsidRPr="00374785">
        <w:t xml:space="preserve">a </w:t>
      </w:r>
      <w:r w:rsidRPr="00374785">
        <w:t xml:space="preserve">management </w:t>
      </w:r>
      <w:r w:rsidR="00070F0E" w:rsidRPr="00374785">
        <w:t>event</w:t>
      </w:r>
      <w:r w:rsidR="002B60C7" w:rsidRPr="00374785">
        <w:t>.</w:t>
      </w:r>
    </w:p>
    <w:p w:rsidR="00AB16AC" w:rsidRPr="00374785" w:rsidRDefault="007F3C0F" w:rsidP="00AB16AC">
      <w:pPr>
        <w:pStyle w:val="h5Section"/>
      </w:pPr>
      <w:bookmarkStart w:id="82" w:name="_Toc397681626"/>
      <w:r>
        <w:t>4.6</w:t>
      </w:r>
      <w:r w:rsidR="00AB16AC" w:rsidRPr="00374785">
        <w:tab/>
        <w:t>FullCAM input</w:t>
      </w:r>
      <w:r w:rsidR="0019443C" w:rsidRPr="00374785">
        <w:t xml:space="preserve"> data</w:t>
      </w:r>
      <w:bookmarkEnd w:id="82"/>
    </w:p>
    <w:p w:rsidR="00AB16AC" w:rsidRPr="00374785" w:rsidRDefault="00AB16AC" w:rsidP="00AB16AC">
      <w:pPr>
        <w:pStyle w:val="tMain"/>
      </w:pPr>
      <w:r w:rsidRPr="00374785">
        <w:tab/>
      </w:r>
      <w:r w:rsidRPr="00374785">
        <w:tab/>
      </w:r>
      <w:r w:rsidR="0027699E" w:rsidRPr="00374785">
        <w:t xml:space="preserve">For input to </w:t>
      </w:r>
      <w:r w:rsidRPr="00374785">
        <w:t>Fu</w:t>
      </w:r>
      <w:r w:rsidR="0019443C" w:rsidRPr="00374785">
        <w:t>llCAM</w:t>
      </w:r>
      <w:r w:rsidR="0027699E" w:rsidRPr="00374785">
        <w:t>,</w:t>
      </w:r>
      <w:r w:rsidR="0019443C" w:rsidRPr="00374785">
        <w:t xml:space="preserve"> </w:t>
      </w:r>
      <w:r w:rsidR="0027699E" w:rsidRPr="00374785">
        <w:t xml:space="preserve">the following </w:t>
      </w:r>
      <w:r w:rsidR="0055014C" w:rsidRPr="00374785">
        <w:t xml:space="preserve">information </w:t>
      </w:r>
      <w:r w:rsidR="0019443C" w:rsidRPr="00374785">
        <w:t>must be collected</w:t>
      </w:r>
      <w:r w:rsidR="0055014C" w:rsidRPr="00374785">
        <w:t xml:space="preserve"> or estimated</w:t>
      </w:r>
      <w:r w:rsidR="00EC0D0F" w:rsidRPr="00374785">
        <w:t xml:space="preserve"> </w:t>
      </w:r>
      <w:r w:rsidR="00A26309" w:rsidRPr="00374785">
        <w:t>for each carbon estimation area</w:t>
      </w:r>
      <w:r w:rsidRPr="00374785">
        <w:t>:</w:t>
      </w:r>
    </w:p>
    <w:p w:rsidR="00AB16AC" w:rsidRPr="00374785" w:rsidRDefault="00AB16AC" w:rsidP="00AB16AC">
      <w:pPr>
        <w:pStyle w:val="tPara"/>
      </w:pPr>
      <w:r w:rsidRPr="00374785">
        <w:tab/>
      </w:r>
      <w:r w:rsidR="007F3C0F">
        <w:t>(a)</w:t>
      </w:r>
      <w:r w:rsidRPr="00374785">
        <w:tab/>
      </w:r>
      <w:r w:rsidR="002D49B8" w:rsidRPr="00374785">
        <w:t>the model point location (latitude and longitude)</w:t>
      </w:r>
      <w:r w:rsidRPr="00374785">
        <w:t>;</w:t>
      </w:r>
    </w:p>
    <w:p w:rsidR="002D49B8" w:rsidRPr="00374785" w:rsidRDefault="002D49B8" w:rsidP="002D49B8">
      <w:pPr>
        <w:pStyle w:val="tPara"/>
      </w:pPr>
      <w:r w:rsidRPr="00374785">
        <w:tab/>
      </w:r>
      <w:r w:rsidR="007F3C0F">
        <w:t>(b)</w:t>
      </w:r>
      <w:r w:rsidRPr="00374785">
        <w:tab/>
        <w:t xml:space="preserve">the </w:t>
      </w:r>
      <w:r w:rsidR="00970CED" w:rsidRPr="00374785">
        <w:t>last planting date</w:t>
      </w:r>
      <w:r w:rsidRPr="00374785">
        <w:t>;</w:t>
      </w:r>
    </w:p>
    <w:p w:rsidR="002D49B8" w:rsidRPr="00374785" w:rsidRDefault="002D49B8" w:rsidP="002D49B8">
      <w:pPr>
        <w:pStyle w:val="tPara"/>
      </w:pPr>
      <w:r w:rsidRPr="00374785">
        <w:lastRenderedPageBreak/>
        <w:tab/>
      </w:r>
      <w:r w:rsidR="007F3C0F">
        <w:t>(c)</w:t>
      </w:r>
      <w:r w:rsidRPr="00374785">
        <w:tab/>
        <w:t xml:space="preserve">the species; </w:t>
      </w:r>
    </w:p>
    <w:p w:rsidR="002D49B8" w:rsidRPr="00374785" w:rsidRDefault="002D49B8" w:rsidP="002D49B8">
      <w:pPr>
        <w:pStyle w:val="tPara"/>
      </w:pPr>
      <w:r w:rsidRPr="00374785">
        <w:tab/>
      </w:r>
      <w:r w:rsidR="007F3C0F">
        <w:t>(d)</w:t>
      </w:r>
      <w:r w:rsidRPr="00374785">
        <w:tab/>
      </w:r>
      <w:r w:rsidR="00A26309" w:rsidRPr="00374785">
        <w:t xml:space="preserve">where applicable, </w:t>
      </w:r>
      <w:r w:rsidRPr="00374785">
        <w:t xml:space="preserve">the stocking density of the </w:t>
      </w:r>
      <w:r w:rsidR="009A29FA" w:rsidRPr="00374785">
        <w:t>trees and shrubs</w:t>
      </w:r>
      <w:r w:rsidR="00A26309" w:rsidRPr="00374785">
        <w:t>;</w:t>
      </w:r>
    </w:p>
    <w:p w:rsidR="00A26309" w:rsidRPr="00374785" w:rsidRDefault="002D49B8" w:rsidP="002D49B8">
      <w:pPr>
        <w:pStyle w:val="tPara"/>
      </w:pPr>
      <w:r w:rsidRPr="00374785">
        <w:tab/>
      </w:r>
      <w:r w:rsidR="007F3C0F">
        <w:t>(e)</w:t>
      </w:r>
      <w:r w:rsidRPr="00374785">
        <w:tab/>
      </w:r>
      <w:r w:rsidR="00A26309" w:rsidRPr="00374785">
        <w:t xml:space="preserve">where applicable, </w:t>
      </w:r>
      <w:r w:rsidRPr="00374785">
        <w:t>the tree proportion</w:t>
      </w:r>
      <w:r w:rsidR="00A26309" w:rsidRPr="00374785">
        <w:t>;</w:t>
      </w:r>
    </w:p>
    <w:p w:rsidR="00AB16AC" w:rsidRPr="00374785" w:rsidRDefault="00A26309" w:rsidP="00A26309">
      <w:pPr>
        <w:pStyle w:val="tPara"/>
      </w:pPr>
      <w:r w:rsidRPr="00374785">
        <w:tab/>
      </w:r>
      <w:r w:rsidR="007F3C0F">
        <w:t>(f)</w:t>
      </w:r>
      <w:r w:rsidRPr="00374785">
        <w:tab/>
      </w:r>
      <w:r w:rsidR="00AB16AC" w:rsidRPr="00374785">
        <w:t>domain information to support the use of a given FullCAM calibration;</w:t>
      </w:r>
    </w:p>
    <w:p w:rsidR="00AB16AC" w:rsidRPr="00374785" w:rsidRDefault="00AB16AC" w:rsidP="00AB16AC">
      <w:pPr>
        <w:pStyle w:val="tPara"/>
      </w:pPr>
      <w:r w:rsidRPr="00374785">
        <w:tab/>
      </w:r>
      <w:r w:rsidR="007F3C0F">
        <w:t>(g)</w:t>
      </w:r>
      <w:r w:rsidRPr="00374785">
        <w:tab/>
        <w:t>management event data; and</w:t>
      </w:r>
    </w:p>
    <w:p w:rsidR="00AB16AC" w:rsidRPr="00374785" w:rsidRDefault="00AB16AC" w:rsidP="00AB16AC">
      <w:pPr>
        <w:pStyle w:val="tPara"/>
      </w:pPr>
      <w:r w:rsidRPr="00374785">
        <w:tab/>
      </w:r>
      <w:r w:rsidR="007F3C0F">
        <w:t>(h)</w:t>
      </w:r>
      <w:r w:rsidRPr="00374785">
        <w:tab/>
        <w:t xml:space="preserve">disturbance event data. </w:t>
      </w:r>
    </w:p>
    <w:p w:rsidR="00AB16AC" w:rsidRPr="00374785" w:rsidRDefault="007F3C0F" w:rsidP="00AB16AC">
      <w:pPr>
        <w:pStyle w:val="h5Section"/>
      </w:pPr>
      <w:bookmarkStart w:id="83" w:name="_Toc397681627"/>
      <w:r>
        <w:t>4.7</w:t>
      </w:r>
      <w:r w:rsidR="00AB16AC" w:rsidRPr="00374785">
        <w:tab/>
        <w:t>FullCAM outputs</w:t>
      </w:r>
      <w:bookmarkEnd w:id="83"/>
    </w:p>
    <w:p w:rsidR="00AB16AC" w:rsidRPr="00374785" w:rsidRDefault="00AB16AC" w:rsidP="00AB16AC">
      <w:pPr>
        <w:pStyle w:val="tMain"/>
      </w:pPr>
      <w:r w:rsidRPr="00374785">
        <w:tab/>
      </w:r>
      <w:r w:rsidRPr="00374785">
        <w:tab/>
        <w:t>The data</w:t>
      </w:r>
      <w:r w:rsidR="00290132" w:rsidRPr="00374785">
        <w:t xml:space="preserve"> specified in Table 2 and generated in accordance with the FullCAM Guidelines as output</w:t>
      </w:r>
      <w:r w:rsidR="00311E13">
        <w:t>s</w:t>
      </w:r>
      <w:r w:rsidR="00290132" w:rsidRPr="00374785">
        <w:t xml:space="preserve"> </w:t>
      </w:r>
      <w:r w:rsidR="007015AD" w:rsidRPr="00374785">
        <w:t xml:space="preserve">from FullCAM </w:t>
      </w:r>
      <w:r w:rsidRPr="00374785">
        <w:t>must be used when calculating abatement in accordance with this Part:</w:t>
      </w:r>
    </w:p>
    <w:p w:rsidR="00AB16AC" w:rsidRPr="00374785" w:rsidRDefault="00AB16AC" w:rsidP="00AB16AC">
      <w:pPr>
        <w:pStyle w:val="h6Subsec"/>
      </w:pPr>
      <w:r w:rsidRPr="00374785">
        <w:t xml:space="preserve">Table 2: FullCAM output required for calculating abatement </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1275"/>
        <w:gridCol w:w="1640"/>
        <w:gridCol w:w="1621"/>
        <w:gridCol w:w="1659"/>
      </w:tblGrid>
      <w:tr w:rsidR="00AB16AC" w:rsidRPr="00374785" w:rsidTr="00AB16AC">
        <w:trPr>
          <w:cantSplit/>
          <w:trHeight w:val="224"/>
        </w:trPr>
        <w:tc>
          <w:tcPr>
            <w:tcW w:w="1701" w:type="dxa"/>
            <w:tcBorders>
              <w:top w:val="single" w:sz="4" w:space="0" w:color="auto"/>
            </w:tcBorders>
          </w:tcPr>
          <w:p w:rsidR="00AB16AC" w:rsidRPr="00374785" w:rsidRDefault="00AB16AC" w:rsidP="00AB16AC">
            <w:pPr>
              <w:spacing w:before="120" w:after="120"/>
              <w:ind w:right="237"/>
              <w:rPr>
                <w:b/>
                <w:sz w:val="20"/>
                <w:szCs w:val="20"/>
              </w:rPr>
            </w:pPr>
            <w:r w:rsidRPr="00374785">
              <w:rPr>
                <w:b/>
                <w:sz w:val="20"/>
                <w:szCs w:val="20"/>
              </w:rPr>
              <w:t>FullCAM Output</w:t>
            </w:r>
          </w:p>
        </w:tc>
        <w:tc>
          <w:tcPr>
            <w:tcW w:w="1275" w:type="dxa"/>
            <w:tcBorders>
              <w:top w:val="single" w:sz="4" w:space="0" w:color="auto"/>
            </w:tcBorders>
          </w:tcPr>
          <w:p w:rsidR="00AB16AC" w:rsidRPr="00374785" w:rsidRDefault="00AB16AC" w:rsidP="00AB16AC">
            <w:pPr>
              <w:spacing w:before="120" w:after="120"/>
              <w:ind w:right="237"/>
              <w:rPr>
                <w:sz w:val="20"/>
                <w:szCs w:val="20"/>
              </w:rPr>
            </w:pPr>
            <w:r w:rsidRPr="00374785">
              <w:rPr>
                <w:b/>
                <w:sz w:val="20"/>
                <w:szCs w:val="20"/>
              </w:rPr>
              <w:t>Unit</w:t>
            </w:r>
            <w:r w:rsidR="00290132" w:rsidRPr="00374785">
              <w:rPr>
                <w:b/>
                <w:sz w:val="20"/>
                <w:szCs w:val="20"/>
              </w:rPr>
              <w:t>s</w:t>
            </w:r>
          </w:p>
        </w:tc>
        <w:tc>
          <w:tcPr>
            <w:tcW w:w="1640" w:type="dxa"/>
            <w:tcBorders>
              <w:top w:val="single" w:sz="4" w:space="0" w:color="auto"/>
            </w:tcBorders>
          </w:tcPr>
          <w:p w:rsidR="00AB16AC" w:rsidRPr="00374785" w:rsidRDefault="00AB16AC" w:rsidP="00AB16AC">
            <w:pPr>
              <w:spacing w:before="120" w:after="120"/>
              <w:ind w:right="237"/>
              <w:rPr>
                <w:b/>
                <w:sz w:val="20"/>
                <w:szCs w:val="20"/>
              </w:rPr>
            </w:pPr>
            <w:r w:rsidRPr="00374785">
              <w:rPr>
                <w:b/>
                <w:sz w:val="20"/>
                <w:szCs w:val="20"/>
              </w:rPr>
              <w:t>Description</w:t>
            </w:r>
          </w:p>
        </w:tc>
        <w:tc>
          <w:tcPr>
            <w:tcW w:w="1621" w:type="dxa"/>
            <w:tcBorders>
              <w:top w:val="single" w:sz="4" w:space="0" w:color="auto"/>
            </w:tcBorders>
          </w:tcPr>
          <w:p w:rsidR="00AB16AC" w:rsidRPr="00374785" w:rsidRDefault="00AB16AC" w:rsidP="00AB16AC">
            <w:pPr>
              <w:spacing w:before="120" w:after="120"/>
              <w:ind w:right="237"/>
              <w:rPr>
                <w:b/>
                <w:sz w:val="20"/>
                <w:szCs w:val="20"/>
              </w:rPr>
            </w:pPr>
            <w:r w:rsidRPr="00374785">
              <w:rPr>
                <w:b/>
                <w:sz w:val="20"/>
                <w:szCs w:val="20"/>
              </w:rPr>
              <w:t>Form</w:t>
            </w:r>
          </w:p>
        </w:tc>
        <w:tc>
          <w:tcPr>
            <w:tcW w:w="1659" w:type="dxa"/>
            <w:tcBorders>
              <w:top w:val="single" w:sz="4" w:space="0" w:color="auto"/>
            </w:tcBorders>
          </w:tcPr>
          <w:p w:rsidR="00AB16AC" w:rsidRPr="00374785" w:rsidRDefault="00AB16AC" w:rsidP="00AB16AC">
            <w:pPr>
              <w:spacing w:before="120" w:after="120"/>
              <w:ind w:right="237"/>
              <w:rPr>
                <w:b/>
                <w:sz w:val="20"/>
                <w:szCs w:val="20"/>
              </w:rPr>
            </w:pPr>
            <w:r w:rsidRPr="00374785">
              <w:rPr>
                <w:b/>
                <w:sz w:val="20"/>
                <w:szCs w:val="20"/>
              </w:rPr>
              <w:t>Parameter</w:t>
            </w:r>
            <w:r w:rsidR="004B543A" w:rsidRPr="00374785">
              <w:rPr>
                <w:b/>
                <w:sz w:val="20"/>
                <w:szCs w:val="20"/>
              </w:rPr>
              <w:t xml:space="preserve"> and Equation</w:t>
            </w:r>
          </w:p>
        </w:tc>
      </w:tr>
      <w:tr w:rsidR="007017BE" w:rsidRPr="00374785" w:rsidTr="0014573E">
        <w:trPr>
          <w:cantSplit/>
          <w:trHeight w:val="461"/>
        </w:trPr>
        <w:tc>
          <w:tcPr>
            <w:tcW w:w="1701" w:type="dxa"/>
          </w:tcPr>
          <w:p w:rsidR="007017BE" w:rsidRPr="00374785" w:rsidRDefault="007017BE" w:rsidP="0014573E">
            <w:pPr>
              <w:widowControl w:val="0"/>
              <w:ind w:right="237"/>
              <w:rPr>
                <w:bCs/>
                <w:sz w:val="20"/>
                <w:szCs w:val="20"/>
              </w:rPr>
            </w:pPr>
            <w:r>
              <w:rPr>
                <w:bCs/>
                <w:sz w:val="20"/>
                <w:szCs w:val="20"/>
              </w:rPr>
              <w:t xml:space="preserve">Initial </w:t>
            </w:r>
            <w:r w:rsidRPr="00374785">
              <w:rPr>
                <w:bCs/>
                <w:sz w:val="20"/>
                <w:szCs w:val="20"/>
              </w:rPr>
              <w:t>C mass of trees</w:t>
            </w:r>
          </w:p>
        </w:tc>
        <w:tc>
          <w:tcPr>
            <w:tcW w:w="1275" w:type="dxa"/>
            <w:tcBorders>
              <w:top w:val="single" w:sz="4" w:space="0" w:color="auto"/>
            </w:tcBorders>
          </w:tcPr>
          <w:p w:rsidR="007017BE" w:rsidRPr="00374785" w:rsidRDefault="007017BE" w:rsidP="0014573E">
            <w:pPr>
              <w:widowControl w:val="0"/>
              <w:ind w:right="237"/>
              <w:rPr>
                <w:sz w:val="20"/>
                <w:szCs w:val="20"/>
              </w:rPr>
            </w:pPr>
            <w:r w:rsidRPr="00374785">
              <w:rPr>
                <w:sz w:val="20"/>
                <w:szCs w:val="20"/>
              </w:rPr>
              <w:t>tonnes C per hectare</w:t>
            </w:r>
          </w:p>
        </w:tc>
        <w:tc>
          <w:tcPr>
            <w:tcW w:w="1640" w:type="dxa"/>
            <w:tcBorders>
              <w:top w:val="single" w:sz="4" w:space="0" w:color="auto"/>
            </w:tcBorders>
          </w:tcPr>
          <w:p w:rsidR="007017BE" w:rsidRPr="00374785" w:rsidRDefault="007017BE" w:rsidP="0014573E">
            <w:pPr>
              <w:widowControl w:val="0"/>
              <w:ind w:right="237"/>
              <w:rPr>
                <w:sz w:val="20"/>
                <w:szCs w:val="20"/>
              </w:rPr>
            </w:pPr>
            <w:r>
              <w:rPr>
                <w:sz w:val="20"/>
                <w:szCs w:val="20"/>
              </w:rPr>
              <w:t xml:space="preserve">Initial </w:t>
            </w:r>
            <w:r w:rsidR="000520AE">
              <w:rPr>
                <w:sz w:val="20"/>
                <w:szCs w:val="20"/>
              </w:rPr>
              <w:t>c</w:t>
            </w:r>
            <w:r w:rsidRPr="00374785">
              <w:rPr>
                <w:sz w:val="20"/>
                <w:szCs w:val="20"/>
              </w:rPr>
              <w:t>arbon stock in above-ground and below ground tree biomass</w:t>
            </w:r>
          </w:p>
        </w:tc>
        <w:tc>
          <w:tcPr>
            <w:tcW w:w="1621" w:type="dxa"/>
            <w:tcBorders>
              <w:top w:val="single" w:sz="4" w:space="0" w:color="auto"/>
            </w:tcBorders>
          </w:tcPr>
          <w:p w:rsidR="007017BE" w:rsidRPr="00374785" w:rsidRDefault="007017BE" w:rsidP="0014573E">
            <w:pPr>
              <w:widowControl w:val="0"/>
              <w:ind w:right="237"/>
              <w:rPr>
                <w:sz w:val="20"/>
                <w:szCs w:val="20"/>
              </w:rPr>
            </w:pPr>
            <w:r w:rsidRPr="00374785">
              <w:rPr>
                <w:sz w:val="20"/>
                <w:szCs w:val="20"/>
              </w:rPr>
              <w:t>Time series - monthly (cumulative )</w:t>
            </w:r>
          </w:p>
        </w:tc>
        <w:tc>
          <w:tcPr>
            <w:tcW w:w="1659" w:type="dxa"/>
            <w:tcBorders>
              <w:top w:val="single" w:sz="4" w:space="0" w:color="auto"/>
            </w:tcBorders>
          </w:tcPr>
          <w:p w:rsidR="007017BE" w:rsidRPr="00374785" w:rsidRDefault="0020376C" w:rsidP="0014573E">
            <w:pPr>
              <w:widowControl w:val="0"/>
              <w:ind w:right="237"/>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Dti</m:t>
                    </m:r>
                  </m:sub>
                </m:sSub>
              </m:oMath>
            </m:oMathPara>
          </w:p>
          <w:p w:rsidR="007017BE" w:rsidRPr="00374785" w:rsidRDefault="007017BE" w:rsidP="0014573E">
            <w:pPr>
              <w:widowControl w:val="0"/>
              <w:ind w:right="237"/>
              <w:jc w:val="center"/>
              <w:rPr>
                <w:sz w:val="20"/>
                <w:szCs w:val="20"/>
              </w:rPr>
            </w:pPr>
          </w:p>
          <w:p w:rsidR="007017BE" w:rsidRPr="00374785" w:rsidRDefault="007017BE" w:rsidP="0014573E">
            <w:pPr>
              <w:widowControl w:val="0"/>
              <w:ind w:right="237"/>
              <w:jc w:val="center"/>
              <w:rPr>
                <w:sz w:val="20"/>
                <w:szCs w:val="20"/>
                <w:vertAlign w:val="subscript"/>
              </w:rPr>
            </w:pPr>
            <w:r w:rsidRPr="00374785">
              <w:rPr>
                <w:sz w:val="20"/>
                <w:szCs w:val="20"/>
              </w:rPr>
              <w:t>Equation 12</w:t>
            </w:r>
            <w:r>
              <w:rPr>
                <w:sz w:val="20"/>
                <w:szCs w:val="20"/>
              </w:rPr>
              <w:t>a</w:t>
            </w:r>
          </w:p>
        </w:tc>
      </w:tr>
      <w:tr w:rsidR="007017BE" w:rsidRPr="00374785" w:rsidTr="0014573E">
        <w:trPr>
          <w:cantSplit/>
          <w:trHeight w:val="224"/>
        </w:trPr>
        <w:tc>
          <w:tcPr>
            <w:tcW w:w="1701" w:type="dxa"/>
          </w:tcPr>
          <w:p w:rsidR="007017BE" w:rsidRPr="00374785" w:rsidRDefault="007017BE" w:rsidP="0014573E">
            <w:pPr>
              <w:widowControl w:val="0"/>
              <w:ind w:right="237"/>
              <w:rPr>
                <w:bCs/>
                <w:sz w:val="20"/>
                <w:szCs w:val="20"/>
              </w:rPr>
            </w:pPr>
            <w:r>
              <w:rPr>
                <w:bCs/>
                <w:sz w:val="20"/>
                <w:szCs w:val="20"/>
              </w:rPr>
              <w:t xml:space="preserve">Initial </w:t>
            </w:r>
            <w:r w:rsidRPr="00374785">
              <w:rPr>
                <w:bCs/>
                <w:sz w:val="20"/>
                <w:szCs w:val="20"/>
              </w:rPr>
              <w:t>C mass of forest debris</w:t>
            </w:r>
          </w:p>
        </w:tc>
        <w:tc>
          <w:tcPr>
            <w:tcW w:w="1275" w:type="dxa"/>
            <w:tcBorders>
              <w:top w:val="single" w:sz="4" w:space="0" w:color="auto"/>
              <w:bottom w:val="single" w:sz="4" w:space="0" w:color="auto"/>
            </w:tcBorders>
          </w:tcPr>
          <w:p w:rsidR="007017BE" w:rsidRPr="00374785" w:rsidRDefault="007017BE" w:rsidP="0014573E">
            <w:pPr>
              <w:widowControl w:val="0"/>
              <w:ind w:right="237"/>
              <w:rPr>
                <w:sz w:val="20"/>
                <w:szCs w:val="20"/>
              </w:rPr>
            </w:pPr>
            <w:r w:rsidRPr="00374785">
              <w:rPr>
                <w:sz w:val="20"/>
                <w:szCs w:val="20"/>
              </w:rPr>
              <w:t>tonnes C per hectare</w:t>
            </w:r>
          </w:p>
        </w:tc>
        <w:tc>
          <w:tcPr>
            <w:tcW w:w="1640" w:type="dxa"/>
            <w:tcBorders>
              <w:top w:val="single" w:sz="4" w:space="0" w:color="auto"/>
              <w:bottom w:val="single" w:sz="4" w:space="0" w:color="auto"/>
            </w:tcBorders>
          </w:tcPr>
          <w:p w:rsidR="007017BE" w:rsidRPr="00374785" w:rsidRDefault="007017BE" w:rsidP="0014573E">
            <w:pPr>
              <w:widowControl w:val="0"/>
              <w:ind w:right="237"/>
              <w:rPr>
                <w:iCs/>
                <w:sz w:val="20"/>
                <w:szCs w:val="20"/>
              </w:rPr>
            </w:pPr>
            <w:r>
              <w:rPr>
                <w:sz w:val="20"/>
                <w:szCs w:val="20"/>
              </w:rPr>
              <w:t xml:space="preserve">Initial </w:t>
            </w:r>
            <w:r w:rsidR="000520AE">
              <w:rPr>
                <w:sz w:val="20"/>
                <w:szCs w:val="20"/>
              </w:rPr>
              <w:t>c</w:t>
            </w:r>
            <w:r w:rsidRPr="00374785">
              <w:rPr>
                <w:sz w:val="20"/>
                <w:szCs w:val="20"/>
              </w:rPr>
              <w:t xml:space="preserve">arbon stock in debris </w:t>
            </w:r>
          </w:p>
        </w:tc>
        <w:tc>
          <w:tcPr>
            <w:tcW w:w="1621" w:type="dxa"/>
            <w:tcBorders>
              <w:top w:val="single" w:sz="4" w:space="0" w:color="auto"/>
              <w:bottom w:val="single" w:sz="4" w:space="0" w:color="auto"/>
            </w:tcBorders>
          </w:tcPr>
          <w:p w:rsidR="007017BE" w:rsidRPr="00374785" w:rsidRDefault="007017BE" w:rsidP="0014573E">
            <w:pPr>
              <w:widowControl w:val="0"/>
              <w:rPr>
                <w:sz w:val="20"/>
                <w:szCs w:val="20"/>
              </w:rPr>
            </w:pPr>
            <w:r w:rsidRPr="00374785">
              <w:rPr>
                <w:sz w:val="20"/>
                <w:szCs w:val="20"/>
              </w:rPr>
              <w:t>Time series -  monthly (cumulative)</w:t>
            </w:r>
          </w:p>
        </w:tc>
        <w:tc>
          <w:tcPr>
            <w:tcW w:w="1659" w:type="dxa"/>
            <w:tcBorders>
              <w:top w:val="single" w:sz="4" w:space="0" w:color="auto"/>
              <w:bottom w:val="single" w:sz="4" w:space="0" w:color="auto"/>
            </w:tcBorders>
          </w:tcPr>
          <w:p w:rsidR="007017BE" w:rsidRPr="00374785" w:rsidRDefault="0020376C" w:rsidP="0014573E">
            <w:pPr>
              <w:widowControl w:val="0"/>
              <w:ind w:right="237"/>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Ddi</m:t>
                    </m:r>
                  </m:sub>
                </m:sSub>
              </m:oMath>
            </m:oMathPara>
          </w:p>
          <w:p w:rsidR="007017BE" w:rsidRPr="00374785" w:rsidRDefault="007017BE" w:rsidP="0014573E">
            <w:pPr>
              <w:widowControl w:val="0"/>
              <w:ind w:right="237"/>
              <w:jc w:val="center"/>
              <w:rPr>
                <w:sz w:val="20"/>
                <w:szCs w:val="20"/>
              </w:rPr>
            </w:pPr>
          </w:p>
          <w:p w:rsidR="007017BE" w:rsidRPr="00374785" w:rsidRDefault="007017BE" w:rsidP="0014573E">
            <w:pPr>
              <w:widowControl w:val="0"/>
              <w:ind w:right="237"/>
              <w:jc w:val="center"/>
              <w:rPr>
                <w:iCs/>
                <w:sz w:val="20"/>
                <w:szCs w:val="20"/>
                <w:vertAlign w:val="subscript"/>
              </w:rPr>
            </w:pPr>
            <w:r w:rsidRPr="00374785">
              <w:rPr>
                <w:sz w:val="20"/>
                <w:szCs w:val="20"/>
              </w:rPr>
              <w:t>Equation 12</w:t>
            </w:r>
            <w:r>
              <w:rPr>
                <w:sz w:val="20"/>
                <w:szCs w:val="20"/>
              </w:rPr>
              <w:t>a</w:t>
            </w:r>
          </w:p>
        </w:tc>
      </w:tr>
      <w:tr w:rsidR="00AB16AC" w:rsidRPr="00374785" w:rsidTr="00AB16AC">
        <w:trPr>
          <w:cantSplit/>
          <w:trHeight w:val="461"/>
        </w:trPr>
        <w:tc>
          <w:tcPr>
            <w:tcW w:w="1701" w:type="dxa"/>
          </w:tcPr>
          <w:p w:rsidR="00AB16AC" w:rsidRPr="00374785" w:rsidRDefault="003A78F5" w:rsidP="00AB16AC">
            <w:pPr>
              <w:widowControl w:val="0"/>
              <w:ind w:right="237"/>
              <w:rPr>
                <w:bCs/>
                <w:sz w:val="20"/>
                <w:szCs w:val="20"/>
              </w:rPr>
            </w:pPr>
            <w:r w:rsidRPr="00374785">
              <w:rPr>
                <w:bCs/>
                <w:sz w:val="20"/>
                <w:szCs w:val="20"/>
              </w:rPr>
              <w:t>C mass</w:t>
            </w:r>
            <w:r w:rsidR="00AB16AC" w:rsidRPr="00374785">
              <w:rPr>
                <w:bCs/>
                <w:sz w:val="20"/>
                <w:szCs w:val="20"/>
              </w:rPr>
              <w:t xml:space="preserve"> of trees</w:t>
            </w:r>
          </w:p>
        </w:tc>
        <w:tc>
          <w:tcPr>
            <w:tcW w:w="1275" w:type="dxa"/>
            <w:tcBorders>
              <w:top w:val="single" w:sz="4" w:space="0" w:color="auto"/>
            </w:tcBorders>
          </w:tcPr>
          <w:p w:rsidR="00AB16AC" w:rsidRPr="00374785" w:rsidRDefault="00AB16AC" w:rsidP="00AB16AC">
            <w:pPr>
              <w:widowControl w:val="0"/>
              <w:ind w:right="237"/>
              <w:rPr>
                <w:sz w:val="20"/>
                <w:szCs w:val="20"/>
              </w:rPr>
            </w:pPr>
            <w:r w:rsidRPr="00374785">
              <w:rPr>
                <w:sz w:val="20"/>
                <w:szCs w:val="20"/>
              </w:rPr>
              <w:t>tonnes C per hectare</w:t>
            </w:r>
          </w:p>
        </w:tc>
        <w:tc>
          <w:tcPr>
            <w:tcW w:w="1640" w:type="dxa"/>
            <w:tcBorders>
              <w:top w:val="single" w:sz="4" w:space="0" w:color="auto"/>
            </w:tcBorders>
          </w:tcPr>
          <w:p w:rsidR="00AB16AC" w:rsidRPr="00374785" w:rsidRDefault="00AB16AC" w:rsidP="003111BC">
            <w:pPr>
              <w:widowControl w:val="0"/>
              <w:ind w:right="237"/>
              <w:rPr>
                <w:sz w:val="20"/>
                <w:szCs w:val="20"/>
              </w:rPr>
            </w:pPr>
            <w:r w:rsidRPr="00374785">
              <w:rPr>
                <w:sz w:val="20"/>
                <w:szCs w:val="20"/>
              </w:rPr>
              <w:t>Carbon stock in above</w:t>
            </w:r>
            <w:r w:rsidR="00A1415A" w:rsidRPr="00374785">
              <w:rPr>
                <w:sz w:val="20"/>
                <w:szCs w:val="20"/>
              </w:rPr>
              <w:t>-</w:t>
            </w:r>
            <w:r w:rsidRPr="00374785">
              <w:rPr>
                <w:sz w:val="20"/>
                <w:szCs w:val="20"/>
              </w:rPr>
              <w:t xml:space="preserve">ground and below ground </w:t>
            </w:r>
            <w:r w:rsidR="003111BC" w:rsidRPr="00374785">
              <w:rPr>
                <w:sz w:val="20"/>
                <w:szCs w:val="20"/>
              </w:rPr>
              <w:t xml:space="preserve">tree </w:t>
            </w:r>
            <w:r w:rsidRPr="00374785">
              <w:rPr>
                <w:sz w:val="20"/>
                <w:szCs w:val="20"/>
              </w:rPr>
              <w:t>biomass</w:t>
            </w:r>
          </w:p>
        </w:tc>
        <w:tc>
          <w:tcPr>
            <w:tcW w:w="1621" w:type="dxa"/>
            <w:tcBorders>
              <w:top w:val="single" w:sz="4" w:space="0" w:color="auto"/>
            </w:tcBorders>
          </w:tcPr>
          <w:p w:rsidR="00AB16AC" w:rsidRPr="00374785" w:rsidRDefault="00AB16AC" w:rsidP="00E549A7">
            <w:pPr>
              <w:widowControl w:val="0"/>
              <w:ind w:right="237"/>
              <w:rPr>
                <w:sz w:val="20"/>
                <w:szCs w:val="20"/>
              </w:rPr>
            </w:pPr>
            <w:r w:rsidRPr="00374785">
              <w:rPr>
                <w:sz w:val="20"/>
                <w:szCs w:val="20"/>
              </w:rPr>
              <w:t>Time series</w:t>
            </w:r>
            <w:r w:rsidR="00E549A7" w:rsidRPr="00374785">
              <w:rPr>
                <w:sz w:val="20"/>
                <w:szCs w:val="20"/>
              </w:rPr>
              <w:t xml:space="preserve"> - monthly (</w:t>
            </w:r>
            <w:r w:rsidRPr="00374785">
              <w:rPr>
                <w:sz w:val="20"/>
                <w:szCs w:val="20"/>
              </w:rPr>
              <w:t xml:space="preserve">cumulative </w:t>
            </w:r>
            <w:r w:rsidR="00E549A7" w:rsidRPr="00374785">
              <w:rPr>
                <w:sz w:val="20"/>
                <w:szCs w:val="20"/>
              </w:rPr>
              <w:t>)</w:t>
            </w:r>
          </w:p>
        </w:tc>
        <w:tc>
          <w:tcPr>
            <w:tcW w:w="1659" w:type="dxa"/>
            <w:tcBorders>
              <w:top w:val="single" w:sz="4" w:space="0" w:color="auto"/>
            </w:tcBorders>
          </w:tcPr>
          <w:p w:rsidR="00AB16AC" w:rsidRPr="00374785" w:rsidRDefault="0020376C" w:rsidP="00C04783">
            <w:pPr>
              <w:widowControl w:val="0"/>
              <w:ind w:right="237"/>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ti</m:t>
                    </m:r>
                  </m:sub>
                </m:sSub>
              </m:oMath>
            </m:oMathPara>
          </w:p>
          <w:p w:rsidR="00C04783" w:rsidRPr="00374785" w:rsidRDefault="00C04783" w:rsidP="00C04783">
            <w:pPr>
              <w:widowControl w:val="0"/>
              <w:ind w:right="237"/>
              <w:jc w:val="center"/>
              <w:rPr>
                <w:sz w:val="20"/>
                <w:szCs w:val="20"/>
              </w:rPr>
            </w:pPr>
          </w:p>
          <w:p w:rsidR="004B543A" w:rsidRPr="00374785" w:rsidRDefault="004B543A" w:rsidP="00C04783">
            <w:pPr>
              <w:widowControl w:val="0"/>
              <w:ind w:right="237"/>
              <w:jc w:val="center"/>
              <w:rPr>
                <w:sz w:val="20"/>
                <w:szCs w:val="20"/>
                <w:vertAlign w:val="subscript"/>
              </w:rPr>
            </w:pPr>
            <w:r w:rsidRPr="00374785">
              <w:rPr>
                <w:sz w:val="20"/>
                <w:szCs w:val="20"/>
              </w:rPr>
              <w:t>Equation 12</w:t>
            </w:r>
            <w:r w:rsidR="007017BE">
              <w:rPr>
                <w:sz w:val="20"/>
                <w:szCs w:val="20"/>
              </w:rPr>
              <w:t>b</w:t>
            </w:r>
          </w:p>
        </w:tc>
      </w:tr>
      <w:tr w:rsidR="00AB16AC" w:rsidRPr="00374785" w:rsidTr="00AB16AC">
        <w:trPr>
          <w:cantSplit/>
          <w:trHeight w:val="224"/>
        </w:trPr>
        <w:tc>
          <w:tcPr>
            <w:tcW w:w="1701" w:type="dxa"/>
          </w:tcPr>
          <w:p w:rsidR="00AB16AC" w:rsidRPr="00374785" w:rsidRDefault="003A78F5" w:rsidP="00AB16AC">
            <w:pPr>
              <w:widowControl w:val="0"/>
              <w:ind w:right="237"/>
              <w:rPr>
                <w:bCs/>
                <w:sz w:val="20"/>
                <w:szCs w:val="20"/>
              </w:rPr>
            </w:pPr>
            <w:r w:rsidRPr="00374785">
              <w:rPr>
                <w:bCs/>
                <w:sz w:val="20"/>
                <w:szCs w:val="20"/>
              </w:rPr>
              <w:t>C mass</w:t>
            </w:r>
            <w:r w:rsidR="00AB16AC" w:rsidRPr="00374785">
              <w:rPr>
                <w:bCs/>
                <w:sz w:val="20"/>
                <w:szCs w:val="20"/>
              </w:rPr>
              <w:t xml:space="preserve"> of </w:t>
            </w:r>
            <w:r w:rsidRPr="00374785">
              <w:rPr>
                <w:bCs/>
                <w:sz w:val="20"/>
                <w:szCs w:val="20"/>
              </w:rPr>
              <w:t xml:space="preserve">forest </w:t>
            </w:r>
            <w:r w:rsidR="00AB16AC" w:rsidRPr="00374785">
              <w:rPr>
                <w:bCs/>
                <w:sz w:val="20"/>
                <w:szCs w:val="20"/>
              </w:rPr>
              <w:t>debris</w:t>
            </w:r>
          </w:p>
        </w:tc>
        <w:tc>
          <w:tcPr>
            <w:tcW w:w="1275" w:type="dxa"/>
            <w:tcBorders>
              <w:top w:val="single" w:sz="4" w:space="0" w:color="auto"/>
              <w:bottom w:val="single" w:sz="4" w:space="0" w:color="auto"/>
            </w:tcBorders>
          </w:tcPr>
          <w:p w:rsidR="00AB16AC" w:rsidRPr="00374785" w:rsidRDefault="00AB16AC" w:rsidP="00AB16AC">
            <w:pPr>
              <w:widowControl w:val="0"/>
              <w:ind w:right="237"/>
              <w:rPr>
                <w:sz w:val="20"/>
                <w:szCs w:val="20"/>
              </w:rPr>
            </w:pPr>
            <w:r w:rsidRPr="00374785">
              <w:rPr>
                <w:sz w:val="20"/>
                <w:szCs w:val="20"/>
              </w:rPr>
              <w:t>tonnes C per hectare</w:t>
            </w:r>
          </w:p>
        </w:tc>
        <w:tc>
          <w:tcPr>
            <w:tcW w:w="1640" w:type="dxa"/>
            <w:tcBorders>
              <w:top w:val="single" w:sz="4" w:space="0" w:color="auto"/>
              <w:bottom w:val="single" w:sz="4" w:space="0" w:color="auto"/>
            </w:tcBorders>
          </w:tcPr>
          <w:p w:rsidR="00AB16AC" w:rsidRPr="00374785" w:rsidRDefault="00AB16AC" w:rsidP="00AB16AC">
            <w:pPr>
              <w:widowControl w:val="0"/>
              <w:ind w:right="237"/>
              <w:rPr>
                <w:iCs/>
                <w:sz w:val="20"/>
                <w:szCs w:val="20"/>
              </w:rPr>
            </w:pPr>
            <w:r w:rsidRPr="00374785">
              <w:rPr>
                <w:sz w:val="20"/>
                <w:szCs w:val="20"/>
              </w:rPr>
              <w:t xml:space="preserve">Carbon stock in debris </w:t>
            </w:r>
          </w:p>
        </w:tc>
        <w:tc>
          <w:tcPr>
            <w:tcW w:w="1621" w:type="dxa"/>
            <w:tcBorders>
              <w:top w:val="single" w:sz="4" w:space="0" w:color="auto"/>
              <w:bottom w:val="single" w:sz="4" w:space="0" w:color="auto"/>
            </w:tcBorders>
          </w:tcPr>
          <w:p w:rsidR="00AB16AC" w:rsidRPr="00374785" w:rsidRDefault="00AB16AC" w:rsidP="00E549A7">
            <w:pPr>
              <w:widowControl w:val="0"/>
              <w:rPr>
                <w:sz w:val="20"/>
                <w:szCs w:val="20"/>
              </w:rPr>
            </w:pPr>
            <w:r w:rsidRPr="00374785">
              <w:rPr>
                <w:sz w:val="20"/>
                <w:szCs w:val="20"/>
              </w:rPr>
              <w:t>Time series</w:t>
            </w:r>
            <w:r w:rsidR="00E549A7" w:rsidRPr="00374785">
              <w:rPr>
                <w:sz w:val="20"/>
                <w:szCs w:val="20"/>
              </w:rPr>
              <w:t xml:space="preserve"> -  monthly (cumulative)</w:t>
            </w:r>
          </w:p>
        </w:tc>
        <w:tc>
          <w:tcPr>
            <w:tcW w:w="1659" w:type="dxa"/>
            <w:tcBorders>
              <w:top w:val="single" w:sz="4" w:space="0" w:color="auto"/>
              <w:bottom w:val="single" w:sz="4" w:space="0" w:color="auto"/>
            </w:tcBorders>
          </w:tcPr>
          <w:p w:rsidR="00AB16AC" w:rsidRPr="00374785" w:rsidRDefault="0020376C" w:rsidP="00C04783">
            <w:pPr>
              <w:widowControl w:val="0"/>
              <w:ind w:right="237"/>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di</m:t>
                    </m:r>
                  </m:sub>
                </m:sSub>
              </m:oMath>
            </m:oMathPara>
          </w:p>
          <w:p w:rsidR="00C04783" w:rsidRPr="00374785" w:rsidRDefault="00C04783" w:rsidP="00C04783">
            <w:pPr>
              <w:widowControl w:val="0"/>
              <w:ind w:right="237"/>
              <w:jc w:val="center"/>
              <w:rPr>
                <w:sz w:val="20"/>
                <w:szCs w:val="20"/>
              </w:rPr>
            </w:pPr>
          </w:p>
          <w:p w:rsidR="004B543A" w:rsidRPr="00374785" w:rsidRDefault="004B543A" w:rsidP="00C04783">
            <w:pPr>
              <w:widowControl w:val="0"/>
              <w:ind w:right="237"/>
              <w:jc w:val="center"/>
              <w:rPr>
                <w:iCs/>
                <w:sz w:val="20"/>
                <w:szCs w:val="20"/>
                <w:vertAlign w:val="subscript"/>
              </w:rPr>
            </w:pPr>
            <w:r w:rsidRPr="00374785">
              <w:rPr>
                <w:sz w:val="20"/>
                <w:szCs w:val="20"/>
              </w:rPr>
              <w:t>Equation 12</w:t>
            </w:r>
            <w:r w:rsidR="007017BE">
              <w:rPr>
                <w:sz w:val="20"/>
                <w:szCs w:val="20"/>
              </w:rPr>
              <w:t>b</w:t>
            </w:r>
          </w:p>
        </w:tc>
      </w:tr>
      <w:tr w:rsidR="00AB16AC" w:rsidRPr="00374785" w:rsidTr="00AB16AC">
        <w:trPr>
          <w:cantSplit/>
          <w:trHeight w:val="224"/>
        </w:trPr>
        <w:tc>
          <w:tcPr>
            <w:tcW w:w="1701" w:type="dxa"/>
          </w:tcPr>
          <w:p w:rsidR="00AB16AC" w:rsidRPr="00374785" w:rsidRDefault="00AB16AC" w:rsidP="00AE1F3F">
            <w:pPr>
              <w:widowControl w:val="0"/>
              <w:ind w:right="237"/>
              <w:rPr>
                <w:bCs/>
                <w:sz w:val="20"/>
                <w:szCs w:val="20"/>
              </w:rPr>
            </w:pPr>
            <w:r w:rsidRPr="00374785">
              <w:rPr>
                <w:bCs/>
                <w:sz w:val="20"/>
                <w:szCs w:val="20"/>
              </w:rPr>
              <w:t>CH</w:t>
            </w:r>
            <w:r w:rsidRPr="00374785">
              <w:rPr>
                <w:bCs/>
                <w:sz w:val="20"/>
                <w:szCs w:val="20"/>
                <w:vertAlign w:val="subscript"/>
              </w:rPr>
              <w:t>4</w:t>
            </w:r>
            <w:r w:rsidRPr="00374785">
              <w:rPr>
                <w:bCs/>
                <w:sz w:val="20"/>
                <w:szCs w:val="20"/>
              </w:rPr>
              <w:t xml:space="preserve"> emitted due to fire </w:t>
            </w:r>
          </w:p>
        </w:tc>
        <w:tc>
          <w:tcPr>
            <w:tcW w:w="1275" w:type="dxa"/>
            <w:tcBorders>
              <w:top w:val="single" w:sz="4" w:space="0" w:color="auto"/>
              <w:bottom w:val="single" w:sz="4" w:space="0" w:color="auto"/>
            </w:tcBorders>
          </w:tcPr>
          <w:p w:rsidR="00AB16AC" w:rsidRPr="00374785" w:rsidRDefault="00AB16AC" w:rsidP="00AB16AC">
            <w:pPr>
              <w:widowControl w:val="0"/>
              <w:ind w:right="237"/>
              <w:rPr>
                <w:sz w:val="20"/>
                <w:szCs w:val="20"/>
              </w:rPr>
            </w:pPr>
            <w:r w:rsidRPr="00374785">
              <w:rPr>
                <w:sz w:val="20"/>
                <w:szCs w:val="20"/>
              </w:rPr>
              <w:t>tonnes CH</w:t>
            </w:r>
            <w:r w:rsidRPr="00374785">
              <w:rPr>
                <w:sz w:val="20"/>
                <w:szCs w:val="20"/>
                <w:vertAlign w:val="subscript"/>
              </w:rPr>
              <w:t>4</w:t>
            </w:r>
            <w:r w:rsidRPr="00374785">
              <w:rPr>
                <w:sz w:val="20"/>
                <w:szCs w:val="20"/>
              </w:rPr>
              <w:t xml:space="preserve"> per hectare</w:t>
            </w:r>
          </w:p>
        </w:tc>
        <w:tc>
          <w:tcPr>
            <w:tcW w:w="1640" w:type="dxa"/>
            <w:tcBorders>
              <w:top w:val="single" w:sz="4" w:space="0" w:color="auto"/>
              <w:bottom w:val="single" w:sz="4" w:space="0" w:color="auto"/>
            </w:tcBorders>
          </w:tcPr>
          <w:p w:rsidR="00AB16AC" w:rsidRPr="00374785" w:rsidRDefault="00AE1F3F" w:rsidP="00E549A7">
            <w:pPr>
              <w:widowControl w:val="0"/>
              <w:ind w:right="237"/>
              <w:rPr>
                <w:sz w:val="20"/>
                <w:szCs w:val="20"/>
              </w:rPr>
            </w:pPr>
            <w:r w:rsidRPr="00374785">
              <w:rPr>
                <w:iCs/>
                <w:sz w:val="20"/>
                <w:szCs w:val="20"/>
              </w:rPr>
              <w:t xml:space="preserve">Mass of </w:t>
            </w:r>
            <w:r w:rsidR="00AB16AC" w:rsidRPr="00374785">
              <w:rPr>
                <w:iCs/>
                <w:sz w:val="20"/>
                <w:szCs w:val="20"/>
              </w:rPr>
              <w:t>CH</w:t>
            </w:r>
            <w:r w:rsidR="00AB16AC" w:rsidRPr="00374785">
              <w:rPr>
                <w:iCs/>
                <w:sz w:val="20"/>
                <w:szCs w:val="20"/>
                <w:vertAlign w:val="subscript"/>
              </w:rPr>
              <w:t>4</w:t>
            </w:r>
            <w:r w:rsidR="00AB16AC" w:rsidRPr="00374785">
              <w:rPr>
                <w:iCs/>
                <w:sz w:val="20"/>
                <w:szCs w:val="20"/>
              </w:rPr>
              <w:t xml:space="preserve"> emitted to the atmosphere</w:t>
            </w:r>
            <w:r w:rsidRPr="00374785">
              <w:rPr>
                <w:iCs/>
                <w:sz w:val="20"/>
                <w:szCs w:val="20"/>
              </w:rPr>
              <w:t xml:space="preserve"> due to fire </w:t>
            </w:r>
          </w:p>
        </w:tc>
        <w:tc>
          <w:tcPr>
            <w:tcW w:w="1621" w:type="dxa"/>
            <w:tcBorders>
              <w:top w:val="single" w:sz="4" w:space="0" w:color="auto"/>
              <w:bottom w:val="single" w:sz="4" w:space="0" w:color="auto"/>
            </w:tcBorders>
          </w:tcPr>
          <w:p w:rsidR="00AB16AC" w:rsidRPr="00374785" w:rsidRDefault="00AB16AC" w:rsidP="00E549A7">
            <w:pPr>
              <w:widowControl w:val="0"/>
              <w:rPr>
                <w:sz w:val="20"/>
                <w:szCs w:val="20"/>
              </w:rPr>
            </w:pPr>
            <w:r w:rsidRPr="00374785">
              <w:rPr>
                <w:sz w:val="20"/>
                <w:szCs w:val="20"/>
              </w:rPr>
              <w:t>Time series monthly</w:t>
            </w:r>
            <w:r w:rsidR="00E549A7" w:rsidRPr="00374785">
              <w:rPr>
                <w:sz w:val="20"/>
                <w:szCs w:val="20"/>
              </w:rPr>
              <w:t xml:space="preserve"> (non-cumulative)</w:t>
            </w:r>
          </w:p>
        </w:tc>
        <w:tc>
          <w:tcPr>
            <w:tcW w:w="1659" w:type="dxa"/>
            <w:tcBorders>
              <w:top w:val="single" w:sz="4" w:space="0" w:color="auto"/>
              <w:bottom w:val="single" w:sz="4" w:space="0" w:color="auto"/>
            </w:tcBorders>
          </w:tcPr>
          <w:p w:rsidR="00AB16AC" w:rsidRPr="00374785" w:rsidRDefault="0020376C" w:rsidP="00C04783">
            <w:pPr>
              <w:widowControl w:val="0"/>
              <w:ind w:right="237"/>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E</m:t>
                    </m:r>
                  </m:e>
                  <m:sub>
                    <m:sSub>
                      <m:sSubPr>
                        <m:ctrlPr>
                          <w:rPr>
                            <w:rFonts w:ascii="Cambria Math" w:hAnsi="Cambria Math"/>
                            <w:i/>
                            <w:sz w:val="20"/>
                            <w:szCs w:val="20"/>
                          </w:rPr>
                        </m:ctrlPr>
                      </m:sSubPr>
                      <m:e>
                        <m:r>
                          <w:rPr>
                            <w:rFonts w:ascii="Cambria Math" w:hAnsi="Cambria Math"/>
                            <w:sz w:val="20"/>
                            <w:szCs w:val="20"/>
                          </w:rPr>
                          <m:t>CH</m:t>
                        </m:r>
                      </m:e>
                      <m:sub>
                        <m:r>
                          <w:rPr>
                            <w:rFonts w:ascii="Cambria Math" w:hAnsi="Cambria Math"/>
                            <w:sz w:val="20"/>
                            <w:szCs w:val="20"/>
                          </w:rPr>
                          <m:t>4</m:t>
                        </m:r>
                      </m:sub>
                    </m:sSub>
                    <m:r>
                      <w:rPr>
                        <w:rFonts w:ascii="Cambria Math" w:hAnsi="Cambria Math"/>
                        <w:sz w:val="20"/>
                        <w:szCs w:val="20"/>
                      </w:rPr>
                      <m:t>i</m:t>
                    </m:r>
                  </m:sub>
                </m:sSub>
              </m:oMath>
            </m:oMathPara>
          </w:p>
          <w:p w:rsidR="00C04783" w:rsidRPr="00374785" w:rsidRDefault="00C04783" w:rsidP="00C04783">
            <w:pPr>
              <w:widowControl w:val="0"/>
              <w:ind w:right="237"/>
              <w:jc w:val="center"/>
              <w:rPr>
                <w:sz w:val="20"/>
                <w:szCs w:val="20"/>
              </w:rPr>
            </w:pPr>
          </w:p>
          <w:p w:rsidR="004B543A" w:rsidRPr="00374785" w:rsidRDefault="004B543A" w:rsidP="00311E13">
            <w:pPr>
              <w:widowControl w:val="0"/>
              <w:ind w:right="237"/>
              <w:jc w:val="center"/>
              <w:rPr>
                <w:iCs/>
                <w:sz w:val="20"/>
                <w:szCs w:val="20"/>
              </w:rPr>
            </w:pPr>
            <w:r w:rsidRPr="00374785">
              <w:rPr>
                <w:sz w:val="20"/>
                <w:szCs w:val="20"/>
              </w:rPr>
              <w:t xml:space="preserve">Equation </w:t>
            </w:r>
            <w:r w:rsidR="00311E13">
              <w:rPr>
                <w:sz w:val="20"/>
                <w:szCs w:val="20"/>
              </w:rPr>
              <w:t>13</w:t>
            </w:r>
          </w:p>
        </w:tc>
      </w:tr>
      <w:tr w:rsidR="00AB16AC" w:rsidRPr="00374785" w:rsidTr="00AB16AC">
        <w:trPr>
          <w:cantSplit/>
          <w:trHeight w:val="224"/>
        </w:trPr>
        <w:tc>
          <w:tcPr>
            <w:tcW w:w="1701" w:type="dxa"/>
          </w:tcPr>
          <w:p w:rsidR="00AB16AC" w:rsidRPr="00374785" w:rsidRDefault="00AB16AC" w:rsidP="00AE1F3F">
            <w:pPr>
              <w:widowControl w:val="0"/>
              <w:ind w:right="237"/>
              <w:rPr>
                <w:bCs/>
                <w:sz w:val="20"/>
                <w:szCs w:val="20"/>
              </w:rPr>
            </w:pPr>
            <w:r w:rsidRPr="00374785">
              <w:rPr>
                <w:bCs/>
                <w:sz w:val="20"/>
                <w:szCs w:val="20"/>
              </w:rPr>
              <w:t>N</w:t>
            </w:r>
            <w:r w:rsidRPr="00374785">
              <w:rPr>
                <w:bCs/>
                <w:sz w:val="20"/>
                <w:szCs w:val="20"/>
                <w:vertAlign w:val="subscript"/>
              </w:rPr>
              <w:t>2</w:t>
            </w:r>
            <w:r w:rsidRPr="00374785">
              <w:rPr>
                <w:bCs/>
                <w:sz w:val="20"/>
                <w:szCs w:val="20"/>
              </w:rPr>
              <w:t>O emitted due to fire</w:t>
            </w:r>
          </w:p>
        </w:tc>
        <w:tc>
          <w:tcPr>
            <w:tcW w:w="1275" w:type="dxa"/>
            <w:tcBorders>
              <w:top w:val="single" w:sz="4" w:space="0" w:color="auto"/>
            </w:tcBorders>
          </w:tcPr>
          <w:p w:rsidR="00AB16AC" w:rsidRPr="00374785" w:rsidRDefault="00AB16AC" w:rsidP="00AB16AC">
            <w:pPr>
              <w:widowControl w:val="0"/>
              <w:ind w:right="237"/>
              <w:rPr>
                <w:sz w:val="20"/>
                <w:szCs w:val="20"/>
              </w:rPr>
            </w:pPr>
            <w:r w:rsidRPr="00374785">
              <w:rPr>
                <w:sz w:val="20"/>
                <w:szCs w:val="20"/>
              </w:rPr>
              <w:t>kg N</w:t>
            </w:r>
            <w:r w:rsidRPr="00374785">
              <w:rPr>
                <w:sz w:val="20"/>
                <w:szCs w:val="20"/>
                <w:vertAlign w:val="subscript"/>
              </w:rPr>
              <w:t>2</w:t>
            </w:r>
            <w:r w:rsidRPr="00374785">
              <w:rPr>
                <w:sz w:val="20"/>
                <w:szCs w:val="20"/>
              </w:rPr>
              <w:t xml:space="preserve">O per hectare </w:t>
            </w:r>
          </w:p>
        </w:tc>
        <w:tc>
          <w:tcPr>
            <w:tcW w:w="1640" w:type="dxa"/>
            <w:tcBorders>
              <w:top w:val="single" w:sz="4" w:space="0" w:color="auto"/>
            </w:tcBorders>
          </w:tcPr>
          <w:p w:rsidR="00AB16AC" w:rsidRPr="00374785" w:rsidRDefault="00AE1F3F" w:rsidP="00E549A7">
            <w:pPr>
              <w:widowControl w:val="0"/>
              <w:ind w:right="237"/>
              <w:rPr>
                <w:sz w:val="20"/>
                <w:szCs w:val="20"/>
              </w:rPr>
            </w:pPr>
            <w:r w:rsidRPr="00374785">
              <w:rPr>
                <w:iCs/>
                <w:sz w:val="20"/>
                <w:szCs w:val="20"/>
              </w:rPr>
              <w:t xml:space="preserve">Mass of </w:t>
            </w:r>
            <w:r w:rsidR="00AB16AC" w:rsidRPr="00374785">
              <w:rPr>
                <w:iCs/>
                <w:sz w:val="20"/>
                <w:szCs w:val="20"/>
              </w:rPr>
              <w:t>N</w:t>
            </w:r>
            <w:r w:rsidR="00AB16AC" w:rsidRPr="00374785">
              <w:rPr>
                <w:iCs/>
                <w:sz w:val="20"/>
                <w:szCs w:val="20"/>
                <w:vertAlign w:val="subscript"/>
              </w:rPr>
              <w:t>2</w:t>
            </w:r>
            <w:r w:rsidR="00AB16AC" w:rsidRPr="00374785">
              <w:rPr>
                <w:iCs/>
                <w:sz w:val="20"/>
                <w:szCs w:val="20"/>
              </w:rPr>
              <w:t>O emitted to the atmosphere</w:t>
            </w:r>
            <w:r w:rsidRPr="00374785">
              <w:rPr>
                <w:iCs/>
                <w:sz w:val="20"/>
                <w:szCs w:val="20"/>
              </w:rPr>
              <w:t xml:space="preserve"> due to fire </w:t>
            </w:r>
          </w:p>
        </w:tc>
        <w:tc>
          <w:tcPr>
            <w:tcW w:w="1621" w:type="dxa"/>
            <w:tcBorders>
              <w:top w:val="single" w:sz="4" w:space="0" w:color="auto"/>
            </w:tcBorders>
          </w:tcPr>
          <w:p w:rsidR="00AB16AC" w:rsidRPr="00374785" w:rsidRDefault="00AB16AC" w:rsidP="00E549A7">
            <w:pPr>
              <w:widowControl w:val="0"/>
              <w:rPr>
                <w:sz w:val="20"/>
                <w:szCs w:val="20"/>
              </w:rPr>
            </w:pPr>
            <w:r w:rsidRPr="00374785">
              <w:rPr>
                <w:sz w:val="20"/>
                <w:szCs w:val="20"/>
              </w:rPr>
              <w:t xml:space="preserve">Time series </w:t>
            </w:r>
            <w:r w:rsidR="00E549A7" w:rsidRPr="00374785">
              <w:rPr>
                <w:sz w:val="20"/>
                <w:szCs w:val="20"/>
              </w:rPr>
              <w:t>–</w:t>
            </w:r>
            <w:r w:rsidRPr="00374785">
              <w:rPr>
                <w:sz w:val="20"/>
                <w:szCs w:val="20"/>
              </w:rPr>
              <w:t>monthly</w:t>
            </w:r>
            <w:r w:rsidR="00E549A7" w:rsidRPr="00374785">
              <w:rPr>
                <w:sz w:val="20"/>
                <w:szCs w:val="20"/>
              </w:rPr>
              <w:t xml:space="preserve"> (non-cumulative)</w:t>
            </w:r>
          </w:p>
        </w:tc>
        <w:tc>
          <w:tcPr>
            <w:tcW w:w="1659" w:type="dxa"/>
            <w:tcBorders>
              <w:top w:val="single" w:sz="4" w:space="0" w:color="auto"/>
            </w:tcBorders>
          </w:tcPr>
          <w:p w:rsidR="00AB16AC" w:rsidRPr="00374785" w:rsidRDefault="0020376C" w:rsidP="00C04783">
            <w:pPr>
              <w:widowControl w:val="0"/>
              <w:ind w:right="237"/>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E</m:t>
                    </m:r>
                  </m:e>
                  <m:sub>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Oi</m:t>
                    </m:r>
                  </m:sub>
                </m:sSub>
              </m:oMath>
            </m:oMathPara>
          </w:p>
          <w:p w:rsidR="00C04783" w:rsidRPr="00374785" w:rsidRDefault="00C04783" w:rsidP="00C04783">
            <w:pPr>
              <w:widowControl w:val="0"/>
              <w:ind w:right="237"/>
              <w:jc w:val="center"/>
              <w:rPr>
                <w:sz w:val="20"/>
                <w:szCs w:val="20"/>
              </w:rPr>
            </w:pPr>
          </w:p>
          <w:p w:rsidR="004B543A" w:rsidRPr="00374785" w:rsidRDefault="004B543A" w:rsidP="00311E13">
            <w:pPr>
              <w:widowControl w:val="0"/>
              <w:ind w:right="237"/>
              <w:jc w:val="center"/>
              <w:rPr>
                <w:iCs/>
                <w:sz w:val="20"/>
                <w:szCs w:val="20"/>
              </w:rPr>
            </w:pPr>
            <w:r w:rsidRPr="00374785">
              <w:rPr>
                <w:sz w:val="20"/>
                <w:szCs w:val="20"/>
              </w:rPr>
              <w:t xml:space="preserve">Equation </w:t>
            </w:r>
            <w:r w:rsidR="00311E13">
              <w:rPr>
                <w:sz w:val="20"/>
                <w:szCs w:val="20"/>
              </w:rPr>
              <w:t>14</w:t>
            </w:r>
          </w:p>
        </w:tc>
      </w:tr>
    </w:tbl>
    <w:p w:rsidR="00AB16AC" w:rsidRPr="00374785" w:rsidRDefault="007015AD" w:rsidP="00554819">
      <w:pPr>
        <w:pStyle w:val="notePara"/>
      </w:pPr>
      <w:r w:rsidRPr="00374785">
        <w:tab/>
      </w:r>
      <w:r w:rsidRPr="00374785">
        <w:rPr>
          <w:b/>
          <w:i/>
        </w:rPr>
        <w:t>Note</w:t>
      </w:r>
      <w:r w:rsidRPr="00374785">
        <w:tab/>
      </w:r>
      <w:r w:rsidR="00554819" w:rsidRPr="00374785">
        <w:t>FullCAM output</w:t>
      </w:r>
      <w:r w:rsidR="00311E13">
        <w:t>s</w:t>
      </w:r>
      <w:r w:rsidR="00554819" w:rsidRPr="00374785">
        <w:t xml:space="preserve"> referred to in masses of carbon, methane or nitrous oxide per hectare </w:t>
      </w:r>
      <w:r w:rsidR="00311E13">
        <w:t>are</w:t>
      </w:r>
      <w:r w:rsidR="00290132" w:rsidRPr="00374785">
        <w:t xml:space="preserve"> </w:t>
      </w:r>
      <w:r w:rsidR="00554819" w:rsidRPr="00374785">
        <w:t>converted to tonnes of CO</w:t>
      </w:r>
      <w:r w:rsidR="00554819" w:rsidRPr="00374785">
        <w:rPr>
          <w:vertAlign w:val="subscript"/>
        </w:rPr>
        <w:t>2</w:t>
      </w:r>
      <w:r w:rsidR="00554819" w:rsidRPr="00374785">
        <w:t>-e in the Equations in this Part.</w:t>
      </w:r>
      <w:r w:rsidRPr="00374785">
        <w:t xml:space="preserve"> </w:t>
      </w:r>
      <w:r w:rsidR="00554819" w:rsidRPr="00374785">
        <w:t>Biomass from the shrub component of a planting is incorporated in the FullCAM calibrations.</w:t>
      </w:r>
    </w:p>
    <w:p w:rsidR="002B60C7" w:rsidRPr="00374785" w:rsidRDefault="007F3C0F" w:rsidP="00C64BB4">
      <w:pPr>
        <w:pStyle w:val="h5Section"/>
      </w:pPr>
      <w:bookmarkStart w:id="84" w:name="_Toc397681628"/>
      <w:r>
        <w:t>4.8</w:t>
      </w:r>
      <w:r w:rsidR="00C64BB4" w:rsidRPr="00374785">
        <w:tab/>
      </w:r>
      <w:r w:rsidR="002B60C7" w:rsidRPr="00374785">
        <w:t>FullCAM modelling—</w:t>
      </w:r>
      <w:r w:rsidR="00105B75" w:rsidRPr="00374785">
        <w:t xml:space="preserve">requirements for </w:t>
      </w:r>
      <w:r w:rsidR="002B60C7" w:rsidRPr="00374785">
        <w:t>calibration</w:t>
      </w:r>
      <w:r w:rsidR="00105B75" w:rsidRPr="00374785">
        <w:t>s</w:t>
      </w:r>
      <w:bookmarkEnd w:id="84"/>
    </w:p>
    <w:p w:rsidR="002B60C7" w:rsidRPr="00374785" w:rsidRDefault="003F4D4D" w:rsidP="003F4D4D">
      <w:pPr>
        <w:pStyle w:val="tMain"/>
      </w:pPr>
      <w:r w:rsidRPr="00374785">
        <w:tab/>
      </w:r>
      <w:r w:rsidR="007F3C0F">
        <w:t>(1)</w:t>
      </w:r>
      <w:r w:rsidRPr="00374785">
        <w:tab/>
      </w:r>
      <w:r w:rsidR="0088737A" w:rsidRPr="00374785">
        <w:t xml:space="preserve">For the purpose of modelling using FullCAM under section 4.5, a </w:t>
      </w:r>
      <w:r w:rsidR="002B60C7" w:rsidRPr="00374785">
        <w:t xml:space="preserve">calibration must be </w:t>
      </w:r>
      <w:r w:rsidR="001C7150" w:rsidRPr="00374785">
        <w:t xml:space="preserve">applied </w:t>
      </w:r>
      <w:r w:rsidR="002B60C7" w:rsidRPr="00374785">
        <w:t xml:space="preserve">for each carbon estimation area in accordance with </w:t>
      </w:r>
      <w:r w:rsidR="00B748EC" w:rsidRPr="00374785">
        <w:rPr>
          <w:color w:val="000000" w:themeColor="text1"/>
        </w:rPr>
        <w:t xml:space="preserve">this section and </w:t>
      </w:r>
      <w:r w:rsidR="002B60C7" w:rsidRPr="00374785">
        <w:t>the FullCAM Guidelines.</w:t>
      </w:r>
    </w:p>
    <w:p w:rsidR="009731EB" w:rsidRPr="00374785" w:rsidRDefault="00333AEB" w:rsidP="00333AEB">
      <w:pPr>
        <w:pStyle w:val="tMain"/>
      </w:pPr>
      <w:r w:rsidRPr="00374785">
        <w:lastRenderedPageBreak/>
        <w:tab/>
      </w:r>
      <w:r w:rsidR="007F3C0F">
        <w:t>(2)</w:t>
      </w:r>
      <w:r w:rsidRPr="00374785">
        <w:tab/>
      </w:r>
      <w:r w:rsidR="00482CBD" w:rsidRPr="00374785">
        <w:t>Subject to section 4.9, i</w:t>
      </w:r>
      <w:r w:rsidR="009731EB" w:rsidRPr="00374785">
        <w:t xml:space="preserve">f a planting </w:t>
      </w:r>
      <w:r w:rsidR="001C7150" w:rsidRPr="00374785">
        <w:t xml:space="preserve">in a </w:t>
      </w:r>
      <w:r w:rsidR="009731EB" w:rsidRPr="00374785">
        <w:t xml:space="preserve">carbon estimation area </w:t>
      </w:r>
      <w:r w:rsidR="00564D86" w:rsidRPr="00374785">
        <w:t xml:space="preserve">does not satisfy the requirements </w:t>
      </w:r>
      <w:r w:rsidR="00F6415E" w:rsidRPr="00374785">
        <w:t>to apply a</w:t>
      </w:r>
      <w:r w:rsidR="009731EB" w:rsidRPr="00374785">
        <w:t xml:space="preserve"> </w:t>
      </w:r>
      <w:r w:rsidR="00A617F9" w:rsidRPr="00374785">
        <w:t>specific</w:t>
      </w:r>
      <w:r w:rsidR="009731EB" w:rsidRPr="00374785">
        <w:t xml:space="preserve"> calibration, the </w:t>
      </w:r>
      <w:r w:rsidR="00A617F9" w:rsidRPr="00374785">
        <w:t>generic</w:t>
      </w:r>
      <w:r w:rsidR="009731EB" w:rsidRPr="00374785">
        <w:t xml:space="preserve"> calibration </w:t>
      </w:r>
      <w:r w:rsidRPr="00374785">
        <w:t>must be appl</w:t>
      </w:r>
      <w:r w:rsidR="001C7150" w:rsidRPr="00374785">
        <w:t>ied for the carbon estimation area</w:t>
      </w:r>
      <w:r w:rsidRPr="00374785">
        <w:t>.</w:t>
      </w:r>
    </w:p>
    <w:p w:rsidR="00B5652E" w:rsidRPr="00374785" w:rsidRDefault="00B5652E" w:rsidP="00B5652E">
      <w:pPr>
        <w:pStyle w:val="h6Subsec"/>
      </w:pPr>
      <w:r w:rsidRPr="00374785">
        <w:t>Requirements for the application of a specific calibration</w:t>
      </w:r>
      <w:r w:rsidR="00446C65" w:rsidRPr="00374785">
        <w:t xml:space="preserve"> in FullCAM</w:t>
      </w:r>
    </w:p>
    <w:p w:rsidR="00353E07" w:rsidRPr="00374785" w:rsidRDefault="00A617F9" w:rsidP="00A617F9">
      <w:pPr>
        <w:pStyle w:val="tMain"/>
      </w:pPr>
      <w:r w:rsidRPr="00374785">
        <w:tab/>
      </w:r>
      <w:r w:rsidR="007F3C0F">
        <w:t>(3)</w:t>
      </w:r>
      <w:r w:rsidRPr="00374785">
        <w:tab/>
      </w:r>
      <w:r w:rsidR="00A83C80" w:rsidRPr="00374785">
        <w:t xml:space="preserve">Subject to </w:t>
      </w:r>
      <w:r w:rsidR="007015AD" w:rsidRPr="00374785">
        <w:t xml:space="preserve">section </w:t>
      </w:r>
      <w:r w:rsidR="00A83C80" w:rsidRPr="00374785">
        <w:t xml:space="preserve">4.9, </w:t>
      </w:r>
      <w:r w:rsidR="00B90D0D" w:rsidRPr="00374785">
        <w:t>a specific calibration may only be applied to a carbon estimation area if</w:t>
      </w:r>
      <w:r w:rsidR="00353E07" w:rsidRPr="00374785">
        <w:t>:</w:t>
      </w:r>
    </w:p>
    <w:p w:rsidR="00A676F6" w:rsidRPr="00374785" w:rsidRDefault="00353E07" w:rsidP="00353E07">
      <w:pPr>
        <w:pStyle w:val="tPara"/>
      </w:pPr>
      <w:r w:rsidRPr="00374785">
        <w:tab/>
      </w:r>
      <w:r w:rsidR="007F3C0F">
        <w:t>(a)</w:t>
      </w:r>
      <w:r w:rsidRPr="00374785">
        <w:tab/>
      </w:r>
      <w:r w:rsidR="00B90D0D" w:rsidRPr="00374785">
        <w:t>the planting in the area satisfies the requirements of an applicable domain group</w:t>
      </w:r>
      <w:r w:rsidR="004A5121" w:rsidRPr="00374785">
        <w:t xml:space="preserve"> specified in Schedule 1</w:t>
      </w:r>
      <w:r w:rsidR="00F80627" w:rsidRPr="00374785">
        <w:t xml:space="preserve"> </w:t>
      </w:r>
      <w:r w:rsidR="00476C05" w:rsidRPr="00374785">
        <w:t>as follows</w:t>
      </w:r>
      <w:r w:rsidR="00F6415E" w:rsidRPr="00374785">
        <w:t>:</w:t>
      </w:r>
    </w:p>
    <w:p w:rsidR="00CC1779" w:rsidRPr="00374785" w:rsidRDefault="00353E07" w:rsidP="00353E07">
      <w:pPr>
        <w:pStyle w:val="tSubpara"/>
      </w:pPr>
      <w:r w:rsidRPr="00374785">
        <w:tab/>
      </w:r>
      <w:r w:rsidR="007F3C0F">
        <w:t>(i)</w:t>
      </w:r>
      <w:r w:rsidRPr="00374785">
        <w:tab/>
      </w:r>
      <w:r w:rsidR="00EF612F" w:rsidRPr="00374785">
        <w:t>p</w:t>
      </w:r>
      <w:r w:rsidR="00351A92" w:rsidRPr="00374785">
        <w:t xml:space="preserve">lanting type as </w:t>
      </w:r>
      <w:r w:rsidR="004A5121" w:rsidRPr="00374785">
        <w:t>defined</w:t>
      </w:r>
      <w:r w:rsidR="00351A92" w:rsidRPr="00374785">
        <w:t xml:space="preserve"> in Division 3.3</w:t>
      </w:r>
      <w:r w:rsidR="00AF157D" w:rsidRPr="00374785">
        <w:t>;</w:t>
      </w:r>
    </w:p>
    <w:p w:rsidR="00351A92" w:rsidRPr="00374785" w:rsidRDefault="00353E07" w:rsidP="00353E07">
      <w:pPr>
        <w:pStyle w:val="tSubpara"/>
      </w:pPr>
      <w:r w:rsidRPr="00374785">
        <w:tab/>
      </w:r>
      <w:r w:rsidR="007F3C0F">
        <w:t>(ii)</w:t>
      </w:r>
      <w:r w:rsidRPr="00374785">
        <w:tab/>
      </w:r>
      <w:proofErr w:type="gramStart"/>
      <w:r w:rsidR="00EF612F" w:rsidRPr="00374785">
        <w:t>p</w:t>
      </w:r>
      <w:r w:rsidR="008B15E3" w:rsidRPr="00374785">
        <w:t>lanting</w:t>
      </w:r>
      <w:proofErr w:type="gramEnd"/>
      <w:r w:rsidR="008B15E3" w:rsidRPr="00374785">
        <w:t xml:space="preserve"> geometry and spacing as </w:t>
      </w:r>
      <w:r w:rsidR="004A5121" w:rsidRPr="00374785">
        <w:t>defined</w:t>
      </w:r>
      <w:r w:rsidR="008B15E3" w:rsidRPr="00374785">
        <w:t xml:space="preserve"> in Division 3.4</w:t>
      </w:r>
      <w:r w:rsidR="00AF157D" w:rsidRPr="00374785">
        <w:t>;</w:t>
      </w:r>
      <w:r w:rsidRPr="00374785">
        <w:t xml:space="preserve"> </w:t>
      </w:r>
    </w:p>
    <w:p w:rsidR="00353E07" w:rsidRPr="00374785" w:rsidRDefault="00353E07" w:rsidP="00BA5FD2">
      <w:pPr>
        <w:pStyle w:val="tSubpara"/>
      </w:pPr>
      <w:r w:rsidRPr="00374785">
        <w:tab/>
      </w:r>
      <w:r w:rsidR="007F3C0F">
        <w:t>(iii)</w:t>
      </w:r>
      <w:r w:rsidRPr="00374785">
        <w:tab/>
      </w:r>
      <w:proofErr w:type="gramStart"/>
      <w:r w:rsidR="00633EAB" w:rsidRPr="00374785">
        <w:t>if</w:t>
      </w:r>
      <w:proofErr w:type="gramEnd"/>
      <w:r w:rsidR="00633EAB" w:rsidRPr="00374785">
        <w:t xml:space="preserve"> applicable for the specific calibration, stocking density and tree proportion, as determined by Division 3.5; </w:t>
      </w:r>
      <w:r w:rsidR="00BA5FD2">
        <w:t>and</w:t>
      </w:r>
      <w:r w:rsidRPr="00374785">
        <w:tab/>
      </w:r>
      <w:r w:rsidRPr="00374785">
        <w:tab/>
      </w:r>
    </w:p>
    <w:p w:rsidR="007E5EC8" w:rsidRPr="00374785" w:rsidRDefault="00353E07" w:rsidP="00353E07">
      <w:pPr>
        <w:pStyle w:val="tPara"/>
      </w:pPr>
      <w:r w:rsidRPr="00374785">
        <w:tab/>
      </w:r>
      <w:r w:rsidR="007F3C0F">
        <w:t>(b)</w:t>
      </w:r>
      <w:r w:rsidRPr="00374785">
        <w:tab/>
      </w:r>
      <w:proofErr w:type="gramStart"/>
      <w:r w:rsidR="00290132" w:rsidRPr="00374785">
        <w:t>there</w:t>
      </w:r>
      <w:proofErr w:type="gramEnd"/>
      <w:r w:rsidR="00290132" w:rsidRPr="00374785">
        <w:t xml:space="preserve"> is </w:t>
      </w:r>
      <w:r w:rsidR="00EF612F" w:rsidRPr="00374785">
        <w:t xml:space="preserve">no material </w:t>
      </w:r>
      <w:r w:rsidR="00A83C80" w:rsidRPr="00374785">
        <w:t>competition</w:t>
      </w:r>
      <w:r w:rsidR="00EF612F" w:rsidRPr="00374785">
        <w:t xml:space="preserve"> from a</w:t>
      </w:r>
      <w:r w:rsidR="00A26309" w:rsidRPr="00374785">
        <w:t>djacent tree</w:t>
      </w:r>
      <w:r w:rsidR="00EF612F" w:rsidRPr="00374785">
        <w:t xml:space="preserve">s as determined by </w:t>
      </w:r>
      <w:r w:rsidR="004A5121" w:rsidRPr="00374785">
        <w:t>Division</w:t>
      </w:r>
      <w:r w:rsidR="00AF157D" w:rsidRPr="00374785">
        <w:t xml:space="preserve"> </w:t>
      </w:r>
      <w:r w:rsidR="00633EAB" w:rsidRPr="00374785">
        <w:t>3.</w:t>
      </w:r>
      <w:r w:rsidR="00BA5FD2">
        <w:t>7</w:t>
      </w:r>
      <w:r w:rsidR="00633EAB" w:rsidRPr="00374785">
        <w:t>.</w:t>
      </w:r>
    </w:p>
    <w:p w:rsidR="00482CBD" w:rsidRPr="00374785" w:rsidRDefault="007F3C0F" w:rsidP="00482CBD">
      <w:pPr>
        <w:pStyle w:val="h5Section"/>
      </w:pPr>
      <w:bookmarkStart w:id="85" w:name="_Toc397681629"/>
      <w:r>
        <w:t>4.9</w:t>
      </w:r>
      <w:r w:rsidR="00482CBD" w:rsidRPr="00374785">
        <w:tab/>
        <w:t xml:space="preserve">FullCAM modelling—calibration </w:t>
      </w:r>
      <w:r w:rsidR="00420478" w:rsidRPr="00374785">
        <w:t xml:space="preserve">requirement </w:t>
      </w:r>
      <w:r w:rsidR="00482CBD" w:rsidRPr="00374785">
        <w:t>exemption</w:t>
      </w:r>
      <w:r w:rsidR="000C53CB" w:rsidRPr="00374785">
        <w:t>s</w:t>
      </w:r>
      <w:bookmarkEnd w:id="85"/>
      <w:r w:rsidR="00482CBD" w:rsidRPr="00374785">
        <w:t xml:space="preserve"> </w:t>
      </w:r>
    </w:p>
    <w:p w:rsidR="00BD199E" w:rsidRPr="00374785" w:rsidRDefault="00BD199E" w:rsidP="00BD199E">
      <w:pPr>
        <w:pStyle w:val="h6Subsec"/>
      </w:pPr>
      <w:r w:rsidRPr="00374785">
        <w:t>Block calibration exemption</w:t>
      </w:r>
    </w:p>
    <w:p w:rsidR="00BD199E" w:rsidRPr="00374785" w:rsidRDefault="00BD199E" w:rsidP="00BD199E">
      <w:pPr>
        <w:pStyle w:val="tMain"/>
      </w:pPr>
      <w:r w:rsidRPr="00374785">
        <w:tab/>
      </w:r>
      <w:r w:rsidR="007F3C0F">
        <w:t>(1)</w:t>
      </w:r>
      <w:r w:rsidRPr="00374785">
        <w:tab/>
        <w:t>If the planting in subsection (</w:t>
      </w:r>
      <w:r w:rsidR="00906525" w:rsidRPr="00374785">
        <w:t>2</w:t>
      </w:r>
      <w:r w:rsidRPr="00374785">
        <w:t xml:space="preserve">) satisfies the planting type </w:t>
      </w:r>
      <w:r w:rsidR="00FC6CE1" w:rsidRPr="00374785">
        <w:t xml:space="preserve">requirements of a domain group </w:t>
      </w:r>
      <w:r w:rsidRPr="00374785">
        <w:t>but fails</w:t>
      </w:r>
      <w:r w:rsidR="001C7150" w:rsidRPr="00374785">
        <w:t xml:space="preserve"> any or all of</w:t>
      </w:r>
      <w:r w:rsidRPr="00374785">
        <w:t xml:space="preserve">: </w:t>
      </w:r>
    </w:p>
    <w:p w:rsidR="00BD199E" w:rsidRPr="00374785" w:rsidRDefault="00BD199E" w:rsidP="00BD199E">
      <w:pPr>
        <w:pStyle w:val="tPara"/>
      </w:pPr>
      <w:r w:rsidRPr="00374785">
        <w:tab/>
      </w:r>
      <w:r w:rsidR="007F3C0F">
        <w:t>(a)</w:t>
      </w:r>
      <w:r w:rsidRPr="00374785">
        <w:tab/>
        <w:t xml:space="preserve"> the requirements for:</w:t>
      </w:r>
    </w:p>
    <w:p w:rsidR="00BD199E" w:rsidRPr="00374785" w:rsidRDefault="00BD199E" w:rsidP="00BD199E">
      <w:pPr>
        <w:pStyle w:val="tSubpara"/>
      </w:pPr>
      <w:r w:rsidRPr="00374785">
        <w:tab/>
      </w:r>
      <w:r w:rsidR="007F3C0F">
        <w:t>(i)</w:t>
      </w:r>
      <w:r w:rsidRPr="00374785">
        <w:tab/>
        <w:t>planting geometry;</w:t>
      </w:r>
    </w:p>
    <w:p w:rsidR="00BD199E" w:rsidRPr="00374785" w:rsidRDefault="00BD199E" w:rsidP="00BD199E">
      <w:pPr>
        <w:pStyle w:val="tSubpara"/>
      </w:pPr>
      <w:r w:rsidRPr="00374785">
        <w:tab/>
      </w:r>
      <w:r w:rsidR="007F3C0F">
        <w:t>(ii)</w:t>
      </w:r>
      <w:r w:rsidRPr="00374785">
        <w:tab/>
        <w:t>planting spacing; or</w:t>
      </w:r>
    </w:p>
    <w:p w:rsidR="00BD199E" w:rsidRPr="00374785" w:rsidRDefault="00BD199E" w:rsidP="00BD199E">
      <w:pPr>
        <w:pStyle w:val="tSubpara"/>
      </w:pPr>
      <w:r w:rsidRPr="00374785">
        <w:tab/>
      </w:r>
      <w:r w:rsidR="007F3C0F">
        <w:t>(iii)</w:t>
      </w:r>
      <w:r w:rsidRPr="00374785">
        <w:tab/>
        <w:t>stocking density and or tree proportion;</w:t>
      </w:r>
      <w:r w:rsidR="003111BC" w:rsidRPr="00374785">
        <w:t xml:space="preserve"> or</w:t>
      </w:r>
    </w:p>
    <w:p w:rsidR="00BD199E" w:rsidRPr="00374785" w:rsidRDefault="00BD199E" w:rsidP="00BD199E">
      <w:pPr>
        <w:pStyle w:val="tPara"/>
      </w:pPr>
      <w:r w:rsidRPr="00374785">
        <w:tab/>
      </w:r>
      <w:r w:rsidR="007F3C0F">
        <w:t>(b)</w:t>
      </w:r>
      <w:r w:rsidRPr="00374785">
        <w:tab/>
        <w:t xml:space="preserve">the test for material competition from adjacent trees on a narrow or wide linear planting; </w:t>
      </w:r>
    </w:p>
    <w:p w:rsidR="00BD199E" w:rsidRPr="00374785" w:rsidRDefault="00BD199E" w:rsidP="00BD199E">
      <w:pPr>
        <w:pStyle w:val="tMain"/>
      </w:pPr>
      <w:r w:rsidRPr="00374785">
        <w:tab/>
      </w:r>
      <w:r w:rsidRPr="00374785">
        <w:tab/>
        <w:t xml:space="preserve">then the specific calibration for the </w:t>
      </w:r>
      <w:r w:rsidR="00B50793" w:rsidRPr="00374785">
        <w:t xml:space="preserve">relevant </w:t>
      </w:r>
      <w:r w:rsidRPr="00374785">
        <w:t xml:space="preserve">block planting geometry for </w:t>
      </w:r>
      <w:r w:rsidR="001C7150" w:rsidRPr="00374785">
        <w:t>that</w:t>
      </w:r>
      <w:r w:rsidRPr="00374785">
        <w:t xml:space="preserve"> planting type may be applied for the purpose of Division 4.3.</w:t>
      </w:r>
    </w:p>
    <w:p w:rsidR="00BD199E" w:rsidRPr="00374785" w:rsidRDefault="00BD199E" w:rsidP="00BD199E">
      <w:pPr>
        <w:pStyle w:val="notePara"/>
      </w:pPr>
      <w:r w:rsidRPr="00374785">
        <w:tab/>
      </w:r>
      <w:r w:rsidRPr="00374785">
        <w:rPr>
          <w:b/>
          <w:i/>
        </w:rPr>
        <w:t>Note</w:t>
      </w:r>
      <w:r w:rsidRPr="00374785">
        <w:tab/>
        <w:t xml:space="preserve">This exemption allows for a planting type </w:t>
      </w:r>
      <w:r w:rsidR="00DD5045" w:rsidRPr="00374785">
        <w:t xml:space="preserve">that fails to meet the conditions for certain specific calibrations </w:t>
      </w:r>
      <w:r w:rsidRPr="00374785">
        <w:t>to be modelled using the ‘block planting-geometry’ calibration for the planting type rather than the generic calibration.</w:t>
      </w:r>
    </w:p>
    <w:p w:rsidR="000C53CB" w:rsidRPr="00374785" w:rsidRDefault="000C53CB" w:rsidP="000C53CB">
      <w:pPr>
        <w:pStyle w:val="h6Subsec"/>
      </w:pPr>
      <w:r w:rsidRPr="00374785">
        <w:t>E.</w:t>
      </w:r>
      <w:r w:rsidR="00091325" w:rsidRPr="00374785">
        <w:t>p</w:t>
      </w:r>
      <w:r w:rsidRPr="00374785">
        <w:t>olybractea calibration exemption</w:t>
      </w:r>
    </w:p>
    <w:p w:rsidR="00482CBD" w:rsidRPr="00374785" w:rsidRDefault="00482CBD" w:rsidP="00482CBD">
      <w:pPr>
        <w:pStyle w:val="tMain"/>
      </w:pPr>
      <w:r w:rsidRPr="00374785">
        <w:tab/>
      </w:r>
      <w:r w:rsidR="007F3C0F">
        <w:t>(2)</w:t>
      </w:r>
      <w:r w:rsidRPr="00374785">
        <w:tab/>
        <w:t xml:space="preserve">A mallee planting of </w:t>
      </w:r>
      <w:r w:rsidR="003111BC" w:rsidRPr="00374785">
        <w:rPr>
          <w:i/>
        </w:rPr>
        <w:t>E.</w:t>
      </w:r>
      <w:r w:rsidR="00210492" w:rsidRPr="00374785">
        <w:rPr>
          <w:i/>
        </w:rPr>
        <w:t>p</w:t>
      </w:r>
      <w:r w:rsidRPr="00374785">
        <w:rPr>
          <w:i/>
        </w:rPr>
        <w:t xml:space="preserve">olybractea </w:t>
      </w:r>
      <w:r w:rsidRPr="00374785">
        <w:t>that:</w:t>
      </w:r>
    </w:p>
    <w:p w:rsidR="00482CBD" w:rsidRPr="00374785" w:rsidRDefault="00482CBD" w:rsidP="00482CBD">
      <w:pPr>
        <w:pStyle w:val="tPara"/>
      </w:pPr>
      <w:r w:rsidRPr="00374785">
        <w:tab/>
      </w:r>
      <w:r w:rsidR="007F3C0F">
        <w:t>(a)</w:t>
      </w:r>
      <w:r w:rsidRPr="00374785">
        <w:tab/>
      </w:r>
      <w:proofErr w:type="gramStart"/>
      <w:r w:rsidRPr="00374785">
        <w:t>meets</w:t>
      </w:r>
      <w:proofErr w:type="gramEnd"/>
      <w:r w:rsidRPr="00374785">
        <w:t xml:space="preserve"> the requirements of a narrow linear planting as specified in subsection 3.11; and</w:t>
      </w:r>
    </w:p>
    <w:p w:rsidR="00482CBD" w:rsidRPr="00374785" w:rsidRDefault="00482CBD" w:rsidP="00482CBD">
      <w:pPr>
        <w:pStyle w:val="tPara"/>
      </w:pPr>
      <w:r w:rsidRPr="00374785">
        <w:tab/>
      </w:r>
      <w:r w:rsidR="007F3C0F">
        <w:t>(b)</w:t>
      </w:r>
      <w:r w:rsidRPr="00374785">
        <w:tab/>
        <w:t>meets the requirements of section 3.14; and</w:t>
      </w:r>
    </w:p>
    <w:p w:rsidR="00482CBD" w:rsidRPr="00374785" w:rsidRDefault="00482CBD" w:rsidP="00482CBD">
      <w:pPr>
        <w:pStyle w:val="tPara"/>
      </w:pPr>
      <w:r w:rsidRPr="00374785">
        <w:tab/>
      </w:r>
      <w:r w:rsidR="007F3C0F">
        <w:t>(c)</w:t>
      </w:r>
      <w:r w:rsidRPr="00374785">
        <w:tab/>
      </w:r>
      <w:proofErr w:type="gramStart"/>
      <w:r w:rsidRPr="00374785">
        <w:t>is</w:t>
      </w:r>
      <w:proofErr w:type="gramEnd"/>
      <w:r w:rsidRPr="00374785">
        <w:t xml:space="preserve"> not affected by material competition from adjacent trees as determined by </w:t>
      </w:r>
      <w:r w:rsidR="007015AD" w:rsidRPr="00374785">
        <w:t>Division 3.</w:t>
      </w:r>
      <w:r w:rsidR="00BA5FD2">
        <w:t>7</w:t>
      </w:r>
      <w:r w:rsidRPr="00374785">
        <w:t xml:space="preserve">; </w:t>
      </w:r>
    </w:p>
    <w:p w:rsidR="00482CBD" w:rsidRPr="00374785" w:rsidRDefault="00482CBD" w:rsidP="00482CBD">
      <w:pPr>
        <w:pStyle w:val="tMain"/>
      </w:pPr>
      <w:r w:rsidRPr="00374785">
        <w:tab/>
      </w:r>
      <w:r w:rsidRPr="00374785">
        <w:tab/>
      </w:r>
      <w:r w:rsidR="00DD5045" w:rsidRPr="00374785">
        <w:t>may</w:t>
      </w:r>
      <w:r w:rsidRPr="00374785">
        <w:t xml:space="preserve"> apply the FullCAM ‘</w:t>
      </w:r>
      <w:r w:rsidRPr="00374785">
        <w:rPr>
          <w:i/>
        </w:rPr>
        <w:t>Regime (Initial Rotation)</w:t>
      </w:r>
      <w:r w:rsidRPr="00374785">
        <w:t>’ setting for the ‘</w:t>
      </w:r>
      <w:r w:rsidRPr="00374785">
        <w:rPr>
          <w:i/>
        </w:rPr>
        <w:t xml:space="preserve">Mallee eucalypt polybractea, </w:t>
      </w:r>
      <w:r w:rsidR="00FC6CE1" w:rsidRPr="00374785">
        <w:rPr>
          <w:i/>
        </w:rPr>
        <w:t>g</w:t>
      </w:r>
      <w:r w:rsidRPr="00374785">
        <w:rPr>
          <w:i/>
        </w:rPr>
        <w:t xml:space="preserve">eometry wide’ </w:t>
      </w:r>
      <w:r w:rsidR="00A83C80" w:rsidRPr="00374785">
        <w:t>specific calibration</w:t>
      </w:r>
      <w:r w:rsidRPr="00374785">
        <w:t xml:space="preserve"> for the purpose of modelling</w:t>
      </w:r>
      <w:r w:rsidR="008032A0" w:rsidRPr="00374785">
        <w:t xml:space="preserve"> </w:t>
      </w:r>
      <w:r w:rsidR="00831A72" w:rsidRPr="00374785">
        <w:t>using FullCAM under section 4.5</w:t>
      </w:r>
      <w:r w:rsidRPr="00374785">
        <w:t>.</w:t>
      </w:r>
    </w:p>
    <w:p w:rsidR="00A617F9" w:rsidRPr="00374785" w:rsidRDefault="00BD199E" w:rsidP="00BD199E">
      <w:pPr>
        <w:pStyle w:val="notePara"/>
      </w:pPr>
      <w:r w:rsidRPr="00374785">
        <w:lastRenderedPageBreak/>
        <w:tab/>
      </w:r>
      <w:r w:rsidRPr="00374785">
        <w:rPr>
          <w:b/>
          <w:i/>
        </w:rPr>
        <w:t>Note</w:t>
      </w:r>
      <w:r w:rsidRPr="00374785">
        <w:tab/>
      </w:r>
      <w:r w:rsidR="00862BAE" w:rsidRPr="00374785">
        <w:t>Stocking density and tree proportion are not relevant for the ‘</w:t>
      </w:r>
      <w:r w:rsidR="00862BAE" w:rsidRPr="00374785">
        <w:rPr>
          <w:i/>
        </w:rPr>
        <w:t xml:space="preserve">Mallee eucalypt polybractea, </w:t>
      </w:r>
      <w:r w:rsidRPr="00374785">
        <w:rPr>
          <w:i/>
        </w:rPr>
        <w:t>g</w:t>
      </w:r>
      <w:r w:rsidR="00862BAE" w:rsidRPr="00374785">
        <w:rPr>
          <w:i/>
        </w:rPr>
        <w:t xml:space="preserve">eometry wide’ </w:t>
      </w:r>
      <w:r w:rsidR="00862BAE" w:rsidRPr="00374785">
        <w:t>specific calibration.</w:t>
      </w:r>
    </w:p>
    <w:p w:rsidR="002B60C7" w:rsidRPr="00374785" w:rsidRDefault="00314A07" w:rsidP="00314A07">
      <w:pPr>
        <w:pStyle w:val="h3Div"/>
      </w:pPr>
      <w:bookmarkStart w:id="86" w:name="_Toc397681630"/>
      <w:bookmarkStart w:id="87" w:name="_Ref323896053"/>
      <w:r w:rsidRPr="00374785">
        <w:t xml:space="preserve">Division </w:t>
      </w:r>
      <w:r w:rsidR="007F3C0F">
        <w:t>4.3</w:t>
      </w:r>
      <w:r w:rsidRPr="00374785">
        <w:tab/>
      </w:r>
      <w:r w:rsidR="002B60C7" w:rsidRPr="00374785">
        <w:t>Calculation of carbon stock change</w:t>
      </w:r>
      <w:bookmarkEnd w:id="86"/>
      <w:r w:rsidR="002B60C7" w:rsidRPr="00374785">
        <w:t xml:space="preserve"> </w:t>
      </w:r>
    </w:p>
    <w:p w:rsidR="00314A07" w:rsidRPr="00374785" w:rsidRDefault="007F3C0F" w:rsidP="00314A07">
      <w:pPr>
        <w:pStyle w:val="h5Section"/>
      </w:pPr>
      <w:bookmarkStart w:id="88" w:name="_Toc397681631"/>
      <w:r>
        <w:t>4.10</w:t>
      </w:r>
      <w:r w:rsidR="00314A07" w:rsidRPr="00374785">
        <w:tab/>
        <w:t>Calculating initial carbon stock for project</w:t>
      </w:r>
      <w:bookmarkEnd w:id="88"/>
      <w:r w:rsidR="00314A07" w:rsidRPr="00374785">
        <w:t xml:space="preserve"> </w:t>
      </w:r>
    </w:p>
    <w:p w:rsidR="00314A07" w:rsidRPr="00374785" w:rsidRDefault="00133639" w:rsidP="00133639">
      <w:pPr>
        <w:pStyle w:val="tMain"/>
      </w:pPr>
      <w:r w:rsidRPr="00374785">
        <w:tab/>
      </w:r>
      <w:r w:rsidR="007F3C0F">
        <w:t>(1)</w:t>
      </w:r>
      <w:r w:rsidRPr="00374785">
        <w:tab/>
      </w:r>
      <w:r w:rsidR="00314A07" w:rsidRPr="00374785">
        <w:t xml:space="preserve">The initial carbon stock for </w:t>
      </w:r>
      <w:r w:rsidR="00AE1FA4" w:rsidRPr="00374785">
        <w:t>a project</w:t>
      </w:r>
      <w:r w:rsidR="00314A07" w:rsidRPr="00374785">
        <w:t xml:space="preserve"> must be calculated in accordance with this section.</w:t>
      </w:r>
    </w:p>
    <w:p w:rsidR="00314A07" w:rsidRPr="00374785" w:rsidRDefault="00133639" w:rsidP="00133639">
      <w:pPr>
        <w:pStyle w:val="tMain"/>
      </w:pPr>
      <w:r w:rsidRPr="00374785">
        <w:tab/>
      </w:r>
      <w:r w:rsidR="007F3C0F">
        <w:t>(2)</w:t>
      </w:r>
      <w:r w:rsidRPr="00374785">
        <w:tab/>
      </w:r>
      <w:r w:rsidR="00314A07" w:rsidRPr="00374785">
        <w:t xml:space="preserve">The initial carbon stock </w:t>
      </w:r>
      <w:r w:rsidRPr="00374785">
        <w:t xml:space="preserve">for the first offsets report </w:t>
      </w:r>
      <w:r w:rsidR="00314A07" w:rsidRPr="00374785">
        <w:t>is:</w:t>
      </w:r>
    </w:p>
    <w:p w:rsidR="00314A07" w:rsidRPr="00374785" w:rsidRDefault="00133639" w:rsidP="00133639">
      <w:pPr>
        <w:pStyle w:val="tPara"/>
      </w:pPr>
      <w:r w:rsidRPr="00374785">
        <w:tab/>
      </w:r>
      <w:r w:rsidR="007F3C0F">
        <w:t>(a)</w:t>
      </w:r>
      <w:r w:rsidRPr="00374785">
        <w:tab/>
      </w:r>
      <w:r w:rsidR="00314A07" w:rsidRPr="00374785">
        <w:t>for projects that commenced before the declaration date—</w:t>
      </w:r>
      <w:r w:rsidRPr="00374785">
        <w:t>the carbon stock for the project area at the declaration date;</w:t>
      </w:r>
    </w:p>
    <w:p w:rsidR="00133639" w:rsidRPr="00374785" w:rsidRDefault="00133639" w:rsidP="00133639">
      <w:pPr>
        <w:pStyle w:val="tPara"/>
      </w:pPr>
      <w:r w:rsidRPr="00374785">
        <w:tab/>
      </w:r>
      <w:r w:rsidR="007F3C0F">
        <w:t>(b)</w:t>
      </w:r>
      <w:r w:rsidRPr="00374785">
        <w:tab/>
        <w:t>for all other projects—zero.</w:t>
      </w:r>
    </w:p>
    <w:p w:rsidR="00314A07" w:rsidRPr="00374785" w:rsidRDefault="00133639" w:rsidP="00133639">
      <w:pPr>
        <w:pStyle w:val="tMain"/>
      </w:pPr>
      <w:r w:rsidRPr="00374785">
        <w:tab/>
      </w:r>
      <w:r w:rsidR="007F3C0F">
        <w:t>(3)</w:t>
      </w:r>
      <w:r w:rsidRPr="00374785">
        <w:tab/>
        <w:t>The initial carbon stock specified in paragraph (2)(a) must be calculated</w:t>
      </w:r>
      <w:r w:rsidR="00AE1FA4" w:rsidRPr="00374785">
        <w:t xml:space="preserve"> for each reporting period</w:t>
      </w:r>
      <w:r w:rsidRPr="00374785">
        <w:t xml:space="preserve"> using the following formula:</w:t>
      </w:r>
    </w:p>
    <w:tbl>
      <w:tblPr>
        <w:tblStyle w:val="TableGrid"/>
        <w:tblW w:w="0" w:type="auto"/>
        <w:tblInd w:w="964" w:type="dxa"/>
        <w:tblLook w:val="04A0"/>
      </w:tblPr>
      <w:tblGrid>
        <w:gridCol w:w="6374"/>
        <w:gridCol w:w="1904"/>
      </w:tblGrid>
      <w:tr w:rsidR="00133639" w:rsidRPr="00374785" w:rsidTr="00133639">
        <w:tc>
          <w:tcPr>
            <w:tcW w:w="6374" w:type="dxa"/>
          </w:tcPr>
          <w:p w:rsidR="00133639" w:rsidRPr="00374785" w:rsidRDefault="0020376C" w:rsidP="00FC01A6">
            <w:pPr>
              <w:pStyle w:val="tMain"/>
              <w:spacing w:before="100" w:line="360" w:lineRule="auto"/>
              <w:ind w:left="0" w:firstLine="0"/>
              <w:rPr>
                <w:color w:val="76923C" w:themeColor="accent3" w:themeShade="BF"/>
              </w:rPr>
            </w:pPr>
            <m:oMathPara>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a</m:t>
                        </m:r>
                      </m:sub>
                    </m:sSub>
                  </m:sup>
                  <m:e>
                    <m:sSub>
                      <m:sSubPr>
                        <m:ctrlPr>
                          <w:rPr>
                            <w:rFonts w:ascii="Cambria Math" w:hAnsi="Cambria Math"/>
                            <w:i/>
                          </w:rPr>
                        </m:ctrlPr>
                      </m:sSubPr>
                      <m:e>
                        <m:r>
                          <w:rPr>
                            <w:rFonts w:ascii="Cambria Math" w:hAnsi="Cambria Math"/>
                          </w:rPr>
                          <m:t>C</m:t>
                        </m:r>
                      </m:e>
                      <m:sub>
                        <m:r>
                          <w:rPr>
                            <w:rFonts w:ascii="Cambria Math" w:hAnsi="Cambria Math"/>
                          </w:rPr>
                          <m:t>Di</m:t>
                        </m:r>
                      </m:sub>
                    </m:sSub>
                  </m:e>
                </m:nary>
                <m:r>
                  <w:rPr>
                    <w:rFonts w:ascii="Cambria Math" w:hAnsi="Cambria Math"/>
                    <w:sz w:val="22"/>
                  </w:rPr>
                  <m:t xml:space="preserve">× </m:t>
                </m:r>
                <m:f>
                  <m:fPr>
                    <m:ctrlPr>
                      <w:rPr>
                        <w:rFonts w:ascii="Cambria Math" w:hAnsi="Cambria Math"/>
                        <w:i/>
                        <w:sz w:val="22"/>
                      </w:rPr>
                    </m:ctrlPr>
                  </m:fPr>
                  <m:num>
                    <m:r>
                      <w:rPr>
                        <w:rFonts w:ascii="Cambria Math" w:hAnsi="Cambria Math"/>
                        <w:sz w:val="22"/>
                      </w:rPr>
                      <m:t>44</m:t>
                    </m:r>
                  </m:num>
                  <m:den>
                    <m:r>
                      <w:rPr>
                        <w:rFonts w:ascii="Cambria Math" w:hAnsi="Cambria Math"/>
                        <w:sz w:val="22"/>
                      </w:rPr>
                      <m:t>12</m:t>
                    </m:r>
                  </m:den>
                </m:f>
              </m:oMath>
            </m:oMathPara>
          </w:p>
        </w:tc>
        <w:tc>
          <w:tcPr>
            <w:tcW w:w="1904" w:type="dxa"/>
            <w:vAlign w:val="center"/>
          </w:tcPr>
          <w:p w:rsidR="00133639" w:rsidRPr="00374785" w:rsidRDefault="00133639" w:rsidP="00B913AB">
            <w:pPr>
              <w:pStyle w:val="tMain"/>
              <w:ind w:left="0" w:firstLine="0"/>
              <w:jc w:val="center"/>
              <w:rPr>
                <w:b/>
                <w:color w:val="000000" w:themeColor="text1"/>
              </w:rPr>
            </w:pPr>
            <w:r w:rsidRPr="00374785">
              <w:rPr>
                <w:b/>
                <w:color w:val="000000" w:themeColor="text1"/>
              </w:rPr>
              <w:t>Equation 1</w:t>
            </w:r>
            <w:r w:rsidR="00B913AB" w:rsidRPr="00374785">
              <w:rPr>
                <w:b/>
                <w:color w:val="000000" w:themeColor="text1"/>
              </w:rPr>
              <w:t>1a</w:t>
            </w:r>
          </w:p>
        </w:tc>
      </w:tr>
    </w:tbl>
    <w:p w:rsidR="00133639" w:rsidRPr="00374785" w:rsidRDefault="00133639" w:rsidP="00133639">
      <w:pPr>
        <w:pStyle w:val="tMain"/>
      </w:pPr>
      <w:r w:rsidRPr="00374785">
        <w:tab/>
      </w:r>
      <w:r w:rsidRPr="00374785">
        <w:tab/>
        <w:t>Where:</w:t>
      </w:r>
    </w:p>
    <w:tbl>
      <w:tblPr>
        <w:tblStyle w:val="TableGrid"/>
        <w:tblW w:w="0" w:type="auto"/>
        <w:tblInd w:w="964" w:type="dxa"/>
        <w:tblLook w:val="04A0"/>
      </w:tblPr>
      <w:tblGrid>
        <w:gridCol w:w="1129"/>
        <w:gridCol w:w="7149"/>
      </w:tblGrid>
      <w:tr w:rsidR="00133639" w:rsidRPr="00374785" w:rsidTr="00243677">
        <w:tc>
          <w:tcPr>
            <w:tcW w:w="1129" w:type="dxa"/>
            <w:vAlign w:val="center"/>
          </w:tcPr>
          <w:p w:rsidR="00133639" w:rsidRPr="00374785" w:rsidRDefault="0020376C" w:rsidP="00E11AAC">
            <w:pPr>
              <w:pStyle w:val="tMain"/>
              <w:ind w:left="0" w:firstLine="0"/>
              <w:jc w:val="right"/>
              <w:rPr>
                <w:color w:val="000000" w:themeColor="text1"/>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N</m:t>
                    </m:r>
                  </m:sub>
                </m:sSub>
                <m:r>
                  <m:rPr>
                    <m:sty m:val="bi"/>
                  </m:rPr>
                  <w:rPr>
                    <w:rFonts w:ascii="Cambria Math" w:hAnsi="Cambria Math" w:cs="Calibri"/>
                    <w:color w:val="000000" w:themeColor="text1"/>
                    <w:lang w:eastAsia="en-US"/>
                  </w:rPr>
                  <m:t>=</m:t>
                </m:r>
              </m:oMath>
            </m:oMathPara>
          </w:p>
        </w:tc>
        <w:tc>
          <w:tcPr>
            <w:tcW w:w="7149" w:type="dxa"/>
          </w:tcPr>
          <w:p w:rsidR="00133639" w:rsidRPr="00374785" w:rsidRDefault="00B913AB" w:rsidP="00133639">
            <w:pPr>
              <w:pStyle w:val="tMain"/>
              <w:ind w:left="0" w:firstLine="0"/>
              <w:rPr>
                <w:color w:val="000000" w:themeColor="text1"/>
              </w:rPr>
            </w:pPr>
            <w:r w:rsidRPr="00374785">
              <w:rPr>
                <w:iCs/>
              </w:rPr>
              <w:t xml:space="preserve">initial carbon stock for the project area </w:t>
            </w:r>
            <w:r w:rsidR="0014573E" w:rsidRPr="00374785">
              <w:rPr>
                <w:iCs/>
              </w:rPr>
              <w:t>(in tonnes CO</w:t>
            </w:r>
            <w:r w:rsidR="0014573E" w:rsidRPr="00374785">
              <w:rPr>
                <w:iCs/>
                <w:vertAlign w:val="subscript"/>
              </w:rPr>
              <w:t>2</w:t>
            </w:r>
            <w:r w:rsidR="0014573E" w:rsidRPr="00374785">
              <w:rPr>
                <w:iCs/>
              </w:rPr>
              <w:t>-e)</w:t>
            </w:r>
            <w:r w:rsidR="00133639" w:rsidRPr="00374785">
              <w:rPr>
                <w:color w:val="000000" w:themeColor="text1"/>
              </w:rPr>
              <w:t xml:space="preserve">. </w:t>
            </w:r>
          </w:p>
        </w:tc>
      </w:tr>
      <w:tr w:rsidR="00133639" w:rsidRPr="00374785" w:rsidTr="00243677">
        <w:tc>
          <w:tcPr>
            <w:tcW w:w="1129" w:type="dxa"/>
            <w:vAlign w:val="center"/>
          </w:tcPr>
          <w:p w:rsidR="00133639" w:rsidRPr="00374785" w:rsidRDefault="0020376C" w:rsidP="00FC01A6">
            <w:pPr>
              <w:pStyle w:val="tMain"/>
              <w:ind w:left="0" w:firstLine="0"/>
              <w:jc w:val="right"/>
              <w:rPr>
                <w:color w:val="000000" w:themeColor="text1"/>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Di</m:t>
                    </m:r>
                  </m:sub>
                </m:sSub>
                <m:r>
                  <m:rPr>
                    <m:sty m:val="bi"/>
                  </m:rPr>
                  <w:rPr>
                    <w:rFonts w:ascii="Cambria Math" w:hAnsi="Cambria Math" w:cs="Calibri"/>
                    <w:color w:val="000000" w:themeColor="text1"/>
                    <w:lang w:eastAsia="en-US"/>
                  </w:rPr>
                  <m:t>=</m:t>
                </m:r>
              </m:oMath>
            </m:oMathPara>
          </w:p>
        </w:tc>
        <w:tc>
          <w:tcPr>
            <w:tcW w:w="7149" w:type="dxa"/>
          </w:tcPr>
          <w:p w:rsidR="00133639" w:rsidRPr="00374785" w:rsidRDefault="00B913AB" w:rsidP="00FC01A6">
            <w:pPr>
              <w:pStyle w:val="tMain"/>
              <w:ind w:left="0" w:firstLine="0"/>
              <w:rPr>
                <w:color w:val="000000" w:themeColor="text1"/>
              </w:rPr>
            </w:pPr>
            <w:r w:rsidRPr="00374785">
              <w:rPr>
                <w:color w:val="000000" w:themeColor="text1"/>
              </w:rPr>
              <w:t>carbon stock</w:t>
            </w:r>
            <w:r w:rsidR="00133639" w:rsidRPr="00374785">
              <w:rPr>
                <w:color w:val="000000" w:themeColor="text1"/>
              </w:rPr>
              <w:t xml:space="preserve"> for the </w:t>
            </w:r>
            <m:oMath>
              <m:r>
                <w:rPr>
                  <w:rFonts w:ascii="Cambria Math" w:hAnsi="Cambria Math"/>
                  <w:color w:val="000000" w:themeColor="text1"/>
                </w:rPr>
                <m:t>i</m:t>
              </m:r>
            </m:oMath>
            <w:r w:rsidR="00133639" w:rsidRPr="00374785">
              <w:rPr>
                <w:color w:val="000000" w:themeColor="text1"/>
                <w:vertAlign w:val="superscript"/>
              </w:rPr>
              <w:t>th</w:t>
            </w:r>
            <w:r w:rsidR="00133639" w:rsidRPr="00374785">
              <w:rPr>
                <w:color w:val="000000" w:themeColor="text1"/>
              </w:rPr>
              <w:t xml:space="preserve"> carbon estimation area</w:t>
            </w:r>
            <w:r w:rsidRPr="00374785">
              <w:rPr>
                <w:color w:val="000000" w:themeColor="text1"/>
              </w:rPr>
              <w:t xml:space="preserve"> </w:t>
            </w:r>
            <w:r w:rsidRPr="00374785">
              <w:rPr>
                <w:iCs/>
              </w:rPr>
              <w:t>at the declaration date</w:t>
            </w:r>
            <w:r w:rsidR="00CB5C56" w:rsidRPr="00374785">
              <w:rPr>
                <w:iCs/>
              </w:rPr>
              <w:t xml:space="preserve"> </w:t>
            </w:r>
            <m:oMath>
              <m:r>
                <w:rPr>
                  <w:rFonts w:ascii="Cambria Math" w:hAnsi="Cambria Math"/>
                </w:rPr>
                <m:t>D</m:t>
              </m:r>
            </m:oMath>
            <w:r w:rsidR="00CB5C56" w:rsidRPr="00374785">
              <w:rPr>
                <w:iCs/>
              </w:rPr>
              <w:t xml:space="preserve"> </w:t>
            </w:r>
            <w:r w:rsidRPr="00374785">
              <w:rPr>
                <w:iCs/>
              </w:rPr>
              <w:t xml:space="preserve"> (in tonnes C)</w:t>
            </w:r>
            <w:r w:rsidR="00926FE8" w:rsidRPr="00374785">
              <w:rPr>
                <w:iCs/>
              </w:rPr>
              <w:t>—</w:t>
            </w:r>
            <w:r w:rsidRPr="00374785">
              <w:rPr>
                <w:iCs/>
              </w:rPr>
              <w:t>see Equation 12</w:t>
            </w:r>
            <w:r w:rsidR="007017BE">
              <w:rPr>
                <w:iCs/>
              </w:rPr>
              <w:t>a</w:t>
            </w:r>
            <w:r w:rsidR="00133639" w:rsidRPr="00374785">
              <w:rPr>
                <w:color w:val="000000" w:themeColor="text1"/>
              </w:rPr>
              <w:t>.</w:t>
            </w:r>
          </w:p>
        </w:tc>
      </w:tr>
      <w:tr w:rsidR="00133639" w:rsidRPr="00374785" w:rsidTr="00243677">
        <w:tc>
          <w:tcPr>
            <w:tcW w:w="1129" w:type="dxa"/>
            <w:vAlign w:val="center"/>
          </w:tcPr>
          <w:p w:rsidR="00133639" w:rsidRPr="00374785" w:rsidRDefault="0020376C" w:rsidP="00FC01A6">
            <w:pPr>
              <w:pStyle w:val="tMain"/>
              <w:ind w:left="0" w:firstLine="0"/>
              <w:jc w:val="right"/>
              <w:rPr>
                <w:color w:val="000000" w:themeColor="text1"/>
              </w:rPr>
            </w:pPr>
            <m:oMathPara>
              <m:oMathParaPr>
                <m:jc m:val="right"/>
              </m:oMathParaPr>
              <m:oMath>
                <m:sSub>
                  <m:sSubPr>
                    <m:ctrlPr>
                      <w:rPr>
                        <w:rFonts w:ascii="Cambria Math" w:hAnsi="Cambria Math"/>
                        <w:i/>
                      </w:rPr>
                    </m:ctrlPr>
                  </m:sSubPr>
                  <m:e>
                    <m:r>
                      <w:rPr>
                        <w:rFonts w:ascii="Cambria Math" w:hAnsi="Cambria Math"/>
                      </w:rPr>
                      <m:t>n</m:t>
                    </m:r>
                  </m:e>
                  <m:sub>
                    <m:r>
                      <w:rPr>
                        <w:rFonts w:ascii="Cambria Math" w:hAnsi="Cambria Math"/>
                      </w:rPr>
                      <m:t>D</m:t>
                    </m:r>
                  </m:sub>
                </m:sSub>
                <m:r>
                  <m:rPr>
                    <m:sty m:val="bi"/>
                  </m:rPr>
                  <w:rPr>
                    <w:rFonts w:ascii="Cambria Math" w:hAnsi="Cambria Math" w:cs="Calibri"/>
                    <w:color w:val="000000" w:themeColor="text1"/>
                    <w:lang w:eastAsia="en-US"/>
                  </w:rPr>
                  <m:t>=</m:t>
                </m:r>
              </m:oMath>
            </m:oMathPara>
          </w:p>
        </w:tc>
        <w:tc>
          <w:tcPr>
            <w:tcW w:w="7149" w:type="dxa"/>
          </w:tcPr>
          <w:p w:rsidR="00133639" w:rsidRPr="00374785" w:rsidRDefault="00B913AB" w:rsidP="00FC01A6">
            <w:pPr>
              <w:pStyle w:val="tMain"/>
              <w:ind w:left="0" w:firstLine="0"/>
              <w:rPr>
                <w:color w:val="000000" w:themeColor="text1"/>
              </w:rPr>
            </w:pPr>
            <w:r w:rsidRPr="00374785">
              <w:rPr>
                <w:iCs/>
              </w:rPr>
              <w:t xml:space="preserve">total number of </w:t>
            </w:r>
            <w:r w:rsidR="007119C3" w:rsidRPr="00374785">
              <w:rPr>
                <w:iCs/>
              </w:rPr>
              <w:t xml:space="preserve">carbon estimation areas </w:t>
            </w:r>
            <w:r w:rsidRPr="00374785">
              <w:rPr>
                <w:iCs/>
              </w:rPr>
              <w:t>at the declaration date</w:t>
            </w:r>
            <m:oMath>
              <m:r>
                <w:rPr>
                  <w:rFonts w:ascii="Cambria Math" w:hAnsi="Cambria Math"/>
                </w:rPr>
                <m:t xml:space="preserve"> D</m:t>
              </m:r>
            </m:oMath>
            <w:r w:rsidR="00133639" w:rsidRPr="00374785">
              <w:rPr>
                <w:color w:val="000000" w:themeColor="text1"/>
              </w:rPr>
              <w:t>.</w:t>
            </w:r>
          </w:p>
        </w:tc>
      </w:tr>
      <w:tr w:rsidR="00133639" w:rsidRPr="00374785" w:rsidTr="00243677">
        <w:tc>
          <w:tcPr>
            <w:tcW w:w="1129" w:type="dxa"/>
            <w:vAlign w:val="center"/>
          </w:tcPr>
          <w:p w:rsidR="00133639" w:rsidRPr="00374785" w:rsidRDefault="00AE1FA4" w:rsidP="00AE1FA4">
            <w:pPr>
              <w:pStyle w:val="tMain"/>
              <w:ind w:left="0" w:firstLine="0"/>
              <w:jc w:val="right"/>
              <w:rPr>
                <w:color w:val="000000" w:themeColor="text1"/>
              </w:rPr>
            </w:pPr>
            <w:r w:rsidRPr="00374785">
              <w:rPr>
                <w:i/>
                <w:color w:val="000000" w:themeColor="text1"/>
                <w:lang w:eastAsia="en-US"/>
              </w:rPr>
              <w:t>i</w:t>
            </w:r>
            <w:r w:rsidRPr="00374785">
              <w:rPr>
                <w:color w:val="000000" w:themeColor="text1"/>
                <w:lang w:eastAsia="en-US"/>
              </w:rPr>
              <w:t xml:space="preserve"> </w:t>
            </w:r>
            <m:oMath>
              <m:r>
                <m:rPr>
                  <m:sty m:val="bi"/>
                </m:rPr>
                <w:rPr>
                  <w:rFonts w:ascii="Cambria Math" w:hAnsi="Cambria Math" w:cs="Calibri"/>
                  <w:color w:val="000000" w:themeColor="text1"/>
                  <w:lang w:eastAsia="en-US"/>
                </w:rPr>
                <m:t>=</m:t>
              </m:r>
            </m:oMath>
          </w:p>
        </w:tc>
        <w:tc>
          <w:tcPr>
            <w:tcW w:w="7149" w:type="dxa"/>
          </w:tcPr>
          <w:p w:rsidR="00133639" w:rsidRPr="00374785" w:rsidRDefault="00133639" w:rsidP="00133639">
            <w:pPr>
              <w:pStyle w:val="tMain"/>
              <w:ind w:left="0" w:firstLine="0"/>
              <w:rPr>
                <w:color w:val="000000" w:themeColor="text1"/>
              </w:rPr>
            </w:pPr>
            <w:r w:rsidRPr="00374785">
              <w:rPr>
                <w:i/>
                <w:color w:val="000000" w:themeColor="text1"/>
              </w:rPr>
              <w:t>i</w:t>
            </w:r>
            <w:r w:rsidRPr="00374785">
              <w:rPr>
                <w:color w:val="000000" w:themeColor="text1"/>
                <w:vertAlign w:val="superscript"/>
              </w:rPr>
              <w:t xml:space="preserve">th </w:t>
            </w:r>
            <w:r w:rsidRPr="00374785">
              <w:rPr>
                <w:color w:val="000000" w:themeColor="text1"/>
              </w:rPr>
              <w:t>carbon estimation area.</w:t>
            </w:r>
          </w:p>
        </w:tc>
      </w:tr>
    </w:tbl>
    <w:p w:rsidR="002B60C7" w:rsidRPr="00374785" w:rsidRDefault="007F3C0F" w:rsidP="00A06C1D">
      <w:pPr>
        <w:pStyle w:val="h5Section"/>
      </w:pPr>
      <w:bookmarkStart w:id="89" w:name="_Toc397681632"/>
      <w:r>
        <w:t>4.11</w:t>
      </w:r>
      <w:r w:rsidR="00A06C1D" w:rsidRPr="00374785">
        <w:tab/>
      </w:r>
      <w:r w:rsidR="002B60C7" w:rsidRPr="00374785">
        <w:t>Calculating project area carbon stock at end of reporting period</w:t>
      </w:r>
      <w:bookmarkEnd w:id="89"/>
    </w:p>
    <w:p w:rsidR="00A06C1D" w:rsidRPr="00374785" w:rsidRDefault="00A06C1D" w:rsidP="00A06C1D">
      <w:pPr>
        <w:pStyle w:val="tMain"/>
      </w:pPr>
      <w:r w:rsidRPr="00374785">
        <w:tab/>
      </w:r>
      <w:r w:rsidRPr="00374785">
        <w:tab/>
      </w:r>
      <w:r w:rsidR="005D58C8" w:rsidRPr="00374785">
        <w:t xml:space="preserve">For each reporting period, the </w:t>
      </w:r>
      <w:r w:rsidRPr="00374785">
        <w:t>carbon</w:t>
      </w:r>
      <w:r w:rsidR="002716B6" w:rsidRPr="00374785">
        <w:t xml:space="preserve"> </w:t>
      </w:r>
      <w:r w:rsidR="00F9694F" w:rsidRPr="00374785">
        <w:t>stock</w:t>
      </w:r>
      <w:r w:rsidR="002716B6" w:rsidRPr="00374785">
        <w:t xml:space="preserve"> for the project area is the sum </w:t>
      </w:r>
      <w:r w:rsidR="00F9694F" w:rsidRPr="00374785">
        <w:t>of the carbon stock in</w:t>
      </w:r>
      <w:r w:rsidR="002716B6" w:rsidRPr="00374785">
        <w:t xml:space="preserve"> each carbon estimation area and must be calculated </w:t>
      </w:r>
      <w:r w:rsidRPr="00374785">
        <w:t>using the following formula:</w:t>
      </w:r>
    </w:p>
    <w:tbl>
      <w:tblPr>
        <w:tblStyle w:val="TableGrid"/>
        <w:tblW w:w="0" w:type="auto"/>
        <w:tblInd w:w="964" w:type="dxa"/>
        <w:tblLook w:val="04A0"/>
      </w:tblPr>
      <w:tblGrid>
        <w:gridCol w:w="6374"/>
        <w:gridCol w:w="1904"/>
      </w:tblGrid>
      <w:tr w:rsidR="00A06C1D" w:rsidRPr="00374785" w:rsidTr="00A06C1D">
        <w:tc>
          <w:tcPr>
            <w:tcW w:w="6374" w:type="dxa"/>
          </w:tcPr>
          <w:p w:rsidR="00A06C1D" w:rsidRPr="00374785" w:rsidRDefault="0020376C" w:rsidP="00E11AAC">
            <w:pPr>
              <w:pStyle w:val="tMain"/>
              <w:spacing w:before="100" w:line="360" w:lineRule="auto"/>
              <w:ind w:left="0" w:firstLine="0"/>
              <w:rPr>
                <w:color w:val="76923C" w:themeColor="accent3" w:themeShade="BF"/>
              </w:rPr>
            </w:pPr>
            <m:oMathPara>
              <m:oMath>
                <m:sSub>
                  <m:sSubPr>
                    <m:ctrlPr>
                      <w:rPr>
                        <w:rFonts w:ascii="Cambria Math" w:hAnsi="Cambria Math"/>
                        <w:i/>
                      </w:rPr>
                    </m:ctrlPr>
                  </m:sSubPr>
                  <m:e>
                    <m:r>
                      <w:rPr>
                        <w:rFonts w:ascii="Cambria Math" w:hAnsi="Cambria Math"/>
                      </w:rPr>
                      <m:t>C</m:t>
                    </m:r>
                  </m:e>
                  <m:sub>
                    <m:r>
                      <w:rPr>
                        <w:rFonts w:ascii="Cambria Math" w:hAnsi="Cambria Math"/>
                      </w:rPr>
                      <m:t>P</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C</m:t>
                        </m:r>
                      </m:e>
                      <m:sub>
                        <m:r>
                          <w:rPr>
                            <w:rFonts w:ascii="Cambria Math" w:hAnsi="Cambria Math"/>
                          </w:rPr>
                          <m:t>i</m:t>
                        </m:r>
                      </m:sub>
                    </m:sSub>
                  </m:e>
                </m:nary>
                <m:r>
                  <w:rPr>
                    <w:rFonts w:ascii="Cambria Math" w:hAnsi="Cambria Math"/>
                    <w:sz w:val="22"/>
                  </w:rPr>
                  <m:t xml:space="preserve">× </m:t>
                </m:r>
                <m:f>
                  <m:fPr>
                    <m:ctrlPr>
                      <w:rPr>
                        <w:rFonts w:ascii="Cambria Math" w:hAnsi="Cambria Math"/>
                        <w:i/>
                        <w:sz w:val="22"/>
                      </w:rPr>
                    </m:ctrlPr>
                  </m:fPr>
                  <m:num>
                    <m:r>
                      <w:rPr>
                        <w:rFonts w:ascii="Cambria Math" w:hAnsi="Cambria Math"/>
                        <w:sz w:val="22"/>
                      </w:rPr>
                      <m:t>44</m:t>
                    </m:r>
                  </m:num>
                  <m:den>
                    <m:r>
                      <w:rPr>
                        <w:rFonts w:ascii="Cambria Math" w:hAnsi="Cambria Math"/>
                        <w:sz w:val="22"/>
                      </w:rPr>
                      <m:t>12</m:t>
                    </m:r>
                  </m:den>
                </m:f>
              </m:oMath>
            </m:oMathPara>
          </w:p>
        </w:tc>
        <w:tc>
          <w:tcPr>
            <w:tcW w:w="1904" w:type="dxa"/>
            <w:vAlign w:val="center"/>
          </w:tcPr>
          <w:p w:rsidR="00A06C1D" w:rsidRPr="00374785" w:rsidRDefault="00A06C1D" w:rsidP="00A06C1D">
            <w:pPr>
              <w:pStyle w:val="tMain"/>
              <w:ind w:left="0" w:firstLine="0"/>
              <w:jc w:val="center"/>
              <w:rPr>
                <w:b/>
                <w:color w:val="000000" w:themeColor="text1"/>
              </w:rPr>
            </w:pPr>
            <w:r w:rsidRPr="00374785">
              <w:rPr>
                <w:b/>
                <w:color w:val="000000" w:themeColor="text1"/>
              </w:rPr>
              <w:t>Equation 11b</w:t>
            </w:r>
          </w:p>
        </w:tc>
      </w:tr>
    </w:tbl>
    <w:p w:rsidR="00A06C1D" w:rsidRPr="00374785" w:rsidRDefault="00A06C1D" w:rsidP="00A06C1D">
      <w:pPr>
        <w:pStyle w:val="tMain"/>
      </w:pPr>
      <w:r w:rsidRPr="00374785">
        <w:tab/>
      </w:r>
      <w:r w:rsidRPr="00374785">
        <w:tab/>
        <w:t>Where:</w:t>
      </w:r>
    </w:p>
    <w:tbl>
      <w:tblPr>
        <w:tblStyle w:val="TableGrid"/>
        <w:tblW w:w="0" w:type="auto"/>
        <w:tblInd w:w="964" w:type="dxa"/>
        <w:tblLook w:val="04A0"/>
      </w:tblPr>
      <w:tblGrid>
        <w:gridCol w:w="1129"/>
        <w:gridCol w:w="7149"/>
      </w:tblGrid>
      <w:tr w:rsidR="00A06C1D" w:rsidRPr="00374785" w:rsidTr="00243677">
        <w:tc>
          <w:tcPr>
            <w:tcW w:w="1129" w:type="dxa"/>
            <w:vAlign w:val="center"/>
          </w:tcPr>
          <w:p w:rsidR="00A06C1D" w:rsidRPr="00374785" w:rsidRDefault="0020376C" w:rsidP="00A06C1D">
            <w:pPr>
              <w:pStyle w:val="tMain"/>
              <w:ind w:left="0" w:firstLine="0"/>
              <w:jc w:val="right"/>
              <w:rPr>
                <w:color w:val="000000" w:themeColor="text1"/>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P</m:t>
                    </m:r>
                  </m:sub>
                </m:sSub>
                <m:r>
                  <m:rPr>
                    <m:sty m:val="bi"/>
                  </m:rPr>
                  <w:rPr>
                    <w:rFonts w:ascii="Cambria Math" w:hAnsi="Cambria Math" w:cs="Calibri"/>
                    <w:color w:val="000000" w:themeColor="text1"/>
                    <w:lang w:eastAsia="en-US"/>
                  </w:rPr>
                  <m:t>=</m:t>
                </m:r>
              </m:oMath>
            </m:oMathPara>
          </w:p>
        </w:tc>
        <w:tc>
          <w:tcPr>
            <w:tcW w:w="7149" w:type="dxa"/>
          </w:tcPr>
          <w:p w:rsidR="00A06C1D" w:rsidRPr="00374785" w:rsidRDefault="00A06C1D" w:rsidP="00A06C1D">
            <w:pPr>
              <w:pStyle w:val="tMain"/>
              <w:ind w:left="0" w:firstLine="0"/>
              <w:rPr>
                <w:color w:val="000000" w:themeColor="text1"/>
              </w:rPr>
            </w:pPr>
            <w:r w:rsidRPr="00374785">
              <w:rPr>
                <w:iCs/>
              </w:rPr>
              <w:t xml:space="preserve">carbon stock for the project area at the end of a reporting period </w:t>
            </w:r>
            <w:r w:rsidR="0014573E" w:rsidRPr="00374785">
              <w:rPr>
                <w:iCs/>
              </w:rPr>
              <w:t>(in tonnes CO</w:t>
            </w:r>
            <w:r w:rsidR="0014573E" w:rsidRPr="00374785">
              <w:rPr>
                <w:iCs/>
                <w:vertAlign w:val="subscript"/>
              </w:rPr>
              <w:t>2</w:t>
            </w:r>
            <w:r w:rsidR="0014573E" w:rsidRPr="00374785">
              <w:rPr>
                <w:iCs/>
              </w:rPr>
              <w:t>-e)</w:t>
            </w:r>
            <w:r w:rsidRPr="00374785">
              <w:rPr>
                <w:color w:val="000000" w:themeColor="text1"/>
              </w:rPr>
              <w:t xml:space="preserve">. </w:t>
            </w:r>
          </w:p>
        </w:tc>
      </w:tr>
      <w:tr w:rsidR="00A06C1D" w:rsidRPr="00374785" w:rsidTr="00243677">
        <w:tc>
          <w:tcPr>
            <w:tcW w:w="1129" w:type="dxa"/>
            <w:vAlign w:val="center"/>
          </w:tcPr>
          <w:p w:rsidR="00A06C1D" w:rsidRPr="00374785" w:rsidRDefault="0020376C" w:rsidP="00E11AAC">
            <w:pPr>
              <w:pStyle w:val="tMain"/>
              <w:ind w:left="0" w:firstLine="0"/>
              <w:jc w:val="right"/>
              <w:rPr>
                <w:color w:val="000000" w:themeColor="text1"/>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i</m:t>
                    </m:r>
                  </m:sub>
                </m:sSub>
                <m:r>
                  <m:rPr>
                    <m:sty m:val="bi"/>
                  </m:rPr>
                  <w:rPr>
                    <w:rFonts w:ascii="Cambria Math" w:hAnsi="Cambria Math" w:cs="Calibri"/>
                    <w:color w:val="000000" w:themeColor="text1"/>
                    <w:lang w:eastAsia="en-US"/>
                  </w:rPr>
                  <m:t>=</m:t>
                </m:r>
              </m:oMath>
            </m:oMathPara>
          </w:p>
        </w:tc>
        <w:tc>
          <w:tcPr>
            <w:tcW w:w="7149" w:type="dxa"/>
          </w:tcPr>
          <w:p w:rsidR="00A06C1D" w:rsidRPr="00374785" w:rsidRDefault="00A06C1D" w:rsidP="00926FE8">
            <w:pPr>
              <w:pStyle w:val="tMain"/>
              <w:ind w:left="0" w:firstLine="0"/>
              <w:rPr>
                <w:color w:val="000000" w:themeColor="text1"/>
              </w:rPr>
            </w:pPr>
            <w:r w:rsidRPr="00374785">
              <w:rPr>
                <w:color w:val="000000" w:themeColor="text1"/>
              </w:rPr>
              <w:t xml:space="preserve">carbon stock for the </w:t>
            </w:r>
            <m:oMath>
              <m:r>
                <w:rPr>
                  <w:rFonts w:ascii="Cambria Math" w:hAnsi="Cambria Math"/>
                  <w:color w:val="000000" w:themeColor="text1"/>
                </w:rPr>
                <m:t>i</m:t>
              </m:r>
            </m:oMath>
            <w:r w:rsidRPr="00374785">
              <w:rPr>
                <w:color w:val="000000" w:themeColor="text1"/>
                <w:vertAlign w:val="superscript"/>
              </w:rPr>
              <w:t>th</w:t>
            </w:r>
            <w:r w:rsidRPr="00374785">
              <w:rPr>
                <w:color w:val="000000" w:themeColor="text1"/>
              </w:rPr>
              <w:t xml:space="preserve"> carbon estimation area </w:t>
            </w:r>
            <w:r w:rsidRPr="00374785">
              <w:rPr>
                <w:iCs/>
              </w:rPr>
              <w:t>at the end</w:t>
            </w:r>
            <w:r w:rsidR="003A68FA" w:rsidRPr="00374785">
              <w:rPr>
                <w:iCs/>
              </w:rPr>
              <w:t xml:space="preserve"> </w:t>
            </w:r>
            <w:r w:rsidRPr="00374785">
              <w:rPr>
                <w:iCs/>
              </w:rPr>
              <w:t>of the current reporting period (in tonnes C)</w:t>
            </w:r>
            <w:r w:rsidR="00926FE8" w:rsidRPr="00374785">
              <w:rPr>
                <w:iCs/>
              </w:rPr>
              <w:t>—</w:t>
            </w:r>
            <w:r w:rsidRPr="00374785">
              <w:rPr>
                <w:iCs/>
              </w:rPr>
              <w:t>see Equation 12</w:t>
            </w:r>
            <w:r w:rsidR="007017BE">
              <w:rPr>
                <w:iCs/>
              </w:rPr>
              <w:t>b</w:t>
            </w:r>
            <w:r w:rsidRPr="00374785">
              <w:rPr>
                <w:color w:val="000000" w:themeColor="text1"/>
              </w:rPr>
              <w:t>.</w:t>
            </w:r>
          </w:p>
        </w:tc>
      </w:tr>
      <w:tr w:rsidR="00A06C1D" w:rsidRPr="00374785" w:rsidTr="00243677">
        <w:tc>
          <w:tcPr>
            <w:tcW w:w="1129" w:type="dxa"/>
            <w:vAlign w:val="center"/>
          </w:tcPr>
          <w:p w:rsidR="00A06C1D" w:rsidRPr="00374785" w:rsidRDefault="00A06C1D" w:rsidP="00A06C1D">
            <w:pPr>
              <w:pStyle w:val="tMain"/>
              <w:ind w:left="0" w:firstLine="0"/>
              <w:jc w:val="right"/>
              <w:rPr>
                <w:color w:val="000000" w:themeColor="text1"/>
              </w:rPr>
            </w:pPr>
            <m:oMathPara>
              <m:oMathParaPr>
                <m:jc m:val="right"/>
              </m:oMathParaPr>
              <m:oMath>
                <m:r>
                  <w:rPr>
                    <w:rFonts w:ascii="Cambria Math" w:hAnsi="Cambria Math"/>
                  </w:rPr>
                  <w:lastRenderedPageBreak/>
                  <m:t>n</m:t>
                </m:r>
                <m:r>
                  <m:rPr>
                    <m:sty m:val="bi"/>
                  </m:rPr>
                  <w:rPr>
                    <w:rFonts w:ascii="Cambria Math" w:hAnsi="Cambria Math" w:cs="Calibri"/>
                    <w:color w:val="000000" w:themeColor="text1"/>
                    <w:lang w:eastAsia="en-US"/>
                  </w:rPr>
                  <m:t>=</m:t>
                </m:r>
              </m:oMath>
            </m:oMathPara>
          </w:p>
        </w:tc>
        <w:tc>
          <w:tcPr>
            <w:tcW w:w="7149" w:type="dxa"/>
          </w:tcPr>
          <w:p w:rsidR="00A06C1D" w:rsidRPr="00374785" w:rsidRDefault="00A06C1D" w:rsidP="00A06C1D">
            <w:pPr>
              <w:pStyle w:val="tMain"/>
              <w:ind w:left="0" w:firstLine="0"/>
              <w:rPr>
                <w:color w:val="000000" w:themeColor="text1"/>
              </w:rPr>
            </w:pPr>
            <w:r w:rsidRPr="00374785">
              <w:rPr>
                <w:iCs/>
              </w:rPr>
              <w:t>total number of carbon estimation areas at the end of the current reporting period</w:t>
            </w:r>
            <w:r w:rsidRPr="00374785">
              <w:rPr>
                <w:color w:val="000000" w:themeColor="text1"/>
              </w:rPr>
              <w:t>.</w:t>
            </w:r>
          </w:p>
        </w:tc>
      </w:tr>
      <w:tr w:rsidR="00A06C1D" w:rsidRPr="00374785" w:rsidTr="00243677">
        <w:tc>
          <w:tcPr>
            <w:tcW w:w="1129" w:type="dxa"/>
            <w:vAlign w:val="center"/>
          </w:tcPr>
          <w:p w:rsidR="00A06C1D" w:rsidRPr="00374785" w:rsidRDefault="00A06C1D" w:rsidP="00A06C1D">
            <w:pPr>
              <w:pStyle w:val="tMain"/>
              <w:ind w:left="0" w:firstLine="0"/>
              <w:jc w:val="right"/>
              <w:rPr>
                <w:color w:val="000000" w:themeColor="text1"/>
              </w:rPr>
            </w:pPr>
            <w:r w:rsidRPr="00374785">
              <w:rPr>
                <w:i/>
                <w:color w:val="000000" w:themeColor="text1"/>
                <w:lang w:eastAsia="en-US"/>
              </w:rPr>
              <w:t>i</w:t>
            </w:r>
            <w:r w:rsidRPr="00374785">
              <w:rPr>
                <w:color w:val="000000" w:themeColor="text1"/>
                <w:lang w:eastAsia="en-US"/>
              </w:rPr>
              <w:t xml:space="preserve"> </w:t>
            </w:r>
            <m:oMath>
              <m:r>
                <m:rPr>
                  <m:sty m:val="bi"/>
                </m:rPr>
                <w:rPr>
                  <w:rFonts w:ascii="Cambria Math" w:hAnsi="Cambria Math" w:cs="Calibri"/>
                  <w:color w:val="000000" w:themeColor="text1"/>
                  <w:lang w:eastAsia="en-US"/>
                </w:rPr>
                <m:t>=</m:t>
              </m:r>
            </m:oMath>
          </w:p>
        </w:tc>
        <w:tc>
          <w:tcPr>
            <w:tcW w:w="7149" w:type="dxa"/>
          </w:tcPr>
          <w:p w:rsidR="00A06C1D" w:rsidRPr="00374785" w:rsidRDefault="00A06C1D" w:rsidP="00A06C1D">
            <w:pPr>
              <w:pStyle w:val="tMain"/>
              <w:ind w:left="0" w:firstLine="0"/>
              <w:rPr>
                <w:color w:val="000000" w:themeColor="text1"/>
              </w:rPr>
            </w:pPr>
            <w:r w:rsidRPr="00374785">
              <w:rPr>
                <w:i/>
                <w:color w:val="000000" w:themeColor="text1"/>
              </w:rPr>
              <w:t>i</w:t>
            </w:r>
            <w:r w:rsidRPr="00374785">
              <w:rPr>
                <w:color w:val="000000" w:themeColor="text1"/>
                <w:vertAlign w:val="superscript"/>
              </w:rPr>
              <w:t xml:space="preserve">th </w:t>
            </w:r>
            <w:r w:rsidRPr="00374785">
              <w:rPr>
                <w:color w:val="000000" w:themeColor="text1"/>
              </w:rPr>
              <w:t>carbon estimation area.</w:t>
            </w:r>
          </w:p>
        </w:tc>
      </w:tr>
    </w:tbl>
    <w:p w:rsidR="002B60C7" w:rsidRPr="00374785" w:rsidRDefault="007F3C0F" w:rsidP="003C3BBA">
      <w:pPr>
        <w:pStyle w:val="h5Section"/>
      </w:pPr>
      <w:bookmarkStart w:id="90" w:name="_Toc397681633"/>
      <w:r>
        <w:t>4.12</w:t>
      </w:r>
      <w:r w:rsidR="003C3BBA" w:rsidRPr="00374785">
        <w:tab/>
      </w:r>
      <w:r w:rsidR="002B60C7" w:rsidRPr="00374785">
        <w:t>Calculating carbon stock for carbon estimation area</w:t>
      </w:r>
      <w:bookmarkEnd w:id="90"/>
    </w:p>
    <w:p w:rsidR="00B12A6A" w:rsidRPr="00374785" w:rsidRDefault="00D73095" w:rsidP="00D73095">
      <w:pPr>
        <w:pStyle w:val="tMain"/>
        <w:rPr>
          <w:iCs/>
        </w:rPr>
      </w:pPr>
      <w:r>
        <w:tab/>
      </w:r>
      <w:r w:rsidR="00957FFB">
        <w:t>(1)</w:t>
      </w:r>
      <w:r>
        <w:tab/>
      </w:r>
      <w:r w:rsidR="00B12A6A" w:rsidRPr="00374785">
        <w:t xml:space="preserve">For each reporting period, the </w:t>
      </w:r>
      <w:r w:rsidR="00B12A6A">
        <w:t xml:space="preserve">initial </w:t>
      </w:r>
      <w:r w:rsidR="00B12A6A" w:rsidRPr="00374785">
        <w:t>carbon stock for a carbon estimation area</w:t>
      </w:r>
      <w:r w:rsidR="00B12A6A">
        <w:t xml:space="preserve"> must be calculated as</w:t>
      </w:r>
      <w:r w:rsidR="00B12A6A" w:rsidRPr="00374785">
        <w:t xml:space="preserve"> the sum of FullCAM outputs for carbon in the tree and debris pools determined in accordance with </w:t>
      </w:r>
      <w:r w:rsidR="00B34F30">
        <w:t>Subd</w:t>
      </w:r>
      <w:r w:rsidR="00B12A6A" w:rsidRPr="00374785">
        <w:t>ivision 4.2</w:t>
      </w:r>
      <w:r w:rsidR="00B34F30">
        <w:t>.2</w:t>
      </w:r>
      <w:r w:rsidR="00B12A6A" w:rsidRPr="00374785">
        <w:t>, and must be calculated using the following formula:</w:t>
      </w:r>
    </w:p>
    <w:tbl>
      <w:tblPr>
        <w:tblStyle w:val="TableGrid"/>
        <w:tblW w:w="0" w:type="auto"/>
        <w:tblInd w:w="964" w:type="dxa"/>
        <w:tblLook w:val="04A0"/>
      </w:tblPr>
      <w:tblGrid>
        <w:gridCol w:w="6374"/>
        <w:gridCol w:w="1904"/>
      </w:tblGrid>
      <w:tr w:rsidR="00B12A6A" w:rsidRPr="00374785" w:rsidTr="00B12A6A">
        <w:tc>
          <w:tcPr>
            <w:tcW w:w="6374" w:type="dxa"/>
          </w:tcPr>
          <w:p w:rsidR="00B12A6A" w:rsidRPr="00374785" w:rsidRDefault="0020376C" w:rsidP="00FC01A6">
            <w:pPr>
              <w:pStyle w:val="tMain"/>
              <w:spacing w:before="100" w:line="360" w:lineRule="auto"/>
              <w:ind w:left="0" w:firstLine="0"/>
              <w:rPr>
                <w:color w:val="76923C" w:themeColor="accent3" w:themeShade="BF"/>
              </w:rPr>
            </w:pPr>
            <m:oMathPara>
              <m:oMath>
                <m:sSub>
                  <m:sSubPr>
                    <m:ctrlPr>
                      <w:rPr>
                        <w:rFonts w:ascii="Cambria Math" w:hAnsi="Cambria Math"/>
                        <w:i/>
                      </w:rPr>
                    </m:ctrlPr>
                  </m:sSubPr>
                  <m:e>
                    <m:r>
                      <w:rPr>
                        <w:rFonts w:ascii="Cambria Math" w:hAnsi="Cambria Math"/>
                      </w:rPr>
                      <m:t>C</m:t>
                    </m:r>
                  </m:e>
                  <m:sub>
                    <m:r>
                      <w:rPr>
                        <w:rFonts w:ascii="Cambria Math" w:hAnsi="Cambria Math"/>
                      </w:rPr>
                      <m:t>Di</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Ddi</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Dti</m:t>
                        </m:r>
                      </m:sub>
                    </m:sSub>
                  </m:e>
                </m:d>
                <m:r>
                  <w:rPr>
                    <w:rFonts w:ascii="Cambria Math" w:hAnsi="Cambria Math"/>
                  </w:rPr>
                  <m:t xml:space="preserve"> × </m:t>
                </m:r>
                <m:sSub>
                  <m:sSubPr>
                    <m:ctrlPr>
                      <w:rPr>
                        <w:rFonts w:ascii="Cambria Math" w:hAnsi="Cambria Math"/>
                        <w:i/>
                      </w:rPr>
                    </m:ctrlPr>
                  </m:sSubPr>
                  <m:e>
                    <m:r>
                      <w:rPr>
                        <w:rFonts w:ascii="Cambria Math" w:hAnsi="Cambria Math"/>
                      </w:rPr>
                      <m:t>a</m:t>
                    </m:r>
                  </m:e>
                  <m:sub>
                    <m:r>
                      <w:rPr>
                        <w:rFonts w:ascii="Cambria Math" w:hAnsi="Cambria Math"/>
                      </w:rPr>
                      <m:t>i</m:t>
                    </m:r>
                  </m:sub>
                </m:sSub>
              </m:oMath>
            </m:oMathPara>
          </w:p>
        </w:tc>
        <w:tc>
          <w:tcPr>
            <w:tcW w:w="1904" w:type="dxa"/>
            <w:vAlign w:val="center"/>
          </w:tcPr>
          <w:p w:rsidR="00B12A6A" w:rsidRPr="00374785" w:rsidRDefault="00B12A6A" w:rsidP="00B12A6A">
            <w:pPr>
              <w:pStyle w:val="tMain"/>
              <w:ind w:left="0" w:firstLine="0"/>
              <w:jc w:val="center"/>
              <w:rPr>
                <w:b/>
                <w:color w:val="000000" w:themeColor="text1"/>
              </w:rPr>
            </w:pPr>
            <w:r w:rsidRPr="00374785">
              <w:rPr>
                <w:b/>
                <w:color w:val="000000" w:themeColor="text1"/>
              </w:rPr>
              <w:t>Equation 12</w:t>
            </w:r>
            <w:r>
              <w:rPr>
                <w:b/>
                <w:color w:val="000000" w:themeColor="text1"/>
              </w:rPr>
              <w:t>a</w:t>
            </w:r>
          </w:p>
        </w:tc>
      </w:tr>
    </w:tbl>
    <w:p w:rsidR="00B12A6A" w:rsidRPr="00374785" w:rsidRDefault="00B12A6A" w:rsidP="00B12A6A">
      <w:pPr>
        <w:pStyle w:val="tMain"/>
      </w:pPr>
      <w:r w:rsidRPr="00374785">
        <w:tab/>
      </w:r>
      <w:r w:rsidRPr="00374785">
        <w:tab/>
        <w:t>Where:</w:t>
      </w:r>
    </w:p>
    <w:tbl>
      <w:tblPr>
        <w:tblStyle w:val="TableGrid"/>
        <w:tblW w:w="0" w:type="auto"/>
        <w:tblInd w:w="964" w:type="dxa"/>
        <w:tblLook w:val="04A0"/>
      </w:tblPr>
      <w:tblGrid>
        <w:gridCol w:w="1129"/>
        <w:gridCol w:w="7149"/>
      </w:tblGrid>
      <w:tr w:rsidR="00B12A6A" w:rsidRPr="00374785" w:rsidTr="00243677">
        <w:tc>
          <w:tcPr>
            <w:tcW w:w="1129" w:type="dxa"/>
            <w:vAlign w:val="center"/>
          </w:tcPr>
          <w:p w:rsidR="00B12A6A" w:rsidRPr="00374785" w:rsidRDefault="0020376C" w:rsidP="00FC01A6">
            <w:pPr>
              <w:pStyle w:val="tMain"/>
              <w:ind w:left="0" w:firstLine="0"/>
              <w:jc w:val="right"/>
              <w:rPr>
                <w:color w:val="000000" w:themeColor="text1"/>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Di</m:t>
                    </m:r>
                  </m:sub>
                </m:sSub>
                <m:r>
                  <m:rPr>
                    <m:sty m:val="bi"/>
                  </m:rPr>
                  <w:rPr>
                    <w:rFonts w:ascii="Cambria Math" w:hAnsi="Cambria Math" w:cs="Calibri"/>
                    <w:color w:val="000000" w:themeColor="text1"/>
                    <w:lang w:eastAsia="en-US"/>
                  </w:rPr>
                  <m:t>=</m:t>
                </m:r>
              </m:oMath>
            </m:oMathPara>
          </w:p>
        </w:tc>
        <w:tc>
          <w:tcPr>
            <w:tcW w:w="7149" w:type="dxa"/>
          </w:tcPr>
          <w:p w:rsidR="00B12A6A" w:rsidRPr="00374785" w:rsidRDefault="007017BE" w:rsidP="007017BE">
            <w:pPr>
              <w:pStyle w:val="tMain"/>
              <w:ind w:left="0" w:firstLine="0"/>
              <w:rPr>
                <w:color w:val="000000" w:themeColor="text1"/>
              </w:rPr>
            </w:pPr>
            <w:r>
              <w:rPr>
                <w:color w:val="000000" w:themeColor="text1"/>
              </w:rPr>
              <w:t xml:space="preserve">initial </w:t>
            </w:r>
            <w:r w:rsidR="00B12A6A" w:rsidRPr="00374785">
              <w:rPr>
                <w:color w:val="000000" w:themeColor="text1"/>
              </w:rPr>
              <w:t xml:space="preserve">carbon stock for the </w:t>
            </w:r>
            <m:oMath>
              <m:r>
                <w:rPr>
                  <w:rFonts w:ascii="Cambria Math" w:hAnsi="Cambria Math"/>
                  <w:color w:val="000000" w:themeColor="text1"/>
                </w:rPr>
                <m:t>i</m:t>
              </m:r>
            </m:oMath>
            <w:r w:rsidR="00B12A6A" w:rsidRPr="00374785">
              <w:rPr>
                <w:color w:val="000000" w:themeColor="text1"/>
                <w:vertAlign w:val="superscript"/>
              </w:rPr>
              <w:t>th</w:t>
            </w:r>
            <w:r w:rsidR="00B12A6A" w:rsidRPr="00374785">
              <w:rPr>
                <w:color w:val="000000" w:themeColor="text1"/>
              </w:rPr>
              <w:t xml:space="preserve"> carbon estimation area </w:t>
            </w:r>
            <w:r w:rsidR="00B12A6A" w:rsidRPr="00374785">
              <w:rPr>
                <w:iCs/>
              </w:rPr>
              <w:t xml:space="preserve">at the </w:t>
            </w:r>
            <w:r>
              <w:rPr>
                <w:iCs/>
              </w:rPr>
              <w:t>beginning of the first</w:t>
            </w:r>
            <w:r w:rsidR="00B12A6A" w:rsidRPr="00374785">
              <w:rPr>
                <w:iCs/>
              </w:rPr>
              <w:t xml:space="preserve"> reporting period (in tonnes C)</w:t>
            </w:r>
            <w:r w:rsidR="00B12A6A" w:rsidRPr="00374785">
              <w:rPr>
                <w:color w:val="000000" w:themeColor="text1"/>
              </w:rPr>
              <w:t>.</w:t>
            </w:r>
          </w:p>
        </w:tc>
      </w:tr>
      <w:tr w:rsidR="00B12A6A" w:rsidRPr="00374785" w:rsidTr="00243677">
        <w:tc>
          <w:tcPr>
            <w:tcW w:w="1129" w:type="dxa"/>
            <w:vAlign w:val="center"/>
          </w:tcPr>
          <w:p w:rsidR="00B12A6A" w:rsidRPr="00374785" w:rsidRDefault="0020376C" w:rsidP="00FC01A6">
            <w:pPr>
              <w:pStyle w:val="tMain"/>
              <w:ind w:left="0" w:firstLine="0"/>
              <w:jc w:val="right"/>
              <w:rPr>
                <w:color w:val="000000" w:themeColor="text1"/>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Ddi</m:t>
                    </m:r>
                  </m:sub>
                </m:sSub>
                <m:r>
                  <m:rPr>
                    <m:sty m:val="bi"/>
                  </m:rPr>
                  <w:rPr>
                    <w:rFonts w:ascii="Cambria Math" w:hAnsi="Cambria Math" w:cs="Calibri"/>
                    <w:color w:val="000000" w:themeColor="text1"/>
                    <w:lang w:eastAsia="en-US"/>
                  </w:rPr>
                  <m:t>=</m:t>
                </m:r>
              </m:oMath>
            </m:oMathPara>
          </w:p>
        </w:tc>
        <w:tc>
          <w:tcPr>
            <w:tcW w:w="7149" w:type="dxa"/>
          </w:tcPr>
          <w:p w:rsidR="00B12A6A" w:rsidRPr="00374785" w:rsidRDefault="007017BE" w:rsidP="00FC01A6">
            <w:pPr>
              <w:pStyle w:val="tMain"/>
              <w:ind w:left="0" w:firstLine="0"/>
              <w:rPr>
                <w:color w:val="000000" w:themeColor="text1"/>
              </w:rPr>
            </w:pPr>
            <w:r>
              <w:rPr>
                <w:color w:val="000000" w:themeColor="text1"/>
              </w:rPr>
              <w:t xml:space="preserve">initial </w:t>
            </w:r>
            <w:r w:rsidR="00B12A6A" w:rsidRPr="00374785">
              <w:rPr>
                <w:iCs/>
              </w:rPr>
              <w:t xml:space="preserve">carbon stock in debris </w:t>
            </w:r>
            <w:r w:rsidR="00B12A6A" w:rsidRPr="00374785">
              <w:rPr>
                <w:color w:val="000000" w:themeColor="text1"/>
              </w:rPr>
              <w:t xml:space="preserve">for the </w:t>
            </w:r>
            <m:oMath>
              <m:r>
                <w:rPr>
                  <w:rFonts w:ascii="Cambria Math" w:hAnsi="Cambria Math"/>
                  <w:color w:val="000000" w:themeColor="text1"/>
                </w:rPr>
                <m:t>i</m:t>
              </m:r>
            </m:oMath>
            <w:r w:rsidR="00B12A6A" w:rsidRPr="00374785">
              <w:rPr>
                <w:color w:val="000000" w:themeColor="text1"/>
                <w:vertAlign w:val="superscript"/>
              </w:rPr>
              <w:t>th</w:t>
            </w:r>
            <w:r w:rsidR="00B12A6A" w:rsidRPr="00374785">
              <w:rPr>
                <w:color w:val="000000" w:themeColor="text1"/>
              </w:rPr>
              <w:t xml:space="preserve"> carbon estimation area determined using FullCAM </w:t>
            </w:r>
            <w:r w:rsidRPr="00374785">
              <w:rPr>
                <w:iCs/>
              </w:rPr>
              <w:t xml:space="preserve">at the </w:t>
            </w:r>
            <w:r w:rsidR="0014573E">
              <w:rPr>
                <w:iCs/>
              </w:rPr>
              <w:t xml:space="preserve">declaration date </w:t>
            </w:r>
            <m:oMath>
              <m:r>
                <w:rPr>
                  <w:rFonts w:ascii="Cambria Math" w:hAnsi="Cambria Math"/>
                </w:rPr>
                <m:t>D</m:t>
              </m:r>
            </m:oMath>
            <w:r w:rsidR="00B12A6A" w:rsidRPr="00374785">
              <w:rPr>
                <w:iCs/>
              </w:rPr>
              <w:t xml:space="preserve"> (in tonnes C per hectare)</w:t>
            </w:r>
            <w:r w:rsidR="00B12A6A" w:rsidRPr="00374785">
              <w:rPr>
                <w:color w:val="000000" w:themeColor="text1"/>
              </w:rPr>
              <w:t>.</w:t>
            </w:r>
          </w:p>
        </w:tc>
      </w:tr>
      <w:tr w:rsidR="00B12A6A" w:rsidRPr="00374785" w:rsidTr="00243677">
        <w:tc>
          <w:tcPr>
            <w:tcW w:w="1129" w:type="dxa"/>
            <w:vAlign w:val="center"/>
          </w:tcPr>
          <w:p w:rsidR="00B12A6A" w:rsidRPr="00374785" w:rsidRDefault="0020376C" w:rsidP="00FC01A6">
            <w:pPr>
              <w:pStyle w:val="tMain"/>
              <w:ind w:left="0" w:firstLine="0"/>
              <w:jc w:val="right"/>
              <w:rPr>
                <w:color w:val="000000" w:themeColor="text1"/>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Dti</m:t>
                    </m:r>
                  </m:sub>
                </m:sSub>
                <m:r>
                  <m:rPr>
                    <m:sty m:val="bi"/>
                  </m:rPr>
                  <w:rPr>
                    <w:rFonts w:ascii="Cambria Math" w:hAnsi="Cambria Math" w:cs="Calibri"/>
                    <w:color w:val="000000" w:themeColor="text1"/>
                    <w:lang w:eastAsia="en-US"/>
                  </w:rPr>
                  <m:t>=</m:t>
                </m:r>
              </m:oMath>
            </m:oMathPara>
          </w:p>
        </w:tc>
        <w:tc>
          <w:tcPr>
            <w:tcW w:w="7149" w:type="dxa"/>
          </w:tcPr>
          <w:p w:rsidR="00B12A6A" w:rsidRPr="00374785" w:rsidRDefault="000520AE" w:rsidP="00FC01A6">
            <w:pPr>
              <w:pStyle w:val="tMain"/>
              <w:ind w:left="0" w:firstLine="0"/>
              <w:rPr>
                <w:color w:val="000000" w:themeColor="text1"/>
              </w:rPr>
            </w:pPr>
            <w:r>
              <w:rPr>
                <w:color w:val="000000" w:themeColor="text1"/>
              </w:rPr>
              <w:t>initial</w:t>
            </w:r>
            <w:r w:rsidRPr="00374785">
              <w:rPr>
                <w:iCs/>
              </w:rPr>
              <w:t xml:space="preserve"> </w:t>
            </w:r>
            <w:r w:rsidR="00B12A6A" w:rsidRPr="00374785">
              <w:rPr>
                <w:iCs/>
              </w:rPr>
              <w:t xml:space="preserve">carbon stock </w:t>
            </w:r>
            <w:r>
              <w:rPr>
                <w:iCs/>
              </w:rPr>
              <w:t>in</w:t>
            </w:r>
            <w:r w:rsidR="00B12A6A" w:rsidRPr="00374785">
              <w:rPr>
                <w:iCs/>
              </w:rPr>
              <w:t xml:space="preserve"> tree</w:t>
            </w:r>
            <w:r>
              <w:rPr>
                <w:iCs/>
              </w:rPr>
              <w:t xml:space="preserve">s </w:t>
            </w:r>
            <w:r w:rsidR="00B12A6A" w:rsidRPr="00374785">
              <w:rPr>
                <w:color w:val="000000" w:themeColor="text1"/>
              </w:rPr>
              <w:t xml:space="preserve">for the </w:t>
            </w:r>
            <m:oMath>
              <m:r>
                <w:rPr>
                  <w:rFonts w:ascii="Cambria Math" w:hAnsi="Cambria Math"/>
                  <w:color w:val="000000" w:themeColor="text1"/>
                </w:rPr>
                <m:t>i</m:t>
              </m:r>
            </m:oMath>
            <w:r w:rsidR="00B12A6A" w:rsidRPr="00374785">
              <w:rPr>
                <w:color w:val="000000" w:themeColor="text1"/>
                <w:vertAlign w:val="superscript"/>
              </w:rPr>
              <w:t>th</w:t>
            </w:r>
            <w:r w:rsidR="00B12A6A" w:rsidRPr="00374785">
              <w:rPr>
                <w:color w:val="000000" w:themeColor="text1"/>
              </w:rPr>
              <w:t xml:space="preserve"> carbon estimation area determined using FullCAM </w:t>
            </w:r>
            <w:r w:rsidR="007017BE" w:rsidRPr="00374785">
              <w:rPr>
                <w:iCs/>
              </w:rPr>
              <w:t>at the</w:t>
            </w:r>
            <w:r w:rsidR="0014573E">
              <w:rPr>
                <w:iCs/>
              </w:rPr>
              <w:t xml:space="preserve"> declaration date</w:t>
            </w:r>
            <w:r w:rsidR="007017BE" w:rsidRPr="00374785">
              <w:rPr>
                <w:iCs/>
              </w:rPr>
              <w:t xml:space="preserve"> </w:t>
            </w:r>
            <m:oMath>
              <m:r>
                <w:rPr>
                  <w:rFonts w:ascii="Cambria Math" w:hAnsi="Cambria Math"/>
                </w:rPr>
                <m:t>D</m:t>
              </m:r>
            </m:oMath>
            <w:r w:rsidR="00B12A6A" w:rsidRPr="00374785">
              <w:rPr>
                <w:iCs/>
              </w:rPr>
              <w:t xml:space="preserve"> (in tonnes C per hectare)</w:t>
            </w:r>
            <w:r w:rsidR="00B12A6A" w:rsidRPr="00374785">
              <w:rPr>
                <w:color w:val="000000" w:themeColor="text1"/>
              </w:rPr>
              <w:t>.</w:t>
            </w:r>
          </w:p>
        </w:tc>
      </w:tr>
      <w:tr w:rsidR="00B12A6A" w:rsidRPr="00374785" w:rsidTr="00243677">
        <w:tc>
          <w:tcPr>
            <w:tcW w:w="1129" w:type="dxa"/>
            <w:vAlign w:val="center"/>
          </w:tcPr>
          <w:p w:rsidR="00B12A6A" w:rsidRPr="00374785" w:rsidRDefault="0020376C" w:rsidP="00B12A6A">
            <w:pPr>
              <w:pStyle w:val="tMain"/>
              <w:ind w:left="0" w:firstLine="0"/>
              <w:jc w:val="right"/>
              <w:rPr>
                <w:color w:val="000000" w:themeColor="text1"/>
              </w:rPr>
            </w:pPr>
            <m:oMath>
              <m:sSub>
                <m:sSubPr>
                  <m:ctrlPr>
                    <w:rPr>
                      <w:rFonts w:ascii="Cambria Math" w:hAnsi="Cambria Math"/>
                      <w:i/>
                    </w:rPr>
                  </m:ctrlPr>
                </m:sSubPr>
                <m:e>
                  <m:r>
                    <w:rPr>
                      <w:rFonts w:ascii="Cambria Math" w:hAnsi="Cambria Math"/>
                    </w:rPr>
                    <m:t>a</m:t>
                  </m:r>
                </m:e>
                <m:sub>
                  <m:r>
                    <w:rPr>
                      <w:rFonts w:ascii="Cambria Math" w:hAnsi="Cambria Math"/>
                    </w:rPr>
                    <m:t>i</m:t>
                  </m:r>
                </m:sub>
              </m:sSub>
            </m:oMath>
            <w:r w:rsidR="00B12A6A" w:rsidRPr="00374785">
              <w:rPr>
                <w:color w:val="000000" w:themeColor="text1"/>
                <w:lang w:eastAsia="en-US"/>
              </w:rPr>
              <w:t xml:space="preserve"> </w:t>
            </w:r>
            <m:oMath>
              <m:r>
                <m:rPr>
                  <m:sty m:val="bi"/>
                </m:rPr>
                <w:rPr>
                  <w:rFonts w:ascii="Cambria Math" w:hAnsi="Cambria Math" w:cs="Calibri"/>
                  <w:color w:val="000000" w:themeColor="text1"/>
                  <w:lang w:eastAsia="en-US"/>
                </w:rPr>
                <m:t>=</m:t>
              </m:r>
            </m:oMath>
          </w:p>
        </w:tc>
        <w:tc>
          <w:tcPr>
            <w:tcW w:w="7149" w:type="dxa"/>
          </w:tcPr>
          <w:p w:rsidR="00B12A6A" w:rsidRPr="00374785" w:rsidRDefault="00B12A6A" w:rsidP="00FC01A6">
            <w:pPr>
              <w:pStyle w:val="tMain"/>
              <w:ind w:left="0" w:firstLine="0"/>
              <w:rPr>
                <w:color w:val="000000" w:themeColor="text1"/>
              </w:rPr>
            </w:pPr>
            <w:r w:rsidRPr="00374785">
              <w:rPr>
                <w:color w:val="000000" w:themeColor="text1"/>
              </w:rPr>
              <w:t xml:space="preserve">area of the </w:t>
            </w:r>
            <w:r w:rsidRPr="00374785">
              <w:rPr>
                <w:i/>
                <w:color w:val="000000" w:themeColor="text1"/>
              </w:rPr>
              <w:t>i</w:t>
            </w:r>
            <w:r w:rsidRPr="00374785">
              <w:rPr>
                <w:color w:val="000000" w:themeColor="text1"/>
                <w:vertAlign w:val="superscript"/>
              </w:rPr>
              <w:t xml:space="preserve">th </w:t>
            </w:r>
            <w:r w:rsidRPr="00374785">
              <w:rPr>
                <w:color w:val="000000" w:themeColor="text1"/>
              </w:rPr>
              <w:t>carbon estimation area</w:t>
            </w:r>
            <w:r w:rsidR="00FC01A6">
              <w:rPr>
                <w:color w:val="000000" w:themeColor="text1"/>
              </w:rPr>
              <w:t xml:space="preserve"> </w:t>
            </w:r>
            <w:r w:rsidR="00FC01A6" w:rsidRPr="00374785">
              <w:rPr>
                <w:color w:val="000000" w:themeColor="text1"/>
              </w:rPr>
              <w:t>(in hectares)</w:t>
            </w:r>
            <w:r w:rsidRPr="00374785">
              <w:rPr>
                <w:color w:val="000000" w:themeColor="text1"/>
              </w:rPr>
              <w:t>.</w:t>
            </w:r>
          </w:p>
        </w:tc>
      </w:tr>
      <w:tr w:rsidR="00B12A6A" w:rsidRPr="00374785" w:rsidTr="00243677">
        <w:tc>
          <w:tcPr>
            <w:tcW w:w="1129" w:type="dxa"/>
            <w:vAlign w:val="center"/>
          </w:tcPr>
          <w:p w:rsidR="00B12A6A" w:rsidRPr="00374785" w:rsidRDefault="00B12A6A" w:rsidP="00B12A6A">
            <w:pPr>
              <w:pStyle w:val="tMain"/>
              <w:ind w:left="0" w:firstLine="0"/>
              <w:jc w:val="right"/>
              <w:rPr>
                <w:color w:val="000000" w:themeColor="text1"/>
              </w:rPr>
            </w:pPr>
            <w:r w:rsidRPr="00374785">
              <w:rPr>
                <w:i/>
                <w:color w:val="000000" w:themeColor="text1"/>
                <w:lang w:eastAsia="en-US"/>
              </w:rPr>
              <w:t>i</w:t>
            </w:r>
            <w:r w:rsidRPr="00374785">
              <w:rPr>
                <w:color w:val="000000" w:themeColor="text1"/>
                <w:lang w:eastAsia="en-US"/>
              </w:rPr>
              <w:t xml:space="preserve"> </w:t>
            </w:r>
            <m:oMath>
              <m:r>
                <m:rPr>
                  <m:sty m:val="bi"/>
                </m:rPr>
                <w:rPr>
                  <w:rFonts w:ascii="Cambria Math" w:hAnsi="Cambria Math" w:cs="Calibri"/>
                  <w:color w:val="000000" w:themeColor="text1"/>
                  <w:lang w:eastAsia="en-US"/>
                </w:rPr>
                <m:t>=</m:t>
              </m:r>
            </m:oMath>
          </w:p>
        </w:tc>
        <w:tc>
          <w:tcPr>
            <w:tcW w:w="7149" w:type="dxa"/>
          </w:tcPr>
          <w:p w:rsidR="00B12A6A" w:rsidRPr="00374785" w:rsidRDefault="00B12A6A" w:rsidP="00B12A6A">
            <w:pPr>
              <w:pStyle w:val="tMain"/>
              <w:ind w:left="0" w:firstLine="0"/>
              <w:rPr>
                <w:color w:val="000000" w:themeColor="text1"/>
              </w:rPr>
            </w:pPr>
            <w:r w:rsidRPr="00374785">
              <w:rPr>
                <w:i/>
                <w:color w:val="000000" w:themeColor="text1"/>
              </w:rPr>
              <w:t>i</w:t>
            </w:r>
            <w:r w:rsidRPr="00374785">
              <w:rPr>
                <w:color w:val="000000" w:themeColor="text1"/>
                <w:vertAlign w:val="superscript"/>
              </w:rPr>
              <w:t xml:space="preserve">th </w:t>
            </w:r>
            <w:r w:rsidRPr="00374785">
              <w:rPr>
                <w:color w:val="000000" w:themeColor="text1"/>
              </w:rPr>
              <w:t>carbon estimation area.</w:t>
            </w:r>
          </w:p>
        </w:tc>
      </w:tr>
    </w:tbl>
    <w:p w:rsidR="00D73095" w:rsidRDefault="009F108E" w:rsidP="009F108E">
      <w:pPr>
        <w:pStyle w:val="tMain"/>
        <w:rPr>
          <w:iCs/>
        </w:rPr>
      </w:pPr>
      <w:r>
        <w:tab/>
      </w:r>
      <w:r w:rsidR="00957FFB">
        <w:t>(2)</w:t>
      </w:r>
      <w:r>
        <w:tab/>
      </w:r>
      <w:r w:rsidR="005D58C8" w:rsidRPr="00374785">
        <w:t>For each reporting period, t</w:t>
      </w:r>
      <w:r w:rsidR="003C3BBA" w:rsidRPr="00374785">
        <w:t xml:space="preserve">he carbon </w:t>
      </w:r>
      <w:r w:rsidR="00F9694F" w:rsidRPr="00374785">
        <w:t>stock</w:t>
      </w:r>
      <w:r w:rsidR="003C3BBA" w:rsidRPr="00374785">
        <w:t xml:space="preserve"> for a carbon estimation area </w:t>
      </w:r>
      <w:r w:rsidR="00B12A6A">
        <w:t>must be calculated as</w:t>
      </w:r>
      <w:r w:rsidR="00B12A6A" w:rsidRPr="00374785">
        <w:t xml:space="preserve"> </w:t>
      </w:r>
      <w:r w:rsidR="003C3BBA" w:rsidRPr="00374785">
        <w:t>the sum of FullCAM outputs for carbon in</w:t>
      </w:r>
      <w:r w:rsidR="00F9694F" w:rsidRPr="00374785">
        <w:t xml:space="preserve"> the</w:t>
      </w:r>
      <w:r w:rsidR="003C3BBA" w:rsidRPr="00374785">
        <w:t xml:space="preserve"> tree and debris pools</w:t>
      </w:r>
      <w:r w:rsidR="00F9694F" w:rsidRPr="00374785">
        <w:t xml:space="preserve"> determined in accordance with </w:t>
      </w:r>
      <w:r w:rsidR="00BA5FD2">
        <w:t>Subd</w:t>
      </w:r>
      <w:r w:rsidR="00F9694F" w:rsidRPr="00374785">
        <w:t>ivision 4.2</w:t>
      </w:r>
      <w:r w:rsidR="00BA5FD2">
        <w:t>.2</w:t>
      </w:r>
      <w:r w:rsidR="003C3BBA" w:rsidRPr="00374785">
        <w:t>, and must be calculated using the following formula:</w:t>
      </w:r>
    </w:p>
    <w:tbl>
      <w:tblPr>
        <w:tblStyle w:val="TableGrid"/>
        <w:tblW w:w="0" w:type="auto"/>
        <w:tblInd w:w="964" w:type="dxa"/>
        <w:tblLook w:val="04A0"/>
      </w:tblPr>
      <w:tblGrid>
        <w:gridCol w:w="6374"/>
        <w:gridCol w:w="1904"/>
      </w:tblGrid>
      <w:tr w:rsidR="003C3BBA" w:rsidRPr="00374785" w:rsidTr="003C3BBA">
        <w:tc>
          <w:tcPr>
            <w:tcW w:w="6374" w:type="dxa"/>
          </w:tcPr>
          <w:p w:rsidR="003C3BBA" w:rsidRPr="00374785" w:rsidRDefault="0020376C" w:rsidP="006C05CB">
            <w:pPr>
              <w:pStyle w:val="tMain"/>
              <w:spacing w:before="100" w:line="360" w:lineRule="auto"/>
              <w:ind w:left="0" w:firstLine="0"/>
              <w:rPr>
                <w:color w:val="76923C" w:themeColor="accent3" w:themeShade="BF"/>
              </w:rPr>
            </w:pPr>
            <m:oMathPara>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di</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ti</m:t>
                        </m:r>
                      </m:sub>
                    </m:sSub>
                  </m:e>
                </m:d>
                <m:r>
                  <w:rPr>
                    <w:rFonts w:ascii="Cambria Math" w:hAnsi="Cambria Math"/>
                  </w:rPr>
                  <m:t xml:space="preserve"> × </m:t>
                </m:r>
                <m:sSub>
                  <m:sSubPr>
                    <m:ctrlPr>
                      <w:rPr>
                        <w:rFonts w:ascii="Cambria Math" w:hAnsi="Cambria Math"/>
                        <w:i/>
                      </w:rPr>
                    </m:ctrlPr>
                  </m:sSubPr>
                  <m:e>
                    <m:r>
                      <w:rPr>
                        <w:rFonts w:ascii="Cambria Math" w:hAnsi="Cambria Math"/>
                      </w:rPr>
                      <m:t>a</m:t>
                    </m:r>
                  </m:e>
                  <m:sub>
                    <m:r>
                      <w:rPr>
                        <w:rFonts w:ascii="Cambria Math" w:hAnsi="Cambria Math"/>
                      </w:rPr>
                      <m:t>i</m:t>
                    </m:r>
                  </m:sub>
                </m:sSub>
              </m:oMath>
            </m:oMathPara>
          </w:p>
        </w:tc>
        <w:tc>
          <w:tcPr>
            <w:tcW w:w="1904" w:type="dxa"/>
            <w:vAlign w:val="center"/>
          </w:tcPr>
          <w:p w:rsidR="003C3BBA" w:rsidRPr="00374785" w:rsidRDefault="003C3BBA" w:rsidP="003C3BBA">
            <w:pPr>
              <w:pStyle w:val="tMain"/>
              <w:ind w:left="0" w:firstLine="0"/>
              <w:jc w:val="center"/>
              <w:rPr>
                <w:b/>
                <w:color w:val="000000" w:themeColor="text1"/>
              </w:rPr>
            </w:pPr>
            <w:r w:rsidRPr="00374785">
              <w:rPr>
                <w:b/>
                <w:color w:val="000000" w:themeColor="text1"/>
              </w:rPr>
              <w:t>Equation 12</w:t>
            </w:r>
            <w:r w:rsidR="00B12A6A">
              <w:rPr>
                <w:b/>
                <w:color w:val="000000" w:themeColor="text1"/>
              </w:rPr>
              <w:t>b</w:t>
            </w:r>
          </w:p>
        </w:tc>
      </w:tr>
    </w:tbl>
    <w:p w:rsidR="003C3BBA" w:rsidRPr="00374785" w:rsidRDefault="003C3BBA" w:rsidP="003C3BBA">
      <w:pPr>
        <w:pStyle w:val="tMain"/>
      </w:pPr>
      <w:r w:rsidRPr="00374785">
        <w:tab/>
      </w:r>
      <w:r w:rsidRPr="00374785">
        <w:tab/>
        <w:t>Where:</w:t>
      </w:r>
    </w:p>
    <w:tbl>
      <w:tblPr>
        <w:tblStyle w:val="TableGrid"/>
        <w:tblW w:w="0" w:type="auto"/>
        <w:tblInd w:w="964" w:type="dxa"/>
        <w:tblLook w:val="04A0"/>
      </w:tblPr>
      <w:tblGrid>
        <w:gridCol w:w="1129"/>
        <w:gridCol w:w="7149"/>
      </w:tblGrid>
      <w:tr w:rsidR="003C3BBA" w:rsidRPr="00374785" w:rsidTr="00243677">
        <w:tc>
          <w:tcPr>
            <w:tcW w:w="1129" w:type="dxa"/>
            <w:vAlign w:val="center"/>
          </w:tcPr>
          <w:p w:rsidR="003C3BBA" w:rsidRPr="00374785" w:rsidRDefault="0020376C" w:rsidP="006C05CB">
            <w:pPr>
              <w:pStyle w:val="tMain"/>
              <w:ind w:left="0" w:firstLine="0"/>
              <w:jc w:val="right"/>
              <w:rPr>
                <w:color w:val="000000" w:themeColor="text1"/>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i</m:t>
                    </m:r>
                  </m:sub>
                </m:sSub>
                <m:r>
                  <m:rPr>
                    <m:sty m:val="bi"/>
                  </m:rPr>
                  <w:rPr>
                    <w:rFonts w:ascii="Cambria Math" w:hAnsi="Cambria Math" w:cs="Calibri"/>
                    <w:color w:val="000000" w:themeColor="text1"/>
                    <w:lang w:eastAsia="en-US"/>
                  </w:rPr>
                  <m:t>=</m:t>
                </m:r>
              </m:oMath>
            </m:oMathPara>
          </w:p>
        </w:tc>
        <w:tc>
          <w:tcPr>
            <w:tcW w:w="7149" w:type="dxa"/>
          </w:tcPr>
          <w:p w:rsidR="003C3BBA" w:rsidRPr="00374785" w:rsidRDefault="003C3BBA" w:rsidP="00B630D8">
            <w:pPr>
              <w:pStyle w:val="tMain"/>
              <w:ind w:left="0" w:firstLine="0"/>
              <w:rPr>
                <w:color w:val="000000" w:themeColor="text1"/>
              </w:rPr>
            </w:pPr>
            <w:r w:rsidRPr="00374785">
              <w:rPr>
                <w:color w:val="000000" w:themeColor="text1"/>
              </w:rPr>
              <w:t xml:space="preserve">carbon stock for the </w:t>
            </w:r>
            <m:oMath>
              <m:r>
                <w:rPr>
                  <w:rFonts w:ascii="Cambria Math" w:hAnsi="Cambria Math"/>
                  <w:color w:val="000000" w:themeColor="text1"/>
                </w:rPr>
                <m:t>i</m:t>
              </m:r>
            </m:oMath>
            <w:r w:rsidRPr="00374785">
              <w:rPr>
                <w:color w:val="000000" w:themeColor="text1"/>
                <w:vertAlign w:val="superscript"/>
              </w:rPr>
              <w:t>th</w:t>
            </w:r>
            <w:r w:rsidRPr="00374785">
              <w:rPr>
                <w:color w:val="000000" w:themeColor="text1"/>
              </w:rPr>
              <w:t xml:space="preserve"> carbon estimation area </w:t>
            </w:r>
            <w:r w:rsidRPr="00374785">
              <w:rPr>
                <w:iCs/>
              </w:rPr>
              <w:t>at the end of the current reporting period (in tonnes C)</w:t>
            </w:r>
            <w:r w:rsidRPr="00374785">
              <w:rPr>
                <w:color w:val="000000" w:themeColor="text1"/>
              </w:rPr>
              <w:t>.</w:t>
            </w:r>
          </w:p>
        </w:tc>
      </w:tr>
      <w:tr w:rsidR="00B630D8" w:rsidRPr="00374785" w:rsidTr="00243677">
        <w:tc>
          <w:tcPr>
            <w:tcW w:w="1129" w:type="dxa"/>
            <w:vAlign w:val="center"/>
          </w:tcPr>
          <w:p w:rsidR="00B630D8" w:rsidRPr="00374785" w:rsidRDefault="0020376C" w:rsidP="00E11AAC">
            <w:pPr>
              <w:pStyle w:val="tMain"/>
              <w:ind w:left="0" w:firstLine="0"/>
              <w:jc w:val="right"/>
              <w:rPr>
                <w:color w:val="000000" w:themeColor="text1"/>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di</m:t>
                    </m:r>
                  </m:sub>
                </m:sSub>
                <m:r>
                  <m:rPr>
                    <m:sty m:val="bi"/>
                  </m:rPr>
                  <w:rPr>
                    <w:rFonts w:ascii="Cambria Math" w:hAnsi="Cambria Math" w:cs="Calibri"/>
                    <w:color w:val="000000" w:themeColor="text1"/>
                    <w:lang w:eastAsia="en-US"/>
                  </w:rPr>
                  <m:t>=</m:t>
                </m:r>
              </m:oMath>
            </m:oMathPara>
          </w:p>
        </w:tc>
        <w:tc>
          <w:tcPr>
            <w:tcW w:w="7149" w:type="dxa"/>
          </w:tcPr>
          <w:p w:rsidR="00B630D8" w:rsidRPr="00374785" w:rsidRDefault="00B630D8" w:rsidP="000520AE">
            <w:pPr>
              <w:pStyle w:val="tMain"/>
              <w:ind w:left="0" w:firstLine="0"/>
              <w:rPr>
                <w:color w:val="000000" w:themeColor="text1"/>
              </w:rPr>
            </w:pPr>
            <w:r w:rsidRPr="00374785">
              <w:rPr>
                <w:iCs/>
              </w:rPr>
              <w:t xml:space="preserve">carbon stock in debris </w:t>
            </w:r>
            <w:r w:rsidRPr="00374785">
              <w:rPr>
                <w:color w:val="000000" w:themeColor="text1"/>
              </w:rPr>
              <w:t xml:space="preserve">for the </w:t>
            </w:r>
            <m:oMath>
              <m:r>
                <w:rPr>
                  <w:rFonts w:ascii="Cambria Math" w:hAnsi="Cambria Math"/>
                  <w:color w:val="000000" w:themeColor="text1"/>
                </w:rPr>
                <m:t>i</m:t>
              </m:r>
            </m:oMath>
            <w:r w:rsidRPr="00374785">
              <w:rPr>
                <w:color w:val="000000" w:themeColor="text1"/>
                <w:vertAlign w:val="superscript"/>
              </w:rPr>
              <w:t>th</w:t>
            </w:r>
            <w:r w:rsidRPr="00374785">
              <w:rPr>
                <w:color w:val="000000" w:themeColor="text1"/>
              </w:rPr>
              <w:t xml:space="preserve"> carbon estimation area determined using FullCAM for the final month of </w:t>
            </w:r>
            <w:r w:rsidR="00A21954">
              <w:rPr>
                <w:color w:val="000000" w:themeColor="text1"/>
              </w:rPr>
              <w:t>the</w:t>
            </w:r>
            <w:r w:rsidR="00A21954" w:rsidRPr="00374785">
              <w:rPr>
                <w:color w:val="000000" w:themeColor="text1"/>
              </w:rPr>
              <w:t xml:space="preserve"> </w:t>
            </w:r>
            <w:r w:rsidRPr="00374785">
              <w:rPr>
                <w:iCs/>
              </w:rPr>
              <w:t>reporting period (in tonnes C per hectare)</w:t>
            </w:r>
            <w:r w:rsidRPr="00374785">
              <w:rPr>
                <w:color w:val="000000" w:themeColor="text1"/>
              </w:rPr>
              <w:t>.</w:t>
            </w:r>
          </w:p>
        </w:tc>
      </w:tr>
      <w:tr w:rsidR="003C3BBA" w:rsidRPr="00374785" w:rsidTr="00243677">
        <w:tc>
          <w:tcPr>
            <w:tcW w:w="1129" w:type="dxa"/>
            <w:vAlign w:val="center"/>
          </w:tcPr>
          <w:p w:rsidR="003C3BBA" w:rsidRPr="00374785" w:rsidRDefault="0020376C" w:rsidP="006C05CB">
            <w:pPr>
              <w:pStyle w:val="tMain"/>
              <w:ind w:left="0" w:firstLine="0"/>
              <w:jc w:val="right"/>
              <w:rPr>
                <w:color w:val="000000" w:themeColor="text1"/>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ti</m:t>
                    </m:r>
                  </m:sub>
                </m:sSub>
                <m:r>
                  <m:rPr>
                    <m:sty m:val="bi"/>
                  </m:rPr>
                  <w:rPr>
                    <w:rFonts w:ascii="Cambria Math" w:hAnsi="Cambria Math" w:cs="Calibri"/>
                    <w:color w:val="000000" w:themeColor="text1"/>
                    <w:lang w:eastAsia="en-US"/>
                  </w:rPr>
                  <m:t>=</m:t>
                </m:r>
              </m:oMath>
            </m:oMathPara>
          </w:p>
        </w:tc>
        <w:tc>
          <w:tcPr>
            <w:tcW w:w="7149" w:type="dxa"/>
          </w:tcPr>
          <w:p w:rsidR="003C3BBA" w:rsidRPr="00374785" w:rsidRDefault="00B630D8" w:rsidP="006F420A">
            <w:pPr>
              <w:pStyle w:val="tMain"/>
              <w:ind w:left="0" w:firstLine="0"/>
              <w:rPr>
                <w:color w:val="000000" w:themeColor="text1"/>
              </w:rPr>
            </w:pPr>
            <w:r w:rsidRPr="00374785">
              <w:rPr>
                <w:iCs/>
              </w:rPr>
              <w:t>c</w:t>
            </w:r>
            <w:r w:rsidR="003C3BBA" w:rsidRPr="00374785">
              <w:rPr>
                <w:iCs/>
              </w:rPr>
              <w:t xml:space="preserve">arbon stock </w:t>
            </w:r>
            <w:r w:rsidR="006F420A">
              <w:rPr>
                <w:iCs/>
              </w:rPr>
              <w:t>in</w:t>
            </w:r>
            <w:r w:rsidR="006F420A" w:rsidRPr="00374785">
              <w:rPr>
                <w:iCs/>
              </w:rPr>
              <w:t xml:space="preserve"> </w:t>
            </w:r>
            <w:r w:rsidRPr="00374785">
              <w:rPr>
                <w:iCs/>
              </w:rPr>
              <w:t>trees</w:t>
            </w:r>
            <w:r w:rsidR="003C3BBA" w:rsidRPr="00374785">
              <w:rPr>
                <w:iCs/>
              </w:rPr>
              <w:t xml:space="preserve"> </w:t>
            </w:r>
            <w:r w:rsidRPr="00374785">
              <w:rPr>
                <w:color w:val="000000" w:themeColor="text1"/>
              </w:rPr>
              <w:t xml:space="preserve">for the </w:t>
            </w:r>
            <m:oMath>
              <m:r>
                <w:rPr>
                  <w:rFonts w:ascii="Cambria Math" w:hAnsi="Cambria Math"/>
                  <w:color w:val="000000" w:themeColor="text1"/>
                </w:rPr>
                <m:t>i</m:t>
              </m:r>
            </m:oMath>
            <w:r w:rsidRPr="00374785">
              <w:rPr>
                <w:color w:val="000000" w:themeColor="text1"/>
                <w:vertAlign w:val="superscript"/>
              </w:rPr>
              <w:t>th</w:t>
            </w:r>
            <w:r w:rsidRPr="00374785">
              <w:rPr>
                <w:color w:val="000000" w:themeColor="text1"/>
              </w:rPr>
              <w:t xml:space="preserve"> carbon estimation area determined using FullCAM for the final month of </w:t>
            </w:r>
            <w:r w:rsidR="00A21954">
              <w:rPr>
                <w:color w:val="000000" w:themeColor="text1"/>
              </w:rPr>
              <w:t>the</w:t>
            </w:r>
            <w:r w:rsidR="00A21954" w:rsidRPr="00374785">
              <w:rPr>
                <w:color w:val="000000" w:themeColor="text1"/>
              </w:rPr>
              <w:t xml:space="preserve"> </w:t>
            </w:r>
            <w:r w:rsidR="003C3BBA" w:rsidRPr="00374785">
              <w:rPr>
                <w:iCs/>
              </w:rPr>
              <w:t>reporting period</w:t>
            </w:r>
            <w:r w:rsidRPr="00374785">
              <w:rPr>
                <w:iCs/>
              </w:rPr>
              <w:t xml:space="preserve"> (in tonnes C per hectare)</w:t>
            </w:r>
            <w:r w:rsidR="003C3BBA" w:rsidRPr="00374785">
              <w:rPr>
                <w:color w:val="000000" w:themeColor="text1"/>
              </w:rPr>
              <w:t>.</w:t>
            </w:r>
          </w:p>
        </w:tc>
      </w:tr>
      <w:tr w:rsidR="003C3BBA" w:rsidRPr="00374785" w:rsidTr="00243677">
        <w:tc>
          <w:tcPr>
            <w:tcW w:w="1129" w:type="dxa"/>
            <w:vAlign w:val="center"/>
          </w:tcPr>
          <w:p w:rsidR="003C3BBA" w:rsidRPr="00374785" w:rsidRDefault="0020376C" w:rsidP="003C3BBA">
            <w:pPr>
              <w:pStyle w:val="tMain"/>
              <w:ind w:left="0" w:firstLine="0"/>
              <w:jc w:val="right"/>
              <w:rPr>
                <w:color w:val="000000" w:themeColor="text1"/>
              </w:rPr>
            </w:pPr>
            <m:oMath>
              <m:sSub>
                <m:sSubPr>
                  <m:ctrlPr>
                    <w:rPr>
                      <w:rFonts w:ascii="Cambria Math" w:hAnsi="Cambria Math"/>
                      <w:i/>
                    </w:rPr>
                  </m:ctrlPr>
                </m:sSubPr>
                <m:e>
                  <m:r>
                    <w:rPr>
                      <w:rFonts w:ascii="Cambria Math" w:hAnsi="Cambria Math"/>
                    </w:rPr>
                    <m:t>a</m:t>
                  </m:r>
                </m:e>
                <m:sub>
                  <m:r>
                    <w:rPr>
                      <w:rFonts w:ascii="Cambria Math" w:hAnsi="Cambria Math"/>
                    </w:rPr>
                    <m:t>i</m:t>
                  </m:r>
                </m:sub>
              </m:sSub>
            </m:oMath>
            <w:r w:rsidR="003C3BBA" w:rsidRPr="00374785">
              <w:rPr>
                <w:color w:val="000000" w:themeColor="text1"/>
                <w:lang w:eastAsia="en-US"/>
              </w:rPr>
              <w:t xml:space="preserve"> </w:t>
            </w:r>
            <m:oMath>
              <m:r>
                <m:rPr>
                  <m:sty m:val="bi"/>
                </m:rPr>
                <w:rPr>
                  <w:rFonts w:ascii="Cambria Math" w:hAnsi="Cambria Math" w:cs="Calibri"/>
                  <w:color w:val="000000" w:themeColor="text1"/>
                  <w:lang w:eastAsia="en-US"/>
                </w:rPr>
                <m:t>=</m:t>
              </m:r>
            </m:oMath>
          </w:p>
        </w:tc>
        <w:tc>
          <w:tcPr>
            <w:tcW w:w="7149" w:type="dxa"/>
          </w:tcPr>
          <w:p w:rsidR="003C3BBA" w:rsidRPr="00374785" w:rsidRDefault="00B630D8" w:rsidP="00FC01A6">
            <w:pPr>
              <w:pStyle w:val="tMain"/>
              <w:ind w:left="0" w:firstLine="0"/>
              <w:rPr>
                <w:color w:val="000000" w:themeColor="text1"/>
              </w:rPr>
            </w:pPr>
            <w:r w:rsidRPr="00374785">
              <w:rPr>
                <w:color w:val="000000" w:themeColor="text1"/>
              </w:rPr>
              <w:t xml:space="preserve">area  of </w:t>
            </w:r>
            <w:r w:rsidR="003C3BBA" w:rsidRPr="00374785">
              <w:rPr>
                <w:color w:val="000000" w:themeColor="text1"/>
              </w:rPr>
              <w:t xml:space="preserve">the </w:t>
            </w:r>
            <w:r w:rsidR="003C3BBA" w:rsidRPr="00374785">
              <w:rPr>
                <w:i/>
                <w:color w:val="000000" w:themeColor="text1"/>
              </w:rPr>
              <w:t>i</w:t>
            </w:r>
            <w:r w:rsidR="003C3BBA" w:rsidRPr="00374785">
              <w:rPr>
                <w:color w:val="000000" w:themeColor="text1"/>
                <w:vertAlign w:val="superscript"/>
              </w:rPr>
              <w:t xml:space="preserve">th </w:t>
            </w:r>
            <w:r w:rsidR="003C3BBA" w:rsidRPr="00374785">
              <w:rPr>
                <w:color w:val="000000" w:themeColor="text1"/>
              </w:rPr>
              <w:t>carbon estimation area</w:t>
            </w:r>
            <w:r w:rsidR="00FC01A6">
              <w:rPr>
                <w:color w:val="000000" w:themeColor="text1"/>
              </w:rPr>
              <w:t xml:space="preserve"> </w:t>
            </w:r>
            <w:r w:rsidR="00FC01A6" w:rsidRPr="00374785">
              <w:rPr>
                <w:color w:val="000000" w:themeColor="text1"/>
              </w:rPr>
              <w:t>(in hectares)</w:t>
            </w:r>
            <w:r w:rsidR="003C3BBA" w:rsidRPr="00374785">
              <w:rPr>
                <w:color w:val="000000" w:themeColor="text1"/>
              </w:rPr>
              <w:t>.</w:t>
            </w:r>
          </w:p>
        </w:tc>
      </w:tr>
      <w:tr w:rsidR="004B543A" w:rsidRPr="00374785" w:rsidTr="00243677">
        <w:tc>
          <w:tcPr>
            <w:tcW w:w="1129" w:type="dxa"/>
            <w:vAlign w:val="center"/>
          </w:tcPr>
          <w:p w:rsidR="004B543A" w:rsidRPr="00374785" w:rsidRDefault="004B543A" w:rsidP="004B543A">
            <w:pPr>
              <w:pStyle w:val="tMain"/>
              <w:ind w:left="0" w:firstLine="0"/>
              <w:jc w:val="right"/>
              <w:rPr>
                <w:color w:val="000000" w:themeColor="text1"/>
              </w:rPr>
            </w:pPr>
            <w:r w:rsidRPr="00374785">
              <w:rPr>
                <w:i/>
                <w:color w:val="000000" w:themeColor="text1"/>
                <w:lang w:eastAsia="en-US"/>
              </w:rPr>
              <w:lastRenderedPageBreak/>
              <w:t>i</w:t>
            </w:r>
            <w:r w:rsidRPr="00374785">
              <w:rPr>
                <w:color w:val="000000" w:themeColor="text1"/>
                <w:lang w:eastAsia="en-US"/>
              </w:rPr>
              <w:t xml:space="preserve"> </w:t>
            </w:r>
            <m:oMath>
              <m:r>
                <m:rPr>
                  <m:sty m:val="bi"/>
                </m:rPr>
                <w:rPr>
                  <w:rFonts w:ascii="Cambria Math" w:hAnsi="Cambria Math" w:cs="Calibri"/>
                  <w:color w:val="000000" w:themeColor="text1"/>
                  <w:lang w:eastAsia="en-US"/>
                </w:rPr>
                <m:t>=</m:t>
              </m:r>
            </m:oMath>
          </w:p>
        </w:tc>
        <w:tc>
          <w:tcPr>
            <w:tcW w:w="7149" w:type="dxa"/>
          </w:tcPr>
          <w:p w:rsidR="004B543A" w:rsidRPr="00374785" w:rsidRDefault="004B543A" w:rsidP="004B543A">
            <w:pPr>
              <w:pStyle w:val="tMain"/>
              <w:ind w:left="0" w:firstLine="0"/>
              <w:rPr>
                <w:color w:val="000000" w:themeColor="text1"/>
              </w:rPr>
            </w:pPr>
            <w:r w:rsidRPr="00374785">
              <w:rPr>
                <w:i/>
                <w:color w:val="000000" w:themeColor="text1"/>
              </w:rPr>
              <w:t>i</w:t>
            </w:r>
            <w:r w:rsidRPr="00374785">
              <w:rPr>
                <w:color w:val="000000" w:themeColor="text1"/>
                <w:vertAlign w:val="superscript"/>
              </w:rPr>
              <w:t xml:space="preserve">th </w:t>
            </w:r>
            <w:r w:rsidRPr="00374785">
              <w:rPr>
                <w:color w:val="000000" w:themeColor="text1"/>
              </w:rPr>
              <w:t>carbon estimation area.</w:t>
            </w:r>
          </w:p>
        </w:tc>
      </w:tr>
    </w:tbl>
    <w:p w:rsidR="002B60C7" w:rsidRPr="00374785" w:rsidRDefault="005F03F2" w:rsidP="005F03F2">
      <w:pPr>
        <w:pStyle w:val="h3Div"/>
      </w:pPr>
      <w:bookmarkStart w:id="91" w:name="_Toc397681634"/>
      <w:r w:rsidRPr="00374785">
        <w:t xml:space="preserve">Division </w:t>
      </w:r>
      <w:r w:rsidR="007F3C0F">
        <w:t>4.4</w:t>
      </w:r>
      <w:r w:rsidRPr="00374785">
        <w:tab/>
      </w:r>
      <w:r w:rsidR="002B60C7" w:rsidRPr="00374785">
        <w:t>Calculation of project emissions</w:t>
      </w:r>
      <w:bookmarkEnd w:id="91"/>
    </w:p>
    <w:p w:rsidR="002B60C7" w:rsidRPr="00374785" w:rsidRDefault="007F3C0F" w:rsidP="001208AF">
      <w:pPr>
        <w:pStyle w:val="h5Section"/>
      </w:pPr>
      <w:bookmarkStart w:id="92" w:name="_Toc397681635"/>
      <w:r>
        <w:t>4.</w:t>
      </w:r>
      <w:r w:rsidR="000E16C9">
        <w:t>13</w:t>
      </w:r>
      <w:r w:rsidR="001208AF" w:rsidRPr="00374785">
        <w:tab/>
      </w:r>
      <w:r w:rsidR="002B60C7" w:rsidRPr="00374785">
        <w:t>Calculating emissions from biomass burning</w:t>
      </w:r>
      <w:bookmarkEnd w:id="92"/>
    </w:p>
    <w:p w:rsidR="002B60C7" w:rsidRPr="00374785" w:rsidRDefault="00593821" w:rsidP="00593821">
      <w:pPr>
        <w:pStyle w:val="tMain"/>
        <w:rPr>
          <w:iCs/>
        </w:rPr>
      </w:pPr>
      <w:r w:rsidRPr="00374785">
        <w:tab/>
      </w:r>
      <w:r w:rsidR="007F3C0F">
        <w:t>(1)</w:t>
      </w:r>
      <w:r w:rsidRPr="00374785">
        <w:tab/>
      </w:r>
      <w:r w:rsidR="007B60BA" w:rsidRPr="00374785">
        <w:t>For each reporting period, e</w:t>
      </w:r>
      <w:r w:rsidR="005F03F2" w:rsidRPr="00374785">
        <w:t>missions of methane (CH</w:t>
      </w:r>
      <w:r w:rsidR="005F03F2" w:rsidRPr="00374785">
        <w:rPr>
          <w:vertAlign w:val="subscript"/>
        </w:rPr>
        <w:t>4</w:t>
      </w:r>
      <w:r w:rsidR="005F03F2" w:rsidRPr="00374785">
        <w:t xml:space="preserve">) </w:t>
      </w:r>
      <w:r w:rsidR="00F416EA" w:rsidRPr="00374785">
        <w:t xml:space="preserve">for the project </w:t>
      </w:r>
      <w:r w:rsidR="005F03F2" w:rsidRPr="00374785">
        <w:t xml:space="preserve">due to biomass burning </w:t>
      </w:r>
      <w:r w:rsidR="00474E95" w:rsidRPr="00374785">
        <w:t xml:space="preserve">in the reporting period </w:t>
      </w:r>
      <w:r w:rsidR="005F03F2" w:rsidRPr="00374785">
        <w:t>must be calculated using the following formula:</w:t>
      </w:r>
    </w:p>
    <w:tbl>
      <w:tblPr>
        <w:tblStyle w:val="TableGrid"/>
        <w:tblW w:w="0" w:type="auto"/>
        <w:tblInd w:w="964" w:type="dxa"/>
        <w:tblLook w:val="04A0"/>
      </w:tblPr>
      <w:tblGrid>
        <w:gridCol w:w="6374"/>
        <w:gridCol w:w="1904"/>
      </w:tblGrid>
      <w:tr w:rsidR="001208AF" w:rsidRPr="00374785" w:rsidTr="001208AF">
        <w:tc>
          <w:tcPr>
            <w:tcW w:w="6374" w:type="dxa"/>
          </w:tcPr>
          <w:p w:rsidR="001208AF" w:rsidRPr="00374785" w:rsidRDefault="0020376C" w:rsidP="00F56275">
            <w:pPr>
              <w:pStyle w:val="tMain"/>
              <w:spacing w:before="100" w:line="360" w:lineRule="auto"/>
              <w:ind w:left="0" w:firstLine="0"/>
            </w:pPr>
            <m:oMathPara>
              <m:oMath>
                <m:sSub>
                  <m:sSubPr>
                    <m:ctrlPr>
                      <w:rPr>
                        <w:rFonts w:ascii="Cambria Math" w:hAnsi="Cambria Math"/>
                        <w:i/>
                      </w:rPr>
                    </m:ctrlPr>
                  </m:sSubPr>
                  <m:e>
                    <m:r>
                      <w:rPr>
                        <w:rFonts w:ascii="Cambria Math" w:hAnsi="Cambria Math"/>
                      </w:rPr>
                      <m:t>E</m:t>
                    </m:r>
                  </m:e>
                  <m:sub>
                    <m:r>
                      <w:rPr>
                        <w:rFonts w:ascii="Cambria Math" w:hAnsi="Cambria Math"/>
                      </w:rPr>
                      <m:t>B</m:t>
                    </m:r>
                    <m:sSub>
                      <m:sSubPr>
                        <m:ctrlPr>
                          <w:rPr>
                            <w:rFonts w:ascii="Cambria Math" w:hAnsi="Cambria Math"/>
                            <w:i/>
                          </w:rPr>
                        </m:ctrlPr>
                      </m:sSubPr>
                      <m:e>
                        <m:r>
                          <w:rPr>
                            <w:rFonts w:ascii="Cambria Math" w:hAnsi="Cambria Math"/>
                          </w:rPr>
                          <m:t>CH</m:t>
                        </m:r>
                      </m:e>
                      <m:sub>
                        <m:r>
                          <w:rPr>
                            <w:rFonts w:ascii="Cambria Math" w:hAnsi="Cambria Math"/>
                          </w:rPr>
                          <m:t>4</m:t>
                        </m:r>
                      </m:sub>
                    </m:sSub>
                  </m:sub>
                </m:sSub>
                <m:r>
                  <w:rPr>
                    <w:rFonts w:ascii="Cambria Math" w:hAnsi="Cambria Math"/>
                  </w:rPr>
                  <m:t xml:space="preserve"> = </m:t>
                </m:r>
                <m:sSub>
                  <m:sSubPr>
                    <m:ctrlPr>
                      <w:rPr>
                        <w:rFonts w:ascii="Cambria Math" w:hAnsi="Cambria Math"/>
                        <w:i/>
                      </w:rPr>
                    </m:ctrlPr>
                  </m:sSubPr>
                  <m:e>
                    <m:r>
                      <w:rPr>
                        <w:rFonts w:ascii="Cambria Math" w:hAnsi="Cambria Math"/>
                      </w:rPr>
                      <m:t>G</m:t>
                    </m:r>
                  </m:e>
                  <m:sub>
                    <m:sSub>
                      <m:sSubPr>
                        <m:ctrlPr>
                          <w:rPr>
                            <w:rFonts w:ascii="Cambria Math" w:hAnsi="Cambria Math"/>
                            <w:i/>
                          </w:rPr>
                        </m:ctrlPr>
                      </m:sSubPr>
                      <m:e>
                        <m:r>
                          <w:rPr>
                            <w:rFonts w:ascii="Cambria Math" w:hAnsi="Cambria Math"/>
                          </w:rPr>
                          <m:t>CH</m:t>
                        </m:r>
                      </m:e>
                      <m:sub>
                        <m:r>
                          <w:rPr>
                            <w:rFonts w:ascii="Cambria Math" w:hAnsi="Cambria Math"/>
                          </w:rPr>
                          <m:t>4</m:t>
                        </m:r>
                      </m:sub>
                    </m:sSub>
                  </m:sub>
                </m:sSub>
                <m:r>
                  <w:rPr>
                    <w:rFonts w:ascii="Cambria Math" w:hAnsi="Cambria Math"/>
                  </w:rPr>
                  <m:t xml:space="preserve"> × </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CH</m:t>
                                </m:r>
                              </m:e>
                              <m:sub>
                                <m:r>
                                  <w:rPr>
                                    <w:rFonts w:ascii="Cambria Math" w:hAnsi="Cambria Math"/>
                                  </w:rPr>
                                  <m:t>4</m:t>
                                </m:r>
                              </m:sub>
                            </m:sSub>
                            <m:r>
                              <w:rPr>
                                <w:rFonts w:ascii="Cambria Math" w:hAnsi="Cambria Math"/>
                              </w:rPr>
                              <m:t>i</m:t>
                            </m:r>
                          </m:sub>
                        </m:sSub>
                        <m:r>
                          <w:rPr>
                            <w:rFonts w:ascii="Cambria Math" w:hAnsi="Cambria Math"/>
                          </w:rPr>
                          <m:t xml:space="preserve"> × </m:t>
                        </m:r>
                        <m:sSub>
                          <m:sSubPr>
                            <m:ctrlPr>
                              <w:rPr>
                                <w:rFonts w:ascii="Cambria Math" w:hAnsi="Cambria Math"/>
                                <w:i/>
                              </w:rPr>
                            </m:ctrlPr>
                          </m:sSubPr>
                          <m:e>
                            <m:r>
                              <w:rPr>
                                <w:rFonts w:ascii="Cambria Math" w:hAnsi="Cambria Math"/>
                              </w:rPr>
                              <m:t>a</m:t>
                            </m:r>
                          </m:e>
                          <m:sub>
                            <m:r>
                              <w:rPr>
                                <w:rFonts w:ascii="Cambria Math" w:hAnsi="Cambria Math"/>
                              </w:rPr>
                              <m:t>Bi</m:t>
                            </m:r>
                          </m:sub>
                        </m:sSub>
                      </m:e>
                    </m:d>
                  </m:e>
                </m:nary>
              </m:oMath>
            </m:oMathPara>
          </w:p>
        </w:tc>
        <w:tc>
          <w:tcPr>
            <w:tcW w:w="1904" w:type="dxa"/>
            <w:vAlign w:val="center"/>
          </w:tcPr>
          <w:p w:rsidR="001208AF" w:rsidRPr="00374785" w:rsidRDefault="001208AF" w:rsidP="000E16C9">
            <w:pPr>
              <w:pStyle w:val="tMain"/>
              <w:ind w:left="0" w:firstLine="0"/>
              <w:jc w:val="center"/>
              <w:rPr>
                <w:b/>
              </w:rPr>
            </w:pPr>
            <w:r w:rsidRPr="00374785">
              <w:rPr>
                <w:b/>
              </w:rPr>
              <w:t xml:space="preserve">Equation </w:t>
            </w:r>
            <w:r w:rsidR="000E16C9">
              <w:rPr>
                <w:b/>
              </w:rPr>
              <w:t>13</w:t>
            </w:r>
          </w:p>
        </w:tc>
      </w:tr>
    </w:tbl>
    <w:p w:rsidR="001208AF" w:rsidRPr="00374785" w:rsidRDefault="001208AF" w:rsidP="001208AF">
      <w:pPr>
        <w:pStyle w:val="tMain"/>
      </w:pPr>
      <w:r w:rsidRPr="00374785">
        <w:tab/>
      </w:r>
      <w:r w:rsidRPr="00374785">
        <w:tab/>
        <w:t>Where:</w:t>
      </w:r>
    </w:p>
    <w:tbl>
      <w:tblPr>
        <w:tblStyle w:val="TableGrid"/>
        <w:tblW w:w="0" w:type="auto"/>
        <w:tblInd w:w="964" w:type="dxa"/>
        <w:tblLook w:val="04A0"/>
      </w:tblPr>
      <w:tblGrid>
        <w:gridCol w:w="1129"/>
        <w:gridCol w:w="7149"/>
      </w:tblGrid>
      <w:tr w:rsidR="001208AF" w:rsidRPr="00374785" w:rsidTr="00243677">
        <w:tc>
          <w:tcPr>
            <w:tcW w:w="1129" w:type="dxa"/>
            <w:vAlign w:val="center"/>
          </w:tcPr>
          <w:p w:rsidR="001208AF" w:rsidRPr="00374785" w:rsidRDefault="0020376C" w:rsidP="00F56275">
            <w:pPr>
              <w:pStyle w:val="tMain"/>
              <w:ind w:left="0" w:firstLine="0"/>
              <w:jc w:val="right"/>
              <w:rPr>
                <w:color w:val="000000" w:themeColor="text1"/>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B</m:t>
                    </m:r>
                    <m:sSub>
                      <m:sSubPr>
                        <m:ctrlPr>
                          <w:rPr>
                            <w:rFonts w:ascii="Cambria Math" w:hAnsi="Cambria Math"/>
                            <w:i/>
                          </w:rPr>
                        </m:ctrlPr>
                      </m:sSubPr>
                      <m:e>
                        <m:r>
                          <w:rPr>
                            <w:rFonts w:ascii="Cambria Math" w:hAnsi="Cambria Math"/>
                          </w:rPr>
                          <m:t>CH</m:t>
                        </m:r>
                      </m:e>
                      <m:sub>
                        <m:r>
                          <w:rPr>
                            <w:rFonts w:ascii="Cambria Math" w:hAnsi="Cambria Math"/>
                          </w:rPr>
                          <m:t>4</m:t>
                        </m:r>
                      </m:sub>
                    </m:sSub>
                  </m:sub>
                </m:sSub>
                <m:r>
                  <m:rPr>
                    <m:sty m:val="bi"/>
                  </m:rPr>
                  <w:rPr>
                    <w:rFonts w:ascii="Cambria Math" w:hAnsi="Cambria Math" w:cs="Calibri"/>
                    <w:color w:val="000000" w:themeColor="text1"/>
                    <w:lang w:eastAsia="en-US"/>
                  </w:rPr>
                  <m:t>=</m:t>
                </m:r>
              </m:oMath>
            </m:oMathPara>
          </w:p>
        </w:tc>
        <w:tc>
          <w:tcPr>
            <w:tcW w:w="7149" w:type="dxa"/>
          </w:tcPr>
          <w:p w:rsidR="001208AF" w:rsidRPr="00374785" w:rsidRDefault="00863CA9" w:rsidP="00FC01A6">
            <w:pPr>
              <w:pStyle w:val="tMain"/>
              <w:ind w:left="0" w:firstLine="0"/>
              <w:rPr>
                <w:color w:val="000000" w:themeColor="text1"/>
              </w:rPr>
            </w:pPr>
            <w:r w:rsidRPr="00374785">
              <w:rPr>
                <w:iCs/>
              </w:rPr>
              <w:t>e</w:t>
            </w:r>
            <w:r w:rsidR="001208AF" w:rsidRPr="00374785">
              <w:rPr>
                <w:iCs/>
              </w:rPr>
              <w:t>missions of CH</w:t>
            </w:r>
            <w:r w:rsidR="001208AF" w:rsidRPr="00374785">
              <w:rPr>
                <w:iCs/>
                <w:vertAlign w:val="subscript"/>
              </w:rPr>
              <w:t>4</w:t>
            </w:r>
            <w:r w:rsidR="001208AF" w:rsidRPr="00374785">
              <w:rPr>
                <w:iCs/>
              </w:rPr>
              <w:t xml:space="preserve"> from biomass burning for the project for </w:t>
            </w:r>
            <w:r w:rsidRPr="00374785">
              <w:rPr>
                <w:iCs/>
              </w:rPr>
              <w:t>a</w:t>
            </w:r>
            <w:r w:rsidR="001208AF" w:rsidRPr="00374785">
              <w:rPr>
                <w:iCs/>
              </w:rPr>
              <w:t xml:space="preserve"> reporting period</w:t>
            </w:r>
            <w:r w:rsidR="00FC01A6">
              <w:rPr>
                <w:iCs/>
              </w:rPr>
              <w:t xml:space="preserve"> </w:t>
            </w:r>
            <w:r w:rsidR="00FC01A6" w:rsidRPr="00374785">
              <w:rPr>
                <w:iCs/>
              </w:rPr>
              <w:t>(in tonnes CO</w:t>
            </w:r>
            <w:r w:rsidR="00FC01A6" w:rsidRPr="00374785">
              <w:rPr>
                <w:iCs/>
                <w:vertAlign w:val="subscript"/>
              </w:rPr>
              <w:t>2</w:t>
            </w:r>
            <w:r w:rsidR="00FC01A6" w:rsidRPr="00374785">
              <w:rPr>
                <w:iCs/>
              </w:rPr>
              <w:t>-e)</w:t>
            </w:r>
            <w:r w:rsidRPr="00374785">
              <w:rPr>
                <w:iCs/>
              </w:rPr>
              <w:t>.</w:t>
            </w:r>
          </w:p>
        </w:tc>
      </w:tr>
      <w:tr w:rsidR="001208AF" w:rsidRPr="00374785" w:rsidTr="00243677">
        <w:tc>
          <w:tcPr>
            <w:tcW w:w="1129" w:type="dxa"/>
            <w:vAlign w:val="center"/>
          </w:tcPr>
          <w:p w:rsidR="001208AF" w:rsidRPr="00374785" w:rsidRDefault="0020376C" w:rsidP="00F416EA">
            <w:pPr>
              <w:pStyle w:val="tMain"/>
              <w:ind w:left="0" w:firstLine="0"/>
              <w:jc w:val="right"/>
              <w:rPr>
                <w:color w:val="000000" w:themeColor="text1"/>
              </w:rPr>
            </w:pPr>
            <m:oMathPara>
              <m:oMathParaPr>
                <m:jc m:val="right"/>
              </m:oMathParaPr>
              <m:oMath>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CH</m:t>
                        </m:r>
                      </m:e>
                      <m:sub>
                        <m:r>
                          <w:rPr>
                            <w:rFonts w:ascii="Cambria Math" w:hAnsi="Cambria Math"/>
                          </w:rPr>
                          <m:t>4</m:t>
                        </m:r>
                      </m:sub>
                    </m:sSub>
                    <m:r>
                      <w:rPr>
                        <w:rFonts w:ascii="Cambria Math" w:hAnsi="Cambria Math"/>
                      </w:rPr>
                      <m:t>i</m:t>
                    </m:r>
                  </m:sub>
                </m:sSub>
                <m:r>
                  <m:rPr>
                    <m:sty m:val="bi"/>
                  </m:rPr>
                  <w:rPr>
                    <w:rFonts w:ascii="Cambria Math" w:hAnsi="Cambria Math" w:cs="Calibri"/>
                    <w:color w:val="000000" w:themeColor="text1"/>
                    <w:lang w:eastAsia="en-US"/>
                  </w:rPr>
                  <m:t>=</m:t>
                </m:r>
              </m:oMath>
            </m:oMathPara>
          </w:p>
        </w:tc>
        <w:tc>
          <w:tcPr>
            <w:tcW w:w="7149" w:type="dxa"/>
          </w:tcPr>
          <w:p w:rsidR="001208AF" w:rsidRPr="00374785" w:rsidRDefault="001208AF" w:rsidP="00FC01A6">
            <w:pPr>
              <w:pStyle w:val="tMain"/>
              <w:ind w:left="0" w:firstLine="0"/>
              <w:rPr>
                <w:color w:val="000000" w:themeColor="text1"/>
              </w:rPr>
            </w:pPr>
            <w:r w:rsidRPr="00374785">
              <w:rPr>
                <w:iCs/>
              </w:rPr>
              <w:t>mass of CH</w:t>
            </w:r>
            <w:r w:rsidRPr="00374785">
              <w:rPr>
                <w:iCs/>
                <w:vertAlign w:val="subscript"/>
              </w:rPr>
              <w:t>4</w:t>
            </w:r>
            <w:r w:rsidRPr="00374785">
              <w:rPr>
                <w:iCs/>
              </w:rPr>
              <w:t xml:space="preserve"> emitted during the reporting period due to biomass burning </w:t>
            </w:r>
            <w:r w:rsidR="00863CA9" w:rsidRPr="00374785">
              <w:rPr>
                <w:color w:val="000000" w:themeColor="text1"/>
              </w:rPr>
              <w:t xml:space="preserve">in the </w:t>
            </w:r>
            <m:oMath>
              <m:r>
                <w:rPr>
                  <w:rFonts w:ascii="Cambria Math" w:hAnsi="Cambria Math"/>
                  <w:color w:val="000000" w:themeColor="text1"/>
                </w:rPr>
                <m:t>i</m:t>
              </m:r>
            </m:oMath>
            <w:r w:rsidR="00863CA9" w:rsidRPr="00374785">
              <w:rPr>
                <w:color w:val="000000" w:themeColor="text1"/>
                <w:vertAlign w:val="superscript"/>
              </w:rPr>
              <w:t>th</w:t>
            </w:r>
            <w:r w:rsidR="00863CA9" w:rsidRPr="00374785">
              <w:rPr>
                <w:color w:val="000000" w:themeColor="text1"/>
              </w:rPr>
              <w:t xml:space="preserve"> carbon estimation area</w:t>
            </w:r>
            <w:r w:rsidRPr="00374785">
              <w:rPr>
                <w:iCs/>
              </w:rPr>
              <w:t xml:space="preserve"> determined using FullCAM</w:t>
            </w:r>
            <w:r w:rsidR="00FC01A6">
              <w:rPr>
                <w:iCs/>
              </w:rPr>
              <w:t xml:space="preserve"> </w:t>
            </w:r>
            <w:r w:rsidR="00FC01A6" w:rsidRPr="00374785">
              <w:rPr>
                <w:iCs/>
              </w:rPr>
              <w:t>(in tonnes per hectare)</w:t>
            </w:r>
            <w:r w:rsidRPr="00374785">
              <w:rPr>
                <w:iCs/>
              </w:rPr>
              <w:t>.</w:t>
            </w:r>
          </w:p>
        </w:tc>
      </w:tr>
      <w:tr w:rsidR="001208AF" w:rsidRPr="00374785" w:rsidTr="00243677">
        <w:tc>
          <w:tcPr>
            <w:tcW w:w="1129" w:type="dxa"/>
            <w:vAlign w:val="center"/>
          </w:tcPr>
          <w:p w:rsidR="001208AF" w:rsidRPr="00374785" w:rsidRDefault="0020376C" w:rsidP="00F416EA">
            <w:pPr>
              <w:pStyle w:val="tMain"/>
              <w:ind w:left="0" w:firstLine="0"/>
              <w:jc w:val="right"/>
            </w:pPr>
            <m:oMathPara>
              <m:oMathParaPr>
                <m:jc m:val="right"/>
              </m:oMathParaPr>
              <m:oMath>
                <m:sSub>
                  <m:sSubPr>
                    <m:ctrlPr>
                      <w:rPr>
                        <w:rFonts w:ascii="Cambria Math" w:hAnsi="Cambria Math"/>
                        <w:i/>
                      </w:rPr>
                    </m:ctrlPr>
                  </m:sSubPr>
                  <m:e>
                    <m:r>
                      <w:rPr>
                        <w:rFonts w:ascii="Cambria Math" w:hAnsi="Cambria Math"/>
                      </w:rPr>
                      <m:t>a</m:t>
                    </m:r>
                  </m:e>
                  <m:sub>
                    <m:r>
                      <w:rPr>
                        <w:rFonts w:ascii="Cambria Math" w:hAnsi="Cambria Math"/>
                      </w:rPr>
                      <m:t>Bi</m:t>
                    </m:r>
                  </m:sub>
                </m:sSub>
                <m:r>
                  <m:rPr>
                    <m:sty m:val="bi"/>
                  </m:rPr>
                  <w:rPr>
                    <w:rFonts w:ascii="Cambria Math" w:hAnsi="Cambria Math" w:cs="Calibri"/>
                    <w:color w:val="000000" w:themeColor="text1"/>
                    <w:lang w:eastAsia="en-US"/>
                  </w:rPr>
                  <m:t>=</m:t>
                </m:r>
              </m:oMath>
            </m:oMathPara>
          </w:p>
        </w:tc>
        <w:tc>
          <w:tcPr>
            <w:tcW w:w="7149" w:type="dxa"/>
          </w:tcPr>
          <w:p w:rsidR="001208AF" w:rsidRPr="00374785" w:rsidRDefault="001208AF" w:rsidP="00FC01A6">
            <w:pPr>
              <w:pStyle w:val="tMain"/>
              <w:ind w:left="0" w:firstLine="0"/>
              <w:rPr>
                <w:iCs/>
              </w:rPr>
            </w:pPr>
            <w:r w:rsidRPr="00374785">
              <w:rPr>
                <w:iCs/>
              </w:rPr>
              <w:t xml:space="preserve">area burnt in </w:t>
            </w:r>
            <w:r w:rsidR="00863CA9" w:rsidRPr="00374785">
              <w:rPr>
                <w:color w:val="000000" w:themeColor="text1"/>
              </w:rPr>
              <w:t xml:space="preserve">the </w:t>
            </w:r>
            <m:oMath>
              <m:r>
                <w:rPr>
                  <w:rFonts w:ascii="Cambria Math" w:hAnsi="Cambria Math"/>
                  <w:color w:val="000000" w:themeColor="text1"/>
                </w:rPr>
                <m:t>i</m:t>
              </m:r>
            </m:oMath>
            <w:r w:rsidR="00863CA9" w:rsidRPr="00374785">
              <w:rPr>
                <w:color w:val="000000" w:themeColor="text1"/>
                <w:vertAlign w:val="superscript"/>
              </w:rPr>
              <w:t>th</w:t>
            </w:r>
            <w:r w:rsidR="00863CA9" w:rsidRPr="00374785">
              <w:rPr>
                <w:color w:val="000000" w:themeColor="text1"/>
              </w:rPr>
              <w:t xml:space="preserve"> carbon estimation area </w:t>
            </w:r>
            <w:r w:rsidRPr="00374785">
              <w:rPr>
                <w:iCs/>
              </w:rPr>
              <w:t>during the reporting period</w:t>
            </w:r>
            <w:r w:rsidR="00FC01A6">
              <w:rPr>
                <w:iCs/>
              </w:rPr>
              <w:t xml:space="preserve"> </w:t>
            </w:r>
            <w:r w:rsidR="00FC01A6" w:rsidRPr="00374785">
              <w:rPr>
                <w:iCs/>
              </w:rPr>
              <w:t>(in hectares)</w:t>
            </w:r>
            <w:r w:rsidRPr="00374785">
              <w:rPr>
                <w:iCs/>
              </w:rPr>
              <w:t>.</w:t>
            </w:r>
          </w:p>
        </w:tc>
      </w:tr>
      <w:tr w:rsidR="001208AF" w:rsidRPr="00374785" w:rsidTr="00243677">
        <w:tc>
          <w:tcPr>
            <w:tcW w:w="1129" w:type="dxa"/>
            <w:vAlign w:val="center"/>
          </w:tcPr>
          <w:p w:rsidR="001208AF" w:rsidRPr="00374785" w:rsidRDefault="0020376C" w:rsidP="001208AF">
            <w:pPr>
              <w:pStyle w:val="tMain"/>
              <w:ind w:left="0" w:firstLine="0"/>
              <w:jc w:val="right"/>
              <w:rPr>
                <w:color w:val="000000" w:themeColor="text1"/>
              </w:rPr>
            </w:pPr>
            <m:oMathPara>
              <m:oMathParaPr>
                <m:jc m:val="right"/>
              </m:oMathParaPr>
              <m:oMath>
                <m:sSub>
                  <m:sSubPr>
                    <m:ctrlPr>
                      <w:rPr>
                        <w:rFonts w:ascii="Cambria Math" w:hAnsi="Cambria Math"/>
                        <w:i/>
                      </w:rPr>
                    </m:ctrlPr>
                  </m:sSubPr>
                  <m:e>
                    <m:r>
                      <w:rPr>
                        <w:rFonts w:ascii="Cambria Math" w:hAnsi="Cambria Math"/>
                      </w:rPr>
                      <m:t>G</m:t>
                    </m:r>
                  </m:e>
                  <m:sub>
                    <m:sSub>
                      <m:sSubPr>
                        <m:ctrlPr>
                          <w:rPr>
                            <w:rFonts w:ascii="Cambria Math" w:hAnsi="Cambria Math"/>
                            <w:i/>
                          </w:rPr>
                        </m:ctrlPr>
                      </m:sSubPr>
                      <m:e>
                        <m:r>
                          <w:rPr>
                            <w:rFonts w:ascii="Cambria Math" w:hAnsi="Cambria Math"/>
                          </w:rPr>
                          <m:t>CH</m:t>
                        </m:r>
                      </m:e>
                      <m:sub>
                        <m:r>
                          <w:rPr>
                            <w:rFonts w:ascii="Cambria Math" w:hAnsi="Cambria Math"/>
                          </w:rPr>
                          <m:t>4</m:t>
                        </m:r>
                      </m:sub>
                    </m:sSub>
                  </m:sub>
                </m:sSub>
                <m:r>
                  <m:rPr>
                    <m:sty m:val="bi"/>
                  </m:rPr>
                  <w:rPr>
                    <w:rFonts w:ascii="Cambria Math" w:hAnsi="Cambria Math" w:cs="Calibri"/>
                    <w:color w:val="000000" w:themeColor="text1"/>
                    <w:lang w:eastAsia="en-US"/>
                  </w:rPr>
                  <m:t>=</m:t>
                </m:r>
              </m:oMath>
            </m:oMathPara>
          </w:p>
        </w:tc>
        <w:tc>
          <w:tcPr>
            <w:tcW w:w="7149" w:type="dxa"/>
          </w:tcPr>
          <w:p w:rsidR="001208AF" w:rsidRPr="00374785" w:rsidRDefault="001208AF" w:rsidP="006717FC">
            <w:pPr>
              <w:pStyle w:val="tMain"/>
              <w:ind w:left="0" w:firstLine="0"/>
              <w:rPr>
                <w:color w:val="000000" w:themeColor="text1"/>
              </w:rPr>
            </w:pPr>
            <w:r w:rsidRPr="00374785">
              <w:rPr>
                <w:iCs/>
              </w:rPr>
              <w:t>global warming potential of methane as specified in the NGER Regulations</w:t>
            </w:r>
            <w:r w:rsidRPr="00374785">
              <w:rPr>
                <w:color w:val="000000" w:themeColor="text1"/>
              </w:rPr>
              <w:t xml:space="preserve">. </w:t>
            </w:r>
          </w:p>
        </w:tc>
      </w:tr>
      <w:tr w:rsidR="001208AF" w:rsidRPr="00374785" w:rsidTr="00243677">
        <w:tc>
          <w:tcPr>
            <w:tcW w:w="1129" w:type="dxa"/>
          </w:tcPr>
          <w:p w:rsidR="001208AF" w:rsidRPr="00374785" w:rsidRDefault="001208AF" w:rsidP="001208AF">
            <w:pPr>
              <w:pStyle w:val="tMain"/>
              <w:ind w:left="0" w:firstLine="0"/>
              <w:jc w:val="right"/>
              <w:rPr>
                <w:color w:val="000000" w:themeColor="text1"/>
              </w:rPr>
            </w:pPr>
            <m:oMathPara>
              <m:oMathParaPr>
                <m:jc m:val="right"/>
              </m:oMathParaPr>
              <m:oMath>
                <m:r>
                  <w:rPr>
                    <w:rFonts w:ascii="Cambria Math" w:hAnsi="Cambria Math"/>
                  </w:rPr>
                  <m:t>n</m:t>
                </m:r>
                <m:r>
                  <m:rPr>
                    <m:sty m:val="bi"/>
                  </m:rPr>
                  <w:rPr>
                    <w:rFonts w:ascii="Cambria Math" w:hAnsi="Cambria Math" w:cs="Calibri"/>
                    <w:color w:val="000000" w:themeColor="text1"/>
                    <w:lang w:eastAsia="en-US"/>
                  </w:rPr>
                  <m:t>=</m:t>
                </m:r>
              </m:oMath>
            </m:oMathPara>
          </w:p>
        </w:tc>
        <w:tc>
          <w:tcPr>
            <w:tcW w:w="7149" w:type="dxa"/>
          </w:tcPr>
          <w:p w:rsidR="001208AF" w:rsidRPr="00374785" w:rsidRDefault="001208AF" w:rsidP="00F9694F">
            <w:pPr>
              <w:pStyle w:val="tMain"/>
              <w:ind w:left="0" w:firstLine="0"/>
              <w:rPr>
                <w:color w:val="000000" w:themeColor="text1"/>
              </w:rPr>
            </w:pPr>
            <w:r w:rsidRPr="00374785">
              <w:rPr>
                <w:iCs/>
              </w:rPr>
              <w:t xml:space="preserve">total number of </w:t>
            </w:r>
            <w:r w:rsidR="00593821" w:rsidRPr="00374785">
              <w:rPr>
                <w:iCs/>
              </w:rPr>
              <w:t>carbon estimation areas</w:t>
            </w:r>
            <w:r w:rsidRPr="00374785">
              <w:rPr>
                <w:iCs/>
              </w:rPr>
              <w:t xml:space="preserve"> within the </w:t>
            </w:r>
            <w:r w:rsidR="00593821" w:rsidRPr="00374785">
              <w:rPr>
                <w:iCs/>
              </w:rPr>
              <w:t>p</w:t>
            </w:r>
            <w:r w:rsidRPr="00374785">
              <w:rPr>
                <w:iCs/>
              </w:rPr>
              <w:t xml:space="preserve">roject </w:t>
            </w:r>
            <w:r w:rsidR="00593821" w:rsidRPr="00374785">
              <w:rPr>
                <w:iCs/>
              </w:rPr>
              <w:t>a</w:t>
            </w:r>
            <w:r w:rsidRPr="00374785">
              <w:rPr>
                <w:iCs/>
              </w:rPr>
              <w:t>rea at the end of the reporting period</w:t>
            </w:r>
            <w:r w:rsidRPr="00374785">
              <w:rPr>
                <w:color w:val="000000" w:themeColor="text1"/>
              </w:rPr>
              <w:t xml:space="preserve">. </w:t>
            </w:r>
          </w:p>
        </w:tc>
      </w:tr>
      <w:tr w:rsidR="00406B6A" w:rsidRPr="00374785" w:rsidTr="00243677">
        <w:tc>
          <w:tcPr>
            <w:tcW w:w="1129" w:type="dxa"/>
            <w:vAlign w:val="center"/>
          </w:tcPr>
          <w:p w:rsidR="00406B6A" w:rsidRPr="00374785" w:rsidRDefault="00406B6A" w:rsidP="00406B6A">
            <w:pPr>
              <w:pStyle w:val="tMain"/>
              <w:ind w:left="0" w:firstLine="0"/>
              <w:jc w:val="right"/>
              <w:rPr>
                <w:color w:val="000000" w:themeColor="text1"/>
              </w:rPr>
            </w:pPr>
            <w:r w:rsidRPr="00374785">
              <w:rPr>
                <w:i/>
                <w:color w:val="000000" w:themeColor="text1"/>
                <w:lang w:eastAsia="en-US"/>
              </w:rPr>
              <w:t>i</w:t>
            </w:r>
            <w:r w:rsidRPr="00374785">
              <w:rPr>
                <w:color w:val="000000" w:themeColor="text1"/>
                <w:lang w:eastAsia="en-US"/>
              </w:rPr>
              <w:t xml:space="preserve"> </w:t>
            </w:r>
            <m:oMath>
              <m:r>
                <m:rPr>
                  <m:sty m:val="bi"/>
                </m:rPr>
                <w:rPr>
                  <w:rFonts w:ascii="Cambria Math" w:hAnsi="Cambria Math" w:cs="Calibri"/>
                  <w:color w:val="000000" w:themeColor="text1"/>
                  <w:lang w:eastAsia="en-US"/>
                </w:rPr>
                <m:t>=</m:t>
              </m:r>
            </m:oMath>
          </w:p>
        </w:tc>
        <w:tc>
          <w:tcPr>
            <w:tcW w:w="7149" w:type="dxa"/>
          </w:tcPr>
          <w:p w:rsidR="00406B6A" w:rsidRPr="00374785" w:rsidRDefault="00406B6A" w:rsidP="00406B6A">
            <w:pPr>
              <w:pStyle w:val="tMain"/>
              <w:ind w:left="0" w:firstLine="0"/>
              <w:rPr>
                <w:color w:val="000000" w:themeColor="text1"/>
              </w:rPr>
            </w:pPr>
            <w:r w:rsidRPr="00374785">
              <w:rPr>
                <w:i/>
                <w:color w:val="000000" w:themeColor="text1"/>
              </w:rPr>
              <w:t>i</w:t>
            </w:r>
            <w:r w:rsidRPr="00374785">
              <w:rPr>
                <w:color w:val="000000" w:themeColor="text1"/>
                <w:vertAlign w:val="superscript"/>
              </w:rPr>
              <w:t xml:space="preserve">th </w:t>
            </w:r>
            <w:r w:rsidRPr="00374785">
              <w:rPr>
                <w:color w:val="000000" w:themeColor="text1"/>
              </w:rPr>
              <w:t>carbon estimation area.</w:t>
            </w:r>
          </w:p>
        </w:tc>
      </w:tr>
    </w:tbl>
    <w:p w:rsidR="002B60C7" w:rsidRPr="00374785" w:rsidRDefault="00593821" w:rsidP="00593821">
      <w:pPr>
        <w:pStyle w:val="tMain"/>
        <w:rPr>
          <w:iCs/>
        </w:rPr>
      </w:pPr>
      <w:r w:rsidRPr="00374785">
        <w:tab/>
      </w:r>
      <w:r w:rsidR="007F3C0F">
        <w:t>(2)</w:t>
      </w:r>
      <w:r w:rsidRPr="00374785">
        <w:tab/>
      </w:r>
      <w:r w:rsidR="007B60BA" w:rsidRPr="00374785">
        <w:t>For each reporting period, e</w:t>
      </w:r>
      <w:r w:rsidRPr="00374785">
        <w:t>missions of nitrous oxide (</w:t>
      </w:r>
      <w:r w:rsidRPr="00374785">
        <w:rPr>
          <w:color w:val="000000"/>
        </w:rPr>
        <w:t>N</w:t>
      </w:r>
      <w:r w:rsidRPr="00374785">
        <w:rPr>
          <w:color w:val="000000"/>
          <w:vertAlign w:val="subscript"/>
        </w:rPr>
        <w:t>2</w:t>
      </w:r>
      <w:r w:rsidRPr="00374785">
        <w:rPr>
          <w:color w:val="000000"/>
        </w:rPr>
        <w:t>O</w:t>
      </w:r>
      <w:r w:rsidRPr="00374785">
        <w:t xml:space="preserve">) due to biomass burning </w:t>
      </w:r>
      <w:r w:rsidR="00474E95" w:rsidRPr="00374785">
        <w:t xml:space="preserve">in the reporting period </w:t>
      </w:r>
      <w:r w:rsidRPr="00374785">
        <w:t>must be calculated using the following formula:</w:t>
      </w:r>
    </w:p>
    <w:tbl>
      <w:tblPr>
        <w:tblStyle w:val="TableGrid"/>
        <w:tblW w:w="0" w:type="auto"/>
        <w:tblInd w:w="964" w:type="dxa"/>
        <w:tblLook w:val="04A0"/>
      </w:tblPr>
      <w:tblGrid>
        <w:gridCol w:w="6374"/>
        <w:gridCol w:w="1904"/>
      </w:tblGrid>
      <w:tr w:rsidR="00593821" w:rsidRPr="00374785" w:rsidTr="00593821">
        <w:tc>
          <w:tcPr>
            <w:tcW w:w="6374" w:type="dxa"/>
          </w:tcPr>
          <w:p w:rsidR="00593821" w:rsidRPr="00374785" w:rsidRDefault="0020376C" w:rsidP="00F56275">
            <w:pPr>
              <w:pStyle w:val="tMain"/>
              <w:spacing w:before="100" w:line="360" w:lineRule="auto"/>
              <w:ind w:left="0" w:firstLine="0"/>
            </w:pPr>
            <m:oMathPara>
              <m:oMath>
                <m:sSub>
                  <m:sSubPr>
                    <m:ctrlPr>
                      <w:rPr>
                        <w:rFonts w:ascii="Cambria Math" w:hAnsi="Cambria Math"/>
                        <w:i/>
                      </w:rPr>
                    </m:ctrlPr>
                  </m:sSubPr>
                  <m:e>
                    <m:r>
                      <w:rPr>
                        <w:rFonts w:ascii="Cambria Math" w:hAnsi="Cambria Math"/>
                      </w:rPr>
                      <m:t>E</m:t>
                    </m:r>
                  </m:e>
                  <m:sub>
                    <m:r>
                      <w:rPr>
                        <w:rFonts w:ascii="Cambria Math" w:hAnsi="Cambria Math"/>
                      </w:rPr>
                      <m:t>B</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m:t>
                    </m:r>
                  </m:sub>
                </m:sSub>
                <m:r>
                  <w:rPr>
                    <w:rFonts w:ascii="Cambria Math" w:hAnsi="Cambria Math"/>
                  </w:rPr>
                  <m:t xml:space="preserve">= </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G</m:t>
                            </m:r>
                          </m:e>
                          <m:sub>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m:t>
                            </m:r>
                          </m:sub>
                        </m:sSub>
                      </m:num>
                      <m:den>
                        <m:r>
                          <w:rPr>
                            <w:rFonts w:ascii="Cambria Math" w:hAnsi="Cambria Math"/>
                          </w:rPr>
                          <m:t>1000</m:t>
                        </m:r>
                      </m:den>
                    </m:f>
                  </m:e>
                </m:d>
                <m:r>
                  <w:rPr>
                    <w:rFonts w:ascii="Cambria Math" w:hAnsi="Cambria Math"/>
                  </w:rPr>
                  <m:t xml:space="preserve"> × </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Oi</m:t>
                            </m:r>
                          </m:sub>
                        </m:sSub>
                        <m:r>
                          <w:rPr>
                            <w:rFonts w:ascii="Cambria Math" w:hAnsi="Cambria Math"/>
                          </w:rPr>
                          <m:t xml:space="preserve"> × </m:t>
                        </m:r>
                        <m:sSub>
                          <m:sSubPr>
                            <m:ctrlPr>
                              <w:rPr>
                                <w:rFonts w:ascii="Cambria Math" w:hAnsi="Cambria Math"/>
                                <w:i/>
                              </w:rPr>
                            </m:ctrlPr>
                          </m:sSubPr>
                          <m:e>
                            <m:r>
                              <w:rPr>
                                <w:rFonts w:ascii="Cambria Math" w:hAnsi="Cambria Math"/>
                              </w:rPr>
                              <m:t>a</m:t>
                            </m:r>
                          </m:e>
                          <m:sub>
                            <m:r>
                              <w:rPr>
                                <w:rFonts w:ascii="Cambria Math" w:hAnsi="Cambria Math"/>
                              </w:rPr>
                              <m:t>Bi</m:t>
                            </m:r>
                          </m:sub>
                        </m:sSub>
                      </m:e>
                    </m:d>
                  </m:e>
                </m:nary>
              </m:oMath>
            </m:oMathPara>
          </w:p>
        </w:tc>
        <w:tc>
          <w:tcPr>
            <w:tcW w:w="1904" w:type="dxa"/>
            <w:vAlign w:val="center"/>
          </w:tcPr>
          <w:p w:rsidR="00593821" w:rsidRPr="00374785" w:rsidRDefault="00593821" w:rsidP="000E16C9">
            <w:pPr>
              <w:pStyle w:val="tMain"/>
              <w:ind w:left="0" w:firstLine="0"/>
              <w:jc w:val="center"/>
              <w:rPr>
                <w:b/>
              </w:rPr>
            </w:pPr>
            <w:r w:rsidRPr="00374785">
              <w:rPr>
                <w:b/>
              </w:rPr>
              <w:t xml:space="preserve">Equation </w:t>
            </w:r>
            <w:r w:rsidR="000E16C9">
              <w:rPr>
                <w:b/>
              </w:rPr>
              <w:t>14</w:t>
            </w:r>
          </w:p>
        </w:tc>
      </w:tr>
    </w:tbl>
    <w:p w:rsidR="00593821" w:rsidRPr="00374785" w:rsidRDefault="00593821" w:rsidP="00593821">
      <w:pPr>
        <w:pStyle w:val="tMain"/>
      </w:pPr>
      <w:r w:rsidRPr="00374785">
        <w:tab/>
      </w:r>
      <w:r w:rsidRPr="00374785">
        <w:tab/>
        <w:t>Where:</w:t>
      </w:r>
    </w:p>
    <w:tbl>
      <w:tblPr>
        <w:tblStyle w:val="TableGrid"/>
        <w:tblW w:w="0" w:type="auto"/>
        <w:tblInd w:w="964" w:type="dxa"/>
        <w:tblLook w:val="04A0"/>
      </w:tblPr>
      <w:tblGrid>
        <w:gridCol w:w="1129"/>
        <w:gridCol w:w="7149"/>
      </w:tblGrid>
      <w:tr w:rsidR="00593821" w:rsidRPr="00374785" w:rsidTr="00243677">
        <w:tc>
          <w:tcPr>
            <w:tcW w:w="1129" w:type="dxa"/>
            <w:vAlign w:val="center"/>
          </w:tcPr>
          <w:p w:rsidR="00593821" w:rsidRPr="00374785" w:rsidRDefault="0020376C" w:rsidP="00F56275">
            <w:pPr>
              <w:pStyle w:val="tMain"/>
              <w:ind w:left="0" w:firstLine="0"/>
              <w:jc w:val="right"/>
              <w:rPr>
                <w:color w:val="000000" w:themeColor="text1"/>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B</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m:t>
                    </m:r>
                  </m:sub>
                </m:sSub>
                <m:r>
                  <m:rPr>
                    <m:sty m:val="bi"/>
                  </m:rPr>
                  <w:rPr>
                    <w:rFonts w:ascii="Cambria Math" w:hAnsi="Cambria Math" w:cs="Calibri"/>
                    <w:color w:val="000000" w:themeColor="text1"/>
                    <w:lang w:eastAsia="en-US"/>
                  </w:rPr>
                  <m:t>=</m:t>
                </m:r>
              </m:oMath>
            </m:oMathPara>
          </w:p>
        </w:tc>
        <w:tc>
          <w:tcPr>
            <w:tcW w:w="7149" w:type="dxa"/>
          </w:tcPr>
          <w:p w:rsidR="00593821" w:rsidRPr="00374785" w:rsidRDefault="00593821" w:rsidP="00FC01A6">
            <w:pPr>
              <w:pStyle w:val="tMain"/>
              <w:ind w:left="0" w:firstLine="0"/>
              <w:rPr>
                <w:color w:val="000000" w:themeColor="text1"/>
              </w:rPr>
            </w:pPr>
            <w:r w:rsidRPr="00374785">
              <w:rPr>
                <w:iCs/>
              </w:rPr>
              <w:t xml:space="preserve">emissions of </w:t>
            </w:r>
            <w:r w:rsidR="00AE6841" w:rsidRPr="00374785">
              <w:rPr>
                <w:color w:val="000000"/>
              </w:rPr>
              <w:t>N</w:t>
            </w:r>
            <w:r w:rsidR="00AE6841" w:rsidRPr="00374785">
              <w:rPr>
                <w:color w:val="000000"/>
                <w:vertAlign w:val="subscript"/>
              </w:rPr>
              <w:t>2</w:t>
            </w:r>
            <w:r w:rsidR="00AE6841" w:rsidRPr="00374785">
              <w:rPr>
                <w:color w:val="000000"/>
              </w:rPr>
              <w:t>O</w:t>
            </w:r>
            <w:r w:rsidR="00AE6841" w:rsidRPr="00374785">
              <w:rPr>
                <w:iCs/>
              </w:rPr>
              <w:t xml:space="preserve"> </w:t>
            </w:r>
            <w:r w:rsidRPr="00374785">
              <w:rPr>
                <w:iCs/>
              </w:rPr>
              <w:t xml:space="preserve">from biomass burning for the project for </w:t>
            </w:r>
            <w:r w:rsidR="00AE6841" w:rsidRPr="00374785">
              <w:rPr>
                <w:iCs/>
              </w:rPr>
              <w:t xml:space="preserve">the </w:t>
            </w:r>
            <w:r w:rsidRPr="00374785">
              <w:rPr>
                <w:iCs/>
              </w:rPr>
              <w:t>reporting period</w:t>
            </w:r>
            <w:r w:rsidR="00FC01A6">
              <w:rPr>
                <w:iCs/>
              </w:rPr>
              <w:t xml:space="preserve"> </w:t>
            </w:r>
            <w:r w:rsidR="00FC01A6" w:rsidRPr="00374785">
              <w:rPr>
                <w:iCs/>
              </w:rPr>
              <w:t>(in tonnes CO</w:t>
            </w:r>
            <w:r w:rsidR="00FC01A6" w:rsidRPr="00374785">
              <w:rPr>
                <w:iCs/>
                <w:vertAlign w:val="subscript"/>
              </w:rPr>
              <w:t>2</w:t>
            </w:r>
            <w:r w:rsidR="00FC01A6" w:rsidRPr="00374785">
              <w:rPr>
                <w:iCs/>
              </w:rPr>
              <w:t>-e)</w:t>
            </w:r>
            <w:r w:rsidRPr="00374785">
              <w:rPr>
                <w:iCs/>
              </w:rPr>
              <w:t>.</w:t>
            </w:r>
          </w:p>
        </w:tc>
      </w:tr>
      <w:tr w:rsidR="00593821" w:rsidRPr="00374785" w:rsidTr="00243677">
        <w:tc>
          <w:tcPr>
            <w:tcW w:w="1129" w:type="dxa"/>
            <w:vAlign w:val="center"/>
          </w:tcPr>
          <w:p w:rsidR="00593821" w:rsidRPr="00374785" w:rsidRDefault="0020376C" w:rsidP="00593821">
            <w:pPr>
              <w:pStyle w:val="tMain"/>
              <w:ind w:left="0" w:firstLine="0"/>
              <w:jc w:val="right"/>
              <w:rPr>
                <w:color w:val="000000" w:themeColor="text1"/>
              </w:rPr>
            </w:pPr>
            <m:oMathPara>
              <m:oMathParaPr>
                <m:jc m:val="right"/>
              </m:oMathParaPr>
              <m:oMath>
                <m:sSub>
                  <m:sSubPr>
                    <m:ctrlPr>
                      <w:rPr>
                        <w:rFonts w:ascii="Cambria Math" w:hAnsi="Cambria Math"/>
                        <w:i/>
                      </w:rPr>
                    </m:ctrlPr>
                  </m:sSubPr>
                  <m:e>
                    <m:r>
                      <w:rPr>
                        <w:rFonts w:ascii="Cambria Math" w:hAnsi="Cambria Math"/>
                      </w:rPr>
                      <m:t>E</m:t>
                    </m:r>
                  </m:e>
                  <m:sub>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Oi</m:t>
                    </m:r>
                  </m:sub>
                </m:sSub>
                <m:r>
                  <m:rPr>
                    <m:sty m:val="bi"/>
                  </m:rPr>
                  <w:rPr>
                    <w:rFonts w:ascii="Cambria Math" w:hAnsi="Cambria Math" w:cs="Calibri"/>
                    <w:color w:val="000000" w:themeColor="text1"/>
                    <w:lang w:eastAsia="en-US"/>
                  </w:rPr>
                  <m:t>=</m:t>
                </m:r>
              </m:oMath>
            </m:oMathPara>
          </w:p>
        </w:tc>
        <w:tc>
          <w:tcPr>
            <w:tcW w:w="7149" w:type="dxa"/>
          </w:tcPr>
          <w:p w:rsidR="00593821" w:rsidRPr="00374785" w:rsidRDefault="00593821" w:rsidP="00FC01A6">
            <w:pPr>
              <w:pStyle w:val="tMain"/>
              <w:ind w:left="0" w:firstLine="0"/>
              <w:rPr>
                <w:color w:val="000000" w:themeColor="text1"/>
              </w:rPr>
            </w:pPr>
            <w:r w:rsidRPr="00374785">
              <w:rPr>
                <w:iCs/>
              </w:rPr>
              <w:t xml:space="preserve">mass of </w:t>
            </w:r>
            <w:r w:rsidR="00AE6841" w:rsidRPr="00374785">
              <w:rPr>
                <w:color w:val="000000"/>
              </w:rPr>
              <w:t>N</w:t>
            </w:r>
            <w:r w:rsidR="00AE6841" w:rsidRPr="00374785">
              <w:rPr>
                <w:color w:val="000000"/>
                <w:vertAlign w:val="subscript"/>
              </w:rPr>
              <w:t>2</w:t>
            </w:r>
            <w:r w:rsidR="00AE6841" w:rsidRPr="00374785">
              <w:rPr>
                <w:color w:val="000000"/>
              </w:rPr>
              <w:t>O</w:t>
            </w:r>
            <w:r w:rsidRPr="00374785">
              <w:rPr>
                <w:iCs/>
              </w:rPr>
              <w:t xml:space="preserve"> emitted during the reporting period due to biomass burning </w:t>
            </w:r>
            <w:r w:rsidRPr="00374785">
              <w:rPr>
                <w:color w:val="000000" w:themeColor="text1"/>
              </w:rPr>
              <w:t xml:space="preserve">in the </w:t>
            </w:r>
            <m:oMath>
              <m:r>
                <w:rPr>
                  <w:rFonts w:ascii="Cambria Math" w:hAnsi="Cambria Math"/>
                  <w:color w:val="000000" w:themeColor="text1"/>
                </w:rPr>
                <m:t>i</m:t>
              </m:r>
            </m:oMath>
            <w:r w:rsidRPr="00374785">
              <w:rPr>
                <w:color w:val="000000" w:themeColor="text1"/>
                <w:vertAlign w:val="superscript"/>
              </w:rPr>
              <w:t>th</w:t>
            </w:r>
            <w:r w:rsidRPr="00374785">
              <w:rPr>
                <w:color w:val="000000" w:themeColor="text1"/>
              </w:rPr>
              <w:t xml:space="preserve"> carbon estimation area</w:t>
            </w:r>
            <w:r w:rsidRPr="00374785">
              <w:rPr>
                <w:iCs/>
              </w:rPr>
              <w:t xml:space="preserve"> determined using FullCAM</w:t>
            </w:r>
            <w:r w:rsidR="00FC01A6">
              <w:rPr>
                <w:iCs/>
              </w:rPr>
              <w:t xml:space="preserve"> </w:t>
            </w:r>
            <w:r w:rsidR="00FC01A6" w:rsidRPr="00374785">
              <w:rPr>
                <w:iCs/>
              </w:rPr>
              <w:t>(in kilograms per hectare)</w:t>
            </w:r>
            <w:r w:rsidRPr="00374785">
              <w:rPr>
                <w:iCs/>
              </w:rPr>
              <w:t>.</w:t>
            </w:r>
          </w:p>
        </w:tc>
      </w:tr>
      <w:tr w:rsidR="00593821" w:rsidRPr="00374785" w:rsidTr="00243677">
        <w:tc>
          <w:tcPr>
            <w:tcW w:w="1129" w:type="dxa"/>
            <w:vAlign w:val="center"/>
          </w:tcPr>
          <w:p w:rsidR="00593821" w:rsidRPr="00374785" w:rsidRDefault="0020376C" w:rsidP="00593821">
            <w:pPr>
              <w:pStyle w:val="tMain"/>
              <w:ind w:left="0" w:firstLine="0"/>
              <w:jc w:val="right"/>
            </w:pPr>
            <m:oMathPara>
              <m:oMathParaPr>
                <m:jc m:val="right"/>
              </m:oMathParaPr>
              <m:oMath>
                <m:sSub>
                  <m:sSubPr>
                    <m:ctrlPr>
                      <w:rPr>
                        <w:rFonts w:ascii="Cambria Math" w:hAnsi="Cambria Math"/>
                        <w:i/>
                      </w:rPr>
                    </m:ctrlPr>
                  </m:sSubPr>
                  <m:e>
                    <m:r>
                      <w:rPr>
                        <w:rFonts w:ascii="Cambria Math" w:hAnsi="Cambria Math"/>
                      </w:rPr>
                      <m:t>a</m:t>
                    </m:r>
                  </m:e>
                  <m:sub>
                    <m:r>
                      <w:rPr>
                        <w:rFonts w:ascii="Cambria Math" w:hAnsi="Cambria Math"/>
                      </w:rPr>
                      <m:t>Bi</m:t>
                    </m:r>
                  </m:sub>
                </m:sSub>
                <m:r>
                  <m:rPr>
                    <m:sty m:val="bi"/>
                  </m:rPr>
                  <w:rPr>
                    <w:rFonts w:ascii="Cambria Math" w:hAnsi="Cambria Math" w:cs="Calibri"/>
                    <w:color w:val="000000" w:themeColor="text1"/>
                    <w:lang w:eastAsia="en-US"/>
                  </w:rPr>
                  <m:t>=</m:t>
                </m:r>
              </m:oMath>
            </m:oMathPara>
          </w:p>
        </w:tc>
        <w:tc>
          <w:tcPr>
            <w:tcW w:w="7149" w:type="dxa"/>
          </w:tcPr>
          <w:p w:rsidR="00593821" w:rsidRPr="00374785" w:rsidRDefault="00593821" w:rsidP="00FC01A6">
            <w:pPr>
              <w:pStyle w:val="tMain"/>
              <w:ind w:left="0" w:firstLine="0"/>
              <w:rPr>
                <w:iCs/>
              </w:rPr>
            </w:pPr>
            <w:r w:rsidRPr="00374785">
              <w:rPr>
                <w:iCs/>
              </w:rPr>
              <w:t xml:space="preserve">area burnt in </w:t>
            </w:r>
            <w:r w:rsidRPr="00374785">
              <w:rPr>
                <w:color w:val="000000" w:themeColor="text1"/>
              </w:rPr>
              <w:t xml:space="preserve">the </w:t>
            </w:r>
            <m:oMath>
              <m:r>
                <w:rPr>
                  <w:rFonts w:ascii="Cambria Math" w:hAnsi="Cambria Math"/>
                  <w:color w:val="000000" w:themeColor="text1"/>
                </w:rPr>
                <m:t>i</m:t>
              </m:r>
            </m:oMath>
            <w:r w:rsidRPr="00374785">
              <w:rPr>
                <w:color w:val="000000" w:themeColor="text1"/>
                <w:vertAlign w:val="superscript"/>
              </w:rPr>
              <w:t>th</w:t>
            </w:r>
            <w:r w:rsidRPr="00374785">
              <w:rPr>
                <w:color w:val="000000" w:themeColor="text1"/>
              </w:rPr>
              <w:t xml:space="preserve"> carbon estimation area </w:t>
            </w:r>
            <w:r w:rsidRPr="00374785">
              <w:rPr>
                <w:iCs/>
              </w:rPr>
              <w:t>during the reporting period</w:t>
            </w:r>
            <w:r w:rsidR="00FC01A6">
              <w:rPr>
                <w:iCs/>
              </w:rPr>
              <w:t xml:space="preserve"> </w:t>
            </w:r>
            <w:r w:rsidR="00FC01A6" w:rsidRPr="00374785">
              <w:rPr>
                <w:iCs/>
              </w:rPr>
              <w:t>(in hectares)</w:t>
            </w:r>
            <w:r w:rsidRPr="00374785">
              <w:rPr>
                <w:iCs/>
              </w:rPr>
              <w:t>.</w:t>
            </w:r>
          </w:p>
        </w:tc>
      </w:tr>
      <w:tr w:rsidR="00593821" w:rsidRPr="00374785" w:rsidTr="00243677">
        <w:tc>
          <w:tcPr>
            <w:tcW w:w="1129" w:type="dxa"/>
            <w:vAlign w:val="center"/>
          </w:tcPr>
          <w:p w:rsidR="00593821" w:rsidRPr="00374785" w:rsidRDefault="0020376C" w:rsidP="00593821">
            <w:pPr>
              <w:pStyle w:val="tMain"/>
              <w:ind w:left="0" w:firstLine="0"/>
              <w:jc w:val="right"/>
              <w:rPr>
                <w:color w:val="000000" w:themeColor="text1"/>
              </w:rPr>
            </w:pPr>
            <m:oMathPara>
              <m:oMathParaPr>
                <m:jc m:val="right"/>
              </m:oMathParaPr>
              <m:oMath>
                <m:sSub>
                  <m:sSubPr>
                    <m:ctrlPr>
                      <w:rPr>
                        <w:rFonts w:ascii="Cambria Math" w:hAnsi="Cambria Math"/>
                        <w:i/>
                      </w:rPr>
                    </m:ctrlPr>
                  </m:sSubPr>
                  <m:e>
                    <m:r>
                      <w:rPr>
                        <w:rFonts w:ascii="Cambria Math" w:hAnsi="Cambria Math"/>
                      </w:rPr>
                      <m:t>G</m:t>
                    </m:r>
                  </m:e>
                  <m:sub>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m:t>
                    </m:r>
                  </m:sub>
                </m:sSub>
                <m:r>
                  <m:rPr>
                    <m:sty m:val="bi"/>
                  </m:rPr>
                  <w:rPr>
                    <w:rFonts w:ascii="Cambria Math" w:hAnsi="Cambria Math" w:cs="Calibri"/>
                    <w:color w:val="000000" w:themeColor="text1"/>
                    <w:lang w:eastAsia="en-US"/>
                  </w:rPr>
                  <m:t>=</m:t>
                </m:r>
              </m:oMath>
            </m:oMathPara>
          </w:p>
        </w:tc>
        <w:tc>
          <w:tcPr>
            <w:tcW w:w="7149" w:type="dxa"/>
          </w:tcPr>
          <w:p w:rsidR="00593821" w:rsidRPr="00374785" w:rsidRDefault="00593821" w:rsidP="006717FC">
            <w:pPr>
              <w:pStyle w:val="tMain"/>
              <w:ind w:left="0" w:firstLine="0"/>
              <w:rPr>
                <w:color w:val="000000" w:themeColor="text1"/>
              </w:rPr>
            </w:pPr>
            <w:r w:rsidRPr="00374785">
              <w:rPr>
                <w:iCs/>
              </w:rPr>
              <w:t xml:space="preserve">global warming potential of </w:t>
            </w:r>
            <w:r w:rsidR="00AE6841" w:rsidRPr="00374785">
              <w:rPr>
                <w:iCs/>
              </w:rPr>
              <w:t>nitrous oxide</w:t>
            </w:r>
            <w:r w:rsidRPr="00374785">
              <w:rPr>
                <w:iCs/>
              </w:rPr>
              <w:t xml:space="preserve"> as specified in the NGER Regulations</w:t>
            </w:r>
            <w:r w:rsidRPr="00374785">
              <w:rPr>
                <w:color w:val="000000" w:themeColor="text1"/>
              </w:rPr>
              <w:t xml:space="preserve">. </w:t>
            </w:r>
          </w:p>
        </w:tc>
      </w:tr>
      <w:tr w:rsidR="00593821" w:rsidRPr="00374785" w:rsidTr="00243677">
        <w:tc>
          <w:tcPr>
            <w:tcW w:w="1129" w:type="dxa"/>
          </w:tcPr>
          <w:p w:rsidR="00593821" w:rsidRPr="00374785" w:rsidRDefault="00593821" w:rsidP="00593821">
            <w:pPr>
              <w:pStyle w:val="tMain"/>
              <w:ind w:left="0" w:firstLine="0"/>
              <w:jc w:val="right"/>
              <w:rPr>
                <w:color w:val="000000" w:themeColor="text1"/>
              </w:rPr>
            </w:pPr>
            <m:oMathPara>
              <m:oMathParaPr>
                <m:jc m:val="right"/>
              </m:oMathParaPr>
              <m:oMath>
                <m:r>
                  <w:rPr>
                    <w:rFonts w:ascii="Cambria Math" w:hAnsi="Cambria Math"/>
                  </w:rPr>
                  <m:t>n</m:t>
                </m:r>
                <m:r>
                  <m:rPr>
                    <m:sty m:val="bi"/>
                  </m:rPr>
                  <w:rPr>
                    <w:rFonts w:ascii="Cambria Math" w:hAnsi="Cambria Math" w:cs="Calibri"/>
                    <w:color w:val="000000" w:themeColor="text1"/>
                    <w:lang w:eastAsia="en-US"/>
                  </w:rPr>
                  <m:t>=</m:t>
                </m:r>
              </m:oMath>
            </m:oMathPara>
          </w:p>
        </w:tc>
        <w:tc>
          <w:tcPr>
            <w:tcW w:w="7149" w:type="dxa"/>
          </w:tcPr>
          <w:p w:rsidR="00593821" w:rsidRPr="00374785" w:rsidRDefault="00593821" w:rsidP="007E36FF">
            <w:pPr>
              <w:pStyle w:val="tMain"/>
              <w:ind w:left="0" w:firstLine="0"/>
              <w:rPr>
                <w:color w:val="000000" w:themeColor="text1"/>
              </w:rPr>
            </w:pPr>
            <w:r w:rsidRPr="00374785">
              <w:rPr>
                <w:iCs/>
              </w:rPr>
              <w:t>total number of carbon estimation areas within the project area at the end of the reporting period</w:t>
            </w:r>
            <w:r w:rsidRPr="00374785">
              <w:rPr>
                <w:color w:val="000000" w:themeColor="text1"/>
              </w:rPr>
              <w:t xml:space="preserve">. </w:t>
            </w:r>
          </w:p>
        </w:tc>
      </w:tr>
    </w:tbl>
    <w:p w:rsidR="002B60C7" w:rsidRPr="00374785" w:rsidRDefault="006F3E21" w:rsidP="006F3E21">
      <w:pPr>
        <w:pStyle w:val="tMain"/>
      </w:pPr>
      <w:r w:rsidRPr="00374785">
        <w:tab/>
      </w:r>
      <w:r w:rsidR="007F3C0F">
        <w:t>(3)</w:t>
      </w:r>
      <w:r w:rsidRPr="00374785">
        <w:tab/>
      </w:r>
      <w:r w:rsidR="007B60BA" w:rsidRPr="00374785">
        <w:t>For each reporting period, t</w:t>
      </w:r>
      <w:r w:rsidR="00AE6841" w:rsidRPr="00374785">
        <w:t xml:space="preserve">otal emissions due to biomass burning for </w:t>
      </w:r>
      <w:r w:rsidR="007E36FF" w:rsidRPr="00374785">
        <w:t xml:space="preserve">the project </w:t>
      </w:r>
      <w:r w:rsidR="00474E95" w:rsidRPr="00374785">
        <w:t xml:space="preserve">in the reporting period </w:t>
      </w:r>
      <w:r w:rsidR="00AE6841" w:rsidRPr="00374785">
        <w:t>must be calculated using the following formula</w:t>
      </w:r>
      <w:r w:rsidRPr="00374785">
        <w:t>:</w:t>
      </w:r>
    </w:p>
    <w:tbl>
      <w:tblPr>
        <w:tblStyle w:val="TableGrid"/>
        <w:tblW w:w="0" w:type="auto"/>
        <w:tblInd w:w="964" w:type="dxa"/>
        <w:tblLook w:val="04A0"/>
      </w:tblPr>
      <w:tblGrid>
        <w:gridCol w:w="6374"/>
        <w:gridCol w:w="1904"/>
      </w:tblGrid>
      <w:tr w:rsidR="00404B2E" w:rsidRPr="00374785" w:rsidTr="00404B2E">
        <w:tc>
          <w:tcPr>
            <w:tcW w:w="6374" w:type="dxa"/>
          </w:tcPr>
          <w:p w:rsidR="00404B2E" w:rsidRPr="00374785" w:rsidRDefault="0020376C" w:rsidP="00F56275">
            <w:pPr>
              <w:pStyle w:val="tMain"/>
              <w:spacing w:before="100" w:line="360" w:lineRule="auto"/>
              <w:ind w:left="0" w:firstLine="0"/>
            </w:pPr>
            <m:oMathPara>
              <m:oMath>
                <m:sSub>
                  <m:sSubPr>
                    <m:ctrlPr>
                      <w:rPr>
                        <w:rFonts w:ascii="Cambria Math" w:hAnsi="Cambria Math"/>
                        <w:i/>
                      </w:rPr>
                    </m:ctrlPr>
                  </m:sSubPr>
                  <m:e>
                    <m:r>
                      <w:rPr>
                        <w:rFonts w:ascii="Cambria Math" w:hAnsi="Cambria Math"/>
                      </w:rPr>
                      <m:t>E</m:t>
                    </m:r>
                  </m:e>
                  <m:sub>
                    <m:r>
                      <w:rPr>
                        <w:rFonts w:ascii="Cambria Math" w:hAnsi="Cambria Math"/>
                      </w:rPr>
                      <m:t>B</m:t>
                    </m:r>
                  </m:sub>
                </m:sSub>
                <m:r>
                  <w:rPr>
                    <w:rFonts w:ascii="Cambria Math" w:hAnsi="Cambria Math"/>
                  </w:rPr>
                  <m:t xml:space="preserve"> = </m:t>
                </m:r>
                <m:sSub>
                  <m:sSubPr>
                    <m:ctrlPr>
                      <w:rPr>
                        <w:rFonts w:ascii="Cambria Math" w:hAnsi="Cambria Math"/>
                        <w:i/>
                      </w:rPr>
                    </m:ctrlPr>
                  </m:sSubPr>
                  <m:e>
                    <m:r>
                      <w:rPr>
                        <w:rFonts w:ascii="Cambria Math" w:hAnsi="Cambria Math"/>
                      </w:rPr>
                      <m:t>E</m:t>
                    </m:r>
                  </m:e>
                  <m:sub>
                    <m:r>
                      <w:rPr>
                        <w:rFonts w:ascii="Cambria Math" w:hAnsi="Cambria Math"/>
                      </w:rPr>
                      <m:t>B</m:t>
                    </m:r>
                    <m:sSub>
                      <m:sSubPr>
                        <m:ctrlPr>
                          <w:rPr>
                            <w:rFonts w:ascii="Cambria Math" w:hAnsi="Cambria Math"/>
                            <w:i/>
                          </w:rPr>
                        </m:ctrlPr>
                      </m:sSubPr>
                      <m:e>
                        <m:r>
                          <w:rPr>
                            <w:rFonts w:ascii="Cambria Math" w:hAnsi="Cambria Math"/>
                          </w:rPr>
                          <m:t>CH</m:t>
                        </m:r>
                      </m:e>
                      <m:sub>
                        <m:r>
                          <w:rPr>
                            <w:rFonts w:ascii="Cambria Math" w:hAnsi="Cambria Math"/>
                          </w:rPr>
                          <m:t>4</m:t>
                        </m:r>
                      </m:sub>
                    </m:sSub>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B</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m:t>
                    </m:r>
                  </m:sub>
                </m:sSub>
              </m:oMath>
            </m:oMathPara>
          </w:p>
        </w:tc>
        <w:tc>
          <w:tcPr>
            <w:tcW w:w="1904" w:type="dxa"/>
            <w:vAlign w:val="center"/>
          </w:tcPr>
          <w:p w:rsidR="00404B2E" w:rsidRPr="00374785" w:rsidRDefault="00404B2E" w:rsidP="000E16C9">
            <w:pPr>
              <w:pStyle w:val="tMain"/>
              <w:ind w:left="0" w:firstLine="0"/>
              <w:jc w:val="center"/>
              <w:rPr>
                <w:b/>
              </w:rPr>
            </w:pPr>
            <w:r w:rsidRPr="00374785">
              <w:rPr>
                <w:b/>
              </w:rPr>
              <w:t xml:space="preserve">Equation </w:t>
            </w:r>
            <w:r w:rsidR="000E16C9">
              <w:rPr>
                <w:b/>
              </w:rPr>
              <w:t>15</w:t>
            </w:r>
          </w:p>
        </w:tc>
      </w:tr>
    </w:tbl>
    <w:p w:rsidR="00404B2E" w:rsidRPr="00374785" w:rsidRDefault="00404B2E" w:rsidP="00404B2E">
      <w:pPr>
        <w:pStyle w:val="tMain"/>
      </w:pPr>
      <w:r w:rsidRPr="00374785">
        <w:tab/>
      </w:r>
      <w:r w:rsidRPr="00374785">
        <w:tab/>
        <w:t>Where:</w:t>
      </w:r>
    </w:p>
    <w:tbl>
      <w:tblPr>
        <w:tblStyle w:val="TableGrid"/>
        <w:tblW w:w="0" w:type="auto"/>
        <w:tblInd w:w="964" w:type="dxa"/>
        <w:tblLook w:val="04A0"/>
      </w:tblPr>
      <w:tblGrid>
        <w:gridCol w:w="1129"/>
        <w:gridCol w:w="7149"/>
      </w:tblGrid>
      <w:tr w:rsidR="00404B2E" w:rsidRPr="00374785" w:rsidTr="00243677">
        <w:tc>
          <w:tcPr>
            <w:tcW w:w="1129" w:type="dxa"/>
            <w:vAlign w:val="center"/>
          </w:tcPr>
          <w:p w:rsidR="00404B2E" w:rsidRPr="00374785" w:rsidRDefault="0020376C" w:rsidP="00F56275">
            <w:pPr>
              <w:pStyle w:val="tMain"/>
              <w:ind w:left="0" w:firstLine="0"/>
              <w:jc w:val="right"/>
              <w:rPr>
                <w:color w:val="000000" w:themeColor="text1"/>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B</m:t>
                    </m:r>
                  </m:sub>
                </m:sSub>
                <m:r>
                  <m:rPr>
                    <m:sty m:val="bi"/>
                  </m:rPr>
                  <w:rPr>
                    <w:rFonts w:ascii="Cambria Math" w:hAnsi="Cambria Math" w:cs="Calibri"/>
                    <w:color w:val="000000" w:themeColor="text1"/>
                    <w:lang w:eastAsia="en-US"/>
                  </w:rPr>
                  <m:t>=</m:t>
                </m:r>
              </m:oMath>
            </m:oMathPara>
          </w:p>
        </w:tc>
        <w:tc>
          <w:tcPr>
            <w:tcW w:w="7149" w:type="dxa"/>
          </w:tcPr>
          <w:p w:rsidR="00404B2E" w:rsidRPr="00374785" w:rsidRDefault="00404B2E" w:rsidP="00323067">
            <w:pPr>
              <w:pStyle w:val="tMain"/>
              <w:ind w:left="0" w:firstLine="0"/>
              <w:rPr>
                <w:color w:val="000000" w:themeColor="text1"/>
              </w:rPr>
            </w:pPr>
            <w:r w:rsidRPr="00374785">
              <w:rPr>
                <w:iCs/>
              </w:rPr>
              <w:t>total emissions from biomass burning for the project for the reporting period</w:t>
            </w:r>
            <w:r w:rsidR="00323067">
              <w:rPr>
                <w:iCs/>
              </w:rPr>
              <w:t xml:space="preserve"> </w:t>
            </w:r>
            <w:r w:rsidR="00323067" w:rsidRPr="00374785">
              <w:rPr>
                <w:iCs/>
              </w:rPr>
              <w:t>(in tonnes CO</w:t>
            </w:r>
            <w:r w:rsidR="00323067" w:rsidRPr="00374785">
              <w:rPr>
                <w:iCs/>
                <w:vertAlign w:val="subscript"/>
              </w:rPr>
              <w:t>2</w:t>
            </w:r>
            <w:r w:rsidR="00323067" w:rsidRPr="00374785">
              <w:rPr>
                <w:iCs/>
              </w:rPr>
              <w:t>-e)</w:t>
            </w:r>
            <w:r w:rsidRPr="00374785">
              <w:rPr>
                <w:iCs/>
              </w:rPr>
              <w:t>.</w:t>
            </w:r>
          </w:p>
        </w:tc>
      </w:tr>
      <w:tr w:rsidR="00404B2E" w:rsidRPr="00374785" w:rsidTr="00243677">
        <w:tc>
          <w:tcPr>
            <w:tcW w:w="1129" w:type="dxa"/>
            <w:vAlign w:val="center"/>
          </w:tcPr>
          <w:p w:rsidR="00404B2E" w:rsidRPr="00374785" w:rsidRDefault="0020376C" w:rsidP="00F56275">
            <w:pPr>
              <w:pStyle w:val="tMain"/>
              <w:ind w:left="0" w:firstLine="0"/>
              <w:jc w:val="right"/>
              <w:rPr>
                <w:color w:val="000000" w:themeColor="text1"/>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B</m:t>
                    </m:r>
                    <m:sSub>
                      <m:sSubPr>
                        <m:ctrlPr>
                          <w:rPr>
                            <w:rFonts w:ascii="Cambria Math" w:hAnsi="Cambria Math"/>
                            <w:i/>
                          </w:rPr>
                        </m:ctrlPr>
                      </m:sSubPr>
                      <m:e>
                        <m:r>
                          <w:rPr>
                            <w:rFonts w:ascii="Cambria Math" w:hAnsi="Cambria Math"/>
                          </w:rPr>
                          <m:t>CH</m:t>
                        </m:r>
                      </m:e>
                      <m:sub>
                        <m:r>
                          <w:rPr>
                            <w:rFonts w:ascii="Cambria Math" w:hAnsi="Cambria Math"/>
                          </w:rPr>
                          <m:t>4</m:t>
                        </m:r>
                      </m:sub>
                    </m:sSub>
                  </m:sub>
                </m:sSub>
                <m:r>
                  <m:rPr>
                    <m:sty m:val="bi"/>
                  </m:rPr>
                  <w:rPr>
                    <w:rFonts w:ascii="Cambria Math" w:hAnsi="Cambria Math" w:cs="Calibri"/>
                    <w:color w:val="000000" w:themeColor="text1"/>
                    <w:lang w:eastAsia="en-US"/>
                  </w:rPr>
                  <m:t>=</m:t>
                </m:r>
              </m:oMath>
            </m:oMathPara>
          </w:p>
        </w:tc>
        <w:tc>
          <w:tcPr>
            <w:tcW w:w="7149" w:type="dxa"/>
          </w:tcPr>
          <w:p w:rsidR="00404B2E" w:rsidRPr="00374785" w:rsidRDefault="00926FE8" w:rsidP="00B34F30">
            <w:pPr>
              <w:pStyle w:val="tMain"/>
              <w:ind w:left="0" w:firstLine="0"/>
              <w:rPr>
                <w:color w:val="000000" w:themeColor="text1"/>
              </w:rPr>
            </w:pPr>
            <w:proofErr w:type="gramStart"/>
            <w:r w:rsidRPr="00374785">
              <w:rPr>
                <w:iCs/>
              </w:rPr>
              <w:t>emissions</w:t>
            </w:r>
            <w:proofErr w:type="gramEnd"/>
            <w:r w:rsidRPr="00374785">
              <w:rPr>
                <w:iCs/>
              </w:rPr>
              <w:t xml:space="preserve"> of CH</w:t>
            </w:r>
            <w:r w:rsidRPr="00374785">
              <w:rPr>
                <w:iCs/>
                <w:vertAlign w:val="subscript"/>
              </w:rPr>
              <w:t>4</w:t>
            </w:r>
            <w:r w:rsidRPr="00374785">
              <w:rPr>
                <w:iCs/>
              </w:rPr>
              <w:t xml:space="preserve"> from biomass burning for the project for the reporting period</w:t>
            </w:r>
            <w:r w:rsidR="00323067">
              <w:rPr>
                <w:iCs/>
              </w:rPr>
              <w:t xml:space="preserve"> </w:t>
            </w:r>
            <w:r w:rsidR="00323067" w:rsidRPr="00374785">
              <w:rPr>
                <w:iCs/>
              </w:rPr>
              <w:t>(in tonnes CO</w:t>
            </w:r>
            <w:r w:rsidR="00323067" w:rsidRPr="00374785">
              <w:rPr>
                <w:iCs/>
                <w:vertAlign w:val="subscript"/>
              </w:rPr>
              <w:t>2</w:t>
            </w:r>
            <w:r w:rsidR="00323067" w:rsidRPr="00374785">
              <w:rPr>
                <w:iCs/>
              </w:rPr>
              <w:t>-e)</w:t>
            </w:r>
            <w:r w:rsidRPr="00374785">
              <w:rPr>
                <w:iCs/>
              </w:rPr>
              <w:t xml:space="preserve">—see Equation </w:t>
            </w:r>
            <w:r w:rsidR="00B34F30">
              <w:rPr>
                <w:iCs/>
              </w:rPr>
              <w:t>13</w:t>
            </w:r>
            <w:r w:rsidR="00404B2E" w:rsidRPr="00374785">
              <w:rPr>
                <w:iCs/>
              </w:rPr>
              <w:t>.</w:t>
            </w:r>
          </w:p>
        </w:tc>
      </w:tr>
      <w:tr w:rsidR="00404B2E" w:rsidRPr="00374785" w:rsidTr="00243677">
        <w:tc>
          <w:tcPr>
            <w:tcW w:w="1129" w:type="dxa"/>
            <w:vAlign w:val="center"/>
          </w:tcPr>
          <w:p w:rsidR="00404B2E" w:rsidRPr="00374785" w:rsidRDefault="0020376C" w:rsidP="00F56275">
            <w:pPr>
              <w:pStyle w:val="tMain"/>
              <w:ind w:left="0" w:firstLine="0"/>
              <w:jc w:val="right"/>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B</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O</m:t>
                    </m:r>
                  </m:sub>
                </m:sSub>
                <m:r>
                  <m:rPr>
                    <m:sty m:val="bi"/>
                  </m:rPr>
                  <w:rPr>
                    <w:rFonts w:ascii="Cambria Math" w:hAnsi="Cambria Math" w:cs="Calibri"/>
                    <w:color w:val="000000" w:themeColor="text1"/>
                    <w:lang w:eastAsia="en-US"/>
                  </w:rPr>
                  <m:t>=</m:t>
                </m:r>
              </m:oMath>
            </m:oMathPara>
          </w:p>
        </w:tc>
        <w:tc>
          <w:tcPr>
            <w:tcW w:w="7149" w:type="dxa"/>
          </w:tcPr>
          <w:p w:rsidR="00404B2E" w:rsidRPr="00374785" w:rsidRDefault="00926FE8" w:rsidP="00B34F30">
            <w:pPr>
              <w:pStyle w:val="tMain"/>
              <w:ind w:left="0" w:firstLine="0"/>
              <w:rPr>
                <w:iCs/>
              </w:rPr>
            </w:pPr>
            <w:proofErr w:type="gramStart"/>
            <w:r w:rsidRPr="00374785">
              <w:rPr>
                <w:iCs/>
              </w:rPr>
              <w:t>emissions</w:t>
            </w:r>
            <w:proofErr w:type="gramEnd"/>
            <w:r w:rsidRPr="00374785">
              <w:rPr>
                <w:iCs/>
              </w:rPr>
              <w:t xml:space="preserve"> of </w:t>
            </w:r>
            <w:r w:rsidRPr="00374785">
              <w:rPr>
                <w:color w:val="000000"/>
              </w:rPr>
              <w:t>N</w:t>
            </w:r>
            <w:r w:rsidRPr="00374785">
              <w:rPr>
                <w:color w:val="000000"/>
                <w:vertAlign w:val="subscript"/>
              </w:rPr>
              <w:t>2</w:t>
            </w:r>
            <w:r w:rsidRPr="00374785">
              <w:rPr>
                <w:color w:val="000000"/>
              </w:rPr>
              <w:t>O</w:t>
            </w:r>
            <w:r w:rsidRPr="00374785">
              <w:rPr>
                <w:iCs/>
              </w:rPr>
              <w:t xml:space="preserve"> from biomass burning for the project for the reporting period</w:t>
            </w:r>
            <w:r w:rsidR="00323067">
              <w:rPr>
                <w:iCs/>
              </w:rPr>
              <w:t xml:space="preserve"> </w:t>
            </w:r>
            <w:r w:rsidR="00323067" w:rsidRPr="00374785">
              <w:rPr>
                <w:iCs/>
              </w:rPr>
              <w:t>(in tonnes CO</w:t>
            </w:r>
            <w:r w:rsidR="00323067" w:rsidRPr="00374785">
              <w:rPr>
                <w:iCs/>
                <w:vertAlign w:val="subscript"/>
              </w:rPr>
              <w:t>2</w:t>
            </w:r>
            <w:r w:rsidR="00323067" w:rsidRPr="00374785">
              <w:rPr>
                <w:iCs/>
              </w:rPr>
              <w:t>-e)</w:t>
            </w:r>
            <w:r w:rsidRPr="00374785">
              <w:rPr>
                <w:iCs/>
              </w:rPr>
              <w:t xml:space="preserve">—see Equation </w:t>
            </w:r>
            <w:r w:rsidR="00B34F30">
              <w:rPr>
                <w:iCs/>
              </w:rPr>
              <w:t>14</w:t>
            </w:r>
            <w:r w:rsidR="00404B2E" w:rsidRPr="00374785">
              <w:rPr>
                <w:iCs/>
              </w:rPr>
              <w:t>.</w:t>
            </w:r>
          </w:p>
        </w:tc>
      </w:tr>
    </w:tbl>
    <w:p w:rsidR="002B60C7" w:rsidRPr="00374785" w:rsidRDefault="007F3C0F" w:rsidP="00926FE8">
      <w:pPr>
        <w:pStyle w:val="h5Section"/>
      </w:pPr>
      <w:bookmarkStart w:id="93" w:name="_Toc397681636"/>
      <w:r>
        <w:t>4.1</w:t>
      </w:r>
      <w:r w:rsidR="000E16C9">
        <w:t>4</w:t>
      </w:r>
      <w:r w:rsidR="00926FE8" w:rsidRPr="00374785">
        <w:tab/>
      </w:r>
      <w:r w:rsidR="002B60C7" w:rsidRPr="00374785">
        <w:t>Calculating emissions from fuel use</w:t>
      </w:r>
      <w:bookmarkEnd w:id="93"/>
    </w:p>
    <w:p w:rsidR="00926FE8" w:rsidRPr="00374785" w:rsidRDefault="00926FE8" w:rsidP="00926FE8">
      <w:pPr>
        <w:pStyle w:val="tMain"/>
      </w:pPr>
      <w:r w:rsidRPr="00374785">
        <w:tab/>
      </w:r>
      <w:r w:rsidR="007F3C0F">
        <w:t>(1)</w:t>
      </w:r>
      <w:r w:rsidRPr="00374785">
        <w:tab/>
      </w:r>
      <w:r w:rsidR="007B60BA" w:rsidRPr="00374785">
        <w:t>For each reporting period, e</w:t>
      </w:r>
      <w:r w:rsidRPr="00374785">
        <w:t>missions from fuel use must be calculated:</w:t>
      </w:r>
    </w:p>
    <w:p w:rsidR="00926FE8" w:rsidRPr="00374785" w:rsidRDefault="00926FE8" w:rsidP="00926FE8">
      <w:pPr>
        <w:pStyle w:val="tPara"/>
      </w:pPr>
      <w:r w:rsidRPr="00374785">
        <w:tab/>
      </w:r>
      <w:r w:rsidR="007F3C0F">
        <w:t>(a)</w:t>
      </w:r>
      <w:r w:rsidRPr="00374785">
        <w:tab/>
        <w:t xml:space="preserve">from the end of the previous reporting period to the last month of the current reporting period; </w:t>
      </w:r>
    </w:p>
    <w:p w:rsidR="00926FE8" w:rsidRPr="00374785" w:rsidRDefault="00926FE8" w:rsidP="00926FE8">
      <w:pPr>
        <w:pStyle w:val="tPara"/>
      </w:pPr>
      <w:r w:rsidRPr="00374785">
        <w:tab/>
      </w:r>
      <w:r w:rsidR="007F3C0F">
        <w:t>(b)</w:t>
      </w:r>
      <w:r w:rsidRPr="00374785">
        <w:tab/>
        <w:t>from either:</w:t>
      </w:r>
    </w:p>
    <w:p w:rsidR="00926FE8" w:rsidRPr="00374785" w:rsidRDefault="00926FE8" w:rsidP="00926FE8">
      <w:pPr>
        <w:pStyle w:val="tSubpara"/>
      </w:pPr>
      <w:r w:rsidRPr="00374785">
        <w:tab/>
      </w:r>
      <w:r w:rsidR="007F3C0F">
        <w:t>(i)</w:t>
      </w:r>
      <w:r w:rsidRPr="00374785">
        <w:tab/>
        <w:t>raw data; or</w:t>
      </w:r>
    </w:p>
    <w:p w:rsidR="00926FE8" w:rsidRPr="00374785" w:rsidRDefault="00926FE8" w:rsidP="00926FE8">
      <w:pPr>
        <w:pStyle w:val="tSubpara"/>
      </w:pPr>
      <w:r w:rsidRPr="00374785">
        <w:tab/>
      </w:r>
      <w:r w:rsidR="007F3C0F">
        <w:t>(ii)</w:t>
      </w:r>
      <w:r w:rsidRPr="00374785">
        <w:tab/>
        <w:t>estimates for quantities and types of fuel used</w:t>
      </w:r>
      <w:r w:rsidR="00765484" w:rsidRPr="00374785">
        <w:t>; and</w:t>
      </w:r>
    </w:p>
    <w:p w:rsidR="00765484" w:rsidRPr="00374785" w:rsidRDefault="00765484" w:rsidP="00765484">
      <w:pPr>
        <w:pStyle w:val="tPara"/>
      </w:pPr>
      <w:r w:rsidRPr="00374785">
        <w:tab/>
      </w:r>
      <w:r w:rsidR="007F3C0F" w:rsidRPr="00D374EA">
        <w:t>(c)</w:t>
      </w:r>
      <w:r w:rsidRPr="00D374EA">
        <w:tab/>
      </w:r>
      <w:proofErr w:type="gramStart"/>
      <w:r w:rsidRPr="00D374EA">
        <w:t>using</w:t>
      </w:r>
      <w:proofErr w:type="gramEnd"/>
      <w:r w:rsidRPr="00D374EA">
        <w:t xml:space="preserve"> Equations </w:t>
      </w:r>
      <w:r w:rsidR="000E16C9" w:rsidRPr="00D374EA">
        <w:t xml:space="preserve">16 </w:t>
      </w:r>
      <w:r w:rsidRPr="00D374EA">
        <w:t xml:space="preserve">and </w:t>
      </w:r>
      <w:r w:rsidR="000E16C9" w:rsidRPr="00D374EA">
        <w:t>17</w:t>
      </w:r>
      <w:r w:rsidRPr="00D374EA">
        <w:t>.</w:t>
      </w:r>
    </w:p>
    <w:p w:rsidR="002B60C7" w:rsidRPr="00374785" w:rsidRDefault="00765484" w:rsidP="00765484">
      <w:pPr>
        <w:pStyle w:val="tMain"/>
      </w:pPr>
      <w:r w:rsidRPr="00374785">
        <w:tab/>
      </w:r>
      <w:r w:rsidR="007F3C0F">
        <w:t>(2)</w:t>
      </w:r>
      <w:r w:rsidRPr="00374785">
        <w:tab/>
      </w:r>
      <w:r w:rsidR="007B60BA" w:rsidRPr="00374785">
        <w:t>For each reporting period, t</w:t>
      </w:r>
      <w:r w:rsidRPr="00374785">
        <w:t>he fuel emissions for each fuel type and each greenhouse gas type (carbon dioxide, nitrous oxide and methane) for the reporting period must be calculated using the following formula:</w:t>
      </w:r>
    </w:p>
    <w:tbl>
      <w:tblPr>
        <w:tblStyle w:val="TableGrid"/>
        <w:tblW w:w="0" w:type="auto"/>
        <w:tblInd w:w="964" w:type="dxa"/>
        <w:tblLook w:val="04A0"/>
      </w:tblPr>
      <w:tblGrid>
        <w:gridCol w:w="6374"/>
        <w:gridCol w:w="1904"/>
      </w:tblGrid>
      <w:tr w:rsidR="00765484" w:rsidRPr="00374785" w:rsidTr="00765484">
        <w:tc>
          <w:tcPr>
            <w:tcW w:w="6374" w:type="dxa"/>
          </w:tcPr>
          <w:p w:rsidR="00765484" w:rsidRPr="00374785" w:rsidRDefault="0020376C" w:rsidP="00F56275">
            <w:pPr>
              <w:pStyle w:val="tMain"/>
              <w:spacing w:before="100" w:line="360" w:lineRule="auto"/>
              <w:ind w:left="0" w:firstLine="0"/>
            </w:pPr>
            <m:oMathPara>
              <m:oMath>
                <m:sSub>
                  <m:sSubPr>
                    <m:ctrlPr>
                      <w:rPr>
                        <w:rFonts w:ascii="Cambria Math" w:hAnsi="Cambria Math"/>
                        <w:i/>
                      </w:rPr>
                    </m:ctrlPr>
                  </m:sSubPr>
                  <m:e>
                    <m:r>
                      <w:rPr>
                        <w:rFonts w:ascii="Cambria Math" w:hAnsi="Cambria Math"/>
                      </w:rPr>
                      <m:t>E</m:t>
                    </m:r>
                  </m:e>
                  <m:sub>
                    <m:r>
                      <w:rPr>
                        <w:rFonts w:ascii="Cambria Math" w:hAnsi="Cambria Math"/>
                      </w:rPr>
                      <m:t>fk</m:t>
                    </m:r>
                  </m:sub>
                </m:sSub>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f</m:t>
                        </m:r>
                      </m:sub>
                    </m:sSub>
                    <m:r>
                      <w:rPr>
                        <w:rFonts w:ascii="Cambria Math" w:hAnsi="Cambria Math"/>
                      </w:rPr>
                      <m:t xml:space="preserve"> × </m:t>
                    </m:r>
                    <m:sSub>
                      <m:sSubPr>
                        <m:ctrlPr>
                          <w:rPr>
                            <w:rFonts w:ascii="Cambria Math" w:hAnsi="Cambria Math"/>
                            <w:i/>
                          </w:rPr>
                        </m:ctrlPr>
                      </m:sSubPr>
                      <m:e>
                        <m:r>
                          <w:rPr>
                            <w:rFonts w:ascii="Cambria Math" w:hAnsi="Cambria Math"/>
                          </w:rPr>
                          <m:t>e</m:t>
                        </m:r>
                      </m:e>
                      <m:sub>
                        <m:r>
                          <w:rPr>
                            <w:rFonts w:ascii="Cambria Math" w:hAnsi="Cambria Math"/>
                          </w:rPr>
                          <m:t>f</m:t>
                        </m:r>
                      </m:sub>
                    </m:sSub>
                    <m:r>
                      <w:rPr>
                        <w:rFonts w:ascii="Cambria Math" w:hAnsi="Cambria Math"/>
                      </w:rPr>
                      <m:t xml:space="preserve"> × </m:t>
                    </m:r>
                    <m:sSub>
                      <m:sSubPr>
                        <m:ctrlPr>
                          <w:rPr>
                            <w:rFonts w:ascii="Cambria Math" w:hAnsi="Cambria Math"/>
                            <w:i/>
                          </w:rPr>
                        </m:ctrlPr>
                      </m:sSubPr>
                      <m:e>
                        <m:r>
                          <w:rPr>
                            <w:rFonts w:ascii="Cambria Math" w:hAnsi="Cambria Math"/>
                          </w:rPr>
                          <m:t>F</m:t>
                        </m:r>
                      </m:e>
                      <m:sub>
                        <m:r>
                          <w:rPr>
                            <w:rFonts w:ascii="Cambria Math" w:hAnsi="Cambria Math"/>
                          </w:rPr>
                          <m:t>fk</m:t>
                        </m:r>
                      </m:sub>
                    </m:sSub>
                  </m:num>
                  <m:den>
                    <m:r>
                      <w:rPr>
                        <w:rFonts w:ascii="Cambria Math" w:hAnsi="Cambria Math"/>
                      </w:rPr>
                      <m:t>1000</m:t>
                    </m:r>
                  </m:den>
                </m:f>
              </m:oMath>
            </m:oMathPara>
          </w:p>
        </w:tc>
        <w:tc>
          <w:tcPr>
            <w:tcW w:w="1904" w:type="dxa"/>
            <w:vAlign w:val="center"/>
          </w:tcPr>
          <w:p w:rsidR="00765484" w:rsidRPr="00374785" w:rsidRDefault="00765484" w:rsidP="000E16C9">
            <w:pPr>
              <w:pStyle w:val="tMain"/>
              <w:ind w:left="0" w:firstLine="0"/>
              <w:jc w:val="center"/>
              <w:rPr>
                <w:b/>
              </w:rPr>
            </w:pPr>
            <w:r w:rsidRPr="00374785">
              <w:rPr>
                <w:b/>
              </w:rPr>
              <w:t>Equation 1</w:t>
            </w:r>
            <w:r w:rsidR="000E16C9">
              <w:rPr>
                <w:b/>
              </w:rPr>
              <w:t>6</w:t>
            </w:r>
          </w:p>
        </w:tc>
      </w:tr>
    </w:tbl>
    <w:p w:rsidR="00765484" w:rsidRPr="00374785" w:rsidRDefault="00765484" w:rsidP="00765484">
      <w:pPr>
        <w:pStyle w:val="tMain"/>
      </w:pPr>
      <w:r w:rsidRPr="00374785">
        <w:tab/>
      </w:r>
      <w:r w:rsidRPr="00374785">
        <w:tab/>
        <w:t>Where:</w:t>
      </w:r>
    </w:p>
    <w:tbl>
      <w:tblPr>
        <w:tblStyle w:val="TableGrid"/>
        <w:tblW w:w="0" w:type="auto"/>
        <w:tblInd w:w="964" w:type="dxa"/>
        <w:tblLook w:val="04A0"/>
      </w:tblPr>
      <w:tblGrid>
        <w:gridCol w:w="1129"/>
        <w:gridCol w:w="7149"/>
      </w:tblGrid>
      <w:tr w:rsidR="00765484" w:rsidRPr="00374785" w:rsidTr="00243677">
        <w:tc>
          <w:tcPr>
            <w:tcW w:w="1129" w:type="dxa"/>
            <w:vAlign w:val="center"/>
          </w:tcPr>
          <w:p w:rsidR="00765484" w:rsidRPr="00374785" w:rsidRDefault="0020376C" w:rsidP="00625788">
            <w:pPr>
              <w:pStyle w:val="tMain"/>
              <w:ind w:left="0" w:firstLine="0"/>
              <w:jc w:val="right"/>
              <w:rPr>
                <w:color w:val="000000" w:themeColor="text1"/>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fk</m:t>
                    </m:r>
                  </m:sub>
                </m:sSub>
                <m:r>
                  <m:rPr>
                    <m:sty m:val="bi"/>
                  </m:rPr>
                  <w:rPr>
                    <w:rFonts w:ascii="Cambria Math" w:hAnsi="Cambria Math" w:cs="Calibri"/>
                    <w:color w:val="000000" w:themeColor="text1"/>
                    <w:lang w:eastAsia="en-US"/>
                  </w:rPr>
                  <m:t>=</m:t>
                </m:r>
              </m:oMath>
            </m:oMathPara>
          </w:p>
        </w:tc>
        <w:tc>
          <w:tcPr>
            <w:tcW w:w="7149" w:type="dxa"/>
          </w:tcPr>
          <w:p w:rsidR="00765484" w:rsidRPr="00374785" w:rsidRDefault="00765484" w:rsidP="00323067">
            <w:pPr>
              <w:pStyle w:val="tMain"/>
              <w:ind w:left="0" w:firstLine="0"/>
              <w:rPr>
                <w:color w:val="000000" w:themeColor="text1"/>
              </w:rPr>
            </w:pPr>
            <w:r w:rsidRPr="00374785">
              <w:t xml:space="preserve">fuel </w:t>
            </w:r>
            <w:r w:rsidRPr="00374785">
              <w:rPr>
                <w:iCs/>
              </w:rPr>
              <w:t>emissions</w:t>
            </w:r>
            <w:r w:rsidRPr="00374785">
              <w:t xml:space="preserve"> for fuel type </w:t>
            </w:r>
            <w:r w:rsidRPr="00374785">
              <w:rPr>
                <w:i/>
                <w:iCs/>
              </w:rPr>
              <w:t>f</w:t>
            </w:r>
            <w:r w:rsidRPr="00374785">
              <w:t xml:space="preserve"> and greenhouse gas </w:t>
            </w:r>
            <w:r w:rsidR="009905FD" w:rsidRPr="00374785">
              <w:rPr>
                <w:i/>
              </w:rPr>
              <w:t>k</w:t>
            </w:r>
            <w:r w:rsidRPr="00374785">
              <w:t xml:space="preserve"> for the reporting period (in tonnes CO</w:t>
            </w:r>
            <w:r w:rsidRPr="00374785">
              <w:rPr>
                <w:vertAlign w:val="subscript"/>
              </w:rPr>
              <w:t>2</w:t>
            </w:r>
            <w:r w:rsidRPr="00374785">
              <w:t>-e)</w:t>
            </w:r>
            <w:r w:rsidRPr="00374785">
              <w:rPr>
                <w:iCs/>
              </w:rPr>
              <w:t>.</w:t>
            </w:r>
          </w:p>
        </w:tc>
      </w:tr>
      <w:tr w:rsidR="00765484" w:rsidRPr="00374785" w:rsidTr="00243677">
        <w:tc>
          <w:tcPr>
            <w:tcW w:w="1129" w:type="dxa"/>
            <w:vAlign w:val="center"/>
          </w:tcPr>
          <w:p w:rsidR="00765484" w:rsidRPr="00374785" w:rsidRDefault="0020376C" w:rsidP="00765484">
            <w:pPr>
              <w:pStyle w:val="tMain"/>
              <w:ind w:left="0" w:firstLine="0"/>
              <w:jc w:val="right"/>
              <w:rPr>
                <w:color w:val="000000" w:themeColor="text1"/>
              </w:rPr>
            </w:pPr>
            <m:oMathPara>
              <m:oMathParaPr>
                <m:jc m:val="right"/>
              </m:oMathParaPr>
              <m:oMath>
                <m:sSub>
                  <m:sSubPr>
                    <m:ctrlPr>
                      <w:rPr>
                        <w:rFonts w:ascii="Cambria Math" w:hAnsi="Cambria Math"/>
                        <w:i/>
                      </w:rPr>
                    </m:ctrlPr>
                  </m:sSubPr>
                  <m:e>
                    <m:r>
                      <w:rPr>
                        <w:rFonts w:ascii="Cambria Math" w:hAnsi="Cambria Math"/>
                      </w:rPr>
                      <m:t>Q</m:t>
                    </m:r>
                  </m:e>
                  <m:sub>
                    <m:r>
                      <w:rPr>
                        <w:rFonts w:ascii="Cambria Math" w:hAnsi="Cambria Math"/>
                      </w:rPr>
                      <m:t>f</m:t>
                    </m:r>
                  </m:sub>
                </m:sSub>
                <m:r>
                  <m:rPr>
                    <m:sty m:val="bi"/>
                  </m:rPr>
                  <w:rPr>
                    <w:rFonts w:ascii="Cambria Math" w:hAnsi="Cambria Math" w:cs="Calibri"/>
                    <w:color w:val="000000" w:themeColor="text1"/>
                    <w:lang w:eastAsia="en-US"/>
                  </w:rPr>
                  <m:t>=</m:t>
                </m:r>
              </m:oMath>
            </m:oMathPara>
          </w:p>
        </w:tc>
        <w:tc>
          <w:tcPr>
            <w:tcW w:w="7149" w:type="dxa"/>
          </w:tcPr>
          <w:p w:rsidR="00765484" w:rsidRPr="00374785" w:rsidRDefault="00765484" w:rsidP="00323067">
            <w:pPr>
              <w:pStyle w:val="tMain"/>
              <w:ind w:left="0" w:firstLine="0"/>
              <w:rPr>
                <w:color w:val="000000" w:themeColor="text1"/>
              </w:rPr>
            </w:pPr>
            <w:r w:rsidRPr="00374785">
              <w:rPr>
                <w:iCs/>
              </w:rPr>
              <w:t>quantity</w:t>
            </w:r>
            <w:r w:rsidRPr="00374785">
              <w:t xml:space="preserve"> of fuel type </w:t>
            </w:r>
            <w:r w:rsidRPr="00374785">
              <w:rPr>
                <w:i/>
                <w:iCs/>
              </w:rPr>
              <w:t>f</w:t>
            </w:r>
            <w:r w:rsidRPr="00374785">
              <w:t xml:space="preserve"> combusted within the reporting period</w:t>
            </w:r>
            <w:r w:rsidR="00323067">
              <w:t xml:space="preserve"> </w:t>
            </w:r>
            <w:r w:rsidR="00323067" w:rsidRPr="00374785">
              <w:t>(in kilolitres)</w:t>
            </w:r>
            <w:r w:rsidRPr="00374785">
              <w:t>.</w:t>
            </w:r>
          </w:p>
        </w:tc>
      </w:tr>
      <w:tr w:rsidR="00765484" w:rsidRPr="00374785" w:rsidTr="00243677">
        <w:tc>
          <w:tcPr>
            <w:tcW w:w="1129" w:type="dxa"/>
            <w:vAlign w:val="center"/>
          </w:tcPr>
          <w:p w:rsidR="00765484" w:rsidRPr="00374785" w:rsidRDefault="0020376C" w:rsidP="00765484">
            <w:pPr>
              <w:pStyle w:val="tMain"/>
              <w:ind w:left="0" w:firstLine="0"/>
              <w:jc w:val="right"/>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f</m:t>
                    </m:r>
                  </m:sub>
                </m:sSub>
                <m:r>
                  <m:rPr>
                    <m:sty m:val="bi"/>
                  </m:rPr>
                  <w:rPr>
                    <w:rFonts w:ascii="Cambria Math" w:hAnsi="Cambria Math" w:cs="Calibri"/>
                    <w:color w:val="000000" w:themeColor="text1"/>
                    <w:lang w:eastAsia="en-US"/>
                  </w:rPr>
                  <m:t>=</m:t>
                </m:r>
              </m:oMath>
            </m:oMathPara>
          </w:p>
        </w:tc>
        <w:tc>
          <w:tcPr>
            <w:tcW w:w="7149" w:type="dxa"/>
          </w:tcPr>
          <w:p w:rsidR="00765484" w:rsidRPr="00374785" w:rsidRDefault="00765484" w:rsidP="00323067">
            <w:pPr>
              <w:pStyle w:val="tMain"/>
              <w:ind w:left="0" w:firstLine="0"/>
              <w:rPr>
                <w:iCs/>
              </w:rPr>
            </w:pPr>
            <w:r w:rsidRPr="00374785">
              <w:t>e</w:t>
            </w:r>
            <w:r w:rsidRPr="00374785">
              <w:rPr>
                <w:iCs/>
              </w:rPr>
              <w:t>nergy</w:t>
            </w:r>
            <w:r w:rsidRPr="00374785">
              <w:t xml:space="preserve"> content factor of fuel type </w:t>
            </w:r>
            <w:r w:rsidRPr="00374785">
              <w:rPr>
                <w:i/>
                <w:iCs/>
              </w:rPr>
              <w:t>f</w:t>
            </w:r>
            <w:r w:rsidRPr="00374785">
              <w:t>, as prescribed in Schedule 1 of the NGER Measurement Determination</w:t>
            </w:r>
            <w:r w:rsidR="00323067">
              <w:t xml:space="preserve"> </w:t>
            </w:r>
            <w:r w:rsidR="00323067" w:rsidRPr="00374785">
              <w:t>(in gigajoules per kilolitre)</w:t>
            </w:r>
            <w:r w:rsidRPr="00374785">
              <w:rPr>
                <w:iCs/>
              </w:rPr>
              <w:t>.</w:t>
            </w:r>
          </w:p>
        </w:tc>
      </w:tr>
      <w:tr w:rsidR="00765484" w:rsidRPr="00374785" w:rsidTr="00243677">
        <w:tc>
          <w:tcPr>
            <w:tcW w:w="1129" w:type="dxa"/>
            <w:vAlign w:val="center"/>
          </w:tcPr>
          <w:p w:rsidR="00765484" w:rsidRPr="00374785" w:rsidRDefault="0020376C" w:rsidP="00765484">
            <w:pPr>
              <w:pStyle w:val="tMain"/>
              <w:ind w:left="0" w:firstLine="0"/>
              <w:jc w:val="right"/>
              <w:rPr>
                <w:color w:val="000000" w:themeColor="text1"/>
              </w:rPr>
            </w:pPr>
            <m:oMathPara>
              <m:oMathParaPr>
                <m:jc m:val="right"/>
              </m:oMathParaPr>
              <m:oMath>
                <m:sSub>
                  <m:sSubPr>
                    <m:ctrlPr>
                      <w:rPr>
                        <w:rFonts w:ascii="Cambria Math" w:hAnsi="Cambria Math"/>
                        <w:i/>
                      </w:rPr>
                    </m:ctrlPr>
                  </m:sSubPr>
                  <m:e>
                    <m:r>
                      <w:rPr>
                        <w:rFonts w:ascii="Cambria Math" w:hAnsi="Cambria Math"/>
                      </w:rPr>
                      <m:t>F</m:t>
                    </m:r>
                  </m:e>
                  <m:sub>
                    <m:r>
                      <w:rPr>
                        <w:rFonts w:ascii="Cambria Math" w:hAnsi="Cambria Math"/>
                      </w:rPr>
                      <m:t>fk</m:t>
                    </m:r>
                  </m:sub>
                </m:sSub>
                <m:r>
                  <m:rPr>
                    <m:sty m:val="bi"/>
                  </m:rPr>
                  <w:rPr>
                    <w:rFonts w:ascii="Cambria Math" w:hAnsi="Cambria Math" w:cs="Calibri"/>
                    <w:color w:val="000000" w:themeColor="text1"/>
                    <w:lang w:eastAsia="en-US"/>
                  </w:rPr>
                  <m:t>=</m:t>
                </m:r>
              </m:oMath>
            </m:oMathPara>
          </w:p>
        </w:tc>
        <w:tc>
          <w:tcPr>
            <w:tcW w:w="7149" w:type="dxa"/>
          </w:tcPr>
          <w:p w:rsidR="00765484" w:rsidRPr="00374785" w:rsidRDefault="00765484" w:rsidP="00323067">
            <w:pPr>
              <w:pStyle w:val="tMain"/>
              <w:ind w:left="0" w:firstLine="0"/>
              <w:rPr>
                <w:color w:val="000000" w:themeColor="text1"/>
              </w:rPr>
            </w:pPr>
            <w:r w:rsidRPr="00374785">
              <w:rPr>
                <w:iCs/>
              </w:rPr>
              <w:t>emission</w:t>
            </w:r>
            <w:r w:rsidRPr="00374785">
              <w:t xml:space="preserve"> factor for gas type </w:t>
            </w:r>
            <w:r w:rsidR="009905FD" w:rsidRPr="00374785">
              <w:rPr>
                <w:i/>
              </w:rPr>
              <w:t>k</w:t>
            </w:r>
            <w:r w:rsidRPr="00374785">
              <w:t xml:space="preserve"> </w:t>
            </w:r>
            <w:r w:rsidRPr="00374785">
              <w:rPr>
                <w:iCs/>
              </w:rPr>
              <w:t>for</w:t>
            </w:r>
            <w:r w:rsidRPr="00374785">
              <w:t xml:space="preserve"> fuel type </w:t>
            </w:r>
            <w:r w:rsidRPr="00374785">
              <w:rPr>
                <w:i/>
                <w:iCs/>
              </w:rPr>
              <w:t>f</w:t>
            </w:r>
            <w:r w:rsidRPr="00374785">
              <w:t xml:space="preserve"> as prescribed in Schedule 1 </w:t>
            </w:r>
            <w:r w:rsidR="00796C89" w:rsidRPr="00374785">
              <w:t>to</w:t>
            </w:r>
            <w:r w:rsidRPr="00374785">
              <w:t xml:space="preserve"> the NGER Measurement Determination</w:t>
            </w:r>
            <w:r w:rsidR="00323067">
              <w:t xml:space="preserve"> </w:t>
            </w:r>
            <w:r w:rsidR="00323067" w:rsidRPr="00374785">
              <w:t>(in kilograms CO</w:t>
            </w:r>
            <w:r w:rsidR="00323067" w:rsidRPr="00374785">
              <w:rPr>
                <w:vertAlign w:val="subscript"/>
              </w:rPr>
              <w:t>2</w:t>
            </w:r>
            <w:r w:rsidR="00323067" w:rsidRPr="00374785">
              <w:noBreakHyphen/>
              <w:t>e per gigajoule)</w:t>
            </w:r>
            <w:r w:rsidRPr="00374785">
              <w:rPr>
                <w:color w:val="000000" w:themeColor="text1"/>
              </w:rPr>
              <w:t xml:space="preserve">. </w:t>
            </w:r>
          </w:p>
        </w:tc>
      </w:tr>
      <w:tr w:rsidR="00625788" w:rsidRPr="00374785" w:rsidTr="00243677">
        <w:tc>
          <w:tcPr>
            <w:tcW w:w="1129" w:type="dxa"/>
          </w:tcPr>
          <w:p w:rsidR="00625788" w:rsidRPr="00374785" w:rsidRDefault="00625788" w:rsidP="00625788">
            <w:pPr>
              <w:pStyle w:val="tMain"/>
              <w:ind w:left="0" w:firstLine="0"/>
              <w:jc w:val="right"/>
              <w:rPr>
                <w:color w:val="000000" w:themeColor="text1"/>
              </w:rPr>
            </w:pPr>
            <m:oMathPara>
              <m:oMathParaPr>
                <m:jc m:val="right"/>
              </m:oMathParaPr>
              <m:oMath>
                <m:r>
                  <w:rPr>
                    <w:rFonts w:ascii="Cambria Math" w:hAnsi="Cambria Math"/>
                  </w:rPr>
                  <m:t>f</m:t>
                </m:r>
                <m:r>
                  <m:rPr>
                    <m:sty m:val="bi"/>
                  </m:rPr>
                  <w:rPr>
                    <w:rFonts w:ascii="Cambria Math" w:hAnsi="Cambria Math" w:cs="Calibri"/>
                    <w:color w:val="000000" w:themeColor="text1"/>
                    <w:lang w:eastAsia="en-US"/>
                  </w:rPr>
                  <m:t>=</m:t>
                </m:r>
              </m:oMath>
            </m:oMathPara>
          </w:p>
        </w:tc>
        <w:tc>
          <w:tcPr>
            <w:tcW w:w="7149" w:type="dxa"/>
          </w:tcPr>
          <w:p w:rsidR="00625788" w:rsidRPr="00374785" w:rsidRDefault="00625788" w:rsidP="00625788">
            <w:pPr>
              <w:pStyle w:val="tMain"/>
              <w:ind w:left="0" w:firstLine="0"/>
              <w:rPr>
                <w:color w:val="000000" w:themeColor="text1"/>
              </w:rPr>
            </w:pPr>
            <w:r w:rsidRPr="00374785">
              <w:rPr>
                <w:iCs/>
              </w:rPr>
              <w:t>fuel type</w:t>
            </w:r>
            <w:r w:rsidRPr="00374785">
              <w:rPr>
                <w:color w:val="000000" w:themeColor="text1"/>
              </w:rPr>
              <w:t xml:space="preserve">. </w:t>
            </w:r>
          </w:p>
        </w:tc>
      </w:tr>
      <w:tr w:rsidR="00625788" w:rsidRPr="00374785" w:rsidTr="00243677">
        <w:tc>
          <w:tcPr>
            <w:tcW w:w="1129" w:type="dxa"/>
          </w:tcPr>
          <w:p w:rsidR="00625788" w:rsidRPr="00374785" w:rsidRDefault="009905FD" w:rsidP="009905FD">
            <w:pPr>
              <w:pStyle w:val="tMain"/>
              <w:ind w:left="0" w:firstLine="0"/>
              <w:jc w:val="right"/>
            </w:pPr>
            <m:oMathPara>
              <m:oMathParaPr>
                <m:jc m:val="right"/>
              </m:oMathParaPr>
              <m:oMath>
                <m:r>
                  <w:rPr>
                    <w:rFonts w:ascii="Cambria Math" w:hAnsi="Cambria Math"/>
                  </w:rPr>
                  <m:t>k</m:t>
                </m:r>
                <m:r>
                  <m:rPr>
                    <m:sty m:val="bi"/>
                  </m:rPr>
                  <w:rPr>
                    <w:rFonts w:ascii="Cambria Math" w:hAnsi="Cambria Math" w:cs="Calibri"/>
                    <w:color w:val="000000" w:themeColor="text1"/>
                    <w:lang w:eastAsia="en-US"/>
                  </w:rPr>
                  <m:t>=</m:t>
                </m:r>
              </m:oMath>
            </m:oMathPara>
          </w:p>
        </w:tc>
        <w:tc>
          <w:tcPr>
            <w:tcW w:w="7149" w:type="dxa"/>
          </w:tcPr>
          <w:p w:rsidR="00625788" w:rsidRPr="00374785" w:rsidRDefault="00625788" w:rsidP="00625788">
            <w:pPr>
              <w:pStyle w:val="tMain"/>
              <w:ind w:left="0" w:firstLine="0"/>
              <w:rPr>
                <w:iCs/>
              </w:rPr>
            </w:pPr>
            <w:r w:rsidRPr="00374785">
              <w:rPr>
                <w:iCs/>
              </w:rPr>
              <w:t>type of greenhouse gas (carbon dioxide, methane or nitrous oxide) emitted for a given fuel type.</w:t>
            </w:r>
          </w:p>
        </w:tc>
      </w:tr>
    </w:tbl>
    <w:p w:rsidR="00796C89" w:rsidRPr="00374785" w:rsidRDefault="00796C89" w:rsidP="00796C89">
      <w:pPr>
        <w:pStyle w:val="notePara"/>
      </w:pPr>
      <w:r w:rsidRPr="00374785">
        <w:tab/>
      </w:r>
      <w:r w:rsidRPr="00374785">
        <w:rPr>
          <w:b/>
          <w:i/>
        </w:rPr>
        <w:t>Note</w:t>
      </w:r>
      <w:r w:rsidRPr="00374785">
        <w:tab/>
        <w:t>The relevant energy content and emission factors are included, with worked examples, in the National Greenhouse Accounts Factors available via the Department’s website.</w:t>
      </w:r>
      <w:r w:rsidR="00625788" w:rsidRPr="00374785">
        <w:t xml:space="preserve"> If </w:t>
      </w:r>
      <m:oMath>
        <m:sSub>
          <m:sSubPr>
            <m:ctrlPr>
              <w:rPr>
                <w:rFonts w:ascii="Cambria Math" w:hAnsi="Cambria Math"/>
                <w:i/>
              </w:rPr>
            </m:ctrlPr>
          </m:sSubPr>
          <m:e>
            <m:r>
              <w:rPr>
                <w:rFonts w:ascii="Cambria Math" w:hAnsi="Cambria Math"/>
              </w:rPr>
              <m:t>Q</m:t>
            </m:r>
          </m:e>
          <m:sub>
            <m:r>
              <w:rPr>
                <w:rFonts w:ascii="Cambria Math" w:hAnsi="Cambria Math"/>
              </w:rPr>
              <m:t xml:space="preserve">f </m:t>
            </m:r>
          </m:sub>
        </m:sSub>
      </m:oMath>
      <w:r w:rsidR="00625788" w:rsidRPr="00374785">
        <w:t xml:space="preserve">is measured in gigajoules, then </w:t>
      </w:r>
      <m:oMath>
        <m:sSub>
          <m:sSubPr>
            <m:ctrlPr>
              <w:rPr>
                <w:rFonts w:ascii="Cambria Math" w:hAnsi="Cambria Math"/>
                <w:i/>
              </w:rPr>
            </m:ctrlPr>
          </m:sSubPr>
          <m:e>
            <m:r>
              <w:rPr>
                <w:rFonts w:ascii="Cambria Math" w:hAnsi="Cambria Math"/>
              </w:rPr>
              <m:t>e</m:t>
            </m:r>
          </m:e>
          <m:sub>
            <m:r>
              <w:rPr>
                <w:rFonts w:ascii="Cambria Math" w:hAnsi="Cambria Math"/>
              </w:rPr>
              <m:t>f</m:t>
            </m:r>
          </m:sub>
        </m:sSub>
      </m:oMath>
      <w:r w:rsidR="00625788" w:rsidRPr="00374785">
        <w:t>= 1.</w:t>
      </w:r>
    </w:p>
    <w:p w:rsidR="00765484" w:rsidRPr="00374785" w:rsidRDefault="00F91FE6" w:rsidP="00F91FE6">
      <w:pPr>
        <w:pStyle w:val="tMain"/>
      </w:pPr>
      <w:r w:rsidRPr="00374785">
        <w:tab/>
      </w:r>
      <w:r w:rsidR="007F3C0F">
        <w:t>(3)</w:t>
      </w:r>
      <w:r w:rsidRPr="00374785">
        <w:tab/>
      </w:r>
      <w:r w:rsidR="007B60BA" w:rsidRPr="00374785">
        <w:t>For each reporting period, t</w:t>
      </w:r>
      <w:r w:rsidR="00796C89" w:rsidRPr="00374785">
        <w:t xml:space="preserve">otal emissions from fuel use </w:t>
      </w:r>
      <w:r w:rsidR="00474E95" w:rsidRPr="00374785">
        <w:t>in</w:t>
      </w:r>
      <w:r w:rsidR="00796C89" w:rsidRPr="00374785">
        <w:t xml:space="preserve"> the reporting period must be calculated using the following formula:</w:t>
      </w:r>
    </w:p>
    <w:tbl>
      <w:tblPr>
        <w:tblStyle w:val="TableGrid"/>
        <w:tblW w:w="0" w:type="auto"/>
        <w:tblInd w:w="964" w:type="dxa"/>
        <w:tblLook w:val="04A0"/>
      </w:tblPr>
      <w:tblGrid>
        <w:gridCol w:w="6374"/>
        <w:gridCol w:w="1904"/>
      </w:tblGrid>
      <w:tr w:rsidR="00796C89" w:rsidRPr="00374785" w:rsidTr="00796C89">
        <w:tc>
          <w:tcPr>
            <w:tcW w:w="6374" w:type="dxa"/>
          </w:tcPr>
          <w:p w:rsidR="00796C89" w:rsidRPr="00374785" w:rsidRDefault="0020376C" w:rsidP="0059293E">
            <w:pPr>
              <w:pStyle w:val="tMain"/>
              <w:spacing w:before="100" w:line="360" w:lineRule="auto"/>
              <w:ind w:left="0" w:firstLine="0"/>
            </w:pPr>
            <m:oMathPara>
              <m:oMath>
                <m:sSub>
                  <m:sSubPr>
                    <m:ctrlPr>
                      <w:rPr>
                        <w:rFonts w:ascii="Cambria Math" w:hAnsi="Cambria Math"/>
                        <w:i/>
                      </w:rPr>
                    </m:ctrlPr>
                  </m:sSubPr>
                  <m:e>
                    <m:r>
                      <w:rPr>
                        <w:rFonts w:ascii="Cambria Math" w:hAnsi="Cambria Math"/>
                      </w:rPr>
                      <m:t>E</m:t>
                    </m:r>
                  </m:e>
                  <m:sub>
                    <m:r>
                      <w:rPr>
                        <w:rFonts w:ascii="Cambria Math" w:hAnsi="Cambria Math"/>
                      </w:rPr>
                      <m:t>F</m:t>
                    </m:r>
                  </m:sub>
                </m:sSub>
                <m:r>
                  <w:rPr>
                    <w:rFonts w:ascii="Cambria Math" w:hAnsi="Cambria Math"/>
                  </w:rPr>
                  <m:t xml:space="preserve"> = </m:t>
                </m:r>
                <m:nary>
                  <m:naryPr>
                    <m:chr m:val="∑"/>
                    <m:limLoc m:val="undOvr"/>
                    <m:ctrlPr>
                      <w:rPr>
                        <w:rFonts w:ascii="Cambria Math" w:hAnsi="Cambria Math"/>
                        <w:i/>
                      </w:rPr>
                    </m:ctrlPr>
                  </m:naryPr>
                  <m:sub>
                    <m:r>
                      <w:rPr>
                        <w:rFonts w:ascii="Cambria Math" w:hAnsi="Cambria Math"/>
                      </w:rPr>
                      <m:t>f=1</m:t>
                    </m:r>
                  </m:sub>
                  <m:sup>
                    <m:r>
                      <w:rPr>
                        <w:rFonts w:ascii="Cambria Math" w:hAnsi="Cambria Math"/>
                      </w:rPr>
                      <m:t>q</m:t>
                    </m:r>
                  </m:sup>
                  <m:e>
                    <m:nary>
                      <m:naryPr>
                        <m:chr m:val="∑"/>
                        <m:limLoc m:val="undOvr"/>
                        <m:ctrlPr>
                          <w:rPr>
                            <w:rFonts w:ascii="Cambria Math" w:hAnsi="Cambria Math"/>
                            <w:i/>
                          </w:rPr>
                        </m:ctrlPr>
                      </m:naryPr>
                      <m:sub>
                        <m:r>
                          <w:rPr>
                            <w:rFonts w:ascii="Cambria Math" w:hAnsi="Cambria Math"/>
                          </w:rPr>
                          <m:t xml:space="preserve">k=1 </m:t>
                        </m:r>
                      </m:sub>
                      <m:sup>
                        <m:r>
                          <w:rPr>
                            <w:rFonts w:ascii="Cambria Math" w:hAnsi="Cambria Math"/>
                          </w:rPr>
                          <m:t>g</m:t>
                        </m:r>
                      </m:sup>
                      <m:e>
                        <m:sSub>
                          <m:sSubPr>
                            <m:ctrlPr>
                              <w:rPr>
                                <w:rFonts w:ascii="Cambria Math" w:hAnsi="Cambria Math"/>
                                <w:i/>
                              </w:rPr>
                            </m:ctrlPr>
                          </m:sSubPr>
                          <m:e>
                            <m:r>
                              <w:rPr>
                                <w:rFonts w:ascii="Cambria Math" w:hAnsi="Cambria Math"/>
                              </w:rPr>
                              <m:t>E</m:t>
                            </m:r>
                          </m:e>
                          <m:sub>
                            <m:r>
                              <w:rPr>
                                <w:rFonts w:ascii="Cambria Math" w:hAnsi="Cambria Math"/>
                              </w:rPr>
                              <m:t>fk</m:t>
                            </m:r>
                          </m:sub>
                        </m:sSub>
                      </m:e>
                    </m:nary>
                  </m:e>
                </m:nary>
              </m:oMath>
            </m:oMathPara>
          </w:p>
        </w:tc>
        <w:tc>
          <w:tcPr>
            <w:tcW w:w="1904" w:type="dxa"/>
            <w:vAlign w:val="center"/>
          </w:tcPr>
          <w:p w:rsidR="00796C89" w:rsidRPr="00374785" w:rsidRDefault="00796C89" w:rsidP="000E16C9">
            <w:pPr>
              <w:pStyle w:val="tMain"/>
              <w:ind w:left="0" w:firstLine="0"/>
              <w:jc w:val="center"/>
              <w:rPr>
                <w:b/>
              </w:rPr>
            </w:pPr>
            <w:r w:rsidRPr="00374785">
              <w:rPr>
                <w:b/>
              </w:rPr>
              <w:t xml:space="preserve">Equation </w:t>
            </w:r>
            <w:r w:rsidR="000E16C9">
              <w:rPr>
                <w:b/>
              </w:rPr>
              <w:t>17</w:t>
            </w:r>
          </w:p>
        </w:tc>
      </w:tr>
    </w:tbl>
    <w:p w:rsidR="00796C89" w:rsidRPr="00374785" w:rsidRDefault="00796C89" w:rsidP="00796C89">
      <w:pPr>
        <w:pStyle w:val="tMain"/>
      </w:pPr>
      <w:r w:rsidRPr="00374785">
        <w:tab/>
      </w:r>
      <w:r w:rsidRPr="00374785">
        <w:tab/>
        <w:t>Where:</w:t>
      </w:r>
    </w:p>
    <w:tbl>
      <w:tblPr>
        <w:tblStyle w:val="TableGrid"/>
        <w:tblW w:w="0" w:type="auto"/>
        <w:tblInd w:w="964" w:type="dxa"/>
        <w:tblLook w:val="04A0"/>
      </w:tblPr>
      <w:tblGrid>
        <w:gridCol w:w="1129"/>
        <w:gridCol w:w="7149"/>
      </w:tblGrid>
      <w:tr w:rsidR="00796C89" w:rsidRPr="00374785" w:rsidTr="00243677">
        <w:tc>
          <w:tcPr>
            <w:tcW w:w="1129" w:type="dxa"/>
            <w:vAlign w:val="center"/>
          </w:tcPr>
          <w:p w:rsidR="00796C89" w:rsidRPr="00374785" w:rsidRDefault="0020376C" w:rsidP="00816184">
            <w:pPr>
              <w:pStyle w:val="tMain"/>
              <w:ind w:left="0" w:firstLine="0"/>
              <w:jc w:val="right"/>
              <w:rPr>
                <w:color w:val="000000" w:themeColor="text1"/>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F</m:t>
                    </m:r>
                  </m:sub>
                </m:sSub>
                <m:r>
                  <m:rPr>
                    <m:sty m:val="bi"/>
                  </m:rPr>
                  <w:rPr>
                    <w:rFonts w:ascii="Cambria Math" w:hAnsi="Cambria Math" w:cs="Calibri"/>
                    <w:color w:val="000000" w:themeColor="text1"/>
                    <w:lang w:eastAsia="en-US"/>
                  </w:rPr>
                  <m:t>=</m:t>
                </m:r>
              </m:oMath>
            </m:oMathPara>
          </w:p>
        </w:tc>
        <w:tc>
          <w:tcPr>
            <w:tcW w:w="7149" w:type="dxa"/>
          </w:tcPr>
          <w:p w:rsidR="00796C89" w:rsidRPr="00374785" w:rsidRDefault="00F91FE6" w:rsidP="007B60BA">
            <w:pPr>
              <w:pStyle w:val="tMain"/>
              <w:ind w:left="0" w:firstLine="0"/>
              <w:rPr>
                <w:color w:val="000000" w:themeColor="text1"/>
              </w:rPr>
            </w:pPr>
            <w:r w:rsidRPr="00374785">
              <w:rPr>
                <w:iCs/>
              </w:rPr>
              <w:t>total fuel emissions (in tonnes CO</w:t>
            </w:r>
            <w:r w:rsidRPr="00374785">
              <w:rPr>
                <w:iCs/>
                <w:vertAlign w:val="subscript"/>
              </w:rPr>
              <w:t>2</w:t>
            </w:r>
            <w:r w:rsidRPr="00374785">
              <w:rPr>
                <w:iCs/>
              </w:rPr>
              <w:t>-e)</w:t>
            </w:r>
            <w:r w:rsidR="00796C89" w:rsidRPr="00374785">
              <w:rPr>
                <w:iCs/>
              </w:rPr>
              <w:t>.</w:t>
            </w:r>
          </w:p>
        </w:tc>
      </w:tr>
      <w:tr w:rsidR="00796C89" w:rsidRPr="00374785" w:rsidTr="00243677">
        <w:tc>
          <w:tcPr>
            <w:tcW w:w="1129" w:type="dxa"/>
            <w:vAlign w:val="center"/>
          </w:tcPr>
          <w:p w:rsidR="00796C89" w:rsidRPr="00374785" w:rsidRDefault="0020376C" w:rsidP="009905FD">
            <w:pPr>
              <w:pStyle w:val="tMain"/>
              <w:ind w:left="0" w:firstLine="0"/>
              <w:jc w:val="right"/>
              <w:rPr>
                <w:color w:val="000000" w:themeColor="text1"/>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fk</m:t>
                    </m:r>
                  </m:sub>
                </m:sSub>
                <m:r>
                  <m:rPr>
                    <m:sty m:val="bi"/>
                  </m:rPr>
                  <w:rPr>
                    <w:rFonts w:ascii="Cambria Math" w:hAnsi="Cambria Math" w:cs="Calibri"/>
                    <w:color w:val="000000" w:themeColor="text1"/>
                    <w:lang w:eastAsia="en-US"/>
                  </w:rPr>
                  <m:t>=</m:t>
                </m:r>
              </m:oMath>
            </m:oMathPara>
          </w:p>
        </w:tc>
        <w:tc>
          <w:tcPr>
            <w:tcW w:w="7149" w:type="dxa"/>
          </w:tcPr>
          <w:p w:rsidR="00796C89" w:rsidRPr="00374785" w:rsidRDefault="00F91FE6" w:rsidP="00B34F30">
            <w:pPr>
              <w:pStyle w:val="tMain"/>
              <w:ind w:left="0" w:firstLine="0"/>
              <w:rPr>
                <w:color w:val="000000" w:themeColor="text1"/>
              </w:rPr>
            </w:pPr>
            <w:proofErr w:type="gramStart"/>
            <w:r w:rsidRPr="00374785">
              <w:rPr>
                <w:iCs/>
              </w:rPr>
              <w:t>fuel</w:t>
            </w:r>
            <w:proofErr w:type="gramEnd"/>
            <w:r w:rsidRPr="00374785">
              <w:rPr>
                <w:iCs/>
              </w:rPr>
              <w:t xml:space="preserve"> emissions for each fuel type </w:t>
            </w:r>
            <w:r w:rsidRPr="00374785">
              <w:rPr>
                <w:i/>
                <w:iCs/>
              </w:rPr>
              <w:t>f</w:t>
            </w:r>
            <w:r w:rsidRPr="00374785">
              <w:rPr>
                <w:iCs/>
              </w:rPr>
              <w:t xml:space="preserve"> and each greenhouse gas </w:t>
            </w:r>
            <w:r w:rsidR="00323067">
              <w:rPr>
                <w:i/>
                <w:iCs/>
              </w:rPr>
              <w:t>k</w:t>
            </w:r>
            <w:r w:rsidRPr="00374785">
              <w:rPr>
                <w:iCs/>
              </w:rPr>
              <w:t xml:space="preserve"> (in tonnes CO</w:t>
            </w:r>
            <w:r w:rsidRPr="00374785">
              <w:rPr>
                <w:iCs/>
                <w:vertAlign w:val="subscript"/>
              </w:rPr>
              <w:t>2</w:t>
            </w:r>
            <w:r w:rsidRPr="00374785">
              <w:rPr>
                <w:iCs/>
              </w:rPr>
              <w:t>-e) for the reporting period</w:t>
            </w:r>
            <w:r w:rsidR="00E20FF3" w:rsidRPr="00374785">
              <w:rPr>
                <w:iCs/>
              </w:rPr>
              <w:t xml:space="preserve">—see Equation </w:t>
            </w:r>
            <w:r w:rsidR="00B34F30">
              <w:rPr>
                <w:iCs/>
              </w:rPr>
              <w:t>16</w:t>
            </w:r>
            <w:r w:rsidR="00796C89" w:rsidRPr="00374785">
              <w:rPr>
                <w:iCs/>
              </w:rPr>
              <w:t>.</w:t>
            </w:r>
          </w:p>
        </w:tc>
      </w:tr>
      <w:tr w:rsidR="00796C89" w:rsidRPr="00374785" w:rsidTr="00243677">
        <w:tc>
          <w:tcPr>
            <w:tcW w:w="1129" w:type="dxa"/>
            <w:vAlign w:val="center"/>
          </w:tcPr>
          <w:p w:rsidR="00796C89" w:rsidRPr="00374785" w:rsidRDefault="00796C89" w:rsidP="00796C89">
            <w:pPr>
              <w:pStyle w:val="tMain"/>
              <w:ind w:left="0" w:firstLine="0"/>
              <w:jc w:val="right"/>
            </w:pPr>
            <m:oMathPara>
              <m:oMathParaPr>
                <m:jc m:val="right"/>
              </m:oMathParaPr>
              <m:oMath>
                <m:r>
                  <w:rPr>
                    <w:rFonts w:ascii="Cambria Math" w:hAnsi="Cambria Math"/>
                  </w:rPr>
                  <m:t>q</m:t>
                </m:r>
                <m:r>
                  <m:rPr>
                    <m:sty m:val="bi"/>
                  </m:rPr>
                  <w:rPr>
                    <w:rFonts w:ascii="Cambria Math" w:hAnsi="Cambria Math" w:cs="Calibri"/>
                    <w:color w:val="000000" w:themeColor="text1"/>
                    <w:lang w:eastAsia="en-US"/>
                  </w:rPr>
                  <m:t>=</m:t>
                </m:r>
              </m:oMath>
            </m:oMathPara>
          </w:p>
        </w:tc>
        <w:tc>
          <w:tcPr>
            <w:tcW w:w="7149" w:type="dxa"/>
          </w:tcPr>
          <w:p w:rsidR="00796C89" w:rsidRPr="00374785" w:rsidRDefault="00F91FE6" w:rsidP="00796C89">
            <w:pPr>
              <w:pStyle w:val="tMain"/>
              <w:ind w:left="0" w:firstLine="0"/>
              <w:rPr>
                <w:iCs/>
              </w:rPr>
            </w:pPr>
            <w:r w:rsidRPr="00374785">
              <w:rPr>
                <w:iCs/>
              </w:rPr>
              <w:t>number of different types of fuel</w:t>
            </w:r>
            <w:r w:rsidR="00796C89" w:rsidRPr="00374785">
              <w:rPr>
                <w:iCs/>
              </w:rPr>
              <w:t>.</w:t>
            </w:r>
          </w:p>
        </w:tc>
      </w:tr>
      <w:tr w:rsidR="00796C89" w:rsidRPr="00374785" w:rsidTr="00243677">
        <w:tc>
          <w:tcPr>
            <w:tcW w:w="1129" w:type="dxa"/>
            <w:vAlign w:val="center"/>
          </w:tcPr>
          <w:p w:rsidR="00796C89" w:rsidRPr="00374785" w:rsidRDefault="00796C89" w:rsidP="00796C89">
            <w:pPr>
              <w:pStyle w:val="tMain"/>
              <w:ind w:left="0" w:firstLine="0"/>
              <w:jc w:val="right"/>
              <w:rPr>
                <w:color w:val="000000" w:themeColor="text1"/>
              </w:rPr>
            </w:pPr>
            <m:oMathPara>
              <m:oMathParaPr>
                <m:jc m:val="right"/>
              </m:oMathParaPr>
              <m:oMath>
                <m:r>
                  <w:rPr>
                    <w:rFonts w:ascii="Cambria Math" w:hAnsi="Cambria Math"/>
                  </w:rPr>
                  <m:t>g</m:t>
                </m:r>
                <m:r>
                  <m:rPr>
                    <m:sty m:val="bi"/>
                  </m:rPr>
                  <w:rPr>
                    <w:rFonts w:ascii="Cambria Math" w:hAnsi="Cambria Math" w:cs="Calibri"/>
                    <w:color w:val="000000" w:themeColor="text1"/>
                    <w:lang w:eastAsia="en-US"/>
                  </w:rPr>
                  <m:t>=</m:t>
                </m:r>
              </m:oMath>
            </m:oMathPara>
          </w:p>
        </w:tc>
        <w:tc>
          <w:tcPr>
            <w:tcW w:w="7149" w:type="dxa"/>
          </w:tcPr>
          <w:p w:rsidR="00796C89" w:rsidRPr="00374785" w:rsidRDefault="00F91FE6" w:rsidP="00323067">
            <w:pPr>
              <w:pStyle w:val="tMain"/>
              <w:ind w:left="0" w:firstLine="0"/>
              <w:rPr>
                <w:color w:val="000000" w:themeColor="text1"/>
              </w:rPr>
            </w:pPr>
            <w:r w:rsidRPr="00374785">
              <w:rPr>
                <w:iCs/>
              </w:rPr>
              <w:t>number of different types of greenhouse gas emitted for a given fuel type</w:t>
            </w:r>
            <w:r w:rsidR="00796C89" w:rsidRPr="00374785">
              <w:rPr>
                <w:color w:val="000000" w:themeColor="text1"/>
              </w:rPr>
              <w:t xml:space="preserve">. </w:t>
            </w:r>
          </w:p>
        </w:tc>
      </w:tr>
      <w:tr w:rsidR="00796C89" w:rsidRPr="00374785" w:rsidTr="00243677">
        <w:tc>
          <w:tcPr>
            <w:tcW w:w="1129" w:type="dxa"/>
          </w:tcPr>
          <w:p w:rsidR="00796C89" w:rsidRPr="00374785" w:rsidRDefault="00796C89" w:rsidP="00796C89">
            <w:pPr>
              <w:pStyle w:val="tMain"/>
              <w:ind w:left="0" w:firstLine="0"/>
              <w:jc w:val="right"/>
              <w:rPr>
                <w:color w:val="000000" w:themeColor="text1"/>
              </w:rPr>
            </w:pPr>
            <m:oMathPara>
              <m:oMathParaPr>
                <m:jc m:val="right"/>
              </m:oMathParaPr>
              <m:oMath>
                <m:r>
                  <w:rPr>
                    <w:rFonts w:ascii="Cambria Math" w:hAnsi="Cambria Math"/>
                  </w:rPr>
                  <m:t>f</m:t>
                </m:r>
                <m:r>
                  <m:rPr>
                    <m:sty m:val="bi"/>
                  </m:rPr>
                  <w:rPr>
                    <w:rFonts w:ascii="Cambria Math" w:hAnsi="Cambria Math" w:cs="Calibri"/>
                    <w:color w:val="000000" w:themeColor="text1"/>
                    <w:lang w:eastAsia="en-US"/>
                  </w:rPr>
                  <m:t>=</m:t>
                </m:r>
              </m:oMath>
            </m:oMathPara>
          </w:p>
        </w:tc>
        <w:tc>
          <w:tcPr>
            <w:tcW w:w="7149" w:type="dxa"/>
          </w:tcPr>
          <w:p w:rsidR="00796C89" w:rsidRPr="00374785" w:rsidRDefault="00F91FE6" w:rsidP="00796C89">
            <w:pPr>
              <w:pStyle w:val="tMain"/>
              <w:ind w:left="0" w:firstLine="0"/>
              <w:rPr>
                <w:color w:val="000000" w:themeColor="text1"/>
              </w:rPr>
            </w:pPr>
            <w:r w:rsidRPr="00374785">
              <w:rPr>
                <w:iCs/>
              </w:rPr>
              <w:t>fuel type</w:t>
            </w:r>
            <w:r w:rsidR="00796C89" w:rsidRPr="00374785">
              <w:rPr>
                <w:color w:val="000000" w:themeColor="text1"/>
              </w:rPr>
              <w:t xml:space="preserve">. </w:t>
            </w:r>
          </w:p>
        </w:tc>
      </w:tr>
      <w:tr w:rsidR="00796C89" w:rsidRPr="00374785" w:rsidTr="00243677">
        <w:tc>
          <w:tcPr>
            <w:tcW w:w="1129" w:type="dxa"/>
          </w:tcPr>
          <w:p w:rsidR="00796C89" w:rsidRPr="00374785" w:rsidRDefault="0059293E" w:rsidP="00796C89">
            <w:pPr>
              <w:pStyle w:val="tMain"/>
              <w:ind w:left="0" w:firstLine="0"/>
              <w:jc w:val="right"/>
            </w:pPr>
            <m:oMathPara>
              <m:oMathParaPr>
                <m:jc m:val="right"/>
              </m:oMathParaPr>
              <m:oMath>
                <m:r>
                  <w:rPr>
                    <w:rFonts w:ascii="Cambria Math" w:hAnsi="Cambria Math" w:cs="Calibri"/>
                    <w:color w:val="000000" w:themeColor="text1"/>
                    <w:lang w:eastAsia="en-US"/>
                  </w:rPr>
                  <m:t>k</m:t>
                </m:r>
                <m:r>
                  <m:rPr>
                    <m:sty m:val="bi"/>
                  </m:rPr>
                  <w:rPr>
                    <w:rFonts w:ascii="Cambria Math" w:hAnsi="Cambria Math" w:cs="Calibri"/>
                    <w:color w:val="000000" w:themeColor="text1"/>
                    <w:lang w:eastAsia="en-US"/>
                  </w:rPr>
                  <m:t>=</m:t>
                </m:r>
              </m:oMath>
            </m:oMathPara>
          </w:p>
        </w:tc>
        <w:tc>
          <w:tcPr>
            <w:tcW w:w="7149" w:type="dxa"/>
          </w:tcPr>
          <w:p w:rsidR="00796C89" w:rsidRPr="00374785" w:rsidRDefault="00F91FE6" w:rsidP="00796C89">
            <w:pPr>
              <w:pStyle w:val="tMain"/>
              <w:ind w:left="0" w:firstLine="0"/>
              <w:rPr>
                <w:iCs/>
              </w:rPr>
            </w:pPr>
            <w:r w:rsidRPr="00374785">
              <w:rPr>
                <w:iCs/>
              </w:rPr>
              <w:t>type of greenhouse gas (carbon dioxide, methane or nitrous oxide) emitted for a given fuel type.</w:t>
            </w:r>
          </w:p>
        </w:tc>
      </w:tr>
    </w:tbl>
    <w:p w:rsidR="002B60C7" w:rsidRPr="00374785" w:rsidRDefault="00F91FE6" w:rsidP="00F91FE6">
      <w:pPr>
        <w:pStyle w:val="h3Div"/>
      </w:pPr>
      <w:bookmarkStart w:id="94" w:name="_Toc397681637"/>
      <w:r w:rsidRPr="00374785">
        <w:t xml:space="preserve">Division </w:t>
      </w:r>
      <w:r w:rsidR="007F3C0F">
        <w:t>4.5</w:t>
      </w:r>
      <w:r w:rsidRPr="00374785">
        <w:tab/>
      </w:r>
      <w:r w:rsidR="002B60C7" w:rsidRPr="00374785">
        <w:t>Calculation of the carbon dioxide equivalent net abatement amount</w:t>
      </w:r>
      <w:bookmarkEnd w:id="94"/>
    </w:p>
    <w:p w:rsidR="002B60C7" w:rsidRPr="00374785" w:rsidRDefault="007F3C0F" w:rsidP="00A4320E">
      <w:pPr>
        <w:pStyle w:val="h5Section"/>
      </w:pPr>
      <w:bookmarkStart w:id="95" w:name="_Toc397681638"/>
      <w:r>
        <w:t>4.</w:t>
      </w:r>
      <w:r w:rsidR="000E16C9">
        <w:t>15</w:t>
      </w:r>
      <w:r w:rsidR="00A4320E" w:rsidRPr="00374785">
        <w:tab/>
      </w:r>
      <w:r w:rsidR="002B60C7" w:rsidRPr="00374785">
        <w:t>Calculating the carbon dioxide equivalent net abatement amount for a project</w:t>
      </w:r>
      <w:bookmarkEnd w:id="95"/>
    </w:p>
    <w:p w:rsidR="002B60C7" w:rsidRPr="00374785" w:rsidRDefault="00A4320E" w:rsidP="00A4320E">
      <w:pPr>
        <w:pStyle w:val="noteMain"/>
      </w:pPr>
      <w:r w:rsidRPr="00374785">
        <w:tab/>
      </w:r>
      <w:r w:rsidRPr="00374785">
        <w:rPr>
          <w:b/>
          <w:i/>
        </w:rPr>
        <w:t>Note</w:t>
      </w:r>
      <w:r w:rsidRPr="00374785">
        <w:tab/>
      </w:r>
      <w:r w:rsidR="002B60C7" w:rsidRPr="00374785">
        <w:t>See paragraph 106(1)(c) of the Act.</w:t>
      </w:r>
    </w:p>
    <w:p w:rsidR="002B60C7" w:rsidRPr="00374785" w:rsidRDefault="00D73095" w:rsidP="00D73095">
      <w:pPr>
        <w:pStyle w:val="tMain"/>
      </w:pPr>
      <w:r>
        <w:tab/>
        <w:t>(1)</w:t>
      </w:r>
      <w:r>
        <w:tab/>
      </w:r>
      <w:r w:rsidR="007B60BA" w:rsidRPr="00374785">
        <w:t>For each reporting period, t</w:t>
      </w:r>
      <w:r w:rsidR="009D6A40" w:rsidRPr="00374785">
        <w:t>he carbon dioxide equivalent net abatement amount for an eligible offsets project to which this Determination applies must be calculated using the following formula</w:t>
      </w:r>
      <w:r w:rsidR="00B201E6" w:rsidRPr="00374785">
        <w:t>:</w:t>
      </w:r>
    </w:p>
    <w:tbl>
      <w:tblPr>
        <w:tblStyle w:val="TableGrid"/>
        <w:tblW w:w="0" w:type="auto"/>
        <w:tblInd w:w="964" w:type="dxa"/>
        <w:tblLook w:val="04A0"/>
      </w:tblPr>
      <w:tblGrid>
        <w:gridCol w:w="6374"/>
        <w:gridCol w:w="1904"/>
      </w:tblGrid>
      <w:tr w:rsidR="00A4320E" w:rsidRPr="00374785" w:rsidTr="00A4320E">
        <w:tc>
          <w:tcPr>
            <w:tcW w:w="6374" w:type="dxa"/>
          </w:tcPr>
          <w:p w:rsidR="00A4320E" w:rsidRPr="00374785" w:rsidRDefault="00816184" w:rsidP="00F231CF">
            <w:pPr>
              <w:pStyle w:val="tMain"/>
              <w:spacing w:before="100" w:line="360" w:lineRule="auto"/>
              <w:ind w:left="0" w:firstLine="0"/>
            </w:pPr>
            <m:oMathPara>
              <m:oMath>
                <m:r>
                  <w:rPr>
                    <w:rFonts w:ascii="Cambria Math" w:hAnsi="Cambria Math"/>
                  </w:rPr>
                  <w:lastRenderedPageBreak/>
                  <m:t xml:space="preserve">A = </m:t>
                </m:r>
                <m:sSub>
                  <m:sSubPr>
                    <m:ctrlPr>
                      <w:rPr>
                        <w:rFonts w:ascii="Cambria Math" w:hAnsi="Cambria Math"/>
                        <w:i/>
                        <w:sz w:val="22"/>
                      </w:rPr>
                    </m:ctrlPr>
                  </m:sSubPr>
                  <m:e>
                    <m:r>
                      <w:rPr>
                        <w:rFonts w:ascii="Cambria Math" w:hAnsi="Cambria Math"/>
                        <w:sz w:val="22"/>
                      </w:rPr>
                      <m:t>C</m:t>
                    </m:r>
                  </m:e>
                  <m:sub>
                    <m:r>
                      <w:rPr>
                        <w:rFonts w:ascii="Cambria Math" w:hAnsi="Cambria Math"/>
                        <w:sz w:val="22"/>
                      </w:rPr>
                      <m:t>P</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F</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V</m:t>
                    </m:r>
                  </m:sub>
                </m:sSub>
              </m:oMath>
            </m:oMathPara>
          </w:p>
        </w:tc>
        <w:tc>
          <w:tcPr>
            <w:tcW w:w="1904" w:type="dxa"/>
            <w:vAlign w:val="center"/>
          </w:tcPr>
          <w:p w:rsidR="00A4320E" w:rsidRPr="00374785" w:rsidRDefault="00A4320E" w:rsidP="000E16C9">
            <w:pPr>
              <w:pStyle w:val="tMain"/>
              <w:ind w:left="0" w:firstLine="0"/>
              <w:jc w:val="center"/>
              <w:rPr>
                <w:b/>
              </w:rPr>
            </w:pPr>
            <w:r w:rsidRPr="00374785">
              <w:rPr>
                <w:b/>
              </w:rPr>
              <w:t xml:space="preserve">Equation </w:t>
            </w:r>
            <w:r w:rsidR="000E16C9">
              <w:rPr>
                <w:b/>
              </w:rPr>
              <w:t>18</w:t>
            </w:r>
          </w:p>
        </w:tc>
      </w:tr>
    </w:tbl>
    <w:p w:rsidR="00A4320E" w:rsidRPr="00374785" w:rsidRDefault="00A4320E" w:rsidP="00A4320E">
      <w:pPr>
        <w:pStyle w:val="tMain"/>
      </w:pPr>
      <w:r w:rsidRPr="00374785">
        <w:tab/>
      </w:r>
      <w:r w:rsidRPr="00374785">
        <w:tab/>
        <w:t>Where:</w:t>
      </w:r>
    </w:p>
    <w:tbl>
      <w:tblPr>
        <w:tblStyle w:val="TableGrid"/>
        <w:tblW w:w="0" w:type="auto"/>
        <w:tblInd w:w="964" w:type="dxa"/>
        <w:tblLook w:val="04A0"/>
      </w:tblPr>
      <w:tblGrid>
        <w:gridCol w:w="1129"/>
        <w:gridCol w:w="7149"/>
      </w:tblGrid>
      <w:tr w:rsidR="00A4320E" w:rsidRPr="00374785" w:rsidTr="00243677">
        <w:tc>
          <w:tcPr>
            <w:tcW w:w="1129" w:type="dxa"/>
            <w:vAlign w:val="center"/>
          </w:tcPr>
          <w:p w:rsidR="00A4320E" w:rsidRPr="00374785" w:rsidRDefault="00816184" w:rsidP="00816184">
            <w:pPr>
              <w:pStyle w:val="tMain"/>
              <w:ind w:left="0" w:firstLine="0"/>
              <w:jc w:val="right"/>
              <w:rPr>
                <w:color w:val="000000" w:themeColor="text1"/>
              </w:rPr>
            </w:pPr>
            <m:oMathPara>
              <m:oMathParaPr>
                <m:jc m:val="right"/>
              </m:oMathParaPr>
              <m:oMath>
                <m:r>
                  <w:rPr>
                    <w:rFonts w:ascii="Cambria Math" w:hAnsi="Cambria Math"/>
                  </w:rPr>
                  <m:t>A</m:t>
                </m:r>
                <m:r>
                  <m:rPr>
                    <m:sty m:val="bi"/>
                  </m:rPr>
                  <w:rPr>
                    <w:rFonts w:ascii="Cambria Math" w:hAnsi="Cambria Math" w:cs="Calibri"/>
                    <w:color w:val="000000" w:themeColor="text1"/>
                    <w:lang w:eastAsia="en-US"/>
                  </w:rPr>
                  <m:t>=</m:t>
                </m:r>
              </m:oMath>
            </m:oMathPara>
          </w:p>
        </w:tc>
        <w:tc>
          <w:tcPr>
            <w:tcW w:w="7149" w:type="dxa"/>
          </w:tcPr>
          <w:p w:rsidR="00A4320E" w:rsidRPr="00374785" w:rsidRDefault="00816184" w:rsidP="00323067">
            <w:pPr>
              <w:pStyle w:val="tMain"/>
              <w:ind w:left="0" w:firstLine="0"/>
              <w:rPr>
                <w:color w:val="000000" w:themeColor="text1"/>
              </w:rPr>
            </w:pPr>
            <w:r w:rsidRPr="00374785">
              <w:rPr>
                <w:iCs/>
              </w:rPr>
              <w:t>P</w:t>
            </w:r>
            <w:r w:rsidR="00A4320E" w:rsidRPr="00374785">
              <w:rPr>
                <w:iCs/>
              </w:rPr>
              <w:t>roject net abatement for the reporting period</w:t>
            </w:r>
            <w:r w:rsidR="00323067">
              <w:rPr>
                <w:iCs/>
              </w:rPr>
              <w:t xml:space="preserve"> </w:t>
            </w:r>
            <w:r w:rsidR="00323067" w:rsidRPr="00374785">
              <w:rPr>
                <w:iCs/>
              </w:rPr>
              <w:t>(in tonnes CO</w:t>
            </w:r>
            <w:r w:rsidR="00323067" w:rsidRPr="00374785">
              <w:rPr>
                <w:iCs/>
                <w:vertAlign w:val="subscript"/>
              </w:rPr>
              <w:t>2</w:t>
            </w:r>
            <w:r w:rsidR="00323067" w:rsidRPr="00374785">
              <w:rPr>
                <w:iCs/>
              </w:rPr>
              <w:noBreakHyphen/>
              <w:t>e)</w:t>
            </w:r>
            <w:r w:rsidR="00A4320E" w:rsidRPr="00374785">
              <w:rPr>
                <w:iCs/>
              </w:rPr>
              <w:t>.</w:t>
            </w:r>
          </w:p>
        </w:tc>
      </w:tr>
      <w:tr w:rsidR="00A4320E" w:rsidRPr="00374785" w:rsidTr="00243677">
        <w:tc>
          <w:tcPr>
            <w:tcW w:w="1129" w:type="dxa"/>
            <w:vAlign w:val="center"/>
          </w:tcPr>
          <w:p w:rsidR="00A4320E" w:rsidRPr="00374785" w:rsidRDefault="0020376C" w:rsidP="00F231CF">
            <w:pPr>
              <w:pStyle w:val="tMain"/>
              <w:ind w:left="0" w:firstLine="0"/>
              <w:jc w:val="right"/>
              <w:rPr>
                <w:color w:val="000000" w:themeColor="text1"/>
              </w:rPr>
            </w:pPr>
            <m:oMathPara>
              <m:oMathParaPr>
                <m:jc m:val="right"/>
              </m:oMathParaPr>
              <m:oMath>
                <m:sSub>
                  <m:sSubPr>
                    <m:ctrlPr>
                      <w:rPr>
                        <w:rFonts w:ascii="Cambria Math" w:hAnsi="Cambria Math"/>
                        <w:i/>
                        <w:sz w:val="22"/>
                      </w:rPr>
                    </m:ctrlPr>
                  </m:sSubPr>
                  <m:e>
                    <m:r>
                      <w:rPr>
                        <w:rFonts w:ascii="Cambria Math" w:hAnsi="Cambria Math"/>
                        <w:sz w:val="22"/>
                      </w:rPr>
                      <m:t>C</m:t>
                    </m:r>
                  </m:e>
                  <m:sub>
                    <m:r>
                      <w:rPr>
                        <w:rFonts w:ascii="Cambria Math" w:hAnsi="Cambria Math"/>
                        <w:sz w:val="22"/>
                      </w:rPr>
                      <m:t>P</m:t>
                    </m:r>
                  </m:sub>
                </m:sSub>
                <m:r>
                  <m:rPr>
                    <m:sty m:val="bi"/>
                  </m:rPr>
                  <w:rPr>
                    <w:rFonts w:ascii="Cambria Math" w:hAnsi="Cambria Math" w:cs="Calibri"/>
                    <w:color w:val="000000" w:themeColor="text1"/>
                    <w:lang w:eastAsia="en-US"/>
                  </w:rPr>
                  <m:t>=</m:t>
                </m:r>
              </m:oMath>
            </m:oMathPara>
          </w:p>
        </w:tc>
        <w:tc>
          <w:tcPr>
            <w:tcW w:w="7149" w:type="dxa"/>
          </w:tcPr>
          <w:p w:rsidR="00A4320E" w:rsidRPr="00374785" w:rsidRDefault="00057E11" w:rsidP="00881C96">
            <w:pPr>
              <w:pStyle w:val="tMain"/>
              <w:ind w:left="0" w:firstLine="0"/>
              <w:rPr>
                <w:color w:val="000000" w:themeColor="text1"/>
              </w:rPr>
            </w:pPr>
            <w:r w:rsidRPr="00374785">
              <w:rPr>
                <w:iCs/>
              </w:rPr>
              <w:t>carbon stock  for the project</w:t>
            </w:r>
            <w:r w:rsidR="00881C96">
              <w:rPr>
                <w:iCs/>
              </w:rPr>
              <w:t xml:space="preserve"> </w:t>
            </w:r>
            <w:r w:rsidR="00881C96" w:rsidRPr="00374785">
              <w:rPr>
                <w:iCs/>
              </w:rPr>
              <w:t>(in tonnes CO</w:t>
            </w:r>
            <w:r w:rsidR="00881C96" w:rsidRPr="00374785">
              <w:rPr>
                <w:iCs/>
                <w:vertAlign w:val="subscript"/>
              </w:rPr>
              <w:t>2</w:t>
            </w:r>
            <w:r w:rsidR="00881C96" w:rsidRPr="00374785">
              <w:rPr>
                <w:iCs/>
              </w:rPr>
              <w:t>-e)</w:t>
            </w:r>
            <w:r w:rsidRPr="00374785">
              <w:rPr>
                <w:iCs/>
              </w:rPr>
              <w:t xml:space="preserve">—see Equation </w:t>
            </w:r>
            <w:r w:rsidR="00881C96">
              <w:rPr>
                <w:iCs/>
              </w:rPr>
              <w:t>11b</w:t>
            </w:r>
            <w:r w:rsidR="00A4320E" w:rsidRPr="00374785">
              <w:rPr>
                <w:iCs/>
              </w:rPr>
              <w:t>.</w:t>
            </w:r>
          </w:p>
        </w:tc>
      </w:tr>
      <w:tr w:rsidR="00A4320E" w:rsidRPr="00374785" w:rsidTr="00243677">
        <w:tc>
          <w:tcPr>
            <w:tcW w:w="1129" w:type="dxa"/>
            <w:vAlign w:val="center"/>
          </w:tcPr>
          <w:p w:rsidR="00A4320E" w:rsidRPr="00374785" w:rsidRDefault="0020376C" w:rsidP="00A4320E">
            <w:pPr>
              <w:pStyle w:val="tMain"/>
              <w:ind w:left="0" w:firstLine="0"/>
              <w:jc w:val="right"/>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B</m:t>
                    </m:r>
                  </m:sub>
                </m:sSub>
                <m:r>
                  <m:rPr>
                    <m:sty m:val="bi"/>
                  </m:rPr>
                  <w:rPr>
                    <w:rFonts w:ascii="Cambria Math" w:hAnsi="Cambria Math" w:cs="Calibri"/>
                    <w:color w:val="000000" w:themeColor="text1"/>
                    <w:lang w:eastAsia="en-US"/>
                  </w:rPr>
                  <m:t>=</m:t>
                </m:r>
              </m:oMath>
            </m:oMathPara>
          </w:p>
        </w:tc>
        <w:tc>
          <w:tcPr>
            <w:tcW w:w="7149" w:type="dxa"/>
          </w:tcPr>
          <w:p w:rsidR="00A4320E" w:rsidRPr="00374785" w:rsidRDefault="00057E11" w:rsidP="00B34F30">
            <w:pPr>
              <w:pStyle w:val="tMain"/>
              <w:ind w:left="0" w:firstLine="0"/>
              <w:rPr>
                <w:iCs/>
              </w:rPr>
            </w:pPr>
            <w:proofErr w:type="gramStart"/>
            <w:r w:rsidRPr="00374785">
              <w:rPr>
                <w:iCs/>
              </w:rPr>
              <w:t>total</w:t>
            </w:r>
            <w:proofErr w:type="gramEnd"/>
            <w:r w:rsidRPr="00374785">
              <w:rPr>
                <w:iCs/>
              </w:rPr>
              <w:t xml:space="preserve"> project emissions from biomass burning  for the project</w:t>
            </w:r>
            <w:r w:rsidR="00F231CF">
              <w:rPr>
                <w:iCs/>
              </w:rPr>
              <w:t xml:space="preserve"> </w:t>
            </w:r>
            <w:r w:rsidR="00F231CF" w:rsidRPr="00374785">
              <w:rPr>
                <w:iCs/>
              </w:rPr>
              <w:t>(in tonnes of CO</w:t>
            </w:r>
            <w:r w:rsidR="00F231CF" w:rsidRPr="00374785">
              <w:rPr>
                <w:iCs/>
                <w:vertAlign w:val="subscript"/>
              </w:rPr>
              <w:t>2</w:t>
            </w:r>
            <w:r w:rsidR="00F231CF" w:rsidRPr="00374785">
              <w:rPr>
                <w:iCs/>
              </w:rPr>
              <w:t>-e )</w:t>
            </w:r>
            <w:r w:rsidR="00816184" w:rsidRPr="00374785">
              <w:rPr>
                <w:iCs/>
              </w:rPr>
              <w:t xml:space="preserve">—see Equation </w:t>
            </w:r>
            <w:r w:rsidR="00B34F30">
              <w:rPr>
                <w:iCs/>
              </w:rPr>
              <w:t>15</w:t>
            </w:r>
            <w:r w:rsidR="00816184" w:rsidRPr="00374785">
              <w:rPr>
                <w:iCs/>
              </w:rPr>
              <w:t>.</w:t>
            </w:r>
          </w:p>
        </w:tc>
      </w:tr>
      <w:tr w:rsidR="00A4320E" w:rsidRPr="00374785" w:rsidTr="00243677">
        <w:tc>
          <w:tcPr>
            <w:tcW w:w="1129" w:type="dxa"/>
            <w:vAlign w:val="center"/>
          </w:tcPr>
          <w:p w:rsidR="00A4320E" w:rsidRPr="00374785" w:rsidRDefault="0020376C" w:rsidP="00816184">
            <w:pPr>
              <w:pStyle w:val="tMain"/>
              <w:ind w:left="0" w:firstLine="0"/>
              <w:jc w:val="right"/>
              <w:rPr>
                <w:color w:val="000000" w:themeColor="text1"/>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F</m:t>
                    </m:r>
                  </m:sub>
                </m:sSub>
                <m:r>
                  <m:rPr>
                    <m:sty m:val="bi"/>
                  </m:rPr>
                  <w:rPr>
                    <w:rFonts w:ascii="Cambria Math" w:hAnsi="Cambria Math" w:cs="Calibri"/>
                    <w:color w:val="000000" w:themeColor="text1"/>
                    <w:lang w:eastAsia="en-US"/>
                  </w:rPr>
                  <m:t>=</m:t>
                </m:r>
              </m:oMath>
            </m:oMathPara>
          </w:p>
        </w:tc>
        <w:tc>
          <w:tcPr>
            <w:tcW w:w="7149" w:type="dxa"/>
          </w:tcPr>
          <w:p w:rsidR="00A4320E" w:rsidRPr="00374785" w:rsidRDefault="00057E11" w:rsidP="00B34F30">
            <w:pPr>
              <w:pStyle w:val="tMain"/>
              <w:ind w:left="0" w:firstLine="0"/>
              <w:rPr>
                <w:color w:val="000000" w:themeColor="text1"/>
              </w:rPr>
            </w:pPr>
            <w:proofErr w:type="gramStart"/>
            <w:r w:rsidRPr="00374785">
              <w:rPr>
                <w:iCs/>
              </w:rPr>
              <w:t>total</w:t>
            </w:r>
            <w:proofErr w:type="gramEnd"/>
            <w:r w:rsidRPr="00374785">
              <w:rPr>
                <w:iCs/>
              </w:rPr>
              <w:t xml:space="preserve"> project fuel emissions for the project</w:t>
            </w:r>
            <w:r w:rsidR="00F231CF">
              <w:rPr>
                <w:iCs/>
              </w:rPr>
              <w:t xml:space="preserve"> </w:t>
            </w:r>
            <w:r w:rsidR="00F231CF" w:rsidRPr="00374785">
              <w:rPr>
                <w:iCs/>
              </w:rPr>
              <w:t>(in tonnes CO</w:t>
            </w:r>
            <w:r w:rsidR="00F231CF" w:rsidRPr="00374785">
              <w:rPr>
                <w:iCs/>
                <w:vertAlign w:val="subscript"/>
              </w:rPr>
              <w:t>2</w:t>
            </w:r>
            <w:r w:rsidR="00F231CF" w:rsidRPr="00374785">
              <w:rPr>
                <w:iCs/>
              </w:rPr>
              <w:t xml:space="preserve">-e) </w:t>
            </w:r>
            <w:r w:rsidRPr="00374785">
              <w:rPr>
                <w:iCs/>
              </w:rPr>
              <w:t xml:space="preserve">—see Equation </w:t>
            </w:r>
            <w:r w:rsidR="00B34F30">
              <w:rPr>
                <w:iCs/>
              </w:rPr>
              <w:t>17</w:t>
            </w:r>
            <w:r w:rsidR="00A4320E" w:rsidRPr="00374785">
              <w:rPr>
                <w:color w:val="000000" w:themeColor="text1"/>
              </w:rPr>
              <w:t xml:space="preserve">. </w:t>
            </w:r>
          </w:p>
        </w:tc>
      </w:tr>
      <w:tr w:rsidR="00F231CF" w:rsidRPr="00374785" w:rsidTr="00243677">
        <w:tc>
          <w:tcPr>
            <w:tcW w:w="1129" w:type="dxa"/>
          </w:tcPr>
          <w:p w:rsidR="00F231CF" w:rsidRPr="003453A3" w:rsidRDefault="0020376C" w:rsidP="00F231CF">
            <w:pPr>
              <w:pStyle w:val="tMain"/>
              <w:ind w:left="0" w:firstLine="0"/>
              <w:jc w:val="right"/>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N</m:t>
                    </m:r>
                  </m:sub>
                </m:sSub>
              </m:oMath>
            </m:oMathPara>
          </w:p>
        </w:tc>
        <w:tc>
          <w:tcPr>
            <w:tcW w:w="7149" w:type="dxa"/>
          </w:tcPr>
          <w:p w:rsidR="00F231CF" w:rsidRPr="00374785" w:rsidRDefault="00F231CF" w:rsidP="00881C96">
            <w:pPr>
              <w:pStyle w:val="tMain"/>
              <w:ind w:left="0" w:firstLine="0"/>
              <w:rPr>
                <w:iCs/>
              </w:rPr>
            </w:pPr>
            <w:r w:rsidRPr="00374785">
              <w:rPr>
                <w:iCs/>
              </w:rPr>
              <w:t>initial carbon stock for the project area (in tonnes CO</w:t>
            </w:r>
            <w:r w:rsidRPr="00374785">
              <w:rPr>
                <w:iCs/>
                <w:vertAlign w:val="subscript"/>
              </w:rPr>
              <w:t>2</w:t>
            </w:r>
            <w:r w:rsidRPr="00374785">
              <w:rPr>
                <w:iCs/>
              </w:rPr>
              <w:t>-e)</w:t>
            </w:r>
            <w:r w:rsidR="00881C96" w:rsidRPr="00374785">
              <w:rPr>
                <w:iCs/>
              </w:rPr>
              <w:t xml:space="preserve">—see Equation </w:t>
            </w:r>
            <w:r w:rsidR="00881C96">
              <w:rPr>
                <w:iCs/>
              </w:rPr>
              <w:t>11a</w:t>
            </w:r>
            <w:r w:rsidRPr="00374785">
              <w:rPr>
                <w:color w:val="000000" w:themeColor="text1"/>
              </w:rPr>
              <w:t>.</w:t>
            </w:r>
          </w:p>
        </w:tc>
      </w:tr>
      <w:tr w:rsidR="00F231CF" w:rsidRPr="00374785" w:rsidTr="00243677">
        <w:tc>
          <w:tcPr>
            <w:tcW w:w="1129" w:type="dxa"/>
          </w:tcPr>
          <w:p w:rsidR="00F231CF" w:rsidRPr="003453A3" w:rsidRDefault="0020376C" w:rsidP="00F231CF">
            <w:pPr>
              <w:pStyle w:val="tMain"/>
              <w:ind w:left="0" w:firstLine="0"/>
              <w:jc w:val="right"/>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V</m:t>
                    </m:r>
                  </m:sub>
                </m:sSub>
              </m:oMath>
            </m:oMathPara>
          </w:p>
        </w:tc>
        <w:tc>
          <w:tcPr>
            <w:tcW w:w="7149" w:type="dxa"/>
          </w:tcPr>
          <w:p w:rsidR="00F231CF" w:rsidRPr="00374785" w:rsidRDefault="00F231CF" w:rsidP="00DA59FB">
            <w:pPr>
              <w:pStyle w:val="tMain"/>
              <w:ind w:left="0" w:firstLine="0"/>
              <w:rPr>
                <w:iCs/>
              </w:rPr>
            </w:pPr>
            <w:r w:rsidRPr="00374785">
              <w:rPr>
                <w:iCs/>
              </w:rPr>
              <w:t>carbon stock for the project</w:t>
            </w:r>
            <w:r>
              <w:rPr>
                <w:iCs/>
              </w:rPr>
              <w:t xml:space="preserve"> from the previous offsets report </w:t>
            </w:r>
            <w:r w:rsidRPr="00374785">
              <w:rPr>
                <w:iCs/>
              </w:rPr>
              <w:t>(in tonnes CO</w:t>
            </w:r>
            <w:r w:rsidRPr="00374785">
              <w:rPr>
                <w:iCs/>
                <w:vertAlign w:val="subscript"/>
              </w:rPr>
              <w:t>2</w:t>
            </w:r>
            <w:r w:rsidRPr="00374785">
              <w:rPr>
                <w:iCs/>
              </w:rPr>
              <w:t>-e)</w:t>
            </w:r>
            <w:r w:rsidR="00323067" w:rsidRPr="00374785">
              <w:rPr>
                <w:iCs/>
              </w:rPr>
              <w:t>—</w:t>
            </w:r>
            <w:r w:rsidR="00DA59FB">
              <w:rPr>
                <w:iCs/>
              </w:rPr>
              <w:t>(</w:t>
            </w:r>
            <w:r w:rsidR="00323067" w:rsidRPr="00374785">
              <w:rPr>
                <w:iCs/>
              </w:rPr>
              <w:t xml:space="preserve">see </w:t>
            </w:r>
            <w:r w:rsidR="00323067">
              <w:rPr>
                <w:iCs/>
              </w:rPr>
              <w:t xml:space="preserve">the carbon stock value </w:t>
            </w:r>
            <w:r w:rsidR="00DA59FB">
              <w:rPr>
                <w:iCs/>
              </w:rPr>
              <w:t>reported</w:t>
            </w:r>
            <w:r w:rsidR="00323067">
              <w:rPr>
                <w:iCs/>
              </w:rPr>
              <w:t xml:space="preserve"> </w:t>
            </w:r>
            <w:r w:rsidR="00DA59FB">
              <w:rPr>
                <w:iCs/>
              </w:rPr>
              <w:t xml:space="preserve">in </w:t>
            </w:r>
            <w:r w:rsidR="00323067">
              <w:rPr>
                <w:iCs/>
              </w:rPr>
              <w:t xml:space="preserve">the </w:t>
            </w:r>
            <w:r w:rsidR="00DA59FB">
              <w:rPr>
                <w:iCs/>
              </w:rPr>
              <w:t>previous offsets report).</w:t>
            </w:r>
          </w:p>
        </w:tc>
      </w:tr>
    </w:tbl>
    <w:p w:rsidR="00BD6F88" w:rsidRPr="00374785" w:rsidRDefault="00D73095" w:rsidP="00D73095">
      <w:pPr>
        <w:pStyle w:val="tMain"/>
      </w:pPr>
      <w:r>
        <w:tab/>
        <w:t>(2)</w:t>
      </w:r>
      <w:r>
        <w:tab/>
      </w:r>
      <w:r w:rsidR="00BD6F88" w:rsidRPr="00374785">
        <w:t>In this section:</w:t>
      </w:r>
    </w:p>
    <w:p w:rsidR="00BD6F88" w:rsidRPr="00374785" w:rsidRDefault="00BD6F88" w:rsidP="00BD6F88">
      <w:pPr>
        <w:pStyle w:val="tDefn"/>
      </w:pPr>
      <w:r w:rsidRPr="00374785">
        <w:rPr>
          <w:b/>
          <w:i/>
        </w:rPr>
        <w:t>previous offsets report</w:t>
      </w:r>
      <w:r w:rsidRPr="00374785">
        <w:t xml:space="preserve"> means </w:t>
      </w:r>
      <w:r w:rsidR="00881C96">
        <w:t>the most recent</w:t>
      </w:r>
      <w:r w:rsidR="00881C96" w:rsidRPr="00374785">
        <w:t xml:space="preserve"> </w:t>
      </w:r>
      <w:r w:rsidRPr="00374785">
        <w:t xml:space="preserve">report for the project submitted under this or </w:t>
      </w:r>
      <w:r w:rsidR="009A2A89" w:rsidRPr="00374785">
        <w:t>another CFI methodology d</w:t>
      </w:r>
      <w:r w:rsidRPr="00374785">
        <w:t xml:space="preserve">etermination </w:t>
      </w:r>
      <w:r w:rsidR="00155064" w:rsidRPr="00374785">
        <w:t xml:space="preserve">applicable for the project mechanism </w:t>
      </w:r>
      <w:r w:rsidRPr="00374785">
        <w:t>and for which a certificate of entitlement has been issued.</w:t>
      </w:r>
    </w:p>
    <w:p w:rsidR="00F431B0" w:rsidRDefault="00BD6F88" w:rsidP="00BD6F88">
      <w:pPr>
        <w:pStyle w:val="notePara"/>
      </w:pPr>
      <w:r w:rsidRPr="00374785">
        <w:tab/>
      </w:r>
      <w:r w:rsidRPr="00374785">
        <w:rPr>
          <w:b/>
          <w:i/>
        </w:rPr>
        <w:t>Note</w:t>
      </w:r>
      <w:r w:rsidRPr="00374785">
        <w:tab/>
      </w:r>
      <w:r w:rsidR="00F431B0" w:rsidRPr="00374785">
        <w:t xml:space="preserve">For </w:t>
      </w:r>
      <w:r w:rsidR="00F431B0" w:rsidRPr="00374785">
        <w:rPr>
          <w:b/>
          <w:bCs/>
          <w:i/>
          <w:iCs/>
        </w:rPr>
        <w:t>certificate of entitlement</w:t>
      </w:r>
      <w:r w:rsidR="00F431B0" w:rsidRPr="00374785">
        <w:t>, see section 15 of the Act.</w:t>
      </w:r>
    </w:p>
    <w:p w:rsidR="00881C96" w:rsidRPr="00374785" w:rsidRDefault="00881C96" w:rsidP="00881C96">
      <w:pPr>
        <w:pStyle w:val="notePara"/>
      </w:pPr>
      <w:r w:rsidRPr="00374785">
        <w:tab/>
      </w:r>
      <w:r w:rsidRPr="00374785">
        <w:rPr>
          <w:b/>
          <w:i/>
        </w:rPr>
        <w:t>Note</w:t>
      </w:r>
      <w:r w:rsidRPr="00374785">
        <w:tab/>
      </w:r>
      <w:r w:rsidR="00DA59FB">
        <w:t xml:space="preserve">The </w:t>
      </w:r>
      <w:r w:rsidR="00DA59FB" w:rsidRPr="00374785">
        <w:rPr>
          <w:iCs/>
        </w:rPr>
        <w:t>carbon stock for the project</w:t>
      </w:r>
      <w:r w:rsidR="00DA59FB">
        <w:rPr>
          <w:iCs/>
        </w:rPr>
        <w:t xml:space="preserve"> from the previous offsets report </w:t>
      </w:r>
      <m:oMath>
        <m:sSub>
          <m:sSubPr>
            <m:ctrlPr>
              <w:rPr>
                <w:rFonts w:ascii="Cambria Math" w:hAnsi="Cambria Math"/>
                <w:i/>
              </w:rPr>
            </m:ctrlPr>
          </m:sSubPr>
          <m:e>
            <m:r>
              <w:rPr>
                <w:rFonts w:ascii="Cambria Math" w:hAnsi="Cambria Math"/>
              </w:rPr>
              <m:t>C</m:t>
            </m:r>
          </m:e>
          <m:sub>
            <m:r>
              <w:rPr>
                <w:rFonts w:ascii="Cambria Math" w:hAnsi="Cambria Math"/>
              </w:rPr>
              <m:t>V</m:t>
            </m:r>
          </m:sub>
        </m:sSub>
      </m:oMath>
      <w:r w:rsidR="00DA59FB">
        <w:rPr>
          <w:bCs/>
          <w:iCs/>
        </w:rPr>
        <w:t xml:space="preserve"> </w:t>
      </w:r>
      <w:r w:rsidR="00D73095">
        <w:rPr>
          <w:iCs/>
        </w:rPr>
        <w:t xml:space="preserve">is </w:t>
      </w:r>
      <w:r w:rsidR="00DA59FB">
        <w:rPr>
          <w:iCs/>
        </w:rPr>
        <w:t>the carbon stock</w:t>
      </w:r>
      <w:r w:rsidR="00D73095">
        <w:rPr>
          <w:iCs/>
        </w:rPr>
        <w:t xml:space="preserve"> </w:t>
      </w:r>
      <w:r w:rsidR="00DA59FB">
        <w:rPr>
          <w:iCs/>
        </w:rPr>
        <w:t>value reported</w:t>
      </w:r>
      <w:r w:rsidR="00D73095">
        <w:rPr>
          <w:iCs/>
        </w:rPr>
        <w:t xml:space="preserve"> in the previous offsets report submitted to the Regulator</w:t>
      </w:r>
      <w:r w:rsidR="00DA59FB">
        <w:rPr>
          <w:iCs/>
        </w:rPr>
        <w:t>.</w:t>
      </w:r>
      <w:r w:rsidR="00D73095">
        <w:rPr>
          <w:iCs/>
        </w:rPr>
        <w:t xml:space="preserve"> </w:t>
      </w:r>
      <w:r w:rsidRPr="00374785">
        <w:t xml:space="preserve">For </w:t>
      </w:r>
      <w:r>
        <w:rPr>
          <w:bCs/>
          <w:iCs/>
        </w:rPr>
        <w:t>the first offsets report for the project there is no previous carbon stock reported</w:t>
      </w:r>
      <w:r w:rsidR="00C547FF">
        <w:rPr>
          <w:bCs/>
          <w:iCs/>
        </w:rPr>
        <w:t xml:space="preserve"> in an earlier offsets report</w:t>
      </w:r>
      <w:r>
        <w:rPr>
          <w:bCs/>
          <w:iCs/>
        </w:rPr>
        <w:t xml:space="preserve"> and so the value of </w:t>
      </w:r>
      <m:oMath>
        <m:sSub>
          <m:sSubPr>
            <m:ctrlPr>
              <w:rPr>
                <w:rFonts w:ascii="Cambria Math" w:hAnsi="Cambria Math"/>
                <w:i/>
              </w:rPr>
            </m:ctrlPr>
          </m:sSubPr>
          <m:e>
            <m:r>
              <w:rPr>
                <w:rFonts w:ascii="Cambria Math" w:hAnsi="Cambria Math"/>
              </w:rPr>
              <m:t>C</m:t>
            </m:r>
          </m:e>
          <m:sub>
            <m:r>
              <w:rPr>
                <w:rFonts w:ascii="Cambria Math" w:hAnsi="Cambria Math"/>
              </w:rPr>
              <m:t>V</m:t>
            </m:r>
          </m:sub>
        </m:sSub>
      </m:oMath>
      <w:r>
        <w:rPr>
          <w:bCs/>
          <w:iCs/>
        </w:rPr>
        <w:t xml:space="preserve"> is zero</w:t>
      </w:r>
      <w:r w:rsidRPr="00374785">
        <w:t>.</w:t>
      </w:r>
    </w:p>
    <w:p w:rsidR="002B60C7" w:rsidRPr="00374785" w:rsidRDefault="0098222B" w:rsidP="0098222B">
      <w:pPr>
        <w:pStyle w:val="h3Div"/>
      </w:pPr>
      <w:bookmarkStart w:id="96" w:name="_Toc397681639"/>
      <w:r w:rsidRPr="00374785">
        <w:t xml:space="preserve">Division </w:t>
      </w:r>
      <w:r w:rsidR="007F3C0F">
        <w:t>4.6</w:t>
      </w:r>
      <w:r w:rsidRPr="00374785">
        <w:tab/>
      </w:r>
      <w:r w:rsidR="002B60C7" w:rsidRPr="00374785">
        <w:t>Data collection</w:t>
      </w:r>
      <w:bookmarkEnd w:id="96"/>
    </w:p>
    <w:p w:rsidR="00636201" w:rsidRPr="00374785" w:rsidRDefault="007F3C0F" w:rsidP="00636201">
      <w:pPr>
        <w:pStyle w:val="h5Section"/>
      </w:pPr>
      <w:bookmarkStart w:id="97" w:name="_Toc397681640"/>
      <w:r>
        <w:t>4.</w:t>
      </w:r>
      <w:r w:rsidR="000E16C9">
        <w:t>16</w:t>
      </w:r>
      <w:r w:rsidR="00636201" w:rsidRPr="00374785">
        <w:tab/>
        <w:t>Data collection—general</w:t>
      </w:r>
      <w:bookmarkEnd w:id="97"/>
    </w:p>
    <w:p w:rsidR="00636201" w:rsidRPr="00374785" w:rsidRDefault="00CC5CFB" w:rsidP="00CC5CFB">
      <w:pPr>
        <w:pStyle w:val="tMain"/>
      </w:pPr>
      <w:r w:rsidRPr="00374785">
        <w:tab/>
      </w:r>
      <w:r w:rsidRPr="00374785">
        <w:tab/>
      </w:r>
      <w:r w:rsidR="00636201" w:rsidRPr="00374785">
        <w:t xml:space="preserve">A project proponent must collect </w:t>
      </w:r>
      <w:r w:rsidR="007A1B29" w:rsidRPr="00374785">
        <w:t xml:space="preserve">and record </w:t>
      </w:r>
      <w:r w:rsidR="00636201" w:rsidRPr="00374785">
        <w:t xml:space="preserve">data </w:t>
      </w:r>
      <w:r w:rsidR="007A1B29" w:rsidRPr="00374785">
        <w:t>on</w:t>
      </w:r>
      <w:r w:rsidR="00636201" w:rsidRPr="00374785">
        <w:t>:</w:t>
      </w:r>
    </w:p>
    <w:p w:rsidR="00636201" w:rsidRPr="00374785" w:rsidRDefault="00636201" w:rsidP="00636201">
      <w:pPr>
        <w:pStyle w:val="tPara"/>
      </w:pPr>
      <w:r w:rsidRPr="00374785">
        <w:tab/>
      </w:r>
      <w:r w:rsidR="007F3C0F">
        <w:t>(a)</w:t>
      </w:r>
      <w:r w:rsidRPr="00374785">
        <w:tab/>
        <w:t>forest potential;</w:t>
      </w:r>
    </w:p>
    <w:p w:rsidR="00636201" w:rsidRPr="00374785" w:rsidRDefault="00636201" w:rsidP="00636201">
      <w:pPr>
        <w:pStyle w:val="tPara"/>
      </w:pPr>
      <w:r w:rsidRPr="00374785">
        <w:tab/>
      </w:r>
      <w:r w:rsidR="007F3C0F">
        <w:t>(b)</w:t>
      </w:r>
      <w:r w:rsidRPr="00374785">
        <w:tab/>
        <w:t>stratification of a carbon estimation area;</w:t>
      </w:r>
    </w:p>
    <w:p w:rsidR="00636201" w:rsidRPr="00374785" w:rsidRDefault="00636201" w:rsidP="00636201">
      <w:pPr>
        <w:pStyle w:val="tPara"/>
      </w:pPr>
      <w:r w:rsidRPr="00374785">
        <w:tab/>
      </w:r>
      <w:r w:rsidR="007F3C0F">
        <w:t>(c)</w:t>
      </w:r>
      <w:r w:rsidRPr="00374785">
        <w:tab/>
        <w:t>project monitoring;</w:t>
      </w:r>
    </w:p>
    <w:p w:rsidR="00636201" w:rsidRPr="00374785" w:rsidRDefault="00636201" w:rsidP="00636201">
      <w:pPr>
        <w:pStyle w:val="tPara"/>
      </w:pPr>
      <w:r w:rsidRPr="00374785">
        <w:tab/>
      </w:r>
      <w:r w:rsidR="007F3C0F">
        <w:t>(d)</w:t>
      </w:r>
      <w:r w:rsidRPr="00374785">
        <w:tab/>
        <w:t>timing and intensity of grazing; and</w:t>
      </w:r>
    </w:p>
    <w:p w:rsidR="00636201" w:rsidRPr="00374785" w:rsidRDefault="00636201" w:rsidP="00636201">
      <w:pPr>
        <w:pStyle w:val="tPara"/>
      </w:pPr>
      <w:r w:rsidRPr="00374785">
        <w:tab/>
      </w:r>
      <w:r w:rsidR="007F3C0F">
        <w:t>(e)</w:t>
      </w:r>
      <w:r w:rsidRPr="00374785">
        <w:tab/>
        <w:t>fuel use.</w:t>
      </w:r>
    </w:p>
    <w:p w:rsidR="00AB3F3E" w:rsidRPr="00374785" w:rsidRDefault="007A1B29" w:rsidP="007A1B29">
      <w:pPr>
        <w:pStyle w:val="notePara"/>
      </w:pPr>
      <w:r w:rsidRPr="00374785">
        <w:tab/>
      </w:r>
      <w:r w:rsidRPr="00374785">
        <w:rPr>
          <w:b/>
          <w:i/>
        </w:rPr>
        <w:t>Note</w:t>
      </w:r>
      <w:r w:rsidRPr="00374785">
        <w:tab/>
      </w:r>
      <w:r w:rsidR="00AB3F3E" w:rsidRPr="00374785">
        <w:t>A project proponent must retain records that can be used to estimate the quantity of fuel, recorded in kilolitres (kL), for each fuel type combusted when undertaking project activities within a reporting period.</w:t>
      </w:r>
    </w:p>
    <w:p w:rsidR="000F0C6B" w:rsidRPr="00374785" w:rsidRDefault="007F3C0F" w:rsidP="000F0C6B">
      <w:pPr>
        <w:pStyle w:val="h5Section"/>
      </w:pPr>
      <w:bookmarkStart w:id="98" w:name="_Toc397681641"/>
      <w:bookmarkEnd w:id="87"/>
      <w:r>
        <w:lastRenderedPageBreak/>
        <w:t>4.</w:t>
      </w:r>
      <w:r w:rsidR="000E16C9">
        <w:t>17</w:t>
      </w:r>
      <w:r w:rsidR="000F0C6B" w:rsidRPr="00374785">
        <w:tab/>
        <w:t>FullCAM inputs</w:t>
      </w:r>
      <w:bookmarkEnd w:id="98"/>
    </w:p>
    <w:p w:rsidR="000F0C6B" w:rsidRPr="00374785" w:rsidRDefault="000F0C6B" w:rsidP="000F0C6B">
      <w:pPr>
        <w:pStyle w:val="tMain"/>
      </w:pPr>
      <w:r w:rsidRPr="00374785">
        <w:tab/>
      </w:r>
      <w:r w:rsidRPr="00374785">
        <w:tab/>
        <w:t>The following data relating to FullCAM inputs must be collected in accordance with Part 3 and the FullCAM Guidelines:</w:t>
      </w:r>
    </w:p>
    <w:p w:rsidR="000F0C6B" w:rsidRPr="00374785" w:rsidRDefault="000F0C6B" w:rsidP="000F0C6B">
      <w:pPr>
        <w:pStyle w:val="tPara"/>
      </w:pPr>
      <w:r w:rsidRPr="00374785">
        <w:tab/>
      </w:r>
      <w:r w:rsidR="007F3C0F">
        <w:t>(a)</w:t>
      </w:r>
      <w:r w:rsidRPr="00374785">
        <w:tab/>
        <w:t>location data;</w:t>
      </w:r>
    </w:p>
    <w:p w:rsidR="000F0C6B" w:rsidRPr="00374785" w:rsidRDefault="000F0C6B" w:rsidP="000F0C6B">
      <w:pPr>
        <w:pStyle w:val="tPara"/>
      </w:pPr>
      <w:r w:rsidRPr="00374785">
        <w:tab/>
      </w:r>
      <w:r w:rsidR="007F3C0F">
        <w:t>(b)</w:t>
      </w:r>
      <w:r w:rsidRPr="00374785">
        <w:tab/>
        <w:t>domain information to support the use of a given FullCAM calibration;</w:t>
      </w:r>
    </w:p>
    <w:p w:rsidR="000F0C6B" w:rsidRPr="00374785" w:rsidRDefault="000F0C6B" w:rsidP="000F0C6B">
      <w:pPr>
        <w:pStyle w:val="tPara"/>
      </w:pPr>
      <w:r w:rsidRPr="00374785">
        <w:tab/>
      </w:r>
      <w:r w:rsidR="007F3C0F">
        <w:t>(c)</w:t>
      </w:r>
      <w:r w:rsidRPr="00374785">
        <w:tab/>
        <w:t>management event data; and</w:t>
      </w:r>
    </w:p>
    <w:p w:rsidR="000F0C6B" w:rsidRPr="00374785" w:rsidRDefault="000F0C6B" w:rsidP="000F0C6B">
      <w:pPr>
        <w:pStyle w:val="tPara"/>
      </w:pPr>
      <w:r w:rsidRPr="00374785">
        <w:tab/>
      </w:r>
      <w:r w:rsidR="007F3C0F">
        <w:t>(d)</w:t>
      </w:r>
      <w:r w:rsidRPr="00374785">
        <w:tab/>
        <w:t xml:space="preserve">disturbance event data. </w:t>
      </w:r>
    </w:p>
    <w:p w:rsidR="002B60C7" w:rsidRPr="00374785" w:rsidRDefault="00097074" w:rsidP="00097074">
      <w:pPr>
        <w:pStyle w:val="h2Part"/>
      </w:pPr>
      <w:bookmarkStart w:id="99" w:name="_Toc397681642"/>
      <w:r w:rsidRPr="00374785">
        <w:lastRenderedPageBreak/>
        <w:t xml:space="preserve">Part </w:t>
      </w:r>
      <w:r w:rsidR="007F3C0F">
        <w:t>5</w:t>
      </w:r>
      <w:r w:rsidRPr="00374785">
        <w:tab/>
      </w:r>
      <w:r w:rsidR="002B60C7" w:rsidRPr="00374785">
        <w:t>Monitoring, record-keeping and reporting requirements</w:t>
      </w:r>
      <w:bookmarkEnd w:id="99"/>
    </w:p>
    <w:p w:rsidR="002B60C7" w:rsidRPr="00374785" w:rsidRDefault="00097074" w:rsidP="00097074">
      <w:pPr>
        <w:pStyle w:val="noteMain"/>
      </w:pPr>
      <w:r w:rsidRPr="00374785">
        <w:tab/>
      </w:r>
      <w:r w:rsidRPr="00374785">
        <w:rPr>
          <w:b/>
          <w:i/>
        </w:rPr>
        <w:t>Note</w:t>
      </w:r>
      <w:r w:rsidRPr="00374785">
        <w:tab/>
      </w:r>
      <w:r w:rsidR="002B60C7" w:rsidRPr="00374785">
        <w:t>See subsection 106(3) of the Act.</w:t>
      </w:r>
    </w:p>
    <w:p w:rsidR="002B60C7" w:rsidRPr="00374785" w:rsidRDefault="00097074" w:rsidP="00097074">
      <w:pPr>
        <w:pStyle w:val="h3Div"/>
      </w:pPr>
      <w:bookmarkStart w:id="100" w:name="_Toc397681643"/>
      <w:r w:rsidRPr="00374785">
        <w:t xml:space="preserve">Division </w:t>
      </w:r>
      <w:r w:rsidR="007F3C0F">
        <w:t>5.1</w:t>
      </w:r>
      <w:r w:rsidRPr="00374785">
        <w:tab/>
      </w:r>
      <w:r w:rsidR="002B60C7" w:rsidRPr="00374785">
        <w:t>General</w:t>
      </w:r>
      <w:bookmarkEnd w:id="100"/>
    </w:p>
    <w:p w:rsidR="002B60C7" w:rsidRPr="00374785" w:rsidRDefault="007F3C0F" w:rsidP="00097074">
      <w:pPr>
        <w:pStyle w:val="h5Section"/>
      </w:pPr>
      <w:bookmarkStart w:id="101" w:name="_Toc397681644"/>
      <w:r>
        <w:t>5.1</w:t>
      </w:r>
      <w:r w:rsidR="00097074" w:rsidRPr="00374785">
        <w:tab/>
      </w:r>
      <w:r w:rsidR="002B60C7" w:rsidRPr="00374785">
        <w:t>Application</w:t>
      </w:r>
      <w:bookmarkEnd w:id="101"/>
    </w:p>
    <w:p w:rsidR="002B60C7" w:rsidRPr="00374785" w:rsidRDefault="00097074" w:rsidP="00097074">
      <w:pPr>
        <w:pStyle w:val="tMain"/>
      </w:pPr>
      <w:r w:rsidRPr="00374785">
        <w:tab/>
      </w:r>
      <w:r w:rsidRPr="00374785">
        <w:tab/>
      </w:r>
      <w:r w:rsidR="002B60C7" w:rsidRPr="00374785">
        <w:t xml:space="preserve">For subsection 106(3) of the Act, a project proponent of an eligible offsets project to which this Determination applies must comply with the monitoring, </w:t>
      </w:r>
      <w:r w:rsidR="002B60C7" w:rsidRPr="00374785">
        <w:rPr>
          <w:bCs/>
        </w:rPr>
        <w:t>r</w:t>
      </w:r>
      <w:r w:rsidR="002B60C7" w:rsidRPr="00374785">
        <w:t>ecord</w:t>
      </w:r>
      <w:r w:rsidR="002B60C7" w:rsidRPr="00374785">
        <w:noBreakHyphen/>
        <w:t>keeping and reporting requirements of this Part.</w:t>
      </w:r>
    </w:p>
    <w:p w:rsidR="002B60C7" w:rsidRPr="00374785" w:rsidRDefault="007F3C0F" w:rsidP="002B60C7">
      <w:pPr>
        <w:pStyle w:val="h5Section"/>
      </w:pPr>
      <w:bookmarkStart w:id="102" w:name="_Toc397681645"/>
      <w:r>
        <w:t>5.2</w:t>
      </w:r>
      <w:r w:rsidR="002B60C7" w:rsidRPr="00374785">
        <w:tab/>
        <w:t>Geospatial information requirements</w:t>
      </w:r>
      <w:bookmarkEnd w:id="102"/>
    </w:p>
    <w:p w:rsidR="002B60C7" w:rsidRPr="00374785" w:rsidRDefault="002B60C7" w:rsidP="002B60C7">
      <w:pPr>
        <w:pStyle w:val="tMain"/>
      </w:pPr>
      <w:r w:rsidRPr="00374785">
        <w:tab/>
      </w:r>
      <w:r w:rsidRPr="00374785">
        <w:tab/>
        <w:t>The CFI Mapping Tool or a geographic information system that meets the requirements of the CFI Mapping Guidelines must be used to monitor and report on geospatial information in accordance with the CFI Mapping Guidelines.</w:t>
      </w:r>
    </w:p>
    <w:p w:rsidR="002B60C7" w:rsidRPr="00374785" w:rsidRDefault="00097074" w:rsidP="00097074">
      <w:pPr>
        <w:pStyle w:val="h3Div"/>
      </w:pPr>
      <w:bookmarkStart w:id="103" w:name="_Toc397681646"/>
      <w:r w:rsidRPr="00374785">
        <w:t xml:space="preserve">Division </w:t>
      </w:r>
      <w:r w:rsidR="007F3C0F">
        <w:t>5.2</w:t>
      </w:r>
      <w:r w:rsidRPr="00374785">
        <w:tab/>
      </w:r>
      <w:r w:rsidR="002B60C7" w:rsidRPr="00374785">
        <w:t>Monitoring requirements</w:t>
      </w:r>
      <w:bookmarkEnd w:id="103"/>
    </w:p>
    <w:p w:rsidR="002B60C7" w:rsidRPr="00374785" w:rsidRDefault="007F3C0F" w:rsidP="00B56A0E">
      <w:pPr>
        <w:pStyle w:val="h5Section"/>
      </w:pPr>
      <w:bookmarkStart w:id="104" w:name="_Toc397681647"/>
      <w:r>
        <w:t>5.3</w:t>
      </w:r>
      <w:r w:rsidR="00B56A0E" w:rsidRPr="00374785">
        <w:tab/>
      </w:r>
      <w:r w:rsidR="002B60C7" w:rsidRPr="00374785">
        <w:t>Project monitoring</w:t>
      </w:r>
      <w:bookmarkEnd w:id="104"/>
    </w:p>
    <w:p w:rsidR="002B60C7" w:rsidRPr="00374785" w:rsidRDefault="00CD31C6" w:rsidP="00CD31C6">
      <w:pPr>
        <w:pStyle w:val="tMain"/>
      </w:pPr>
      <w:r w:rsidRPr="00374785">
        <w:tab/>
      </w:r>
      <w:r w:rsidR="007F3C0F">
        <w:t>(1)</w:t>
      </w:r>
      <w:r w:rsidRPr="00374785">
        <w:tab/>
      </w:r>
      <w:r w:rsidR="002B60C7" w:rsidRPr="00374785">
        <w:t>A project proponent must</w:t>
      </w:r>
      <w:r w:rsidRPr="00374785">
        <w:t xml:space="preserve"> monitor</w:t>
      </w:r>
      <w:r w:rsidR="00364244" w:rsidRPr="00374785">
        <w:t xml:space="preserve"> the project</w:t>
      </w:r>
      <w:r w:rsidR="00BE2006" w:rsidRPr="00374785">
        <w:t xml:space="preserve"> to</w:t>
      </w:r>
      <w:r w:rsidR="002B60C7" w:rsidRPr="00374785">
        <w:t xml:space="preserve">: </w:t>
      </w:r>
    </w:p>
    <w:p w:rsidR="002B60C7" w:rsidRPr="00374785" w:rsidRDefault="00CD31C6" w:rsidP="00CD31C6">
      <w:pPr>
        <w:pStyle w:val="tPara"/>
      </w:pPr>
      <w:r w:rsidRPr="00374785">
        <w:tab/>
      </w:r>
      <w:r w:rsidR="007F3C0F">
        <w:t>(a)</w:t>
      </w:r>
      <w:r w:rsidRPr="00374785">
        <w:tab/>
      </w:r>
      <w:r w:rsidR="002B60C7" w:rsidRPr="00374785">
        <w:t>ensure compliance with Part 3</w:t>
      </w:r>
      <w:r w:rsidR="00E15F2C" w:rsidRPr="00374785">
        <w:t xml:space="preserve"> </w:t>
      </w:r>
      <w:r w:rsidR="002B60C7" w:rsidRPr="00374785">
        <w:t xml:space="preserve">and the CFI Mapping Guidelines; </w:t>
      </w:r>
      <w:r w:rsidR="00BE2006" w:rsidRPr="00374785">
        <w:t>and</w:t>
      </w:r>
    </w:p>
    <w:p w:rsidR="00BE2006" w:rsidRPr="00374785" w:rsidRDefault="00BE2006" w:rsidP="00BE2006">
      <w:pPr>
        <w:pStyle w:val="tPara"/>
      </w:pPr>
      <w:r w:rsidRPr="00374785">
        <w:tab/>
      </w:r>
      <w:r w:rsidR="007F3C0F">
        <w:t>(b)</w:t>
      </w:r>
      <w:r w:rsidRPr="00374785">
        <w:tab/>
      </w:r>
      <w:r w:rsidR="0006516A" w:rsidRPr="00374785">
        <w:t xml:space="preserve">if a specific calibration has been used, </w:t>
      </w:r>
      <w:r w:rsidRPr="00374785">
        <w:t xml:space="preserve">collect information to demonstrate that the requirements for the use of </w:t>
      </w:r>
      <w:r w:rsidR="0006516A" w:rsidRPr="00374785">
        <w:t>the</w:t>
      </w:r>
      <w:r w:rsidRPr="00374785">
        <w:t xml:space="preserve"> specific calibration have been met; and</w:t>
      </w:r>
    </w:p>
    <w:p w:rsidR="00BE2006" w:rsidRPr="00374785" w:rsidRDefault="00CD31C6" w:rsidP="00CD31C6">
      <w:pPr>
        <w:pStyle w:val="tPara"/>
      </w:pPr>
      <w:r w:rsidRPr="00374785">
        <w:tab/>
      </w:r>
      <w:r w:rsidR="007F3C0F">
        <w:t>(c)</w:t>
      </w:r>
      <w:r w:rsidRPr="00374785">
        <w:tab/>
      </w:r>
      <w:r w:rsidR="00364244" w:rsidRPr="00374785">
        <w:t xml:space="preserve">identify and record </w:t>
      </w:r>
      <w:r w:rsidR="00B56A0E" w:rsidRPr="00374785">
        <w:t xml:space="preserve">management </w:t>
      </w:r>
      <w:r w:rsidR="002B60C7" w:rsidRPr="00374785">
        <w:t>events within the project area</w:t>
      </w:r>
      <w:r w:rsidR="00BE2006" w:rsidRPr="00374785">
        <w:t>; and</w:t>
      </w:r>
    </w:p>
    <w:p w:rsidR="00BE2006" w:rsidRPr="00374785" w:rsidRDefault="00BE2006" w:rsidP="00BE2006">
      <w:pPr>
        <w:pStyle w:val="tPara"/>
      </w:pPr>
      <w:r w:rsidRPr="00374785">
        <w:tab/>
      </w:r>
      <w:r w:rsidR="007F3C0F">
        <w:t>(d)</w:t>
      </w:r>
      <w:r w:rsidRPr="00374785">
        <w:tab/>
        <w:t>identify and record disturbance events within the project area; and</w:t>
      </w:r>
    </w:p>
    <w:p w:rsidR="00CD31C6" w:rsidRPr="00374785" w:rsidRDefault="00CD31C6" w:rsidP="00CD31C6">
      <w:pPr>
        <w:pStyle w:val="tMain"/>
      </w:pPr>
      <w:r w:rsidRPr="00374785">
        <w:tab/>
      </w:r>
      <w:r w:rsidR="007F3C0F">
        <w:t>(2)</w:t>
      </w:r>
      <w:r w:rsidRPr="00374785">
        <w:tab/>
        <w:t xml:space="preserve">A project proponent </w:t>
      </w:r>
      <w:r w:rsidR="00D30285" w:rsidRPr="00374785">
        <w:t>may use on-ground observation and/or remote-sensing imagery in order to</w:t>
      </w:r>
      <w:r w:rsidRPr="00374785">
        <w:t>:</w:t>
      </w:r>
    </w:p>
    <w:p w:rsidR="00CD31C6" w:rsidRPr="00374785" w:rsidRDefault="00CD31C6" w:rsidP="00CD31C6">
      <w:pPr>
        <w:pStyle w:val="tPara"/>
      </w:pPr>
      <w:r w:rsidRPr="00374785">
        <w:tab/>
      </w:r>
      <w:r w:rsidR="007F3C0F">
        <w:t>(a)</w:t>
      </w:r>
      <w:r w:rsidRPr="00374785">
        <w:tab/>
        <w:t xml:space="preserve">meet the requirements of </w:t>
      </w:r>
      <w:r w:rsidR="00D30285" w:rsidRPr="00374785">
        <w:t>subsection (1) above; and</w:t>
      </w:r>
    </w:p>
    <w:p w:rsidR="00CD31C6" w:rsidRPr="00374785" w:rsidRDefault="00CD31C6" w:rsidP="00CD31C6">
      <w:pPr>
        <w:pStyle w:val="tPara"/>
      </w:pPr>
      <w:r w:rsidRPr="00374785">
        <w:tab/>
      </w:r>
      <w:r w:rsidR="007F3C0F">
        <w:t>(b)</w:t>
      </w:r>
      <w:r w:rsidRPr="00374785">
        <w:tab/>
      </w:r>
      <w:r w:rsidR="00D30285" w:rsidRPr="00374785">
        <w:t xml:space="preserve">collect information </w:t>
      </w:r>
      <w:r w:rsidRPr="00374785">
        <w:t xml:space="preserve">to </w:t>
      </w:r>
      <w:r w:rsidR="00EB27D9" w:rsidRPr="00374785">
        <w:t xml:space="preserve">demonstrate </w:t>
      </w:r>
      <w:r w:rsidR="003E5ED1" w:rsidRPr="00374785">
        <w:t xml:space="preserve">that the </w:t>
      </w:r>
      <w:r w:rsidR="00EB27D9" w:rsidRPr="00374785">
        <w:t xml:space="preserve">requirements for </w:t>
      </w:r>
      <w:r w:rsidRPr="00374785">
        <w:t xml:space="preserve">the use of </w:t>
      </w:r>
      <w:r w:rsidR="003E5ED1" w:rsidRPr="00374785">
        <w:t>a specific calibration have</w:t>
      </w:r>
      <w:r w:rsidR="00EB27D9" w:rsidRPr="00374785">
        <w:t xml:space="preserve"> been met</w:t>
      </w:r>
      <w:r w:rsidRPr="00374785">
        <w:t>.</w:t>
      </w:r>
    </w:p>
    <w:p w:rsidR="002B60C7" w:rsidRPr="00374785" w:rsidRDefault="004F6E49" w:rsidP="004F6E49">
      <w:pPr>
        <w:pStyle w:val="h3Div"/>
      </w:pPr>
      <w:bookmarkStart w:id="105" w:name="_Toc397681648"/>
      <w:r w:rsidRPr="00374785">
        <w:t xml:space="preserve">Division </w:t>
      </w:r>
      <w:r w:rsidR="007F3C0F">
        <w:t>5.3</w:t>
      </w:r>
      <w:r w:rsidRPr="00374785">
        <w:tab/>
      </w:r>
      <w:r w:rsidR="002B60C7" w:rsidRPr="00374785">
        <w:t>Record-keeping requirements</w:t>
      </w:r>
      <w:bookmarkEnd w:id="105"/>
    </w:p>
    <w:p w:rsidR="002B60C7" w:rsidRPr="00374785" w:rsidRDefault="007F3C0F" w:rsidP="004F6E49">
      <w:pPr>
        <w:pStyle w:val="h5Section"/>
      </w:pPr>
      <w:bookmarkStart w:id="106" w:name="_Toc397681649"/>
      <w:r>
        <w:t>5.4</w:t>
      </w:r>
      <w:r w:rsidR="004F6E49" w:rsidRPr="00374785">
        <w:tab/>
      </w:r>
      <w:r w:rsidR="002B60C7" w:rsidRPr="00374785">
        <w:t>Records that must be kept</w:t>
      </w:r>
      <w:bookmarkEnd w:id="106"/>
    </w:p>
    <w:p w:rsidR="002B60C7" w:rsidRPr="00374785" w:rsidRDefault="004F6E49" w:rsidP="004F6E49">
      <w:pPr>
        <w:pStyle w:val="tMain"/>
      </w:pPr>
      <w:r w:rsidRPr="00374785">
        <w:tab/>
      </w:r>
      <w:r w:rsidRPr="00374785">
        <w:tab/>
        <w:t>A</w:t>
      </w:r>
      <w:r w:rsidR="002B60C7" w:rsidRPr="00374785">
        <w:t xml:space="preserve"> project proponent must create and maintain the following records:</w:t>
      </w:r>
    </w:p>
    <w:p w:rsidR="002B60C7" w:rsidRPr="00374785" w:rsidRDefault="00F22D8D" w:rsidP="00F22D8D">
      <w:pPr>
        <w:pStyle w:val="tPara"/>
      </w:pPr>
      <w:r w:rsidRPr="00374785">
        <w:tab/>
      </w:r>
      <w:r w:rsidR="007F3C0F">
        <w:t>(a)</w:t>
      </w:r>
      <w:r w:rsidRPr="00374785">
        <w:tab/>
      </w:r>
      <w:r w:rsidR="002B60C7" w:rsidRPr="00374785">
        <w:t xml:space="preserve">evidence that </w:t>
      </w:r>
      <w:r w:rsidRPr="00374785">
        <w:t>there was no</w:t>
      </w:r>
      <w:r w:rsidR="002B60C7" w:rsidRPr="00374785">
        <w:t xml:space="preserve"> forest cover </w:t>
      </w:r>
      <w:r w:rsidRPr="00374785">
        <w:t>in the project area before project commencement</w:t>
      </w:r>
      <w:r w:rsidR="002B60C7" w:rsidRPr="00374785">
        <w:t xml:space="preserve">; </w:t>
      </w:r>
    </w:p>
    <w:p w:rsidR="002B60C7" w:rsidRPr="00374785" w:rsidRDefault="008826BF" w:rsidP="008826BF">
      <w:pPr>
        <w:pStyle w:val="tPara"/>
      </w:pPr>
      <w:r w:rsidRPr="00374785">
        <w:tab/>
      </w:r>
      <w:r w:rsidR="007F3C0F">
        <w:t>(b)</w:t>
      </w:r>
      <w:r w:rsidRPr="00374785">
        <w:tab/>
      </w:r>
      <w:r w:rsidR="002B60C7" w:rsidRPr="00374785">
        <w:t xml:space="preserve">a description of how </w:t>
      </w:r>
      <w:r w:rsidRPr="00374785">
        <w:t xml:space="preserve">each </w:t>
      </w:r>
      <w:r w:rsidR="002B60C7" w:rsidRPr="00374785">
        <w:t>carbon estimation area</w:t>
      </w:r>
      <w:r w:rsidRPr="00374785">
        <w:t xml:space="preserve"> wa</w:t>
      </w:r>
      <w:r w:rsidR="002B60C7" w:rsidRPr="00374785">
        <w:t>s identified;</w:t>
      </w:r>
    </w:p>
    <w:p w:rsidR="008826BF" w:rsidRPr="00374785" w:rsidRDefault="008826BF" w:rsidP="008826BF">
      <w:pPr>
        <w:pStyle w:val="tPara"/>
      </w:pPr>
      <w:r w:rsidRPr="00374785">
        <w:lastRenderedPageBreak/>
        <w:tab/>
      </w:r>
      <w:r w:rsidR="007F3C0F">
        <w:t>(c)</w:t>
      </w:r>
      <w:r w:rsidRPr="00374785">
        <w:tab/>
      </w:r>
      <w:r w:rsidR="002B60C7" w:rsidRPr="00374785">
        <w:t xml:space="preserve">evidence to justify stratification within the project area, </w:t>
      </w:r>
      <w:r w:rsidRPr="00374785">
        <w:t>including</w:t>
      </w:r>
      <w:r w:rsidR="00210492" w:rsidRPr="00374785">
        <w:t xml:space="preserve"> any of the following</w:t>
      </w:r>
      <w:r w:rsidRPr="00374785">
        <w:t>:</w:t>
      </w:r>
      <w:r w:rsidR="002B60C7" w:rsidRPr="00374785">
        <w:t xml:space="preserve"> </w:t>
      </w:r>
    </w:p>
    <w:p w:rsidR="008826BF" w:rsidRPr="00374785" w:rsidRDefault="008826BF" w:rsidP="008826BF">
      <w:pPr>
        <w:pStyle w:val="tSubpara"/>
      </w:pPr>
      <w:r w:rsidRPr="00374785">
        <w:tab/>
      </w:r>
      <w:r w:rsidR="007F3C0F">
        <w:t>(i)</w:t>
      </w:r>
      <w:r w:rsidRPr="00374785">
        <w:tab/>
        <w:t>planting or management records;</w:t>
      </w:r>
    </w:p>
    <w:p w:rsidR="008826BF" w:rsidRPr="00374785" w:rsidRDefault="008826BF" w:rsidP="008826BF">
      <w:pPr>
        <w:pStyle w:val="tSubpara"/>
      </w:pPr>
      <w:r w:rsidRPr="00374785">
        <w:tab/>
      </w:r>
      <w:r w:rsidR="007F3C0F">
        <w:t>(ii)</w:t>
      </w:r>
      <w:r w:rsidRPr="00374785">
        <w:tab/>
      </w:r>
      <w:r w:rsidR="002B60C7" w:rsidRPr="00374785">
        <w:t>satellite imagery</w:t>
      </w:r>
      <w:r w:rsidRPr="00374785">
        <w:t>;</w:t>
      </w:r>
      <w:r w:rsidR="002B60C7" w:rsidRPr="00374785">
        <w:t xml:space="preserve"> </w:t>
      </w:r>
    </w:p>
    <w:p w:rsidR="002B60C7" w:rsidRPr="00374785" w:rsidRDefault="008826BF" w:rsidP="008826BF">
      <w:pPr>
        <w:pStyle w:val="tSubpara"/>
      </w:pPr>
      <w:r w:rsidRPr="00374785">
        <w:tab/>
      </w:r>
      <w:r w:rsidR="007F3C0F">
        <w:t>(iii)</w:t>
      </w:r>
      <w:r w:rsidRPr="00374785">
        <w:tab/>
      </w:r>
      <w:r w:rsidR="002B60C7" w:rsidRPr="00374785">
        <w:t>soil, vegetation or landform maps;</w:t>
      </w:r>
      <w:r w:rsidR="0006516A" w:rsidRPr="00374785">
        <w:t xml:space="preserve"> and</w:t>
      </w:r>
    </w:p>
    <w:p w:rsidR="008826BF" w:rsidRPr="00374785" w:rsidRDefault="008826BF" w:rsidP="008826BF">
      <w:pPr>
        <w:pStyle w:val="tSubpara"/>
      </w:pPr>
      <w:r w:rsidRPr="00374785">
        <w:tab/>
      </w:r>
      <w:r w:rsidR="007F3C0F">
        <w:t>(iv)</w:t>
      </w:r>
      <w:r w:rsidRPr="00374785">
        <w:tab/>
        <w:t>monitoring records;</w:t>
      </w:r>
    </w:p>
    <w:p w:rsidR="002B60C7" w:rsidRPr="00374785" w:rsidRDefault="0028508D" w:rsidP="0028508D">
      <w:pPr>
        <w:pStyle w:val="tPara"/>
      </w:pPr>
      <w:r w:rsidRPr="00374785">
        <w:tab/>
      </w:r>
      <w:r w:rsidR="007F3C0F">
        <w:t>(d)</w:t>
      </w:r>
      <w:r w:rsidRPr="00374785">
        <w:tab/>
      </w:r>
      <w:r w:rsidR="002B60C7" w:rsidRPr="00374785">
        <w:t xml:space="preserve">evidence of </w:t>
      </w:r>
      <w:r w:rsidR="000C40CA" w:rsidRPr="00374785">
        <w:t xml:space="preserve">all </w:t>
      </w:r>
      <w:r w:rsidR="002B60C7" w:rsidRPr="00374785">
        <w:t xml:space="preserve">plant species </w:t>
      </w:r>
      <w:r w:rsidR="00F82A62" w:rsidRPr="00374785">
        <w:t>established</w:t>
      </w:r>
      <w:r w:rsidR="002B60C7" w:rsidRPr="00374785">
        <w:t xml:space="preserve"> within each carbon estimation area</w:t>
      </w:r>
      <w:r w:rsidR="00F82A62" w:rsidRPr="00374785">
        <w:t xml:space="preserve">, including the </w:t>
      </w:r>
      <w:r w:rsidR="004F59A6" w:rsidRPr="00374785">
        <w:t xml:space="preserve">stocking density and </w:t>
      </w:r>
      <w:r w:rsidR="00F82A62" w:rsidRPr="00374785">
        <w:t>tree proportion</w:t>
      </w:r>
      <w:r w:rsidR="00210492" w:rsidRPr="00374785">
        <w:t xml:space="preserve"> at establishment</w:t>
      </w:r>
      <w:r w:rsidR="002B60C7" w:rsidRPr="00374785">
        <w:t>;</w:t>
      </w:r>
    </w:p>
    <w:p w:rsidR="002B60C7" w:rsidRPr="00374785" w:rsidRDefault="00F82A62" w:rsidP="00F82A62">
      <w:pPr>
        <w:pStyle w:val="tPara"/>
      </w:pPr>
      <w:r w:rsidRPr="00374785">
        <w:tab/>
      </w:r>
      <w:r w:rsidR="007F3C0F">
        <w:t>(e)</w:t>
      </w:r>
      <w:r w:rsidRPr="00374785">
        <w:tab/>
      </w:r>
      <w:r w:rsidR="002B60C7" w:rsidRPr="00374785">
        <w:t>date</w:t>
      </w:r>
      <w:r w:rsidR="008027C2" w:rsidRPr="00374785">
        <w:t>-</w:t>
      </w:r>
      <w:r w:rsidR="002B60C7" w:rsidRPr="00374785">
        <w:t>stamped FullCAM output files (.plo file) for each carbon estimation area</w:t>
      </w:r>
      <w:r w:rsidR="00210492" w:rsidRPr="00374785">
        <w:t xml:space="preserve"> modelled using FullCAM</w:t>
      </w:r>
      <w:r w:rsidR="002B60C7" w:rsidRPr="00374785">
        <w:t>;</w:t>
      </w:r>
    </w:p>
    <w:p w:rsidR="002B60C7" w:rsidRPr="00374785" w:rsidRDefault="009B12B1" w:rsidP="009B12B1">
      <w:pPr>
        <w:pStyle w:val="tPara"/>
      </w:pPr>
      <w:r w:rsidRPr="00374785">
        <w:tab/>
      </w:r>
      <w:r w:rsidR="007F3C0F">
        <w:t>(f)</w:t>
      </w:r>
      <w:r w:rsidRPr="00374785">
        <w:tab/>
      </w:r>
      <w:r w:rsidR="002B60C7" w:rsidRPr="00374785">
        <w:t>information regarding fires occurring in a carbon estimation area</w:t>
      </w:r>
      <w:r w:rsidR="00E15F2C" w:rsidRPr="00374785">
        <w:t>, including</w:t>
      </w:r>
      <w:r w:rsidR="002B60C7" w:rsidRPr="00374785">
        <w:t>:</w:t>
      </w:r>
    </w:p>
    <w:p w:rsidR="002B60C7" w:rsidRPr="00374785" w:rsidRDefault="000C7E59" w:rsidP="000C7E59">
      <w:pPr>
        <w:pStyle w:val="tSubpara"/>
      </w:pPr>
      <w:r w:rsidRPr="00374785">
        <w:tab/>
      </w:r>
      <w:r w:rsidR="007F3C0F">
        <w:t>(i)</w:t>
      </w:r>
      <w:r w:rsidRPr="00374785">
        <w:tab/>
      </w:r>
      <w:r w:rsidR="002B60C7" w:rsidRPr="00374785">
        <w:t>the date the fire occurred;</w:t>
      </w:r>
      <w:r w:rsidR="002B60C7" w:rsidRPr="00374785">
        <w:tab/>
      </w:r>
    </w:p>
    <w:p w:rsidR="009B12B1" w:rsidRPr="00374785" w:rsidRDefault="000C7E59" w:rsidP="000C7E59">
      <w:pPr>
        <w:pStyle w:val="tSubpara"/>
      </w:pPr>
      <w:r w:rsidRPr="00374785">
        <w:tab/>
      </w:r>
      <w:r w:rsidR="007F3C0F">
        <w:t>(ii)</w:t>
      </w:r>
      <w:r w:rsidRPr="00374785">
        <w:tab/>
      </w:r>
      <w:r w:rsidR="009B12B1" w:rsidRPr="00374785">
        <w:t>the location of the fire;</w:t>
      </w:r>
    </w:p>
    <w:p w:rsidR="002B60C7" w:rsidRPr="00374785" w:rsidRDefault="00CB6BA3" w:rsidP="00CB6BA3">
      <w:pPr>
        <w:pStyle w:val="tSubpara"/>
      </w:pPr>
      <w:r w:rsidRPr="00374785">
        <w:tab/>
      </w:r>
      <w:r w:rsidR="007F3C0F">
        <w:t>(iii)</w:t>
      </w:r>
      <w:r w:rsidRPr="00374785">
        <w:tab/>
      </w:r>
      <w:r w:rsidR="002B60C7" w:rsidRPr="00374785">
        <w:t xml:space="preserve">the </w:t>
      </w:r>
      <w:r w:rsidR="009B12B1" w:rsidRPr="00374785">
        <w:t xml:space="preserve">proportion of </w:t>
      </w:r>
      <w:r w:rsidR="009F38E5" w:rsidRPr="00374785">
        <w:t>the carbon estimation area affected by the fire</w:t>
      </w:r>
      <w:r w:rsidR="002B60C7" w:rsidRPr="00374785">
        <w:t>; and</w:t>
      </w:r>
    </w:p>
    <w:p w:rsidR="002B60C7" w:rsidRPr="00374785" w:rsidRDefault="009F38E5" w:rsidP="009F38E5">
      <w:pPr>
        <w:pStyle w:val="tSubpara"/>
      </w:pPr>
      <w:r w:rsidRPr="00374785">
        <w:tab/>
      </w:r>
      <w:r w:rsidR="007F3C0F">
        <w:t>(iv)</w:t>
      </w:r>
      <w:r w:rsidRPr="00374785">
        <w:tab/>
      </w:r>
      <w:r w:rsidR="002B60C7" w:rsidRPr="00374785">
        <w:t>the percentage of trees that were killed by the fire;</w:t>
      </w:r>
    </w:p>
    <w:p w:rsidR="00F82A62" w:rsidRPr="00374785" w:rsidRDefault="00F82A62" w:rsidP="00F82A62">
      <w:pPr>
        <w:pStyle w:val="tPara"/>
      </w:pPr>
      <w:r w:rsidRPr="00374785">
        <w:tab/>
      </w:r>
      <w:r w:rsidR="007F3C0F">
        <w:t>(g)</w:t>
      </w:r>
      <w:r w:rsidRPr="00374785">
        <w:tab/>
        <w:t xml:space="preserve">information regarding each Equation in </w:t>
      </w:r>
      <w:r w:rsidR="000D484B" w:rsidRPr="00374785">
        <w:t>Division 4.3</w:t>
      </w:r>
      <w:r w:rsidR="00E15F2C" w:rsidRPr="00374785">
        <w:t>, including</w:t>
      </w:r>
      <w:r w:rsidRPr="00374785">
        <w:t>:</w:t>
      </w:r>
    </w:p>
    <w:p w:rsidR="002B60C7" w:rsidRPr="00374785" w:rsidRDefault="00F82A62" w:rsidP="00F82A62">
      <w:pPr>
        <w:pStyle w:val="tSubpara"/>
      </w:pPr>
      <w:r w:rsidRPr="00374785">
        <w:tab/>
      </w:r>
      <w:r w:rsidR="007F3C0F">
        <w:t>(i)</w:t>
      </w:r>
      <w:r w:rsidRPr="00374785">
        <w:tab/>
        <w:t>all input data</w:t>
      </w:r>
      <w:r w:rsidR="002B60C7" w:rsidRPr="00374785">
        <w:t xml:space="preserve">; </w:t>
      </w:r>
    </w:p>
    <w:p w:rsidR="00F82A62" w:rsidRPr="00374785" w:rsidRDefault="00F82A62" w:rsidP="00F82A62">
      <w:pPr>
        <w:pStyle w:val="tSubpara"/>
      </w:pPr>
      <w:r w:rsidRPr="00374785">
        <w:tab/>
      </w:r>
      <w:r w:rsidR="007F3C0F">
        <w:t>(ii)</w:t>
      </w:r>
      <w:r w:rsidRPr="00374785">
        <w:tab/>
        <w:t>the result;</w:t>
      </w:r>
      <w:r w:rsidR="00E15F2C" w:rsidRPr="00374785">
        <w:t xml:space="preserve"> and</w:t>
      </w:r>
    </w:p>
    <w:p w:rsidR="002B60C7" w:rsidRPr="00374785" w:rsidRDefault="00F22D8D" w:rsidP="00F22D8D">
      <w:pPr>
        <w:pStyle w:val="tPara"/>
      </w:pPr>
      <w:r w:rsidRPr="00374785">
        <w:tab/>
      </w:r>
      <w:r w:rsidR="007F3C0F">
        <w:t>(h)</w:t>
      </w:r>
      <w:r w:rsidRPr="00374785">
        <w:tab/>
      </w:r>
      <w:r w:rsidR="002B60C7" w:rsidRPr="00374785">
        <w:t>records relating to fuel use on project activities.</w:t>
      </w:r>
    </w:p>
    <w:p w:rsidR="002B60C7" w:rsidRPr="00374785" w:rsidRDefault="002B60C7" w:rsidP="002B60C7">
      <w:pPr>
        <w:pStyle w:val="notePara"/>
        <w:rPr>
          <w:color w:val="000000" w:themeColor="text1"/>
        </w:rPr>
      </w:pPr>
      <w:r w:rsidRPr="00374785">
        <w:rPr>
          <w:color w:val="000000" w:themeColor="text1"/>
        </w:rPr>
        <w:tab/>
      </w:r>
      <w:r w:rsidRPr="00374785">
        <w:rPr>
          <w:b/>
          <w:i/>
          <w:color w:val="000000" w:themeColor="text1"/>
        </w:rPr>
        <w:t>Note</w:t>
      </w:r>
      <w:r w:rsidRPr="00374785">
        <w:rPr>
          <w:color w:val="000000" w:themeColor="text1"/>
        </w:rPr>
        <w:tab/>
        <w:t xml:space="preserve">Records referred to in paragraph </w:t>
      </w:r>
      <w:r w:rsidR="009F38E5" w:rsidRPr="00374785">
        <w:rPr>
          <w:color w:val="000000" w:themeColor="text1"/>
        </w:rPr>
        <w:t xml:space="preserve">(h) </w:t>
      </w:r>
      <w:r w:rsidRPr="00374785">
        <w:rPr>
          <w:color w:val="000000" w:themeColor="text1"/>
        </w:rPr>
        <w:t xml:space="preserve">could include invoices, vehicle logbooks, records of project activities, or reports of calculated consumption based on hourly or per hectare consumption rates. </w:t>
      </w:r>
    </w:p>
    <w:p w:rsidR="002B60C7" w:rsidRPr="00374785" w:rsidRDefault="002B60C7" w:rsidP="002B60C7">
      <w:pPr>
        <w:pStyle w:val="notePara"/>
        <w:rPr>
          <w:color w:val="000000" w:themeColor="text1"/>
        </w:rPr>
      </w:pPr>
      <w:r w:rsidRPr="00374785">
        <w:rPr>
          <w:b/>
          <w:i/>
          <w:color w:val="000000" w:themeColor="text1"/>
        </w:rPr>
        <w:tab/>
      </w:r>
      <w:r w:rsidRPr="00374785">
        <w:rPr>
          <w:b/>
          <w:i/>
          <w:color w:val="000000" w:themeColor="text1"/>
        </w:rPr>
        <w:tab/>
      </w:r>
      <w:r w:rsidRPr="00374785">
        <w:rPr>
          <w:color w:val="000000" w:themeColor="text1"/>
        </w:rPr>
        <w:t>If fuel use records for project activities cannot be disaggregated from records for other non-project activities, estimates of project fuel use may be based on the time spent undertaking project activities and the known average fuel consumption of vehicles or machinery.</w:t>
      </w:r>
    </w:p>
    <w:p w:rsidR="002B60C7" w:rsidRPr="00374785" w:rsidRDefault="007F3C0F" w:rsidP="00F22D8D">
      <w:pPr>
        <w:pStyle w:val="h5Section"/>
      </w:pPr>
      <w:bookmarkStart w:id="107" w:name="_Toc397681650"/>
      <w:r>
        <w:t>5.5</w:t>
      </w:r>
      <w:r w:rsidR="00F22D8D" w:rsidRPr="00374785">
        <w:tab/>
      </w:r>
      <w:r w:rsidR="002B60C7" w:rsidRPr="00374785">
        <w:t xml:space="preserve">Forest management </w:t>
      </w:r>
      <w:r w:rsidR="006E7289" w:rsidRPr="00374785">
        <w:t>records</w:t>
      </w:r>
      <w:bookmarkEnd w:id="107"/>
    </w:p>
    <w:p w:rsidR="002B60C7" w:rsidRPr="00374785" w:rsidRDefault="00F22D8D" w:rsidP="00F22D8D">
      <w:pPr>
        <w:pStyle w:val="tMain"/>
      </w:pPr>
      <w:r w:rsidRPr="00374785">
        <w:tab/>
      </w:r>
      <w:r w:rsidRPr="00374785">
        <w:tab/>
      </w:r>
      <w:r w:rsidR="002B60C7" w:rsidRPr="00374785">
        <w:t xml:space="preserve">A project proponent must collect and maintain the following </w:t>
      </w:r>
      <w:r w:rsidR="006E7289" w:rsidRPr="00374785">
        <w:t>records</w:t>
      </w:r>
      <w:r w:rsidR="007403D7" w:rsidRPr="00374785">
        <w:t xml:space="preserve"> relating to forest management</w:t>
      </w:r>
      <w:r w:rsidR="002B60C7" w:rsidRPr="00374785">
        <w:t xml:space="preserve">: </w:t>
      </w:r>
    </w:p>
    <w:p w:rsidR="002B60C7" w:rsidRPr="00374785" w:rsidRDefault="006F17CF" w:rsidP="006F17CF">
      <w:pPr>
        <w:pStyle w:val="tPara"/>
      </w:pPr>
      <w:r w:rsidRPr="00374785">
        <w:tab/>
      </w:r>
      <w:r w:rsidR="007F3C0F">
        <w:t>(a)</w:t>
      </w:r>
      <w:r w:rsidRPr="00374785">
        <w:tab/>
      </w:r>
      <w:r w:rsidR="005E366C" w:rsidRPr="00374785">
        <w:t xml:space="preserve">for </w:t>
      </w:r>
      <w:r w:rsidR="002B60C7" w:rsidRPr="00374785">
        <w:t>each carbon estimation area:</w:t>
      </w:r>
    </w:p>
    <w:p w:rsidR="002B60C7" w:rsidRPr="00374785" w:rsidRDefault="006F17CF" w:rsidP="006F17CF">
      <w:pPr>
        <w:pStyle w:val="tSubpara"/>
      </w:pPr>
      <w:r w:rsidRPr="00374785">
        <w:tab/>
      </w:r>
      <w:r w:rsidR="007F3C0F">
        <w:t>(i)</w:t>
      </w:r>
      <w:r w:rsidRPr="00374785">
        <w:tab/>
      </w:r>
      <w:r w:rsidR="002B60C7" w:rsidRPr="00374785">
        <w:t>evidence of forest potential</w:t>
      </w:r>
      <w:r w:rsidR="00087149" w:rsidRPr="00374785">
        <w:t>, including:</w:t>
      </w:r>
    </w:p>
    <w:p w:rsidR="002B60C7" w:rsidRPr="00374785" w:rsidRDefault="00087149" w:rsidP="00087149">
      <w:pPr>
        <w:pStyle w:val="tSubsub"/>
      </w:pPr>
      <w:r w:rsidRPr="00374785">
        <w:tab/>
      </w:r>
      <w:r w:rsidR="007F3C0F">
        <w:t>(A)</w:t>
      </w:r>
      <w:r w:rsidRPr="00374785">
        <w:tab/>
      </w:r>
      <w:r w:rsidR="002B60C7" w:rsidRPr="00374785">
        <w:t xml:space="preserve">estimated </w:t>
      </w:r>
      <w:r w:rsidR="006F17CF" w:rsidRPr="00374785">
        <w:t>stocking</w:t>
      </w:r>
      <w:r w:rsidR="002B60C7" w:rsidRPr="00374785">
        <w:t xml:space="preserve"> density; </w:t>
      </w:r>
      <w:r w:rsidR="00E15F2C" w:rsidRPr="00374785">
        <w:t>and</w:t>
      </w:r>
    </w:p>
    <w:p w:rsidR="002B60C7" w:rsidRPr="00374785" w:rsidRDefault="00087149" w:rsidP="00087149">
      <w:pPr>
        <w:pStyle w:val="tSubsub"/>
      </w:pPr>
      <w:r w:rsidRPr="00374785">
        <w:tab/>
      </w:r>
      <w:r w:rsidR="007F3C0F">
        <w:t>(B)</w:t>
      </w:r>
      <w:r w:rsidRPr="00374785">
        <w:tab/>
      </w:r>
      <w:r w:rsidR="002B60C7" w:rsidRPr="00374785">
        <w:t>anticipated crown cover at maturity;</w:t>
      </w:r>
    </w:p>
    <w:p w:rsidR="000D484B" w:rsidRPr="00374785" w:rsidRDefault="006F17CF" w:rsidP="006F17CF">
      <w:pPr>
        <w:pStyle w:val="tSubpara"/>
      </w:pPr>
      <w:r w:rsidRPr="00374785">
        <w:tab/>
      </w:r>
      <w:r w:rsidR="007F3C0F">
        <w:t>(ii)</w:t>
      </w:r>
      <w:r w:rsidRPr="00374785">
        <w:tab/>
      </w:r>
      <w:r w:rsidR="000D484B" w:rsidRPr="00374785">
        <w:t xml:space="preserve">once forest cover is </w:t>
      </w:r>
      <w:r w:rsidR="00E44804" w:rsidRPr="00374785">
        <w:t>achieved</w:t>
      </w:r>
      <w:r w:rsidR="000D484B" w:rsidRPr="00374785">
        <w:t>:</w:t>
      </w:r>
    </w:p>
    <w:p w:rsidR="00AE74F0" w:rsidRPr="00374785" w:rsidRDefault="000D484B" w:rsidP="000D484B">
      <w:pPr>
        <w:pStyle w:val="tSubsub"/>
      </w:pPr>
      <w:r w:rsidRPr="00374785">
        <w:tab/>
      </w:r>
      <w:r w:rsidR="007F3C0F">
        <w:t>(A)</w:t>
      </w:r>
      <w:r w:rsidRPr="00374785">
        <w:tab/>
      </w:r>
      <w:r w:rsidR="00AE74F0" w:rsidRPr="00374785">
        <w:t xml:space="preserve">an estimate of the </w:t>
      </w:r>
      <w:r w:rsidRPr="00374785">
        <w:t>year</w:t>
      </w:r>
      <w:r w:rsidR="00AE74F0" w:rsidRPr="00374785">
        <w:t xml:space="preserve"> when forest cover </w:t>
      </w:r>
      <w:r w:rsidR="00E44804" w:rsidRPr="00374785">
        <w:t>was achieved</w:t>
      </w:r>
      <w:r w:rsidRPr="00374785">
        <w:t>; and</w:t>
      </w:r>
    </w:p>
    <w:p w:rsidR="005E366C" w:rsidRPr="00374785" w:rsidRDefault="000D484B" w:rsidP="000D484B">
      <w:pPr>
        <w:pStyle w:val="tSubsub"/>
      </w:pPr>
      <w:r w:rsidRPr="00374785">
        <w:tab/>
      </w:r>
      <w:r w:rsidR="007F3C0F">
        <w:t>(B)</w:t>
      </w:r>
      <w:r w:rsidRPr="00374785">
        <w:tab/>
        <w:t>evidence that forest cover is maintained;</w:t>
      </w:r>
      <w:r w:rsidR="00E15F2C" w:rsidRPr="00374785">
        <w:t xml:space="preserve"> </w:t>
      </w:r>
    </w:p>
    <w:p w:rsidR="000D484B" w:rsidRPr="00374785" w:rsidRDefault="005E366C" w:rsidP="005E366C">
      <w:pPr>
        <w:pStyle w:val="tSubpara"/>
      </w:pPr>
      <w:r w:rsidRPr="00374785">
        <w:tab/>
      </w:r>
      <w:r w:rsidR="009E2098" w:rsidRPr="00374785">
        <w:tab/>
      </w:r>
      <w:r w:rsidRPr="00374785">
        <w:t>a</w:t>
      </w:r>
      <w:r w:rsidR="00E15F2C" w:rsidRPr="00374785">
        <w:t>nd</w:t>
      </w:r>
      <w:r w:rsidRPr="00374785">
        <w:t>;</w:t>
      </w:r>
    </w:p>
    <w:p w:rsidR="006F17CF" w:rsidRPr="00374785" w:rsidRDefault="000D484B" w:rsidP="000D484B">
      <w:pPr>
        <w:pStyle w:val="tSubpara"/>
      </w:pPr>
      <w:r w:rsidRPr="00374785">
        <w:tab/>
      </w:r>
      <w:r w:rsidR="007F3C0F">
        <w:t>(iii)</w:t>
      </w:r>
      <w:r w:rsidRPr="00374785">
        <w:tab/>
      </w:r>
      <w:r w:rsidR="006F17CF" w:rsidRPr="00374785">
        <w:t>the modelling commencement date;</w:t>
      </w:r>
    </w:p>
    <w:p w:rsidR="002B60C7" w:rsidRPr="00374785" w:rsidRDefault="009F38E5" w:rsidP="009F38E5">
      <w:pPr>
        <w:pStyle w:val="tPara"/>
      </w:pPr>
      <w:r w:rsidRPr="00374785">
        <w:lastRenderedPageBreak/>
        <w:tab/>
      </w:r>
      <w:r w:rsidR="007F3C0F">
        <w:t>(b)</w:t>
      </w:r>
      <w:r w:rsidRPr="00374785">
        <w:tab/>
      </w:r>
      <w:r w:rsidR="002B60C7" w:rsidRPr="00374785">
        <w:t>FullCAM inputs</w:t>
      </w:r>
      <w:r w:rsidR="007B74F1" w:rsidRPr="00374785">
        <w:t xml:space="preserve"> for each carbon estimation area</w:t>
      </w:r>
      <w:r w:rsidR="002B60C7" w:rsidRPr="00374785">
        <w:t>, including</w:t>
      </w:r>
      <w:r w:rsidR="009E2098" w:rsidRPr="00374785">
        <w:t xml:space="preserve"> the</w:t>
      </w:r>
      <w:r w:rsidR="002B60C7" w:rsidRPr="00374785">
        <w:t>:</w:t>
      </w:r>
    </w:p>
    <w:p w:rsidR="004F0688" w:rsidRPr="00374785" w:rsidRDefault="007B74F1" w:rsidP="007B74F1">
      <w:pPr>
        <w:pStyle w:val="tSubpara"/>
      </w:pPr>
      <w:r w:rsidRPr="00374785">
        <w:tab/>
      </w:r>
      <w:r w:rsidR="007F3C0F">
        <w:t>(i)</w:t>
      </w:r>
      <w:r w:rsidRPr="00374785">
        <w:tab/>
      </w:r>
      <w:r w:rsidR="002B60C7" w:rsidRPr="00374785">
        <w:t>type and timing of management events, including</w:t>
      </w:r>
      <w:r w:rsidR="004F0688" w:rsidRPr="00374785">
        <w:t>:</w:t>
      </w:r>
      <w:r w:rsidR="002B60C7" w:rsidRPr="00374785">
        <w:t xml:space="preserve"> </w:t>
      </w:r>
    </w:p>
    <w:p w:rsidR="004F0688" w:rsidRPr="00374785" w:rsidRDefault="004F0688" w:rsidP="004F0688">
      <w:pPr>
        <w:pStyle w:val="tSubsub"/>
      </w:pPr>
      <w:r w:rsidRPr="00374785">
        <w:tab/>
      </w:r>
      <w:r w:rsidR="007F3C0F">
        <w:t>(A)</w:t>
      </w:r>
      <w:r w:rsidRPr="00374785">
        <w:tab/>
      </w:r>
      <w:r w:rsidR="006F17CF" w:rsidRPr="00374785">
        <w:t>planting</w:t>
      </w:r>
      <w:r w:rsidRPr="00374785">
        <w:t>;</w:t>
      </w:r>
      <w:r w:rsidR="006F17CF" w:rsidRPr="00374785">
        <w:t xml:space="preserve"> </w:t>
      </w:r>
    </w:p>
    <w:p w:rsidR="004F0688" w:rsidRPr="00374785" w:rsidRDefault="004F0688" w:rsidP="004F0688">
      <w:pPr>
        <w:pStyle w:val="tSubsub"/>
      </w:pPr>
      <w:r w:rsidRPr="00374785">
        <w:tab/>
      </w:r>
      <w:r w:rsidR="007F3C0F">
        <w:t>(B)</w:t>
      </w:r>
      <w:r w:rsidRPr="00374785">
        <w:tab/>
      </w:r>
      <w:r w:rsidR="006F17CF" w:rsidRPr="00374785">
        <w:t>weed control</w:t>
      </w:r>
      <w:r w:rsidRPr="00374785">
        <w:t>;</w:t>
      </w:r>
      <w:r w:rsidR="006F17CF" w:rsidRPr="00374785">
        <w:t xml:space="preserve"> </w:t>
      </w:r>
    </w:p>
    <w:p w:rsidR="009E2098" w:rsidRPr="00374785" w:rsidRDefault="004F0688" w:rsidP="004F0688">
      <w:pPr>
        <w:pStyle w:val="tSubsub"/>
      </w:pPr>
      <w:r w:rsidRPr="00374785">
        <w:tab/>
      </w:r>
      <w:r w:rsidR="007F3C0F">
        <w:t>(C)</w:t>
      </w:r>
      <w:r w:rsidRPr="00374785">
        <w:tab/>
      </w:r>
      <w:r w:rsidR="006F17CF" w:rsidRPr="00374785">
        <w:t>fertiliser application</w:t>
      </w:r>
      <w:r w:rsidRPr="00374785">
        <w:t>;</w:t>
      </w:r>
      <w:r w:rsidR="006F17CF" w:rsidRPr="00374785">
        <w:t xml:space="preserve"> </w:t>
      </w:r>
    </w:p>
    <w:p w:rsidR="004F0688" w:rsidRPr="00374785" w:rsidRDefault="009E2098" w:rsidP="009E2098">
      <w:pPr>
        <w:pStyle w:val="tSubpara"/>
      </w:pPr>
      <w:r w:rsidRPr="00374785">
        <w:tab/>
      </w:r>
      <w:r w:rsidRPr="00374785">
        <w:tab/>
        <w:t>a</w:t>
      </w:r>
      <w:r w:rsidR="006F17CF" w:rsidRPr="00374785">
        <w:t>nd</w:t>
      </w:r>
      <w:r w:rsidRPr="00374785">
        <w:t>;</w:t>
      </w:r>
      <w:r w:rsidR="006F17CF" w:rsidRPr="00374785">
        <w:t xml:space="preserve"> </w:t>
      </w:r>
    </w:p>
    <w:p w:rsidR="002B60C7" w:rsidRPr="00374785" w:rsidRDefault="007B74F1" w:rsidP="007B74F1">
      <w:pPr>
        <w:pStyle w:val="tSubpara"/>
      </w:pPr>
      <w:r w:rsidRPr="00374785">
        <w:tab/>
      </w:r>
      <w:r w:rsidR="007F3C0F">
        <w:t>(ii)</w:t>
      </w:r>
      <w:r w:rsidRPr="00374785">
        <w:tab/>
      </w:r>
      <w:r w:rsidR="002B60C7" w:rsidRPr="00374785">
        <w:t xml:space="preserve">type, timing and extent of disturbance events; </w:t>
      </w:r>
    </w:p>
    <w:p w:rsidR="002B60C7" w:rsidRPr="00374785" w:rsidRDefault="00F82A62" w:rsidP="00F82A62">
      <w:pPr>
        <w:pStyle w:val="tPara"/>
      </w:pPr>
      <w:r w:rsidRPr="00374785">
        <w:tab/>
      </w:r>
      <w:r w:rsidR="007F3C0F">
        <w:t>(c)</w:t>
      </w:r>
      <w:r w:rsidRPr="00374785">
        <w:tab/>
      </w:r>
      <w:r w:rsidR="002B60C7" w:rsidRPr="00374785">
        <w:t xml:space="preserve">a description of any management actions or disturbance events that affected a carbon estimation area during the reporting period, including </w:t>
      </w:r>
      <w:r w:rsidR="006E7289" w:rsidRPr="00374785">
        <w:t xml:space="preserve">if applicable, </w:t>
      </w:r>
      <w:r w:rsidR="002B60C7" w:rsidRPr="00374785">
        <w:t>actions proposed and undertaken to ensure that carbon stocks are restored; and</w:t>
      </w:r>
    </w:p>
    <w:p w:rsidR="00F8246E" w:rsidRPr="00374785" w:rsidRDefault="00F8246E" w:rsidP="00F8246E">
      <w:pPr>
        <w:pStyle w:val="tPara"/>
      </w:pPr>
      <w:r w:rsidRPr="00374785">
        <w:tab/>
      </w:r>
      <w:r w:rsidR="007F3C0F">
        <w:t>(d)</w:t>
      </w:r>
      <w:r w:rsidRPr="00374785">
        <w:tab/>
      </w:r>
      <w:r w:rsidR="005405ED" w:rsidRPr="00374785">
        <w:t xml:space="preserve">if applicable, </w:t>
      </w:r>
      <w:r w:rsidR="002B60C7" w:rsidRPr="00374785">
        <w:t xml:space="preserve">evidence </w:t>
      </w:r>
      <w:r w:rsidR="005405ED" w:rsidRPr="00374785">
        <w:t>demonstrating that</w:t>
      </w:r>
      <w:r w:rsidR="002B60C7" w:rsidRPr="00374785">
        <w:t xml:space="preserve"> grazing</w:t>
      </w:r>
      <w:r w:rsidR="005405ED" w:rsidRPr="00374785">
        <w:t xml:space="preserve"> has not prevented the requirements in section 3.47 being met.</w:t>
      </w:r>
    </w:p>
    <w:p w:rsidR="00C118A3" w:rsidRPr="00374785" w:rsidRDefault="007F3C0F" w:rsidP="00C118A3">
      <w:pPr>
        <w:pStyle w:val="h5Section"/>
      </w:pPr>
      <w:bookmarkStart w:id="108" w:name="_Toc397681651"/>
      <w:r>
        <w:t>5.6</w:t>
      </w:r>
      <w:r w:rsidR="00130002" w:rsidRPr="00374785">
        <w:tab/>
      </w:r>
      <w:r w:rsidR="003E5ED1" w:rsidRPr="00374785">
        <w:t>Specific</w:t>
      </w:r>
      <w:r w:rsidR="00130002" w:rsidRPr="00374785">
        <w:t xml:space="preserve"> calibration records</w:t>
      </w:r>
      <w:bookmarkEnd w:id="108"/>
    </w:p>
    <w:p w:rsidR="00C118A3" w:rsidRPr="00374785" w:rsidRDefault="00A55C43" w:rsidP="00A55C43">
      <w:pPr>
        <w:pStyle w:val="tMain"/>
      </w:pPr>
      <w:r w:rsidRPr="00374785">
        <w:tab/>
      </w:r>
      <w:r w:rsidR="007F3C0F">
        <w:t>(1)</w:t>
      </w:r>
      <w:r w:rsidRPr="00374785">
        <w:tab/>
      </w:r>
      <w:r w:rsidR="00C118A3" w:rsidRPr="00374785">
        <w:t xml:space="preserve">If a </w:t>
      </w:r>
      <w:r w:rsidR="003E5ED1" w:rsidRPr="00374785">
        <w:t>specific</w:t>
      </w:r>
      <w:r w:rsidR="00C118A3" w:rsidRPr="00374785">
        <w:t xml:space="preserve"> calibration is </w:t>
      </w:r>
      <w:r w:rsidR="005405ED" w:rsidRPr="00374785">
        <w:t>applied for FullCAM modelling of a</w:t>
      </w:r>
      <w:r w:rsidR="003E5ED1" w:rsidRPr="00374785">
        <w:t xml:space="preserve"> carbon estimation area</w:t>
      </w:r>
      <w:r w:rsidR="00C118A3" w:rsidRPr="00374785">
        <w:t>, a project proponent must create and maintain records that include</w:t>
      </w:r>
      <w:r w:rsidRPr="00374785">
        <w:t>:</w:t>
      </w:r>
    </w:p>
    <w:p w:rsidR="00E255D4" w:rsidRPr="00374785" w:rsidRDefault="00A55C43" w:rsidP="00A55C43">
      <w:pPr>
        <w:pStyle w:val="tPara"/>
      </w:pPr>
      <w:r w:rsidRPr="00374785">
        <w:tab/>
      </w:r>
      <w:r w:rsidR="007F3C0F">
        <w:t>(a)</w:t>
      </w:r>
      <w:r w:rsidRPr="00374785">
        <w:tab/>
      </w:r>
      <w:r w:rsidR="00E255D4" w:rsidRPr="00374785">
        <w:t>planting type;</w:t>
      </w:r>
    </w:p>
    <w:p w:rsidR="00C118A3" w:rsidRPr="00374785" w:rsidRDefault="00E255D4" w:rsidP="00E255D4">
      <w:pPr>
        <w:pStyle w:val="tPara"/>
      </w:pPr>
      <w:r w:rsidRPr="00374785">
        <w:tab/>
      </w:r>
      <w:r w:rsidR="007F3C0F">
        <w:t>(b)</w:t>
      </w:r>
      <w:r w:rsidRPr="00374785">
        <w:tab/>
      </w:r>
      <w:r w:rsidR="00C118A3" w:rsidRPr="00374785">
        <w:t>planting geometry;</w:t>
      </w:r>
    </w:p>
    <w:p w:rsidR="00E255D4" w:rsidRPr="00374785" w:rsidRDefault="00E255D4" w:rsidP="00E255D4">
      <w:pPr>
        <w:pStyle w:val="tPara"/>
      </w:pPr>
      <w:r w:rsidRPr="00374785">
        <w:tab/>
      </w:r>
      <w:r w:rsidR="007F3C0F">
        <w:t>(c)</w:t>
      </w:r>
      <w:r w:rsidRPr="00374785">
        <w:tab/>
        <w:t>planting spacing</w:t>
      </w:r>
    </w:p>
    <w:p w:rsidR="00C118A3" w:rsidRPr="00374785" w:rsidRDefault="00A55C43" w:rsidP="00A55C43">
      <w:pPr>
        <w:pStyle w:val="tPara"/>
      </w:pPr>
      <w:r w:rsidRPr="00374785">
        <w:tab/>
      </w:r>
      <w:r w:rsidR="007F3C0F">
        <w:t>(d)</w:t>
      </w:r>
      <w:r w:rsidRPr="00374785">
        <w:tab/>
      </w:r>
      <w:r w:rsidR="004F59A6" w:rsidRPr="00374785">
        <w:t xml:space="preserve">if applicable, </w:t>
      </w:r>
      <w:r w:rsidR="00E255D4" w:rsidRPr="00374785">
        <w:t xml:space="preserve">evidence of </w:t>
      </w:r>
      <w:r w:rsidR="00C118A3" w:rsidRPr="00374785">
        <w:t xml:space="preserve">stocking density </w:t>
      </w:r>
      <w:r w:rsidR="00E255D4" w:rsidRPr="00374785">
        <w:t>and tree proportion;</w:t>
      </w:r>
      <w:r w:rsidR="0006516A" w:rsidRPr="00374785">
        <w:t xml:space="preserve"> and</w:t>
      </w:r>
    </w:p>
    <w:p w:rsidR="003E5ED1" w:rsidRPr="00374785" w:rsidRDefault="003E5ED1" w:rsidP="003E5ED1">
      <w:pPr>
        <w:pStyle w:val="tPara"/>
      </w:pPr>
      <w:r w:rsidRPr="00374785">
        <w:tab/>
      </w:r>
      <w:r w:rsidR="007F3C0F">
        <w:t>(e)</w:t>
      </w:r>
      <w:r w:rsidRPr="00374785">
        <w:tab/>
        <w:t xml:space="preserve">evidence </w:t>
      </w:r>
      <w:r w:rsidR="00E2507B" w:rsidRPr="00374785">
        <w:t>that</w:t>
      </w:r>
      <w:r w:rsidRPr="00374785">
        <w:t xml:space="preserve"> the adjacent tree assessment process</w:t>
      </w:r>
      <w:r w:rsidR="00E2507B" w:rsidRPr="00374785">
        <w:t xml:space="preserve"> specified in Division 3.7</w:t>
      </w:r>
      <w:r w:rsidRPr="00374785">
        <w:t xml:space="preserve"> </w:t>
      </w:r>
      <w:r w:rsidR="008320A0" w:rsidRPr="00374785">
        <w:t xml:space="preserve">has been completed </w:t>
      </w:r>
      <w:r w:rsidRPr="00374785">
        <w:t xml:space="preserve">and </w:t>
      </w:r>
      <w:r w:rsidR="00E2507B" w:rsidRPr="00374785">
        <w:t>the result</w:t>
      </w:r>
      <w:r w:rsidRPr="00374785">
        <w:t xml:space="preserve"> for each carbon estimation area.</w:t>
      </w:r>
    </w:p>
    <w:p w:rsidR="0006516A" w:rsidRPr="00374785" w:rsidRDefault="00B61A77" w:rsidP="00B61A77">
      <w:pPr>
        <w:pStyle w:val="notePara"/>
      </w:pPr>
      <w:r w:rsidRPr="00374785">
        <w:tab/>
      </w:r>
      <w:r w:rsidRPr="00374785">
        <w:rPr>
          <w:b/>
          <w:i/>
        </w:rPr>
        <w:t>Note</w:t>
      </w:r>
      <w:r w:rsidRPr="00374785">
        <w:tab/>
      </w:r>
      <w:r w:rsidR="0006516A" w:rsidRPr="00374785">
        <w:t xml:space="preserve">Section </w:t>
      </w:r>
      <w:r w:rsidRPr="00374785">
        <w:t>3.21</w:t>
      </w:r>
      <w:r w:rsidR="0006516A" w:rsidRPr="00374785">
        <w:t xml:space="preserve"> specifies the circumstances where evidence of stocking density and tree proportion are required.</w:t>
      </w:r>
    </w:p>
    <w:p w:rsidR="00C118A3" w:rsidRPr="00374785" w:rsidRDefault="00A55C43" w:rsidP="00A55C43">
      <w:pPr>
        <w:pStyle w:val="tMain"/>
      </w:pPr>
      <w:r w:rsidRPr="00374785">
        <w:tab/>
      </w:r>
      <w:r w:rsidR="007F3C0F">
        <w:t>(2)</w:t>
      </w:r>
      <w:r w:rsidRPr="00374785">
        <w:tab/>
        <w:t>I</w:t>
      </w:r>
      <w:r w:rsidR="00C118A3" w:rsidRPr="00374785">
        <w:t xml:space="preserve">f sampling </w:t>
      </w:r>
      <w:r w:rsidRPr="00374785">
        <w:t>is used to estimate stocking densities and tree proportions, the following records must be created and maintained:</w:t>
      </w:r>
    </w:p>
    <w:p w:rsidR="00A55C43" w:rsidRPr="00374785" w:rsidRDefault="00EA7A3B" w:rsidP="00EA7A3B">
      <w:pPr>
        <w:pStyle w:val="tPara"/>
      </w:pPr>
      <w:r w:rsidRPr="00374785">
        <w:tab/>
      </w:r>
      <w:r w:rsidR="007F3C0F">
        <w:t>(a)</w:t>
      </w:r>
      <w:r w:rsidRPr="00374785">
        <w:tab/>
      </w:r>
      <w:r w:rsidR="00A55C43" w:rsidRPr="00374785">
        <w:t xml:space="preserve">a </w:t>
      </w:r>
      <w:r w:rsidR="008A770D" w:rsidRPr="00374785">
        <w:t xml:space="preserve">map of the intended and actual </w:t>
      </w:r>
      <w:r w:rsidR="00A55C43" w:rsidRPr="00374785">
        <w:t>plot locations;</w:t>
      </w:r>
    </w:p>
    <w:p w:rsidR="00A55C43" w:rsidRPr="00374785" w:rsidRDefault="00EA7A3B" w:rsidP="00EA7A3B">
      <w:pPr>
        <w:pStyle w:val="tPara"/>
      </w:pPr>
      <w:r w:rsidRPr="00374785">
        <w:tab/>
      </w:r>
      <w:r w:rsidR="007F3C0F">
        <w:t>(b)</w:t>
      </w:r>
      <w:r w:rsidRPr="00374785">
        <w:tab/>
      </w:r>
      <w:r w:rsidR="00A55C43" w:rsidRPr="00374785">
        <w:t>the grid orientation and anchor coordinates;</w:t>
      </w:r>
    </w:p>
    <w:p w:rsidR="00A55C43" w:rsidRPr="00374785" w:rsidRDefault="00EA7A3B" w:rsidP="00EA7A3B">
      <w:pPr>
        <w:pStyle w:val="tPara"/>
      </w:pPr>
      <w:r w:rsidRPr="00374785">
        <w:tab/>
      </w:r>
      <w:r w:rsidR="007F3C0F">
        <w:t>(c)</w:t>
      </w:r>
      <w:r w:rsidRPr="00374785">
        <w:tab/>
      </w:r>
      <w:r w:rsidR="00A55C43" w:rsidRPr="00374785">
        <w:t>a description of plot area and dimensions;</w:t>
      </w:r>
    </w:p>
    <w:p w:rsidR="00A55C43" w:rsidRPr="00374785" w:rsidRDefault="00EA7A3B" w:rsidP="00EA7A3B">
      <w:pPr>
        <w:pStyle w:val="tPara"/>
      </w:pPr>
      <w:r w:rsidRPr="00374785">
        <w:tab/>
      </w:r>
      <w:r w:rsidR="007F3C0F">
        <w:t>(d)</w:t>
      </w:r>
      <w:r w:rsidRPr="00374785">
        <w:tab/>
      </w:r>
      <w:r w:rsidR="00A55C43" w:rsidRPr="00374785">
        <w:t>if used, a copy of remotely-sensed imagery;</w:t>
      </w:r>
    </w:p>
    <w:p w:rsidR="002B60C7" w:rsidRPr="00374785" w:rsidRDefault="00EA7A3B" w:rsidP="00EA7A3B">
      <w:pPr>
        <w:pStyle w:val="tPara"/>
      </w:pPr>
      <w:r w:rsidRPr="00374785">
        <w:tab/>
      </w:r>
      <w:r w:rsidR="007F3C0F">
        <w:t>(e)</w:t>
      </w:r>
      <w:r w:rsidRPr="00374785">
        <w:tab/>
      </w:r>
      <w:r w:rsidR="00A55C43" w:rsidRPr="00374785">
        <w:t>the number of plots in each carbon estimation area;</w:t>
      </w:r>
    </w:p>
    <w:p w:rsidR="00A55C43" w:rsidRPr="00374785" w:rsidRDefault="00EA7A3B" w:rsidP="00EA7A3B">
      <w:pPr>
        <w:pStyle w:val="tPara"/>
      </w:pPr>
      <w:r w:rsidRPr="00374785">
        <w:tab/>
      </w:r>
      <w:r w:rsidR="007F3C0F">
        <w:t>(f)</w:t>
      </w:r>
      <w:r w:rsidRPr="00374785">
        <w:tab/>
      </w:r>
      <w:r w:rsidR="00A55C43" w:rsidRPr="00374785">
        <w:t>the estimated average stocking density and tree proportion for each carbon estimation area;</w:t>
      </w:r>
    </w:p>
    <w:p w:rsidR="00A55C43" w:rsidRPr="00374785" w:rsidRDefault="00EA7A3B" w:rsidP="00EA7A3B">
      <w:pPr>
        <w:pStyle w:val="tPara"/>
      </w:pPr>
      <w:r w:rsidRPr="00374785">
        <w:tab/>
      </w:r>
      <w:r w:rsidR="007F3C0F">
        <w:t>(g)</w:t>
      </w:r>
      <w:r w:rsidRPr="00374785">
        <w:tab/>
      </w:r>
      <w:r w:rsidR="00A55C43" w:rsidRPr="00374785">
        <w:t xml:space="preserve">probable limits of error for stocking density and tree proportions  for each </w:t>
      </w:r>
      <w:r w:rsidRPr="00374785">
        <w:t>carbon estimation area</w:t>
      </w:r>
      <w:r w:rsidR="00A55C43" w:rsidRPr="00374785">
        <w:t>; and</w:t>
      </w:r>
    </w:p>
    <w:p w:rsidR="00A55C43" w:rsidRPr="00374785" w:rsidRDefault="00EA7A3B" w:rsidP="00EA7A3B">
      <w:pPr>
        <w:pStyle w:val="tPara"/>
      </w:pPr>
      <w:r w:rsidRPr="00374785">
        <w:tab/>
      </w:r>
      <w:r w:rsidR="007F3C0F">
        <w:t>(h)</w:t>
      </w:r>
      <w:r w:rsidRPr="00374785">
        <w:tab/>
      </w:r>
      <w:r w:rsidR="00A55C43" w:rsidRPr="00374785">
        <w:t>stocking density  and tree proportion</w:t>
      </w:r>
      <w:r w:rsidR="000C33D7" w:rsidRPr="00374785">
        <w:t>.</w:t>
      </w:r>
      <w:r w:rsidR="00A55C43" w:rsidRPr="00374785">
        <w:t xml:space="preserve"> </w:t>
      </w:r>
    </w:p>
    <w:p w:rsidR="002B60C7" w:rsidRPr="00374785" w:rsidRDefault="007F3C0F" w:rsidP="00C7382D">
      <w:pPr>
        <w:pStyle w:val="h5Section"/>
      </w:pPr>
      <w:bookmarkStart w:id="109" w:name="_Toc397681652"/>
      <w:r>
        <w:lastRenderedPageBreak/>
        <w:t>5.7</w:t>
      </w:r>
      <w:r w:rsidR="00C7382D" w:rsidRPr="00374785">
        <w:tab/>
      </w:r>
      <w:r w:rsidR="002B60C7" w:rsidRPr="00374785">
        <w:t xml:space="preserve">Project area </w:t>
      </w:r>
      <w:r w:rsidR="006E7289" w:rsidRPr="00374785">
        <w:t>records</w:t>
      </w:r>
      <w:bookmarkEnd w:id="109"/>
    </w:p>
    <w:p w:rsidR="002B60C7" w:rsidRPr="00374785" w:rsidRDefault="008826BF" w:rsidP="008826BF">
      <w:pPr>
        <w:pStyle w:val="tMain"/>
      </w:pPr>
      <w:r w:rsidRPr="00374785">
        <w:tab/>
      </w:r>
      <w:r w:rsidRPr="00374785">
        <w:tab/>
      </w:r>
      <w:r w:rsidR="002B60C7" w:rsidRPr="00374785">
        <w:t xml:space="preserve">A project proponent must create and maintain the following </w:t>
      </w:r>
      <w:r w:rsidR="006E7289" w:rsidRPr="00374785">
        <w:t>records</w:t>
      </w:r>
      <w:r w:rsidR="00697B48" w:rsidRPr="00374785">
        <w:t xml:space="preserve"> relating to the project area</w:t>
      </w:r>
      <w:r w:rsidR="002B60C7" w:rsidRPr="00374785">
        <w:t>:</w:t>
      </w:r>
    </w:p>
    <w:p w:rsidR="002B60C7" w:rsidRPr="00374785" w:rsidRDefault="008826BF" w:rsidP="008826BF">
      <w:pPr>
        <w:pStyle w:val="tPara"/>
      </w:pPr>
      <w:r w:rsidRPr="00374785">
        <w:tab/>
      </w:r>
      <w:r w:rsidR="007F3C0F">
        <w:t>(a)</w:t>
      </w:r>
      <w:r w:rsidRPr="00374785">
        <w:tab/>
      </w:r>
      <w:r w:rsidR="002B60C7" w:rsidRPr="00374785">
        <w:t>geospatial maps that identify:</w:t>
      </w:r>
    </w:p>
    <w:p w:rsidR="002B60C7" w:rsidRPr="00374785" w:rsidRDefault="008826BF" w:rsidP="008826BF">
      <w:pPr>
        <w:pStyle w:val="tSubpara"/>
      </w:pPr>
      <w:r w:rsidRPr="00374785">
        <w:tab/>
      </w:r>
      <w:r w:rsidR="007F3C0F">
        <w:t>(i)</w:t>
      </w:r>
      <w:r w:rsidRPr="00374785">
        <w:tab/>
      </w:r>
      <w:r w:rsidR="002B60C7" w:rsidRPr="00374785">
        <w:t>the project area;</w:t>
      </w:r>
    </w:p>
    <w:p w:rsidR="002B60C7" w:rsidRPr="00374785" w:rsidRDefault="008826BF" w:rsidP="008826BF">
      <w:pPr>
        <w:pStyle w:val="tSubpara"/>
      </w:pPr>
      <w:r w:rsidRPr="00374785">
        <w:tab/>
      </w:r>
      <w:r w:rsidR="007F3C0F">
        <w:t>(ii)</w:t>
      </w:r>
      <w:r w:rsidRPr="00374785">
        <w:tab/>
      </w:r>
      <w:r w:rsidR="002B60C7" w:rsidRPr="00374785">
        <w:t xml:space="preserve">carbon estimation areas; </w:t>
      </w:r>
    </w:p>
    <w:p w:rsidR="002B60C7" w:rsidRPr="00374785" w:rsidRDefault="008826BF" w:rsidP="008826BF">
      <w:pPr>
        <w:pStyle w:val="tSubpara"/>
      </w:pPr>
      <w:r w:rsidRPr="00374785">
        <w:tab/>
      </w:r>
      <w:r w:rsidR="007F3C0F">
        <w:t>(iii)</w:t>
      </w:r>
      <w:r w:rsidRPr="00374785">
        <w:tab/>
      </w:r>
      <w:r w:rsidR="002B60C7" w:rsidRPr="00374785">
        <w:t xml:space="preserve">exclusion areas; and </w:t>
      </w:r>
    </w:p>
    <w:p w:rsidR="002B60C7" w:rsidRPr="00374785" w:rsidRDefault="008826BF" w:rsidP="008826BF">
      <w:pPr>
        <w:pStyle w:val="tSubpara"/>
      </w:pPr>
      <w:r w:rsidRPr="00374785">
        <w:tab/>
      </w:r>
      <w:r w:rsidR="007F3C0F">
        <w:t>(iv)</w:t>
      </w:r>
      <w:r w:rsidRPr="00374785">
        <w:tab/>
      </w:r>
      <w:r w:rsidR="002B60C7" w:rsidRPr="00374785">
        <w:t>model points</w:t>
      </w:r>
      <w:r w:rsidR="00697B48" w:rsidRPr="00374785">
        <w:t xml:space="preserve"> for each carbon estimation area</w:t>
      </w:r>
      <w:r w:rsidR="002B60C7" w:rsidRPr="00374785">
        <w:t xml:space="preserve">; </w:t>
      </w:r>
    </w:p>
    <w:p w:rsidR="002B60C7" w:rsidRPr="00374785" w:rsidRDefault="008826BF" w:rsidP="008826BF">
      <w:pPr>
        <w:pStyle w:val="tPara"/>
      </w:pPr>
      <w:r w:rsidRPr="00374785">
        <w:tab/>
      </w:r>
      <w:r w:rsidR="007F3C0F">
        <w:t>(b)</w:t>
      </w:r>
      <w:r w:rsidRPr="00374785">
        <w:tab/>
      </w:r>
      <w:r w:rsidR="000D21C1" w:rsidRPr="00374785">
        <w:t>if the areas specified in paragraph (a) are not clearly visible on the maps, a list of names or other identifiers that identify the project area and each carbon estimation area</w:t>
      </w:r>
      <w:r w:rsidR="002B60C7" w:rsidRPr="00374785">
        <w:t>; and</w:t>
      </w:r>
    </w:p>
    <w:p w:rsidR="002B60C7" w:rsidRPr="00374785" w:rsidRDefault="00836CB6" w:rsidP="00836CB6">
      <w:pPr>
        <w:pStyle w:val="tPara"/>
      </w:pPr>
      <w:r w:rsidRPr="00374785">
        <w:tab/>
      </w:r>
      <w:r w:rsidR="007F3C0F">
        <w:t>(c)</w:t>
      </w:r>
      <w:r w:rsidRPr="00374785">
        <w:tab/>
      </w:r>
      <w:r w:rsidR="002B60C7" w:rsidRPr="00374785">
        <w:t>any adjustments to a carbon estimation area if:</w:t>
      </w:r>
    </w:p>
    <w:p w:rsidR="002B60C7" w:rsidRPr="00374785" w:rsidRDefault="00836CB6" w:rsidP="00836CB6">
      <w:pPr>
        <w:pStyle w:val="tSubpara"/>
      </w:pPr>
      <w:r w:rsidRPr="00374785">
        <w:tab/>
      </w:r>
      <w:r w:rsidR="007F3C0F">
        <w:t>(i)</w:t>
      </w:r>
      <w:r w:rsidRPr="00374785">
        <w:tab/>
      </w:r>
      <w:r w:rsidR="002B60C7" w:rsidRPr="00374785">
        <w:t>the carbon estimation area no longer meets the requirements set out in Division 3.2</w:t>
      </w:r>
      <w:r w:rsidR="0060048C" w:rsidRPr="00374785">
        <w:t xml:space="preserve">; </w:t>
      </w:r>
      <w:r w:rsidR="002B60C7" w:rsidRPr="00374785">
        <w:t>or</w:t>
      </w:r>
    </w:p>
    <w:p w:rsidR="002B60C7" w:rsidRPr="00374785" w:rsidRDefault="00836CB6" w:rsidP="00836CB6">
      <w:pPr>
        <w:pStyle w:val="tSubpara"/>
      </w:pPr>
      <w:r w:rsidRPr="00374785">
        <w:tab/>
      </w:r>
      <w:r w:rsidR="007F3C0F">
        <w:t>(ii)</w:t>
      </w:r>
      <w:r w:rsidRPr="00374785">
        <w:tab/>
      </w:r>
      <w:r w:rsidR="002B60C7" w:rsidRPr="00374785">
        <w:t xml:space="preserve">changes in the management of the carbon estimation area result in </w:t>
      </w:r>
      <w:r w:rsidR="006E7289" w:rsidRPr="00374785">
        <w:t>re-</w:t>
      </w:r>
      <w:r w:rsidR="002B60C7" w:rsidRPr="00374785">
        <w:t>stratification.</w:t>
      </w:r>
    </w:p>
    <w:p w:rsidR="002B60C7" w:rsidRPr="00374785" w:rsidRDefault="004F0688" w:rsidP="004F0688">
      <w:pPr>
        <w:pStyle w:val="h3Div"/>
      </w:pPr>
      <w:bookmarkStart w:id="110" w:name="_Toc397681653"/>
      <w:r w:rsidRPr="00374785">
        <w:t xml:space="preserve">Division </w:t>
      </w:r>
      <w:r w:rsidR="007F3C0F">
        <w:t>5.4</w:t>
      </w:r>
      <w:r w:rsidRPr="00374785">
        <w:tab/>
      </w:r>
      <w:r w:rsidR="002B60C7" w:rsidRPr="00374785">
        <w:t>Offsets report requirements</w:t>
      </w:r>
      <w:bookmarkEnd w:id="110"/>
    </w:p>
    <w:p w:rsidR="002B60C7" w:rsidRPr="00374785" w:rsidRDefault="007F3C0F" w:rsidP="00665A4A">
      <w:pPr>
        <w:pStyle w:val="h5Section"/>
      </w:pPr>
      <w:bookmarkStart w:id="111" w:name="_Toc397681654"/>
      <w:r>
        <w:t>5.8</w:t>
      </w:r>
      <w:r w:rsidR="00665A4A" w:rsidRPr="00374785">
        <w:tab/>
      </w:r>
      <w:r w:rsidR="002B60C7" w:rsidRPr="00374785">
        <w:t>Information in first offsets report</w:t>
      </w:r>
      <w:bookmarkEnd w:id="111"/>
    </w:p>
    <w:p w:rsidR="002B60C7" w:rsidRPr="00374785" w:rsidRDefault="00665A4A" w:rsidP="00665A4A">
      <w:pPr>
        <w:pStyle w:val="tMain"/>
      </w:pPr>
      <w:r w:rsidRPr="00374785">
        <w:tab/>
      </w:r>
      <w:r w:rsidRPr="00374785">
        <w:tab/>
      </w:r>
      <w:r w:rsidR="002B60C7" w:rsidRPr="00374785">
        <w:t>The following information must be included in the first offsets report for a project to which this Determination applies:</w:t>
      </w:r>
    </w:p>
    <w:p w:rsidR="002B60C7" w:rsidRPr="00374785" w:rsidRDefault="00665A4A" w:rsidP="00665A4A">
      <w:pPr>
        <w:pStyle w:val="tPara"/>
      </w:pPr>
      <w:r w:rsidRPr="00374785">
        <w:tab/>
      </w:r>
      <w:r w:rsidR="007F3C0F">
        <w:t>(a)</w:t>
      </w:r>
      <w:r w:rsidRPr="00374785">
        <w:tab/>
      </w:r>
      <w:r w:rsidR="002B60C7" w:rsidRPr="00374785">
        <w:t>carbon dioxide equivalent net abatement amount for the project;</w:t>
      </w:r>
    </w:p>
    <w:p w:rsidR="002B60C7" w:rsidRPr="00374785" w:rsidRDefault="00665A4A" w:rsidP="00665A4A">
      <w:pPr>
        <w:pStyle w:val="tPara"/>
      </w:pPr>
      <w:r w:rsidRPr="00374785">
        <w:tab/>
      </w:r>
      <w:r w:rsidR="007F3C0F">
        <w:t>(b)</w:t>
      </w:r>
      <w:r w:rsidRPr="00374785">
        <w:tab/>
      </w:r>
      <w:r w:rsidR="002B60C7" w:rsidRPr="00374785">
        <w:t>carbon stock change for the first reporting period for the project;</w:t>
      </w:r>
    </w:p>
    <w:p w:rsidR="002B60C7" w:rsidRPr="00374785" w:rsidRDefault="00665A4A" w:rsidP="00665A4A">
      <w:pPr>
        <w:pStyle w:val="tPara"/>
      </w:pPr>
      <w:r w:rsidRPr="00374785">
        <w:tab/>
      </w:r>
      <w:r w:rsidR="007F3C0F">
        <w:t>(c)</w:t>
      </w:r>
      <w:r w:rsidRPr="00374785">
        <w:tab/>
      </w:r>
      <w:r w:rsidR="002B60C7" w:rsidRPr="00374785">
        <w:t>total emissions due to biomass burning for the project;</w:t>
      </w:r>
    </w:p>
    <w:p w:rsidR="002B60C7" w:rsidRPr="00374785" w:rsidRDefault="00665A4A" w:rsidP="00665A4A">
      <w:pPr>
        <w:pStyle w:val="tPara"/>
      </w:pPr>
      <w:r w:rsidRPr="00374785">
        <w:tab/>
      </w:r>
      <w:r w:rsidR="007F3C0F">
        <w:t>(d)</w:t>
      </w:r>
      <w:r w:rsidRPr="00374785">
        <w:tab/>
      </w:r>
      <w:r w:rsidR="002B60C7" w:rsidRPr="00374785">
        <w:t xml:space="preserve">total fuel emissions due to project activities; </w:t>
      </w:r>
    </w:p>
    <w:p w:rsidR="00665A4A" w:rsidRPr="00374785" w:rsidRDefault="00665A4A" w:rsidP="00665A4A">
      <w:pPr>
        <w:pStyle w:val="tPara"/>
      </w:pPr>
      <w:r w:rsidRPr="00374785">
        <w:tab/>
      </w:r>
      <w:r w:rsidR="007F3C0F">
        <w:t>(e)</w:t>
      </w:r>
      <w:r w:rsidRPr="00374785">
        <w:tab/>
        <w:t>initial carbon stock for the first reporting period;</w:t>
      </w:r>
    </w:p>
    <w:p w:rsidR="00665A4A" w:rsidRPr="00374785" w:rsidRDefault="00665A4A" w:rsidP="00665A4A">
      <w:pPr>
        <w:pStyle w:val="tPara"/>
      </w:pPr>
      <w:r w:rsidRPr="00374785">
        <w:tab/>
      </w:r>
      <w:r w:rsidR="007F3C0F">
        <w:t>(f)</w:t>
      </w:r>
      <w:r w:rsidRPr="00374785">
        <w:tab/>
        <w:t xml:space="preserve">if the planting date </w:t>
      </w:r>
      <w:r w:rsidR="00772705" w:rsidRPr="00374785">
        <w:t>occurred before the declaration date—</w:t>
      </w:r>
      <w:r w:rsidRPr="00374785">
        <w:t>the initial carbon stock at the declaration date;</w:t>
      </w:r>
    </w:p>
    <w:p w:rsidR="002B60C7" w:rsidRPr="00374785" w:rsidRDefault="00665A4A" w:rsidP="00665A4A">
      <w:pPr>
        <w:pStyle w:val="tPara"/>
      </w:pPr>
      <w:r w:rsidRPr="00374785">
        <w:tab/>
      </w:r>
      <w:r w:rsidR="007F3C0F">
        <w:t>(g)</w:t>
      </w:r>
      <w:r w:rsidRPr="00374785">
        <w:tab/>
      </w:r>
      <w:r w:rsidR="002B60C7" w:rsidRPr="00374785">
        <w:t xml:space="preserve">carbon stock for the project at the end of the reporting period; </w:t>
      </w:r>
    </w:p>
    <w:p w:rsidR="002B60C7" w:rsidRPr="00374785" w:rsidRDefault="00665A4A" w:rsidP="00665A4A">
      <w:pPr>
        <w:pStyle w:val="tPara"/>
      </w:pPr>
      <w:r w:rsidRPr="00374785">
        <w:tab/>
      </w:r>
      <w:r w:rsidR="007F3C0F">
        <w:t>(h)</w:t>
      </w:r>
      <w:r w:rsidRPr="00374785">
        <w:tab/>
      </w:r>
      <w:r w:rsidR="002B60C7" w:rsidRPr="00374785">
        <w:t xml:space="preserve">forest management information set out in section 5.5; </w:t>
      </w:r>
    </w:p>
    <w:p w:rsidR="00665A4A" w:rsidRPr="00374785" w:rsidRDefault="00665A4A" w:rsidP="00665A4A">
      <w:pPr>
        <w:pStyle w:val="tPara"/>
      </w:pPr>
      <w:r w:rsidRPr="00374785">
        <w:tab/>
      </w:r>
      <w:r w:rsidR="007F3C0F">
        <w:t>(i)</w:t>
      </w:r>
      <w:r w:rsidRPr="00374785">
        <w:tab/>
        <w:t xml:space="preserve">if relevant, </w:t>
      </w:r>
      <w:r w:rsidR="003E5ED1" w:rsidRPr="00374785">
        <w:t>specific</w:t>
      </w:r>
      <w:r w:rsidRPr="00374785">
        <w:t xml:space="preserve"> calibration information set out in section 5.6;</w:t>
      </w:r>
    </w:p>
    <w:p w:rsidR="002B60C7" w:rsidRPr="00374785" w:rsidRDefault="00665A4A" w:rsidP="00665A4A">
      <w:pPr>
        <w:pStyle w:val="tPara"/>
      </w:pPr>
      <w:r w:rsidRPr="00374785">
        <w:tab/>
      </w:r>
      <w:r w:rsidR="007F3C0F">
        <w:t>(j)</w:t>
      </w:r>
      <w:r w:rsidRPr="00374785">
        <w:tab/>
      </w:r>
      <w:r w:rsidR="002B60C7" w:rsidRPr="00374785">
        <w:t>project area information set out in s</w:t>
      </w:r>
      <w:r w:rsidR="00DB49F7" w:rsidRPr="00374785">
        <w:t>ubs</w:t>
      </w:r>
      <w:r w:rsidR="002B60C7" w:rsidRPr="00374785">
        <w:t>ection</w:t>
      </w:r>
      <w:r w:rsidR="00DB49F7" w:rsidRPr="00374785">
        <w:t>s</w:t>
      </w:r>
      <w:r w:rsidR="002B60C7" w:rsidRPr="00374785">
        <w:t xml:space="preserve"> 5.</w:t>
      </w:r>
      <w:r w:rsidRPr="00374785">
        <w:t>7</w:t>
      </w:r>
      <w:r w:rsidR="00DB49F7" w:rsidRPr="00374785">
        <w:t>(a) to (b)</w:t>
      </w:r>
      <w:r w:rsidR="002B60C7" w:rsidRPr="00374785">
        <w:t xml:space="preserve">; </w:t>
      </w:r>
    </w:p>
    <w:p w:rsidR="00665A4A" w:rsidRPr="00374785" w:rsidRDefault="00665A4A" w:rsidP="00665A4A">
      <w:pPr>
        <w:pStyle w:val="tPara"/>
      </w:pPr>
      <w:r w:rsidRPr="00374785">
        <w:tab/>
      </w:r>
      <w:r w:rsidR="007F3C0F">
        <w:t>(k)</w:t>
      </w:r>
      <w:r w:rsidRPr="00374785">
        <w:tab/>
      </w:r>
      <w:r w:rsidR="002B60C7" w:rsidRPr="00374785">
        <w:t>date</w:t>
      </w:r>
      <w:r w:rsidR="00697B48" w:rsidRPr="00374785">
        <w:t>-</w:t>
      </w:r>
      <w:r w:rsidR="002B60C7" w:rsidRPr="00374785">
        <w:t xml:space="preserve">stamped FullCAM plot files (.plo) </w:t>
      </w:r>
      <w:r w:rsidR="002B60C7" w:rsidRPr="00374785">
        <w:rPr>
          <w:color w:val="000000" w:themeColor="text1"/>
        </w:rPr>
        <w:t>and a copy of the associated output data in a spread sheet file</w:t>
      </w:r>
      <w:r w:rsidR="002B60C7" w:rsidRPr="00374785">
        <w:rPr>
          <w:color w:val="76923C" w:themeColor="accent3" w:themeShade="BF"/>
        </w:rPr>
        <w:t xml:space="preserve"> </w:t>
      </w:r>
      <w:r w:rsidR="002B60C7" w:rsidRPr="00374785">
        <w:t>for each carbon estimation area in the project area</w:t>
      </w:r>
      <w:r w:rsidRPr="00374785">
        <w:t>; and</w:t>
      </w:r>
    </w:p>
    <w:p w:rsidR="00AA188E" w:rsidRPr="00374785" w:rsidRDefault="00665A4A" w:rsidP="00665A4A">
      <w:pPr>
        <w:pStyle w:val="tPara"/>
      </w:pPr>
      <w:r w:rsidRPr="00374785">
        <w:tab/>
      </w:r>
      <w:r w:rsidR="007F3C0F">
        <w:t>(l)</w:t>
      </w:r>
      <w:r w:rsidRPr="00374785">
        <w:tab/>
      </w:r>
      <w:r w:rsidR="00814A1C" w:rsidRPr="00374785">
        <w:t>if</w:t>
      </w:r>
      <w:r w:rsidRPr="00374785">
        <w:t xml:space="preserve"> forest cover is attained</w:t>
      </w:r>
      <w:r w:rsidR="00814A1C" w:rsidRPr="00374785">
        <w:t xml:space="preserve"> during the first reporting period</w:t>
      </w:r>
      <w:r w:rsidR="00772705" w:rsidRPr="00374785">
        <w:t>—</w:t>
      </w:r>
      <w:r w:rsidRPr="00374785">
        <w:t>evidence t</w:t>
      </w:r>
      <w:r w:rsidR="00AA188E" w:rsidRPr="00374785">
        <w:t xml:space="preserve">hat the cover has been attained. </w:t>
      </w:r>
    </w:p>
    <w:p w:rsidR="002B60C7" w:rsidRPr="00374785" w:rsidRDefault="00AA188E" w:rsidP="00AA188E">
      <w:pPr>
        <w:pStyle w:val="noteSubpara"/>
      </w:pPr>
      <w:r w:rsidRPr="00374785">
        <w:tab/>
      </w:r>
      <w:r w:rsidRPr="00374785">
        <w:rPr>
          <w:b/>
          <w:i/>
        </w:rPr>
        <w:t>Note</w:t>
      </w:r>
      <w:r w:rsidRPr="00374785">
        <w:tab/>
        <w:t xml:space="preserve">Evidence may </w:t>
      </w:r>
      <w:r w:rsidR="00665A4A" w:rsidRPr="00374785">
        <w:t>includ</w:t>
      </w:r>
      <w:r w:rsidRPr="00374785">
        <w:t>e</w:t>
      </w:r>
      <w:r w:rsidR="00665A4A" w:rsidRPr="00374785">
        <w:t xml:space="preserve"> date-stamped, geo-referenced satellite </w:t>
      </w:r>
      <w:r w:rsidRPr="00374785">
        <w:t>imagery</w:t>
      </w:r>
      <w:r w:rsidR="002B60C7" w:rsidRPr="00374785">
        <w:t>.</w:t>
      </w:r>
    </w:p>
    <w:p w:rsidR="0060048C" w:rsidRPr="00374785" w:rsidRDefault="0060048C" w:rsidP="0060048C">
      <w:pPr>
        <w:pStyle w:val="noteMain"/>
        <w:rPr>
          <w:rFonts w:eastAsia="Calibri"/>
          <w:lang w:eastAsia="en-US"/>
        </w:rPr>
      </w:pPr>
      <w:r w:rsidRPr="00374785">
        <w:rPr>
          <w:rFonts w:eastAsia="Calibri"/>
          <w:lang w:eastAsia="en-US"/>
        </w:rPr>
        <w:lastRenderedPageBreak/>
        <w:tab/>
      </w:r>
      <w:r w:rsidRPr="00374785">
        <w:rPr>
          <w:rFonts w:eastAsia="Calibri"/>
          <w:b/>
          <w:i/>
          <w:lang w:eastAsia="en-US"/>
        </w:rPr>
        <w:t>Note</w:t>
      </w:r>
      <w:r w:rsidRPr="00374785">
        <w:rPr>
          <w:rFonts w:eastAsia="Calibri"/>
          <w:lang w:eastAsia="en-US"/>
        </w:rPr>
        <w:tab/>
        <w:t xml:space="preserve">that if the project proponent has previously submitted an offsets report for the project under another CFI methodology determination, then the first offsets report for the project has taken to have been submitted under that CFI methodology determination </w:t>
      </w:r>
    </w:p>
    <w:p w:rsidR="002B60C7" w:rsidRPr="00374785" w:rsidRDefault="007F3C0F" w:rsidP="00665A4A">
      <w:pPr>
        <w:pStyle w:val="h5Section"/>
      </w:pPr>
      <w:bookmarkStart w:id="112" w:name="_Toc397681655"/>
      <w:r>
        <w:t>5.9</w:t>
      </w:r>
      <w:r w:rsidR="00665A4A" w:rsidRPr="00374785">
        <w:tab/>
      </w:r>
      <w:r w:rsidR="002B60C7" w:rsidRPr="00374785">
        <w:t>Information in subsequent offsets reports</w:t>
      </w:r>
      <w:bookmarkEnd w:id="112"/>
    </w:p>
    <w:p w:rsidR="002B60C7" w:rsidRPr="00374785" w:rsidRDefault="00665A4A" w:rsidP="00665A4A">
      <w:pPr>
        <w:pStyle w:val="tMain"/>
      </w:pPr>
      <w:r w:rsidRPr="00374785">
        <w:tab/>
      </w:r>
      <w:r w:rsidRPr="00374785">
        <w:tab/>
      </w:r>
      <w:r w:rsidR="002B60C7" w:rsidRPr="00374785">
        <w:t>The following information must be included in the second and subsequent offsets report</w:t>
      </w:r>
      <w:r w:rsidR="00814A1C" w:rsidRPr="00374785">
        <w:t>s</w:t>
      </w:r>
      <w:r w:rsidR="002B60C7" w:rsidRPr="00374785">
        <w:t xml:space="preserve"> for a project to which this Determination applies:</w:t>
      </w:r>
    </w:p>
    <w:p w:rsidR="002B60C7" w:rsidRPr="00374785" w:rsidRDefault="00814A1C" w:rsidP="00814A1C">
      <w:pPr>
        <w:pStyle w:val="tPara"/>
      </w:pPr>
      <w:r w:rsidRPr="00374785">
        <w:tab/>
      </w:r>
      <w:r w:rsidR="007F3C0F">
        <w:t>(a)</w:t>
      </w:r>
      <w:r w:rsidRPr="00374785">
        <w:tab/>
      </w:r>
      <w:r w:rsidR="002B60C7" w:rsidRPr="00374785">
        <w:t>carbon dioxide equivalent net abatement amount for the project for the reporting period;</w:t>
      </w:r>
    </w:p>
    <w:p w:rsidR="002B60C7" w:rsidRPr="00374785" w:rsidRDefault="00814A1C" w:rsidP="00814A1C">
      <w:pPr>
        <w:pStyle w:val="tPara"/>
      </w:pPr>
      <w:r w:rsidRPr="00374785">
        <w:tab/>
      </w:r>
      <w:r w:rsidR="007F3C0F">
        <w:t>(b)</w:t>
      </w:r>
      <w:r w:rsidRPr="00374785">
        <w:tab/>
      </w:r>
      <w:r w:rsidR="002B60C7" w:rsidRPr="00374785">
        <w:t>carbon stock change for the project for the reporting period;</w:t>
      </w:r>
    </w:p>
    <w:p w:rsidR="002B60C7" w:rsidRPr="00374785" w:rsidRDefault="00814A1C" w:rsidP="00814A1C">
      <w:pPr>
        <w:pStyle w:val="tPara"/>
      </w:pPr>
      <w:r w:rsidRPr="00374785">
        <w:tab/>
      </w:r>
      <w:r w:rsidR="007F3C0F">
        <w:t>(c)</w:t>
      </w:r>
      <w:r w:rsidRPr="00374785">
        <w:tab/>
      </w:r>
      <w:r w:rsidR="002B60C7" w:rsidRPr="00374785">
        <w:t>total emissions due to biomass burning for the project;</w:t>
      </w:r>
    </w:p>
    <w:p w:rsidR="002B60C7" w:rsidRPr="00374785" w:rsidRDefault="00814A1C" w:rsidP="00814A1C">
      <w:pPr>
        <w:pStyle w:val="tPara"/>
      </w:pPr>
      <w:r w:rsidRPr="00374785">
        <w:tab/>
      </w:r>
      <w:r w:rsidR="007F3C0F">
        <w:t>(d)</w:t>
      </w:r>
      <w:r w:rsidRPr="00374785">
        <w:tab/>
      </w:r>
      <w:r w:rsidR="002B60C7" w:rsidRPr="00374785">
        <w:t xml:space="preserve">total fuel emissions due to project activities; </w:t>
      </w:r>
    </w:p>
    <w:p w:rsidR="002B60C7" w:rsidRPr="00374785" w:rsidRDefault="00814A1C" w:rsidP="00814A1C">
      <w:pPr>
        <w:pStyle w:val="tPara"/>
      </w:pPr>
      <w:r w:rsidRPr="00374785">
        <w:tab/>
      </w:r>
      <w:r w:rsidR="007F3C0F">
        <w:t>(e)</w:t>
      </w:r>
      <w:r w:rsidRPr="00374785">
        <w:tab/>
      </w:r>
      <w:r w:rsidR="002B60C7" w:rsidRPr="00374785">
        <w:t>carbon stock for the project at the end of the reporting period;</w:t>
      </w:r>
    </w:p>
    <w:p w:rsidR="002B60C7" w:rsidRPr="00374785" w:rsidRDefault="00814A1C" w:rsidP="00814A1C">
      <w:pPr>
        <w:pStyle w:val="tPara"/>
      </w:pPr>
      <w:r w:rsidRPr="00374785">
        <w:tab/>
      </w:r>
      <w:r w:rsidR="007F3C0F">
        <w:t>(f)</w:t>
      </w:r>
      <w:r w:rsidRPr="00374785">
        <w:tab/>
      </w:r>
      <w:r w:rsidR="002B60C7" w:rsidRPr="00374785">
        <w:t>forest management information set out in section 5.5</w:t>
      </w:r>
      <w:r w:rsidRPr="00374785">
        <w:t xml:space="preserve"> and, if relevant, section 5.6</w:t>
      </w:r>
      <w:r w:rsidR="002B60C7" w:rsidRPr="00374785">
        <w:t xml:space="preserve">, including any change to </w:t>
      </w:r>
      <w:r w:rsidRPr="00374785">
        <w:t xml:space="preserve">this </w:t>
      </w:r>
      <w:r w:rsidR="002B60C7" w:rsidRPr="00374785">
        <w:t xml:space="preserve">information provided in the previous reporting period; </w:t>
      </w:r>
    </w:p>
    <w:p w:rsidR="00706D8B" w:rsidRPr="00374785" w:rsidRDefault="00814A1C" w:rsidP="00814A1C">
      <w:pPr>
        <w:pStyle w:val="tPara"/>
      </w:pPr>
      <w:r w:rsidRPr="00374785">
        <w:tab/>
      </w:r>
      <w:r w:rsidR="007F3C0F">
        <w:t>(g)</w:t>
      </w:r>
      <w:r w:rsidRPr="00374785">
        <w:tab/>
      </w:r>
      <w:r w:rsidR="002B60C7" w:rsidRPr="00374785">
        <w:t>date</w:t>
      </w:r>
      <w:r w:rsidR="00697B48" w:rsidRPr="00374785">
        <w:t>-</w:t>
      </w:r>
      <w:r w:rsidR="002B60C7" w:rsidRPr="00374785">
        <w:t xml:space="preserve">stamped FullCAM plot files (.plo) and a copy of the associated output data in a spreadsheet file for each carbon estimation area in the project area; </w:t>
      </w:r>
    </w:p>
    <w:p w:rsidR="003F18F6" w:rsidRPr="00374785" w:rsidRDefault="00706D8B" w:rsidP="00706D8B">
      <w:pPr>
        <w:pStyle w:val="tPara"/>
      </w:pPr>
      <w:r w:rsidRPr="00374785">
        <w:tab/>
      </w:r>
      <w:r w:rsidR="007F3C0F">
        <w:t>(h)</w:t>
      </w:r>
      <w:r w:rsidRPr="00374785">
        <w:tab/>
      </w:r>
      <w:r w:rsidR="00AA188E" w:rsidRPr="00374785">
        <w:t xml:space="preserve">if forest cover is attained in the reporting period, </w:t>
      </w:r>
      <w:r w:rsidRPr="00374785">
        <w:t>evidence that forest cover has been attained</w:t>
      </w:r>
      <w:r w:rsidR="003F18F6" w:rsidRPr="00374785">
        <w:t>;</w:t>
      </w:r>
      <w:r w:rsidRPr="00374785">
        <w:t xml:space="preserve"> </w:t>
      </w:r>
    </w:p>
    <w:p w:rsidR="003F18F6" w:rsidRPr="00374785" w:rsidRDefault="003F18F6" w:rsidP="003F18F6">
      <w:pPr>
        <w:pStyle w:val="noteSubpara"/>
        <w:rPr>
          <w:rFonts w:ascii="Arial" w:hAnsi="Arial"/>
          <w:b/>
          <w:bCs/>
          <w:iCs/>
          <w:szCs w:val="26"/>
        </w:rPr>
      </w:pPr>
      <w:r w:rsidRPr="00374785">
        <w:tab/>
      </w:r>
      <w:r w:rsidRPr="00374785">
        <w:rPr>
          <w:b/>
          <w:i/>
        </w:rPr>
        <w:t>Note</w:t>
      </w:r>
      <w:r w:rsidRPr="00374785">
        <w:tab/>
        <w:t>Evidence may include date-stamped, geo-referenced remotely-sensed imagery.</w:t>
      </w:r>
      <w:r w:rsidRPr="00374785">
        <w:rPr>
          <w:rFonts w:ascii="Arial" w:hAnsi="Arial"/>
          <w:b/>
          <w:bCs/>
          <w:iCs/>
          <w:szCs w:val="26"/>
        </w:rPr>
        <w:t xml:space="preserve">  </w:t>
      </w:r>
    </w:p>
    <w:p w:rsidR="002B60C7" w:rsidRPr="00374785" w:rsidRDefault="003F18F6" w:rsidP="003F18F6">
      <w:pPr>
        <w:pStyle w:val="tPara"/>
      </w:pPr>
      <w:r w:rsidRPr="00374785">
        <w:tab/>
      </w:r>
      <w:r w:rsidR="007F3C0F">
        <w:t>(i)</w:t>
      </w:r>
      <w:r w:rsidRPr="00374785">
        <w:tab/>
        <w:t>if forest cover was attained in a previous reporting period, evidence that forest cover has been maintained</w:t>
      </w:r>
      <w:r w:rsidR="00706D8B" w:rsidRPr="00374785">
        <w:t xml:space="preserve">; </w:t>
      </w:r>
      <w:r w:rsidR="002B60C7" w:rsidRPr="00374785">
        <w:t>and</w:t>
      </w:r>
    </w:p>
    <w:p w:rsidR="003F18F6" w:rsidRPr="00374785" w:rsidRDefault="003F18F6" w:rsidP="003F18F6">
      <w:pPr>
        <w:pStyle w:val="noteSubpara"/>
        <w:rPr>
          <w:rFonts w:ascii="Arial" w:hAnsi="Arial"/>
          <w:b/>
          <w:bCs/>
          <w:iCs/>
          <w:szCs w:val="26"/>
        </w:rPr>
      </w:pPr>
      <w:r w:rsidRPr="00374785">
        <w:tab/>
      </w:r>
      <w:r w:rsidRPr="00374785">
        <w:rPr>
          <w:b/>
          <w:i/>
        </w:rPr>
        <w:t>Note</w:t>
      </w:r>
      <w:r w:rsidRPr="00374785">
        <w:tab/>
        <w:t>Evidence may include date-stamped, geo-referenced</w:t>
      </w:r>
      <w:r w:rsidR="00697B48" w:rsidRPr="00374785">
        <w:t>,</w:t>
      </w:r>
      <w:r w:rsidRPr="00374785">
        <w:t xml:space="preserve"> remotely-sensed imagery.</w:t>
      </w:r>
      <w:r w:rsidRPr="00374785">
        <w:rPr>
          <w:rFonts w:ascii="Arial" w:hAnsi="Arial"/>
          <w:b/>
          <w:bCs/>
          <w:iCs/>
          <w:szCs w:val="26"/>
        </w:rPr>
        <w:t xml:space="preserve">  </w:t>
      </w:r>
    </w:p>
    <w:p w:rsidR="002B60C7" w:rsidRPr="00374785" w:rsidRDefault="002B60C7" w:rsidP="002B60C7">
      <w:pPr>
        <w:pStyle w:val="tPara"/>
        <w:rPr>
          <w:color w:val="000000" w:themeColor="text1"/>
        </w:rPr>
      </w:pPr>
      <w:r w:rsidRPr="00374785">
        <w:rPr>
          <w:color w:val="000000" w:themeColor="text1"/>
        </w:rPr>
        <w:tab/>
      </w:r>
      <w:r w:rsidR="007F3C0F">
        <w:rPr>
          <w:color w:val="000000" w:themeColor="text1"/>
        </w:rPr>
        <w:t>(j)</w:t>
      </w:r>
      <w:r w:rsidRPr="00374785">
        <w:rPr>
          <w:color w:val="000000" w:themeColor="text1"/>
        </w:rPr>
        <w:tab/>
        <w:t>either:</w:t>
      </w:r>
    </w:p>
    <w:p w:rsidR="002B60C7" w:rsidRPr="00374785" w:rsidRDefault="002B60C7" w:rsidP="002B60C7">
      <w:pPr>
        <w:pStyle w:val="tSubpara"/>
        <w:rPr>
          <w:color w:val="000000" w:themeColor="text1"/>
        </w:rPr>
      </w:pPr>
      <w:r w:rsidRPr="00374785">
        <w:rPr>
          <w:color w:val="000000" w:themeColor="text1"/>
        </w:rPr>
        <w:tab/>
      </w:r>
      <w:r w:rsidR="007F3C0F">
        <w:rPr>
          <w:color w:val="000000" w:themeColor="text1"/>
        </w:rPr>
        <w:t>(i)</w:t>
      </w:r>
      <w:r w:rsidRPr="00374785">
        <w:rPr>
          <w:color w:val="000000" w:themeColor="text1"/>
        </w:rPr>
        <w:tab/>
        <w:t xml:space="preserve">a statement that the carbon estimation area boundaries </w:t>
      </w:r>
      <w:r w:rsidR="00AA188E" w:rsidRPr="00374785">
        <w:rPr>
          <w:color w:val="000000" w:themeColor="text1"/>
        </w:rPr>
        <w:t>have not been</w:t>
      </w:r>
      <w:r w:rsidRPr="00374785">
        <w:rPr>
          <w:color w:val="000000" w:themeColor="text1"/>
        </w:rPr>
        <w:t xml:space="preserve"> changed; or</w:t>
      </w:r>
    </w:p>
    <w:p w:rsidR="002B60C7" w:rsidRPr="00374785" w:rsidRDefault="00814A1C" w:rsidP="00814A1C">
      <w:pPr>
        <w:pStyle w:val="tSubpara"/>
      </w:pPr>
      <w:r w:rsidRPr="00374785">
        <w:tab/>
      </w:r>
      <w:r w:rsidR="007F3C0F">
        <w:t>(ii)</w:t>
      </w:r>
      <w:r w:rsidRPr="00374785">
        <w:tab/>
      </w:r>
      <w:r w:rsidR="002B60C7" w:rsidRPr="00374785">
        <w:t>details of any change to carbon estimation area or exclusion area information provided in the previous reporting period.</w:t>
      </w:r>
    </w:p>
    <w:p w:rsidR="009C707A" w:rsidRPr="00374785" w:rsidRDefault="009C707A">
      <w:r w:rsidRPr="00374785">
        <w:br w:type="page"/>
      </w:r>
    </w:p>
    <w:p w:rsidR="00323FA5" w:rsidRPr="00374785" w:rsidRDefault="00323FA5" w:rsidP="00323FA5">
      <w:pPr>
        <w:pStyle w:val="h5Section"/>
        <w:ind w:left="2170" w:hanging="2170"/>
        <w:rPr>
          <w:rFonts w:cs="Arial"/>
          <w:iCs w:val="0"/>
          <w:sz w:val="28"/>
        </w:rPr>
      </w:pPr>
      <w:bookmarkStart w:id="113" w:name="_Toc397681656"/>
      <w:r w:rsidRPr="00374785">
        <w:rPr>
          <w:rFonts w:cs="Arial"/>
          <w:iCs w:val="0"/>
          <w:sz w:val="28"/>
        </w:rPr>
        <w:lastRenderedPageBreak/>
        <w:t>Schedule 1</w:t>
      </w:r>
      <w:r w:rsidRPr="00374785">
        <w:rPr>
          <w:rFonts w:cs="Arial"/>
          <w:iCs w:val="0"/>
          <w:sz w:val="28"/>
        </w:rPr>
        <w:tab/>
      </w:r>
      <w:r w:rsidR="00EB27D9" w:rsidRPr="00374785">
        <w:rPr>
          <w:rFonts w:cs="Arial"/>
          <w:iCs w:val="0"/>
          <w:sz w:val="28"/>
        </w:rPr>
        <w:t>Specific</w:t>
      </w:r>
      <w:r w:rsidR="00F8769A" w:rsidRPr="00374785">
        <w:rPr>
          <w:rFonts w:cs="Arial"/>
          <w:iCs w:val="0"/>
          <w:sz w:val="28"/>
        </w:rPr>
        <w:t xml:space="preserve"> </w:t>
      </w:r>
      <w:r w:rsidR="00EB27D9" w:rsidRPr="00374785">
        <w:rPr>
          <w:rFonts w:cs="Arial"/>
          <w:iCs w:val="0"/>
          <w:sz w:val="28"/>
        </w:rPr>
        <w:t>calibrations</w:t>
      </w:r>
      <w:r w:rsidRPr="00374785">
        <w:rPr>
          <w:rFonts w:cs="Arial"/>
          <w:iCs w:val="0"/>
          <w:sz w:val="28"/>
        </w:rPr>
        <w:t xml:space="preserve"> </w:t>
      </w:r>
      <w:r w:rsidR="00EB27D9" w:rsidRPr="00374785">
        <w:rPr>
          <w:rFonts w:cs="Arial"/>
          <w:iCs w:val="0"/>
          <w:sz w:val="28"/>
        </w:rPr>
        <w:t>for use in FullCAM.</w:t>
      </w:r>
      <w:bookmarkEnd w:id="113"/>
    </w:p>
    <w:p w:rsidR="00323FA5" w:rsidRPr="00374785" w:rsidRDefault="00323FA5" w:rsidP="00323FA5"/>
    <w:tbl>
      <w:tblPr>
        <w:tblW w:w="5000" w:type="pct"/>
        <w:tblLook w:val="04A0"/>
      </w:tblPr>
      <w:tblGrid>
        <w:gridCol w:w="1107"/>
        <w:gridCol w:w="1257"/>
        <w:gridCol w:w="936"/>
        <w:gridCol w:w="1628"/>
        <w:gridCol w:w="4314"/>
      </w:tblGrid>
      <w:tr w:rsidR="00F8769A" w:rsidRPr="00374785" w:rsidTr="00F8769A">
        <w:trPr>
          <w:trHeight w:val="305"/>
          <w:tblHeader/>
        </w:trPr>
        <w:tc>
          <w:tcPr>
            <w:tcW w:w="599" w:type="pct"/>
            <w:tcBorders>
              <w:top w:val="single" w:sz="4" w:space="0" w:color="auto"/>
              <w:left w:val="single" w:sz="4" w:space="0" w:color="auto"/>
              <w:bottom w:val="single" w:sz="4" w:space="0" w:color="auto"/>
              <w:right w:val="single" w:sz="4" w:space="0" w:color="auto"/>
            </w:tcBorders>
            <w:vAlign w:val="center"/>
          </w:tcPr>
          <w:p w:rsidR="00F8769A" w:rsidRPr="00374785" w:rsidRDefault="00F8769A" w:rsidP="007A734A">
            <w:pPr>
              <w:jc w:val="center"/>
              <w:rPr>
                <w:rFonts w:cstheme="minorHAnsi"/>
                <w:b/>
                <w:bCs/>
                <w:color w:val="000000"/>
                <w:sz w:val="18"/>
                <w:szCs w:val="18"/>
              </w:rPr>
            </w:pPr>
            <w:r w:rsidRPr="00374785">
              <w:rPr>
                <w:rFonts w:cstheme="minorHAnsi"/>
                <w:b/>
                <w:bCs/>
                <w:color w:val="000000"/>
                <w:sz w:val="18"/>
                <w:szCs w:val="18"/>
              </w:rPr>
              <w:t>Calibration type</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jc w:val="center"/>
              <w:rPr>
                <w:rFonts w:cstheme="minorHAnsi"/>
                <w:b/>
                <w:bCs/>
                <w:color w:val="000000"/>
                <w:sz w:val="18"/>
                <w:szCs w:val="18"/>
              </w:rPr>
            </w:pPr>
            <w:r w:rsidRPr="00374785">
              <w:rPr>
                <w:rFonts w:cstheme="minorHAnsi"/>
                <w:b/>
                <w:bCs/>
                <w:color w:val="000000"/>
                <w:sz w:val="18"/>
                <w:szCs w:val="18"/>
              </w:rPr>
              <w:t>Planting Type (FullCAM Tree species)</w:t>
            </w:r>
          </w:p>
        </w:tc>
        <w:tc>
          <w:tcPr>
            <w:tcW w:w="506" w:type="pct"/>
            <w:tcBorders>
              <w:top w:val="single" w:sz="4" w:space="0" w:color="auto"/>
              <w:left w:val="nil"/>
              <w:bottom w:val="single" w:sz="4" w:space="0" w:color="auto"/>
              <w:right w:val="single" w:sz="4" w:space="0" w:color="auto"/>
            </w:tcBorders>
            <w:vAlign w:val="center"/>
          </w:tcPr>
          <w:p w:rsidR="00F8769A" w:rsidRPr="00374785" w:rsidRDefault="00F8769A" w:rsidP="007A734A">
            <w:pPr>
              <w:jc w:val="center"/>
              <w:rPr>
                <w:rFonts w:cstheme="minorHAnsi"/>
                <w:b/>
                <w:bCs/>
                <w:color w:val="000000"/>
                <w:sz w:val="18"/>
                <w:szCs w:val="18"/>
              </w:rPr>
            </w:pPr>
            <w:r w:rsidRPr="00374785">
              <w:rPr>
                <w:rFonts w:cstheme="minorHAnsi"/>
                <w:b/>
                <w:bCs/>
                <w:color w:val="000000"/>
                <w:sz w:val="18"/>
                <w:szCs w:val="18"/>
              </w:rPr>
              <w:t>Planting geometry</w:t>
            </w:r>
          </w:p>
        </w:tc>
        <w:tc>
          <w:tcPr>
            <w:tcW w:w="881" w:type="pct"/>
            <w:tcBorders>
              <w:top w:val="single" w:sz="4" w:space="0" w:color="auto"/>
              <w:left w:val="single" w:sz="4" w:space="0" w:color="auto"/>
              <w:bottom w:val="single" w:sz="4" w:space="0" w:color="auto"/>
              <w:right w:val="single" w:sz="4" w:space="0" w:color="auto"/>
            </w:tcBorders>
            <w:vAlign w:val="center"/>
          </w:tcPr>
          <w:p w:rsidR="00F8769A" w:rsidRPr="00374785" w:rsidRDefault="00F8769A" w:rsidP="007A734A">
            <w:pPr>
              <w:jc w:val="center"/>
              <w:rPr>
                <w:rFonts w:cstheme="minorHAnsi"/>
                <w:b/>
                <w:bCs/>
                <w:color w:val="000000"/>
                <w:sz w:val="18"/>
                <w:szCs w:val="18"/>
              </w:rPr>
            </w:pPr>
            <w:r w:rsidRPr="00374785">
              <w:rPr>
                <w:rFonts w:cstheme="minorHAnsi"/>
                <w:b/>
                <w:bCs/>
                <w:color w:val="000000"/>
                <w:sz w:val="18"/>
                <w:szCs w:val="18"/>
              </w:rPr>
              <w:t>Stocking density and tree proportion</w:t>
            </w:r>
          </w:p>
        </w:tc>
        <w:tc>
          <w:tcPr>
            <w:tcW w:w="2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jc w:val="center"/>
              <w:rPr>
                <w:rFonts w:cstheme="minorHAnsi"/>
                <w:b/>
                <w:bCs/>
                <w:color w:val="000000"/>
                <w:sz w:val="18"/>
                <w:szCs w:val="18"/>
              </w:rPr>
            </w:pPr>
            <w:r w:rsidRPr="00374785">
              <w:rPr>
                <w:rFonts w:cstheme="minorHAnsi"/>
                <w:b/>
                <w:bCs/>
                <w:color w:val="000000"/>
                <w:sz w:val="18"/>
                <w:szCs w:val="18"/>
              </w:rPr>
              <w:t>Specific Calibration</w:t>
            </w:r>
          </w:p>
          <w:p w:rsidR="00F8769A" w:rsidRPr="00374785" w:rsidRDefault="00F8769A" w:rsidP="007A734A">
            <w:pPr>
              <w:jc w:val="center"/>
              <w:rPr>
                <w:rFonts w:cstheme="minorHAnsi"/>
                <w:b/>
                <w:bCs/>
                <w:color w:val="000000"/>
                <w:sz w:val="18"/>
                <w:szCs w:val="18"/>
              </w:rPr>
            </w:pPr>
            <w:r w:rsidRPr="00374785">
              <w:rPr>
                <w:rFonts w:cstheme="minorHAnsi"/>
                <w:b/>
                <w:bCs/>
                <w:color w:val="000000"/>
                <w:sz w:val="18"/>
                <w:szCs w:val="18"/>
              </w:rPr>
              <w:t>[FullCAM Regimes (Initial Rotation)]</w:t>
            </w:r>
          </w:p>
        </w:tc>
      </w:tr>
      <w:tr w:rsidR="00F8769A" w:rsidRPr="00374785" w:rsidTr="00F8769A">
        <w:trPr>
          <w:trHeight w:val="305"/>
        </w:trPr>
        <w:tc>
          <w:tcPr>
            <w:tcW w:w="599" w:type="pct"/>
            <w:vMerge w:val="restart"/>
            <w:tcBorders>
              <w:top w:val="nil"/>
              <w:left w:val="single" w:sz="4" w:space="0" w:color="auto"/>
              <w:right w:val="single" w:sz="4" w:space="0" w:color="auto"/>
            </w:tcBorders>
            <w:vAlign w:val="center"/>
          </w:tcPr>
          <w:p w:rsidR="00F8769A" w:rsidRPr="00374785" w:rsidRDefault="00F8769A" w:rsidP="007A734A">
            <w:pPr>
              <w:rPr>
                <w:rFonts w:cstheme="minorHAnsi"/>
                <w:color w:val="000000"/>
                <w:sz w:val="18"/>
                <w:szCs w:val="18"/>
              </w:rPr>
            </w:pPr>
            <w:r w:rsidRPr="00374785">
              <w:rPr>
                <w:rFonts w:cstheme="minorHAnsi"/>
                <w:color w:val="000000"/>
                <w:sz w:val="18"/>
                <w:szCs w:val="18"/>
              </w:rPr>
              <w:t xml:space="preserve">Specific </w:t>
            </w:r>
          </w:p>
        </w:tc>
        <w:tc>
          <w:tcPr>
            <w:tcW w:w="680" w:type="pct"/>
            <w:vMerge w:val="restart"/>
            <w:tcBorders>
              <w:top w:val="nil"/>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rPr>
                <w:rFonts w:cstheme="minorHAnsi"/>
                <w:color w:val="000000"/>
                <w:sz w:val="18"/>
                <w:szCs w:val="18"/>
              </w:rPr>
            </w:pPr>
            <w:r w:rsidRPr="00374785">
              <w:rPr>
                <w:rFonts w:cstheme="minorHAnsi"/>
                <w:color w:val="000000"/>
                <w:sz w:val="18"/>
                <w:szCs w:val="18"/>
              </w:rPr>
              <w:t>Mixed species environmental planting temperate</w:t>
            </w:r>
          </w:p>
        </w:tc>
        <w:tc>
          <w:tcPr>
            <w:tcW w:w="506" w:type="pct"/>
            <w:vMerge w:val="restart"/>
            <w:tcBorders>
              <w:top w:val="single" w:sz="4" w:space="0" w:color="auto"/>
              <w:left w:val="nil"/>
              <w:right w:val="single" w:sz="4" w:space="0" w:color="auto"/>
            </w:tcBorders>
            <w:vAlign w:val="center"/>
          </w:tcPr>
          <w:p w:rsidR="00F8769A" w:rsidRPr="00374785" w:rsidRDefault="00F8769A" w:rsidP="007A734A">
            <w:pPr>
              <w:jc w:val="center"/>
              <w:rPr>
                <w:rFonts w:cstheme="minorHAnsi"/>
                <w:color w:val="000000"/>
                <w:sz w:val="18"/>
                <w:szCs w:val="18"/>
              </w:rPr>
            </w:pPr>
            <w:r w:rsidRPr="00374785">
              <w:rPr>
                <w:rFonts w:cstheme="minorHAnsi"/>
                <w:color w:val="000000"/>
                <w:sz w:val="18"/>
                <w:szCs w:val="18"/>
              </w:rPr>
              <w:t>Narrow Linear</w:t>
            </w:r>
          </w:p>
        </w:tc>
        <w:tc>
          <w:tcPr>
            <w:tcW w:w="881" w:type="pct"/>
            <w:tcBorders>
              <w:top w:val="single" w:sz="4" w:space="0" w:color="auto"/>
              <w:left w:val="single" w:sz="4" w:space="0" w:color="auto"/>
              <w:bottom w:val="single" w:sz="4" w:space="0" w:color="auto"/>
              <w:right w:val="single" w:sz="4" w:space="0" w:color="auto"/>
            </w:tcBorders>
          </w:tcPr>
          <w:p w:rsidR="00F8769A" w:rsidRPr="00374785" w:rsidRDefault="00F8769A" w:rsidP="007A734A">
            <w:pPr>
              <w:rPr>
                <w:rFonts w:cstheme="minorHAnsi"/>
                <w:color w:val="000000"/>
                <w:sz w:val="18"/>
                <w:szCs w:val="18"/>
              </w:rPr>
            </w:pPr>
            <w:r w:rsidRPr="00374785">
              <w:rPr>
                <w:rFonts w:cstheme="minorHAnsi"/>
                <w:color w:val="000000"/>
                <w:sz w:val="18"/>
                <w:szCs w:val="18"/>
              </w:rPr>
              <w:t>Stocking &gt; 1500 stems/ha  and Tree Proportion &gt;= 0.75</w:t>
            </w:r>
          </w:p>
        </w:tc>
        <w:tc>
          <w:tcPr>
            <w:tcW w:w="2334" w:type="pct"/>
            <w:tcBorders>
              <w:top w:val="nil"/>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rPr>
                <w:rFonts w:cstheme="minorHAnsi"/>
                <w:color w:val="000000"/>
                <w:sz w:val="18"/>
                <w:szCs w:val="18"/>
              </w:rPr>
            </w:pPr>
            <w:r w:rsidRPr="00374785">
              <w:rPr>
                <w:rFonts w:cstheme="minorHAnsi"/>
                <w:color w:val="000000"/>
                <w:sz w:val="18"/>
                <w:szCs w:val="18"/>
              </w:rPr>
              <w:t>Mixed species temperate, Geometry narrow, Stocking &gt;1,500, Prop tree &gt;=0.75</w:t>
            </w:r>
          </w:p>
        </w:tc>
      </w:tr>
      <w:tr w:rsidR="00F8769A" w:rsidRPr="00374785" w:rsidTr="00F8769A">
        <w:trPr>
          <w:trHeight w:val="305"/>
        </w:trPr>
        <w:tc>
          <w:tcPr>
            <w:tcW w:w="599" w:type="pct"/>
            <w:vMerge/>
            <w:tcBorders>
              <w:left w:val="single" w:sz="4" w:space="0" w:color="auto"/>
              <w:right w:val="single" w:sz="4" w:space="0" w:color="auto"/>
            </w:tcBorders>
          </w:tcPr>
          <w:p w:rsidR="00F8769A" w:rsidRPr="00374785" w:rsidRDefault="00F8769A" w:rsidP="007A734A">
            <w:pPr>
              <w:rPr>
                <w:rFonts w:cstheme="minorHAnsi"/>
                <w:color w:val="000000"/>
                <w:sz w:val="18"/>
                <w:szCs w:val="18"/>
              </w:rPr>
            </w:pPr>
          </w:p>
        </w:tc>
        <w:tc>
          <w:tcPr>
            <w:tcW w:w="680" w:type="pct"/>
            <w:vMerge/>
            <w:tcBorders>
              <w:top w:val="nil"/>
              <w:left w:val="single" w:sz="4" w:space="0" w:color="auto"/>
              <w:bottom w:val="single" w:sz="4" w:space="0" w:color="auto"/>
              <w:right w:val="single" w:sz="4" w:space="0" w:color="auto"/>
            </w:tcBorders>
            <w:vAlign w:val="center"/>
            <w:hideMark/>
          </w:tcPr>
          <w:p w:rsidR="00F8769A" w:rsidRPr="00374785" w:rsidRDefault="00F8769A" w:rsidP="007A734A">
            <w:pPr>
              <w:rPr>
                <w:rFonts w:cstheme="minorHAnsi"/>
                <w:color w:val="000000"/>
                <w:sz w:val="18"/>
                <w:szCs w:val="18"/>
              </w:rPr>
            </w:pPr>
          </w:p>
        </w:tc>
        <w:tc>
          <w:tcPr>
            <w:tcW w:w="506" w:type="pct"/>
            <w:vMerge/>
            <w:tcBorders>
              <w:left w:val="nil"/>
              <w:right w:val="single" w:sz="4" w:space="0" w:color="auto"/>
            </w:tcBorders>
          </w:tcPr>
          <w:p w:rsidR="00F8769A" w:rsidRPr="00374785" w:rsidRDefault="00F8769A" w:rsidP="007A734A">
            <w:pPr>
              <w:rPr>
                <w:rFonts w:cstheme="minorHAns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tcPr>
          <w:p w:rsidR="00F8769A" w:rsidRPr="00374785" w:rsidRDefault="00F8769A" w:rsidP="007A734A">
            <w:pPr>
              <w:rPr>
                <w:rFonts w:cstheme="minorHAnsi"/>
                <w:color w:val="000000"/>
                <w:sz w:val="18"/>
                <w:szCs w:val="18"/>
              </w:rPr>
            </w:pPr>
            <w:r w:rsidRPr="00374785">
              <w:rPr>
                <w:rFonts w:cstheme="minorHAnsi"/>
                <w:color w:val="000000"/>
                <w:sz w:val="18"/>
                <w:szCs w:val="18"/>
              </w:rPr>
              <w:t>Tree Proportion &gt;= 0.75</w:t>
            </w:r>
          </w:p>
        </w:tc>
        <w:tc>
          <w:tcPr>
            <w:tcW w:w="2334" w:type="pct"/>
            <w:tcBorders>
              <w:top w:val="nil"/>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rPr>
                <w:rFonts w:cstheme="minorHAnsi"/>
                <w:color w:val="000000"/>
                <w:sz w:val="18"/>
                <w:szCs w:val="18"/>
              </w:rPr>
            </w:pPr>
            <w:r w:rsidRPr="00374785">
              <w:rPr>
                <w:rFonts w:cstheme="minorHAnsi"/>
                <w:color w:val="000000"/>
                <w:sz w:val="18"/>
                <w:szCs w:val="18"/>
              </w:rPr>
              <w:t>Mixed species temperate, Geometry narrow, Stocking &lt;1,500, Prop tree &gt;=0.75</w:t>
            </w:r>
          </w:p>
        </w:tc>
      </w:tr>
      <w:tr w:rsidR="00F8769A" w:rsidRPr="00374785" w:rsidTr="00F8769A">
        <w:trPr>
          <w:trHeight w:val="305"/>
        </w:trPr>
        <w:tc>
          <w:tcPr>
            <w:tcW w:w="599" w:type="pct"/>
            <w:vMerge/>
            <w:tcBorders>
              <w:left w:val="single" w:sz="4" w:space="0" w:color="auto"/>
              <w:right w:val="single" w:sz="4" w:space="0" w:color="auto"/>
            </w:tcBorders>
          </w:tcPr>
          <w:p w:rsidR="00F8769A" w:rsidRPr="00374785" w:rsidRDefault="00F8769A" w:rsidP="007A734A">
            <w:pPr>
              <w:rPr>
                <w:rFonts w:cstheme="minorHAnsi"/>
                <w:color w:val="000000"/>
                <w:sz w:val="18"/>
                <w:szCs w:val="18"/>
              </w:rPr>
            </w:pPr>
          </w:p>
        </w:tc>
        <w:tc>
          <w:tcPr>
            <w:tcW w:w="680" w:type="pct"/>
            <w:vMerge/>
            <w:tcBorders>
              <w:top w:val="nil"/>
              <w:left w:val="single" w:sz="4" w:space="0" w:color="auto"/>
              <w:bottom w:val="single" w:sz="4" w:space="0" w:color="auto"/>
              <w:right w:val="single" w:sz="4" w:space="0" w:color="auto"/>
            </w:tcBorders>
            <w:vAlign w:val="center"/>
            <w:hideMark/>
          </w:tcPr>
          <w:p w:rsidR="00F8769A" w:rsidRPr="00374785" w:rsidRDefault="00F8769A" w:rsidP="007A734A">
            <w:pPr>
              <w:rPr>
                <w:rFonts w:cstheme="minorHAnsi"/>
                <w:color w:val="000000"/>
                <w:sz w:val="18"/>
                <w:szCs w:val="18"/>
              </w:rPr>
            </w:pPr>
          </w:p>
        </w:tc>
        <w:tc>
          <w:tcPr>
            <w:tcW w:w="506" w:type="pct"/>
            <w:vMerge/>
            <w:tcBorders>
              <w:left w:val="nil"/>
              <w:right w:val="single" w:sz="4" w:space="0" w:color="auto"/>
            </w:tcBorders>
          </w:tcPr>
          <w:p w:rsidR="00F8769A" w:rsidRPr="00374785" w:rsidRDefault="00F8769A" w:rsidP="007A734A">
            <w:pPr>
              <w:rPr>
                <w:rFonts w:cstheme="minorHAns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tcPr>
          <w:p w:rsidR="00F8769A" w:rsidRPr="00374785" w:rsidRDefault="00F8769A" w:rsidP="007A734A">
            <w:pPr>
              <w:rPr>
                <w:rFonts w:cstheme="minorHAnsi"/>
                <w:color w:val="000000"/>
                <w:sz w:val="18"/>
                <w:szCs w:val="18"/>
              </w:rPr>
            </w:pPr>
            <w:r w:rsidRPr="00374785">
              <w:rPr>
                <w:rFonts w:cstheme="minorHAnsi"/>
                <w:color w:val="000000"/>
                <w:sz w:val="18"/>
                <w:szCs w:val="18"/>
              </w:rPr>
              <w:t>Stocking &gt; 1500 stems/ha</w:t>
            </w:r>
          </w:p>
        </w:tc>
        <w:tc>
          <w:tcPr>
            <w:tcW w:w="2334" w:type="pct"/>
            <w:tcBorders>
              <w:top w:val="nil"/>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rPr>
                <w:rFonts w:cstheme="minorHAnsi"/>
                <w:color w:val="000000"/>
                <w:sz w:val="18"/>
                <w:szCs w:val="18"/>
              </w:rPr>
            </w:pPr>
            <w:r w:rsidRPr="00374785">
              <w:rPr>
                <w:rFonts w:cstheme="minorHAnsi"/>
                <w:color w:val="000000"/>
                <w:sz w:val="18"/>
                <w:szCs w:val="18"/>
              </w:rPr>
              <w:t>Mixed species temperate, Geometry narrow, Stocking &gt;1,500, Prop tree &lt;0.75</w:t>
            </w:r>
          </w:p>
        </w:tc>
      </w:tr>
      <w:tr w:rsidR="00F8769A" w:rsidRPr="00374785" w:rsidTr="00F8769A">
        <w:trPr>
          <w:trHeight w:val="305"/>
        </w:trPr>
        <w:tc>
          <w:tcPr>
            <w:tcW w:w="599" w:type="pct"/>
            <w:vMerge/>
            <w:tcBorders>
              <w:left w:val="single" w:sz="4" w:space="0" w:color="auto"/>
              <w:right w:val="single" w:sz="4" w:space="0" w:color="auto"/>
            </w:tcBorders>
          </w:tcPr>
          <w:p w:rsidR="00F8769A" w:rsidRPr="00374785" w:rsidRDefault="00F8769A" w:rsidP="007A734A">
            <w:pPr>
              <w:rPr>
                <w:rFonts w:cstheme="minorHAnsi"/>
                <w:color w:val="000000"/>
                <w:sz w:val="18"/>
                <w:szCs w:val="18"/>
              </w:rPr>
            </w:pPr>
          </w:p>
        </w:tc>
        <w:tc>
          <w:tcPr>
            <w:tcW w:w="680" w:type="pct"/>
            <w:vMerge/>
            <w:tcBorders>
              <w:top w:val="nil"/>
              <w:left w:val="single" w:sz="4" w:space="0" w:color="auto"/>
              <w:bottom w:val="single" w:sz="4" w:space="0" w:color="auto"/>
              <w:right w:val="single" w:sz="4" w:space="0" w:color="auto"/>
            </w:tcBorders>
            <w:vAlign w:val="center"/>
            <w:hideMark/>
          </w:tcPr>
          <w:p w:rsidR="00F8769A" w:rsidRPr="00374785" w:rsidRDefault="00F8769A" w:rsidP="007A734A">
            <w:pPr>
              <w:rPr>
                <w:rFonts w:cstheme="minorHAnsi"/>
                <w:color w:val="000000"/>
                <w:sz w:val="18"/>
                <w:szCs w:val="18"/>
              </w:rPr>
            </w:pPr>
          </w:p>
        </w:tc>
        <w:tc>
          <w:tcPr>
            <w:tcW w:w="506" w:type="pct"/>
            <w:vMerge/>
            <w:tcBorders>
              <w:left w:val="nil"/>
              <w:bottom w:val="single" w:sz="4" w:space="0" w:color="auto"/>
              <w:right w:val="single" w:sz="4" w:space="0" w:color="auto"/>
            </w:tcBorders>
          </w:tcPr>
          <w:p w:rsidR="00F8769A" w:rsidRPr="00374785" w:rsidRDefault="00F8769A" w:rsidP="007A734A">
            <w:pPr>
              <w:rPr>
                <w:rFonts w:cstheme="minorHAns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tcPr>
          <w:p w:rsidR="00F8769A" w:rsidRPr="00374785" w:rsidRDefault="00F8769A" w:rsidP="007A734A">
            <w:pPr>
              <w:rPr>
                <w:rFonts w:cstheme="minorHAnsi"/>
                <w:color w:val="000000"/>
                <w:sz w:val="18"/>
                <w:szCs w:val="18"/>
              </w:rPr>
            </w:pPr>
            <w:r w:rsidRPr="00374785">
              <w:rPr>
                <w:rFonts w:cstheme="minorHAnsi"/>
                <w:color w:val="000000"/>
                <w:sz w:val="18"/>
                <w:szCs w:val="18"/>
              </w:rPr>
              <w:t>No sampling required</w:t>
            </w:r>
          </w:p>
        </w:tc>
        <w:tc>
          <w:tcPr>
            <w:tcW w:w="2334" w:type="pct"/>
            <w:tcBorders>
              <w:top w:val="nil"/>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rPr>
                <w:rFonts w:cstheme="minorHAnsi"/>
                <w:color w:val="000000"/>
                <w:sz w:val="18"/>
                <w:szCs w:val="18"/>
              </w:rPr>
            </w:pPr>
            <w:r w:rsidRPr="00374785">
              <w:rPr>
                <w:rFonts w:cstheme="minorHAnsi"/>
                <w:color w:val="000000"/>
                <w:sz w:val="18"/>
                <w:szCs w:val="18"/>
              </w:rPr>
              <w:t>Mixed species temperate, Geometry narrow, Stocking &lt;1,500, Prop tree &lt;0.75</w:t>
            </w:r>
          </w:p>
        </w:tc>
      </w:tr>
      <w:tr w:rsidR="00F8769A" w:rsidRPr="00374785" w:rsidTr="00F8769A">
        <w:trPr>
          <w:trHeight w:val="305"/>
        </w:trPr>
        <w:tc>
          <w:tcPr>
            <w:tcW w:w="599" w:type="pct"/>
            <w:vMerge/>
            <w:tcBorders>
              <w:left w:val="single" w:sz="4" w:space="0" w:color="auto"/>
              <w:right w:val="single" w:sz="4" w:space="0" w:color="auto"/>
            </w:tcBorders>
          </w:tcPr>
          <w:p w:rsidR="00F8769A" w:rsidRPr="00374785" w:rsidRDefault="00F8769A" w:rsidP="007A734A">
            <w:pPr>
              <w:rPr>
                <w:rFonts w:cstheme="minorHAnsi"/>
                <w:color w:val="000000"/>
                <w:sz w:val="18"/>
                <w:szCs w:val="18"/>
              </w:rPr>
            </w:pPr>
          </w:p>
        </w:tc>
        <w:tc>
          <w:tcPr>
            <w:tcW w:w="680" w:type="pct"/>
            <w:vMerge/>
            <w:tcBorders>
              <w:top w:val="nil"/>
              <w:left w:val="single" w:sz="4" w:space="0" w:color="auto"/>
              <w:bottom w:val="single" w:sz="4" w:space="0" w:color="auto"/>
              <w:right w:val="single" w:sz="4" w:space="0" w:color="auto"/>
            </w:tcBorders>
            <w:vAlign w:val="center"/>
            <w:hideMark/>
          </w:tcPr>
          <w:p w:rsidR="00F8769A" w:rsidRPr="00374785" w:rsidRDefault="00F8769A" w:rsidP="007A734A">
            <w:pPr>
              <w:rPr>
                <w:rFonts w:cstheme="minorHAnsi"/>
                <w:color w:val="000000"/>
                <w:sz w:val="18"/>
                <w:szCs w:val="18"/>
              </w:rPr>
            </w:pPr>
          </w:p>
        </w:tc>
        <w:tc>
          <w:tcPr>
            <w:tcW w:w="506" w:type="pct"/>
            <w:vMerge w:val="restart"/>
            <w:tcBorders>
              <w:top w:val="single" w:sz="4" w:space="0" w:color="auto"/>
              <w:left w:val="nil"/>
              <w:right w:val="single" w:sz="4" w:space="0" w:color="auto"/>
            </w:tcBorders>
            <w:vAlign w:val="center"/>
          </w:tcPr>
          <w:p w:rsidR="00F8769A" w:rsidRPr="00374785" w:rsidRDefault="00F8769A" w:rsidP="007A734A">
            <w:pPr>
              <w:jc w:val="center"/>
              <w:rPr>
                <w:rFonts w:cstheme="minorHAnsi"/>
                <w:color w:val="000000"/>
                <w:sz w:val="18"/>
                <w:szCs w:val="18"/>
              </w:rPr>
            </w:pPr>
            <w:r w:rsidRPr="00374785">
              <w:rPr>
                <w:rFonts w:cstheme="minorHAnsi"/>
                <w:color w:val="000000"/>
                <w:sz w:val="18"/>
                <w:szCs w:val="18"/>
              </w:rPr>
              <w:t>Wide linear</w:t>
            </w:r>
          </w:p>
        </w:tc>
        <w:tc>
          <w:tcPr>
            <w:tcW w:w="881" w:type="pct"/>
            <w:tcBorders>
              <w:top w:val="single" w:sz="4" w:space="0" w:color="auto"/>
              <w:left w:val="single" w:sz="4" w:space="0" w:color="auto"/>
              <w:bottom w:val="single" w:sz="4" w:space="0" w:color="auto"/>
              <w:right w:val="single" w:sz="4" w:space="0" w:color="auto"/>
            </w:tcBorders>
          </w:tcPr>
          <w:p w:rsidR="00F8769A" w:rsidRPr="00374785" w:rsidRDefault="00F8769A" w:rsidP="007A734A">
            <w:pPr>
              <w:rPr>
                <w:rFonts w:cstheme="minorHAnsi"/>
                <w:color w:val="000000"/>
                <w:sz w:val="18"/>
                <w:szCs w:val="18"/>
              </w:rPr>
            </w:pPr>
            <w:r w:rsidRPr="00374785">
              <w:rPr>
                <w:rFonts w:cstheme="minorHAnsi"/>
                <w:color w:val="000000"/>
                <w:sz w:val="18"/>
                <w:szCs w:val="18"/>
              </w:rPr>
              <w:t>Stocking &gt; 1500 stems/ha  and Tree Proportion &gt;= 0.75</w:t>
            </w:r>
          </w:p>
        </w:tc>
        <w:tc>
          <w:tcPr>
            <w:tcW w:w="2334" w:type="pct"/>
            <w:tcBorders>
              <w:top w:val="nil"/>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rPr>
                <w:rFonts w:cstheme="minorHAnsi"/>
                <w:color w:val="000000"/>
                <w:sz w:val="18"/>
                <w:szCs w:val="18"/>
              </w:rPr>
            </w:pPr>
            <w:r w:rsidRPr="00374785">
              <w:rPr>
                <w:rFonts w:cstheme="minorHAnsi"/>
                <w:color w:val="000000"/>
                <w:sz w:val="18"/>
                <w:szCs w:val="18"/>
              </w:rPr>
              <w:t>Mixed species temperate, Geometry wide, Stocking &gt;1,500, Prop tree &gt;=0.75</w:t>
            </w:r>
          </w:p>
        </w:tc>
      </w:tr>
      <w:tr w:rsidR="00F8769A" w:rsidRPr="00374785" w:rsidTr="00F8769A">
        <w:trPr>
          <w:trHeight w:val="305"/>
        </w:trPr>
        <w:tc>
          <w:tcPr>
            <w:tcW w:w="599" w:type="pct"/>
            <w:vMerge/>
            <w:tcBorders>
              <w:left w:val="single" w:sz="4" w:space="0" w:color="auto"/>
              <w:right w:val="single" w:sz="4" w:space="0" w:color="auto"/>
            </w:tcBorders>
          </w:tcPr>
          <w:p w:rsidR="00F8769A" w:rsidRPr="00374785" w:rsidRDefault="00F8769A" w:rsidP="007A734A">
            <w:pPr>
              <w:rPr>
                <w:rFonts w:cstheme="minorHAnsi"/>
                <w:color w:val="000000"/>
                <w:sz w:val="18"/>
                <w:szCs w:val="18"/>
              </w:rPr>
            </w:pPr>
          </w:p>
        </w:tc>
        <w:tc>
          <w:tcPr>
            <w:tcW w:w="680" w:type="pct"/>
            <w:vMerge/>
            <w:tcBorders>
              <w:top w:val="nil"/>
              <w:left w:val="single" w:sz="4" w:space="0" w:color="auto"/>
              <w:bottom w:val="single" w:sz="4" w:space="0" w:color="auto"/>
              <w:right w:val="single" w:sz="4" w:space="0" w:color="auto"/>
            </w:tcBorders>
            <w:vAlign w:val="center"/>
            <w:hideMark/>
          </w:tcPr>
          <w:p w:rsidR="00F8769A" w:rsidRPr="00374785" w:rsidRDefault="00F8769A" w:rsidP="007A734A">
            <w:pPr>
              <w:rPr>
                <w:rFonts w:cstheme="minorHAnsi"/>
                <w:color w:val="000000"/>
                <w:sz w:val="18"/>
                <w:szCs w:val="18"/>
              </w:rPr>
            </w:pPr>
          </w:p>
        </w:tc>
        <w:tc>
          <w:tcPr>
            <w:tcW w:w="506" w:type="pct"/>
            <w:vMerge/>
            <w:tcBorders>
              <w:left w:val="nil"/>
              <w:right w:val="single" w:sz="4" w:space="0" w:color="auto"/>
            </w:tcBorders>
          </w:tcPr>
          <w:p w:rsidR="00F8769A" w:rsidRPr="00374785" w:rsidRDefault="00F8769A" w:rsidP="007A734A">
            <w:pPr>
              <w:rPr>
                <w:rFonts w:cstheme="minorHAns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tcPr>
          <w:p w:rsidR="00F8769A" w:rsidRPr="00374785" w:rsidRDefault="00F8769A" w:rsidP="007A734A">
            <w:pPr>
              <w:rPr>
                <w:rFonts w:cstheme="minorHAnsi"/>
                <w:color w:val="000000"/>
                <w:sz w:val="18"/>
                <w:szCs w:val="18"/>
              </w:rPr>
            </w:pPr>
            <w:r w:rsidRPr="00374785">
              <w:rPr>
                <w:rFonts w:cstheme="minorHAnsi"/>
                <w:color w:val="000000"/>
                <w:sz w:val="18"/>
                <w:szCs w:val="18"/>
              </w:rPr>
              <w:t>Stocking &gt; 1500 stems/ha</w:t>
            </w:r>
          </w:p>
        </w:tc>
        <w:tc>
          <w:tcPr>
            <w:tcW w:w="2334" w:type="pct"/>
            <w:tcBorders>
              <w:top w:val="nil"/>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rPr>
                <w:rFonts w:cstheme="minorHAnsi"/>
                <w:color w:val="000000"/>
                <w:sz w:val="18"/>
                <w:szCs w:val="18"/>
              </w:rPr>
            </w:pPr>
            <w:r w:rsidRPr="00374785">
              <w:rPr>
                <w:rFonts w:cstheme="minorHAnsi"/>
                <w:color w:val="000000"/>
                <w:sz w:val="18"/>
                <w:szCs w:val="18"/>
              </w:rPr>
              <w:t>Mixed species temperate, Geometry wide, Stocking &gt;1,500, Prop tree &lt;0.75</w:t>
            </w:r>
          </w:p>
        </w:tc>
      </w:tr>
      <w:tr w:rsidR="00F8769A" w:rsidRPr="00374785" w:rsidTr="00F8769A">
        <w:trPr>
          <w:trHeight w:val="305"/>
        </w:trPr>
        <w:tc>
          <w:tcPr>
            <w:tcW w:w="599" w:type="pct"/>
            <w:vMerge/>
            <w:tcBorders>
              <w:left w:val="single" w:sz="4" w:space="0" w:color="auto"/>
              <w:right w:val="single" w:sz="4" w:space="0" w:color="auto"/>
            </w:tcBorders>
          </w:tcPr>
          <w:p w:rsidR="00F8769A" w:rsidRPr="00374785" w:rsidRDefault="00F8769A" w:rsidP="007A734A">
            <w:pPr>
              <w:rPr>
                <w:rFonts w:cstheme="minorHAnsi"/>
                <w:color w:val="000000"/>
                <w:sz w:val="18"/>
                <w:szCs w:val="18"/>
              </w:rPr>
            </w:pPr>
          </w:p>
        </w:tc>
        <w:tc>
          <w:tcPr>
            <w:tcW w:w="680" w:type="pct"/>
            <w:vMerge/>
            <w:tcBorders>
              <w:top w:val="nil"/>
              <w:left w:val="single" w:sz="4" w:space="0" w:color="auto"/>
              <w:bottom w:val="single" w:sz="4" w:space="0" w:color="auto"/>
              <w:right w:val="single" w:sz="4" w:space="0" w:color="auto"/>
            </w:tcBorders>
            <w:vAlign w:val="center"/>
            <w:hideMark/>
          </w:tcPr>
          <w:p w:rsidR="00F8769A" w:rsidRPr="00374785" w:rsidRDefault="00F8769A" w:rsidP="007A734A">
            <w:pPr>
              <w:rPr>
                <w:rFonts w:cstheme="minorHAnsi"/>
                <w:color w:val="000000"/>
                <w:sz w:val="18"/>
                <w:szCs w:val="18"/>
              </w:rPr>
            </w:pPr>
          </w:p>
        </w:tc>
        <w:tc>
          <w:tcPr>
            <w:tcW w:w="506" w:type="pct"/>
            <w:vMerge/>
            <w:tcBorders>
              <w:left w:val="nil"/>
              <w:right w:val="single" w:sz="4" w:space="0" w:color="auto"/>
            </w:tcBorders>
          </w:tcPr>
          <w:p w:rsidR="00F8769A" w:rsidRPr="00374785" w:rsidRDefault="00F8769A" w:rsidP="007A734A">
            <w:pPr>
              <w:rPr>
                <w:rFonts w:cstheme="minorHAns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tcPr>
          <w:p w:rsidR="00F8769A" w:rsidRPr="00374785" w:rsidRDefault="00F8769A" w:rsidP="007A734A">
            <w:pPr>
              <w:rPr>
                <w:rFonts w:cstheme="minorHAnsi"/>
                <w:color w:val="000000"/>
                <w:sz w:val="18"/>
                <w:szCs w:val="18"/>
              </w:rPr>
            </w:pPr>
            <w:r w:rsidRPr="00374785">
              <w:rPr>
                <w:rFonts w:cstheme="minorHAnsi"/>
                <w:color w:val="000000"/>
                <w:sz w:val="18"/>
                <w:szCs w:val="18"/>
              </w:rPr>
              <w:t>Tree Proportion &gt;= 0.75</w:t>
            </w:r>
          </w:p>
        </w:tc>
        <w:tc>
          <w:tcPr>
            <w:tcW w:w="2334" w:type="pct"/>
            <w:tcBorders>
              <w:top w:val="nil"/>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rPr>
                <w:rFonts w:cstheme="minorHAnsi"/>
                <w:color w:val="000000"/>
                <w:sz w:val="18"/>
                <w:szCs w:val="18"/>
              </w:rPr>
            </w:pPr>
            <w:r w:rsidRPr="00374785">
              <w:rPr>
                <w:rFonts w:cstheme="minorHAnsi"/>
                <w:color w:val="000000"/>
                <w:sz w:val="18"/>
                <w:szCs w:val="18"/>
              </w:rPr>
              <w:t>Mixed species temperate, Geometry wide, Stocking &lt;1,500, Prop tree &gt;=0.75</w:t>
            </w:r>
          </w:p>
        </w:tc>
      </w:tr>
      <w:tr w:rsidR="00F8769A" w:rsidRPr="00374785" w:rsidTr="00F8769A">
        <w:trPr>
          <w:trHeight w:val="305"/>
        </w:trPr>
        <w:tc>
          <w:tcPr>
            <w:tcW w:w="599" w:type="pct"/>
            <w:vMerge/>
            <w:tcBorders>
              <w:left w:val="single" w:sz="4" w:space="0" w:color="auto"/>
              <w:right w:val="single" w:sz="4" w:space="0" w:color="auto"/>
            </w:tcBorders>
          </w:tcPr>
          <w:p w:rsidR="00F8769A" w:rsidRPr="00374785" w:rsidRDefault="00F8769A" w:rsidP="007A734A">
            <w:pPr>
              <w:rPr>
                <w:rFonts w:cstheme="minorHAnsi"/>
                <w:color w:val="000000"/>
                <w:sz w:val="18"/>
                <w:szCs w:val="18"/>
              </w:rPr>
            </w:pPr>
          </w:p>
        </w:tc>
        <w:tc>
          <w:tcPr>
            <w:tcW w:w="680" w:type="pct"/>
            <w:vMerge/>
            <w:tcBorders>
              <w:top w:val="nil"/>
              <w:left w:val="single" w:sz="4" w:space="0" w:color="auto"/>
              <w:bottom w:val="single" w:sz="4" w:space="0" w:color="auto"/>
              <w:right w:val="single" w:sz="4" w:space="0" w:color="auto"/>
            </w:tcBorders>
            <w:vAlign w:val="center"/>
            <w:hideMark/>
          </w:tcPr>
          <w:p w:rsidR="00F8769A" w:rsidRPr="00374785" w:rsidRDefault="00F8769A" w:rsidP="007A734A">
            <w:pPr>
              <w:rPr>
                <w:rFonts w:cstheme="minorHAnsi"/>
                <w:color w:val="000000"/>
                <w:sz w:val="18"/>
                <w:szCs w:val="18"/>
              </w:rPr>
            </w:pPr>
          </w:p>
        </w:tc>
        <w:tc>
          <w:tcPr>
            <w:tcW w:w="506" w:type="pct"/>
            <w:vMerge/>
            <w:tcBorders>
              <w:left w:val="nil"/>
              <w:bottom w:val="single" w:sz="4" w:space="0" w:color="auto"/>
              <w:right w:val="single" w:sz="4" w:space="0" w:color="auto"/>
            </w:tcBorders>
          </w:tcPr>
          <w:p w:rsidR="00F8769A" w:rsidRPr="00374785" w:rsidRDefault="00F8769A" w:rsidP="007A734A">
            <w:pPr>
              <w:rPr>
                <w:rFonts w:cstheme="minorHAns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tcPr>
          <w:p w:rsidR="00F8769A" w:rsidRPr="00374785" w:rsidRDefault="00F8769A" w:rsidP="007A734A">
            <w:pPr>
              <w:rPr>
                <w:rFonts w:cstheme="minorHAnsi"/>
                <w:color w:val="000000"/>
                <w:sz w:val="18"/>
                <w:szCs w:val="18"/>
              </w:rPr>
            </w:pPr>
            <w:r w:rsidRPr="00374785">
              <w:rPr>
                <w:rFonts w:cstheme="minorHAnsi"/>
                <w:color w:val="000000"/>
                <w:sz w:val="18"/>
                <w:szCs w:val="18"/>
              </w:rPr>
              <w:t>No sampling required</w:t>
            </w:r>
          </w:p>
        </w:tc>
        <w:tc>
          <w:tcPr>
            <w:tcW w:w="2334" w:type="pct"/>
            <w:tcBorders>
              <w:top w:val="nil"/>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rPr>
                <w:rFonts w:cstheme="minorHAnsi"/>
                <w:color w:val="000000"/>
                <w:sz w:val="18"/>
                <w:szCs w:val="18"/>
              </w:rPr>
            </w:pPr>
            <w:r w:rsidRPr="00374785">
              <w:rPr>
                <w:rFonts w:cstheme="minorHAnsi"/>
                <w:color w:val="000000"/>
                <w:sz w:val="18"/>
                <w:szCs w:val="18"/>
              </w:rPr>
              <w:t>Mixed species temperate, Geometry wide, Stocking &lt;1,500, Prop tree &lt;0.75</w:t>
            </w:r>
          </w:p>
        </w:tc>
      </w:tr>
      <w:tr w:rsidR="00F8769A" w:rsidRPr="00374785" w:rsidTr="00F8769A">
        <w:trPr>
          <w:trHeight w:val="305"/>
        </w:trPr>
        <w:tc>
          <w:tcPr>
            <w:tcW w:w="599" w:type="pct"/>
            <w:vMerge/>
            <w:tcBorders>
              <w:left w:val="single" w:sz="4" w:space="0" w:color="auto"/>
              <w:right w:val="single" w:sz="4" w:space="0" w:color="auto"/>
            </w:tcBorders>
          </w:tcPr>
          <w:p w:rsidR="00F8769A" w:rsidRPr="00374785" w:rsidRDefault="00F8769A" w:rsidP="007A734A">
            <w:pPr>
              <w:rPr>
                <w:rFonts w:cstheme="minorHAnsi"/>
                <w:color w:val="000000"/>
                <w:sz w:val="18"/>
                <w:szCs w:val="18"/>
              </w:rPr>
            </w:pPr>
          </w:p>
        </w:tc>
        <w:tc>
          <w:tcPr>
            <w:tcW w:w="680" w:type="pct"/>
            <w:vMerge/>
            <w:tcBorders>
              <w:top w:val="nil"/>
              <w:left w:val="single" w:sz="4" w:space="0" w:color="auto"/>
              <w:bottom w:val="single" w:sz="4" w:space="0" w:color="auto"/>
              <w:right w:val="single" w:sz="4" w:space="0" w:color="auto"/>
            </w:tcBorders>
            <w:vAlign w:val="center"/>
            <w:hideMark/>
          </w:tcPr>
          <w:p w:rsidR="00F8769A" w:rsidRPr="00374785" w:rsidRDefault="00F8769A" w:rsidP="007A734A">
            <w:pPr>
              <w:rPr>
                <w:rFonts w:cstheme="minorHAnsi"/>
                <w:color w:val="000000"/>
                <w:sz w:val="18"/>
                <w:szCs w:val="18"/>
              </w:rPr>
            </w:pPr>
          </w:p>
        </w:tc>
        <w:tc>
          <w:tcPr>
            <w:tcW w:w="506" w:type="pct"/>
            <w:vMerge w:val="restart"/>
            <w:tcBorders>
              <w:top w:val="single" w:sz="4" w:space="0" w:color="auto"/>
              <w:left w:val="nil"/>
              <w:right w:val="single" w:sz="4" w:space="0" w:color="auto"/>
            </w:tcBorders>
            <w:vAlign w:val="center"/>
          </w:tcPr>
          <w:p w:rsidR="00F8769A" w:rsidRPr="00374785" w:rsidRDefault="00F8769A" w:rsidP="007A734A">
            <w:pPr>
              <w:jc w:val="center"/>
              <w:rPr>
                <w:rFonts w:cstheme="minorHAnsi"/>
                <w:color w:val="000000"/>
                <w:sz w:val="18"/>
                <w:szCs w:val="18"/>
              </w:rPr>
            </w:pPr>
            <w:r w:rsidRPr="00374785">
              <w:rPr>
                <w:rFonts w:cstheme="minorHAnsi"/>
                <w:color w:val="000000"/>
                <w:sz w:val="18"/>
                <w:szCs w:val="18"/>
              </w:rPr>
              <w:t>Block</w:t>
            </w:r>
          </w:p>
        </w:tc>
        <w:tc>
          <w:tcPr>
            <w:tcW w:w="881" w:type="pct"/>
            <w:tcBorders>
              <w:top w:val="single" w:sz="4" w:space="0" w:color="auto"/>
              <w:left w:val="single" w:sz="4" w:space="0" w:color="auto"/>
              <w:bottom w:val="single" w:sz="4" w:space="0" w:color="auto"/>
              <w:right w:val="single" w:sz="4" w:space="0" w:color="auto"/>
            </w:tcBorders>
          </w:tcPr>
          <w:p w:rsidR="00F8769A" w:rsidRPr="00374785" w:rsidRDefault="00F8769A" w:rsidP="007A734A">
            <w:pPr>
              <w:rPr>
                <w:rFonts w:cstheme="minorHAnsi"/>
                <w:color w:val="000000"/>
                <w:sz w:val="18"/>
                <w:szCs w:val="18"/>
              </w:rPr>
            </w:pPr>
            <w:r w:rsidRPr="00374785">
              <w:rPr>
                <w:rFonts w:cstheme="minorHAnsi"/>
                <w:color w:val="000000"/>
                <w:sz w:val="18"/>
                <w:szCs w:val="18"/>
              </w:rPr>
              <w:t>Stocking 500 - 1500 stems/ha  and Tree Proportion &gt;= 0.75</w:t>
            </w:r>
          </w:p>
        </w:tc>
        <w:tc>
          <w:tcPr>
            <w:tcW w:w="2334" w:type="pct"/>
            <w:tcBorders>
              <w:top w:val="nil"/>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rPr>
                <w:rFonts w:cstheme="minorHAnsi"/>
                <w:color w:val="000000"/>
                <w:sz w:val="18"/>
                <w:szCs w:val="18"/>
              </w:rPr>
            </w:pPr>
            <w:r w:rsidRPr="00374785">
              <w:rPr>
                <w:rFonts w:cstheme="minorHAnsi"/>
                <w:color w:val="000000"/>
                <w:sz w:val="18"/>
                <w:szCs w:val="18"/>
              </w:rPr>
              <w:t>Mixed species temperate, Geometry block, Stocking 500 - 1,500, Prop tree &gt;=0.75</w:t>
            </w:r>
          </w:p>
        </w:tc>
      </w:tr>
      <w:tr w:rsidR="00F8769A" w:rsidRPr="00374785" w:rsidTr="00F8769A">
        <w:trPr>
          <w:trHeight w:val="305"/>
        </w:trPr>
        <w:tc>
          <w:tcPr>
            <w:tcW w:w="599" w:type="pct"/>
            <w:vMerge/>
            <w:tcBorders>
              <w:left w:val="single" w:sz="4" w:space="0" w:color="auto"/>
              <w:right w:val="single" w:sz="4" w:space="0" w:color="auto"/>
            </w:tcBorders>
          </w:tcPr>
          <w:p w:rsidR="00F8769A" w:rsidRPr="00374785" w:rsidRDefault="00F8769A" w:rsidP="007A734A">
            <w:pPr>
              <w:rPr>
                <w:rFonts w:cstheme="minorHAnsi"/>
                <w:color w:val="000000"/>
                <w:sz w:val="18"/>
                <w:szCs w:val="18"/>
              </w:rPr>
            </w:pPr>
          </w:p>
        </w:tc>
        <w:tc>
          <w:tcPr>
            <w:tcW w:w="680" w:type="pct"/>
            <w:vMerge/>
            <w:tcBorders>
              <w:top w:val="nil"/>
              <w:left w:val="single" w:sz="4" w:space="0" w:color="auto"/>
              <w:bottom w:val="single" w:sz="4" w:space="0" w:color="auto"/>
              <w:right w:val="single" w:sz="4" w:space="0" w:color="auto"/>
            </w:tcBorders>
            <w:vAlign w:val="center"/>
            <w:hideMark/>
          </w:tcPr>
          <w:p w:rsidR="00F8769A" w:rsidRPr="00374785" w:rsidRDefault="00F8769A" w:rsidP="007A734A">
            <w:pPr>
              <w:rPr>
                <w:rFonts w:cstheme="minorHAnsi"/>
                <w:color w:val="000000"/>
                <w:sz w:val="18"/>
                <w:szCs w:val="18"/>
              </w:rPr>
            </w:pPr>
          </w:p>
        </w:tc>
        <w:tc>
          <w:tcPr>
            <w:tcW w:w="506" w:type="pct"/>
            <w:vMerge/>
            <w:tcBorders>
              <w:left w:val="nil"/>
              <w:right w:val="single" w:sz="4" w:space="0" w:color="auto"/>
            </w:tcBorders>
            <w:vAlign w:val="center"/>
          </w:tcPr>
          <w:p w:rsidR="00F8769A" w:rsidRPr="00374785" w:rsidRDefault="00F8769A" w:rsidP="007A734A">
            <w:pPr>
              <w:jc w:val="center"/>
              <w:rPr>
                <w:rFonts w:cstheme="minorHAns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tcPr>
          <w:p w:rsidR="00F8769A" w:rsidRPr="00374785" w:rsidRDefault="00F8769A" w:rsidP="007A734A">
            <w:pPr>
              <w:rPr>
                <w:rFonts w:cstheme="minorHAnsi"/>
                <w:color w:val="000000"/>
                <w:sz w:val="18"/>
                <w:szCs w:val="18"/>
              </w:rPr>
            </w:pPr>
            <w:r w:rsidRPr="00374785">
              <w:rPr>
                <w:rFonts w:cstheme="minorHAnsi"/>
                <w:color w:val="000000"/>
                <w:sz w:val="18"/>
                <w:szCs w:val="18"/>
              </w:rPr>
              <w:t>Stocking &gt; 1500 stems/ha</w:t>
            </w:r>
          </w:p>
        </w:tc>
        <w:tc>
          <w:tcPr>
            <w:tcW w:w="2334" w:type="pct"/>
            <w:tcBorders>
              <w:top w:val="nil"/>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rPr>
                <w:rFonts w:cstheme="minorHAnsi"/>
                <w:color w:val="000000"/>
                <w:sz w:val="18"/>
                <w:szCs w:val="18"/>
              </w:rPr>
            </w:pPr>
            <w:r w:rsidRPr="00374785">
              <w:rPr>
                <w:rFonts w:cstheme="minorHAnsi"/>
                <w:color w:val="000000"/>
                <w:sz w:val="18"/>
                <w:szCs w:val="18"/>
              </w:rPr>
              <w:t>Mixed species temperate, Geometry block, Stocking &gt;1,500</w:t>
            </w:r>
          </w:p>
        </w:tc>
      </w:tr>
      <w:tr w:rsidR="00F8769A" w:rsidRPr="00374785" w:rsidTr="00F8769A">
        <w:trPr>
          <w:trHeight w:val="305"/>
        </w:trPr>
        <w:tc>
          <w:tcPr>
            <w:tcW w:w="599" w:type="pct"/>
            <w:vMerge/>
            <w:tcBorders>
              <w:left w:val="single" w:sz="4" w:space="0" w:color="auto"/>
              <w:right w:val="single" w:sz="4" w:space="0" w:color="auto"/>
            </w:tcBorders>
          </w:tcPr>
          <w:p w:rsidR="00F8769A" w:rsidRPr="00374785" w:rsidRDefault="00F8769A" w:rsidP="007A734A">
            <w:pPr>
              <w:rPr>
                <w:rFonts w:cstheme="minorHAnsi"/>
                <w:color w:val="000000"/>
                <w:sz w:val="18"/>
                <w:szCs w:val="18"/>
              </w:rPr>
            </w:pPr>
          </w:p>
        </w:tc>
        <w:tc>
          <w:tcPr>
            <w:tcW w:w="680" w:type="pct"/>
            <w:vMerge/>
            <w:tcBorders>
              <w:top w:val="nil"/>
              <w:left w:val="single" w:sz="4" w:space="0" w:color="auto"/>
              <w:bottom w:val="single" w:sz="4" w:space="0" w:color="auto"/>
              <w:right w:val="single" w:sz="4" w:space="0" w:color="auto"/>
            </w:tcBorders>
            <w:vAlign w:val="center"/>
            <w:hideMark/>
          </w:tcPr>
          <w:p w:rsidR="00F8769A" w:rsidRPr="00374785" w:rsidRDefault="00F8769A" w:rsidP="007A734A">
            <w:pPr>
              <w:rPr>
                <w:rFonts w:cstheme="minorHAnsi"/>
                <w:color w:val="000000"/>
                <w:sz w:val="18"/>
                <w:szCs w:val="18"/>
              </w:rPr>
            </w:pPr>
          </w:p>
        </w:tc>
        <w:tc>
          <w:tcPr>
            <w:tcW w:w="506" w:type="pct"/>
            <w:vMerge/>
            <w:tcBorders>
              <w:left w:val="nil"/>
              <w:right w:val="single" w:sz="4" w:space="0" w:color="auto"/>
            </w:tcBorders>
            <w:vAlign w:val="center"/>
          </w:tcPr>
          <w:p w:rsidR="00F8769A" w:rsidRPr="00374785" w:rsidRDefault="00F8769A" w:rsidP="007A734A">
            <w:pPr>
              <w:jc w:val="center"/>
              <w:rPr>
                <w:rFonts w:cstheme="minorHAns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tcPr>
          <w:p w:rsidR="00F8769A" w:rsidRPr="00374785" w:rsidRDefault="00F8769A" w:rsidP="007A734A">
            <w:pPr>
              <w:rPr>
                <w:rFonts w:cstheme="minorHAnsi"/>
                <w:color w:val="000000"/>
                <w:sz w:val="18"/>
                <w:szCs w:val="18"/>
              </w:rPr>
            </w:pPr>
            <w:r w:rsidRPr="00374785">
              <w:rPr>
                <w:rFonts w:cstheme="minorHAnsi"/>
                <w:color w:val="000000"/>
                <w:sz w:val="18"/>
                <w:szCs w:val="18"/>
              </w:rPr>
              <w:t>Stocking 500 - 1500 stems/ha</w:t>
            </w:r>
          </w:p>
        </w:tc>
        <w:tc>
          <w:tcPr>
            <w:tcW w:w="2334" w:type="pct"/>
            <w:tcBorders>
              <w:top w:val="nil"/>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rPr>
                <w:rFonts w:cstheme="minorHAnsi"/>
                <w:color w:val="000000"/>
                <w:sz w:val="18"/>
                <w:szCs w:val="18"/>
              </w:rPr>
            </w:pPr>
            <w:r w:rsidRPr="00374785">
              <w:rPr>
                <w:rFonts w:cstheme="minorHAnsi"/>
                <w:color w:val="000000"/>
                <w:sz w:val="18"/>
                <w:szCs w:val="18"/>
              </w:rPr>
              <w:t>Mixed species temperate, Geometry block, Stocking 500 - 1,500, Prop tree &lt;0.75</w:t>
            </w:r>
          </w:p>
        </w:tc>
      </w:tr>
      <w:tr w:rsidR="00F8769A" w:rsidRPr="00374785" w:rsidTr="00F8769A">
        <w:trPr>
          <w:trHeight w:val="305"/>
        </w:trPr>
        <w:tc>
          <w:tcPr>
            <w:tcW w:w="599" w:type="pct"/>
            <w:vMerge/>
            <w:tcBorders>
              <w:left w:val="single" w:sz="4" w:space="0" w:color="auto"/>
              <w:right w:val="single" w:sz="4" w:space="0" w:color="auto"/>
            </w:tcBorders>
          </w:tcPr>
          <w:p w:rsidR="00F8769A" w:rsidRPr="00374785" w:rsidRDefault="00F8769A" w:rsidP="007A734A">
            <w:pPr>
              <w:rPr>
                <w:rFonts w:cstheme="minorHAnsi"/>
                <w:color w:val="000000"/>
                <w:sz w:val="18"/>
                <w:szCs w:val="18"/>
              </w:rPr>
            </w:pPr>
          </w:p>
        </w:tc>
        <w:tc>
          <w:tcPr>
            <w:tcW w:w="680" w:type="pct"/>
            <w:vMerge/>
            <w:tcBorders>
              <w:top w:val="nil"/>
              <w:left w:val="single" w:sz="4" w:space="0" w:color="auto"/>
              <w:bottom w:val="single" w:sz="4" w:space="0" w:color="auto"/>
              <w:right w:val="single" w:sz="4" w:space="0" w:color="auto"/>
            </w:tcBorders>
            <w:vAlign w:val="center"/>
            <w:hideMark/>
          </w:tcPr>
          <w:p w:rsidR="00F8769A" w:rsidRPr="00374785" w:rsidRDefault="00F8769A" w:rsidP="007A734A">
            <w:pPr>
              <w:rPr>
                <w:rFonts w:cstheme="minorHAnsi"/>
                <w:color w:val="000000"/>
                <w:sz w:val="18"/>
                <w:szCs w:val="18"/>
              </w:rPr>
            </w:pPr>
          </w:p>
        </w:tc>
        <w:tc>
          <w:tcPr>
            <w:tcW w:w="506" w:type="pct"/>
            <w:vMerge/>
            <w:tcBorders>
              <w:left w:val="nil"/>
              <w:right w:val="single" w:sz="4" w:space="0" w:color="auto"/>
            </w:tcBorders>
            <w:vAlign w:val="center"/>
          </w:tcPr>
          <w:p w:rsidR="00F8769A" w:rsidRPr="00374785" w:rsidRDefault="00F8769A" w:rsidP="007A734A">
            <w:pPr>
              <w:jc w:val="center"/>
              <w:rPr>
                <w:rFonts w:cstheme="minorHAns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tcPr>
          <w:p w:rsidR="00F8769A" w:rsidRPr="00374785" w:rsidRDefault="00F8769A" w:rsidP="007A734A">
            <w:pPr>
              <w:rPr>
                <w:rFonts w:cstheme="minorHAnsi"/>
                <w:color w:val="000000"/>
                <w:sz w:val="18"/>
                <w:szCs w:val="18"/>
              </w:rPr>
            </w:pPr>
            <w:r w:rsidRPr="00374785">
              <w:rPr>
                <w:rFonts w:cstheme="minorHAnsi"/>
                <w:color w:val="000000"/>
                <w:sz w:val="18"/>
                <w:szCs w:val="18"/>
              </w:rPr>
              <w:t>Tree Proportion &gt;= 0.75</w:t>
            </w:r>
          </w:p>
        </w:tc>
        <w:tc>
          <w:tcPr>
            <w:tcW w:w="2334" w:type="pct"/>
            <w:tcBorders>
              <w:top w:val="nil"/>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rPr>
                <w:rFonts w:cstheme="minorHAnsi"/>
                <w:color w:val="000000"/>
                <w:sz w:val="18"/>
                <w:szCs w:val="18"/>
              </w:rPr>
            </w:pPr>
            <w:r w:rsidRPr="00374785">
              <w:rPr>
                <w:rFonts w:cstheme="minorHAnsi"/>
                <w:color w:val="000000"/>
                <w:sz w:val="18"/>
                <w:szCs w:val="18"/>
              </w:rPr>
              <w:t>Mixed species temperate, Geometry block, Stocking &lt;500, Prop tree &gt;=0.75</w:t>
            </w:r>
          </w:p>
        </w:tc>
      </w:tr>
      <w:tr w:rsidR="00F8769A" w:rsidRPr="00374785" w:rsidTr="00F8769A">
        <w:trPr>
          <w:trHeight w:val="305"/>
        </w:trPr>
        <w:tc>
          <w:tcPr>
            <w:tcW w:w="599" w:type="pct"/>
            <w:vMerge/>
            <w:tcBorders>
              <w:left w:val="single" w:sz="4" w:space="0" w:color="auto"/>
              <w:bottom w:val="single" w:sz="4" w:space="0" w:color="auto"/>
              <w:right w:val="single" w:sz="4" w:space="0" w:color="auto"/>
            </w:tcBorders>
          </w:tcPr>
          <w:p w:rsidR="00F8769A" w:rsidRPr="00374785" w:rsidRDefault="00F8769A" w:rsidP="007A734A">
            <w:pPr>
              <w:rPr>
                <w:rFonts w:cstheme="minorHAnsi"/>
                <w:color w:val="000000"/>
                <w:sz w:val="18"/>
                <w:szCs w:val="18"/>
              </w:rPr>
            </w:pPr>
          </w:p>
        </w:tc>
        <w:tc>
          <w:tcPr>
            <w:tcW w:w="680" w:type="pct"/>
            <w:vMerge/>
            <w:tcBorders>
              <w:top w:val="nil"/>
              <w:left w:val="single" w:sz="4" w:space="0" w:color="auto"/>
              <w:bottom w:val="single" w:sz="4" w:space="0" w:color="auto"/>
              <w:right w:val="single" w:sz="4" w:space="0" w:color="auto"/>
            </w:tcBorders>
            <w:vAlign w:val="center"/>
            <w:hideMark/>
          </w:tcPr>
          <w:p w:rsidR="00F8769A" w:rsidRPr="00374785" w:rsidRDefault="00F8769A" w:rsidP="007A734A">
            <w:pPr>
              <w:rPr>
                <w:rFonts w:cstheme="minorHAnsi"/>
                <w:color w:val="000000"/>
                <w:sz w:val="18"/>
                <w:szCs w:val="18"/>
              </w:rPr>
            </w:pPr>
          </w:p>
        </w:tc>
        <w:tc>
          <w:tcPr>
            <w:tcW w:w="506" w:type="pct"/>
            <w:vMerge/>
            <w:tcBorders>
              <w:left w:val="nil"/>
              <w:bottom w:val="single" w:sz="4" w:space="0" w:color="auto"/>
              <w:right w:val="single" w:sz="4" w:space="0" w:color="auto"/>
            </w:tcBorders>
            <w:vAlign w:val="center"/>
          </w:tcPr>
          <w:p w:rsidR="00F8769A" w:rsidRPr="00374785" w:rsidRDefault="00F8769A" w:rsidP="007A734A">
            <w:pPr>
              <w:jc w:val="center"/>
              <w:rPr>
                <w:rFonts w:cstheme="minorHAns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tcPr>
          <w:p w:rsidR="00F8769A" w:rsidRPr="00374785" w:rsidRDefault="00F8769A" w:rsidP="007A734A">
            <w:pPr>
              <w:rPr>
                <w:rFonts w:cstheme="minorHAnsi"/>
                <w:color w:val="000000"/>
                <w:sz w:val="18"/>
                <w:szCs w:val="18"/>
              </w:rPr>
            </w:pPr>
            <w:r w:rsidRPr="00374785">
              <w:rPr>
                <w:rFonts w:cstheme="minorHAnsi"/>
                <w:color w:val="000000"/>
                <w:sz w:val="18"/>
                <w:szCs w:val="18"/>
              </w:rPr>
              <w:t>No sampling required</w:t>
            </w:r>
          </w:p>
        </w:tc>
        <w:tc>
          <w:tcPr>
            <w:tcW w:w="2334" w:type="pct"/>
            <w:tcBorders>
              <w:top w:val="nil"/>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rPr>
                <w:rFonts w:cstheme="minorHAnsi"/>
                <w:color w:val="000000"/>
                <w:sz w:val="18"/>
                <w:szCs w:val="18"/>
              </w:rPr>
            </w:pPr>
            <w:r w:rsidRPr="00374785">
              <w:rPr>
                <w:rFonts w:cstheme="minorHAnsi"/>
                <w:color w:val="000000"/>
                <w:sz w:val="18"/>
                <w:szCs w:val="18"/>
              </w:rPr>
              <w:t>Mixed species temperate, Geometry block, Stocking &lt;500, Prop tree &lt;0.75</w:t>
            </w:r>
          </w:p>
        </w:tc>
      </w:tr>
      <w:tr w:rsidR="00F8769A" w:rsidRPr="00374785" w:rsidTr="00F8769A">
        <w:trPr>
          <w:trHeight w:val="305"/>
        </w:trPr>
        <w:tc>
          <w:tcPr>
            <w:tcW w:w="599" w:type="pct"/>
            <w:tcBorders>
              <w:top w:val="nil"/>
              <w:left w:val="single" w:sz="4" w:space="0" w:color="auto"/>
              <w:bottom w:val="single" w:sz="4" w:space="0" w:color="auto"/>
              <w:right w:val="single" w:sz="4" w:space="0" w:color="auto"/>
            </w:tcBorders>
            <w:vAlign w:val="center"/>
          </w:tcPr>
          <w:p w:rsidR="00F8769A" w:rsidRPr="00374785" w:rsidRDefault="00F8769A" w:rsidP="007A734A">
            <w:pPr>
              <w:rPr>
                <w:rFonts w:cstheme="minorHAnsi"/>
                <w:color w:val="000000"/>
                <w:sz w:val="18"/>
                <w:szCs w:val="18"/>
              </w:rPr>
            </w:pPr>
            <w:r w:rsidRPr="00374785">
              <w:rPr>
                <w:rFonts w:cstheme="minorHAnsi"/>
                <w:color w:val="000000"/>
                <w:sz w:val="18"/>
                <w:szCs w:val="18"/>
              </w:rPr>
              <w:t xml:space="preserve">Specific </w:t>
            </w:r>
          </w:p>
        </w:tc>
        <w:tc>
          <w:tcPr>
            <w:tcW w:w="680" w:type="pct"/>
            <w:tcBorders>
              <w:top w:val="nil"/>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Mixed species environmental planting tropical</w:t>
            </w:r>
          </w:p>
        </w:tc>
        <w:tc>
          <w:tcPr>
            <w:tcW w:w="506" w:type="pct"/>
            <w:tcBorders>
              <w:top w:val="single" w:sz="4" w:space="0" w:color="auto"/>
              <w:left w:val="nil"/>
              <w:bottom w:val="single" w:sz="4" w:space="0" w:color="auto"/>
              <w:right w:val="single" w:sz="4" w:space="0" w:color="auto"/>
            </w:tcBorders>
            <w:vAlign w:val="center"/>
          </w:tcPr>
          <w:p w:rsidR="00F8769A" w:rsidRPr="00374785" w:rsidRDefault="00F8769A" w:rsidP="007A734A">
            <w:pPr>
              <w:keepNext/>
              <w:keepLines/>
              <w:jc w:val="center"/>
              <w:rPr>
                <w:rFonts w:cstheme="minorHAnsi"/>
                <w:color w:val="000000"/>
                <w:sz w:val="18"/>
                <w:szCs w:val="18"/>
              </w:rPr>
            </w:pPr>
            <w:r w:rsidRPr="00374785">
              <w:rPr>
                <w:rFonts w:cstheme="minorHAnsi"/>
                <w:color w:val="000000"/>
                <w:sz w:val="18"/>
                <w:szCs w:val="18"/>
              </w:rPr>
              <w:t>Block</w:t>
            </w:r>
          </w:p>
        </w:tc>
        <w:tc>
          <w:tcPr>
            <w:tcW w:w="881" w:type="pct"/>
            <w:tcBorders>
              <w:top w:val="single" w:sz="4" w:space="0" w:color="auto"/>
              <w:left w:val="single" w:sz="4" w:space="0" w:color="auto"/>
              <w:bottom w:val="single" w:sz="4" w:space="0" w:color="auto"/>
              <w:right w:val="single" w:sz="4" w:space="0" w:color="auto"/>
            </w:tcBorders>
            <w:vAlign w:val="center"/>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No sampling required</w:t>
            </w:r>
          </w:p>
        </w:tc>
        <w:tc>
          <w:tcPr>
            <w:tcW w:w="2334" w:type="pct"/>
            <w:tcBorders>
              <w:top w:val="nil"/>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Mixed species tropical, Geometry block</w:t>
            </w:r>
          </w:p>
        </w:tc>
      </w:tr>
      <w:tr w:rsidR="00F8769A" w:rsidRPr="00374785" w:rsidTr="00F8769A">
        <w:trPr>
          <w:trHeight w:val="305"/>
        </w:trPr>
        <w:tc>
          <w:tcPr>
            <w:tcW w:w="599" w:type="pct"/>
            <w:vMerge w:val="restart"/>
            <w:tcBorders>
              <w:top w:val="nil"/>
              <w:left w:val="single" w:sz="4" w:space="0" w:color="auto"/>
              <w:right w:val="single" w:sz="4" w:space="0" w:color="auto"/>
            </w:tcBorders>
            <w:vAlign w:val="center"/>
          </w:tcPr>
          <w:p w:rsidR="00F8769A" w:rsidRPr="00374785" w:rsidRDefault="00F8769A" w:rsidP="007A734A">
            <w:pPr>
              <w:rPr>
                <w:rFonts w:cstheme="minorHAnsi"/>
                <w:color w:val="000000"/>
                <w:sz w:val="18"/>
                <w:szCs w:val="18"/>
              </w:rPr>
            </w:pPr>
            <w:r w:rsidRPr="00374785">
              <w:rPr>
                <w:rFonts w:cstheme="minorHAnsi"/>
                <w:color w:val="000000"/>
                <w:sz w:val="18"/>
                <w:szCs w:val="18"/>
              </w:rPr>
              <w:t xml:space="preserve">Generic </w:t>
            </w:r>
          </w:p>
        </w:tc>
        <w:tc>
          <w:tcPr>
            <w:tcW w:w="680" w:type="pct"/>
            <w:vMerge w:val="restart"/>
            <w:tcBorders>
              <w:top w:val="nil"/>
              <w:left w:val="single" w:sz="4" w:space="0" w:color="auto"/>
              <w:right w:val="single" w:sz="4" w:space="0" w:color="auto"/>
            </w:tcBorders>
            <w:shd w:val="clear" w:color="auto" w:fill="auto"/>
            <w:vAlign w:val="center"/>
            <w:hideMark/>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Mixed species environmental planting</w:t>
            </w:r>
          </w:p>
        </w:tc>
        <w:tc>
          <w:tcPr>
            <w:tcW w:w="506" w:type="pct"/>
            <w:tcBorders>
              <w:top w:val="single" w:sz="4" w:space="0" w:color="auto"/>
              <w:left w:val="nil"/>
              <w:bottom w:val="single" w:sz="4" w:space="0" w:color="auto"/>
              <w:right w:val="single" w:sz="4" w:space="0" w:color="auto"/>
            </w:tcBorders>
            <w:vAlign w:val="center"/>
          </w:tcPr>
          <w:p w:rsidR="00F8769A" w:rsidRPr="00374785" w:rsidRDefault="00F8769A" w:rsidP="007A734A">
            <w:pPr>
              <w:keepNext/>
              <w:keepLines/>
              <w:jc w:val="center"/>
              <w:rPr>
                <w:rFonts w:cstheme="minorHAnsi"/>
                <w:color w:val="000000"/>
                <w:sz w:val="18"/>
                <w:szCs w:val="18"/>
              </w:rPr>
            </w:pPr>
            <w:r w:rsidRPr="00374785">
              <w:rPr>
                <w:rFonts w:cstheme="minorHAnsi"/>
                <w:color w:val="000000"/>
                <w:sz w:val="18"/>
                <w:szCs w:val="18"/>
              </w:rPr>
              <w:t>n/a</w:t>
            </w:r>
          </w:p>
        </w:tc>
        <w:tc>
          <w:tcPr>
            <w:tcW w:w="881" w:type="pct"/>
            <w:tcBorders>
              <w:top w:val="single" w:sz="4" w:space="0" w:color="auto"/>
              <w:left w:val="single" w:sz="4" w:space="0" w:color="auto"/>
              <w:bottom w:val="single" w:sz="4" w:space="0" w:color="auto"/>
              <w:right w:val="single" w:sz="4" w:space="0" w:color="auto"/>
            </w:tcBorders>
            <w:vAlign w:val="center"/>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No sampling required</w:t>
            </w:r>
          </w:p>
        </w:tc>
        <w:tc>
          <w:tcPr>
            <w:tcW w:w="2334" w:type="pct"/>
            <w:tcBorders>
              <w:top w:val="nil"/>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Mixed species environmental planting (1970-present All Plantation low: Non-commercial planting; No prunes)</w:t>
            </w:r>
          </w:p>
        </w:tc>
      </w:tr>
      <w:tr w:rsidR="00F8769A" w:rsidRPr="00374785" w:rsidTr="00F8769A">
        <w:trPr>
          <w:trHeight w:val="305"/>
        </w:trPr>
        <w:tc>
          <w:tcPr>
            <w:tcW w:w="599" w:type="pct"/>
            <w:vMerge/>
            <w:tcBorders>
              <w:left w:val="single" w:sz="4" w:space="0" w:color="auto"/>
              <w:right w:val="single" w:sz="4" w:space="0" w:color="auto"/>
            </w:tcBorders>
            <w:vAlign w:val="center"/>
          </w:tcPr>
          <w:p w:rsidR="00F8769A" w:rsidRPr="00374785" w:rsidRDefault="00F8769A" w:rsidP="007A734A">
            <w:pPr>
              <w:rPr>
                <w:rFonts w:cstheme="minorHAnsi"/>
                <w:color w:val="000000"/>
                <w:sz w:val="18"/>
                <w:szCs w:val="18"/>
              </w:rPr>
            </w:pPr>
          </w:p>
        </w:tc>
        <w:tc>
          <w:tcPr>
            <w:tcW w:w="680" w:type="pct"/>
            <w:vMerge/>
            <w:tcBorders>
              <w:left w:val="single" w:sz="4" w:space="0" w:color="auto"/>
              <w:right w:val="single" w:sz="4" w:space="0" w:color="auto"/>
            </w:tcBorders>
            <w:shd w:val="clear" w:color="auto" w:fill="auto"/>
            <w:vAlign w:val="center"/>
            <w:hideMark/>
          </w:tcPr>
          <w:p w:rsidR="00F8769A" w:rsidRPr="00374785" w:rsidRDefault="00F8769A" w:rsidP="007A734A">
            <w:pPr>
              <w:keepNext/>
              <w:keepLines/>
              <w:rPr>
                <w:rFonts w:cstheme="minorHAnsi"/>
                <w:color w:val="000000"/>
                <w:sz w:val="18"/>
                <w:szCs w:val="18"/>
              </w:rPr>
            </w:pPr>
          </w:p>
        </w:tc>
        <w:tc>
          <w:tcPr>
            <w:tcW w:w="506" w:type="pct"/>
            <w:tcBorders>
              <w:top w:val="single" w:sz="4" w:space="0" w:color="auto"/>
              <w:left w:val="nil"/>
              <w:bottom w:val="single" w:sz="4" w:space="0" w:color="auto"/>
              <w:right w:val="single" w:sz="4" w:space="0" w:color="auto"/>
            </w:tcBorders>
            <w:vAlign w:val="center"/>
          </w:tcPr>
          <w:p w:rsidR="00F8769A" w:rsidRPr="00374785" w:rsidRDefault="00F8769A" w:rsidP="007A734A">
            <w:pPr>
              <w:keepNext/>
              <w:keepLines/>
              <w:jc w:val="center"/>
              <w:rPr>
                <w:rFonts w:cstheme="minorHAnsi"/>
                <w:color w:val="000000"/>
                <w:sz w:val="18"/>
                <w:szCs w:val="18"/>
              </w:rPr>
            </w:pPr>
            <w:r w:rsidRPr="00374785">
              <w:rPr>
                <w:rFonts w:cstheme="minorHAnsi"/>
                <w:color w:val="000000"/>
                <w:sz w:val="18"/>
                <w:szCs w:val="18"/>
              </w:rPr>
              <w:t>n/a</w:t>
            </w:r>
          </w:p>
        </w:tc>
        <w:tc>
          <w:tcPr>
            <w:tcW w:w="881" w:type="pct"/>
            <w:tcBorders>
              <w:top w:val="single" w:sz="4" w:space="0" w:color="auto"/>
              <w:left w:val="single" w:sz="4" w:space="0" w:color="auto"/>
              <w:bottom w:val="single" w:sz="4" w:space="0" w:color="auto"/>
              <w:right w:val="single" w:sz="4" w:space="0" w:color="auto"/>
            </w:tcBorders>
            <w:vAlign w:val="center"/>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No sampling required</w:t>
            </w:r>
          </w:p>
        </w:tc>
        <w:tc>
          <w:tcPr>
            <w:tcW w:w="2334" w:type="pct"/>
            <w:tcBorders>
              <w:top w:val="nil"/>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Mixed species environmental planting (1970-present All Plantation high: Non-commercial planting; No prunes)</w:t>
            </w:r>
          </w:p>
        </w:tc>
      </w:tr>
      <w:tr w:rsidR="00F8769A" w:rsidRPr="00374785" w:rsidTr="00F8769A">
        <w:trPr>
          <w:trHeight w:val="305"/>
        </w:trPr>
        <w:tc>
          <w:tcPr>
            <w:tcW w:w="599" w:type="pct"/>
            <w:vMerge/>
            <w:tcBorders>
              <w:left w:val="single" w:sz="4" w:space="0" w:color="auto"/>
              <w:bottom w:val="single" w:sz="4" w:space="0" w:color="auto"/>
              <w:right w:val="single" w:sz="4" w:space="0" w:color="auto"/>
            </w:tcBorders>
            <w:vAlign w:val="center"/>
          </w:tcPr>
          <w:p w:rsidR="00F8769A" w:rsidRPr="00374785" w:rsidRDefault="00F8769A" w:rsidP="007A734A">
            <w:pPr>
              <w:rPr>
                <w:rFonts w:cstheme="minorHAnsi"/>
                <w:color w:val="000000"/>
                <w:sz w:val="18"/>
                <w:szCs w:val="18"/>
              </w:rPr>
            </w:pPr>
          </w:p>
        </w:tc>
        <w:tc>
          <w:tcPr>
            <w:tcW w:w="680" w:type="pct"/>
            <w:vMerge/>
            <w:tcBorders>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keepNext/>
              <w:keepLines/>
              <w:rPr>
                <w:rFonts w:cstheme="minorHAnsi"/>
                <w:color w:val="000000"/>
                <w:sz w:val="18"/>
                <w:szCs w:val="18"/>
              </w:rPr>
            </w:pPr>
          </w:p>
        </w:tc>
        <w:tc>
          <w:tcPr>
            <w:tcW w:w="506" w:type="pct"/>
            <w:tcBorders>
              <w:top w:val="single" w:sz="4" w:space="0" w:color="auto"/>
              <w:left w:val="nil"/>
              <w:bottom w:val="single" w:sz="4" w:space="0" w:color="auto"/>
              <w:right w:val="single" w:sz="4" w:space="0" w:color="auto"/>
            </w:tcBorders>
            <w:vAlign w:val="center"/>
          </w:tcPr>
          <w:p w:rsidR="00F8769A" w:rsidRPr="00374785" w:rsidRDefault="00F8769A" w:rsidP="007A734A">
            <w:pPr>
              <w:keepNext/>
              <w:keepLines/>
              <w:jc w:val="center"/>
              <w:rPr>
                <w:rFonts w:cstheme="minorHAnsi"/>
                <w:color w:val="000000"/>
                <w:sz w:val="18"/>
                <w:szCs w:val="18"/>
              </w:rPr>
            </w:pPr>
            <w:r w:rsidRPr="00374785">
              <w:rPr>
                <w:rFonts w:cstheme="minorHAnsi"/>
                <w:color w:val="000000"/>
                <w:sz w:val="18"/>
                <w:szCs w:val="18"/>
              </w:rPr>
              <w:t>n/a</w:t>
            </w:r>
          </w:p>
        </w:tc>
        <w:tc>
          <w:tcPr>
            <w:tcW w:w="881" w:type="pct"/>
            <w:tcBorders>
              <w:top w:val="single" w:sz="4" w:space="0" w:color="auto"/>
              <w:left w:val="single" w:sz="4" w:space="0" w:color="auto"/>
              <w:bottom w:val="single" w:sz="4" w:space="0" w:color="auto"/>
              <w:right w:val="single" w:sz="4" w:space="0" w:color="auto"/>
            </w:tcBorders>
            <w:vAlign w:val="center"/>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No sampling required</w:t>
            </w:r>
          </w:p>
        </w:tc>
        <w:tc>
          <w:tcPr>
            <w:tcW w:w="2334" w:type="pct"/>
            <w:tcBorders>
              <w:top w:val="nil"/>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Mixed species environmental planting (1970-present All Plantation medium: Non-commercial planting; No prunes)</w:t>
            </w:r>
          </w:p>
        </w:tc>
      </w:tr>
      <w:tr w:rsidR="00F8769A" w:rsidRPr="00374785" w:rsidTr="00F8769A">
        <w:trPr>
          <w:trHeight w:val="305"/>
        </w:trPr>
        <w:tc>
          <w:tcPr>
            <w:tcW w:w="599" w:type="pct"/>
            <w:vMerge w:val="restart"/>
            <w:tcBorders>
              <w:top w:val="nil"/>
              <w:left w:val="single" w:sz="4" w:space="0" w:color="auto"/>
              <w:right w:val="single" w:sz="4" w:space="0" w:color="auto"/>
            </w:tcBorders>
            <w:vAlign w:val="center"/>
          </w:tcPr>
          <w:p w:rsidR="00F8769A" w:rsidRPr="00374785" w:rsidRDefault="00F8769A" w:rsidP="007A734A">
            <w:pPr>
              <w:rPr>
                <w:rFonts w:cstheme="minorHAnsi"/>
                <w:color w:val="000000"/>
                <w:sz w:val="18"/>
                <w:szCs w:val="18"/>
              </w:rPr>
            </w:pPr>
            <w:r w:rsidRPr="00374785">
              <w:rPr>
                <w:rFonts w:cstheme="minorHAnsi"/>
                <w:color w:val="000000"/>
                <w:sz w:val="18"/>
                <w:szCs w:val="18"/>
              </w:rPr>
              <w:t xml:space="preserve">Specific </w:t>
            </w:r>
          </w:p>
        </w:tc>
        <w:tc>
          <w:tcPr>
            <w:tcW w:w="680" w:type="pct"/>
            <w:vMerge w:val="restart"/>
            <w:tcBorders>
              <w:top w:val="nil"/>
              <w:left w:val="single" w:sz="4" w:space="0" w:color="auto"/>
              <w:right w:val="single" w:sz="4" w:space="0" w:color="auto"/>
            </w:tcBorders>
            <w:shd w:val="clear" w:color="auto" w:fill="auto"/>
            <w:vAlign w:val="center"/>
            <w:hideMark/>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Mallee eucalypt  kochii</w:t>
            </w:r>
          </w:p>
        </w:tc>
        <w:tc>
          <w:tcPr>
            <w:tcW w:w="506" w:type="pct"/>
            <w:tcBorders>
              <w:top w:val="single" w:sz="4" w:space="0" w:color="auto"/>
              <w:left w:val="nil"/>
              <w:bottom w:val="single" w:sz="4" w:space="0" w:color="auto"/>
              <w:right w:val="single" w:sz="4" w:space="0" w:color="auto"/>
            </w:tcBorders>
            <w:vAlign w:val="center"/>
          </w:tcPr>
          <w:p w:rsidR="00F8769A" w:rsidRPr="00374785" w:rsidRDefault="00F8769A" w:rsidP="007A734A">
            <w:pPr>
              <w:keepNext/>
              <w:keepLines/>
              <w:jc w:val="center"/>
              <w:rPr>
                <w:rFonts w:cstheme="minorHAnsi"/>
                <w:color w:val="000000"/>
                <w:sz w:val="18"/>
                <w:szCs w:val="18"/>
              </w:rPr>
            </w:pPr>
            <w:r w:rsidRPr="00374785">
              <w:rPr>
                <w:rFonts w:cstheme="minorHAnsi"/>
                <w:color w:val="000000"/>
                <w:sz w:val="18"/>
                <w:szCs w:val="18"/>
              </w:rPr>
              <w:t>Block</w:t>
            </w:r>
          </w:p>
        </w:tc>
        <w:tc>
          <w:tcPr>
            <w:tcW w:w="881" w:type="pct"/>
            <w:tcBorders>
              <w:top w:val="single" w:sz="4" w:space="0" w:color="auto"/>
              <w:left w:val="single" w:sz="4" w:space="0" w:color="auto"/>
              <w:bottom w:val="single" w:sz="4" w:space="0" w:color="auto"/>
              <w:right w:val="single" w:sz="4" w:space="0" w:color="auto"/>
            </w:tcBorders>
            <w:vAlign w:val="center"/>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No sampling required</w:t>
            </w:r>
          </w:p>
        </w:tc>
        <w:tc>
          <w:tcPr>
            <w:tcW w:w="2334" w:type="pct"/>
            <w:tcBorders>
              <w:top w:val="nil"/>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Mallee eucalypt kochii, Geometry block</w:t>
            </w:r>
          </w:p>
        </w:tc>
      </w:tr>
      <w:tr w:rsidR="00F8769A" w:rsidRPr="00374785" w:rsidTr="00F8769A">
        <w:trPr>
          <w:trHeight w:val="305"/>
        </w:trPr>
        <w:tc>
          <w:tcPr>
            <w:tcW w:w="599" w:type="pct"/>
            <w:vMerge/>
            <w:tcBorders>
              <w:left w:val="single" w:sz="4" w:space="0" w:color="auto"/>
              <w:right w:val="single" w:sz="4" w:space="0" w:color="auto"/>
            </w:tcBorders>
            <w:vAlign w:val="center"/>
          </w:tcPr>
          <w:p w:rsidR="00F8769A" w:rsidRPr="00374785" w:rsidRDefault="00F8769A" w:rsidP="007A734A">
            <w:pPr>
              <w:rPr>
                <w:rFonts w:cstheme="minorHAnsi"/>
                <w:color w:val="000000"/>
                <w:sz w:val="18"/>
                <w:szCs w:val="18"/>
              </w:rPr>
            </w:pPr>
          </w:p>
        </w:tc>
        <w:tc>
          <w:tcPr>
            <w:tcW w:w="680" w:type="pct"/>
            <w:vMerge/>
            <w:tcBorders>
              <w:left w:val="single" w:sz="4" w:space="0" w:color="auto"/>
              <w:right w:val="single" w:sz="4" w:space="0" w:color="auto"/>
            </w:tcBorders>
            <w:shd w:val="clear" w:color="auto" w:fill="auto"/>
            <w:vAlign w:val="center"/>
            <w:hideMark/>
          </w:tcPr>
          <w:p w:rsidR="00F8769A" w:rsidRPr="00374785" w:rsidRDefault="00F8769A" w:rsidP="007A734A">
            <w:pPr>
              <w:keepNext/>
              <w:keepLines/>
              <w:rPr>
                <w:rFonts w:cstheme="minorHAnsi"/>
                <w:color w:val="000000"/>
                <w:sz w:val="18"/>
                <w:szCs w:val="18"/>
              </w:rPr>
            </w:pPr>
          </w:p>
        </w:tc>
        <w:tc>
          <w:tcPr>
            <w:tcW w:w="506" w:type="pct"/>
            <w:tcBorders>
              <w:top w:val="single" w:sz="4" w:space="0" w:color="auto"/>
              <w:left w:val="nil"/>
              <w:bottom w:val="single" w:sz="4" w:space="0" w:color="auto"/>
              <w:right w:val="single" w:sz="4" w:space="0" w:color="auto"/>
            </w:tcBorders>
            <w:vAlign w:val="center"/>
          </w:tcPr>
          <w:p w:rsidR="00F8769A" w:rsidRPr="00374785" w:rsidRDefault="00F8769A" w:rsidP="007A734A">
            <w:pPr>
              <w:keepNext/>
              <w:keepLines/>
              <w:jc w:val="center"/>
              <w:rPr>
                <w:rFonts w:cstheme="minorHAnsi"/>
                <w:color w:val="000000"/>
                <w:sz w:val="18"/>
                <w:szCs w:val="18"/>
              </w:rPr>
            </w:pPr>
            <w:r w:rsidRPr="00374785">
              <w:rPr>
                <w:rFonts w:cstheme="minorHAnsi"/>
                <w:color w:val="000000"/>
                <w:sz w:val="18"/>
                <w:szCs w:val="18"/>
              </w:rPr>
              <w:t>Wide linear</w:t>
            </w:r>
          </w:p>
        </w:tc>
        <w:tc>
          <w:tcPr>
            <w:tcW w:w="881" w:type="pct"/>
            <w:tcBorders>
              <w:top w:val="single" w:sz="4" w:space="0" w:color="auto"/>
              <w:left w:val="single" w:sz="4" w:space="0" w:color="auto"/>
              <w:bottom w:val="single" w:sz="4" w:space="0" w:color="auto"/>
              <w:right w:val="single" w:sz="4" w:space="0" w:color="auto"/>
            </w:tcBorders>
            <w:vAlign w:val="center"/>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No sampling required</w:t>
            </w:r>
          </w:p>
        </w:tc>
        <w:tc>
          <w:tcPr>
            <w:tcW w:w="2334" w:type="pct"/>
            <w:tcBorders>
              <w:top w:val="nil"/>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Mallee eucalypt kochii, Geometry wide</w:t>
            </w:r>
          </w:p>
        </w:tc>
      </w:tr>
      <w:tr w:rsidR="00F8769A" w:rsidRPr="00374785" w:rsidTr="00F8769A">
        <w:trPr>
          <w:trHeight w:val="305"/>
        </w:trPr>
        <w:tc>
          <w:tcPr>
            <w:tcW w:w="599" w:type="pct"/>
            <w:vMerge/>
            <w:tcBorders>
              <w:left w:val="single" w:sz="4" w:space="0" w:color="auto"/>
              <w:right w:val="single" w:sz="4" w:space="0" w:color="auto"/>
            </w:tcBorders>
            <w:vAlign w:val="center"/>
          </w:tcPr>
          <w:p w:rsidR="00F8769A" w:rsidRPr="00374785" w:rsidRDefault="00F8769A" w:rsidP="007A734A">
            <w:pPr>
              <w:rPr>
                <w:rFonts w:cstheme="minorHAnsi"/>
                <w:color w:val="000000"/>
                <w:sz w:val="18"/>
                <w:szCs w:val="18"/>
              </w:rPr>
            </w:pPr>
          </w:p>
        </w:tc>
        <w:tc>
          <w:tcPr>
            <w:tcW w:w="680" w:type="pct"/>
            <w:vMerge/>
            <w:tcBorders>
              <w:left w:val="single" w:sz="4" w:space="0" w:color="auto"/>
              <w:right w:val="single" w:sz="4" w:space="0" w:color="auto"/>
            </w:tcBorders>
            <w:shd w:val="clear" w:color="auto" w:fill="auto"/>
            <w:vAlign w:val="center"/>
            <w:hideMark/>
          </w:tcPr>
          <w:p w:rsidR="00F8769A" w:rsidRPr="00374785" w:rsidRDefault="00F8769A" w:rsidP="007A734A">
            <w:pPr>
              <w:keepNext/>
              <w:keepLines/>
              <w:rPr>
                <w:rFonts w:cstheme="minorHAnsi"/>
                <w:color w:val="000000"/>
                <w:sz w:val="18"/>
                <w:szCs w:val="18"/>
              </w:rPr>
            </w:pPr>
          </w:p>
        </w:tc>
        <w:tc>
          <w:tcPr>
            <w:tcW w:w="506" w:type="pct"/>
            <w:vMerge w:val="restart"/>
            <w:tcBorders>
              <w:top w:val="single" w:sz="4" w:space="0" w:color="auto"/>
              <w:left w:val="nil"/>
              <w:right w:val="single" w:sz="4" w:space="0" w:color="auto"/>
            </w:tcBorders>
            <w:vAlign w:val="center"/>
          </w:tcPr>
          <w:p w:rsidR="00F8769A" w:rsidRPr="00374785" w:rsidRDefault="00F8769A" w:rsidP="00F8769A">
            <w:pPr>
              <w:keepNext/>
              <w:keepLines/>
              <w:jc w:val="center"/>
              <w:rPr>
                <w:rFonts w:cstheme="minorHAnsi"/>
                <w:color w:val="000000"/>
                <w:sz w:val="18"/>
                <w:szCs w:val="18"/>
              </w:rPr>
            </w:pPr>
            <w:r w:rsidRPr="00374785">
              <w:rPr>
                <w:rFonts w:cstheme="minorHAnsi"/>
                <w:color w:val="000000"/>
                <w:sz w:val="18"/>
                <w:szCs w:val="18"/>
              </w:rPr>
              <w:t>Narrow linear</w:t>
            </w:r>
          </w:p>
        </w:tc>
        <w:tc>
          <w:tcPr>
            <w:tcW w:w="881" w:type="pct"/>
            <w:tcBorders>
              <w:top w:val="single" w:sz="4" w:space="0" w:color="auto"/>
              <w:left w:val="single" w:sz="4" w:space="0" w:color="auto"/>
              <w:bottom w:val="single" w:sz="4" w:space="0" w:color="auto"/>
              <w:right w:val="single" w:sz="4" w:space="0" w:color="auto"/>
            </w:tcBorders>
            <w:vAlign w:val="center"/>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Stocking &gt; 2,300 stems/ha</w:t>
            </w:r>
          </w:p>
        </w:tc>
        <w:tc>
          <w:tcPr>
            <w:tcW w:w="2334" w:type="pct"/>
            <w:tcBorders>
              <w:top w:val="nil"/>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Mallee eucalypt kochii, Geometry narrow, Stocking &gt;2,300</w:t>
            </w:r>
          </w:p>
        </w:tc>
      </w:tr>
      <w:tr w:rsidR="00F8769A" w:rsidRPr="00374785" w:rsidTr="00DC2FC3">
        <w:trPr>
          <w:trHeight w:val="305"/>
        </w:trPr>
        <w:tc>
          <w:tcPr>
            <w:tcW w:w="599" w:type="pct"/>
            <w:vMerge/>
            <w:tcBorders>
              <w:left w:val="single" w:sz="4" w:space="0" w:color="auto"/>
              <w:bottom w:val="single" w:sz="4" w:space="0" w:color="auto"/>
              <w:right w:val="single" w:sz="4" w:space="0" w:color="auto"/>
            </w:tcBorders>
            <w:vAlign w:val="center"/>
          </w:tcPr>
          <w:p w:rsidR="00F8769A" w:rsidRPr="00374785" w:rsidRDefault="00F8769A" w:rsidP="007A734A">
            <w:pPr>
              <w:rPr>
                <w:rFonts w:cstheme="minorHAnsi"/>
                <w:color w:val="000000"/>
                <w:sz w:val="18"/>
                <w:szCs w:val="18"/>
              </w:rPr>
            </w:pPr>
          </w:p>
        </w:tc>
        <w:tc>
          <w:tcPr>
            <w:tcW w:w="680" w:type="pct"/>
            <w:vMerge/>
            <w:tcBorders>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keepNext/>
              <w:keepLines/>
              <w:rPr>
                <w:rFonts w:cstheme="minorHAnsi"/>
                <w:color w:val="000000"/>
                <w:sz w:val="18"/>
                <w:szCs w:val="18"/>
              </w:rPr>
            </w:pPr>
          </w:p>
        </w:tc>
        <w:tc>
          <w:tcPr>
            <w:tcW w:w="506" w:type="pct"/>
            <w:vMerge/>
            <w:tcBorders>
              <w:left w:val="nil"/>
              <w:bottom w:val="single" w:sz="4" w:space="0" w:color="auto"/>
              <w:right w:val="single" w:sz="4" w:space="0" w:color="auto"/>
            </w:tcBorders>
            <w:vAlign w:val="center"/>
          </w:tcPr>
          <w:p w:rsidR="00F8769A" w:rsidRPr="00374785" w:rsidRDefault="00F8769A" w:rsidP="007A734A">
            <w:pPr>
              <w:keepNext/>
              <w:keepLines/>
              <w:jc w:val="center"/>
              <w:rPr>
                <w:rFonts w:cstheme="minorHAns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vAlign w:val="center"/>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No sampling required</w:t>
            </w:r>
          </w:p>
        </w:tc>
        <w:tc>
          <w:tcPr>
            <w:tcW w:w="2334" w:type="pct"/>
            <w:tcBorders>
              <w:top w:val="nil"/>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Mallee eucalypt kochii, Geometry narrow, Stocking &lt;2,300</w:t>
            </w:r>
          </w:p>
        </w:tc>
      </w:tr>
      <w:tr w:rsidR="00F8769A" w:rsidRPr="00374785" w:rsidTr="00DC2FC3">
        <w:trPr>
          <w:cantSplit/>
          <w:trHeight w:val="305"/>
        </w:trPr>
        <w:tc>
          <w:tcPr>
            <w:tcW w:w="599" w:type="pct"/>
            <w:vMerge w:val="restart"/>
            <w:tcBorders>
              <w:top w:val="single" w:sz="4" w:space="0" w:color="auto"/>
              <w:left w:val="single" w:sz="4" w:space="0" w:color="auto"/>
              <w:bottom w:val="single" w:sz="4" w:space="0" w:color="auto"/>
              <w:right w:val="single" w:sz="4" w:space="0" w:color="auto"/>
            </w:tcBorders>
            <w:vAlign w:val="center"/>
          </w:tcPr>
          <w:p w:rsidR="00F8769A" w:rsidRPr="00374785" w:rsidRDefault="00F8769A" w:rsidP="007A734A">
            <w:pPr>
              <w:rPr>
                <w:rFonts w:cstheme="minorHAnsi"/>
                <w:color w:val="000000"/>
                <w:sz w:val="18"/>
                <w:szCs w:val="18"/>
              </w:rPr>
            </w:pPr>
            <w:r w:rsidRPr="00374785">
              <w:rPr>
                <w:rFonts w:cstheme="minorHAnsi"/>
                <w:color w:val="000000"/>
                <w:sz w:val="18"/>
                <w:szCs w:val="18"/>
              </w:rPr>
              <w:t xml:space="preserve">Specific </w:t>
            </w:r>
          </w:p>
        </w:tc>
        <w:tc>
          <w:tcPr>
            <w:tcW w:w="6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Mallee eucalypt loxophleba lissophloia</w:t>
            </w:r>
          </w:p>
        </w:tc>
        <w:tc>
          <w:tcPr>
            <w:tcW w:w="506" w:type="pct"/>
            <w:tcBorders>
              <w:top w:val="single" w:sz="4" w:space="0" w:color="auto"/>
              <w:left w:val="nil"/>
              <w:bottom w:val="single" w:sz="4" w:space="0" w:color="auto"/>
              <w:right w:val="single" w:sz="4" w:space="0" w:color="auto"/>
            </w:tcBorders>
            <w:vAlign w:val="center"/>
          </w:tcPr>
          <w:p w:rsidR="00F8769A" w:rsidRPr="00374785" w:rsidRDefault="00F8769A" w:rsidP="007A734A">
            <w:pPr>
              <w:keepNext/>
              <w:keepLines/>
              <w:jc w:val="center"/>
              <w:rPr>
                <w:rFonts w:cstheme="minorHAnsi"/>
                <w:color w:val="000000"/>
                <w:sz w:val="18"/>
                <w:szCs w:val="18"/>
              </w:rPr>
            </w:pPr>
            <w:r w:rsidRPr="00374785">
              <w:rPr>
                <w:rFonts w:cstheme="minorHAnsi"/>
                <w:color w:val="000000"/>
                <w:sz w:val="18"/>
                <w:szCs w:val="18"/>
              </w:rPr>
              <w:t>Block</w:t>
            </w:r>
          </w:p>
        </w:tc>
        <w:tc>
          <w:tcPr>
            <w:tcW w:w="881" w:type="pct"/>
            <w:tcBorders>
              <w:top w:val="single" w:sz="4" w:space="0" w:color="auto"/>
              <w:left w:val="single" w:sz="4" w:space="0" w:color="auto"/>
              <w:bottom w:val="single" w:sz="4" w:space="0" w:color="auto"/>
              <w:right w:val="single" w:sz="4" w:space="0" w:color="auto"/>
            </w:tcBorders>
            <w:vAlign w:val="center"/>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No sampling required</w:t>
            </w:r>
          </w:p>
        </w:tc>
        <w:tc>
          <w:tcPr>
            <w:tcW w:w="2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Mallee eucalypt loxophleba lissophloia, Geometry block</w:t>
            </w:r>
          </w:p>
        </w:tc>
      </w:tr>
      <w:tr w:rsidR="00F8769A" w:rsidRPr="00374785" w:rsidTr="00DC2FC3">
        <w:trPr>
          <w:cantSplit/>
          <w:trHeight w:val="305"/>
        </w:trPr>
        <w:tc>
          <w:tcPr>
            <w:tcW w:w="599" w:type="pct"/>
            <w:vMerge/>
            <w:tcBorders>
              <w:top w:val="single" w:sz="4" w:space="0" w:color="auto"/>
              <w:left w:val="single" w:sz="4" w:space="0" w:color="auto"/>
              <w:right w:val="single" w:sz="4" w:space="0" w:color="auto"/>
            </w:tcBorders>
            <w:vAlign w:val="center"/>
          </w:tcPr>
          <w:p w:rsidR="00F8769A" w:rsidRPr="00374785" w:rsidRDefault="00F8769A" w:rsidP="007A734A">
            <w:pPr>
              <w:rPr>
                <w:rFonts w:cstheme="minorHAnsi"/>
                <w:color w:val="000000"/>
                <w:sz w:val="18"/>
                <w:szCs w:val="18"/>
              </w:rPr>
            </w:pPr>
          </w:p>
        </w:tc>
        <w:tc>
          <w:tcPr>
            <w:tcW w:w="680" w:type="pct"/>
            <w:vMerge/>
            <w:tcBorders>
              <w:top w:val="single" w:sz="4" w:space="0" w:color="auto"/>
              <w:left w:val="single" w:sz="4" w:space="0" w:color="auto"/>
              <w:right w:val="single" w:sz="4" w:space="0" w:color="auto"/>
            </w:tcBorders>
            <w:shd w:val="clear" w:color="auto" w:fill="auto"/>
            <w:vAlign w:val="center"/>
            <w:hideMark/>
          </w:tcPr>
          <w:p w:rsidR="00F8769A" w:rsidRPr="00374785" w:rsidRDefault="00F8769A" w:rsidP="007A734A">
            <w:pPr>
              <w:keepNext/>
              <w:keepLines/>
              <w:rPr>
                <w:rFonts w:cstheme="minorHAnsi"/>
                <w:color w:val="000000"/>
                <w:sz w:val="18"/>
                <w:szCs w:val="18"/>
              </w:rPr>
            </w:pPr>
          </w:p>
        </w:tc>
        <w:tc>
          <w:tcPr>
            <w:tcW w:w="506" w:type="pct"/>
            <w:tcBorders>
              <w:top w:val="single" w:sz="4" w:space="0" w:color="auto"/>
              <w:left w:val="nil"/>
              <w:bottom w:val="single" w:sz="4" w:space="0" w:color="auto"/>
              <w:right w:val="single" w:sz="4" w:space="0" w:color="auto"/>
            </w:tcBorders>
            <w:vAlign w:val="center"/>
          </w:tcPr>
          <w:p w:rsidR="00F8769A" w:rsidRPr="00374785" w:rsidRDefault="00F8769A" w:rsidP="007A734A">
            <w:pPr>
              <w:keepNext/>
              <w:keepLines/>
              <w:jc w:val="center"/>
              <w:rPr>
                <w:rFonts w:cstheme="minorHAnsi"/>
                <w:color w:val="000000"/>
                <w:sz w:val="18"/>
                <w:szCs w:val="18"/>
              </w:rPr>
            </w:pPr>
            <w:r w:rsidRPr="00374785">
              <w:rPr>
                <w:rFonts w:cstheme="minorHAnsi"/>
                <w:color w:val="000000"/>
                <w:sz w:val="18"/>
                <w:szCs w:val="18"/>
              </w:rPr>
              <w:t>Wide Linear</w:t>
            </w:r>
          </w:p>
        </w:tc>
        <w:tc>
          <w:tcPr>
            <w:tcW w:w="881" w:type="pct"/>
            <w:tcBorders>
              <w:top w:val="single" w:sz="4" w:space="0" w:color="auto"/>
              <w:left w:val="single" w:sz="4" w:space="0" w:color="auto"/>
              <w:bottom w:val="single" w:sz="4" w:space="0" w:color="auto"/>
              <w:right w:val="single" w:sz="4" w:space="0" w:color="auto"/>
            </w:tcBorders>
            <w:vAlign w:val="center"/>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No sampling required</w:t>
            </w:r>
          </w:p>
        </w:tc>
        <w:tc>
          <w:tcPr>
            <w:tcW w:w="2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Mallee eucalypt loxophleba lissophloia, Geometry wide</w:t>
            </w:r>
          </w:p>
        </w:tc>
      </w:tr>
      <w:tr w:rsidR="00F8769A" w:rsidRPr="00374785" w:rsidTr="00F8769A">
        <w:trPr>
          <w:cantSplit/>
          <w:trHeight w:val="305"/>
        </w:trPr>
        <w:tc>
          <w:tcPr>
            <w:tcW w:w="599" w:type="pct"/>
            <w:vMerge/>
            <w:tcBorders>
              <w:left w:val="single" w:sz="4" w:space="0" w:color="auto"/>
              <w:right w:val="single" w:sz="4" w:space="0" w:color="auto"/>
            </w:tcBorders>
            <w:vAlign w:val="center"/>
          </w:tcPr>
          <w:p w:rsidR="00F8769A" w:rsidRPr="00374785" w:rsidRDefault="00F8769A" w:rsidP="007A734A">
            <w:pPr>
              <w:rPr>
                <w:rFonts w:cstheme="minorHAnsi"/>
                <w:color w:val="000000"/>
                <w:sz w:val="18"/>
                <w:szCs w:val="18"/>
              </w:rPr>
            </w:pPr>
          </w:p>
        </w:tc>
        <w:tc>
          <w:tcPr>
            <w:tcW w:w="680" w:type="pct"/>
            <w:vMerge/>
            <w:tcBorders>
              <w:left w:val="single" w:sz="4" w:space="0" w:color="auto"/>
              <w:right w:val="single" w:sz="4" w:space="0" w:color="auto"/>
            </w:tcBorders>
            <w:shd w:val="clear" w:color="auto" w:fill="auto"/>
            <w:vAlign w:val="center"/>
            <w:hideMark/>
          </w:tcPr>
          <w:p w:rsidR="00F8769A" w:rsidRPr="00374785" w:rsidRDefault="00F8769A" w:rsidP="007A734A">
            <w:pPr>
              <w:keepNext/>
              <w:keepLines/>
              <w:rPr>
                <w:rFonts w:cstheme="minorHAnsi"/>
                <w:color w:val="000000"/>
                <w:sz w:val="18"/>
                <w:szCs w:val="18"/>
              </w:rPr>
            </w:pPr>
          </w:p>
        </w:tc>
        <w:tc>
          <w:tcPr>
            <w:tcW w:w="506" w:type="pct"/>
            <w:vMerge w:val="restart"/>
            <w:tcBorders>
              <w:top w:val="single" w:sz="4" w:space="0" w:color="auto"/>
              <w:left w:val="nil"/>
              <w:right w:val="single" w:sz="4" w:space="0" w:color="auto"/>
            </w:tcBorders>
            <w:vAlign w:val="center"/>
          </w:tcPr>
          <w:p w:rsidR="00F8769A" w:rsidRPr="00374785" w:rsidRDefault="00F8769A" w:rsidP="00F8769A">
            <w:pPr>
              <w:keepNext/>
              <w:keepLines/>
              <w:jc w:val="center"/>
              <w:rPr>
                <w:rFonts w:cstheme="minorHAnsi"/>
                <w:color w:val="000000"/>
                <w:sz w:val="18"/>
                <w:szCs w:val="18"/>
              </w:rPr>
            </w:pPr>
            <w:r w:rsidRPr="00374785">
              <w:rPr>
                <w:rFonts w:cstheme="minorHAnsi"/>
                <w:color w:val="000000"/>
                <w:sz w:val="18"/>
                <w:szCs w:val="18"/>
              </w:rPr>
              <w:t>Narrow linear</w:t>
            </w:r>
          </w:p>
        </w:tc>
        <w:tc>
          <w:tcPr>
            <w:tcW w:w="881" w:type="pct"/>
            <w:tcBorders>
              <w:top w:val="single" w:sz="4" w:space="0" w:color="auto"/>
              <w:left w:val="single" w:sz="4" w:space="0" w:color="auto"/>
              <w:bottom w:val="single" w:sz="4" w:space="0" w:color="auto"/>
              <w:right w:val="single" w:sz="4" w:space="0" w:color="auto"/>
            </w:tcBorders>
            <w:vAlign w:val="center"/>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Stocking &gt; 2,300 stems/ha</w:t>
            </w:r>
          </w:p>
        </w:tc>
        <w:tc>
          <w:tcPr>
            <w:tcW w:w="2334" w:type="pct"/>
            <w:tcBorders>
              <w:top w:val="nil"/>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Mallee eucalypt loxophleba lissophloia, Geometry narrow, Stocking &gt;2,300</w:t>
            </w:r>
          </w:p>
        </w:tc>
      </w:tr>
      <w:tr w:rsidR="00F8769A" w:rsidRPr="00374785" w:rsidTr="00F8769A">
        <w:trPr>
          <w:cantSplit/>
          <w:trHeight w:val="305"/>
        </w:trPr>
        <w:tc>
          <w:tcPr>
            <w:tcW w:w="599" w:type="pct"/>
            <w:vMerge/>
            <w:tcBorders>
              <w:left w:val="single" w:sz="4" w:space="0" w:color="auto"/>
              <w:bottom w:val="single" w:sz="4" w:space="0" w:color="auto"/>
              <w:right w:val="single" w:sz="4" w:space="0" w:color="auto"/>
            </w:tcBorders>
            <w:vAlign w:val="center"/>
          </w:tcPr>
          <w:p w:rsidR="00F8769A" w:rsidRPr="00374785" w:rsidRDefault="00F8769A" w:rsidP="007A734A">
            <w:pPr>
              <w:rPr>
                <w:rFonts w:cstheme="minorHAnsi"/>
                <w:color w:val="000000"/>
                <w:sz w:val="18"/>
                <w:szCs w:val="18"/>
              </w:rPr>
            </w:pPr>
          </w:p>
        </w:tc>
        <w:tc>
          <w:tcPr>
            <w:tcW w:w="680" w:type="pct"/>
            <w:vMerge/>
            <w:tcBorders>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keepNext/>
              <w:keepLines/>
              <w:rPr>
                <w:rFonts w:cstheme="minorHAnsi"/>
                <w:color w:val="000000"/>
                <w:sz w:val="18"/>
                <w:szCs w:val="18"/>
              </w:rPr>
            </w:pPr>
          </w:p>
        </w:tc>
        <w:tc>
          <w:tcPr>
            <w:tcW w:w="506" w:type="pct"/>
            <w:vMerge/>
            <w:tcBorders>
              <w:left w:val="nil"/>
              <w:bottom w:val="single" w:sz="4" w:space="0" w:color="auto"/>
              <w:right w:val="single" w:sz="4" w:space="0" w:color="auto"/>
            </w:tcBorders>
            <w:vAlign w:val="center"/>
          </w:tcPr>
          <w:p w:rsidR="00F8769A" w:rsidRPr="00374785" w:rsidRDefault="00F8769A" w:rsidP="007A734A">
            <w:pPr>
              <w:keepNext/>
              <w:keepLines/>
              <w:jc w:val="center"/>
              <w:rPr>
                <w:rFonts w:cstheme="minorHAns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vAlign w:val="center"/>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No sampling required</w:t>
            </w:r>
          </w:p>
        </w:tc>
        <w:tc>
          <w:tcPr>
            <w:tcW w:w="2334" w:type="pct"/>
            <w:tcBorders>
              <w:top w:val="nil"/>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Mallee eucalypt loxophleba lissophloia, Geometry narrow, Stocking &lt;2,300</w:t>
            </w:r>
          </w:p>
        </w:tc>
      </w:tr>
      <w:tr w:rsidR="00F8769A" w:rsidRPr="00374785" w:rsidTr="00F8769A">
        <w:trPr>
          <w:cantSplit/>
          <w:trHeight w:val="305"/>
        </w:trPr>
        <w:tc>
          <w:tcPr>
            <w:tcW w:w="599" w:type="pct"/>
            <w:vMerge w:val="restart"/>
            <w:tcBorders>
              <w:top w:val="nil"/>
              <w:left w:val="single" w:sz="4" w:space="0" w:color="auto"/>
              <w:right w:val="single" w:sz="4" w:space="0" w:color="auto"/>
            </w:tcBorders>
            <w:vAlign w:val="center"/>
          </w:tcPr>
          <w:p w:rsidR="00F8769A" w:rsidRPr="00374785" w:rsidRDefault="00F8769A" w:rsidP="007A734A">
            <w:pPr>
              <w:rPr>
                <w:rFonts w:cstheme="minorHAnsi"/>
                <w:color w:val="000000"/>
                <w:sz w:val="18"/>
                <w:szCs w:val="18"/>
              </w:rPr>
            </w:pPr>
            <w:r w:rsidRPr="00374785">
              <w:rPr>
                <w:rFonts w:cstheme="minorHAnsi"/>
                <w:color w:val="000000"/>
                <w:sz w:val="18"/>
                <w:szCs w:val="18"/>
              </w:rPr>
              <w:t xml:space="preserve">Specific </w:t>
            </w:r>
          </w:p>
        </w:tc>
        <w:tc>
          <w:tcPr>
            <w:tcW w:w="680" w:type="pct"/>
            <w:vMerge w:val="restart"/>
            <w:tcBorders>
              <w:top w:val="nil"/>
              <w:left w:val="single" w:sz="4" w:space="0" w:color="auto"/>
              <w:right w:val="single" w:sz="4" w:space="0" w:color="auto"/>
            </w:tcBorders>
            <w:shd w:val="clear" w:color="auto" w:fill="auto"/>
            <w:vAlign w:val="center"/>
            <w:hideMark/>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Mallee eucalypt polybractea</w:t>
            </w:r>
          </w:p>
        </w:tc>
        <w:tc>
          <w:tcPr>
            <w:tcW w:w="506" w:type="pct"/>
            <w:tcBorders>
              <w:top w:val="single" w:sz="4" w:space="0" w:color="auto"/>
              <w:left w:val="nil"/>
              <w:bottom w:val="single" w:sz="4" w:space="0" w:color="auto"/>
              <w:right w:val="single" w:sz="4" w:space="0" w:color="auto"/>
            </w:tcBorders>
            <w:vAlign w:val="center"/>
          </w:tcPr>
          <w:p w:rsidR="00F8769A" w:rsidRPr="00374785" w:rsidRDefault="00F8769A" w:rsidP="007A734A">
            <w:pPr>
              <w:keepNext/>
              <w:keepLines/>
              <w:jc w:val="center"/>
              <w:rPr>
                <w:rFonts w:cstheme="minorHAnsi"/>
                <w:color w:val="000000"/>
                <w:sz w:val="18"/>
                <w:szCs w:val="18"/>
              </w:rPr>
            </w:pPr>
            <w:r w:rsidRPr="00374785">
              <w:rPr>
                <w:rFonts w:cstheme="minorHAnsi"/>
                <w:color w:val="000000"/>
                <w:sz w:val="18"/>
                <w:szCs w:val="18"/>
              </w:rPr>
              <w:t>Block</w:t>
            </w:r>
          </w:p>
        </w:tc>
        <w:tc>
          <w:tcPr>
            <w:tcW w:w="881" w:type="pct"/>
            <w:tcBorders>
              <w:top w:val="single" w:sz="4" w:space="0" w:color="auto"/>
              <w:left w:val="single" w:sz="4" w:space="0" w:color="auto"/>
              <w:bottom w:val="single" w:sz="4" w:space="0" w:color="auto"/>
              <w:right w:val="single" w:sz="4" w:space="0" w:color="auto"/>
            </w:tcBorders>
            <w:vAlign w:val="center"/>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No sampling required</w:t>
            </w:r>
          </w:p>
        </w:tc>
        <w:tc>
          <w:tcPr>
            <w:tcW w:w="2334" w:type="pct"/>
            <w:tcBorders>
              <w:top w:val="nil"/>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Mallee eucalypt polybractea, Geometry block</w:t>
            </w:r>
          </w:p>
        </w:tc>
      </w:tr>
      <w:tr w:rsidR="00F8769A" w:rsidRPr="00374785" w:rsidTr="00F8769A">
        <w:trPr>
          <w:cantSplit/>
          <w:trHeight w:val="305"/>
        </w:trPr>
        <w:tc>
          <w:tcPr>
            <w:tcW w:w="599" w:type="pct"/>
            <w:vMerge/>
            <w:tcBorders>
              <w:left w:val="single" w:sz="4" w:space="0" w:color="auto"/>
              <w:bottom w:val="single" w:sz="4" w:space="0" w:color="auto"/>
              <w:right w:val="single" w:sz="4" w:space="0" w:color="auto"/>
            </w:tcBorders>
            <w:vAlign w:val="center"/>
          </w:tcPr>
          <w:p w:rsidR="00F8769A" w:rsidRPr="00374785" w:rsidRDefault="00F8769A" w:rsidP="007A734A">
            <w:pPr>
              <w:rPr>
                <w:rFonts w:cstheme="minorHAnsi"/>
                <w:color w:val="000000"/>
                <w:sz w:val="18"/>
                <w:szCs w:val="18"/>
              </w:rPr>
            </w:pPr>
          </w:p>
        </w:tc>
        <w:tc>
          <w:tcPr>
            <w:tcW w:w="680" w:type="pct"/>
            <w:vMerge/>
            <w:tcBorders>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keepNext/>
              <w:keepLines/>
              <w:rPr>
                <w:rFonts w:cstheme="minorHAnsi"/>
                <w:color w:val="000000"/>
                <w:sz w:val="18"/>
                <w:szCs w:val="18"/>
              </w:rPr>
            </w:pPr>
          </w:p>
        </w:tc>
        <w:tc>
          <w:tcPr>
            <w:tcW w:w="506" w:type="pct"/>
            <w:tcBorders>
              <w:top w:val="single" w:sz="4" w:space="0" w:color="auto"/>
              <w:left w:val="nil"/>
              <w:bottom w:val="single" w:sz="4" w:space="0" w:color="auto"/>
              <w:right w:val="single" w:sz="4" w:space="0" w:color="auto"/>
            </w:tcBorders>
            <w:vAlign w:val="center"/>
          </w:tcPr>
          <w:p w:rsidR="00F8769A" w:rsidRPr="00374785" w:rsidRDefault="00F8769A" w:rsidP="007A734A">
            <w:pPr>
              <w:keepNext/>
              <w:keepLines/>
              <w:jc w:val="center"/>
              <w:rPr>
                <w:rFonts w:cstheme="minorHAnsi"/>
                <w:color w:val="000000"/>
                <w:sz w:val="18"/>
                <w:szCs w:val="18"/>
              </w:rPr>
            </w:pPr>
            <w:r w:rsidRPr="00374785">
              <w:rPr>
                <w:rFonts w:cstheme="minorHAnsi"/>
                <w:color w:val="000000"/>
                <w:sz w:val="18"/>
                <w:szCs w:val="18"/>
              </w:rPr>
              <w:t>Wide linear</w:t>
            </w:r>
          </w:p>
        </w:tc>
        <w:tc>
          <w:tcPr>
            <w:tcW w:w="881" w:type="pct"/>
            <w:tcBorders>
              <w:top w:val="single" w:sz="4" w:space="0" w:color="auto"/>
              <w:left w:val="single" w:sz="4" w:space="0" w:color="auto"/>
              <w:bottom w:val="single" w:sz="4" w:space="0" w:color="auto"/>
              <w:right w:val="single" w:sz="4" w:space="0" w:color="auto"/>
            </w:tcBorders>
            <w:vAlign w:val="center"/>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No sampling required</w:t>
            </w:r>
          </w:p>
        </w:tc>
        <w:tc>
          <w:tcPr>
            <w:tcW w:w="2334" w:type="pct"/>
            <w:tcBorders>
              <w:top w:val="nil"/>
              <w:left w:val="single" w:sz="4" w:space="0" w:color="auto"/>
              <w:bottom w:val="single" w:sz="4" w:space="0" w:color="auto"/>
              <w:right w:val="single" w:sz="4" w:space="0" w:color="auto"/>
            </w:tcBorders>
            <w:shd w:val="clear" w:color="auto" w:fill="auto"/>
            <w:vAlign w:val="center"/>
            <w:hideMark/>
          </w:tcPr>
          <w:p w:rsidR="00F8769A" w:rsidRPr="00374785" w:rsidRDefault="00F8769A" w:rsidP="007A734A">
            <w:pPr>
              <w:keepNext/>
              <w:keepLines/>
              <w:rPr>
                <w:rFonts w:cstheme="minorHAnsi"/>
                <w:color w:val="000000"/>
                <w:sz w:val="18"/>
                <w:szCs w:val="18"/>
              </w:rPr>
            </w:pPr>
            <w:r w:rsidRPr="00374785">
              <w:rPr>
                <w:rFonts w:cstheme="minorHAnsi"/>
                <w:color w:val="000000"/>
                <w:sz w:val="18"/>
                <w:szCs w:val="18"/>
              </w:rPr>
              <w:t>Mallee eucalypt polybractea, Geometry wide</w:t>
            </w:r>
          </w:p>
        </w:tc>
      </w:tr>
    </w:tbl>
    <w:p w:rsidR="00323FA5" w:rsidRPr="00374785" w:rsidRDefault="00323FA5">
      <w:pPr>
        <w:rPr>
          <w:rFonts w:ascii="Arial" w:hAnsi="Arial" w:cs="Arial"/>
          <w:b/>
          <w:bCs/>
          <w:sz w:val="28"/>
          <w:szCs w:val="26"/>
        </w:rPr>
      </w:pPr>
      <w:r w:rsidRPr="00374785">
        <w:rPr>
          <w:rFonts w:cs="Arial"/>
          <w:iCs/>
          <w:sz w:val="28"/>
        </w:rPr>
        <w:br w:type="page"/>
      </w:r>
    </w:p>
    <w:p w:rsidR="009C707A" w:rsidRPr="00374785" w:rsidRDefault="00E11F90" w:rsidP="007128B6">
      <w:pPr>
        <w:pStyle w:val="h5Section"/>
        <w:ind w:left="2170" w:hanging="2170"/>
        <w:rPr>
          <w:rFonts w:cs="Arial"/>
          <w:iCs w:val="0"/>
          <w:sz w:val="28"/>
        </w:rPr>
      </w:pPr>
      <w:bookmarkStart w:id="114" w:name="_Toc397681657"/>
      <w:r w:rsidRPr="00374785">
        <w:rPr>
          <w:rFonts w:cs="Arial"/>
          <w:iCs w:val="0"/>
          <w:sz w:val="28"/>
        </w:rPr>
        <w:lastRenderedPageBreak/>
        <w:t xml:space="preserve">Schedule </w:t>
      </w:r>
      <w:r w:rsidR="00323FA5" w:rsidRPr="00374785">
        <w:rPr>
          <w:rFonts w:cs="Arial"/>
          <w:iCs w:val="0"/>
          <w:sz w:val="28"/>
        </w:rPr>
        <w:t>2</w:t>
      </w:r>
      <w:r w:rsidRPr="00374785">
        <w:rPr>
          <w:rFonts w:cs="Arial"/>
          <w:iCs w:val="0"/>
          <w:sz w:val="28"/>
        </w:rPr>
        <w:tab/>
      </w:r>
      <w:r w:rsidR="00FD24DF" w:rsidRPr="00374785">
        <w:rPr>
          <w:rFonts w:cs="Arial"/>
          <w:iCs w:val="0"/>
          <w:sz w:val="28"/>
        </w:rPr>
        <w:t>Planting geometry requirements for</w:t>
      </w:r>
      <w:r w:rsidR="00302A90" w:rsidRPr="00374785">
        <w:rPr>
          <w:rFonts w:cs="Arial"/>
          <w:iCs w:val="0"/>
          <w:sz w:val="28"/>
        </w:rPr>
        <w:t xml:space="preserve"> belt plantings planted in rows</w:t>
      </w:r>
      <w:bookmarkEnd w:id="114"/>
    </w:p>
    <w:p w:rsidR="00E11F90" w:rsidRPr="00374785" w:rsidRDefault="00E11F90" w:rsidP="00E11F90"/>
    <w:tbl>
      <w:tblPr>
        <w:tblW w:w="5000" w:type="pct"/>
        <w:tblLook w:val="04A0"/>
      </w:tblPr>
      <w:tblGrid>
        <w:gridCol w:w="1899"/>
        <w:gridCol w:w="1155"/>
        <w:gridCol w:w="2240"/>
        <w:gridCol w:w="2153"/>
        <w:gridCol w:w="1795"/>
      </w:tblGrid>
      <w:tr w:rsidR="006958A3" w:rsidRPr="00374785" w:rsidTr="00DC2FC3">
        <w:trPr>
          <w:trHeight w:val="1192"/>
        </w:trPr>
        <w:tc>
          <w:tcPr>
            <w:tcW w:w="102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803B6" w:rsidRPr="00374785" w:rsidRDefault="000803B6" w:rsidP="000803B6">
            <w:pPr>
              <w:jc w:val="center"/>
              <w:rPr>
                <w:b/>
                <w:bCs/>
                <w:color w:val="000000"/>
                <w:sz w:val="20"/>
                <w:szCs w:val="20"/>
              </w:rPr>
            </w:pPr>
            <w:r w:rsidRPr="00374785">
              <w:rPr>
                <w:b/>
                <w:bCs/>
                <w:color w:val="000000"/>
                <w:sz w:val="20"/>
                <w:szCs w:val="20"/>
              </w:rPr>
              <w:t>Planting Type</w:t>
            </w:r>
          </w:p>
        </w:tc>
        <w:tc>
          <w:tcPr>
            <w:tcW w:w="625" w:type="pct"/>
            <w:tcBorders>
              <w:top w:val="single" w:sz="8" w:space="0" w:color="auto"/>
              <w:left w:val="nil"/>
              <w:bottom w:val="single" w:sz="8" w:space="0" w:color="auto"/>
              <w:right w:val="single" w:sz="8" w:space="0" w:color="auto"/>
            </w:tcBorders>
            <w:shd w:val="clear" w:color="auto" w:fill="auto"/>
            <w:vAlign w:val="center"/>
            <w:hideMark/>
          </w:tcPr>
          <w:p w:rsidR="000803B6" w:rsidRPr="00374785" w:rsidRDefault="000803B6" w:rsidP="000803B6">
            <w:pPr>
              <w:jc w:val="center"/>
              <w:rPr>
                <w:b/>
                <w:bCs/>
                <w:color w:val="000000"/>
                <w:sz w:val="20"/>
                <w:szCs w:val="20"/>
              </w:rPr>
            </w:pPr>
            <w:r w:rsidRPr="00374785">
              <w:rPr>
                <w:b/>
                <w:bCs/>
                <w:color w:val="000000"/>
                <w:sz w:val="20"/>
                <w:szCs w:val="20"/>
              </w:rPr>
              <w:t>Planting geometry</w:t>
            </w:r>
          </w:p>
        </w:tc>
        <w:tc>
          <w:tcPr>
            <w:tcW w:w="1212" w:type="pct"/>
            <w:tcBorders>
              <w:top w:val="single" w:sz="8" w:space="0" w:color="auto"/>
              <w:left w:val="nil"/>
              <w:bottom w:val="single" w:sz="8" w:space="0" w:color="auto"/>
              <w:right w:val="single" w:sz="8" w:space="0" w:color="auto"/>
            </w:tcBorders>
            <w:shd w:val="clear" w:color="auto" w:fill="auto"/>
            <w:vAlign w:val="center"/>
            <w:hideMark/>
          </w:tcPr>
          <w:p w:rsidR="000803B6" w:rsidRPr="00374785" w:rsidRDefault="000803B6" w:rsidP="000803B6">
            <w:pPr>
              <w:jc w:val="center"/>
              <w:rPr>
                <w:b/>
                <w:bCs/>
                <w:color w:val="000000"/>
                <w:sz w:val="20"/>
                <w:szCs w:val="20"/>
              </w:rPr>
            </w:pPr>
            <w:r w:rsidRPr="00374785">
              <w:rPr>
                <w:b/>
                <w:bCs/>
                <w:color w:val="000000"/>
                <w:sz w:val="20"/>
                <w:szCs w:val="20"/>
              </w:rPr>
              <w:t>Number of rows in a belt planting (R)</w:t>
            </w:r>
            <w:r w:rsidRPr="00374785">
              <w:rPr>
                <w:b/>
                <w:bCs/>
                <w:color w:val="000000"/>
                <w:sz w:val="20"/>
                <w:szCs w:val="20"/>
                <w:vertAlign w:val="superscript"/>
              </w:rPr>
              <w:t>1</w:t>
            </w:r>
          </w:p>
        </w:tc>
        <w:tc>
          <w:tcPr>
            <w:tcW w:w="1165" w:type="pct"/>
            <w:tcBorders>
              <w:top w:val="single" w:sz="8" w:space="0" w:color="auto"/>
              <w:left w:val="nil"/>
              <w:bottom w:val="single" w:sz="8" w:space="0" w:color="auto"/>
              <w:right w:val="single" w:sz="8" w:space="0" w:color="auto"/>
            </w:tcBorders>
            <w:shd w:val="clear" w:color="auto" w:fill="auto"/>
            <w:vAlign w:val="center"/>
            <w:hideMark/>
          </w:tcPr>
          <w:p w:rsidR="000803B6" w:rsidRPr="00374785" w:rsidRDefault="000803B6" w:rsidP="000803B6">
            <w:pPr>
              <w:jc w:val="center"/>
              <w:rPr>
                <w:b/>
                <w:bCs/>
                <w:color w:val="000000"/>
                <w:sz w:val="20"/>
                <w:szCs w:val="20"/>
                <w:vertAlign w:val="superscript"/>
              </w:rPr>
            </w:pPr>
            <w:r w:rsidRPr="00374785">
              <w:rPr>
                <w:b/>
                <w:bCs/>
                <w:color w:val="000000"/>
                <w:sz w:val="20"/>
                <w:szCs w:val="20"/>
              </w:rPr>
              <w:t>Maximum permitted row width for a belt planting (M)</w:t>
            </w:r>
            <w:r w:rsidRPr="00374785">
              <w:rPr>
                <w:b/>
                <w:bCs/>
                <w:color w:val="000000"/>
                <w:sz w:val="20"/>
                <w:szCs w:val="20"/>
                <w:vertAlign w:val="superscript"/>
              </w:rPr>
              <w:t>1</w:t>
            </w:r>
          </w:p>
          <w:p w:rsidR="000803B6" w:rsidRPr="00374785" w:rsidRDefault="000803B6" w:rsidP="000803B6">
            <w:pPr>
              <w:jc w:val="center"/>
              <w:rPr>
                <w:b/>
                <w:bCs/>
                <w:color w:val="000000"/>
                <w:sz w:val="20"/>
                <w:szCs w:val="20"/>
              </w:rPr>
            </w:pPr>
            <w:r w:rsidRPr="00374785">
              <w:rPr>
                <w:b/>
                <w:bCs/>
                <w:color w:val="000000"/>
                <w:sz w:val="20"/>
                <w:szCs w:val="20"/>
              </w:rPr>
              <w:t>(metres)</w:t>
            </w:r>
          </w:p>
        </w:tc>
        <w:tc>
          <w:tcPr>
            <w:tcW w:w="971" w:type="pct"/>
            <w:tcBorders>
              <w:top w:val="single" w:sz="8" w:space="0" w:color="auto"/>
              <w:left w:val="nil"/>
              <w:bottom w:val="single" w:sz="8" w:space="0" w:color="auto"/>
              <w:right w:val="single" w:sz="8" w:space="0" w:color="auto"/>
            </w:tcBorders>
            <w:shd w:val="clear" w:color="auto" w:fill="auto"/>
            <w:vAlign w:val="center"/>
            <w:hideMark/>
          </w:tcPr>
          <w:p w:rsidR="000803B6" w:rsidRPr="00374785" w:rsidRDefault="000803B6" w:rsidP="000803B6">
            <w:pPr>
              <w:jc w:val="center"/>
              <w:rPr>
                <w:b/>
                <w:bCs/>
                <w:color w:val="000000"/>
                <w:sz w:val="20"/>
                <w:szCs w:val="20"/>
                <w:vertAlign w:val="superscript"/>
              </w:rPr>
            </w:pPr>
            <w:r w:rsidRPr="00374785">
              <w:rPr>
                <w:b/>
                <w:bCs/>
                <w:color w:val="000000"/>
                <w:sz w:val="20"/>
                <w:szCs w:val="20"/>
              </w:rPr>
              <w:t>Maximum permitted width for a belt planting (A)</w:t>
            </w:r>
            <w:r w:rsidRPr="00374785">
              <w:rPr>
                <w:b/>
                <w:bCs/>
                <w:color w:val="000000"/>
                <w:sz w:val="20"/>
                <w:szCs w:val="20"/>
                <w:vertAlign w:val="superscript"/>
              </w:rPr>
              <w:t>1</w:t>
            </w:r>
          </w:p>
          <w:p w:rsidR="000803B6" w:rsidRPr="00374785" w:rsidRDefault="000803B6" w:rsidP="000803B6">
            <w:pPr>
              <w:jc w:val="center"/>
              <w:rPr>
                <w:b/>
                <w:bCs/>
                <w:color w:val="000000"/>
                <w:sz w:val="20"/>
                <w:szCs w:val="20"/>
              </w:rPr>
            </w:pPr>
            <w:r w:rsidRPr="00374785">
              <w:rPr>
                <w:b/>
                <w:bCs/>
                <w:color w:val="000000"/>
                <w:sz w:val="20"/>
                <w:szCs w:val="20"/>
              </w:rPr>
              <w:t>(metres)</w:t>
            </w:r>
          </w:p>
        </w:tc>
      </w:tr>
      <w:tr w:rsidR="006958A3" w:rsidRPr="00374785" w:rsidTr="006958A3">
        <w:trPr>
          <w:trHeight w:val="50"/>
        </w:trPr>
        <w:tc>
          <w:tcPr>
            <w:tcW w:w="1027" w:type="pct"/>
            <w:vMerge w:val="restart"/>
            <w:tcBorders>
              <w:top w:val="single" w:sz="2" w:space="0" w:color="auto"/>
              <w:left w:val="single" w:sz="8" w:space="0" w:color="auto"/>
              <w:bottom w:val="single" w:sz="8" w:space="0" w:color="000000"/>
              <w:right w:val="single" w:sz="4" w:space="0" w:color="auto"/>
            </w:tcBorders>
            <w:shd w:val="clear" w:color="auto" w:fill="auto"/>
            <w:vAlign w:val="center"/>
            <w:hideMark/>
          </w:tcPr>
          <w:p w:rsidR="000803B6" w:rsidRPr="00374785" w:rsidRDefault="000803B6" w:rsidP="006958A3">
            <w:pPr>
              <w:jc w:val="center"/>
              <w:rPr>
                <w:b/>
                <w:bCs/>
                <w:color w:val="000000"/>
                <w:sz w:val="20"/>
                <w:szCs w:val="20"/>
              </w:rPr>
            </w:pPr>
            <w:r w:rsidRPr="00374785">
              <w:rPr>
                <w:b/>
                <w:bCs/>
                <w:color w:val="000000"/>
                <w:sz w:val="20"/>
                <w:szCs w:val="20"/>
              </w:rPr>
              <w:t>Mallee Planting</w:t>
            </w:r>
            <w:r w:rsidR="006958A3" w:rsidRPr="00374785">
              <w:rPr>
                <w:b/>
                <w:bCs/>
                <w:color w:val="000000"/>
                <w:sz w:val="20"/>
                <w:szCs w:val="20"/>
              </w:rPr>
              <w:t xml:space="preserve"> </w:t>
            </w:r>
            <w:r w:rsidRPr="00374785">
              <w:rPr>
                <w:color w:val="000000"/>
                <w:sz w:val="20"/>
                <w:szCs w:val="20"/>
              </w:rPr>
              <w:t>(planted in rows)</w:t>
            </w:r>
          </w:p>
        </w:tc>
        <w:tc>
          <w:tcPr>
            <w:tcW w:w="625" w:type="pct"/>
            <w:tcBorders>
              <w:top w:val="single" w:sz="2" w:space="0" w:color="auto"/>
              <w:left w:val="nil"/>
              <w:bottom w:val="single" w:sz="4" w:space="0" w:color="auto"/>
              <w:right w:val="single" w:sz="4" w:space="0" w:color="auto"/>
            </w:tcBorders>
            <w:shd w:val="clear" w:color="auto" w:fill="auto"/>
            <w:vAlign w:val="center"/>
            <w:hideMark/>
          </w:tcPr>
          <w:p w:rsidR="000803B6" w:rsidRPr="00374785" w:rsidRDefault="000803B6" w:rsidP="00302A90">
            <w:pPr>
              <w:rPr>
                <w:color w:val="000000"/>
                <w:sz w:val="20"/>
                <w:szCs w:val="20"/>
              </w:rPr>
            </w:pPr>
            <w:r w:rsidRPr="00374785">
              <w:rPr>
                <w:color w:val="000000"/>
                <w:sz w:val="20"/>
                <w:szCs w:val="20"/>
              </w:rPr>
              <w:t>Narrow Linear</w:t>
            </w:r>
          </w:p>
        </w:tc>
        <w:tc>
          <w:tcPr>
            <w:tcW w:w="1212" w:type="pct"/>
            <w:tcBorders>
              <w:top w:val="single" w:sz="2" w:space="0" w:color="auto"/>
              <w:left w:val="nil"/>
              <w:bottom w:val="single" w:sz="4" w:space="0" w:color="auto"/>
              <w:right w:val="single" w:sz="4" w:space="0" w:color="auto"/>
            </w:tcBorders>
            <w:shd w:val="clear" w:color="auto" w:fill="auto"/>
            <w:vAlign w:val="center"/>
            <w:hideMark/>
          </w:tcPr>
          <w:p w:rsidR="000803B6" w:rsidRPr="00374785" w:rsidRDefault="000803B6" w:rsidP="00302A90">
            <w:pPr>
              <w:jc w:val="center"/>
              <w:rPr>
                <w:color w:val="000000"/>
                <w:sz w:val="20"/>
                <w:szCs w:val="20"/>
              </w:rPr>
            </w:pPr>
            <w:r w:rsidRPr="00374785">
              <w:rPr>
                <w:color w:val="000000"/>
                <w:sz w:val="20"/>
                <w:szCs w:val="20"/>
              </w:rPr>
              <w:t>2</w:t>
            </w:r>
          </w:p>
        </w:tc>
        <w:tc>
          <w:tcPr>
            <w:tcW w:w="1165" w:type="pct"/>
            <w:tcBorders>
              <w:top w:val="single" w:sz="2" w:space="0" w:color="auto"/>
              <w:left w:val="nil"/>
              <w:bottom w:val="single" w:sz="4" w:space="0" w:color="auto"/>
              <w:right w:val="single" w:sz="4" w:space="0" w:color="auto"/>
            </w:tcBorders>
            <w:shd w:val="clear" w:color="auto" w:fill="auto"/>
            <w:noWrap/>
            <w:vAlign w:val="center"/>
            <w:hideMark/>
          </w:tcPr>
          <w:p w:rsidR="000803B6" w:rsidRPr="00374785" w:rsidRDefault="000803B6" w:rsidP="000803B6">
            <w:pPr>
              <w:jc w:val="center"/>
              <w:rPr>
                <w:color w:val="000000"/>
                <w:sz w:val="20"/>
                <w:szCs w:val="20"/>
              </w:rPr>
            </w:pPr>
            <w:r w:rsidRPr="00374785">
              <w:rPr>
                <w:color w:val="000000"/>
                <w:sz w:val="20"/>
                <w:szCs w:val="20"/>
              </w:rPr>
              <w:t xml:space="preserve">4 </w:t>
            </w:r>
          </w:p>
        </w:tc>
        <w:tc>
          <w:tcPr>
            <w:tcW w:w="971" w:type="pct"/>
            <w:tcBorders>
              <w:top w:val="single" w:sz="2" w:space="0" w:color="auto"/>
              <w:left w:val="single" w:sz="8" w:space="0" w:color="auto"/>
              <w:bottom w:val="single" w:sz="4" w:space="0" w:color="auto"/>
              <w:right w:val="single" w:sz="8" w:space="0" w:color="auto"/>
            </w:tcBorders>
            <w:shd w:val="clear" w:color="auto" w:fill="auto"/>
            <w:vAlign w:val="center"/>
            <w:hideMark/>
          </w:tcPr>
          <w:p w:rsidR="000803B6" w:rsidRPr="00374785" w:rsidRDefault="000803B6" w:rsidP="000803B6">
            <w:pPr>
              <w:jc w:val="center"/>
              <w:rPr>
                <w:color w:val="000000"/>
                <w:sz w:val="20"/>
                <w:szCs w:val="20"/>
              </w:rPr>
            </w:pPr>
            <w:r w:rsidRPr="00374785">
              <w:rPr>
                <w:color w:val="000000"/>
                <w:sz w:val="20"/>
                <w:szCs w:val="20"/>
              </w:rPr>
              <w:t xml:space="preserve">4 </w:t>
            </w:r>
          </w:p>
        </w:tc>
      </w:tr>
      <w:tr w:rsidR="006958A3" w:rsidRPr="00374785" w:rsidTr="006958A3">
        <w:trPr>
          <w:trHeight w:val="261"/>
        </w:trPr>
        <w:tc>
          <w:tcPr>
            <w:tcW w:w="1027" w:type="pct"/>
            <w:vMerge/>
            <w:tcBorders>
              <w:top w:val="nil"/>
              <w:left w:val="single" w:sz="8" w:space="0" w:color="auto"/>
              <w:bottom w:val="single" w:sz="8" w:space="0" w:color="000000"/>
              <w:right w:val="single" w:sz="4" w:space="0" w:color="auto"/>
            </w:tcBorders>
            <w:vAlign w:val="center"/>
            <w:hideMark/>
          </w:tcPr>
          <w:p w:rsidR="006958A3" w:rsidRPr="00374785" w:rsidRDefault="006958A3" w:rsidP="00302A90">
            <w:pPr>
              <w:rPr>
                <w:b/>
                <w:bCs/>
                <w:color w:val="000000"/>
                <w:sz w:val="20"/>
                <w:szCs w:val="20"/>
              </w:rPr>
            </w:pPr>
          </w:p>
        </w:tc>
        <w:tc>
          <w:tcPr>
            <w:tcW w:w="625" w:type="pct"/>
            <w:vMerge w:val="restart"/>
            <w:tcBorders>
              <w:top w:val="nil"/>
              <w:left w:val="nil"/>
              <w:right w:val="single" w:sz="4" w:space="0" w:color="auto"/>
            </w:tcBorders>
            <w:shd w:val="clear" w:color="auto" w:fill="auto"/>
            <w:vAlign w:val="center"/>
            <w:hideMark/>
          </w:tcPr>
          <w:p w:rsidR="006958A3" w:rsidRPr="00374785" w:rsidRDefault="006958A3" w:rsidP="006958A3">
            <w:pPr>
              <w:rPr>
                <w:color w:val="000000"/>
                <w:sz w:val="20"/>
                <w:szCs w:val="20"/>
              </w:rPr>
            </w:pPr>
            <w:r w:rsidRPr="00374785">
              <w:rPr>
                <w:color w:val="000000"/>
                <w:sz w:val="20"/>
                <w:szCs w:val="20"/>
              </w:rPr>
              <w:t>Wide Linear</w:t>
            </w:r>
          </w:p>
        </w:tc>
        <w:tc>
          <w:tcPr>
            <w:tcW w:w="1212" w:type="pct"/>
            <w:tcBorders>
              <w:top w:val="nil"/>
              <w:left w:val="nil"/>
              <w:bottom w:val="single" w:sz="4" w:space="0" w:color="auto"/>
              <w:right w:val="single" w:sz="4" w:space="0" w:color="auto"/>
            </w:tcBorders>
            <w:shd w:val="clear" w:color="auto" w:fill="auto"/>
            <w:vAlign w:val="center"/>
            <w:hideMark/>
          </w:tcPr>
          <w:p w:rsidR="006958A3" w:rsidRPr="00374785" w:rsidRDefault="006958A3" w:rsidP="00302A90">
            <w:pPr>
              <w:jc w:val="center"/>
              <w:rPr>
                <w:color w:val="000000"/>
                <w:sz w:val="20"/>
                <w:szCs w:val="20"/>
              </w:rPr>
            </w:pPr>
            <w:r w:rsidRPr="00374785">
              <w:rPr>
                <w:color w:val="000000"/>
                <w:sz w:val="20"/>
                <w:szCs w:val="20"/>
              </w:rPr>
              <w:t>3</w:t>
            </w:r>
          </w:p>
        </w:tc>
        <w:tc>
          <w:tcPr>
            <w:tcW w:w="1165" w:type="pct"/>
            <w:tcBorders>
              <w:top w:val="nil"/>
              <w:left w:val="nil"/>
              <w:bottom w:val="single" w:sz="4" w:space="0" w:color="auto"/>
              <w:right w:val="single" w:sz="4" w:space="0" w:color="auto"/>
            </w:tcBorders>
            <w:shd w:val="clear" w:color="auto" w:fill="auto"/>
            <w:noWrap/>
            <w:vAlign w:val="center"/>
            <w:hideMark/>
          </w:tcPr>
          <w:p w:rsidR="006958A3" w:rsidRPr="00374785" w:rsidRDefault="006958A3" w:rsidP="000803B6">
            <w:pPr>
              <w:jc w:val="center"/>
              <w:rPr>
                <w:color w:val="000000"/>
                <w:sz w:val="20"/>
                <w:szCs w:val="20"/>
              </w:rPr>
            </w:pPr>
            <w:r w:rsidRPr="00374785">
              <w:rPr>
                <w:color w:val="000000"/>
                <w:sz w:val="20"/>
                <w:szCs w:val="20"/>
              </w:rPr>
              <w:t xml:space="preserve">3 </w:t>
            </w:r>
          </w:p>
        </w:tc>
        <w:tc>
          <w:tcPr>
            <w:tcW w:w="971" w:type="pct"/>
            <w:tcBorders>
              <w:top w:val="nil"/>
              <w:left w:val="single" w:sz="8" w:space="0" w:color="auto"/>
              <w:bottom w:val="single" w:sz="4" w:space="0" w:color="auto"/>
              <w:right w:val="single" w:sz="8" w:space="0" w:color="auto"/>
            </w:tcBorders>
            <w:shd w:val="clear" w:color="auto" w:fill="auto"/>
            <w:vAlign w:val="center"/>
            <w:hideMark/>
          </w:tcPr>
          <w:p w:rsidR="006958A3" w:rsidRPr="00374785" w:rsidRDefault="006958A3" w:rsidP="000803B6">
            <w:pPr>
              <w:jc w:val="center"/>
              <w:rPr>
                <w:color w:val="000000"/>
                <w:sz w:val="20"/>
                <w:szCs w:val="20"/>
              </w:rPr>
            </w:pPr>
            <w:r w:rsidRPr="00374785">
              <w:rPr>
                <w:color w:val="000000"/>
                <w:sz w:val="20"/>
                <w:szCs w:val="20"/>
              </w:rPr>
              <w:t xml:space="preserve">6 </w:t>
            </w:r>
          </w:p>
        </w:tc>
      </w:tr>
      <w:tr w:rsidR="006958A3" w:rsidRPr="00374785" w:rsidTr="006958A3">
        <w:trPr>
          <w:trHeight w:val="70"/>
        </w:trPr>
        <w:tc>
          <w:tcPr>
            <w:tcW w:w="1027" w:type="pct"/>
            <w:vMerge/>
            <w:tcBorders>
              <w:top w:val="nil"/>
              <w:left w:val="single" w:sz="8" w:space="0" w:color="auto"/>
              <w:bottom w:val="single" w:sz="8" w:space="0" w:color="000000"/>
              <w:right w:val="single" w:sz="4" w:space="0" w:color="auto"/>
            </w:tcBorders>
            <w:vAlign w:val="center"/>
            <w:hideMark/>
          </w:tcPr>
          <w:p w:rsidR="006958A3" w:rsidRPr="00374785" w:rsidRDefault="006958A3" w:rsidP="00302A90">
            <w:pPr>
              <w:rPr>
                <w:b/>
                <w:bCs/>
                <w:color w:val="000000"/>
                <w:sz w:val="20"/>
                <w:szCs w:val="20"/>
              </w:rPr>
            </w:pPr>
          </w:p>
        </w:tc>
        <w:tc>
          <w:tcPr>
            <w:tcW w:w="625" w:type="pct"/>
            <w:vMerge/>
            <w:tcBorders>
              <w:left w:val="nil"/>
              <w:right w:val="single" w:sz="4" w:space="0" w:color="auto"/>
            </w:tcBorders>
            <w:shd w:val="clear" w:color="auto" w:fill="auto"/>
            <w:vAlign w:val="center"/>
            <w:hideMark/>
          </w:tcPr>
          <w:p w:rsidR="006958A3" w:rsidRPr="00374785" w:rsidRDefault="006958A3" w:rsidP="00302A90">
            <w:pPr>
              <w:spacing w:before="120"/>
              <w:rPr>
                <w:color w:val="000000"/>
                <w:sz w:val="20"/>
                <w:szCs w:val="20"/>
              </w:rPr>
            </w:pPr>
          </w:p>
        </w:tc>
        <w:tc>
          <w:tcPr>
            <w:tcW w:w="1212" w:type="pct"/>
            <w:tcBorders>
              <w:top w:val="nil"/>
              <w:left w:val="nil"/>
              <w:bottom w:val="single" w:sz="4" w:space="0" w:color="auto"/>
              <w:right w:val="single" w:sz="4" w:space="0" w:color="auto"/>
            </w:tcBorders>
            <w:shd w:val="clear" w:color="auto" w:fill="auto"/>
            <w:vAlign w:val="center"/>
            <w:hideMark/>
          </w:tcPr>
          <w:p w:rsidR="006958A3" w:rsidRPr="00374785" w:rsidRDefault="006958A3" w:rsidP="00302A90">
            <w:pPr>
              <w:jc w:val="center"/>
              <w:rPr>
                <w:color w:val="000000"/>
                <w:sz w:val="20"/>
                <w:szCs w:val="20"/>
              </w:rPr>
            </w:pPr>
            <w:r w:rsidRPr="00374785">
              <w:rPr>
                <w:color w:val="000000"/>
                <w:sz w:val="20"/>
                <w:szCs w:val="20"/>
              </w:rPr>
              <w:t>4</w:t>
            </w:r>
          </w:p>
        </w:tc>
        <w:tc>
          <w:tcPr>
            <w:tcW w:w="1165" w:type="pct"/>
            <w:tcBorders>
              <w:top w:val="nil"/>
              <w:left w:val="nil"/>
              <w:bottom w:val="single" w:sz="4" w:space="0" w:color="auto"/>
              <w:right w:val="single" w:sz="4" w:space="0" w:color="auto"/>
            </w:tcBorders>
            <w:shd w:val="clear" w:color="auto" w:fill="auto"/>
            <w:noWrap/>
            <w:vAlign w:val="center"/>
            <w:hideMark/>
          </w:tcPr>
          <w:p w:rsidR="006958A3" w:rsidRPr="00374785" w:rsidRDefault="006958A3" w:rsidP="000803B6">
            <w:pPr>
              <w:jc w:val="center"/>
              <w:rPr>
                <w:color w:val="000000"/>
                <w:sz w:val="20"/>
                <w:szCs w:val="20"/>
              </w:rPr>
            </w:pPr>
            <w:r w:rsidRPr="00374785">
              <w:rPr>
                <w:color w:val="000000"/>
                <w:sz w:val="20"/>
                <w:szCs w:val="20"/>
              </w:rPr>
              <w:t xml:space="preserve">2.67 </w:t>
            </w:r>
          </w:p>
        </w:tc>
        <w:tc>
          <w:tcPr>
            <w:tcW w:w="971" w:type="pct"/>
            <w:tcBorders>
              <w:top w:val="nil"/>
              <w:left w:val="single" w:sz="8" w:space="0" w:color="auto"/>
              <w:bottom w:val="single" w:sz="4" w:space="0" w:color="auto"/>
              <w:right w:val="single" w:sz="8" w:space="0" w:color="auto"/>
            </w:tcBorders>
            <w:shd w:val="clear" w:color="auto" w:fill="auto"/>
            <w:vAlign w:val="center"/>
            <w:hideMark/>
          </w:tcPr>
          <w:p w:rsidR="006958A3" w:rsidRPr="00374785" w:rsidRDefault="006958A3" w:rsidP="000803B6">
            <w:pPr>
              <w:jc w:val="center"/>
              <w:rPr>
                <w:color w:val="000000"/>
                <w:sz w:val="20"/>
                <w:szCs w:val="20"/>
              </w:rPr>
            </w:pPr>
            <w:r w:rsidRPr="00374785">
              <w:rPr>
                <w:color w:val="000000"/>
                <w:sz w:val="20"/>
                <w:szCs w:val="20"/>
              </w:rPr>
              <w:t xml:space="preserve">8 </w:t>
            </w:r>
          </w:p>
        </w:tc>
      </w:tr>
      <w:tr w:rsidR="006958A3" w:rsidRPr="00374785" w:rsidTr="006958A3">
        <w:trPr>
          <w:trHeight w:val="173"/>
        </w:trPr>
        <w:tc>
          <w:tcPr>
            <w:tcW w:w="1027" w:type="pct"/>
            <w:vMerge/>
            <w:tcBorders>
              <w:top w:val="nil"/>
              <w:left w:val="single" w:sz="8" w:space="0" w:color="auto"/>
              <w:bottom w:val="single" w:sz="8" w:space="0" w:color="000000"/>
              <w:right w:val="single" w:sz="4" w:space="0" w:color="auto"/>
            </w:tcBorders>
            <w:vAlign w:val="center"/>
            <w:hideMark/>
          </w:tcPr>
          <w:p w:rsidR="006958A3" w:rsidRPr="00374785" w:rsidRDefault="006958A3" w:rsidP="00302A90">
            <w:pPr>
              <w:rPr>
                <w:b/>
                <w:bCs/>
                <w:color w:val="000000"/>
                <w:sz w:val="20"/>
                <w:szCs w:val="20"/>
              </w:rPr>
            </w:pPr>
          </w:p>
        </w:tc>
        <w:tc>
          <w:tcPr>
            <w:tcW w:w="625" w:type="pct"/>
            <w:vMerge/>
            <w:tcBorders>
              <w:left w:val="nil"/>
              <w:right w:val="single" w:sz="4" w:space="0" w:color="auto"/>
            </w:tcBorders>
            <w:shd w:val="clear" w:color="auto" w:fill="auto"/>
            <w:vAlign w:val="center"/>
            <w:hideMark/>
          </w:tcPr>
          <w:p w:rsidR="006958A3" w:rsidRPr="00374785" w:rsidRDefault="006958A3" w:rsidP="00302A90">
            <w:pPr>
              <w:spacing w:before="120"/>
              <w:rPr>
                <w:color w:val="000000"/>
                <w:sz w:val="20"/>
                <w:szCs w:val="20"/>
              </w:rPr>
            </w:pPr>
          </w:p>
        </w:tc>
        <w:tc>
          <w:tcPr>
            <w:tcW w:w="1212" w:type="pct"/>
            <w:tcBorders>
              <w:top w:val="nil"/>
              <w:left w:val="nil"/>
              <w:bottom w:val="single" w:sz="4" w:space="0" w:color="auto"/>
              <w:right w:val="single" w:sz="4" w:space="0" w:color="auto"/>
            </w:tcBorders>
            <w:shd w:val="clear" w:color="auto" w:fill="auto"/>
            <w:vAlign w:val="center"/>
            <w:hideMark/>
          </w:tcPr>
          <w:p w:rsidR="006958A3" w:rsidRPr="00374785" w:rsidRDefault="006958A3" w:rsidP="00302A90">
            <w:pPr>
              <w:jc w:val="center"/>
              <w:rPr>
                <w:color w:val="000000"/>
                <w:sz w:val="20"/>
                <w:szCs w:val="20"/>
              </w:rPr>
            </w:pPr>
            <w:r w:rsidRPr="00374785">
              <w:rPr>
                <w:color w:val="000000"/>
                <w:sz w:val="20"/>
                <w:szCs w:val="20"/>
              </w:rPr>
              <w:t>5</w:t>
            </w:r>
          </w:p>
        </w:tc>
        <w:tc>
          <w:tcPr>
            <w:tcW w:w="1165" w:type="pct"/>
            <w:tcBorders>
              <w:top w:val="nil"/>
              <w:left w:val="nil"/>
              <w:bottom w:val="single" w:sz="4" w:space="0" w:color="auto"/>
              <w:right w:val="single" w:sz="4" w:space="0" w:color="auto"/>
            </w:tcBorders>
            <w:shd w:val="clear" w:color="auto" w:fill="auto"/>
            <w:noWrap/>
            <w:vAlign w:val="center"/>
            <w:hideMark/>
          </w:tcPr>
          <w:p w:rsidR="006958A3" w:rsidRPr="00374785" w:rsidRDefault="006958A3" w:rsidP="000803B6">
            <w:pPr>
              <w:jc w:val="center"/>
              <w:rPr>
                <w:color w:val="000000"/>
                <w:sz w:val="20"/>
                <w:szCs w:val="20"/>
              </w:rPr>
            </w:pPr>
            <w:r w:rsidRPr="00374785">
              <w:rPr>
                <w:color w:val="000000"/>
                <w:sz w:val="20"/>
                <w:szCs w:val="20"/>
              </w:rPr>
              <w:t xml:space="preserve">2.5 </w:t>
            </w:r>
          </w:p>
        </w:tc>
        <w:tc>
          <w:tcPr>
            <w:tcW w:w="971" w:type="pct"/>
            <w:tcBorders>
              <w:top w:val="nil"/>
              <w:left w:val="single" w:sz="8" w:space="0" w:color="auto"/>
              <w:bottom w:val="single" w:sz="4" w:space="0" w:color="auto"/>
              <w:right w:val="single" w:sz="8" w:space="0" w:color="auto"/>
            </w:tcBorders>
            <w:shd w:val="clear" w:color="auto" w:fill="auto"/>
            <w:vAlign w:val="center"/>
            <w:hideMark/>
          </w:tcPr>
          <w:p w:rsidR="006958A3" w:rsidRPr="00374785" w:rsidRDefault="006958A3" w:rsidP="000803B6">
            <w:pPr>
              <w:jc w:val="center"/>
              <w:rPr>
                <w:color w:val="000000"/>
                <w:sz w:val="20"/>
                <w:szCs w:val="20"/>
              </w:rPr>
            </w:pPr>
            <w:r w:rsidRPr="00374785">
              <w:rPr>
                <w:color w:val="000000"/>
                <w:sz w:val="20"/>
                <w:szCs w:val="20"/>
              </w:rPr>
              <w:t xml:space="preserve">10 </w:t>
            </w:r>
          </w:p>
        </w:tc>
      </w:tr>
      <w:tr w:rsidR="006958A3" w:rsidRPr="00374785" w:rsidTr="006958A3">
        <w:trPr>
          <w:trHeight w:val="135"/>
        </w:trPr>
        <w:tc>
          <w:tcPr>
            <w:tcW w:w="1027" w:type="pct"/>
            <w:vMerge/>
            <w:tcBorders>
              <w:top w:val="nil"/>
              <w:left w:val="single" w:sz="8" w:space="0" w:color="auto"/>
              <w:bottom w:val="single" w:sz="8" w:space="0" w:color="000000"/>
              <w:right w:val="single" w:sz="4" w:space="0" w:color="auto"/>
            </w:tcBorders>
            <w:vAlign w:val="center"/>
            <w:hideMark/>
          </w:tcPr>
          <w:p w:rsidR="006958A3" w:rsidRPr="00374785" w:rsidRDefault="006958A3" w:rsidP="00302A90">
            <w:pPr>
              <w:rPr>
                <w:b/>
                <w:bCs/>
                <w:color w:val="000000"/>
                <w:sz w:val="20"/>
                <w:szCs w:val="20"/>
              </w:rPr>
            </w:pPr>
          </w:p>
        </w:tc>
        <w:tc>
          <w:tcPr>
            <w:tcW w:w="625" w:type="pct"/>
            <w:vMerge/>
            <w:tcBorders>
              <w:left w:val="nil"/>
              <w:right w:val="single" w:sz="4" w:space="0" w:color="auto"/>
            </w:tcBorders>
            <w:shd w:val="clear" w:color="auto" w:fill="auto"/>
            <w:vAlign w:val="center"/>
            <w:hideMark/>
          </w:tcPr>
          <w:p w:rsidR="006958A3" w:rsidRPr="00374785" w:rsidRDefault="006958A3" w:rsidP="00302A90">
            <w:pPr>
              <w:spacing w:before="120"/>
              <w:rPr>
                <w:color w:val="000000"/>
                <w:sz w:val="20"/>
                <w:szCs w:val="20"/>
              </w:rPr>
            </w:pPr>
          </w:p>
        </w:tc>
        <w:tc>
          <w:tcPr>
            <w:tcW w:w="1212" w:type="pct"/>
            <w:tcBorders>
              <w:top w:val="nil"/>
              <w:left w:val="nil"/>
              <w:bottom w:val="single" w:sz="4" w:space="0" w:color="auto"/>
              <w:right w:val="single" w:sz="4" w:space="0" w:color="auto"/>
            </w:tcBorders>
            <w:shd w:val="clear" w:color="auto" w:fill="auto"/>
            <w:vAlign w:val="center"/>
            <w:hideMark/>
          </w:tcPr>
          <w:p w:rsidR="006958A3" w:rsidRPr="00374785" w:rsidRDefault="006958A3" w:rsidP="00302A90">
            <w:pPr>
              <w:jc w:val="center"/>
              <w:rPr>
                <w:color w:val="000000"/>
                <w:sz w:val="20"/>
                <w:szCs w:val="20"/>
              </w:rPr>
            </w:pPr>
            <w:r w:rsidRPr="00374785">
              <w:rPr>
                <w:color w:val="000000"/>
                <w:sz w:val="20"/>
                <w:szCs w:val="20"/>
              </w:rPr>
              <w:t>6</w:t>
            </w:r>
          </w:p>
        </w:tc>
        <w:tc>
          <w:tcPr>
            <w:tcW w:w="1165" w:type="pct"/>
            <w:tcBorders>
              <w:top w:val="nil"/>
              <w:left w:val="nil"/>
              <w:bottom w:val="single" w:sz="4" w:space="0" w:color="auto"/>
              <w:right w:val="single" w:sz="4" w:space="0" w:color="auto"/>
            </w:tcBorders>
            <w:shd w:val="clear" w:color="auto" w:fill="auto"/>
            <w:noWrap/>
            <w:vAlign w:val="center"/>
            <w:hideMark/>
          </w:tcPr>
          <w:p w:rsidR="006958A3" w:rsidRPr="00374785" w:rsidRDefault="006958A3" w:rsidP="000803B6">
            <w:pPr>
              <w:jc w:val="center"/>
              <w:rPr>
                <w:color w:val="000000"/>
                <w:sz w:val="20"/>
                <w:szCs w:val="20"/>
              </w:rPr>
            </w:pPr>
            <w:r w:rsidRPr="00374785">
              <w:rPr>
                <w:color w:val="000000"/>
                <w:sz w:val="20"/>
                <w:szCs w:val="20"/>
              </w:rPr>
              <w:t xml:space="preserve">2.4 </w:t>
            </w:r>
          </w:p>
        </w:tc>
        <w:tc>
          <w:tcPr>
            <w:tcW w:w="971" w:type="pct"/>
            <w:tcBorders>
              <w:top w:val="nil"/>
              <w:left w:val="single" w:sz="8" w:space="0" w:color="auto"/>
              <w:bottom w:val="single" w:sz="4" w:space="0" w:color="auto"/>
              <w:right w:val="single" w:sz="8" w:space="0" w:color="auto"/>
            </w:tcBorders>
            <w:shd w:val="clear" w:color="auto" w:fill="auto"/>
            <w:vAlign w:val="center"/>
            <w:hideMark/>
          </w:tcPr>
          <w:p w:rsidR="006958A3" w:rsidRPr="00374785" w:rsidRDefault="006958A3" w:rsidP="000803B6">
            <w:pPr>
              <w:jc w:val="center"/>
              <w:rPr>
                <w:color w:val="000000"/>
                <w:sz w:val="20"/>
                <w:szCs w:val="20"/>
              </w:rPr>
            </w:pPr>
            <w:r w:rsidRPr="00374785">
              <w:rPr>
                <w:color w:val="000000"/>
                <w:sz w:val="20"/>
                <w:szCs w:val="20"/>
              </w:rPr>
              <w:t xml:space="preserve">12 </w:t>
            </w:r>
          </w:p>
        </w:tc>
      </w:tr>
      <w:tr w:rsidR="006958A3" w:rsidRPr="00374785" w:rsidTr="006958A3">
        <w:trPr>
          <w:trHeight w:val="97"/>
        </w:trPr>
        <w:tc>
          <w:tcPr>
            <w:tcW w:w="1027" w:type="pct"/>
            <w:vMerge/>
            <w:tcBorders>
              <w:top w:val="nil"/>
              <w:left w:val="single" w:sz="8" w:space="0" w:color="auto"/>
              <w:bottom w:val="single" w:sz="8" w:space="0" w:color="000000"/>
              <w:right w:val="single" w:sz="4" w:space="0" w:color="auto"/>
            </w:tcBorders>
            <w:vAlign w:val="center"/>
            <w:hideMark/>
          </w:tcPr>
          <w:p w:rsidR="006958A3" w:rsidRPr="00374785" w:rsidRDefault="006958A3" w:rsidP="00302A90">
            <w:pPr>
              <w:rPr>
                <w:b/>
                <w:bCs/>
                <w:color w:val="000000"/>
                <w:sz w:val="20"/>
                <w:szCs w:val="20"/>
              </w:rPr>
            </w:pPr>
          </w:p>
        </w:tc>
        <w:tc>
          <w:tcPr>
            <w:tcW w:w="625" w:type="pct"/>
            <w:vMerge/>
            <w:tcBorders>
              <w:left w:val="nil"/>
              <w:right w:val="single" w:sz="4" w:space="0" w:color="auto"/>
            </w:tcBorders>
            <w:shd w:val="clear" w:color="auto" w:fill="auto"/>
            <w:vAlign w:val="center"/>
            <w:hideMark/>
          </w:tcPr>
          <w:p w:rsidR="006958A3" w:rsidRPr="00374785" w:rsidRDefault="006958A3" w:rsidP="00302A90">
            <w:pPr>
              <w:spacing w:before="120"/>
              <w:rPr>
                <w:color w:val="000000"/>
                <w:sz w:val="20"/>
                <w:szCs w:val="20"/>
              </w:rPr>
            </w:pPr>
          </w:p>
        </w:tc>
        <w:tc>
          <w:tcPr>
            <w:tcW w:w="1212" w:type="pct"/>
            <w:tcBorders>
              <w:top w:val="nil"/>
              <w:left w:val="nil"/>
              <w:bottom w:val="single" w:sz="4" w:space="0" w:color="auto"/>
              <w:right w:val="single" w:sz="4" w:space="0" w:color="auto"/>
            </w:tcBorders>
            <w:shd w:val="clear" w:color="auto" w:fill="auto"/>
            <w:vAlign w:val="center"/>
            <w:hideMark/>
          </w:tcPr>
          <w:p w:rsidR="006958A3" w:rsidRPr="00374785" w:rsidRDefault="006958A3" w:rsidP="00302A90">
            <w:pPr>
              <w:jc w:val="center"/>
              <w:rPr>
                <w:color w:val="000000"/>
                <w:sz w:val="20"/>
                <w:szCs w:val="20"/>
              </w:rPr>
            </w:pPr>
            <w:r w:rsidRPr="00374785">
              <w:rPr>
                <w:color w:val="000000"/>
                <w:sz w:val="20"/>
                <w:szCs w:val="20"/>
              </w:rPr>
              <w:t>7</w:t>
            </w:r>
          </w:p>
        </w:tc>
        <w:tc>
          <w:tcPr>
            <w:tcW w:w="1165" w:type="pct"/>
            <w:tcBorders>
              <w:top w:val="nil"/>
              <w:left w:val="nil"/>
              <w:bottom w:val="single" w:sz="4" w:space="0" w:color="auto"/>
              <w:right w:val="single" w:sz="4" w:space="0" w:color="auto"/>
            </w:tcBorders>
            <w:shd w:val="clear" w:color="auto" w:fill="auto"/>
            <w:noWrap/>
            <w:vAlign w:val="center"/>
            <w:hideMark/>
          </w:tcPr>
          <w:p w:rsidR="006958A3" w:rsidRPr="00374785" w:rsidRDefault="006958A3" w:rsidP="000803B6">
            <w:pPr>
              <w:jc w:val="center"/>
              <w:rPr>
                <w:color w:val="000000"/>
                <w:sz w:val="20"/>
                <w:szCs w:val="20"/>
              </w:rPr>
            </w:pPr>
            <w:r w:rsidRPr="00374785">
              <w:rPr>
                <w:color w:val="000000"/>
                <w:sz w:val="20"/>
                <w:szCs w:val="20"/>
              </w:rPr>
              <w:t xml:space="preserve">2.33 </w:t>
            </w:r>
          </w:p>
        </w:tc>
        <w:tc>
          <w:tcPr>
            <w:tcW w:w="971" w:type="pct"/>
            <w:tcBorders>
              <w:top w:val="nil"/>
              <w:left w:val="single" w:sz="8" w:space="0" w:color="auto"/>
              <w:bottom w:val="single" w:sz="4" w:space="0" w:color="auto"/>
              <w:right w:val="single" w:sz="8" w:space="0" w:color="auto"/>
            </w:tcBorders>
            <w:shd w:val="clear" w:color="auto" w:fill="auto"/>
            <w:vAlign w:val="center"/>
            <w:hideMark/>
          </w:tcPr>
          <w:p w:rsidR="006958A3" w:rsidRPr="00374785" w:rsidRDefault="006958A3" w:rsidP="000803B6">
            <w:pPr>
              <w:jc w:val="center"/>
              <w:rPr>
                <w:color w:val="000000"/>
                <w:sz w:val="20"/>
                <w:szCs w:val="20"/>
              </w:rPr>
            </w:pPr>
            <w:r w:rsidRPr="00374785">
              <w:rPr>
                <w:color w:val="000000"/>
                <w:sz w:val="20"/>
                <w:szCs w:val="20"/>
              </w:rPr>
              <w:t xml:space="preserve">14 </w:t>
            </w:r>
          </w:p>
        </w:tc>
      </w:tr>
      <w:tr w:rsidR="006958A3" w:rsidRPr="00374785" w:rsidTr="006958A3">
        <w:trPr>
          <w:trHeight w:val="50"/>
        </w:trPr>
        <w:tc>
          <w:tcPr>
            <w:tcW w:w="1027" w:type="pct"/>
            <w:vMerge/>
            <w:tcBorders>
              <w:top w:val="nil"/>
              <w:left w:val="single" w:sz="8" w:space="0" w:color="auto"/>
              <w:bottom w:val="single" w:sz="8" w:space="0" w:color="000000"/>
              <w:right w:val="single" w:sz="4" w:space="0" w:color="auto"/>
            </w:tcBorders>
            <w:vAlign w:val="center"/>
            <w:hideMark/>
          </w:tcPr>
          <w:p w:rsidR="006958A3" w:rsidRPr="00374785" w:rsidRDefault="006958A3" w:rsidP="00302A90">
            <w:pPr>
              <w:rPr>
                <w:b/>
                <w:bCs/>
                <w:color w:val="000000"/>
                <w:sz w:val="20"/>
                <w:szCs w:val="20"/>
              </w:rPr>
            </w:pPr>
          </w:p>
        </w:tc>
        <w:tc>
          <w:tcPr>
            <w:tcW w:w="625" w:type="pct"/>
            <w:vMerge/>
            <w:tcBorders>
              <w:left w:val="nil"/>
              <w:bottom w:val="single" w:sz="4" w:space="0" w:color="auto"/>
              <w:right w:val="single" w:sz="4" w:space="0" w:color="auto"/>
            </w:tcBorders>
            <w:shd w:val="clear" w:color="auto" w:fill="auto"/>
            <w:vAlign w:val="center"/>
            <w:hideMark/>
          </w:tcPr>
          <w:p w:rsidR="006958A3" w:rsidRPr="00374785" w:rsidRDefault="006958A3" w:rsidP="00302A90">
            <w:pPr>
              <w:rPr>
                <w:color w:val="000000"/>
                <w:sz w:val="20"/>
                <w:szCs w:val="20"/>
              </w:rPr>
            </w:pPr>
          </w:p>
        </w:tc>
        <w:tc>
          <w:tcPr>
            <w:tcW w:w="1212" w:type="pct"/>
            <w:tcBorders>
              <w:top w:val="nil"/>
              <w:left w:val="nil"/>
              <w:bottom w:val="single" w:sz="4" w:space="0" w:color="auto"/>
              <w:right w:val="single" w:sz="4" w:space="0" w:color="auto"/>
            </w:tcBorders>
            <w:shd w:val="clear" w:color="auto" w:fill="auto"/>
            <w:vAlign w:val="center"/>
            <w:hideMark/>
          </w:tcPr>
          <w:p w:rsidR="006958A3" w:rsidRPr="00374785" w:rsidRDefault="006958A3" w:rsidP="00302A90">
            <w:pPr>
              <w:jc w:val="center"/>
              <w:rPr>
                <w:color w:val="000000"/>
                <w:sz w:val="20"/>
                <w:szCs w:val="20"/>
              </w:rPr>
            </w:pPr>
            <w:r w:rsidRPr="00374785">
              <w:rPr>
                <w:color w:val="000000"/>
                <w:sz w:val="20"/>
                <w:szCs w:val="20"/>
              </w:rPr>
              <w:t>8</w:t>
            </w:r>
          </w:p>
        </w:tc>
        <w:tc>
          <w:tcPr>
            <w:tcW w:w="1165" w:type="pct"/>
            <w:tcBorders>
              <w:top w:val="nil"/>
              <w:left w:val="nil"/>
              <w:bottom w:val="single" w:sz="4" w:space="0" w:color="auto"/>
              <w:right w:val="single" w:sz="4" w:space="0" w:color="auto"/>
            </w:tcBorders>
            <w:shd w:val="clear" w:color="auto" w:fill="auto"/>
            <w:noWrap/>
            <w:vAlign w:val="center"/>
            <w:hideMark/>
          </w:tcPr>
          <w:p w:rsidR="006958A3" w:rsidRPr="00374785" w:rsidRDefault="006958A3" w:rsidP="000803B6">
            <w:pPr>
              <w:jc w:val="center"/>
              <w:rPr>
                <w:color w:val="000000"/>
                <w:sz w:val="20"/>
                <w:szCs w:val="20"/>
              </w:rPr>
            </w:pPr>
            <w:r w:rsidRPr="00374785">
              <w:rPr>
                <w:color w:val="000000"/>
                <w:sz w:val="20"/>
                <w:szCs w:val="20"/>
              </w:rPr>
              <w:t xml:space="preserve">2.29 </w:t>
            </w:r>
          </w:p>
        </w:tc>
        <w:tc>
          <w:tcPr>
            <w:tcW w:w="971" w:type="pct"/>
            <w:tcBorders>
              <w:top w:val="nil"/>
              <w:left w:val="single" w:sz="8" w:space="0" w:color="auto"/>
              <w:bottom w:val="single" w:sz="4" w:space="0" w:color="auto"/>
              <w:right w:val="single" w:sz="8" w:space="0" w:color="auto"/>
            </w:tcBorders>
            <w:shd w:val="clear" w:color="auto" w:fill="auto"/>
            <w:vAlign w:val="center"/>
            <w:hideMark/>
          </w:tcPr>
          <w:p w:rsidR="006958A3" w:rsidRPr="00374785" w:rsidRDefault="006958A3" w:rsidP="000803B6">
            <w:pPr>
              <w:jc w:val="center"/>
              <w:rPr>
                <w:color w:val="000000"/>
                <w:sz w:val="20"/>
                <w:szCs w:val="20"/>
              </w:rPr>
            </w:pPr>
            <w:r w:rsidRPr="00374785">
              <w:rPr>
                <w:color w:val="000000"/>
                <w:sz w:val="20"/>
                <w:szCs w:val="20"/>
              </w:rPr>
              <w:t xml:space="preserve">16 </w:t>
            </w:r>
          </w:p>
        </w:tc>
      </w:tr>
      <w:tr w:rsidR="006958A3" w:rsidRPr="00374785" w:rsidTr="006958A3">
        <w:trPr>
          <w:trHeight w:val="730"/>
        </w:trPr>
        <w:tc>
          <w:tcPr>
            <w:tcW w:w="1027" w:type="pct"/>
            <w:vMerge/>
            <w:tcBorders>
              <w:top w:val="nil"/>
              <w:left w:val="single" w:sz="8" w:space="0" w:color="auto"/>
              <w:bottom w:val="single" w:sz="8" w:space="0" w:color="000000"/>
              <w:right w:val="single" w:sz="4" w:space="0" w:color="auto"/>
            </w:tcBorders>
            <w:vAlign w:val="center"/>
            <w:hideMark/>
          </w:tcPr>
          <w:p w:rsidR="000803B6" w:rsidRPr="00374785" w:rsidRDefault="000803B6" w:rsidP="00302A90">
            <w:pPr>
              <w:rPr>
                <w:b/>
                <w:bCs/>
                <w:color w:val="000000"/>
                <w:sz w:val="20"/>
                <w:szCs w:val="20"/>
              </w:rPr>
            </w:pPr>
          </w:p>
        </w:tc>
        <w:tc>
          <w:tcPr>
            <w:tcW w:w="625" w:type="pct"/>
            <w:tcBorders>
              <w:top w:val="nil"/>
              <w:left w:val="nil"/>
              <w:bottom w:val="single" w:sz="8" w:space="0" w:color="auto"/>
              <w:right w:val="single" w:sz="4" w:space="0" w:color="auto"/>
            </w:tcBorders>
            <w:shd w:val="clear" w:color="auto" w:fill="auto"/>
            <w:vAlign w:val="center"/>
            <w:hideMark/>
          </w:tcPr>
          <w:p w:rsidR="000803B6" w:rsidRPr="00374785" w:rsidRDefault="000803B6" w:rsidP="00302A90">
            <w:pPr>
              <w:rPr>
                <w:color w:val="000000"/>
                <w:sz w:val="20"/>
                <w:szCs w:val="20"/>
              </w:rPr>
            </w:pPr>
            <w:r w:rsidRPr="00374785">
              <w:rPr>
                <w:color w:val="000000"/>
                <w:sz w:val="20"/>
                <w:szCs w:val="20"/>
              </w:rPr>
              <w:t>Block</w:t>
            </w:r>
          </w:p>
        </w:tc>
        <w:tc>
          <w:tcPr>
            <w:tcW w:w="1212" w:type="pct"/>
            <w:tcBorders>
              <w:top w:val="nil"/>
              <w:left w:val="nil"/>
              <w:bottom w:val="single" w:sz="8" w:space="0" w:color="auto"/>
              <w:right w:val="single" w:sz="4" w:space="0" w:color="auto"/>
            </w:tcBorders>
            <w:shd w:val="clear" w:color="auto" w:fill="auto"/>
            <w:vAlign w:val="center"/>
            <w:hideMark/>
          </w:tcPr>
          <w:p w:rsidR="000803B6" w:rsidRPr="00374785" w:rsidRDefault="000803B6" w:rsidP="00302A90">
            <w:pPr>
              <w:jc w:val="center"/>
              <w:rPr>
                <w:color w:val="000000"/>
                <w:sz w:val="20"/>
                <w:szCs w:val="20"/>
              </w:rPr>
            </w:pPr>
            <w:r w:rsidRPr="00374785">
              <w:rPr>
                <w:color w:val="000000"/>
                <w:sz w:val="20"/>
                <w:szCs w:val="20"/>
              </w:rPr>
              <w:t>More than 8 rows or other geometry that is not consistent with a linear planting</w:t>
            </w:r>
          </w:p>
        </w:tc>
        <w:tc>
          <w:tcPr>
            <w:tcW w:w="1165" w:type="pct"/>
            <w:tcBorders>
              <w:top w:val="nil"/>
              <w:left w:val="nil"/>
              <w:bottom w:val="single" w:sz="8" w:space="0" w:color="auto"/>
              <w:right w:val="single" w:sz="4" w:space="0" w:color="auto"/>
            </w:tcBorders>
            <w:shd w:val="clear" w:color="auto" w:fill="auto"/>
            <w:noWrap/>
            <w:vAlign w:val="center"/>
            <w:hideMark/>
          </w:tcPr>
          <w:p w:rsidR="000803B6" w:rsidRPr="00374785" w:rsidRDefault="000803B6" w:rsidP="000803B6">
            <w:pPr>
              <w:jc w:val="center"/>
              <w:rPr>
                <w:color w:val="000000"/>
                <w:sz w:val="20"/>
                <w:szCs w:val="20"/>
              </w:rPr>
            </w:pPr>
            <w:r w:rsidRPr="00374785">
              <w:rPr>
                <w:color w:val="000000"/>
                <w:sz w:val="20"/>
                <w:szCs w:val="20"/>
              </w:rPr>
              <w:t xml:space="preserve">4 </w:t>
            </w:r>
          </w:p>
        </w:tc>
        <w:tc>
          <w:tcPr>
            <w:tcW w:w="971" w:type="pct"/>
            <w:tcBorders>
              <w:top w:val="nil"/>
              <w:left w:val="single" w:sz="8" w:space="0" w:color="auto"/>
              <w:bottom w:val="single" w:sz="8" w:space="0" w:color="auto"/>
              <w:right w:val="single" w:sz="8" w:space="0" w:color="auto"/>
            </w:tcBorders>
            <w:shd w:val="clear" w:color="auto" w:fill="auto"/>
            <w:vAlign w:val="center"/>
            <w:hideMark/>
          </w:tcPr>
          <w:p w:rsidR="000803B6" w:rsidRPr="00374785" w:rsidRDefault="000803B6" w:rsidP="006958A3">
            <w:pPr>
              <w:jc w:val="center"/>
              <w:rPr>
                <w:color w:val="000000"/>
                <w:sz w:val="20"/>
                <w:szCs w:val="20"/>
              </w:rPr>
            </w:pPr>
            <w:r w:rsidRPr="00374785">
              <w:rPr>
                <w:color w:val="000000"/>
                <w:sz w:val="20"/>
                <w:szCs w:val="20"/>
              </w:rPr>
              <w:t>Width of</w:t>
            </w:r>
            <w:r w:rsidR="006958A3" w:rsidRPr="00374785">
              <w:rPr>
                <w:color w:val="000000"/>
                <w:sz w:val="20"/>
                <w:szCs w:val="20"/>
              </w:rPr>
              <w:t xml:space="preserve"> </w:t>
            </w:r>
            <w:r w:rsidRPr="00374785">
              <w:rPr>
                <w:color w:val="000000"/>
                <w:sz w:val="20"/>
                <w:szCs w:val="20"/>
              </w:rPr>
              <w:t>planting+ 2 metres</w:t>
            </w:r>
          </w:p>
        </w:tc>
      </w:tr>
      <w:tr w:rsidR="006958A3" w:rsidRPr="00374785" w:rsidTr="006958A3">
        <w:trPr>
          <w:trHeight w:val="551"/>
        </w:trPr>
        <w:tc>
          <w:tcPr>
            <w:tcW w:w="1027" w:type="pct"/>
            <w:vMerge w:val="restart"/>
            <w:tcBorders>
              <w:top w:val="nil"/>
              <w:left w:val="single" w:sz="8" w:space="0" w:color="auto"/>
              <w:bottom w:val="single" w:sz="8" w:space="0" w:color="000000"/>
              <w:right w:val="single" w:sz="4" w:space="0" w:color="auto"/>
            </w:tcBorders>
            <w:shd w:val="clear" w:color="auto" w:fill="auto"/>
            <w:vAlign w:val="center"/>
            <w:hideMark/>
          </w:tcPr>
          <w:p w:rsidR="000803B6" w:rsidRPr="00374785" w:rsidRDefault="000803B6" w:rsidP="006958A3">
            <w:pPr>
              <w:jc w:val="center"/>
              <w:rPr>
                <w:b/>
                <w:bCs/>
                <w:color w:val="000000"/>
                <w:sz w:val="20"/>
                <w:szCs w:val="20"/>
              </w:rPr>
            </w:pPr>
            <w:r w:rsidRPr="00374785">
              <w:rPr>
                <w:b/>
                <w:bCs/>
                <w:color w:val="000000"/>
                <w:sz w:val="20"/>
                <w:szCs w:val="20"/>
              </w:rPr>
              <w:t>Environmental Planting</w:t>
            </w:r>
            <w:r w:rsidR="006958A3" w:rsidRPr="00374785">
              <w:rPr>
                <w:b/>
                <w:bCs/>
                <w:color w:val="000000"/>
                <w:sz w:val="20"/>
                <w:szCs w:val="20"/>
              </w:rPr>
              <w:t xml:space="preserve"> </w:t>
            </w:r>
            <w:r w:rsidRPr="00374785">
              <w:rPr>
                <w:color w:val="000000"/>
                <w:sz w:val="20"/>
                <w:szCs w:val="20"/>
              </w:rPr>
              <w:t>(planted in rows)</w:t>
            </w:r>
          </w:p>
        </w:tc>
        <w:tc>
          <w:tcPr>
            <w:tcW w:w="625" w:type="pct"/>
            <w:tcBorders>
              <w:top w:val="nil"/>
              <w:left w:val="nil"/>
              <w:bottom w:val="single" w:sz="4" w:space="0" w:color="auto"/>
              <w:right w:val="single" w:sz="4" w:space="0" w:color="auto"/>
            </w:tcBorders>
            <w:shd w:val="clear" w:color="auto" w:fill="auto"/>
            <w:vAlign w:val="center"/>
            <w:hideMark/>
          </w:tcPr>
          <w:p w:rsidR="000803B6" w:rsidRPr="00374785" w:rsidRDefault="000803B6" w:rsidP="00302A90">
            <w:pPr>
              <w:rPr>
                <w:color w:val="000000"/>
                <w:sz w:val="20"/>
                <w:szCs w:val="20"/>
              </w:rPr>
            </w:pPr>
            <w:r w:rsidRPr="00374785">
              <w:rPr>
                <w:color w:val="000000"/>
                <w:sz w:val="20"/>
                <w:szCs w:val="20"/>
              </w:rPr>
              <w:t>Narrow Linear</w:t>
            </w:r>
          </w:p>
        </w:tc>
        <w:tc>
          <w:tcPr>
            <w:tcW w:w="1212" w:type="pct"/>
            <w:tcBorders>
              <w:top w:val="nil"/>
              <w:left w:val="nil"/>
              <w:bottom w:val="single" w:sz="4" w:space="0" w:color="auto"/>
              <w:right w:val="single" w:sz="4" w:space="0" w:color="auto"/>
            </w:tcBorders>
            <w:shd w:val="clear" w:color="auto" w:fill="auto"/>
            <w:vAlign w:val="center"/>
            <w:hideMark/>
          </w:tcPr>
          <w:p w:rsidR="000803B6" w:rsidRPr="00374785" w:rsidRDefault="006958A3" w:rsidP="000803B6">
            <w:pPr>
              <w:jc w:val="center"/>
              <w:rPr>
                <w:color w:val="000000"/>
                <w:sz w:val="20"/>
                <w:szCs w:val="20"/>
              </w:rPr>
            </w:pPr>
            <w:r w:rsidRPr="00374785">
              <w:rPr>
                <w:color w:val="000000"/>
                <w:sz w:val="20"/>
                <w:szCs w:val="20"/>
              </w:rPr>
              <w:t>Not Applicable—</w:t>
            </w:r>
            <w:r w:rsidR="000803B6" w:rsidRPr="00374785">
              <w:rPr>
                <w:color w:val="000000"/>
                <w:sz w:val="20"/>
                <w:szCs w:val="20"/>
              </w:rPr>
              <w:t>Planting can be up to 20 metres wide</w:t>
            </w:r>
          </w:p>
        </w:tc>
        <w:tc>
          <w:tcPr>
            <w:tcW w:w="1165" w:type="pct"/>
            <w:tcBorders>
              <w:top w:val="nil"/>
              <w:left w:val="nil"/>
              <w:bottom w:val="single" w:sz="4" w:space="0" w:color="auto"/>
              <w:right w:val="single" w:sz="4" w:space="0" w:color="auto"/>
            </w:tcBorders>
            <w:shd w:val="clear" w:color="auto" w:fill="auto"/>
            <w:noWrap/>
            <w:vAlign w:val="center"/>
            <w:hideMark/>
          </w:tcPr>
          <w:p w:rsidR="000803B6" w:rsidRPr="00374785" w:rsidRDefault="006958A3" w:rsidP="00302A90">
            <w:pPr>
              <w:jc w:val="center"/>
              <w:rPr>
                <w:color w:val="000000"/>
                <w:sz w:val="20"/>
                <w:szCs w:val="20"/>
              </w:rPr>
            </w:pPr>
            <w:r w:rsidRPr="00374785">
              <w:rPr>
                <w:color w:val="000000"/>
                <w:sz w:val="20"/>
                <w:szCs w:val="20"/>
              </w:rPr>
              <w:t>Not Applicable</w:t>
            </w:r>
            <w:r w:rsidRPr="00374785">
              <w:rPr>
                <w:color w:val="000000"/>
                <w:sz w:val="20"/>
                <w:szCs w:val="20"/>
                <w:vertAlign w:val="superscript"/>
              </w:rPr>
              <w:t xml:space="preserve"> </w:t>
            </w:r>
            <w:r w:rsidR="000803B6" w:rsidRPr="00374785">
              <w:rPr>
                <w:color w:val="000000"/>
                <w:sz w:val="20"/>
                <w:szCs w:val="20"/>
                <w:vertAlign w:val="superscript"/>
              </w:rPr>
              <w:t>2</w:t>
            </w:r>
          </w:p>
        </w:tc>
        <w:tc>
          <w:tcPr>
            <w:tcW w:w="971" w:type="pct"/>
            <w:tcBorders>
              <w:top w:val="nil"/>
              <w:left w:val="single" w:sz="8" w:space="0" w:color="auto"/>
              <w:bottom w:val="single" w:sz="4" w:space="0" w:color="auto"/>
              <w:right w:val="single" w:sz="8" w:space="0" w:color="auto"/>
            </w:tcBorders>
            <w:shd w:val="clear" w:color="auto" w:fill="auto"/>
            <w:vAlign w:val="center"/>
            <w:hideMark/>
          </w:tcPr>
          <w:p w:rsidR="000803B6" w:rsidRPr="00374785" w:rsidRDefault="000803B6" w:rsidP="000803B6">
            <w:pPr>
              <w:jc w:val="center"/>
              <w:rPr>
                <w:color w:val="000000"/>
                <w:sz w:val="20"/>
                <w:szCs w:val="20"/>
              </w:rPr>
            </w:pPr>
            <w:r w:rsidRPr="00374785">
              <w:rPr>
                <w:color w:val="000000"/>
                <w:sz w:val="20"/>
                <w:szCs w:val="20"/>
              </w:rPr>
              <w:t>Width of planting+2 metres up to a maximum of 22 metres</w:t>
            </w:r>
          </w:p>
        </w:tc>
      </w:tr>
      <w:tr w:rsidR="006958A3" w:rsidRPr="00374785" w:rsidTr="006958A3">
        <w:trPr>
          <w:trHeight w:val="819"/>
        </w:trPr>
        <w:tc>
          <w:tcPr>
            <w:tcW w:w="1027" w:type="pct"/>
            <w:vMerge/>
            <w:tcBorders>
              <w:top w:val="nil"/>
              <w:left w:val="single" w:sz="8" w:space="0" w:color="auto"/>
              <w:bottom w:val="single" w:sz="8" w:space="0" w:color="000000"/>
              <w:right w:val="single" w:sz="4" w:space="0" w:color="auto"/>
            </w:tcBorders>
            <w:vAlign w:val="center"/>
            <w:hideMark/>
          </w:tcPr>
          <w:p w:rsidR="000803B6" w:rsidRPr="00374785" w:rsidRDefault="000803B6" w:rsidP="00302A90">
            <w:pPr>
              <w:rPr>
                <w:b/>
                <w:bCs/>
                <w:color w:val="000000"/>
                <w:sz w:val="20"/>
                <w:szCs w:val="20"/>
              </w:rPr>
            </w:pPr>
          </w:p>
        </w:tc>
        <w:tc>
          <w:tcPr>
            <w:tcW w:w="625" w:type="pct"/>
            <w:tcBorders>
              <w:top w:val="nil"/>
              <w:left w:val="nil"/>
              <w:bottom w:val="single" w:sz="4" w:space="0" w:color="auto"/>
              <w:right w:val="single" w:sz="4" w:space="0" w:color="auto"/>
            </w:tcBorders>
            <w:shd w:val="clear" w:color="auto" w:fill="auto"/>
            <w:vAlign w:val="center"/>
            <w:hideMark/>
          </w:tcPr>
          <w:p w:rsidR="000803B6" w:rsidRPr="00374785" w:rsidRDefault="000803B6" w:rsidP="00302A90">
            <w:pPr>
              <w:rPr>
                <w:color w:val="000000"/>
                <w:sz w:val="20"/>
                <w:szCs w:val="20"/>
              </w:rPr>
            </w:pPr>
            <w:r w:rsidRPr="00374785">
              <w:rPr>
                <w:color w:val="000000"/>
                <w:sz w:val="20"/>
                <w:szCs w:val="20"/>
              </w:rPr>
              <w:t>Wide Linear</w:t>
            </w:r>
          </w:p>
        </w:tc>
        <w:tc>
          <w:tcPr>
            <w:tcW w:w="1212" w:type="pct"/>
            <w:tcBorders>
              <w:top w:val="nil"/>
              <w:left w:val="nil"/>
              <w:bottom w:val="single" w:sz="4" w:space="0" w:color="auto"/>
              <w:right w:val="single" w:sz="4" w:space="0" w:color="auto"/>
            </w:tcBorders>
            <w:shd w:val="clear" w:color="auto" w:fill="auto"/>
            <w:vAlign w:val="center"/>
            <w:hideMark/>
          </w:tcPr>
          <w:p w:rsidR="000803B6" w:rsidRPr="00374785" w:rsidRDefault="006958A3" w:rsidP="006958A3">
            <w:pPr>
              <w:jc w:val="center"/>
              <w:rPr>
                <w:color w:val="000000"/>
                <w:sz w:val="20"/>
                <w:szCs w:val="20"/>
              </w:rPr>
            </w:pPr>
            <w:r w:rsidRPr="00374785">
              <w:rPr>
                <w:color w:val="000000"/>
                <w:sz w:val="20"/>
                <w:szCs w:val="20"/>
              </w:rPr>
              <w:t>Not Applicable—</w:t>
            </w:r>
            <w:r w:rsidR="000803B6" w:rsidRPr="00374785">
              <w:rPr>
                <w:color w:val="000000"/>
                <w:sz w:val="20"/>
                <w:szCs w:val="20"/>
              </w:rPr>
              <w:t>Planting can be between 20 metres and 40 metres wide</w:t>
            </w:r>
          </w:p>
        </w:tc>
        <w:tc>
          <w:tcPr>
            <w:tcW w:w="1165" w:type="pct"/>
            <w:tcBorders>
              <w:top w:val="nil"/>
              <w:left w:val="nil"/>
              <w:bottom w:val="single" w:sz="4" w:space="0" w:color="auto"/>
              <w:right w:val="single" w:sz="4" w:space="0" w:color="auto"/>
            </w:tcBorders>
            <w:shd w:val="clear" w:color="auto" w:fill="auto"/>
            <w:noWrap/>
            <w:vAlign w:val="center"/>
            <w:hideMark/>
          </w:tcPr>
          <w:p w:rsidR="000803B6" w:rsidRPr="00374785" w:rsidRDefault="006958A3" w:rsidP="00302A90">
            <w:pPr>
              <w:jc w:val="center"/>
              <w:rPr>
                <w:color w:val="000000"/>
                <w:sz w:val="20"/>
                <w:szCs w:val="20"/>
              </w:rPr>
            </w:pPr>
            <w:r w:rsidRPr="00374785">
              <w:rPr>
                <w:color w:val="000000"/>
                <w:sz w:val="20"/>
                <w:szCs w:val="20"/>
              </w:rPr>
              <w:t>Not Applicable</w:t>
            </w:r>
            <w:r w:rsidRPr="00374785">
              <w:rPr>
                <w:color w:val="000000"/>
                <w:sz w:val="20"/>
                <w:szCs w:val="20"/>
                <w:vertAlign w:val="superscript"/>
              </w:rPr>
              <w:t xml:space="preserve"> </w:t>
            </w:r>
            <w:r w:rsidR="000803B6" w:rsidRPr="00374785">
              <w:rPr>
                <w:color w:val="000000"/>
                <w:sz w:val="20"/>
                <w:szCs w:val="20"/>
                <w:vertAlign w:val="superscript"/>
              </w:rPr>
              <w:t>2</w:t>
            </w:r>
          </w:p>
        </w:tc>
        <w:tc>
          <w:tcPr>
            <w:tcW w:w="971" w:type="pct"/>
            <w:tcBorders>
              <w:top w:val="nil"/>
              <w:left w:val="single" w:sz="8" w:space="0" w:color="auto"/>
              <w:bottom w:val="single" w:sz="4" w:space="0" w:color="auto"/>
              <w:right w:val="single" w:sz="8" w:space="0" w:color="auto"/>
            </w:tcBorders>
            <w:shd w:val="clear" w:color="auto" w:fill="auto"/>
            <w:vAlign w:val="center"/>
            <w:hideMark/>
          </w:tcPr>
          <w:p w:rsidR="000803B6" w:rsidRPr="00374785" w:rsidRDefault="000803B6" w:rsidP="000803B6">
            <w:pPr>
              <w:jc w:val="center"/>
              <w:rPr>
                <w:color w:val="000000"/>
                <w:sz w:val="20"/>
                <w:szCs w:val="20"/>
              </w:rPr>
            </w:pPr>
            <w:r w:rsidRPr="00374785">
              <w:rPr>
                <w:color w:val="000000"/>
                <w:sz w:val="20"/>
                <w:szCs w:val="20"/>
              </w:rPr>
              <w:t>Width of planting+2 metres up to a maximum of 42 metres</w:t>
            </w:r>
          </w:p>
        </w:tc>
      </w:tr>
      <w:tr w:rsidR="006958A3" w:rsidRPr="00374785" w:rsidTr="006958A3">
        <w:trPr>
          <w:trHeight w:val="566"/>
        </w:trPr>
        <w:tc>
          <w:tcPr>
            <w:tcW w:w="1027" w:type="pct"/>
            <w:vMerge/>
            <w:tcBorders>
              <w:top w:val="nil"/>
              <w:left w:val="single" w:sz="8" w:space="0" w:color="auto"/>
              <w:bottom w:val="single" w:sz="8" w:space="0" w:color="000000"/>
              <w:right w:val="single" w:sz="4" w:space="0" w:color="auto"/>
            </w:tcBorders>
            <w:vAlign w:val="center"/>
            <w:hideMark/>
          </w:tcPr>
          <w:p w:rsidR="000803B6" w:rsidRPr="00374785" w:rsidRDefault="000803B6" w:rsidP="00302A90">
            <w:pPr>
              <w:rPr>
                <w:b/>
                <w:bCs/>
                <w:color w:val="000000"/>
                <w:sz w:val="20"/>
                <w:szCs w:val="20"/>
              </w:rPr>
            </w:pPr>
          </w:p>
        </w:tc>
        <w:tc>
          <w:tcPr>
            <w:tcW w:w="625" w:type="pct"/>
            <w:tcBorders>
              <w:top w:val="nil"/>
              <w:left w:val="nil"/>
              <w:bottom w:val="single" w:sz="8" w:space="0" w:color="auto"/>
              <w:right w:val="single" w:sz="4" w:space="0" w:color="auto"/>
            </w:tcBorders>
            <w:shd w:val="clear" w:color="auto" w:fill="auto"/>
            <w:vAlign w:val="center"/>
            <w:hideMark/>
          </w:tcPr>
          <w:p w:rsidR="000803B6" w:rsidRPr="00374785" w:rsidRDefault="000803B6" w:rsidP="00302A90">
            <w:pPr>
              <w:rPr>
                <w:color w:val="000000"/>
                <w:sz w:val="20"/>
                <w:szCs w:val="20"/>
              </w:rPr>
            </w:pPr>
            <w:r w:rsidRPr="00374785">
              <w:rPr>
                <w:color w:val="000000"/>
                <w:sz w:val="20"/>
                <w:szCs w:val="20"/>
              </w:rPr>
              <w:t>Block</w:t>
            </w:r>
          </w:p>
        </w:tc>
        <w:tc>
          <w:tcPr>
            <w:tcW w:w="1212" w:type="pct"/>
            <w:tcBorders>
              <w:top w:val="nil"/>
              <w:left w:val="nil"/>
              <w:bottom w:val="single" w:sz="8" w:space="0" w:color="auto"/>
              <w:right w:val="single" w:sz="4" w:space="0" w:color="auto"/>
            </w:tcBorders>
            <w:shd w:val="clear" w:color="auto" w:fill="auto"/>
            <w:vAlign w:val="center"/>
            <w:hideMark/>
          </w:tcPr>
          <w:p w:rsidR="000803B6" w:rsidRPr="00374785" w:rsidRDefault="006958A3" w:rsidP="006958A3">
            <w:pPr>
              <w:jc w:val="center"/>
              <w:rPr>
                <w:color w:val="000000"/>
                <w:sz w:val="20"/>
                <w:szCs w:val="20"/>
              </w:rPr>
            </w:pPr>
            <w:r w:rsidRPr="00374785">
              <w:rPr>
                <w:color w:val="000000"/>
                <w:sz w:val="20"/>
                <w:szCs w:val="20"/>
              </w:rPr>
              <w:t>Not Applicable—</w:t>
            </w:r>
            <w:r w:rsidR="000803B6" w:rsidRPr="00374785">
              <w:rPr>
                <w:color w:val="000000"/>
                <w:sz w:val="20"/>
                <w:szCs w:val="20"/>
              </w:rPr>
              <w:t>Planting is more than 40 metres wide</w:t>
            </w:r>
          </w:p>
        </w:tc>
        <w:tc>
          <w:tcPr>
            <w:tcW w:w="1165" w:type="pct"/>
            <w:tcBorders>
              <w:top w:val="nil"/>
              <w:left w:val="nil"/>
              <w:bottom w:val="single" w:sz="8" w:space="0" w:color="auto"/>
              <w:right w:val="single" w:sz="4" w:space="0" w:color="auto"/>
            </w:tcBorders>
            <w:shd w:val="clear" w:color="auto" w:fill="auto"/>
            <w:noWrap/>
            <w:vAlign w:val="center"/>
            <w:hideMark/>
          </w:tcPr>
          <w:p w:rsidR="000803B6" w:rsidRPr="00374785" w:rsidRDefault="006958A3" w:rsidP="00302A90">
            <w:pPr>
              <w:jc w:val="center"/>
              <w:rPr>
                <w:color w:val="000000"/>
                <w:sz w:val="20"/>
                <w:szCs w:val="20"/>
              </w:rPr>
            </w:pPr>
            <w:r w:rsidRPr="00374785">
              <w:rPr>
                <w:color w:val="000000"/>
                <w:sz w:val="20"/>
                <w:szCs w:val="20"/>
              </w:rPr>
              <w:t>Not Applicable</w:t>
            </w:r>
            <w:r w:rsidRPr="00374785">
              <w:rPr>
                <w:color w:val="000000"/>
                <w:sz w:val="20"/>
                <w:szCs w:val="20"/>
                <w:vertAlign w:val="superscript"/>
              </w:rPr>
              <w:t xml:space="preserve"> </w:t>
            </w:r>
            <w:r w:rsidR="000803B6" w:rsidRPr="00374785">
              <w:rPr>
                <w:color w:val="000000"/>
                <w:sz w:val="20"/>
                <w:szCs w:val="20"/>
                <w:vertAlign w:val="superscript"/>
              </w:rPr>
              <w:t>2</w:t>
            </w:r>
          </w:p>
        </w:tc>
        <w:tc>
          <w:tcPr>
            <w:tcW w:w="971" w:type="pct"/>
            <w:tcBorders>
              <w:top w:val="nil"/>
              <w:left w:val="single" w:sz="8" w:space="0" w:color="auto"/>
              <w:bottom w:val="single" w:sz="8" w:space="0" w:color="auto"/>
              <w:right w:val="single" w:sz="8" w:space="0" w:color="auto"/>
            </w:tcBorders>
            <w:shd w:val="clear" w:color="auto" w:fill="auto"/>
            <w:vAlign w:val="center"/>
            <w:hideMark/>
          </w:tcPr>
          <w:p w:rsidR="000803B6" w:rsidRPr="00374785" w:rsidRDefault="000803B6" w:rsidP="006958A3">
            <w:pPr>
              <w:jc w:val="center"/>
              <w:rPr>
                <w:color w:val="000000"/>
                <w:sz w:val="20"/>
                <w:szCs w:val="20"/>
              </w:rPr>
            </w:pPr>
            <w:r w:rsidRPr="00374785">
              <w:rPr>
                <w:color w:val="000000"/>
                <w:sz w:val="20"/>
                <w:szCs w:val="20"/>
              </w:rPr>
              <w:t>Width of planting+ 2 metres</w:t>
            </w:r>
          </w:p>
        </w:tc>
      </w:tr>
    </w:tbl>
    <w:p w:rsidR="00302A90" w:rsidRPr="00374785" w:rsidRDefault="00302A90" w:rsidP="00702E8F">
      <w:pPr>
        <w:pStyle w:val="noteDrafter"/>
        <w:rPr>
          <w:color w:val="auto"/>
        </w:rPr>
      </w:pPr>
    </w:p>
    <w:p w:rsidR="00B61A77" w:rsidRPr="00374785" w:rsidRDefault="00B61A77" w:rsidP="00B61A77">
      <w:pPr>
        <w:pStyle w:val="tMain"/>
        <w:rPr>
          <w:b/>
        </w:rPr>
      </w:pPr>
      <w:r w:rsidRPr="00374785">
        <w:rPr>
          <w:b/>
        </w:rPr>
        <w:t>Notes:</w:t>
      </w:r>
      <w:r w:rsidRPr="00374785">
        <w:rPr>
          <w:b/>
        </w:rPr>
        <w:tab/>
      </w:r>
    </w:p>
    <w:p w:rsidR="001F7033" w:rsidRPr="00374785" w:rsidRDefault="00B61A77" w:rsidP="00B61A77">
      <w:pPr>
        <w:pStyle w:val="tMain"/>
        <w:ind w:left="0" w:firstLine="0"/>
      </w:pPr>
      <w:r w:rsidRPr="00374785">
        <w:t xml:space="preserve">1: </w:t>
      </w:r>
      <w:r w:rsidR="001F7033" w:rsidRPr="00374785">
        <w:t>Maximum permitted row width for a belt planting (M)</w:t>
      </w:r>
      <w:r w:rsidR="001F7033" w:rsidRPr="00374785" w:rsidDel="00EC42EB">
        <w:t xml:space="preserve"> </w:t>
      </w:r>
      <w:r w:rsidR="001F7033" w:rsidRPr="00374785">
        <w:t>is determined using the following equation: M = A/(R-1); where A is the maximum permitted carbon estimation area width and R is the number of rows in an individual belt. If any linear plantings are planted at the maximum allowable row width, then the boundary of the carbon estimation area along the long axis will equal the stem line of the outer rows.</w:t>
      </w:r>
    </w:p>
    <w:p w:rsidR="001F7033" w:rsidRPr="00374785" w:rsidRDefault="00B61A77" w:rsidP="00B61A77">
      <w:pPr>
        <w:pStyle w:val="tMain"/>
        <w:ind w:left="0" w:firstLine="0"/>
      </w:pPr>
      <w:r w:rsidRPr="00374785">
        <w:t xml:space="preserve">2: </w:t>
      </w:r>
      <w:r w:rsidR="001F7033" w:rsidRPr="00374785">
        <w:t>Effective maximum row width in a belt is less than 5 metres – in order to be consistent with the CFI Mapping Guidelines with respect to exclusion areas.</w:t>
      </w:r>
    </w:p>
    <w:p w:rsidR="002B60C7" w:rsidRPr="00374785" w:rsidRDefault="002B60C7" w:rsidP="002B60C7">
      <w:pPr>
        <w:pStyle w:val="NoteEnd"/>
        <w:pBdr>
          <w:top w:val="single" w:sz="4" w:space="3" w:color="auto"/>
        </w:pBdr>
        <w:spacing w:before="480"/>
        <w:rPr>
          <w:rFonts w:ascii="Arial" w:hAnsi="Arial"/>
          <w:b/>
          <w:sz w:val="24"/>
        </w:rPr>
      </w:pPr>
      <w:r w:rsidRPr="00374785">
        <w:rPr>
          <w:rFonts w:ascii="Arial" w:hAnsi="Arial"/>
          <w:b/>
          <w:sz w:val="24"/>
        </w:rPr>
        <w:t>Note</w:t>
      </w:r>
    </w:p>
    <w:p w:rsidR="002B60C7" w:rsidRPr="007128B6" w:rsidRDefault="002B60C7" w:rsidP="002B60C7">
      <w:pPr>
        <w:pStyle w:val="NoteEnd"/>
        <w:rPr>
          <w:color w:val="000000" w:themeColor="text1"/>
        </w:rPr>
      </w:pPr>
      <w:r w:rsidRPr="00374785">
        <w:rPr>
          <w:color w:val="000000" w:themeColor="text1"/>
        </w:rPr>
        <w:t>1.</w:t>
      </w:r>
      <w:r w:rsidRPr="00374785">
        <w:rPr>
          <w:color w:val="000000" w:themeColor="text1"/>
        </w:rPr>
        <w:tab/>
        <w:t xml:space="preserve">All legislative instruments and compilations are registered on the Federal Register of Legislative Instruments kept under the </w:t>
      </w:r>
      <w:r w:rsidRPr="00374785">
        <w:rPr>
          <w:i/>
          <w:color w:val="000000" w:themeColor="text1"/>
        </w:rPr>
        <w:t xml:space="preserve">Legislative Instruments Act 2003. </w:t>
      </w:r>
      <w:r w:rsidRPr="00374785">
        <w:rPr>
          <w:color w:val="000000" w:themeColor="text1"/>
        </w:rPr>
        <w:t xml:space="preserve">See </w:t>
      </w:r>
      <w:r w:rsidRPr="00374785">
        <w:rPr>
          <w:color w:val="000000" w:themeColor="text1"/>
          <w:u w:val="single"/>
        </w:rPr>
        <w:t>http://www.frli.gov.au</w:t>
      </w:r>
      <w:r w:rsidRPr="00374785">
        <w:rPr>
          <w:color w:val="000000" w:themeColor="text1"/>
        </w:rPr>
        <w:t>.</w:t>
      </w:r>
    </w:p>
    <w:sectPr w:rsidR="002B60C7" w:rsidRPr="007128B6" w:rsidSect="00D55828">
      <w:headerReference w:type="default" r:id="rId12"/>
      <w:footerReference w:type="default" r:id="rId13"/>
      <w:pgSz w:w="11906" w:h="16838"/>
      <w:pgMar w:top="1440" w:right="1440" w:bottom="1440" w:left="1440" w:header="708" w:footer="708"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macro wne:macroName="TEMPLATEPROJECT.N_AUTONUMBERED_PARAGRAPHS.N_1_CHAPTER_HEADING"/>
    </wne:keymap>
    <wne:keymap wne:kcmPrimary="0432">
      <wne:macro wne:macroName="TEMPLATEPROJECT.N_AUTONUMBERED_PARAGRAPHS.N_2_PART_HEADING"/>
    </wne:keymap>
    <wne:keymap wne:kcmPrimary="0433">
      <wne:macro wne:macroName="TEMPLATEPROJECT.N_AUTONUMBERED_PARAGRAPHS.N_3_DIVISION_HEADING"/>
    </wne:keymap>
    <wne:keymap wne:kcmPrimary="0434">
      <wne:macro wne:macroName="TEMPLATEPROJECT.N_AUTONUMBERED_PARAGRAPHS.N_4_SUBDIVISION_HEADING"/>
    </wne:keymap>
    <wne:keymap wne:kcmPrimary="0435">
      <wne:macro wne:macroName="TEMPLATEPROJECT.N_AUTONUMBERED_PARAGRAPHS.N_5_SECTION_HEADING"/>
    </wne:keymap>
    <wne:keymap wne:kcmPrimary="0436">
      <wne:macro wne:macroName="TEMPLATEPROJECT.U_UNNUMBERED_PARAGRAPHS.U_SUBSECTION_HEADING"/>
    </wne:keymap>
    <wne:keymap wne:kcmPrimary="0441">
      <wne:macro wne:macroName="TEMPLATEPROJECT.U_UNNUMBERED_PARAGRAPHS.U_UNDIVIDED_SECTION_TEXT"/>
    </wne:keymap>
    <wne:keymap wne:kcmPrimary="0444">
      <wne:macro wne:macroName="TEMPLATEPROJECT.U_UNNUMBERED_PARAGRAPHS.U_DEFINITION"/>
    </wne:keymap>
    <wne:keymap wne:kcmPrimary="0445">
      <wne:macro wne:macroName="TEMPLATEPROJECT.N_AUTONUMBERED_PARAGRAPHS.N_7_PARAGRAPH"/>
    </wne:keymap>
    <wne:keymap wne:kcmPrimary="044E" wne:kcmSecondary="0044">
      <wne:macro wne:macroName="TEMPLATEPROJECT.U_UNNUMBERED_PARAGRAPHS.U_DRAFTERS_NOTE"/>
    </wne:keymap>
    <wne:keymap wne:kcmPrimary="044E" wne:kcmSecondary="0045">
      <wne:macro wne:macroName="TEMPLATEPROJECT.U_UNNUMBERED_PARAGRAPHS.U_PARAGRAPH_NOTE"/>
    </wne:keymap>
    <wne:keymap wne:kcmPrimary="044E" wne:kcmSecondary="0047">
      <wne:macro wne:macroName="NORMAL.NEWMACROS.TEMPORARY_COMMENT"/>
    </wne:keymap>
    <wne:keymap wne:kcmPrimary="044E" wne:kcmSecondary="0051">
      <wne:macro wne:macroName="TEMPLATEPROJECT.U_UNNUMBERED_PARAGRAPHS.U_SECTION_NOTE"/>
    </wne:keymap>
    <wne:keymap wne:kcmPrimary="044E" wne:kcmSecondary="0052">
      <wne:macro wne:macroName="TEMPLATEPROJECT.U_UNNUMBERED_PARAGRAPHS.U_SUBPARAGRAPH_NOTE"/>
    </wne:keymap>
    <wne:keymap wne:kcmPrimary="044E" wne:kcmSecondary="0057">
      <wne:macro wne:macroName="TEMPLATEPROJECT.U_UNNUMBERED_PARAGRAPHS.U_SUBSECTION_NOTE"/>
    </wne:keymap>
    <wne:keymap wne:kcmPrimary="044E" wne:kcmSecondary="0058">
      <wne:macro wne:macroName="TEMPLATEPROJECT.MAIN_FORMAT_AND_NUMBERS.X_REFERENCES"/>
    </wne:keymap>
    <wne:keymap wne:kcmPrimary="044F" wne:kcmSecondary="004E">
      <wne:macro wne:macroName="TEMPLATEPROJECT.FIX_UP_MAIN_NUMBERING.J_FIX_UP_MAIN_NUMBERING"/>
    </wne:keymap>
    <wne:keymap wne:kcmPrimary="044F" wne:kcmSecondary="0050">
      <wne:macro wne:macroName="TEMPLATEPROJECT.C_CLEANUP_MACROS.C_PREPARE_FOR_CLIENT"/>
    </wne:keymap>
    <wne:keymap wne:kcmPrimary="044F" wne:kcmSecondary="0054">
      <wne:macro wne:macroName="TEMPLATEPROJECT.TABLE_OF_CONTENTS.TABLE_OF_CONTENTS"/>
    </wne:keymap>
    <wne:keymap wne:kcmPrimary="0450" wne:kcmSecondary="0045">
      <wne:macro wne:macroName="TEMPLATEPROJECT.U_UNNUMBERED_PARAGRAPHS.U_PARAGRAPH_NOTE_PARA"/>
    </wne:keymap>
    <wne:keymap wne:kcmPrimary="0450" wne:kcmSecondary="0051">
      <wne:macro wne:macroName="TEMPLATEPROJECT.U_UNNUMBERED_PARAGRAPHS.U_SECTION_NOTE_PARA"/>
    </wne:keymap>
    <wne:keymap wne:kcmPrimary="0450" wne:kcmSecondary="0057">
      <wne:macro wne:macroName="TEMPLATEPROJECT.U_UNNUMBERED_PARAGRAPHS.U_SUBSECTION_NOTE_PARA"/>
    </wne:keymap>
    <wne:keymap wne:kcmPrimary="0451">
      <wne:macro wne:macroName="TEMPLATEPROJECT.N_AUTONUMBERED_PARAGRAPHS.N_5_SECTION_HEADING"/>
    </wne:keymap>
    <wne:keymap wne:kcmPrimary="0452">
      <wne:macro wne:macroName="TEMPLATEPROJECT.N_AUTONUMBERED_PARAGRAPHS.N_8_SUB_PARAGRAPH"/>
    </wne:keymap>
    <wne:keymap wne:kcmPrimary="0453">
      <wne:macro wne:macroName="TEMPLATEPROJECT.N_AUTONUMBERED_PARAGRAPHS.N_1_SCHEDULE_HEADING"/>
    </wne:keymap>
    <wne:keymap wne:kcmPrimary="0454">
      <wne:macro wne:macroName="TEMPLATEPROJECT.N_AUTONUMBERED_PARAGRAPHS.N_9_SUBSUB_PARAGRAPH"/>
    </wne:keymap>
    <wne:keymap wne:kcmPrimary="0457">
      <wne:macro wne:macroName="TEMPLATEPROJECT.N_AUTONUMBERED_PARAGRAPHS.N_6_SUBSECTION_TEXT"/>
    </wne:keymap>
    <wne:keymap wne:kcmPrimary="045A" wne:kcmSecondary="0031">
      <wne:acd wne:acdName="acd9"/>
    </wne:keymap>
    <wne:keymap wne:kcmPrimary="045A" wne:kcmSecondary="0032">
      <wne:acd wne:acdName="acd11"/>
    </wne:keymap>
    <wne:keymap wne:kcmPrimary="045A" wne:kcmSecondary="0033">
      <wne:acd wne:acdName="acd13"/>
    </wne:keymap>
    <wne:keymap wne:kcmPrimary="045A" wne:kcmSecondary="0034">
      <wne:acd wne:acdName="acd12"/>
    </wne:keymap>
    <wne:keymap wne:kcmPrimary="045A" wne:kcmSecondary="0035">
      <wne:acd wne:acdName="acd0"/>
    </wne:keymap>
    <wne:keymap wne:kcmPrimary="045A" wne:kcmSecondary="0037">
      <wne:acd wne:acdName="acd14"/>
    </wne:keymap>
    <wne:keymap wne:kcmPrimary="045A" wne:kcmSecondary="0044">
      <wne:acd wne:acdName="acd17"/>
    </wne:keymap>
    <wne:keymap wne:kcmPrimary="045A" wne:kcmSecondary="0045">
      <wne:acd wne:acdName="acd15"/>
    </wne:keymap>
    <wne:keymap wne:kcmPrimary="045A" wne:kcmSecondary="0052">
      <wne:acd wne:acdName="acd16"/>
    </wne:keymap>
    <wne:keymap wne:kcmPrimary="045A" wne:kcmSecondary="0054">
      <wne:acd wne:acdName="acd19"/>
    </wne:keymap>
    <wne:keymap wne:kcmPrimary="1058">
      <wne:macro wne:macroName="TEMPLATEPROJECT.C_CLEANUP_MACROS.C_SET_NUMBERED_PARAS_TO_OUR_STYLES"/>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oADUAXwBTAGUAYwB0AGkAbwBuAA=="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rgValue="AgBoADEAXwBDAGgAXwBTAGMAaAA=" wne:acdName="acd9" wne:fciIndexBasedOn="0065"/>
    <wne:acd wne:acdName="acd10" wne:fciIndexBasedOn="0065"/>
    <wne:acd wne:argValue="AgBoADIAXwBQAGEAcgB0AA==" wne:acdName="acd11" wne:fciIndexBasedOn="0065"/>
    <wne:acd wne:argValue="AgBoADQAXwBTAHUAYgBkAGkAdgA=" wne:acdName="acd12" wne:fciIndexBasedOn="0065"/>
    <wne:acd wne:argValue="AgBoADMAXwBEAGkAdgA=" wne:acdName="acd13" wne:fciIndexBasedOn="0065"/>
    <wne:acd wne:argValue="AgBoADcAXwBFAHgAYQBtAHAAbABlAA==" wne:acdName="acd14" wne:fciIndexBasedOn="0065"/>
    <wne:acd wne:argValue="AgB0AF8AUABhAHIAYQA=" wne:acdName="acd15" wne:fciIndexBasedOn="0065"/>
    <wne:acd wne:argValue="AgB0AF8AUwB1AGIAcABhAHIAYQA=" wne:acdName="acd16" wne:fciIndexBasedOn="0065"/>
    <wne:acd wne:argValue="AgB0AF8ARABlAGYAbgA=" wne:acdName="acd17" wne:fciIndexBasedOn="0065"/>
    <wne:acd wne:acdName="acd18" wne:fciIndexBasedOn="0065"/>
    <wne:acd wne:argValue="AgB0AF8AUwB1AGIAcwB1AGIA" wne:acdName="acd19"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FD2" w:rsidRDefault="00BA5FD2" w:rsidP="00CD349A">
      <w:r>
        <w:separator/>
      </w:r>
    </w:p>
  </w:endnote>
  <w:endnote w:type="continuationSeparator" w:id="0">
    <w:p w:rsidR="00BA5FD2" w:rsidRDefault="00BA5FD2" w:rsidP="00CD34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D2" w:rsidRDefault="00BA5FD2" w:rsidP="00D55828">
    <w:pPr>
      <w:spacing w:line="200" w:lineRule="exact"/>
    </w:pPr>
  </w:p>
  <w:tbl>
    <w:tblPr>
      <w:tblW w:w="0" w:type="auto"/>
      <w:tblBorders>
        <w:top w:val="single" w:sz="4" w:space="0" w:color="auto"/>
      </w:tblBorders>
      <w:tblLayout w:type="fixed"/>
      <w:tblLook w:val="01E0"/>
    </w:tblPr>
    <w:tblGrid>
      <w:gridCol w:w="1134"/>
      <w:gridCol w:w="6095"/>
      <w:gridCol w:w="1134"/>
    </w:tblGrid>
    <w:tr w:rsidR="00BA5FD2" w:rsidTr="005E089C">
      <w:tc>
        <w:tcPr>
          <w:tcW w:w="1134" w:type="dxa"/>
        </w:tcPr>
        <w:p w:rsidR="00BA5FD2" w:rsidRDefault="00BA5FD2" w:rsidP="005E089C">
          <w:pPr>
            <w:spacing w:line="240" w:lineRule="exact"/>
          </w:pPr>
        </w:p>
      </w:tc>
      <w:tc>
        <w:tcPr>
          <w:tcW w:w="6095" w:type="dxa"/>
        </w:tcPr>
        <w:p w:rsidR="00BA5FD2" w:rsidRPr="004F5D6D" w:rsidRDefault="00BA5FD2" w:rsidP="00C00910">
          <w:pPr>
            <w:pStyle w:val="FooterCitation"/>
          </w:pPr>
          <w:r w:rsidRPr="00004213">
            <w:t>Carbon Credits (Carbon Farming Initiative) (Reforestation by Environmental or Mallee Plantings—FullCAM) Methodology Determination 2014</w:t>
          </w:r>
        </w:p>
      </w:tc>
      <w:tc>
        <w:tcPr>
          <w:tcW w:w="1134" w:type="dxa"/>
        </w:tcPr>
        <w:p w:rsidR="00BA5FD2" w:rsidRPr="003D7214" w:rsidRDefault="0020376C" w:rsidP="005E089C">
          <w:pPr>
            <w:spacing w:line="240" w:lineRule="exact"/>
            <w:jc w:val="right"/>
            <w:rPr>
              <w:rStyle w:val="PageNumber"/>
              <w:rFonts w:cs="Arial"/>
              <w:szCs w:val="22"/>
            </w:rPr>
          </w:pPr>
          <w:r w:rsidRPr="003D7214">
            <w:rPr>
              <w:rStyle w:val="PageNumber"/>
              <w:rFonts w:cs="Arial"/>
              <w:szCs w:val="22"/>
            </w:rPr>
            <w:fldChar w:fldCharType="begin"/>
          </w:r>
          <w:r w:rsidR="00BA5FD2" w:rsidRPr="003D7214">
            <w:rPr>
              <w:rStyle w:val="PageNumber"/>
              <w:rFonts w:cs="Arial"/>
              <w:szCs w:val="22"/>
            </w:rPr>
            <w:instrText xml:space="preserve">PAGE  </w:instrText>
          </w:r>
          <w:r w:rsidRPr="003D7214">
            <w:rPr>
              <w:rStyle w:val="PageNumber"/>
              <w:rFonts w:cs="Arial"/>
              <w:szCs w:val="22"/>
            </w:rPr>
            <w:fldChar w:fldCharType="separate"/>
          </w:r>
          <w:r w:rsidR="003047F9">
            <w:rPr>
              <w:rStyle w:val="PageNumber"/>
              <w:rFonts w:cs="Arial"/>
              <w:noProof/>
              <w:szCs w:val="22"/>
            </w:rPr>
            <w:t>2</w:t>
          </w:r>
          <w:r w:rsidRPr="003D7214">
            <w:rPr>
              <w:rStyle w:val="PageNumber"/>
              <w:rFonts w:cs="Arial"/>
              <w:szCs w:val="22"/>
            </w:rPr>
            <w:fldChar w:fldCharType="end"/>
          </w:r>
        </w:p>
      </w:tc>
    </w:tr>
  </w:tbl>
  <w:p w:rsidR="00BA5FD2" w:rsidRPr="00D55828" w:rsidRDefault="00BA5FD2" w:rsidP="00D558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FD2" w:rsidRDefault="00BA5FD2" w:rsidP="00CD349A">
      <w:r>
        <w:separator/>
      </w:r>
    </w:p>
  </w:footnote>
  <w:footnote w:type="continuationSeparator" w:id="0">
    <w:p w:rsidR="00BA5FD2" w:rsidRDefault="00BA5FD2" w:rsidP="00CD34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6914"/>
      <w:gridCol w:w="1471"/>
    </w:tblGrid>
    <w:tr w:rsidR="00BA5FD2" w:rsidTr="005E089C">
      <w:tc>
        <w:tcPr>
          <w:tcW w:w="6914" w:type="dxa"/>
        </w:tcPr>
        <w:p w:rsidR="00BA5FD2" w:rsidRPr="00ED489D" w:rsidRDefault="0020376C" w:rsidP="003C61F2">
          <w:pPr>
            <w:pStyle w:val="HeaderLiteOdd"/>
            <w:tabs>
              <w:tab w:val="clear" w:pos="3969"/>
              <w:tab w:val="clear" w:pos="8505"/>
              <w:tab w:val="left" w:pos="1418"/>
            </w:tabs>
            <w:jc w:val="center"/>
            <w:rPr>
              <w:highlight w:val="yellow"/>
            </w:rPr>
          </w:pPr>
          <w:r w:rsidRPr="00ED489D">
            <w:rPr>
              <w:highlight w:val="yellow"/>
            </w:rPr>
            <w:fldChar w:fldCharType="begin"/>
          </w:r>
          <w:r w:rsidR="00BA5FD2" w:rsidRPr="00ED489D">
            <w:rPr>
              <w:highlight w:val="yellow"/>
            </w:rPr>
            <w:instrText xml:space="preserve"> IF </w:instrText>
          </w:r>
          <w:r w:rsidRPr="00ED489D">
            <w:rPr>
              <w:highlight w:val="yellow"/>
            </w:rPr>
            <w:fldChar w:fldCharType="begin"/>
          </w:r>
          <w:r w:rsidR="00BA5FD2" w:rsidRPr="00ED489D">
            <w:rPr>
              <w:highlight w:val="yellow"/>
            </w:rPr>
            <w:instrText xml:space="preserve"> STYLEREF  "HP"  \* MERGEFORMAT </w:instrText>
          </w:r>
          <w:r w:rsidRPr="00ED489D">
            <w:rPr>
              <w:highlight w:val="yellow"/>
            </w:rPr>
            <w:fldChar w:fldCharType="separate"/>
          </w:r>
          <w:r w:rsidR="003047F9">
            <w:rPr>
              <w:b/>
              <w:bCs/>
              <w:noProof/>
              <w:highlight w:val="yellow"/>
              <w:lang w:val="en-US"/>
            </w:rPr>
            <w:instrText>Error! No text of specified style in document.</w:instrText>
          </w:r>
          <w:r w:rsidRPr="00ED489D">
            <w:rPr>
              <w:noProof/>
              <w:highlight w:val="yellow"/>
            </w:rPr>
            <w:fldChar w:fldCharType="end"/>
          </w:r>
          <w:r w:rsidR="00BA5FD2" w:rsidRPr="00ED489D">
            <w:rPr>
              <w:highlight w:val="yellow"/>
            </w:rPr>
            <w:instrText>&lt;&gt; "Error*"</w:instrText>
          </w:r>
          <w:fldSimple w:instr=" STYLEREF  &quot;HP&quot;  \* MERGEFORMAT ">
            <w:r w:rsidR="00BA5FD2" w:rsidRPr="00ED489D">
              <w:rPr>
                <w:noProof/>
                <w:highlight w:val="yellow"/>
              </w:rPr>
              <w:instrText xml:space="preserve">Part </w:instrText>
            </w:r>
            <w:r w:rsidR="00BA5FD2" w:rsidRPr="00ED489D">
              <w:rPr>
                <w:noProof/>
                <w:highlight w:val="yellow"/>
              </w:rPr>
              <w:tab/>
              <w:instrText>Monitoring, record-keeping and reporting requirements</w:instrText>
            </w:r>
          </w:fldSimple>
          <w:r w:rsidR="00BA5FD2" w:rsidRPr="00ED489D">
            <w:rPr>
              <w:highlight w:val="yellow"/>
            </w:rPr>
            <w:instrText xml:space="preserve"> \* MERGEFORMAT </w:instrText>
          </w:r>
          <w:r w:rsidRPr="00ED489D">
            <w:rPr>
              <w:highlight w:val="yellow"/>
            </w:rPr>
            <w:fldChar w:fldCharType="end"/>
          </w:r>
          <w:r w:rsidRPr="00ED489D">
            <w:rPr>
              <w:highlight w:val="yellow"/>
            </w:rPr>
            <w:fldChar w:fldCharType="begin"/>
          </w:r>
          <w:r w:rsidR="00BA5FD2" w:rsidRPr="00ED489D">
            <w:rPr>
              <w:highlight w:val="yellow"/>
            </w:rPr>
            <w:instrText xml:space="preserve"> IF </w:instrText>
          </w:r>
          <w:r w:rsidRPr="00ED489D">
            <w:rPr>
              <w:highlight w:val="yellow"/>
            </w:rPr>
            <w:fldChar w:fldCharType="begin"/>
          </w:r>
          <w:r w:rsidR="00BA5FD2" w:rsidRPr="00ED489D">
            <w:rPr>
              <w:highlight w:val="yellow"/>
            </w:rPr>
            <w:instrText xml:space="preserve"> STYLEREF  "HD"  \* MERGEFORMAT </w:instrText>
          </w:r>
          <w:r w:rsidRPr="00ED489D">
            <w:rPr>
              <w:highlight w:val="yellow"/>
            </w:rPr>
            <w:fldChar w:fldCharType="separate"/>
          </w:r>
          <w:r w:rsidR="003047F9">
            <w:rPr>
              <w:b/>
              <w:bCs/>
              <w:noProof/>
              <w:highlight w:val="yellow"/>
              <w:lang w:val="en-US"/>
            </w:rPr>
            <w:instrText>Error! No text of specified style in document.</w:instrText>
          </w:r>
          <w:r w:rsidRPr="00ED489D">
            <w:rPr>
              <w:noProof/>
              <w:highlight w:val="yellow"/>
            </w:rPr>
            <w:fldChar w:fldCharType="end"/>
          </w:r>
          <w:r w:rsidR="00BA5FD2" w:rsidRPr="00ED489D">
            <w:rPr>
              <w:highlight w:val="yellow"/>
            </w:rPr>
            <w:instrText>&lt;&gt; "Error*"</w:instrText>
          </w:r>
          <w:fldSimple w:instr=" STYLEREF  &quot;HD&quot;  \* MERGEFORMAT ">
            <w:r w:rsidR="00BA5FD2" w:rsidRPr="00ED489D">
              <w:rPr>
                <w:noProof/>
                <w:highlight w:val="yellow"/>
              </w:rPr>
              <w:instrText xml:space="preserve">Division </w:instrText>
            </w:r>
            <w:r w:rsidR="00BA5FD2" w:rsidRPr="00ED489D">
              <w:rPr>
                <w:noProof/>
                <w:highlight w:val="yellow"/>
              </w:rPr>
              <w:tab/>
              <w:instrText>General</w:instrText>
            </w:r>
          </w:fldSimple>
          <w:r w:rsidR="00BA5FD2" w:rsidRPr="00ED489D">
            <w:rPr>
              <w:highlight w:val="yellow"/>
            </w:rPr>
            <w:instrText xml:space="preserve"> \* MERGEFORMAT </w:instrText>
          </w:r>
          <w:r w:rsidRPr="00ED489D">
            <w:rPr>
              <w:highlight w:val="yellow"/>
            </w:rPr>
            <w:fldChar w:fldCharType="end"/>
          </w:r>
        </w:p>
      </w:tc>
      <w:tc>
        <w:tcPr>
          <w:tcW w:w="1471" w:type="dxa"/>
        </w:tcPr>
        <w:p w:rsidR="00BA5FD2" w:rsidRDefault="00BA5FD2" w:rsidP="005E089C">
          <w:pPr>
            <w:pStyle w:val="HeaderLiteOdd"/>
          </w:pPr>
        </w:p>
      </w:tc>
    </w:tr>
    <w:tr w:rsidR="00BA5FD2" w:rsidTr="005E089C">
      <w:tc>
        <w:tcPr>
          <w:tcW w:w="6914" w:type="dxa"/>
        </w:tcPr>
        <w:p w:rsidR="00BA5FD2" w:rsidRDefault="00BA5FD2" w:rsidP="005E089C">
          <w:pPr>
            <w:pStyle w:val="HeaderLiteOdd"/>
            <w:jc w:val="left"/>
          </w:pPr>
        </w:p>
      </w:tc>
      <w:tc>
        <w:tcPr>
          <w:tcW w:w="1471" w:type="dxa"/>
        </w:tcPr>
        <w:p w:rsidR="00BA5FD2" w:rsidRDefault="00BA5FD2" w:rsidP="005E089C">
          <w:pPr>
            <w:pStyle w:val="HeaderLiteOdd"/>
          </w:pPr>
        </w:p>
      </w:tc>
    </w:tr>
    <w:tr w:rsidR="00BA5FD2" w:rsidTr="005E089C">
      <w:tc>
        <w:tcPr>
          <w:tcW w:w="8385" w:type="dxa"/>
          <w:gridSpan w:val="2"/>
          <w:tcBorders>
            <w:bottom w:val="single" w:sz="4" w:space="0" w:color="auto"/>
          </w:tcBorders>
        </w:tcPr>
        <w:p w:rsidR="00BA5FD2" w:rsidRDefault="00BA5FD2" w:rsidP="005E089C">
          <w:pPr>
            <w:pStyle w:val="HeaderBoldOdd"/>
          </w:pPr>
        </w:p>
      </w:tc>
    </w:tr>
  </w:tbl>
  <w:p w:rsidR="00BA5FD2" w:rsidRDefault="00BA5FD2" w:rsidP="00D5582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724F"/>
    <w:multiLevelType w:val="hybridMultilevel"/>
    <w:tmpl w:val="73945E82"/>
    <w:lvl w:ilvl="0" w:tplc="74BE27B4">
      <w:start w:val="1"/>
      <w:numFmt w:val="lowerRoman"/>
      <w:lvlText w:val="(%1)"/>
      <w:lvlJc w:val="left"/>
      <w:pPr>
        <w:ind w:left="2715" w:hanging="720"/>
      </w:pPr>
      <w:rPr>
        <w:rFonts w:hint="default"/>
      </w:rPr>
    </w:lvl>
    <w:lvl w:ilvl="1" w:tplc="0C090019" w:tentative="1">
      <w:start w:val="1"/>
      <w:numFmt w:val="lowerLetter"/>
      <w:lvlText w:val="%2."/>
      <w:lvlJc w:val="left"/>
      <w:pPr>
        <w:ind w:left="3075" w:hanging="360"/>
      </w:pPr>
    </w:lvl>
    <w:lvl w:ilvl="2" w:tplc="0C09001B" w:tentative="1">
      <w:start w:val="1"/>
      <w:numFmt w:val="lowerRoman"/>
      <w:lvlText w:val="%3."/>
      <w:lvlJc w:val="right"/>
      <w:pPr>
        <w:ind w:left="3795" w:hanging="180"/>
      </w:pPr>
    </w:lvl>
    <w:lvl w:ilvl="3" w:tplc="0C09000F" w:tentative="1">
      <w:start w:val="1"/>
      <w:numFmt w:val="decimal"/>
      <w:lvlText w:val="%4."/>
      <w:lvlJc w:val="left"/>
      <w:pPr>
        <w:ind w:left="4515" w:hanging="360"/>
      </w:pPr>
    </w:lvl>
    <w:lvl w:ilvl="4" w:tplc="0C090019" w:tentative="1">
      <w:start w:val="1"/>
      <w:numFmt w:val="lowerLetter"/>
      <w:lvlText w:val="%5."/>
      <w:lvlJc w:val="left"/>
      <w:pPr>
        <w:ind w:left="5235" w:hanging="360"/>
      </w:pPr>
    </w:lvl>
    <w:lvl w:ilvl="5" w:tplc="0C09001B" w:tentative="1">
      <w:start w:val="1"/>
      <w:numFmt w:val="lowerRoman"/>
      <w:lvlText w:val="%6."/>
      <w:lvlJc w:val="right"/>
      <w:pPr>
        <w:ind w:left="5955" w:hanging="180"/>
      </w:pPr>
    </w:lvl>
    <w:lvl w:ilvl="6" w:tplc="0C09000F" w:tentative="1">
      <w:start w:val="1"/>
      <w:numFmt w:val="decimal"/>
      <w:lvlText w:val="%7."/>
      <w:lvlJc w:val="left"/>
      <w:pPr>
        <w:ind w:left="6675" w:hanging="360"/>
      </w:pPr>
    </w:lvl>
    <w:lvl w:ilvl="7" w:tplc="0C090019" w:tentative="1">
      <w:start w:val="1"/>
      <w:numFmt w:val="lowerLetter"/>
      <w:lvlText w:val="%8."/>
      <w:lvlJc w:val="left"/>
      <w:pPr>
        <w:ind w:left="7395" w:hanging="360"/>
      </w:pPr>
    </w:lvl>
    <w:lvl w:ilvl="8" w:tplc="0C09001B" w:tentative="1">
      <w:start w:val="1"/>
      <w:numFmt w:val="lowerRoman"/>
      <w:lvlText w:val="%9."/>
      <w:lvlJc w:val="right"/>
      <w:pPr>
        <w:ind w:left="8115" w:hanging="180"/>
      </w:pPr>
    </w:lvl>
  </w:abstractNum>
  <w:abstractNum w:abstractNumId="1">
    <w:nsid w:val="07A62157"/>
    <w:multiLevelType w:val="hybridMultilevel"/>
    <w:tmpl w:val="856865CA"/>
    <w:lvl w:ilvl="0" w:tplc="719A9BE2">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
    <w:nsid w:val="0B97452C"/>
    <w:multiLevelType w:val="hybridMultilevel"/>
    <w:tmpl w:val="EC9A4DD2"/>
    <w:lvl w:ilvl="0" w:tplc="719A9B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D6629DA"/>
    <w:multiLevelType w:val="multilevel"/>
    <w:tmpl w:val="0C09001F"/>
    <w:name w:val="main numbering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1B2965"/>
    <w:multiLevelType w:val="hybridMultilevel"/>
    <w:tmpl w:val="7FC2935C"/>
    <w:lvl w:ilvl="0" w:tplc="719A9BE2">
      <w:start w:val="1"/>
      <w:numFmt w:val="lowerLetter"/>
      <w:lvlText w:val="(%1)"/>
      <w:lvlJc w:val="left"/>
      <w:pPr>
        <w:ind w:left="1684" w:hanging="360"/>
      </w:pPr>
      <w:rPr>
        <w:rFonts w:hint="default"/>
      </w:rPr>
    </w:lvl>
    <w:lvl w:ilvl="1" w:tplc="0C090019">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5">
    <w:nsid w:val="12323B0F"/>
    <w:multiLevelType w:val="hybridMultilevel"/>
    <w:tmpl w:val="347851B2"/>
    <w:lvl w:ilvl="0" w:tplc="6A48BF4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FA57AB"/>
    <w:multiLevelType w:val="hybridMultilevel"/>
    <w:tmpl w:val="E81E741E"/>
    <w:lvl w:ilvl="0" w:tplc="0C090001">
      <w:start w:val="1"/>
      <w:numFmt w:val="lowerLetter"/>
      <w:lvlText w:val="(%1)"/>
      <w:lvlJc w:val="left"/>
      <w:pPr>
        <w:ind w:left="1684" w:hanging="360"/>
      </w:pPr>
      <w:rPr>
        <w:rFonts w:hint="default"/>
      </w:rPr>
    </w:lvl>
    <w:lvl w:ilvl="1" w:tplc="0C090003">
      <w:start w:val="1"/>
      <w:numFmt w:val="lowerRoman"/>
      <w:lvlText w:val="(%2)"/>
      <w:lvlJc w:val="right"/>
      <w:pPr>
        <w:ind w:left="2404" w:hanging="360"/>
      </w:pPr>
      <w:rPr>
        <w:rFonts w:hint="default"/>
      </w:rPr>
    </w:lvl>
    <w:lvl w:ilvl="2" w:tplc="0C090001" w:tentative="1">
      <w:start w:val="1"/>
      <w:numFmt w:val="lowerRoman"/>
      <w:lvlText w:val="%3."/>
      <w:lvlJc w:val="right"/>
      <w:pPr>
        <w:ind w:left="3124" w:hanging="180"/>
      </w:pPr>
    </w:lvl>
    <w:lvl w:ilvl="3" w:tplc="0C090001" w:tentative="1">
      <w:start w:val="1"/>
      <w:numFmt w:val="decimal"/>
      <w:lvlText w:val="%4."/>
      <w:lvlJc w:val="left"/>
      <w:pPr>
        <w:ind w:left="3844" w:hanging="360"/>
      </w:pPr>
    </w:lvl>
    <w:lvl w:ilvl="4" w:tplc="0C090003" w:tentative="1">
      <w:start w:val="1"/>
      <w:numFmt w:val="lowerLetter"/>
      <w:lvlText w:val="%5."/>
      <w:lvlJc w:val="left"/>
      <w:pPr>
        <w:ind w:left="4564" w:hanging="360"/>
      </w:pPr>
    </w:lvl>
    <w:lvl w:ilvl="5" w:tplc="0C090005" w:tentative="1">
      <w:start w:val="1"/>
      <w:numFmt w:val="lowerRoman"/>
      <w:lvlText w:val="%6."/>
      <w:lvlJc w:val="right"/>
      <w:pPr>
        <w:ind w:left="5284" w:hanging="180"/>
      </w:pPr>
    </w:lvl>
    <w:lvl w:ilvl="6" w:tplc="0C090001" w:tentative="1">
      <w:start w:val="1"/>
      <w:numFmt w:val="decimal"/>
      <w:lvlText w:val="%7."/>
      <w:lvlJc w:val="left"/>
      <w:pPr>
        <w:ind w:left="6004" w:hanging="360"/>
      </w:pPr>
    </w:lvl>
    <w:lvl w:ilvl="7" w:tplc="0C090003" w:tentative="1">
      <w:start w:val="1"/>
      <w:numFmt w:val="lowerLetter"/>
      <w:lvlText w:val="%8."/>
      <w:lvlJc w:val="left"/>
      <w:pPr>
        <w:ind w:left="6724" w:hanging="360"/>
      </w:pPr>
    </w:lvl>
    <w:lvl w:ilvl="8" w:tplc="0C090005" w:tentative="1">
      <w:start w:val="1"/>
      <w:numFmt w:val="lowerRoman"/>
      <w:lvlText w:val="%9."/>
      <w:lvlJc w:val="right"/>
      <w:pPr>
        <w:ind w:left="7444" w:hanging="180"/>
      </w:pPr>
    </w:lvl>
  </w:abstractNum>
  <w:abstractNum w:abstractNumId="7">
    <w:nsid w:val="1C0A5737"/>
    <w:multiLevelType w:val="hybridMultilevel"/>
    <w:tmpl w:val="8B7447E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C0415F"/>
    <w:multiLevelType w:val="hybridMultilevel"/>
    <w:tmpl w:val="5CDCBDDC"/>
    <w:lvl w:ilvl="0" w:tplc="719A9B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3C160BD"/>
    <w:multiLevelType w:val="hybridMultilevel"/>
    <w:tmpl w:val="A21216BE"/>
    <w:lvl w:ilvl="0" w:tplc="1A9AF376">
      <w:start w:val="1"/>
      <w:numFmt w:val="lowerLetter"/>
      <w:lvlText w:val="(%1)"/>
      <w:lvlJc w:val="left"/>
      <w:pPr>
        <w:ind w:left="1884" w:hanging="444"/>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nsid w:val="24F160DE"/>
    <w:multiLevelType w:val="hybridMultilevel"/>
    <w:tmpl w:val="274627E2"/>
    <w:lvl w:ilvl="0" w:tplc="719A9BE2">
      <w:start w:val="1"/>
      <w:numFmt w:val="lowerLetter"/>
      <w:lvlText w:val="(%1)"/>
      <w:lvlJc w:val="left"/>
      <w:pPr>
        <w:ind w:left="1684" w:hanging="360"/>
      </w:pPr>
      <w:rPr>
        <w:rFonts w:hint="default"/>
      </w:rPr>
    </w:lvl>
    <w:lvl w:ilvl="1" w:tplc="3AF05602">
      <w:start w:val="1"/>
      <w:numFmt w:val="lowerRoman"/>
      <w:lvlText w:val="(%2)"/>
      <w:lvlJc w:val="right"/>
      <w:pPr>
        <w:ind w:left="2404" w:hanging="360"/>
      </w:pPr>
      <w:rPr>
        <w:rFonts w:hint="default"/>
      </w:rPr>
    </w:lvl>
    <w:lvl w:ilvl="2" w:tplc="F5A6930E">
      <w:start w:val="1"/>
      <w:numFmt w:val="upperLetter"/>
      <w:lvlText w:val="(%3)"/>
      <w:lvlJc w:val="right"/>
      <w:pPr>
        <w:ind w:left="3124" w:hanging="180"/>
      </w:pPr>
      <w:rPr>
        <w:rFonts w:hint="default"/>
      </w:r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1">
    <w:nsid w:val="28615D5D"/>
    <w:multiLevelType w:val="hybridMultilevel"/>
    <w:tmpl w:val="2D822556"/>
    <w:lvl w:ilvl="0" w:tplc="719A9BE2">
      <w:start w:val="1"/>
      <w:numFmt w:val="lowerLetter"/>
      <w:lvlText w:val="(%1)"/>
      <w:lvlJc w:val="left"/>
      <w:pPr>
        <w:ind w:left="1684" w:hanging="360"/>
      </w:pPr>
      <w:rPr>
        <w:rFonts w:hint="default"/>
      </w:rPr>
    </w:lvl>
    <w:lvl w:ilvl="1" w:tplc="3AF05602">
      <w:start w:val="1"/>
      <w:numFmt w:val="lowerRoman"/>
      <w:lvlText w:val="(%2)"/>
      <w:lvlJc w:val="right"/>
      <w:pPr>
        <w:ind w:left="2404" w:hanging="360"/>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2">
    <w:nsid w:val="2E4140DA"/>
    <w:multiLevelType w:val="hybridMultilevel"/>
    <w:tmpl w:val="3CF01AAC"/>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3">
    <w:nsid w:val="3C8E5BD3"/>
    <w:multiLevelType w:val="hybridMultilevel"/>
    <w:tmpl w:val="D45C66B4"/>
    <w:lvl w:ilvl="0" w:tplc="719A9BE2">
      <w:start w:val="1"/>
      <w:numFmt w:val="lowerLetter"/>
      <w:lvlText w:val="(%1)"/>
      <w:lvlJc w:val="left"/>
      <w:pPr>
        <w:ind w:left="1684" w:hanging="360"/>
      </w:pPr>
      <w:rPr>
        <w:rFonts w:hint="default"/>
      </w:rPr>
    </w:lvl>
    <w:lvl w:ilvl="1" w:tplc="0C090019">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4">
    <w:nsid w:val="3E156968"/>
    <w:multiLevelType w:val="hybridMultilevel"/>
    <w:tmpl w:val="5AB8B460"/>
    <w:lvl w:ilvl="0" w:tplc="0C090001">
      <w:start w:val="1"/>
      <w:numFmt w:val="lowerRoman"/>
      <w:lvlText w:val="(%1)"/>
      <w:lvlJc w:val="right"/>
      <w:pPr>
        <w:ind w:left="1684" w:hanging="360"/>
      </w:pPr>
      <w:rPr>
        <w:rFonts w:hint="default"/>
      </w:rPr>
    </w:lvl>
    <w:lvl w:ilvl="1" w:tplc="35C09688">
      <w:start w:val="1"/>
      <w:numFmt w:val="lowerLetter"/>
      <w:lvlText w:val="(%2)"/>
      <w:lvlJc w:val="left"/>
      <w:pPr>
        <w:ind w:left="2464" w:hanging="420"/>
      </w:pPr>
      <w:rPr>
        <w:rFonts w:hint="default"/>
      </w:rPr>
    </w:lvl>
    <w:lvl w:ilvl="2" w:tplc="0C090005" w:tentative="1">
      <w:start w:val="1"/>
      <w:numFmt w:val="lowerRoman"/>
      <w:lvlText w:val="%3."/>
      <w:lvlJc w:val="right"/>
      <w:pPr>
        <w:ind w:left="3124" w:hanging="180"/>
      </w:pPr>
    </w:lvl>
    <w:lvl w:ilvl="3" w:tplc="0C090001" w:tentative="1">
      <w:start w:val="1"/>
      <w:numFmt w:val="decimal"/>
      <w:lvlText w:val="%4."/>
      <w:lvlJc w:val="left"/>
      <w:pPr>
        <w:ind w:left="3844" w:hanging="360"/>
      </w:pPr>
    </w:lvl>
    <w:lvl w:ilvl="4" w:tplc="0C090003" w:tentative="1">
      <w:start w:val="1"/>
      <w:numFmt w:val="lowerLetter"/>
      <w:lvlText w:val="%5."/>
      <w:lvlJc w:val="left"/>
      <w:pPr>
        <w:ind w:left="4564" w:hanging="360"/>
      </w:pPr>
    </w:lvl>
    <w:lvl w:ilvl="5" w:tplc="0C090005" w:tentative="1">
      <w:start w:val="1"/>
      <w:numFmt w:val="lowerRoman"/>
      <w:lvlText w:val="%6."/>
      <w:lvlJc w:val="right"/>
      <w:pPr>
        <w:ind w:left="5284" w:hanging="180"/>
      </w:pPr>
    </w:lvl>
    <w:lvl w:ilvl="6" w:tplc="0C090001" w:tentative="1">
      <w:start w:val="1"/>
      <w:numFmt w:val="decimal"/>
      <w:lvlText w:val="%7."/>
      <w:lvlJc w:val="left"/>
      <w:pPr>
        <w:ind w:left="6004" w:hanging="360"/>
      </w:pPr>
    </w:lvl>
    <w:lvl w:ilvl="7" w:tplc="0C090003" w:tentative="1">
      <w:start w:val="1"/>
      <w:numFmt w:val="lowerLetter"/>
      <w:lvlText w:val="%8."/>
      <w:lvlJc w:val="left"/>
      <w:pPr>
        <w:ind w:left="6724" w:hanging="360"/>
      </w:pPr>
    </w:lvl>
    <w:lvl w:ilvl="8" w:tplc="0C090005" w:tentative="1">
      <w:start w:val="1"/>
      <w:numFmt w:val="lowerRoman"/>
      <w:lvlText w:val="%9."/>
      <w:lvlJc w:val="right"/>
      <w:pPr>
        <w:ind w:left="7444" w:hanging="180"/>
      </w:pPr>
    </w:lvl>
  </w:abstractNum>
  <w:abstractNum w:abstractNumId="15">
    <w:nsid w:val="4B5130B8"/>
    <w:multiLevelType w:val="multilevel"/>
    <w:tmpl w:val="0C09001F"/>
    <w:name w:val="main numbering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C395ED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CEB298A"/>
    <w:multiLevelType w:val="multilevel"/>
    <w:tmpl w:val="0C09001F"/>
    <w:name w:val="main numbering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DFC0B3D"/>
    <w:multiLevelType w:val="hybridMultilevel"/>
    <w:tmpl w:val="C464B022"/>
    <w:lvl w:ilvl="0" w:tplc="B896EC5C">
      <w:start w:val="1"/>
      <w:numFmt w:val="lowerLetter"/>
      <w:lvlText w:val="(%1)"/>
      <w:lvlJc w:val="left"/>
      <w:pPr>
        <w:ind w:left="1684" w:hanging="360"/>
      </w:pPr>
      <w:rPr>
        <w:rFonts w:hint="default"/>
      </w:rPr>
    </w:lvl>
    <w:lvl w:ilvl="1" w:tplc="2A1A9092" w:tentative="1">
      <w:start w:val="1"/>
      <w:numFmt w:val="lowerLetter"/>
      <w:lvlText w:val="%2."/>
      <w:lvlJc w:val="left"/>
      <w:pPr>
        <w:ind w:left="2404" w:hanging="360"/>
      </w:pPr>
    </w:lvl>
    <w:lvl w:ilvl="2" w:tplc="A8925232" w:tentative="1">
      <w:start w:val="1"/>
      <w:numFmt w:val="lowerRoman"/>
      <w:lvlText w:val="%3."/>
      <w:lvlJc w:val="right"/>
      <w:pPr>
        <w:ind w:left="3124" w:hanging="180"/>
      </w:pPr>
    </w:lvl>
    <w:lvl w:ilvl="3" w:tplc="C1A8F0B4" w:tentative="1">
      <w:start w:val="1"/>
      <w:numFmt w:val="decimal"/>
      <w:lvlText w:val="%4."/>
      <w:lvlJc w:val="left"/>
      <w:pPr>
        <w:ind w:left="3844" w:hanging="360"/>
      </w:pPr>
    </w:lvl>
    <w:lvl w:ilvl="4" w:tplc="ADBA60B2" w:tentative="1">
      <w:start w:val="1"/>
      <w:numFmt w:val="lowerLetter"/>
      <w:lvlText w:val="%5."/>
      <w:lvlJc w:val="left"/>
      <w:pPr>
        <w:ind w:left="4564" w:hanging="360"/>
      </w:pPr>
    </w:lvl>
    <w:lvl w:ilvl="5" w:tplc="13CCF35A" w:tentative="1">
      <w:start w:val="1"/>
      <w:numFmt w:val="lowerRoman"/>
      <w:lvlText w:val="%6."/>
      <w:lvlJc w:val="right"/>
      <w:pPr>
        <w:ind w:left="5284" w:hanging="180"/>
      </w:pPr>
    </w:lvl>
    <w:lvl w:ilvl="6" w:tplc="7ACA3382" w:tentative="1">
      <w:start w:val="1"/>
      <w:numFmt w:val="decimal"/>
      <w:lvlText w:val="%7."/>
      <w:lvlJc w:val="left"/>
      <w:pPr>
        <w:ind w:left="6004" w:hanging="360"/>
      </w:pPr>
    </w:lvl>
    <w:lvl w:ilvl="7" w:tplc="747AEE20" w:tentative="1">
      <w:start w:val="1"/>
      <w:numFmt w:val="lowerLetter"/>
      <w:lvlText w:val="%8."/>
      <w:lvlJc w:val="left"/>
      <w:pPr>
        <w:ind w:left="6724" w:hanging="360"/>
      </w:pPr>
    </w:lvl>
    <w:lvl w:ilvl="8" w:tplc="F23A2E30" w:tentative="1">
      <w:start w:val="1"/>
      <w:numFmt w:val="lowerRoman"/>
      <w:lvlText w:val="%9."/>
      <w:lvlJc w:val="right"/>
      <w:pPr>
        <w:ind w:left="7444" w:hanging="180"/>
      </w:pPr>
    </w:lvl>
  </w:abstractNum>
  <w:abstractNum w:abstractNumId="19">
    <w:nsid w:val="4E1B1D14"/>
    <w:multiLevelType w:val="hybridMultilevel"/>
    <w:tmpl w:val="77F6ADE2"/>
    <w:lvl w:ilvl="0" w:tplc="719A9BE2">
      <w:start w:val="1"/>
      <w:numFmt w:val="lowerLetter"/>
      <w:lvlText w:val="(%1)"/>
      <w:lvlJc w:val="left"/>
      <w:pPr>
        <w:ind w:left="1684" w:hanging="360"/>
      </w:pPr>
      <w:rPr>
        <w:rFonts w:hint="default"/>
      </w:rPr>
    </w:lvl>
    <w:lvl w:ilvl="1" w:tplc="0C090019">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0">
    <w:nsid w:val="531752DB"/>
    <w:multiLevelType w:val="hybridMultilevel"/>
    <w:tmpl w:val="A4B8D822"/>
    <w:lvl w:ilvl="0" w:tplc="719A9B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4FB5D34"/>
    <w:multiLevelType w:val="multilevel"/>
    <w:tmpl w:val="7B2E377C"/>
    <w:name w:val="main numbering"/>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2.%3.%4"/>
      <w:lvlJc w:val="left"/>
      <w:pPr>
        <w:ind w:left="1440" w:hanging="360"/>
      </w:pPr>
      <w:rPr>
        <w:rFonts w:hint="default"/>
      </w:rPr>
    </w:lvl>
    <w:lvl w:ilvl="4">
      <w:start w:val="1"/>
      <w:numFmt w:val="decimal"/>
      <w:lvlRestart w:val="2"/>
      <w:lvlText w:val="%2.%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22">
    <w:nsid w:val="57C746C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88358A1"/>
    <w:multiLevelType w:val="hybridMultilevel"/>
    <w:tmpl w:val="AF328B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9817BD9"/>
    <w:multiLevelType w:val="hybridMultilevel"/>
    <w:tmpl w:val="0DD29AC8"/>
    <w:lvl w:ilvl="0" w:tplc="3AF05602">
      <w:start w:val="1"/>
      <w:numFmt w:val="lowerRoman"/>
      <w:lvlText w:val="(%1)"/>
      <w:lvlJc w:val="right"/>
      <w:pPr>
        <w:ind w:left="2404" w:hanging="360"/>
      </w:pPr>
      <w:rPr>
        <w:rFonts w:hint="default"/>
      </w:rPr>
    </w:lvl>
    <w:lvl w:ilvl="1" w:tplc="0C090019" w:tentative="1">
      <w:start w:val="1"/>
      <w:numFmt w:val="lowerLetter"/>
      <w:lvlText w:val="%2."/>
      <w:lvlJc w:val="left"/>
      <w:pPr>
        <w:ind w:left="3124" w:hanging="360"/>
      </w:pPr>
    </w:lvl>
    <w:lvl w:ilvl="2" w:tplc="0C09001B" w:tentative="1">
      <w:start w:val="1"/>
      <w:numFmt w:val="lowerRoman"/>
      <w:lvlText w:val="%3."/>
      <w:lvlJc w:val="right"/>
      <w:pPr>
        <w:ind w:left="3844" w:hanging="180"/>
      </w:pPr>
    </w:lvl>
    <w:lvl w:ilvl="3" w:tplc="0C09000F" w:tentative="1">
      <w:start w:val="1"/>
      <w:numFmt w:val="decimal"/>
      <w:lvlText w:val="%4."/>
      <w:lvlJc w:val="left"/>
      <w:pPr>
        <w:ind w:left="4564" w:hanging="360"/>
      </w:pPr>
    </w:lvl>
    <w:lvl w:ilvl="4" w:tplc="0C090019" w:tentative="1">
      <w:start w:val="1"/>
      <w:numFmt w:val="lowerLetter"/>
      <w:lvlText w:val="%5."/>
      <w:lvlJc w:val="left"/>
      <w:pPr>
        <w:ind w:left="5284" w:hanging="360"/>
      </w:pPr>
    </w:lvl>
    <w:lvl w:ilvl="5" w:tplc="0C09001B" w:tentative="1">
      <w:start w:val="1"/>
      <w:numFmt w:val="lowerRoman"/>
      <w:lvlText w:val="%6."/>
      <w:lvlJc w:val="right"/>
      <w:pPr>
        <w:ind w:left="6004" w:hanging="180"/>
      </w:pPr>
    </w:lvl>
    <w:lvl w:ilvl="6" w:tplc="0C09000F" w:tentative="1">
      <w:start w:val="1"/>
      <w:numFmt w:val="decimal"/>
      <w:lvlText w:val="%7."/>
      <w:lvlJc w:val="left"/>
      <w:pPr>
        <w:ind w:left="6724" w:hanging="360"/>
      </w:pPr>
    </w:lvl>
    <w:lvl w:ilvl="7" w:tplc="0C090019" w:tentative="1">
      <w:start w:val="1"/>
      <w:numFmt w:val="lowerLetter"/>
      <w:lvlText w:val="%8."/>
      <w:lvlJc w:val="left"/>
      <w:pPr>
        <w:ind w:left="7444" w:hanging="360"/>
      </w:pPr>
    </w:lvl>
    <w:lvl w:ilvl="8" w:tplc="0C09001B" w:tentative="1">
      <w:start w:val="1"/>
      <w:numFmt w:val="lowerRoman"/>
      <w:lvlText w:val="%9."/>
      <w:lvlJc w:val="right"/>
      <w:pPr>
        <w:ind w:left="8164" w:hanging="180"/>
      </w:pPr>
    </w:lvl>
  </w:abstractNum>
  <w:abstractNum w:abstractNumId="25">
    <w:nsid w:val="5F267487"/>
    <w:multiLevelType w:val="hybridMultilevel"/>
    <w:tmpl w:val="505087EE"/>
    <w:lvl w:ilvl="0" w:tplc="719A9BE2">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6">
    <w:nsid w:val="608F14CA"/>
    <w:multiLevelType w:val="hybridMultilevel"/>
    <w:tmpl w:val="6582BD50"/>
    <w:lvl w:ilvl="0" w:tplc="719A9BE2">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7">
    <w:nsid w:val="61456B7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63D03BB"/>
    <w:multiLevelType w:val="hybridMultilevel"/>
    <w:tmpl w:val="96328B5A"/>
    <w:lvl w:ilvl="0" w:tplc="719A9BE2">
      <w:start w:val="1"/>
      <w:numFmt w:val="lowerLetter"/>
      <w:lvlText w:val="(%1)"/>
      <w:lvlJc w:val="left"/>
      <w:pPr>
        <w:ind w:left="1684" w:hanging="360"/>
      </w:pPr>
      <w:rPr>
        <w:rFonts w:hint="default"/>
      </w:rPr>
    </w:lvl>
    <w:lvl w:ilvl="1" w:tplc="3AF05602">
      <w:start w:val="1"/>
      <w:numFmt w:val="lowerRoman"/>
      <w:lvlText w:val="(%2)"/>
      <w:lvlJc w:val="right"/>
      <w:pPr>
        <w:ind w:left="2404" w:hanging="360"/>
      </w:pPr>
      <w:rPr>
        <w:rFonts w:hint="default"/>
      </w:r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9">
    <w:nsid w:val="6E8E0123"/>
    <w:multiLevelType w:val="hybridMultilevel"/>
    <w:tmpl w:val="B2E6A8DC"/>
    <w:lvl w:ilvl="0" w:tplc="719A9BE2">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0">
    <w:nsid w:val="718A15CD"/>
    <w:multiLevelType w:val="hybridMultilevel"/>
    <w:tmpl w:val="D6F03794"/>
    <w:lvl w:ilvl="0" w:tplc="BB08C51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F2C04B8"/>
    <w:multiLevelType w:val="multilevel"/>
    <w:tmpl w:val="FF726526"/>
    <w:lvl w:ilvl="0">
      <w:start w:val="1"/>
      <w:numFmt w:val="bullet"/>
      <w:pStyle w:val="Bullet"/>
      <w:lvlText w:val="•"/>
      <w:lvlJc w:val="left"/>
      <w:pPr>
        <w:tabs>
          <w:tab w:val="num" w:pos="520"/>
        </w:tabs>
        <w:ind w:left="520" w:hanging="520"/>
      </w:pPr>
      <w:rPr>
        <w:rFonts w:ascii="Times New Roman" w:hAnsi="Times New Roman" w:hint="default"/>
      </w:rPr>
    </w:lvl>
    <w:lvl w:ilvl="1">
      <w:start w:val="1"/>
      <w:numFmt w:val="bullet"/>
      <w:pStyle w:val="Dash"/>
      <w:lvlText w:val="–"/>
      <w:lvlJc w:val="left"/>
      <w:pPr>
        <w:tabs>
          <w:tab w:val="num" w:pos="1040"/>
        </w:tabs>
        <w:ind w:left="1040" w:hanging="520"/>
      </w:pPr>
      <w:rPr>
        <w:rFonts w:ascii="Times New Roman" w:hAnsi="Times New Roman" w:hint="default"/>
      </w:rPr>
    </w:lvl>
    <w:lvl w:ilvl="2">
      <w:start w:val="1"/>
      <w:numFmt w:val="bullet"/>
      <w:pStyle w:val="DoubleDot"/>
      <w:lvlText w:val=":"/>
      <w:lvlJc w:val="left"/>
      <w:pPr>
        <w:tabs>
          <w:tab w:val="num" w:pos="1560"/>
        </w:tabs>
        <w:ind w:left="1560" w:hanging="520"/>
      </w:pPr>
      <w:rPr>
        <w:rFonts w:ascii="Times New Roman" w:hAnsi="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num w:numId="1">
    <w:abstractNumId w:val="21"/>
  </w:num>
  <w:num w:numId="2">
    <w:abstractNumId w:val="8"/>
  </w:num>
  <w:num w:numId="3">
    <w:abstractNumId w:val="31"/>
  </w:num>
  <w:num w:numId="4">
    <w:abstractNumId w:val="9"/>
  </w:num>
  <w:num w:numId="5">
    <w:abstractNumId w:val="25"/>
  </w:num>
  <w:num w:numId="6">
    <w:abstractNumId w:val="19"/>
  </w:num>
  <w:num w:numId="7">
    <w:abstractNumId w:val="6"/>
  </w:num>
  <w:num w:numId="8">
    <w:abstractNumId w:val="27"/>
  </w:num>
  <w:num w:numId="9">
    <w:abstractNumId w:val="18"/>
  </w:num>
  <w:num w:numId="10">
    <w:abstractNumId w:val="14"/>
  </w:num>
  <w:num w:numId="11">
    <w:abstractNumId w:val="29"/>
  </w:num>
  <w:num w:numId="12">
    <w:abstractNumId w:val="13"/>
  </w:num>
  <w:num w:numId="13">
    <w:abstractNumId w:val="4"/>
  </w:num>
  <w:num w:numId="14">
    <w:abstractNumId w:val="1"/>
  </w:num>
  <w:num w:numId="15">
    <w:abstractNumId w:val="10"/>
  </w:num>
  <w:num w:numId="16">
    <w:abstractNumId w:val="28"/>
  </w:num>
  <w:num w:numId="17">
    <w:abstractNumId w:val="11"/>
  </w:num>
  <w:num w:numId="18">
    <w:abstractNumId w:val="24"/>
  </w:num>
  <w:num w:numId="19">
    <w:abstractNumId w:val="22"/>
  </w:num>
  <w:num w:numId="20">
    <w:abstractNumId w:val="16"/>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0"/>
  </w:num>
  <w:num w:numId="24">
    <w:abstractNumId w:val="0"/>
  </w:num>
  <w:num w:numId="25">
    <w:abstractNumId w:val="26"/>
  </w:num>
  <w:num w:numId="26">
    <w:abstractNumId w:val="12"/>
  </w:num>
  <w:num w:numId="27">
    <w:abstractNumId w:val="5"/>
  </w:num>
  <w:num w:numId="28">
    <w:abstractNumId w:val="30"/>
  </w:num>
  <w:num w:numId="29">
    <w:abstractNumId w:val="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4"/>
  <w:defaultTabStop w:val="720"/>
  <w:drawingGridHorizontalSpacing w:val="120"/>
  <w:displayHorizontalDrawingGridEvery w:val="2"/>
  <w:characterSpacingControl w:val="doNotCompress"/>
  <w:hdrShapeDefaults>
    <o:shapedefaults v:ext="edit" spidmax="309249"/>
  </w:hdrShapeDefaults>
  <w:footnotePr>
    <w:footnote w:id="-1"/>
    <w:footnote w:id="0"/>
  </w:footnotePr>
  <w:endnotePr>
    <w:endnote w:id="-1"/>
    <w:endnote w:id="0"/>
  </w:endnotePr>
  <w:compat/>
  <w:rsids>
    <w:rsidRoot w:val="002C2687"/>
    <w:rsid w:val="00001BE4"/>
    <w:rsid w:val="000025DC"/>
    <w:rsid w:val="000038EF"/>
    <w:rsid w:val="00003C7E"/>
    <w:rsid w:val="00004213"/>
    <w:rsid w:val="00004926"/>
    <w:rsid w:val="00005164"/>
    <w:rsid w:val="00005331"/>
    <w:rsid w:val="00006686"/>
    <w:rsid w:val="00006BBD"/>
    <w:rsid w:val="00007342"/>
    <w:rsid w:val="00007570"/>
    <w:rsid w:val="00007AC6"/>
    <w:rsid w:val="0001038D"/>
    <w:rsid w:val="00010726"/>
    <w:rsid w:val="00010E9B"/>
    <w:rsid w:val="000125C1"/>
    <w:rsid w:val="00012663"/>
    <w:rsid w:val="000127EF"/>
    <w:rsid w:val="0001361C"/>
    <w:rsid w:val="000145C3"/>
    <w:rsid w:val="0001466E"/>
    <w:rsid w:val="00014710"/>
    <w:rsid w:val="000150AD"/>
    <w:rsid w:val="00015C8A"/>
    <w:rsid w:val="00016A12"/>
    <w:rsid w:val="00017C3D"/>
    <w:rsid w:val="00017E7E"/>
    <w:rsid w:val="00020011"/>
    <w:rsid w:val="0002042B"/>
    <w:rsid w:val="0002093C"/>
    <w:rsid w:val="00020B4A"/>
    <w:rsid w:val="00022918"/>
    <w:rsid w:val="00023205"/>
    <w:rsid w:val="00026380"/>
    <w:rsid w:val="00026689"/>
    <w:rsid w:val="00026804"/>
    <w:rsid w:val="00026EDF"/>
    <w:rsid w:val="00027C83"/>
    <w:rsid w:val="00030222"/>
    <w:rsid w:val="00030725"/>
    <w:rsid w:val="000310E9"/>
    <w:rsid w:val="00031AF0"/>
    <w:rsid w:val="000324AB"/>
    <w:rsid w:val="000329A6"/>
    <w:rsid w:val="000331B9"/>
    <w:rsid w:val="00033ECD"/>
    <w:rsid w:val="00034453"/>
    <w:rsid w:val="00036ACC"/>
    <w:rsid w:val="00036B74"/>
    <w:rsid w:val="00041116"/>
    <w:rsid w:val="00041381"/>
    <w:rsid w:val="0004243E"/>
    <w:rsid w:val="00042925"/>
    <w:rsid w:val="00042AB3"/>
    <w:rsid w:val="00043039"/>
    <w:rsid w:val="00043C8B"/>
    <w:rsid w:val="000451C9"/>
    <w:rsid w:val="00045418"/>
    <w:rsid w:val="0004572A"/>
    <w:rsid w:val="0004611E"/>
    <w:rsid w:val="00046CC9"/>
    <w:rsid w:val="00047A98"/>
    <w:rsid w:val="00047F86"/>
    <w:rsid w:val="0005041A"/>
    <w:rsid w:val="00050D42"/>
    <w:rsid w:val="000510DF"/>
    <w:rsid w:val="00051A38"/>
    <w:rsid w:val="000520AE"/>
    <w:rsid w:val="000528D3"/>
    <w:rsid w:val="00052E4A"/>
    <w:rsid w:val="000531E2"/>
    <w:rsid w:val="00054192"/>
    <w:rsid w:val="000543D6"/>
    <w:rsid w:val="000545F8"/>
    <w:rsid w:val="000547DB"/>
    <w:rsid w:val="0005480A"/>
    <w:rsid w:val="00054D28"/>
    <w:rsid w:val="00054E7C"/>
    <w:rsid w:val="0005611C"/>
    <w:rsid w:val="000561FB"/>
    <w:rsid w:val="00056932"/>
    <w:rsid w:val="00056E9B"/>
    <w:rsid w:val="00056F39"/>
    <w:rsid w:val="000576D2"/>
    <w:rsid w:val="00057E11"/>
    <w:rsid w:val="00057F79"/>
    <w:rsid w:val="000601EC"/>
    <w:rsid w:val="00060E04"/>
    <w:rsid w:val="000617F0"/>
    <w:rsid w:val="00061919"/>
    <w:rsid w:val="00061CF4"/>
    <w:rsid w:val="00061F1B"/>
    <w:rsid w:val="00062140"/>
    <w:rsid w:val="000623AF"/>
    <w:rsid w:val="00062904"/>
    <w:rsid w:val="0006451D"/>
    <w:rsid w:val="000648C1"/>
    <w:rsid w:val="0006516A"/>
    <w:rsid w:val="000658E9"/>
    <w:rsid w:val="00065B7D"/>
    <w:rsid w:val="00065E34"/>
    <w:rsid w:val="000667B9"/>
    <w:rsid w:val="000672A7"/>
    <w:rsid w:val="000677DC"/>
    <w:rsid w:val="00067A00"/>
    <w:rsid w:val="00070F0E"/>
    <w:rsid w:val="00071ABA"/>
    <w:rsid w:val="00071F42"/>
    <w:rsid w:val="0007246D"/>
    <w:rsid w:val="00072829"/>
    <w:rsid w:val="00072A61"/>
    <w:rsid w:val="00073CD9"/>
    <w:rsid w:val="00073F1C"/>
    <w:rsid w:val="0007449C"/>
    <w:rsid w:val="000754BD"/>
    <w:rsid w:val="00076BDE"/>
    <w:rsid w:val="00077CAC"/>
    <w:rsid w:val="000803B6"/>
    <w:rsid w:val="000803F5"/>
    <w:rsid w:val="00080454"/>
    <w:rsid w:val="00081697"/>
    <w:rsid w:val="00081F87"/>
    <w:rsid w:val="0008286D"/>
    <w:rsid w:val="00082BB6"/>
    <w:rsid w:val="00082C07"/>
    <w:rsid w:val="00083A8E"/>
    <w:rsid w:val="00083B34"/>
    <w:rsid w:val="00083C51"/>
    <w:rsid w:val="00084C56"/>
    <w:rsid w:val="00085C83"/>
    <w:rsid w:val="00085F06"/>
    <w:rsid w:val="0008631E"/>
    <w:rsid w:val="000865A2"/>
    <w:rsid w:val="00087149"/>
    <w:rsid w:val="000877D8"/>
    <w:rsid w:val="00087A10"/>
    <w:rsid w:val="0009037F"/>
    <w:rsid w:val="0009092D"/>
    <w:rsid w:val="00090D3C"/>
    <w:rsid w:val="00091325"/>
    <w:rsid w:val="00091A3D"/>
    <w:rsid w:val="0009245B"/>
    <w:rsid w:val="00092684"/>
    <w:rsid w:val="000929E1"/>
    <w:rsid w:val="000932C0"/>
    <w:rsid w:val="000937BE"/>
    <w:rsid w:val="00093D69"/>
    <w:rsid w:val="0009414F"/>
    <w:rsid w:val="00094202"/>
    <w:rsid w:val="0009471F"/>
    <w:rsid w:val="0009479B"/>
    <w:rsid w:val="00095994"/>
    <w:rsid w:val="00096356"/>
    <w:rsid w:val="000964B9"/>
    <w:rsid w:val="00097074"/>
    <w:rsid w:val="00097554"/>
    <w:rsid w:val="00097721"/>
    <w:rsid w:val="000A054F"/>
    <w:rsid w:val="000A11B4"/>
    <w:rsid w:val="000A1272"/>
    <w:rsid w:val="000A185C"/>
    <w:rsid w:val="000A1B04"/>
    <w:rsid w:val="000A348F"/>
    <w:rsid w:val="000A4FF9"/>
    <w:rsid w:val="000A5470"/>
    <w:rsid w:val="000A595C"/>
    <w:rsid w:val="000A6185"/>
    <w:rsid w:val="000A67C7"/>
    <w:rsid w:val="000A7A50"/>
    <w:rsid w:val="000A7AF0"/>
    <w:rsid w:val="000A7D86"/>
    <w:rsid w:val="000B1C68"/>
    <w:rsid w:val="000B2C69"/>
    <w:rsid w:val="000B30A5"/>
    <w:rsid w:val="000B33E6"/>
    <w:rsid w:val="000B3BCF"/>
    <w:rsid w:val="000B3FCA"/>
    <w:rsid w:val="000B435E"/>
    <w:rsid w:val="000B4472"/>
    <w:rsid w:val="000B4D25"/>
    <w:rsid w:val="000B5B57"/>
    <w:rsid w:val="000B6E66"/>
    <w:rsid w:val="000B776B"/>
    <w:rsid w:val="000C0298"/>
    <w:rsid w:val="000C02CA"/>
    <w:rsid w:val="000C0446"/>
    <w:rsid w:val="000C053C"/>
    <w:rsid w:val="000C099B"/>
    <w:rsid w:val="000C0D23"/>
    <w:rsid w:val="000C11F4"/>
    <w:rsid w:val="000C1A43"/>
    <w:rsid w:val="000C1F62"/>
    <w:rsid w:val="000C3272"/>
    <w:rsid w:val="000C33D7"/>
    <w:rsid w:val="000C3480"/>
    <w:rsid w:val="000C40CA"/>
    <w:rsid w:val="000C43AE"/>
    <w:rsid w:val="000C443D"/>
    <w:rsid w:val="000C46B5"/>
    <w:rsid w:val="000C53CB"/>
    <w:rsid w:val="000C56AB"/>
    <w:rsid w:val="000C69B6"/>
    <w:rsid w:val="000C743E"/>
    <w:rsid w:val="000C7E59"/>
    <w:rsid w:val="000D02D7"/>
    <w:rsid w:val="000D18B5"/>
    <w:rsid w:val="000D19CF"/>
    <w:rsid w:val="000D21C1"/>
    <w:rsid w:val="000D222F"/>
    <w:rsid w:val="000D3394"/>
    <w:rsid w:val="000D3FCA"/>
    <w:rsid w:val="000D405C"/>
    <w:rsid w:val="000D484B"/>
    <w:rsid w:val="000D4A8E"/>
    <w:rsid w:val="000D52E8"/>
    <w:rsid w:val="000D5BA0"/>
    <w:rsid w:val="000D5BEA"/>
    <w:rsid w:val="000D62A9"/>
    <w:rsid w:val="000D6506"/>
    <w:rsid w:val="000D6D4D"/>
    <w:rsid w:val="000D6EC2"/>
    <w:rsid w:val="000D6EDC"/>
    <w:rsid w:val="000D7ADD"/>
    <w:rsid w:val="000E0159"/>
    <w:rsid w:val="000E0AA0"/>
    <w:rsid w:val="000E11BD"/>
    <w:rsid w:val="000E11C2"/>
    <w:rsid w:val="000E14C8"/>
    <w:rsid w:val="000E16C9"/>
    <w:rsid w:val="000E1B26"/>
    <w:rsid w:val="000E37A0"/>
    <w:rsid w:val="000E3853"/>
    <w:rsid w:val="000E3A4F"/>
    <w:rsid w:val="000E594D"/>
    <w:rsid w:val="000E624F"/>
    <w:rsid w:val="000E6A1E"/>
    <w:rsid w:val="000E6CA0"/>
    <w:rsid w:val="000E7AB5"/>
    <w:rsid w:val="000E7D92"/>
    <w:rsid w:val="000F01C5"/>
    <w:rsid w:val="000F0438"/>
    <w:rsid w:val="000F0670"/>
    <w:rsid w:val="000F0C6B"/>
    <w:rsid w:val="000F1348"/>
    <w:rsid w:val="000F17E1"/>
    <w:rsid w:val="000F1920"/>
    <w:rsid w:val="000F22A2"/>
    <w:rsid w:val="000F268F"/>
    <w:rsid w:val="000F30AA"/>
    <w:rsid w:val="000F3923"/>
    <w:rsid w:val="000F511E"/>
    <w:rsid w:val="000F53FD"/>
    <w:rsid w:val="000F5CBB"/>
    <w:rsid w:val="000F5E8D"/>
    <w:rsid w:val="000F5EAB"/>
    <w:rsid w:val="000F707D"/>
    <w:rsid w:val="000F7C99"/>
    <w:rsid w:val="000F7D4E"/>
    <w:rsid w:val="001001F6"/>
    <w:rsid w:val="001002A0"/>
    <w:rsid w:val="00100792"/>
    <w:rsid w:val="0010222A"/>
    <w:rsid w:val="0010282A"/>
    <w:rsid w:val="00102A21"/>
    <w:rsid w:val="001030C1"/>
    <w:rsid w:val="00103469"/>
    <w:rsid w:val="001039B9"/>
    <w:rsid w:val="001039E3"/>
    <w:rsid w:val="00104E4D"/>
    <w:rsid w:val="00104EEC"/>
    <w:rsid w:val="001055D1"/>
    <w:rsid w:val="00105B75"/>
    <w:rsid w:val="00107870"/>
    <w:rsid w:val="00111A0E"/>
    <w:rsid w:val="00111FFB"/>
    <w:rsid w:val="00113694"/>
    <w:rsid w:val="00113E86"/>
    <w:rsid w:val="00113F31"/>
    <w:rsid w:val="001149E2"/>
    <w:rsid w:val="00114D57"/>
    <w:rsid w:val="00114EDF"/>
    <w:rsid w:val="00115F27"/>
    <w:rsid w:val="00116F97"/>
    <w:rsid w:val="001203D2"/>
    <w:rsid w:val="001208AF"/>
    <w:rsid w:val="00121816"/>
    <w:rsid w:val="00121ACD"/>
    <w:rsid w:val="00122DC2"/>
    <w:rsid w:val="00122F91"/>
    <w:rsid w:val="00123598"/>
    <w:rsid w:val="00123975"/>
    <w:rsid w:val="00123B87"/>
    <w:rsid w:val="001241BA"/>
    <w:rsid w:val="001245DB"/>
    <w:rsid w:val="00124B70"/>
    <w:rsid w:val="00125BBD"/>
    <w:rsid w:val="001269AB"/>
    <w:rsid w:val="00126D88"/>
    <w:rsid w:val="00126F5A"/>
    <w:rsid w:val="00127605"/>
    <w:rsid w:val="00127901"/>
    <w:rsid w:val="00130002"/>
    <w:rsid w:val="00130C4A"/>
    <w:rsid w:val="00133639"/>
    <w:rsid w:val="0013372B"/>
    <w:rsid w:val="00134F65"/>
    <w:rsid w:val="001356F9"/>
    <w:rsid w:val="001357BA"/>
    <w:rsid w:val="001371A8"/>
    <w:rsid w:val="00137479"/>
    <w:rsid w:val="001375AD"/>
    <w:rsid w:val="0014003B"/>
    <w:rsid w:val="00140B63"/>
    <w:rsid w:val="0014160D"/>
    <w:rsid w:val="001417A2"/>
    <w:rsid w:val="00141ADC"/>
    <w:rsid w:val="00142450"/>
    <w:rsid w:val="00142ECC"/>
    <w:rsid w:val="00143267"/>
    <w:rsid w:val="00143438"/>
    <w:rsid w:val="00143D6C"/>
    <w:rsid w:val="00144198"/>
    <w:rsid w:val="00144536"/>
    <w:rsid w:val="0014464D"/>
    <w:rsid w:val="001448A3"/>
    <w:rsid w:val="00144B0A"/>
    <w:rsid w:val="0014573E"/>
    <w:rsid w:val="00146B96"/>
    <w:rsid w:val="00146C6E"/>
    <w:rsid w:val="001470C9"/>
    <w:rsid w:val="001479CE"/>
    <w:rsid w:val="001501C9"/>
    <w:rsid w:val="00150251"/>
    <w:rsid w:val="001510F2"/>
    <w:rsid w:val="00151B2F"/>
    <w:rsid w:val="001528BE"/>
    <w:rsid w:val="00153808"/>
    <w:rsid w:val="00154267"/>
    <w:rsid w:val="00154B86"/>
    <w:rsid w:val="00154F24"/>
    <w:rsid w:val="00155064"/>
    <w:rsid w:val="00156349"/>
    <w:rsid w:val="0015642E"/>
    <w:rsid w:val="001566F4"/>
    <w:rsid w:val="00156879"/>
    <w:rsid w:val="00156DCD"/>
    <w:rsid w:val="0015726F"/>
    <w:rsid w:val="001578D8"/>
    <w:rsid w:val="00157A06"/>
    <w:rsid w:val="00157ED0"/>
    <w:rsid w:val="001600D7"/>
    <w:rsid w:val="00160DCF"/>
    <w:rsid w:val="0016180A"/>
    <w:rsid w:val="00162617"/>
    <w:rsid w:val="00162E68"/>
    <w:rsid w:val="00163585"/>
    <w:rsid w:val="001636DB"/>
    <w:rsid w:val="00163B14"/>
    <w:rsid w:val="00163B74"/>
    <w:rsid w:val="00163CE1"/>
    <w:rsid w:val="0016402C"/>
    <w:rsid w:val="00164EAF"/>
    <w:rsid w:val="00165085"/>
    <w:rsid w:val="00165390"/>
    <w:rsid w:val="00167022"/>
    <w:rsid w:val="00167DED"/>
    <w:rsid w:val="00171227"/>
    <w:rsid w:val="0017222C"/>
    <w:rsid w:val="00172255"/>
    <w:rsid w:val="001733C4"/>
    <w:rsid w:val="0017405F"/>
    <w:rsid w:val="00174FE7"/>
    <w:rsid w:val="0017606F"/>
    <w:rsid w:val="00180DD2"/>
    <w:rsid w:val="00181773"/>
    <w:rsid w:val="00181E97"/>
    <w:rsid w:val="00183124"/>
    <w:rsid w:val="001834B5"/>
    <w:rsid w:val="00183E61"/>
    <w:rsid w:val="00184019"/>
    <w:rsid w:val="00185269"/>
    <w:rsid w:val="00186C6A"/>
    <w:rsid w:val="001879A5"/>
    <w:rsid w:val="00190146"/>
    <w:rsid w:val="00190ECB"/>
    <w:rsid w:val="001912FC"/>
    <w:rsid w:val="00191442"/>
    <w:rsid w:val="0019197B"/>
    <w:rsid w:val="00191CE6"/>
    <w:rsid w:val="0019363D"/>
    <w:rsid w:val="00193B07"/>
    <w:rsid w:val="0019443C"/>
    <w:rsid w:val="00196C56"/>
    <w:rsid w:val="00196D4E"/>
    <w:rsid w:val="0019748F"/>
    <w:rsid w:val="00197C0B"/>
    <w:rsid w:val="001A0062"/>
    <w:rsid w:val="001A1325"/>
    <w:rsid w:val="001A1C92"/>
    <w:rsid w:val="001A1E14"/>
    <w:rsid w:val="001A2A80"/>
    <w:rsid w:val="001A2DAF"/>
    <w:rsid w:val="001A37DB"/>
    <w:rsid w:val="001A4119"/>
    <w:rsid w:val="001A4AF4"/>
    <w:rsid w:val="001A641E"/>
    <w:rsid w:val="001A6B79"/>
    <w:rsid w:val="001A6C78"/>
    <w:rsid w:val="001A6DC5"/>
    <w:rsid w:val="001A7D69"/>
    <w:rsid w:val="001A7EF9"/>
    <w:rsid w:val="001B0182"/>
    <w:rsid w:val="001B07F9"/>
    <w:rsid w:val="001B0EDE"/>
    <w:rsid w:val="001B0FDC"/>
    <w:rsid w:val="001B2178"/>
    <w:rsid w:val="001B34EA"/>
    <w:rsid w:val="001B3FEA"/>
    <w:rsid w:val="001B43E4"/>
    <w:rsid w:val="001B43F7"/>
    <w:rsid w:val="001B4907"/>
    <w:rsid w:val="001B4D3F"/>
    <w:rsid w:val="001B6400"/>
    <w:rsid w:val="001B6B1E"/>
    <w:rsid w:val="001B6C13"/>
    <w:rsid w:val="001B7BFB"/>
    <w:rsid w:val="001C0F2C"/>
    <w:rsid w:val="001C1807"/>
    <w:rsid w:val="001C1DEF"/>
    <w:rsid w:val="001C25C5"/>
    <w:rsid w:val="001C300D"/>
    <w:rsid w:val="001C30D2"/>
    <w:rsid w:val="001C3115"/>
    <w:rsid w:val="001C323C"/>
    <w:rsid w:val="001C395B"/>
    <w:rsid w:val="001C39B2"/>
    <w:rsid w:val="001C3C4E"/>
    <w:rsid w:val="001C4382"/>
    <w:rsid w:val="001C4586"/>
    <w:rsid w:val="001C46E5"/>
    <w:rsid w:val="001C53D7"/>
    <w:rsid w:val="001C5A6B"/>
    <w:rsid w:val="001C5AFE"/>
    <w:rsid w:val="001C5B60"/>
    <w:rsid w:val="001C5D79"/>
    <w:rsid w:val="001C5DCE"/>
    <w:rsid w:val="001C7150"/>
    <w:rsid w:val="001C725E"/>
    <w:rsid w:val="001C7C12"/>
    <w:rsid w:val="001D23C1"/>
    <w:rsid w:val="001D26AB"/>
    <w:rsid w:val="001D3013"/>
    <w:rsid w:val="001D3C69"/>
    <w:rsid w:val="001D4C1C"/>
    <w:rsid w:val="001D574D"/>
    <w:rsid w:val="001D5939"/>
    <w:rsid w:val="001D5A3E"/>
    <w:rsid w:val="001D5E7B"/>
    <w:rsid w:val="001D5FF1"/>
    <w:rsid w:val="001D68F0"/>
    <w:rsid w:val="001D6BAC"/>
    <w:rsid w:val="001D74E4"/>
    <w:rsid w:val="001D7752"/>
    <w:rsid w:val="001E070E"/>
    <w:rsid w:val="001E0BDC"/>
    <w:rsid w:val="001E2425"/>
    <w:rsid w:val="001E2649"/>
    <w:rsid w:val="001E362E"/>
    <w:rsid w:val="001E38FF"/>
    <w:rsid w:val="001E3C20"/>
    <w:rsid w:val="001E3CB7"/>
    <w:rsid w:val="001E3EB5"/>
    <w:rsid w:val="001E4999"/>
    <w:rsid w:val="001E6A1E"/>
    <w:rsid w:val="001E7278"/>
    <w:rsid w:val="001E7B4C"/>
    <w:rsid w:val="001F20A4"/>
    <w:rsid w:val="001F26D4"/>
    <w:rsid w:val="001F2EB1"/>
    <w:rsid w:val="001F33C1"/>
    <w:rsid w:val="001F3403"/>
    <w:rsid w:val="001F3AD9"/>
    <w:rsid w:val="001F4530"/>
    <w:rsid w:val="001F4991"/>
    <w:rsid w:val="001F7033"/>
    <w:rsid w:val="001F72CA"/>
    <w:rsid w:val="001F7383"/>
    <w:rsid w:val="00200865"/>
    <w:rsid w:val="00200B60"/>
    <w:rsid w:val="00200B72"/>
    <w:rsid w:val="00201832"/>
    <w:rsid w:val="0020376C"/>
    <w:rsid w:val="00203D6E"/>
    <w:rsid w:val="0020419D"/>
    <w:rsid w:val="00204767"/>
    <w:rsid w:val="00204FF5"/>
    <w:rsid w:val="00205686"/>
    <w:rsid w:val="00205DC6"/>
    <w:rsid w:val="0020602F"/>
    <w:rsid w:val="002062C1"/>
    <w:rsid w:val="0021032A"/>
    <w:rsid w:val="00210492"/>
    <w:rsid w:val="002144AF"/>
    <w:rsid w:val="00214E46"/>
    <w:rsid w:val="002154FE"/>
    <w:rsid w:val="00215B19"/>
    <w:rsid w:val="00217DFD"/>
    <w:rsid w:val="002200FC"/>
    <w:rsid w:val="0022122C"/>
    <w:rsid w:val="00221E96"/>
    <w:rsid w:val="00223BFB"/>
    <w:rsid w:val="00225791"/>
    <w:rsid w:val="00226638"/>
    <w:rsid w:val="00226CB4"/>
    <w:rsid w:val="002301FD"/>
    <w:rsid w:val="002312FF"/>
    <w:rsid w:val="00232489"/>
    <w:rsid w:val="00234229"/>
    <w:rsid w:val="00235622"/>
    <w:rsid w:val="00235955"/>
    <w:rsid w:val="002359D3"/>
    <w:rsid w:val="00235E6E"/>
    <w:rsid w:val="00236393"/>
    <w:rsid w:val="00236557"/>
    <w:rsid w:val="00236E1D"/>
    <w:rsid w:val="0023730A"/>
    <w:rsid w:val="00240387"/>
    <w:rsid w:val="00240E72"/>
    <w:rsid w:val="00241A39"/>
    <w:rsid w:val="00241AB2"/>
    <w:rsid w:val="00242523"/>
    <w:rsid w:val="002428E3"/>
    <w:rsid w:val="00243060"/>
    <w:rsid w:val="00243087"/>
    <w:rsid w:val="0024310D"/>
    <w:rsid w:val="00243677"/>
    <w:rsid w:val="00243CA8"/>
    <w:rsid w:val="00243D2E"/>
    <w:rsid w:val="00244403"/>
    <w:rsid w:val="00244549"/>
    <w:rsid w:val="00244ADB"/>
    <w:rsid w:val="00244C95"/>
    <w:rsid w:val="002452C0"/>
    <w:rsid w:val="00245843"/>
    <w:rsid w:val="00245D55"/>
    <w:rsid w:val="0024602C"/>
    <w:rsid w:val="00247356"/>
    <w:rsid w:val="00247EAE"/>
    <w:rsid w:val="002505C2"/>
    <w:rsid w:val="00250985"/>
    <w:rsid w:val="00250EE3"/>
    <w:rsid w:val="00251955"/>
    <w:rsid w:val="00251FF0"/>
    <w:rsid w:val="0025201C"/>
    <w:rsid w:val="002527D3"/>
    <w:rsid w:val="002536A9"/>
    <w:rsid w:val="00253AB6"/>
    <w:rsid w:val="00253FAB"/>
    <w:rsid w:val="00254BEA"/>
    <w:rsid w:val="00255481"/>
    <w:rsid w:val="00256750"/>
    <w:rsid w:val="002570B0"/>
    <w:rsid w:val="00257375"/>
    <w:rsid w:val="002575CF"/>
    <w:rsid w:val="002619A7"/>
    <w:rsid w:val="002622F7"/>
    <w:rsid w:val="00263F03"/>
    <w:rsid w:val="00264385"/>
    <w:rsid w:val="002648F2"/>
    <w:rsid w:val="00264BE7"/>
    <w:rsid w:val="00264D53"/>
    <w:rsid w:val="002659FE"/>
    <w:rsid w:val="00265A65"/>
    <w:rsid w:val="00266608"/>
    <w:rsid w:val="00266EC3"/>
    <w:rsid w:val="00267CE8"/>
    <w:rsid w:val="00270162"/>
    <w:rsid w:val="002716B6"/>
    <w:rsid w:val="002721C8"/>
    <w:rsid w:val="00272211"/>
    <w:rsid w:val="00272A80"/>
    <w:rsid w:val="00273446"/>
    <w:rsid w:val="00273ECB"/>
    <w:rsid w:val="0027465A"/>
    <w:rsid w:val="002746A2"/>
    <w:rsid w:val="002749B2"/>
    <w:rsid w:val="00274E32"/>
    <w:rsid w:val="002752EF"/>
    <w:rsid w:val="002759CB"/>
    <w:rsid w:val="00276058"/>
    <w:rsid w:val="0027621B"/>
    <w:rsid w:val="0027699E"/>
    <w:rsid w:val="0028056E"/>
    <w:rsid w:val="0028085B"/>
    <w:rsid w:val="002814FA"/>
    <w:rsid w:val="0028186E"/>
    <w:rsid w:val="00281DA0"/>
    <w:rsid w:val="00281F1C"/>
    <w:rsid w:val="00282D6E"/>
    <w:rsid w:val="0028310D"/>
    <w:rsid w:val="002839EB"/>
    <w:rsid w:val="0028508D"/>
    <w:rsid w:val="002875FC"/>
    <w:rsid w:val="00287656"/>
    <w:rsid w:val="002879FD"/>
    <w:rsid w:val="00290132"/>
    <w:rsid w:val="00290BC2"/>
    <w:rsid w:val="00291790"/>
    <w:rsid w:val="00291A7E"/>
    <w:rsid w:val="00291E9A"/>
    <w:rsid w:val="00292118"/>
    <w:rsid w:val="00292266"/>
    <w:rsid w:val="00292A92"/>
    <w:rsid w:val="002938E1"/>
    <w:rsid w:val="00294267"/>
    <w:rsid w:val="00295959"/>
    <w:rsid w:val="0029669A"/>
    <w:rsid w:val="00296817"/>
    <w:rsid w:val="00296B04"/>
    <w:rsid w:val="00296BB0"/>
    <w:rsid w:val="002A0689"/>
    <w:rsid w:val="002A0702"/>
    <w:rsid w:val="002A2243"/>
    <w:rsid w:val="002A3D20"/>
    <w:rsid w:val="002A3D61"/>
    <w:rsid w:val="002A40A9"/>
    <w:rsid w:val="002A4222"/>
    <w:rsid w:val="002A4B6C"/>
    <w:rsid w:val="002A55DB"/>
    <w:rsid w:val="002A584F"/>
    <w:rsid w:val="002A6035"/>
    <w:rsid w:val="002A6D27"/>
    <w:rsid w:val="002A715D"/>
    <w:rsid w:val="002A7316"/>
    <w:rsid w:val="002A792A"/>
    <w:rsid w:val="002B0555"/>
    <w:rsid w:val="002B14A1"/>
    <w:rsid w:val="002B1CFB"/>
    <w:rsid w:val="002B21C1"/>
    <w:rsid w:val="002B2758"/>
    <w:rsid w:val="002B3FCD"/>
    <w:rsid w:val="002B430C"/>
    <w:rsid w:val="002B5114"/>
    <w:rsid w:val="002B5AA5"/>
    <w:rsid w:val="002B6015"/>
    <w:rsid w:val="002B60C7"/>
    <w:rsid w:val="002B7322"/>
    <w:rsid w:val="002B7C4C"/>
    <w:rsid w:val="002B7D23"/>
    <w:rsid w:val="002C1456"/>
    <w:rsid w:val="002C2149"/>
    <w:rsid w:val="002C238D"/>
    <w:rsid w:val="002C2687"/>
    <w:rsid w:val="002C2F7B"/>
    <w:rsid w:val="002C33E1"/>
    <w:rsid w:val="002C3DBE"/>
    <w:rsid w:val="002C4217"/>
    <w:rsid w:val="002C4542"/>
    <w:rsid w:val="002C4A4D"/>
    <w:rsid w:val="002C4FAE"/>
    <w:rsid w:val="002C54DB"/>
    <w:rsid w:val="002C5B40"/>
    <w:rsid w:val="002C63E6"/>
    <w:rsid w:val="002C68E2"/>
    <w:rsid w:val="002C6C4D"/>
    <w:rsid w:val="002C6E85"/>
    <w:rsid w:val="002C755B"/>
    <w:rsid w:val="002C7F6C"/>
    <w:rsid w:val="002D12FA"/>
    <w:rsid w:val="002D1B09"/>
    <w:rsid w:val="002D223D"/>
    <w:rsid w:val="002D3022"/>
    <w:rsid w:val="002D3BB7"/>
    <w:rsid w:val="002D3D16"/>
    <w:rsid w:val="002D49B8"/>
    <w:rsid w:val="002D525A"/>
    <w:rsid w:val="002D54D6"/>
    <w:rsid w:val="002D56C7"/>
    <w:rsid w:val="002D66C6"/>
    <w:rsid w:val="002D6DED"/>
    <w:rsid w:val="002D6F75"/>
    <w:rsid w:val="002D7681"/>
    <w:rsid w:val="002D7D56"/>
    <w:rsid w:val="002E227F"/>
    <w:rsid w:val="002E2459"/>
    <w:rsid w:val="002E2EB7"/>
    <w:rsid w:val="002E4773"/>
    <w:rsid w:val="002E58FF"/>
    <w:rsid w:val="002E5A38"/>
    <w:rsid w:val="002E6736"/>
    <w:rsid w:val="002E68C5"/>
    <w:rsid w:val="002E7A72"/>
    <w:rsid w:val="002F04E2"/>
    <w:rsid w:val="002F0CDB"/>
    <w:rsid w:val="002F25F8"/>
    <w:rsid w:val="002F2B7F"/>
    <w:rsid w:val="002F37A2"/>
    <w:rsid w:val="002F38FA"/>
    <w:rsid w:val="002F434D"/>
    <w:rsid w:val="002F47DC"/>
    <w:rsid w:val="002F62A3"/>
    <w:rsid w:val="003003DB"/>
    <w:rsid w:val="003023A8"/>
    <w:rsid w:val="003028EA"/>
    <w:rsid w:val="00302A90"/>
    <w:rsid w:val="00302CF8"/>
    <w:rsid w:val="00303454"/>
    <w:rsid w:val="00303610"/>
    <w:rsid w:val="0030461D"/>
    <w:rsid w:val="00304727"/>
    <w:rsid w:val="003047F9"/>
    <w:rsid w:val="00305187"/>
    <w:rsid w:val="00306CDE"/>
    <w:rsid w:val="00307161"/>
    <w:rsid w:val="003078E5"/>
    <w:rsid w:val="003102B6"/>
    <w:rsid w:val="0031036B"/>
    <w:rsid w:val="0031061C"/>
    <w:rsid w:val="003111BC"/>
    <w:rsid w:val="003112BC"/>
    <w:rsid w:val="00311E13"/>
    <w:rsid w:val="00313EB6"/>
    <w:rsid w:val="003141C8"/>
    <w:rsid w:val="00314A06"/>
    <w:rsid w:val="00314A07"/>
    <w:rsid w:val="00314C2D"/>
    <w:rsid w:val="00315168"/>
    <w:rsid w:val="003151A7"/>
    <w:rsid w:val="00315F0A"/>
    <w:rsid w:val="00317418"/>
    <w:rsid w:val="00320490"/>
    <w:rsid w:val="00320B41"/>
    <w:rsid w:val="00321639"/>
    <w:rsid w:val="003227F6"/>
    <w:rsid w:val="003229E3"/>
    <w:rsid w:val="00322A09"/>
    <w:rsid w:val="00323067"/>
    <w:rsid w:val="00323105"/>
    <w:rsid w:val="00323401"/>
    <w:rsid w:val="00323FA5"/>
    <w:rsid w:val="003243F3"/>
    <w:rsid w:val="00325D2F"/>
    <w:rsid w:val="0032661E"/>
    <w:rsid w:val="003272C0"/>
    <w:rsid w:val="003277C4"/>
    <w:rsid w:val="0032798B"/>
    <w:rsid w:val="00327A08"/>
    <w:rsid w:val="00327DE7"/>
    <w:rsid w:val="00330588"/>
    <w:rsid w:val="003305B9"/>
    <w:rsid w:val="003308D5"/>
    <w:rsid w:val="0033181D"/>
    <w:rsid w:val="00332646"/>
    <w:rsid w:val="00332BA5"/>
    <w:rsid w:val="003332DF"/>
    <w:rsid w:val="00333AEB"/>
    <w:rsid w:val="00335777"/>
    <w:rsid w:val="00335BAD"/>
    <w:rsid w:val="0033655F"/>
    <w:rsid w:val="003402B1"/>
    <w:rsid w:val="00340F5E"/>
    <w:rsid w:val="003420EF"/>
    <w:rsid w:val="00342167"/>
    <w:rsid w:val="0034225F"/>
    <w:rsid w:val="00342408"/>
    <w:rsid w:val="00342A1C"/>
    <w:rsid w:val="00343063"/>
    <w:rsid w:val="003437A7"/>
    <w:rsid w:val="00343AEA"/>
    <w:rsid w:val="00344900"/>
    <w:rsid w:val="00344F6E"/>
    <w:rsid w:val="003450B6"/>
    <w:rsid w:val="003453A3"/>
    <w:rsid w:val="00345A11"/>
    <w:rsid w:val="003465F5"/>
    <w:rsid w:val="003473FB"/>
    <w:rsid w:val="00350113"/>
    <w:rsid w:val="00350190"/>
    <w:rsid w:val="00350374"/>
    <w:rsid w:val="00350C79"/>
    <w:rsid w:val="00350E0D"/>
    <w:rsid w:val="0035130F"/>
    <w:rsid w:val="00351A92"/>
    <w:rsid w:val="0035253E"/>
    <w:rsid w:val="003525B8"/>
    <w:rsid w:val="00353039"/>
    <w:rsid w:val="00353E07"/>
    <w:rsid w:val="00354848"/>
    <w:rsid w:val="00357925"/>
    <w:rsid w:val="00360009"/>
    <w:rsid w:val="00360919"/>
    <w:rsid w:val="003612C4"/>
    <w:rsid w:val="00361DE3"/>
    <w:rsid w:val="003640F8"/>
    <w:rsid w:val="00364244"/>
    <w:rsid w:val="0036495B"/>
    <w:rsid w:val="003650F0"/>
    <w:rsid w:val="00365266"/>
    <w:rsid w:val="00367B2D"/>
    <w:rsid w:val="00367DB8"/>
    <w:rsid w:val="00367F6A"/>
    <w:rsid w:val="00370FF3"/>
    <w:rsid w:val="0037148A"/>
    <w:rsid w:val="00371A06"/>
    <w:rsid w:val="00371C97"/>
    <w:rsid w:val="00373147"/>
    <w:rsid w:val="00374785"/>
    <w:rsid w:val="00375BBA"/>
    <w:rsid w:val="00375F75"/>
    <w:rsid w:val="0037636D"/>
    <w:rsid w:val="00376574"/>
    <w:rsid w:val="00376BE6"/>
    <w:rsid w:val="00376CB4"/>
    <w:rsid w:val="00376E63"/>
    <w:rsid w:val="003772D1"/>
    <w:rsid w:val="00377441"/>
    <w:rsid w:val="00377D00"/>
    <w:rsid w:val="00377F83"/>
    <w:rsid w:val="003808E8"/>
    <w:rsid w:val="00380AF5"/>
    <w:rsid w:val="00380B27"/>
    <w:rsid w:val="00381D51"/>
    <w:rsid w:val="003821C1"/>
    <w:rsid w:val="00383291"/>
    <w:rsid w:val="0038421C"/>
    <w:rsid w:val="00384BCC"/>
    <w:rsid w:val="00385D39"/>
    <w:rsid w:val="00385D5F"/>
    <w:rsid w:val="00386647"/>
    <w:rsid w:val="00386E28"/>
    <w:rsid w:val="00387920"/>
    <w:rsid w:val="00391648"/>
    <w:rsid w:val="0039173B"/>
    <w:rsid w:val="00392274"/>
    <w:rsid w:val="00392644"/>
    <w:rsid w:val="00393EBF"/>
    <w:rsid w:val="00394400"/>
    <w:rsid w:val="00394696"/>
    <w:rsid w:val="0039481A"/>
    <w:rsid w:val="00394EA1"/>
    <w:rsid w:val="003963C8"/>
    <w:rsid w:val="00396750"/>
    <w:rsid w:val="00396946"/>
    <w:rsid w:val="00396D0C"/>
    <w:rsid w:val="00396D7D"/>
    <w:rsid w:val="00397081"/>
    <w:rsid w:val="003975A7"/>
    <w:rsid w:val="00397701"/>
    <w:rsid w:val="003A0174"/>
    <w:rsid w:val="003A0570"/>
    <w:rsid w:val="003A09D8"/>
    <w:rsid w:val="003A1110"/>
    <w:rsid w:val="003A1B9F"/>
    <w:rsid w:val="003A204C"/>
    <w:rsid w:val="003A2A8D"/>
    <w:rsid w:val="003A2FD4"/>
    <w:rsid w:val="003A502B"/>
    <w:rsid w:val="003A5280"/>
    <w:rsid w:val="003A5389"/>
    <w:rsid w:val="003A563A"/>
    <w:rsid w:val="003A60BA"/>
    <w:rsid w:val="003A68FA"/>
    <w:rsid w:val="003A6BEF"/>
    <w:rsid w:val="003A78F5"/>
    <w:rsid w:val="003B00C3"/>
    <w:rsid w:val="003B014A"/>
    <w:rsid w:val="003B01A3"/>
    <w:rsid w:val="003B0872"/>
    <w:rsid w:val="003B3949"/>
    <w:rsid w:val="003B4162"/>
    <w:rsid w:val="003B447C"/>
    <w:rsid w:val="003B46A0"/>
    <w:rsid w:val="003B4964"/>
    <w:rsid w:val="003B5155"/>
    <w:rsid w:val="003B533D"/>
    <w:rsid w:val="003B5349"/>
    <w:rsid w:val="003B6649"/>
    <w:rsid w:val="003B6C64"/>
    <w:rsid w:val="003B7959"/>
    <w:rsid w:val="003B79FD"/>
    <w:rsid w:val="003C28F4"/>
    <w:rsid w:val="003C3BBA"/>
    <w:rsid w:val="003C3CE4"/>
    <w:rsid w:val="003C3E2B"/>
    <w:rsid w:val="003C4005"/>
    <w:rsid w:val="003C4196"/>
    <w:rsid w:val="003C4658"/>
    <w:rsid w:val="003C4739"/>
    <w:rsid w:val="003C499A"/>
    <w:rsid w:val="003C4F09"/>
    <w:rsid w:val="003C5634"/>
    <w:rsid w:val="003C58D3"/>
    <w:rsid w:val="003C6177"/>
    <w:rsid w:val="003C61F2"/>
    <w:rsid w:val="003C620D"/>
    <w:rsid w:val="003C6CE4"/>
    <w:rsid w:val="003C7B0C"/>
    <w:rsid w:val="003D0915"/>
    <w:rsid w:val="003D111A"/>
    <w:rsid w:val="003D1C4B"/>
    <w:rsid w:val="003D1D52"/>
    <w:rsid w:val="003D203A"/>
    <w:rsid w:val="003D3233"/>
    <w:rsid w:val="003D3593"/>
    <w:rsid w:val="003D38A1"/>
    <w:rsid w:val="003D3B49"/>
    <w:rsid w:val="003D3C29"/>
    <w:rsid w:val="003D4951"/>
    <w:rsid w:val="003D4FBA"/>
    <w:rsid w:val="003D51D3"/>
    <w:rsid w:val="003D6370"/>
    <w:rsid w:val="003D7074"/>
    <w:rsid w:val="003D713A"/>
    <w:rsid w:val="003D7502"/>
    <w:rsid w:val="003E0CBF"/>
    <w:rsid w:val="003E0E56"/>
    <w:rsid w:val="003E0F7A"/>
    <w:rsid w:val="003E1B6E"/>
    <w:rsid w:val="003E1D63"/>
    <w:rsid w:val="003E2268"/>
    <w:rsid w:val="003E3B68"/>
    <w:rsid w:val="003E44EF"/>
    <w:rsid w:val="003E4782"/>
    <w:rsid w:val="003E4A8B"/>
    <w:rsid w:val="003E4E94"/>
    <w:rsid w:val="003E5A36"/>
    <w:rsid w:val="003E5ED1"/>
    <w:rsid w:val="003E786A"/>
    <w:rsid w:val="003E7C4A"/>
    <w:rsid w:val="003E7F54"/>
    <w:rsid w:val="003F0866"/>
    <w:rsid w:val="003F0C3F"/>
    <w:rsid w:val="003F0E77"/>
    <w:rsid w:val="003F18F6"/>
    <w:rsid w:val="003F1CE0"/>
    <w:rsid w:val="003F28E1"/>
    <w:rsid w:val="003F36D8"/>
    <w:rsid w:val="003F4D4D"/>
    <w:rsid w:val="003F5FEF"/>
    <w:rsid w:val="003F67AD"/>
    <w:rsid w:val="003F7953"/>
    <w:rsid w:val="00400062"/>
    <w:rsid w:val="00400938"/>
    <w:rsid w:val="004019DF"/>
    <w:rsid w:val="00401F1E"/>
    <w:rsid w:val="00403D3D"/>
    <w:rsid w:val="00403E99"/>
    <w:rsid w:val="00404B2E"/>
    <w:rsid w:val="00405A69"/>
    <w:rsid w:val="00406255"/>
    <w:rsid w:val="00406B6A"/>
    <w:rsid w:val="00407004"/>
    <w:rsid w:val="00407718"/>
    <w:rsid w:val="00407878"/>
    <w:rsid w:val="0041083B"/>
    <w:rsid w:val="004119E3"/>
    <w:rsid w:val="0041200B"/>
    <w:rsid w:val="00412C17"/>
    <w:rsid w:val="00412FA6"/>
    <w:rsid w:val="004138A8"/>
    <w:rsid w:val="004149F0"/>
    <w:rsid w:val="00414C54"/>
    <w:rsid w:val="00414C8C"/>
    <w:rsid w:val="00415272"/>
    <w:rsid w:val="0041634E"/>
    <w:rsid w:val="0041674C"/>
    <w:rsid w:val="004169E9"/>
    <w:rsid w:val="00417856"/>
    <w:rsid w:val="0042018E"/>
    <w:rsid w:val="0042037A"/>
    <w:rsid w:val="00420478"/>
    <w:rsid w:val="00420A7D"/>
    <w:rsid w:val="004214C8"/>
    <w:rsid w:val="00422A00"/>
    <w:rsid w:val="00422FF7"/>
    <w:rsid w:val="004233D7"/>
    <w:rsid w:val="004245BD"/>
    <w:rsid w:val="004256EA"/>
    <w:rsid w:val="00425D65"/>
    <w:rsid w:val="00426AD9"/>
    <w:rsid w:val="004301B4"/>
    <w:rsid w:val="0043043F"/>
    <w:rsid w:val="00430742"/>
    <w:rsid w:val="0043218C"/>
    <w:rsid w:val="0043303F"/>
    <w:rsid w:val="004341DB"/>
    <w:rsid w:val="0043575F"/>
    <w:rsid w:val="004364BD"/>
    <w:rsid w:val="00437A75"/>
    <w:rsid w:val="00440367"/>
    <w:rsid w:val="0044042B"/>
    <w:rsid w:val="0044046E"/>
    <w:rsid w:val="004405FC"/>
    <w:rsid w:val="00441F38"/>
    <w:rsid w:val="00442004"/>
    <w:rsid w:val="00442338"/>
    <w:rsid w:val="00442597"/>
    <w:rsid w:val="0044266D"/>
    <w:rsid w:val="00442870"/>
    <w:rsid w:val="004430DA"/>
    <w:rsid w:val="00443DE4"/>
    <w:rsid w:val="00444C98"/>
    <w:rsid w:val="00444FEB"/>
    <w:rsid w:val="0044654D"/>
    <w:rsid w:val="004466D2"/>
    <w:rsid w:val="00446C65"/>
    <w:rsid w:val="00447A86"/>
    <w:rsid w:val="00447C0C"/>
    <w:rsid w:val="00447DBF"/>
    <w:rsid w:val="004503D2"/>
    <w:rsid w:val="00451F6F"/>
    <w:rsid w:val="00452049"/>
    <w:rsid w:val="004523C1"/>
    <w:rsid w:val="00452A89"/>
    <w:rsid w:val="00452B4D"/>
    <w:rsid w:val="00452D6D"/>
    <w:rsid w:val="00453783"/>
    <w:rsid w:val="00453CE1"/>
    <w:rsid w:val="004544C1"/>
    <w:rsid w:val="00454E8D"/>
    <w:rsid w:val="00455700"/>
    <w:rsid w:val="00455752"/>
    <w:rsid w:val="0045627D"/>
    <w:rsid w:val="004565F0"/>
    <w:rsid w:val="00456B5C"/>
    <w:rsid w:val="00457545"/>
    <w:rsid w:val="00460695"/>
    <w:rsid w:val="00460E1D"/>
    <w:rsid w:val="00461C36"/>
    <w:rsid w:val="00461FEB"/>
    <w:rsid w:val="004635E3"/>
    <w:rsid w:val="004639E9"/>
    <w:rsid w:val="004648D0"/>
    <w:rsid w:val="00464CC5"/>
    <w:rsid w:val="00465D44"/>
    <w:rsid w:val="00465DAF"/>
    <w:rsid w:val="00465F6D"/>
    <w:rsid w:val="004664E6"/>
    <w:rsid w:val="00466EB8"/>
    <w:rsid w:val="00467E27"/>
    <w:rsid w:val="00470284"/>
    <w:rsid w:val="004708C8"/>
    <w:rsid w:val="004709E7"/>
    <w:rsid w:val="00470F06"/>
    <w:rsid w:val="004712FD"/>
    <w:rsid w:val="00472916"/>
    <w:rsid w:val="00472D32"/>
    <w:rsid w:val="00472DF4"/>
    <w:rsid w:val="004747BE"/>
    <w:rsid w:val="00474A30"/>
    <w:rsid w:val="00474E95"/>
    <w:rsid w:val="0047510B"/>
    <w:rsid w:val="00475889"/>
    <w:rsid w:val="00475C3C"/>
    <w:rsid w:val="00476C05"/>
    <w:rsid w:val="0047794D"/>
    <w:rsid w:val="00481C41"/>
    <w:rsid w:val="00481CD9"/>
    <w:rsid w:val="0048249C"/>
    <w:rsid w:val="00482CBD"/>
    <w:rsid w:val="0048353A"/>
    <w:rsid w:val="0048489A"/>
    <w:rsid w:val="00484BF4"/>
    <w:rsid w:val="004851AF"/>
    <w:rsid w:val="00485209"/>
    <w:rsid w:val="0048588C"/>
    <w:rsid w:val="00485E8B"/>
    <w:rsid w:val="004871C6"/>
    <w:rsid w:val="00490291"/>
    <w:rsid w:val="00491982"/>
    <w:rsid w:val="0049247A"/>
    <w:rsid w:val="00492CF8"/>
    <w:rsid w:val="00493114"/>
    <w:rsid w:val="0049336F"/>
    <w:rsid w:val="004936CC"/>
    <w:rsid w:val="00493818"/>
    <w:rsid w:val="004956C9"/>
    <w:rsid w:val="0049625E"/>
    <w:rsid w:val="00497C16"/>
    <w:rsid w:val="004A1844"/>
    <w:rsid w:val="004A1FD6"/>
    <w:rsid w:val="004A2562"/>
    <w:rsid w:val="004A3924"/>
    <w:rsid w:val="004A3AA1"/>
    <w:rsid w:val="004A408D"/>
    <w:rsid w:val="004A41E2"/>
    <w:rsid w:val="004A4E77"/>
    <w:rsid w:val="004A5121"/>
    <w:rsid w:val="004A587E"/>
    <w:rsid w:val="004A66AD"/>
    <w:rsid w:val="004A6E80"/>
    <w:rsid w:val="004A7023"/>
    <w:rsid w:val="004A7433"/>
    <w:rsid w:val="004A75A7"/>
    <w:rsid w:val="004A78E3"/>
    <w:rsid w:val="004B0052"/>
    <w:rsid w:val="004B0837"/>
    <w:rsid w:val="004B0898"/>
    <w:rsid w:val="004B10C9"/>
    <w:rsid w:val="004B1781"/>
    <w:rsid w:val="004B1861"/>
    <w:rsid w:val="004B1E0A"/>
    <w:rsid w:val="004B25AF"/>
    <w:rsid w:val="004B27AD"/>
    <w:rsid w:val="004B2AE8"/>
    <w:rsid w:val="004B351C"/>
    <w:rsid w:val="004B444E"/>
    <w:rsid w:val="004B4CD8"/>
    <w:rsid w:val="004B4F3F"/>
    <w:rsid w:val="004B53E7"/>
    <w:rsid w:val="004B53F3"/>
    <w:rsid w:val="004B543A"/>
    <w:rsid w:val="004B561D"/>
    <w:rsid w:val="004B5D4C"/>
    <w:rsid w:val="004B5F30"/>
    <w:rsid w:val="004B6421"/>
    <w:rsid w:val="004C0236"/>
    <w:rsid w:val="004C0326"/>
    <w:rsid w:val="004C190C"/>
    <w:rsid w:val="004C1DEA"/>
    <w:rsid w:val="004C2283"/>
    <w:rsid w:val="004C3015"/>
    <w:rsid w:val="004C320E"/>
    <w:rsid w:val="004C37C1"/>
    <w:rsid w:val="004C384C"/>
    <w:rsid w:val="004C3C04"/>
    <w:rsid w:val="004C414E"/>
    <w:rsid w:val="004C4596"/>
    <w:rsid w:val="004C48CC"/>
    <w:rsid w:val="004C5342"/>
    <w:rsid w:val="004C53C1"/>
    <w:rsid w:val="004C5C07"/>
    <w:rsid w:val="004C626B"/>
    <w:rsid w:val="004C6301"/>
    <w:rsid w:val="004C700A"/>
    <w:rsid w:val="004C719B"/>
    <w:rsid w:val="004C75EB"/>
    <w:rsid w:val="004C7C10"/>
    <w:rsid w:val="004D1449"/>
    <w:rsid w:val="004D1721"/>
    <w:rsid w:val="004D1D82"/>
    <w:rsid w:val="004D3028"/>
    <w:rsid w:val="004D3768"/>
    <w:rsid w:val="004D4A11"/>
    <w:rsid w:val="004D4CF1"/>
    <w:rsid w:val="004D4EA6"/>
    <w:rsid w:val="004D4F9A"/>
    <w:rsid w:val="004D522E"/>
    <w:rsid w:val="004D5E3C"/>
    <w:rsid w:val="004D5E68"/>
    <w:rsid w:val="004D69FD"/>
    <w:rsid w:val="004D7446"/>
    <w:rsid w:val="004E04B6"/>
    <w:rsid w:val="004E0DD2"/>
    <w:rsid w:val="004E0FF6"/>
    <w:rsid w:val="004E1ABF"/>
    <w:rsid w:val="004E3447"/>
    <w:rsid w:val="004E3460"/>
    <w:rsid w:val="004E3B4F"/>
    <w:rsid w:val="004E40A3"/>
    <w:rsid w:val="004E4C64"/>
    <w:rsid w:val="004E5637"/>
    <w:rsid w:val="004E5CE8"/>
    <w:rsid w:val="004E6C82"/>
    <w:rsid w:val="004E6CCC"/>
    <w:rsid w:val="004E6ECE"/>
    <w:rsid w:val="004E7320"/>
    <w:rsid w:val="004E7504"/>
    <w:rsid w:val="004E76DE"/>
    <w:rsid w:val="004F02BA"/>
    <w:rsid w:val="004F0533"/>
    <w:rsid w:val="004F0688"/>
    <w:rsid w:val="004F0733"/>
    <w:rsid w:val="004F142A"/>
    <w:rsid w:val="004F362F"/>
    <w:rsid w:val="004F5063"/>
    <w:rsid w:val="004F5227"/>
    <w:rsid w:val="004F5733"/>
    <w:rsid w:val="004F59A6"/>
    <w:rsid w:val="004F5AA8"/>
    <w:rsid w:val="004F5B61"/>
    <w:rsid w:val="004F5E90"/>
    <w:rsid w:val="004F6E49"/>
    <w:rsid w:val="004F721A"/>
    <w:rsid w:val="004F78EA"/>
    <w:rsid w:val="004F7C87"/>
    <w:rsid w:val="005000C3"/>
    <w:rsid w:val="0050143A"/>
    <w:rsid w:val="0050143E"/>
    <w:rsid w:val="00501B5C"/>
    <w:rsid w:val="00502E45"/>
    <w:rsid w:val="005039D7"/>
    <w:rsid w:val="00503C6E"/>
    <w:rsid w:val="005040E4"/>
    <w:rsid w:val="00504743"/>
    <w:rsid w:val="0050658B"/>
    <w:rsid w:val="005067AB"/>
    <w:rsid w:val="00506C02"/>
    <w:rsid w:val="00506C8A"/>
    <w:rsid w:val="00506D04"/>
    <w:rsid w:val="00507143"/>
    <w:rsid w:val="005074A1"/>
    <w:rsid w:val="00510425"/>
    <w:rsid w:val="005108EE"/>
    <w:rsid w:val="00510B3D"/>
    <w:rsid w:val="005113BA"/>
    <w:rsid w:val="00512101"/>
    <w:rsid w:val="00512170"/>
    <w:rsid w:val="00512387"/>
    <w:rsid w:val="00514604"/>
    <w:rsid w:val="00515567"/>
    <w:rsid w:val="0051652A"/>
    <w:rsid w:val="0051675E"/>
    <w:rsid w:val="0051748E"/>
    <w:rsid w:val="005174A2"/>
    <w:rsid w:val="005225C6"/>
    <w:rsid w:val="0052287A"/>
    <w:rsid w:val="00522F4C"/>
    <w:rsid w:val="00523770"/>
    <w:rsid w:val="005237A9"/>
    <w:rsid w:val="0052395A"/>
    <w:rsid w:val="00524187"/>
    <w:rsid w:val="00524491"/>
    <w:rsid w:val="005259DE"/>
    <w:rsid w:val="00525AD9"/>
    <w:rsid w:val="00525D25"/>
    <w:rsid w:val="0052654A"/>
    <w:rsid w:val="0052729F"/>
    <w:rsid w:val="00530782"/>
    <w:rsid w:val="00530A5F"/>
    <w:rsid w:val="00531ADE"/>
    <w:rsid w:val="00531B83"/>
    <w:rsid w:val="005322D7"/>
    <w:rsid w:val="00532D6F"/>
    <w:rsid w:val="00533242"/>
    <w:rsid w:val="005342A3"/>
    <w:rsid w:val="005347E9"/>
    <w:rsid w:val="00534CE2"/>
    <w:rsid w:val="00535B71"/>
    <w:rsid w:val="00536B51"/>
    <w:rsid w:val="00536EED"/>
    <w:rsid w:val="0054038E"/>
    <w:rsid w:val="005405ED"/>
    <w:rsid w:val="0054078A"/>
    <w:rsid w:val="00540A6D"/>
    <w:rsid w:val="00540B88"/>
    <w:rsid w:val="00540C5E"/>
    <w:rsid w:val="00540D0D"/>
    <w:rsid w:val="005419AC"/>
    <w:rsid w:val="00542105"/>
    <w:rsid w:val="005422D3"/>
    <w:rsid w:val="00542568"/>
    <w:rsid w:val="00543F18"/>
    <w:rsid w:val="005442B8"/>
    <w:rsid w:val="0054475B"/>
    <w:rsid w:val="0054667E"/>
    <w:rsid w:val="00546AEF"/>
    <w:rsid w:val="00546DDD"/>
    <w:rsid w:val="005476F2"/>
    <w:rsid w:val="0055014C"/>
    <w:rsid w:val="0055015E"/>
    <w:rsid w:val="0055060E"/>
    <w:rsid w:val="00551393"/>
    <w:rsid w:val="0055154B"/>
    <w:rsid w:val="00552FD4"/>
    <w:rsid w:val="005531AF"/>
    <w:rsid w:val="00553B87"/>
    <w:rsid w:val="0055444F"/>
    <w:rsid w:val="00554819"/>
    <w:rsid w:val="00554A51"/>
    <w:rsid w:val="00554A5D"/>
    <w:rsid w:val="00554E6E"/>
    <w:rsid w:val="00555BD2"/>
    <w:rsid w:val="0055638D"/>
    <w:rsid w:val="00556766"/>
    <w:rsid w:val="00556C6C"/>
    <w:rsid w:val="00557594"/>
    <w:rsid w:val="005607CC"/>
    <w:rsid w:val="00560DEE"/>
    <w:rsid w:val="00560DF0"/>
    <w:rsid w:val="00562311"/>
    <w:rsid w:val="005643BC"/>
    <w:rsid w:val="00564D86"/>
    <w:rsid w:val="00564FF4"/>
    <w:rsid w:val="00565BF8"/>
    <w:rsid w:val="005660F1"/>
    <w:rsid w:val="00566462"/>
    <w:rsid w:val="00566B93"/>
    <w:rsid w:val="0056795F"/>
    <w:rsid w:val="0057131B"/>
    <w:rsid w:val="00571CD5"/>
    <w:rsid w:val="00572021"/>
    <w:rsid w:val="0057224E"/>
    <w:rsid w:val="00572821"/>
    <w:rsid w:val="00572BBF"/>
    <w:rsid w:val="00573060"/>
    <w:rsid w:val="00575420"/>
    <w:rsid w:val="00575D97"/>
    <w:rsid w:val="005766EC"/>
    <w:rsid w:val="00576829"/>
    <w:rsid w:val="00576DAD"/>
    <w:rsid w:val="00577B3E"/>
    <w:rsid w:val="005803F9"/>
    <w:rsid w:val="00581039"/>
    <w:rsid w:val="005814EC"/>
    <w:rsid w:val="00581670"/>
    <w:rsid w:val="00581F09"/>
    <w:rsid w:val="00583908"/>
    <w:rsid w:val="005840A1"/>
    <w:rsid w:val="0058431C"/>
    <w:rsid w:val="00584EC2"/>
    <w:rsid w:val="00585874"/>
    <w:rsid w:val="00585C2A"/>
    <w:rsid w:val="00585E28"/>
    <w:rsid w:val="00586600"/>
    <w:rsid w:val="005870E6"/>
    <w:rsid w:val="005913B5"/>
    <w:rsid w:val="00591AA5"/>
    <w:rsid w:val="0059217C"/>
    <w:rsid w:val="00592621"/>
    <w:rsid w:val="0059293E"/>
    <w:rsid w:val="00593749"/>
    <w:rsid w:val="005937C8"/>
    <w:rsid w:val="00593821"/>
    <w:rsid w:val="00593FF8"/>
    <w:rsid w:val="00594939"/>
    <w:rsid w:val="00594CDE"/>
    <w:rsid w:val="00594D8F"/>
    <w:rsid w:val="005967F7"/>
    <w:rsid w:val="0059758A"/>
    <w:rsid w:val="005976AD"/>
    <w:rsid w:val="005A0190"/>
    <w:rsid w:val="005A029F"/>
    <w:rsid w:val="005A1289"/>
    <w:rsid w:val="005A2595"/>
    <w:rsid w:val="005A27FA"/>
    <w:rsid w:val="005A30E1"/>
    <w:rsid w:val="005A3D09"/>
    <w:rsid w:val="005A4931"/>
    <w:rsid w:val="005A4A87"/>
    <w:rsid w:val="005A5232"/>
    <w:rsid w:val="005A619F"/>
    <w:rsid w:val="005A6669"/>
    <w:rsid w:val="005B0613"/>
    <w:rsid w:val="005B0700"/>
    <w:rsid w:val="005B0F81"/>
    <w:rsid w:val="005B207B"/>
    <w:rsid w:val="005B2A50"/>
    <w:rsid w:val="005B2A64"/>
    <w:rsid w:val="005B2E64"/>
    <w:rsid w:val="005B35E7"/>
    <w:rsid w:val="005B383E"/>
    <w:rsid w:val="005B38F7"/>
    <w:rsid w:val="005B4A0B"/>
    <w:rsid w:val="005B55F2"/>
    <w:rsid w:val="005B6638"/>
    <w:rsid w:val="005B76ED"/>
    <w:rsid w:val="005C08FC"/>
    <w:rsid w:val="005C287B"/>
    <w:rsid w:val="005C2C00"/>
    <w:rsid w:val="005C2DDC"/>
    <w:rsid w:val="005C3C6F"/>
    <w:rsid w:val="005C41E9"/>
    <w:rsid w:val="005C4FC9"/>
    <w:rsid w:val="005C5DFD"/>
    <w:rsid w:val="005C6032"/>
    <w:rsid w:val="005C603E"/>
    <w:rsid w:val="005C6070"/>
    <w:rsid w:val="005C63D3"/>
    <w:rsid w:val="005C6BFF"/>
    <w:rsid w:val="005D009F"/>
    <w:rsid w:val="005D1167"/>
    <w:rsid w:val="005D18A9"/>
    <w:rsid w:val="005D23B4"/>
    <w:rsid w:val="005D26E2"/>
    <w:rsid w:val="005D31F8"/>
    <w:rsid w:val="005D3E94"/>
    <w:rsid w:val="005D52C6"/>
    <w:rsid w:val="005D572C"/>
    <w:rsid w:val="005D57F4"/>
    <w:rsid w:val="005D58C8"/>
    <w:rsid w:val="005D6E34"/>
    <w:rsid w:val="005D71A2"/>
    <w:rsid w:val="005D76AA"/>
    <w:rsid w:val="005E003A"/>
    <w:rsid w:val="005E089C"/>
    <w:rsid w:val="005E0AFD"/>
    <w:rsid w:val="005E1227"/>
    <w:rsid w:val="005E2396"/>
    <w:rsid w:val="005E2430"/>
    <w:rsid w:val="005E29C3"/>
    <w:rsid w:val="005E2B34"/>
    <w:rsid w:val="005E366C"/>
    <w:rsid w:val="005E3B06"/>
    <w:rsid w:val="005E3CF2"/>
    <w:rsid w:val="005E3EEB"/>
    <w:rsid w:val="005E4017"/>
    <w:rsid w:val="005E4094"/>
    <w:rsid w:val="005E4275"/>
    <w:rsid w:val="005E43BF"/>
    <w:rsid w:val="005E4BE9"/>
    <w:rsid w:val="005E4FEF"/>
    <w:rsid w:val="005E5767"/>
    <w:rsid w:val="005E57F5"/>
    <w:rsid w:val="005E73FB"/>
    <w:rsid w:val="005E7B1F"/>
    <w:rsid w:val="005E7F98"/>
    <w:rsid w:val="005F03F2"/>
    <w:rsid w:val="005F1739"/>
    <w:rsid w:val="005F2007"/>
    <w:rsid w:val="005F21B3"/>
    <w:rsid w:val="005F2543"/>
    <w:rsid w:val="005F2F60"/>
    <w:rsid w:val="005F3D11"/>
    <w:rsid w:val="005F40EF"/>
    <w:rsid w:val="005F450C"/>
    <w:rsid w:val="005F53C7"/>
    <w:rsid w:val="005F7D59"/>
    <w:rsid w:val="0060048C"/>
    <w:rsid w:val="006006E4"/>
    <w:rsid w:val="00601B9B"/>
    <w:rsid w:val="00601F26"/>
    <w:rsid w:val="0060210C"/>
    <w:rsid w:val="00602D0C"/>
    <w:rsid w:val="00602D55"/>
    <w:rsid w:val="00603099"/>
    <w:rsid w:val="006032B1"/>
    <w:rsid w:val="00603633"/>
    <w:rsid w:val="00603A21"/>
    <w:rsid w:val="00603B44"/>
    <w:rsid w:val="00604262"/>
    <w:rsid w:val="00604A0B"/>
    <w:rsid w:val="00605349"/>
    <w:rsid w:val="00605444"/>
    <w:rsid w:val="00605516"/>
    <w:rsid w:val="00605ACA"/>
    <w:rsid w:val="00605CAF"/>
    <w:rsid w:val="00605E32"/>
    <w:rsid w:val="006075AA"/>
    <w:rsid w:val="006102EB"/>
    <w:rsid w:val="006108EB"/>
    <w:rsid w:val="006114C0"/>
    <w:rsid w:val="0061213B"/>
    <w:rsid w:val="00612696"/>
    <w:rsid w:val="006136C5"/>
    <w:rsid w:val="00614805"/>
    <w:rsid w:val="00614942"/>
    <w:rsid w:val="00614F78"/>
    <w:rsid w:val="0061565D"/>
    <w:rsid w:val="006159D7"/>
    <w:rsid w:val="00615BD3"/>
    <w:rsid w:val="00615C26"/>
    <w:rsid w:val="00616669"/>
    <w:rsid w:val="006166D5"/>
    <w:rsid w:val="00616AFC"/>
    <w:rsid w:val="00620D55"/>
    <w:rsid w:val="00620EBA"/>
    <w:rsid w:val="0062110B"/>
    <w:rsid w:val="00621F0B"/>
    <w:rsid w:val="006234A0"/>
    <w:rsid w:val="00623737"/>
    <w:rsid w:val="00623B21"/>
    <w:rsid w:val="00624FEC"/>
    <w:rsid w:val="00625788"/>
    <w:rsid w:val="00626E69"/>
    <w:rsid w:val="0062754C"/>
    <w:rsid w:val="00627EE8"/>
    <w:rsid w:val="0063148C"/>
    <w:rsid w:val="00631BDD"/>
    <w:rsid w:val="00632CC6"/>
    <w:rsid w:val="00632F5C"/>
    <w:rsid w:val="0063304B"/>
    <w:rsid w:val="006338C3"/>
    <w:rsid w:val="00633B3C"/>
    <w:rsid w:val="00633EAB"/>
    <w:rsid w:val="00633EB9"/>
    <w:rsid w:val="00633EEC"/>
    <w:rsid w:val="00634579"/>
    <w:rsid w:val="00634E12"/>
    <w:rsid w:val="00635603"/>
    <w:rsid w:val="006357B6"/>
    <w:rsid w:val="00635DDA"/>
    <w:rsid w:val="006361FA"/>
    <w:rsid w:val="00636201"/>
    <w:rsid w:val="00636BA0"/>
    <w:rsid w:val="00640290"/>
    <w:rsid w:val="006403B1"/>
    <w:rsid w:val="006404E0"/>
    <w:rsid w:val="006404E5"/>
    <w:rsid w:val="00641146"/>
    <w:rsid w:val="00642274"/>
    <w:rsid w:val="00642BC0"/>
    <w:rsid w:val="00642BDA"/>
    <w:rsid w:val="00643F9B"/>
    <w:rsid w:val="006440BB"/>
    <w:rsid w:val="0064410B"/>
    <w:rsid w:val="006449A3"/>
    <w:rsid w:val="0064518C"/>
    <w:rsid w:val="00646294"/>
    <w:rsid w:val="00646C45"/>
    <w:rsid w:val="00647766"/>
    <w:rsid w:val="00647A0A"/>
    <w:rsid w:val="006502EA"/>
    <w:rsid w:val="00650B90"/>
    <w:rsid w:val="00650CFC"/>
    <w:rsid w:val="006523C9"/>
    <w:rsid w:val="00652AAF"/>
    <w:rsid w:val="006530FD"/>
    <w:rsid w:val="00654ED1"/>
    <w:rsid w:val="00655507"/>
    <w:rsid w:val="00655E7E"/>
    <w:rsid w:val="006570B5"/>
    <w:rsid w:val="00660653"/>
    <w:rsid w:val="00661B36"/>
    <w:rsid w:val="00662CB5"/>
    <w:rsid w:val="0066484B"/>
    <w:rsid w:val="00664879"/>
    <w:rsid w:val="00664963"/>
    <w:rsid w:val="00665A4A"/>
    <w:rsid w:val="00667141"/>
    <w:rsid w:val="006672C9"/>
    <w:rsid w:val="006703EB"/>
    <w:rsid w:val="00670EAE"/>
    <w:rsid w:val="006710B1"/>
    <w:rsid w:val="0067114E"/>
    <w:rsid w:val="006717FC"/>
    <w:rsid w:val="006749AD"/>
    <w:rsid w:val="00675547"/>
    <w:rsid w:val="00675944"/>
    <w:rsid w:val="0067627B"/>
    <w:rsid w:val="00676431"/>
    <w:rsid w:val="006765EF"/>
    <w:rsid w:val="00676AC5"/>
    <w:rsid w:val="00676BA5"/>
    <w:rsid w:val="0067731E"/>
    <w:rsid w:val="006801C5"/>
    <w:rsid w:val="00680258"/>
    <w:rsid w:val="006805FB"/>
    <w:rsid w:val="00680D4D"/>
    <w:rsid w:val="0068107A"/>
    <w:rsid w:val="00681248"/>
    <w:rsid w:val="00681532"/>
    <w:rsid w:val="0068190D"/>
    <w:rsid w:val="00681E05"/>
    <w:rsid w:val="006847F0"/>
    <w:rsid w:val="00684A24"/>
    <w:rsid w:val="00685982"/>
    <w:rsid w:val="00685BBF"/>
    <w:rsid w:val="00686C85"/>
    <w:rsid w:val="00686DDF"/>
    <w:rsid w:val="0069088C"/>
    <w:rsid w:val="00690CED"/>
    <w:rsid w:val="006911DF"/>
    <w:rsid w:val="00691B34"/>
    <w:rsid w:val="00691D24"/>
    <w:rsid w:val="006921DA"/>
    <w:rsid w:val="006934F1"/>
    <w:rsid w:val="00693D90"/>
    <w:rsid w:val="00694242"/>
    <w:rsid w:val="006943BE"/>
    <w:rsid w:val="006944D1"/>
    <w:rsid w:val="00694668"/>
    <w:rsid w:val="00694A73"/>
    <w:rsid w:val="00694CF1"/>
    <w:rsid w:val="006958A3"/>
    <w:rsid w:val="00696139"/>
    <w:rsid w:val="006968AD"/>
    <w:rsid w:val="00696BE8"/>
    <w:rsid w:val="0069717E"/>
    <w:rsid w:val="006973A1"/>
    <w:rsid w:val="00697B48"/>
    <w:rsid w:val="006A0D68"/>
    <w:rsid w:val="006A14E8"/>
    <w:rsid w:val="006A2D0F"/>
    <w:rsid w:val="006A2F4C"/>
    <w:rsid w:val="006A33F3"/>
    <w:rsid w:val="006A431A"/>
    <w:rsid w:val="006A43B6"/>
    <w:rsid w:val="006A4624"/>
    <w:rsid w:val="006A5BCF"/>
    <w:rsid w:val="006A7957"/>
    <w:rsid w:val="006A7A90"/>
    <w:rsid w:val="006A7AE4"/>
    <w:rsid w:val="006B1200"/>
    <w:rsid w:val="006B1342"/>
    <w:rsid w:val="006B1CC9"/>
    <w:rsid w:val="006B2136"/>
    <w:rsid w:val="006B2866"/>
    <w:rsid w:val="006B2AB1"/>
    <w:rsid w:val="006B2EF3"/>
    <w:rsid w:val="006B30BE"/>
    <w:rsid w:val="006B3FF1"/>
    <w:rsid w:val="006B4444"/>
    <w:rsid w:val="006B4486"/>
    <w:rsid w:val="006B59FD"/>
    <w:rsid w:val="006B66B1"/>
    <w:rsid w:val="006B6E9E"/>
    <w:rsid w:val="006B71EE"/>
    <w:rsid w:val="006B7885"/>
    <w:rsid w:val="006B7902"/>
    <w:rsid w:val="006B7EBA"/>
    <w:rsid w:val="006C05CB"/>
    <w:rsid w:val="006C0861"/>
    <w:rsid w:val="006C2DDB"/>
    <w:rsid w:val="006C2E66"/>
    <w:rsid w:val="006C4AEA"/>
    <w:rsid w:val="006C4E60"/>
    <w:rsid w:val="006C62F2"/>
    <w:rsid w:val="006C65B8"/>
    <w:rsid w:val="006C6675"/>
    <w:rsid w:val="006C6A3E"/>
    <w:rsid w:val="006C781A"/>
    <w:rsid w:val="006D046D"/>
    <w:rsid w:val="006D0DDD"/>
    <w:rsid w:val="006D0F91"/>
    <w:rsid w:val="006D1091"/>
    <w:rsid w:val="006D2808"/>
    <w:rsid w:val="006D2874"/>
    <w:rsid w:val="006D2BDD"/>
    <w:rsid w:val="006D2CED"/>
    <w:rsid w:val="006D3923"/>
    <w:rsid w:val="006D5B15"/>
    <w:rsid w:val="006D63A7"/>
    <w:rsid w:val="006D6569"/>
    <w:rsid w:val="006D685A"/>
    <w:rsid w:val="006D68B8"/>
    <w:rsid w:val="006E0554"/>
    <w:rsid w:val="006E06A8"/>
    <w:rsid w:val="006E13B8"/>
    <w:rsid w:val="006E174A"/>
    <w:rsid w:val="006E1A55"/>
    <w:rsid w:val="006E1C30"/>
    <w:rsid w:val="006E2AC5"/>
    <w:rsid w:val="006E37A6"/>
    <w:rsid w:val="006E3A18"/>
    <w:rsid w:val="006E47AC"/>
    <w:rsid w:val="006E5C7C"/>
    <w:rsid w:val="006E675D"/>
    <w:rsid w:val="006E714B"/>
    <w:rsid w:val="006E7289"/>
    <w:rsid w:val="006F07B0"/>
    <w:rsid w:val="006F0E57"/>
    <w:rsid w:val="006F1037"/>
    <w:rsid w:val="006F1088"/>
    <w:rsid w:val="006F11E1"/>
    <w:rsid w:val="006F12BE"/>
    <w:rsid w:val="006F1754"/>
    <w:rsid w:val="006F17CF"/>
    <w:rsid w:val="006F1CCD"/>
    <w:rsid w:val="006F30E2"/>
    <w:rsid w:val="006F3E21"/>
    <w:rsid w:val="006F420A"/>
    <w:rsid w:val="006F44F0"/>
    <w:rsid w:val="006F648A"/>
    <w:rsid w:val="006F7690"/>
    <w:rsid w:val="006F77F4"/>
    <w:rsid w:val="006F7FBD"/>
    <w:rsid w:val="007004CE"/>
    <w:rsid w:val="0070067D"/>
    <w:rsid w:val="00701323"/>
    <w:rsid w:val="00701356"/>
    <w:rsid w:val="0070155F"/>
    <w:rsid w:val="007015AD"/>
    <w:rsid w:val="007015F8"/>
    <w:rsid w:val="007017BE"/>
    <w:rsid w:val="00701DEC"/>
    <w:rsid w:val="00701FCA"/>
    <w:rsid w:val="00702E8F"/>
    <w:rsid w:val="007032AA"/>
    <w:rsid w:val="0070456A"/>
    <w:rsid w:val="00704CB0"/>
    <w:rsid w:val="00704D13"/>
    <w:rsid w:val="007060B8"/>
    <w:rsid w:val="00706322"/>
    <w:rsid w:val="0070666C"/>
    <w:rsid w:val="00706D8B"/>
    <w:rsid w:val="00706DB9"/>
    <w:rsid w:val="00707BB4"/>
    <w:rsid w:val="00707BFA"/>
    <w:rsid w:val="00710866"/>
    <w:rsid w:val="00710948"/>
    <w:rsid w:val="007119C3"/>
    <w:rsid w:val="007128B6"/>
    <w:rsid w:val="00713A04"/>
    <w:rsid w:val="00713D76"/>
    <w:rsid w:val="007146DC"/>
    <w:rsid w:val="0071541D"/>
    <w:rsid w:val="007158F0"/>
    <w:rsid w:val="00715B51"/>
    <w:rsid w:val="00716114"/>
    <w:rsid w:val="00716639"/>
    <w:rsid w:val="00716A5E"/>
    <w:rsid w:val="00716F3D"/>
    <w:rsid w:val="007177C0"/>
    <w:rsid w:val="00720CA2"/>
    <w:rsid w:val="00720E47"/>
    <w:rsid w:val="00720F0E"/>
    <w:rsid w:val="00721E7B"/>
    <w:rsid w:val="00721ED6"/>
    <w:rsid w:val="00722263"/>
    <w:rsid w:val="00723045"/>
    <w:rsid w:val="0072324B"/>
    <w:rsid w:val="007239C2"/>
    <w:rsid w:val="0072418B"/>
    <w:rsid w:val="00725AFE"/>
    <w:rsid w:val="00725EE8"/>
    <w:rsid w:val="0072606D"/>
    <w:rsid w:val="00726507"/>
    <w:rsid w:val="00727432"/>
    <w:rsid w:val="00730AE3"/>
    <w:rsid w:val="00730CA0"/>
    <w:rsid w:val="00731384"/>
    <w:rsid w:val="007315E5"/>
    <w:rsid w:val="00731DA5"/>
    <w:rsid w:val="007332EB"/>
    <w:rsid w:val="007338B7"/>
    <w:rsid w:val="007359B8"/>
    <w:rsid w:val="00735A07"/>
    <w:rsid w:val="00735F3E"/>
    <w:rsid w:val="00736DE6"/>
    <w:rsid w:val="00737CF3"/>
    <w:rsid w:val="007403D7"/>
    <w:rsid w:val="00740861"/>
    <w:rsid w:val="00741182"/>
    <w:rsid w:val="00741FB7"/>
    <w:rsid w:val="007428AC"/>
    <w:rsid w:val="0074297E"/>
    <w:rsid w:val="00742B61"/>
    <w:rsid w:val="0074463D"/>
    <w:rsid w:val="007447A1"/>
    <w:rsid w:val="0074481B"/>
    <w:rsid w:val="00744E06"/>
    <w:rsid w:val="00745664"/>
    <w:rsid w:val="007462E8"/>
    <w:rsid w:val="007470AE"/>
    <w:rsid w:val="00747497"/>
    <w:rsid w:val="00750400"/>
    <w:rsid w:val="00751723"/>
    <w:rsid w:val="00751FDF"/>
    <w:rsid w:val="007525D0"/>
    <w:rsid w:val="007538E5"/>
    <w:rsid w:val="00753F8B"/>
    <w:rsid w:val="007546F4"/>
    <w:rsid w:val="0075531C"/>
    <w:rsid w:val="0075562D"/>
    <w:rsid w:val="00755FE7"/>
    <w:rsid w:val="007568F8"/>
    <w:rsid w:val="00756D98"/>
    <w:rsid w:val="0075723F"/>
    <w:rsid w:val="00757B64"/>
    <w:rsid w:val="00757BB4"/>
    <w:rsid w:val="00761481"/>
    <w:rsid w:val="00762310"/>
    <w:rsid w:val="0076250B"/>
    <w:rsid w:val="0076262E"/>
    <w:rsid w:val="00762EF0"/>
    <w:rsid w:val="007639A1"/>
    <w:rsid w:val="00764096"/>
    <w:rsid w:val="007648E0"/>
    <w:rsid w:val="00764A92"/>
    <w:rsid w:val="00764F22"/>
    <w:rsid w:val="00765009"/>
    <w:rsid w:val="00765484"/>
    <w:rsid w:val="00765A08"/>
    <w:rsid w:val="007660A8"/>
    <w:rsid w:val="00766814"/>
    <w:rsid w:val="007701D7"/>
    <w:rsid w:val="0077073C"/>
    <w:rsid w:val="00770A84"/>
    <w:rsid w:val="00770AA4"/>
    <w:rsid w:val="007714DA"/>
    <w:rsid w:val="00771585"/>
    <w:rsid w:val="00771725"/>
    <w:rsid w:val="00772705"/>
    <w:rsid w:val="00772BF5"/>
    <w:rsid w:val="007738BA"/>
    <w:rsid w:val="007757FE"/>
    <w:rsid w:val="00776444"/>
    <w:rsid w:val="00776628"/>
    <w:rsid w:val="007773DD"/>
    <w:rsid w:val="00777CBB"/>
    <w:rsid w:val="0078018C"/>
    <w:rsid w:val="007803BC"/>
    <w:rsid w:val="007807D4"/>
    <w:rsid w:val="007813C5"/>
    <w:rsid w:val="00781AB2"/>
    <w:rsid w:val="007822E0"/>
    <w:rsid w:val="0078491A"/>
    <w:rsid w:val="00785A5D"/>
    <w:rsid w:val="0078652A"/>
    <w:rsid w:val="007873FE"/>
    <w:rsid w:val="00787893"/>
    <w:rsid w:val="00787BA5"/>
    <w:rsid w:val="00790798"/>
    <w:rsid w:val="007917F2"/>
    <w:rsid w:val="00791A60"/>
    <w:rsid w:val="0079203D"/>
    <w:rsid w:val="0079234F"/>
    <w:rsid w:val="00792546"/>
    <w:rsid w:val="00792964"/>
    <w:rsid w:val="00792F28"/>
    <w:rsid w:val="0079386B"/>
    <w:rsid w:val="00793BC6"/>
    <w:rsid w:val="007940E2"/>
    <w:rsid w:val="00794CE5"/>
    <w:rsid w:val="00796AF6"/>
    <w:rsid w:val="00796C89"/>
    <w:rsid w:val="007972ED"/>
    <w:rsid w:val="00797D4F"/>
    <w:rsid w:val="00797DA7"/>
    <w:rsid w:val="007A0651"/>
    <w:rsid w:val="007A0DF8"/>
    <w:rsid w:val="007A174B"/>
    <w:rsid w:val="007A1A40"/>
    <w:rsid w:val="007A1B29"/>
    <w:rsid w:val="007A23A4"/>
    <w:rsid w:val="007A2790"/>
    <w:rsid w:val="007A2AAF"/>
    <w:rsid w:val="007A2FF1"/>
    <w:rsid w:val="007A3855"/>
    <w:rsid w:val="007A467A"/>
    <w:rsid w:val="007A4AAE"/>
    <w:rsid w:val="007A55B9"/>
    <w:rsid w:val="007A734A"/>
    <w:rsid w:val="007B0D72"/>
    <w:rsid w:val="007B0E7F"/>
    <w:rsid w:val="007B1136"/>
    <w:rsid w:val="007B1967"/>
    <w:rsid w:val="007B1FEA"/>
    <w:rsid w:val="007B2357"/>
    <w:rsid w:val="007B29B4"/>
    <w:rsid w:val="007B2A04"/>
    <w:rsid w:val="007B2C1F"/>
    <w:rsid w:val="007B2CC8"/>
    <w:rsid w:val="007B2DB4"/>
    <w:rsid w:val="007B2E96"/>
    <w:rsid w:val="007B4EA8"/>
    <w:rsid w:val="007B5483"/>
    <w:rsid w:val="007B54EC"/>
    <w:rsid w:val="007B5F83"/>
    <w:rsid w:val="007B60BA"/>
    <w:rsid w:val="007B62FD"/>
    <w:rsid w:val="007B6E86"/>
    <w:rsid w:val="007B74F1"/>
    <w:rsid w:val="007C084B"/>
    <w:rsid w:val="007C190A"/>
    <w:rsid w:val="007C2A6C"/>
    <w:rsid w:val="007C2FCF"/>
    <w:rsid w:val="007C3E0D"/>
    <w:rsid w:val="007C3EC8"/>
    <w:rsid w:val="007C4701"/>
    <w:rsid w:val="007C61DB"/>
    <w:rsid w:val="007C7709"/>
    <w:rsid w:val="007C7CE4"/>
    <w:rsid w:val="007D2BDA"/>
    <w:rsid w:val="007D2F45"/>
    <w:rsid w:val="007D3626"/>
    <w:rsid w:val="007D4334"/>
    <w:rsid w:val="007D4884"/>
    <w:rsid w:val="007D5963"/>
    <w:rsid w:val="007D6B31"/>
    <w:rsid w:val="007D6E30"/>
    <w:rsid w:val="007D745F"/>
    <w:rsid w:val="007E03BC"/>
    <w:rsid w:val="007E0471"/>
    <w:rsid w:val="007E154B"/>
    <w:rsid w:val="007E271B"/>
    <w:rsid w:val="007E3014"/>
    <w:rsid w:val="007E306C"/>
    <w:rsid w:val="007E36FF"/>
    <w:rsid w:val="007E38B6"/>
    <w:rsid w:val="007E5CF1"/>
    <w:rsid w:val="007E5EC8"/>
    <w:rsid w:val="007F0595"/>
    <w:rsid w:val="007F106F"/>
    <w:rsid w:val="007F2606"/>
    <w:rsid w:val="007F3A20"/>
    <w:rsid w:val="007F3C0F"/>
    <w:rsid w:val="007F501A"/>
    <w:rsid w:val="007F5958"/>
    <w:rsid w:val="0080103C"/>
    <w:rsid w:val="00801576"/>
    <w:rsid w:val="008019EA"/>
    <w:rsid w:val="00801DEC"/>
    <w:rsid w:val="008027C2"/>
    <w:rsid w:val="008032A0"/>
    <w:rsid w:val="00803F1D"/>
    <w:rsid w:val="00805E09"/>
    <w:rsid w:val="008062FB"/>
    <w:rsid w:val="008064CA"/>
    <w:rsid w:val="008067D1"/>
    <w:rsid w:val="00807428"/>
    <w:rsid w:val="008074E7"/>
    <w:rsid w:val="0080786C"/>
    <w:rsid w:val="0081096D"/>
    <w:rsid w:val="00812935"/>
    <w:rsid w:val="00812AC0"/>
    <w:rsid w:val="0081357F"/>
    <w:rsid w:val="00814278"/>
    <w:rsid w:val="00814A1C"/>
    <w:rsid w:val="00816131"/>
    <w:rsid w:val="00816173"/>
    <w:rsid w:val="00816184"/>
    <w:rsid w:val="008165C8"/>
    <w:rsid w:val="00816B07"/>
    <w:rsid w:val="008170C4"/>
    <w:rsid w:val="00817413"/>
    <w:rsid w:val="0081751C"/>
    <w:rsid w:val="008200E6"/>
    <w:rsid w:val="008203C8"/>
    <w:rsid w:val="008204F5"/>
    <w:rsid w:val="00822DF0"/>
    <w:rsid w:val="00822E07"/>
    <w:rsid w:val="0082328E"/>
    <w:rsid w:val="00823556"/>
    <w:rsid w:val="008248A3"/>
    <w:rsid w:val="00824FCF"/>
    <w:rsid w:val="00825049"/>
    <w:rsid w:val="008255FE"/>
    <w:rsid w:val="0082582E"/>
    <w:rsid w:val="00826297"/>
    <w:rsid w:val="00826B47"/>
    <w:rsid w:val="008305C0"/>
    <w:rsid w:val="00830ABB"/>
    <w:rsid w:val="00831A72"/>
    <w:rsid w:val="00831DB4"/>
    <w:rsid w:val="00831DFD"/>
    <w:rsid w:val="00831E0F"/>
    <w:rsid w:val="008320A0"/>
    <w:rsid w:val="0083246C"/>
    <w:rsid w:val="00832477"/>
    <w:rsid w:val="00833745"/>
    <w:rsid w:val="008339C2"/>
    <w:rsid w:val="00834233"/>
    <w:rsid w:val="008348F2"/>
    <w:rsid w:val="00835479"/>
    <w:rsid w:val="0083580A"/>
    <w:rsid w:val="00836040"/>
    <w:rsid w:val="00836065"/>
    <w:rsid w:val="00836CB6"/>
    <w:rsid w:val="00836CD6"/>
    <w:rsid w:val="00837764"/>
    <w:rsid w:val="008377BA"/>
    <w:rsid w:val="008408F8"/>
    <w:rsid w:val="00840B24"/>
    <w:rsid w:val="00841048"/>
    <w:rsid w:val="0084141B"/>
    <w:rsid w:val="00841D7C"/>
    <w:rsid w:val="00842154"/>
    <w:rsid w:val="008421A0"/>
    <w:rsid w:val="00842A0C"/>
    <w:rsid w:val="008436DE"/>
    <w:rsid w:val="0084433D"/>
    <w:rsid w:val="008453F0"/>
    <w:rsid w:val="0084659D"/>
    <w:rsid w:val="00850348"/>
    <w:rsid w:val="008504D9"/>
    <w:rsid w:val="00850C35"/>
    <w:rsid w:val="00850DEB"/>
    <w:rsid w:val="00850E8A"/>
    <w:rsid w:val="00853530"/>
    <w:rsid w:val="008537C0"/>
    <w:rsid w:val="00854221"/>
    <w:rsid w:val="00854734"/>
    <w:rsid w:val="0085655B"/>
    <w:rsid w:val="00856C1D"/>
    <w:rsid w:val="00856C48"/>
    <w:rsid w:val="00856D30"/>
    <w:rsid w:val="00857084"/>
    <w:rsid w:val="0086092B"/>
    <w:rsid w:val="00860DEC"/>
    <w:rsid w:val="00860DF4"/>
    <w:rsid w:val="00860F55"/>
    <w:rsid w:val="008627C1"/>
    <w:rsid w:val="00862BAE"/>
    <w:rsid w:val="00863CA9"/>
    <w:rsid w:val="008645BB"/>
    <w:rsid w:val="00864E4B"/>
    <w:rsid w:val="00865A43"/>
    <w:rsid w:val="00865C28"/>
    <w:rsid w:val="0086654F"/>
    <w:rsid w:val="0086668A"/>
    <w:rsid w:val="008669F8"/>
    <w:rsid w:val="00867F0E"/>
    <w:rsid w:val="00870146"/>
    <w:rsid w:val="0087079C"/>
    <w:rsid w:val="008707A4"/>
    <w:rsid w:val="00871D26"/>
    <w:rsid w:val="008735CD"/>
    <w:rsid w:val="00874C80"/>
    <w:rsid w:val="00875108"/>
    <w:rsid w:val="00875D66"/>
    <w:rsid w:val="00876596"/>
    <w:rsid w:val="00877C59"/>
    <w:rsid w:val="00881993"/>
    <w:rsid w:val="00881C96"/>
    <w:rsid w:val="00881E4E"/>
    <w:rsid w:val="008826BF"/>
    <w:rsid w:val="00883479"/>
    <w:rsid w:val="00883E98"/>
    <w:rsid w:val="00884127"/>
    <w:rsid w:val="008842D5"/>
    <w:rsid w:val="00885EB7"/>
    <w:rsid w:val="008863A4"/>
    <w:rsid w:val="00886814"/>
    <w:rsid w:val="00886E2B"/>
    <w:rsid w:val="0088737A"/>
    <w:rsid w:val="00887C63"/>
    <w:rsid w:val="00887D9A"/>
    <w:rsid w:val="00887E4B"/>
    <w:rsid w:val="008900DD"/>
    <w:rsid w:val="00890B72"/>
    <w:rsid w:val="00890DB9"/>
    <w:rsid w:val="00891000"/>
    <w:rsid w:val="0089138C"/>
    <w:rsid w:val="008927D2"/>
    <w:rsid w:val="0089424B"/>
    <w:rsid w:val="00894B63"/>
    <w:rsid w:val="00895477"/>
    <w:rsid w:val="0089576B"/>
    <w:rsid w:val="00895BF4"/>
    <w:rsid w:val="00895D5B"/>
    <w:rsid w:val="00896D2B"/>
    <w:rsid w:val="008972E5"/>
    <w:rsid w:val="00897BE1"/>
    <w:rsid w:val="008A0360"/>
    <w:rsid w:val="008A058C"/>
    <w:rsid w:val="008A1132"/>
    <w:rsid w:val="008A164E"/>
    <w:rsid w:val="008A196F"/>
    <w:rsid w:val="008A1DEF"/>
    <w:rsid w:val="008A27E0"/>
    <w:rsid w:val="008A290D"/>
    <w:rsid w:val="008A2AE7"/>
    <w:rsid w:val="008A2FE3"/>
    <w:rsid w:val="008A36EB"/>
    <w:rsid w:val="008A4235"/>
    <w:rsid w:val="008A452B"/>
    <w:rsid w:val="008A4A8E"/>
    <w:rsid w:val="008A6282"/>
    <w:rsid w:val="008A646F"/>
    <w:rsid w:val="008A66B3"/>
    <w:rsid w:val="008A6A16"/>
    <w:rsid w:val="008A770D"/>
    <w:rsid w:val="008A7B3E"/>
    <w:rsid w:val="008A7DB1"/>
    <w:rsid w:val="008B0DD6"/>
    <w:rsid w:val="008B131C"/>
    <w:rsid w:val="008B15E3"/>
    <w:rsid w:val="008B1DDA"/>
    <w:rsid w:val="008B2257"/>
    <w:rsid w:val="008B28B4"/>
    <w:rsid w:val="008B2F5D"/>
    <w:rsid w:val="008B332C"/>
    <w:rsid w:val="008B391D"/>
    <w:rsid w:val="008B3F82"/>
    <w:rsid w:val="008B4C38"/>
    <w:rsid w:val="008B595B"/>
    <w:rsid w:val="008B5EDC"/>
    <w:rsid w:val="008B6B37"/>
    <w:rsid w:val="008B79A2"/>
    <w:rsid w:val="008B7AAB"/>
    <w:rsid w:val="008B7F4F"/>
    <w:rsid w:val="008C00F7"/>
    <w:rsid w:val="008C0438"/>
    <w:rsid w:val="008C04A2"/>
    <w:rsid w:val="008C0E8C"/>
    <w:rsid w:val="008C232C"/>
    <w:rsid w:val="008C267D"/>
    <w:rsid w:val="008C3385"/>
    <w:rsid w:val="008C358E"/>
    <w:rsid w:val="008C35C9"/>
    <w:rsid w:val="008C458D"/>
    <w:rsid w:val="008C46F9"/>
    <w:rsid w:val="008C4D3F"/>
    <w:rsid w:val="008C5119"/>
    <w:rsid w:val="008C5306"/>
    <w:rsid w:val="008C5CF1"/>
    <w:rsid w:val="008C6E68"/>
    <w:rsid w:val="008C70F6"/>
    <w:rsid w:val="008C75E7"/>
    <w:rsid w:val="008C7EEC"/>
    <w:rsid w:val="008D04DC"/>
    <w:rsid w:val="008D0637"/>
    <w:rsid w:val="008D0705"/>
    <w:rsid w:val="008D14BC"/>
    <w:rsid w:val="008D276D"/>
    <w:rsid w:val="008D2D9D"/>
    <w:rsid w:val="008D3587"/>
    <w:rsid w:val="008D40B1"/>
    <w:rsid w:val="008D45EA"/>
    <w:rsid w:val="008D58A4"/>
    <w:rsid w:val="008D706C"/>
    <w:rsid w:val="008D7F95"/>
    <w:rsid w:val="008E076A"/>
    <w:rsid w:val="008E07E6"/>
    <w:rsid w:val="008E113B"/>
    <w:rsid w:val="008E11C2"/>
    <w:rsid w:val="008E1A5B"/>
    <w:rsid w:val="008E2971"/>
    <w:rsid w:val="008E326B"/>
    <w:rsid w:val="008E3751"/>
    <w:rsid w:val="008E472D"/>
    <w:rsid w:val="008E4C7A"/>
    <w:rsid w:val="008E51CF"/>
    <w:rsid w:val="008E57F2"/>
    <w:rsid w:val="008E5FE2"/>
    <w:rsid w:val="008E60E7"/>
    <w:rsid w:val="008E675D"/>
    <w:rsid w:val="008E6840"/>
    <w:rsid w:val="008E6CA2"/>
    <w:rsid w:val="008E6F70"/>
    <w:rsid w:val="008E7002"/>
    <w:rsid w:val="008E79E8"/>
    <w:rsid w:val="008F0E58"/>
    <w:rsid w:val="008F0E8E"/>
    <w:rsid w:val="008F1002"/>
    <w:rsid w:val="008F1C97"/>
    <w:rsid w:val="008F2B32"/>
    <w:rsid w:val="008F2EDD"/>
    <w:rsid w:val="008F35D7"/>
    <w:rsid w:val="008F43E8"/>
    <w:rsid w:val="008F4B79"/>
    <w:rsid w:val="008F5175"/>
    <w:rsid w:val="008F572A"/>
    <w:rsid w:val="008F57DB"/>
    <w:rsid w:val="008F590F"/>
    <w:rsid w:val="008F6038"/>
    <w:rsid w:val="008F7489"/>
    <w:rsid w:val="008F75E6"/>
    <w:rsid w:val="00900627"/>
    <w:rsid w:val="00900875"/>
    <w:rsid w:val="00900FB3"/>
    <w:rsid w:val="009017C3"/>
    <w:rsid w:val="00901854"/>
    <w:rsid w:val="00901968"/>
    <w:rsid w:val="00902796"/>
    <w:rsid w:val="00902CFD"/>
    <w:rsid w:val="00903D95"/>
    <w:rsid w:val="00904D50"/>
    <w:rsid w:val="0090531C"/>
    <w:rsid w:val="00905393"/>
    <w:rsid w:val="00905964"/>
    <w:rsid w:val="00905AC8"/>
    <w:rsid w:val="009062A3"/>
    <w:rsid w:val="00906525"/>
    <w:rsid w:val="009068DC"/>
    <w:rsid w:val="00906CF9"/>
    <w:rsid w:val="0090734C"/>
    <w:rsid w:val="00907585"/>
    <w:rsid w:val="00910188"/>
    <w:rsid w:val="009104CA"/>
    <w:rsid w:val="009104FE"/>
    <w:rsid w:val="0091066D"/>
    <w:rsid w:val="00910D7D"/>
    <w:rsid w:val="009111EF"/>
    <w:rsid w:val="009128A0"/>
    <w:rsid w:val="00913C4C"/>
    <w:rsid w:val="00915371"/>
    <w:rsid w:val="009157E5"/>
    <w:rsid w:val="009161DA"/>
    <w:rsid w:val="009165C7"/>
    <w:rsid w:val="00916E01"/>
    <w:rsid w:val="0092037F"/>
    <w:rsid w:val="00920A65"/>
    <w:rsid w:val="009210DB"/>
    <w:rsid w:val="0092113D"/>
    <w:rsid w:val="00921DEE"/>
    <w:rsid w:val="00922090"/>
    <w:rsid w:val="00924286"/>
    <w:rsid w:val="00924F2F"/>
    <w:rsid w:val="0092516B"/>
    <w:rsid w:val="009265CD"/>
    <w:rsid w:val="00926FE8"/>
    <w:rsid w:val="00927182"/>
    <w:rsid w:val="009275A7"/>
    <w:rsid w:val="0092793F"/>
    <w:rsid w:val="0092794C"/>
    <w:rsid w:val="00930645"/>
    <w:rsid w:val="00931473"/>
    <w:rsid w:val="00931C40"/>
    <w:rsid w:val="0093227F"/>
    <w:rsid w:val="0093304C"/>
    <w:rsid w:val="00933450"/>
    <w:rsid w:val="009348DA"/>
    <w:rsid w:val="00934D52"/>
    <w:rsid w:val="00935F8B"/>
    <w:rsid w:val="0093622B"/>
    <w:rsid w:val="00937436"/>
    <w:rsid w:val="00937821"/>
    <w:rsid w:val="009378D9"/>
    <w:rsid w:val="00941884"/>
    <w:rsid w:val="0094280C"/>
    <w:rsid w:val="00942B98"/>
    <w:rsid w:val="00942F5F"/>
    <w:rsid w:val="00943491"/>
    <w:rsid w:val="0094387F"/>
    <w:rsid w:val="00943D6D"/>
    <w:rsid w:val="00944AC4"/>
    <w:rsid w:val="009471CB"/>
    <w:rsid w:val="009477CC"/>
    <w:rsid w:val="00947D20"/>
    <w:rsid w:val="0095060B"/>
    <w:rsid w:val="009506F5"/>
    <w:rsid w:val="00951C1B"/>
    <w:rsid w:val="00951CA5"/>
    <w:rsid w:val="00952A0A"/>
    <w:rsid w:val="00954DD1"/>
    <w:rsid w:val="009550C3"/>
    <w:rsid w:val="00955A9F"/>
    <w:rsid w:val="00955BBC"/>
    <w:rsid w:val="00957FFB"/>
    <w:rsid w:val="009604FA"/>
    <w:rsid w:val="00960BB5"/>
    <w:rsid w:val="00961CE4"/>
    <w:rsid w:val="00961E41"/>
    <w:rsid w:val="0096299B"/>
    <w:rsid w:val="00962ABE"/>
    <w:rsid w:val="00963057"/>
    <w:rsid w:val="00963C73"/>
    <w:rsid w:val="00964342"/>
    <w:rsid w:val="00964EA5"/>
    <w:rsid w:val="00965BDD"/>
    <w:rsid w:val="00965F13"/>
    <w:rsid w:val="00966897"/>
    <w:rsid w:val="00967485"/>
    <w:rsid w:val="0096769C"/>
    <w:rsid w:val="00967945"/>
    <w:rsid w:val="00967E5E"/>
    <w:rsid w:val="009701DA"/>
    <w:rsid w:val="0097036E"/>
    <w:rsid w:val="00970A63"/>
    <w:rsid w:val="00970CED"/>
    <w:rsid w:val="00971226"/>
    <w:rsid w:val="00971A88"/>
    <w:rsid w:val="009721BA"/>
    <w:rsid w:val="009729CA"/>
    <w:rsid w:val="00972C9E"/>
    <w:rsid w:val="009731EB"/>
    <w:rsid w:val="00973434"/>
    <w:rsid w:val="00973C2C"/>
    <w:rsid w:val="00975605"/>
    <w:rsid w:val="00976388"/>
    <w:rsid w:val="0097680A"/>
    <w:rsid w:val="00977AEC"/>
    <w:rsid w:val="009805AB"/>
    <w:rsid w:val="00980726"/>
    <w:rsid w:val="00980F3E"/>
    <w:rsid w:val="00981B34"/>
    <w:rsid w:val="009820B5"/>
    <w:rsid w:val="0098222B"/>
    <w:rsid w:val="00982A52"/>
    <w:rsid w:val="00982F36"/>
    <w:rsid w:val="00983E51"/>
    <w:rsid w:val="00983F9F"/>
    <w:rsid w:val="00984180"/>
    <w:rsid w:val="009845EA"/>
    <w:rsid w:val="00984A70"/>
    <w:rsid w:val="00984F33"/>
    <w:rsid w:val="009858D5"/>
    <w:rsid w:val="00985A9D"/>
    <w:rsid w:val="00986312"/>
    <w:rsid w:val="0098644E"/>
    <w:rsid w:val="00986AB9"/>
    <w:rsid w:val="009870AB"/>
    <w:rsid w:val="00987657"/>
    <w:rsid w:val="00990367"/>
    <w:rsid w:val="009905FD"/>
    <w:rsid w:val="009911C3"/>
    <w:rsid w:val="00991451"/>
    <w:rsid w:val="009919DD"/>
    <w:rsid w:val="00992119"/>
    <w:rsid w:val="00992970"/>
    <w:rsid w:val="009945D0"/>
    <w:rsid w:val="00994A8E"/>
    <w:rsid w:val="00994A91"/>
    <w:rsid w:val="00995230"/>
    <w:rsid w:val="00995516"/>
    <w:rsid w:val="009956CE"/>
    <w:rsid w:val="0099586C"/>
    <w:rsid w:val="00996004"/>
    <w:rsid w:val="009963A5"/>
    <w:rsid w:val="00996E74"/>
    <w:rsid w:val="0099706B"/>
    <w:rsid w:val="009979DD"/>
    <w:rsid w:val="009A252C"/>
    <w:rsid w:val="009A252E"/>
    <w:rsid w:val="009A26BE"/>
    <w:rsid w:val="009A29FA"/>
    <w:rsid w:val="009A2A89"/>
    <w:rsid w:val="009A48F7"/>
    <w:rsid w:val="009A5137"/>
    <w:rsid w:val="009A5384"/>
    <w:rsid w:val="009A7128"/>
    <w:rsid w:val="009A7B2A"/>
    <w:rsid w:val="009A7C57"/>
    <w:rsid w:val="009B121F"/>
    <w:rsid w:val="009B12B1"/>
    <w:rsid w:val="009B2216"/>
    <w:rsid w:val="009B250F"/>
    <w:rsid w:val="009B3A85"/>
    <w:rsid w:val="009B4A4D"/>
    <w:rsid w:val="009B59C7"/>
    <w:rsid w:val="009B6198"/>
    <w:rsid w:val="009B64FD"/>
    <w:rsid w:val="009B6F19"/>
    <w:rsid w:val="009B705E"/>
    <w:rsid w:val="009B787F"/>
    <w:rsid w:val="009C064D"/>
    <w:rsid w:val="009C0974"/>
    <w:rsid w:val="009C1223"/>
    <w:rsid w:val="009C1357"/>
    <w:rsid w:val="009C144F"/>
    <w:rsid w:val="009C292A"/>
    <w:rsid w:val="009C533F"/>
    <w:rsid w:val="009C5D6E"/>
    <w:rsid w:val="009C707A"/>
    <w:rsid w:val="009C7645"/>
    <w:rsid w:val="009D0B69"/>
    <w:rsid w:val="009D12E4"/>
    <w:rsid w:val="009D215F"/>
    <w:rsid w:val="009D28D1"/>
    <w:rsid w:val="009D33A9"/>
    <w:rsid w:val="009D4062"/>
    <w:rsid w:val="009D536E"/>
    <w:rsid w:val="009D5428"/>
    <w:rsid w:val="009D6A40"/>
    <w:rsid w:val="009D75D0"/>
    <w:rsid w:val="009D76CF"/>
    <w:rsid w:val="009E0BDB"/>
    <w:rsid w:val="009E0D20"/>
    <w:rsid w:val="009E0D6F"/>
    <w:rsid w:val="009E0DCE"/>
    <w:rsid w:val="009E1AE9"/>
    <w:rsid w:val="009E2098"/>
    <w:rsid w:val="009E249B"/>
    <w:rsid w:val="009E2AC4"/>
    <w:rsid w:val="009E2AF5"/>
    <w:rsid w:val="009E3112"/>
    <w:rsid w:val="009E3155"/>
    <w:rsid w:val="009E4491"/>
    <w:rsid w:val="009E51E1"/>
    <w:rsid w:val="009E649E"/>
    <w:rsid w:val="009E758A"/>
    <w:rsid w:val="009E79F8"/>
    <w:rsid w:val="009F04E0"/>
    <w:rsid w:val="009F0DF4"/>
    <w:rsid w:val="009F108E"/>
    <w:rsid w:val="009F10E6"/>
    <w:rsid w:val="009F1B65"/>
    <w:rsid w:val="009F1B92"/>
    <w:rsid w:val="009F2C9E"/>
    <w:rsid w:val="009F38E5"/>
    <w:rsid w:val="009F48D6"/>
    <w:rsid w:val="009F51A8"/>
    <w:rsid w:val="009F562C"/>
    <w:rsid w:val="009F5B13"/>
    <w:rsid w:val="009F5BE1"/>
    <w:rsid w:val="009F66AA"/>
    <w:rsid w:val="009F6DC6"/>
    <w:rsid w:val="009F7436"/>
    <w:rsid w:val="00A01FDC"/>
    <w:rsid w:val="00A02182"/>
    <w:rsid w:val="00A0233B"/>
    <w:rsid w:val="00A02350"/>
    <w:rsid w:val="00A0248A"/>
    <w:rsid w:val="00A0449F"/>
    <w:rsid w:val="00A04BB0"/>
    <w:rsid w:val="00A055E1"/>
    <w:rsid w:val="00A056FD"/>
    <w:rsid w:val="00A0659B"/>
    <w:rsid w:val="00A06C1D"/>
    <w:rsid w:val="00A07C70"/>
    <w:rsid w:val="00A10001"/>
    <w:rsid w:val="00A10D73"/>
    <w:rsid w:val="00A111F9"/>
    <w:rsid w:val="00A11715"/>
    <w:rsid w:val="00A124F3"/>
    <w:rsid w:val="00A12810"/>
    <w:rsid w:val="00A12FD8"/>
    <w:rsid w:val="00A13361"/>
    <w:rsid w:val="00A13CE8"/>
    <w:rsid w:val="00A1415A"/>
    <w:rsid w:val="00A14F97"/>
    <w:rsid w:val="00A1771C"/>
    <w:rsid w:val="00A17F43"/>
    <w:rsid w:val="00A2006D"/>
    <w:rsid w:val="00A200D0"/>
    <w:rsid w:val="00A20AC9"/>
    <w:rsid w:val="00A2142E"/>
    <w:rsid w:val="00A214DB"/>
    <w:rsid w:val="00A21954"/>
    <w:rsid w:val="00A240AB"/>
    <w:rsid w:val="00A24754"/>
    <w:rsid w:val="00A25915"/>
    <w:rsid w:val="00A2615F"/>
    <w:rsid w:val="00A2629F"/>
    <w:rsid w:val="00A26309"/>
    <w:rsid w:val="00A2707D"/>
    <w:rsid w:val="00A27FEB"/>
    <w:rsid w:val="00A30A11"/>
    <w:rsid w:val="00A30C2F"/>
    <w:rsid w:val="00A30D0C"/>
    <w:rsid w:val="00A3135B"/>
    <w:rsid w:val="00A31E2B"/>
    <w:rsid w:val="00A323FB"/>
    <w:rsid w:val="00A33476"/>
    <w:rsid w:val="00A3515C"/>
    <w:rsid w:val="00A357D2"/>
    <w:rsid w:val="00A35D05"/>
    <w:rsid w:val="00A36069"/>
    <w:rsid w:val="00A37DEA"/>
    <w:rsid w:val="00A37E18"/>
    <w:rsid w:val="00A4008D"/>
    <w:rsid w:val="00A40943"/>
    <w:rsid w:val="00A41355"/>
    <w:rsid w:val="00A416AF"/>
    <w:rsid w:val="00A426A4"/>
    <w:rsid w:val="00A428D8"/>
    <w:rsid w:val="00A42E71"/>
    <w:rsid w:val="00A4320E"/>
    <w:rsid w:val="00A43DD4"/>
    <w:rsid w:val="00A44370"/>
    <w:rsid w:val="00A44918"/>
    <w:rsid w:val="00A44926"/>
    <w:rsid w:val="00A464D5"/>
    <w:rsid w:val="00A46668"/>
    <w:rsid w:val="00A468B4"/>
    <w:rsid w:val="00A46D61"/>
    <w:rsid w:val="00A46D84"/>
    <w:rsid w:val="00A47311"/>
    <w:rsid w:val="00A502F6"/>
    <w:rsid w:val="00A50686"/>
    <w:rsid w:val="00A50BCC"/>
    <w:rsid w:val="00A50C08"/>
    <w:rsid w:val="00A50C57"/>
    <w:rsid w:val="00A50EA6"/>
    <w:rsid w:val="00A50ED4"/>
    <w:rsid w:val="00A51A1B"/>
    <w:rsid w:val="00A52D12"/>
    <w:rsid w:val="00A53339"/>
    <w:rsid w:val="00A5356F"/>
    <w:rsid w:val="00A53D0F"/>
    <w:rsid w:val="00A5480C"/>
    <w:rsid w:val="00A54DBC"/>
    <w:rsid w:val="00A55739"/>
    <w:rsid w:val="00A55963"/>
    <w:rsid w:val="00A55C43"/>
    <w:rsid w:val="00A55C60"/>
    <w:rsid w:val="00A5618B"/>
    <w:rsid w:val="00A561DE"/>
    <w:rsid w:val="00A56CEE"/>
    <w:rsid w:val="00A57A89"/>
    <w:rsid w:val="00A57B93"/>
    <w:rsid w:val="00A61286"/>
    <w:rsid w:val="00A613A8"/>
    <w:rsid w:val="00A615F1"/>
    <w:rsid w:val="00A617F9"/>
    <w:rsid w:val="00A61F55"/>
    <w:rsid w:val="00A63DDD"/>
    <w:rsid w:val="00A64C0F"/>
    <w:rsid w:val="00A653C7"/>
    <w:rsid w:val="00A65BD6"/>
    <w:rsid w:val="00A65E58"/>
    <w:rsid w:val="00A65F23"/>
    <w:rsid w:val="00A66910"/>
    <w:rsid w:val="00A676F6"/>
    <w:rsid w:val="00A70644"/>
    <w:rsid w:val="00A71187"/>
    <w:rsid w:val="00A7138C"/>
    <w:rsid w:val="00A71742"/>
    <w:rsid w:val="00A71E6D"/>
    <w:rsid w:val="00A72468"/>
    <w:rsid w:val="00A72527"/>
    <w:rsid w:val="00A72558"/>
    <w:rsid w:val="00A7337E"/>
    <w:rsid w:val="00A74A0E"/>
    <w:rsid w:val="00A74C0C"/>
    <w:rsid w:val="00A74FF0"/>
    <w:rsid w:val="00A7513B"/>
    <w:rsid w:val="00A77CD7"/>
    <w:rsid w:val="00A81393"/>
    <w:rsid w:val="00A81989"/>
    <w:rsid w:val="00A82334"/>
    <w:rsid w:val="00A825F2"/>
    <w:rsid w:val="00A82657"/>
    <w:rsid w:val="00A82751"/>
    <w:rsid w:val="00A82842"/>
    <w:rsid w:val="00A8314E"/>
    <w:rsid w:val="00A83406"/>
    <w:rsid w:val="00A836E7"/>
    <w:rsid w:val="00A83C80"/>
    <w:rsid w:val="00A85A83"/>
    <w:rsid w:val="00A87E78"/>
    <w:rsid w:val="00A90B0B"/>
    <w:rsid w:val="00A91609"/>
    <w:rsid w:val="00A91CAF"/>
    <w:rsid w:val="00A91EDF"/>
    <w:rsid w:val="00A929A0"/>
    <w:rsid w:val="00A93009"/>
    <w:rsid w:val="00A93069"/>
    <w:rsid w:val="00A93443"/>
    <w:rsid w:val="00A9517B"/>
    <w:rsid w:val="00A951BA"/>
    <w:rsid w:val="00A95639"/>
    <w:rsid w:val="00A95C71"/>
    <w:rsid w:val="00A961E7"/>
    <w:rsid w:val="00A96755"/>
    <w:rsid w:val="00A97827"/>
    <w:rsid w:val="00A97C19"/>
    <w:rsid w:val="00A97D5D"/>
    <w:rsid w:val="00AA186A"/>
    <w:rsid w:val="00AA188E"/>
    <w:rsid w:val="00AA21E0"/>
    <w:rsid w:val="00AA23F3"/>
    <w:rsid w:val="00AA26C9"/>
    <w:rsid w:val="00AA3617"/>
    <w:rsid w:val="00AA5AE2"/>
    <w:rsid w:val="00AA5B0E"/>
    <w:rsid w:val="00AB0F8B"/>
    <w:rsid w:val="00AB16AC"/>
    <w:rsid w:val="00AB2513"/>
    <w:rsid w:val="00AB395D"/>
    <w:rsid w:val="00AB3F3E"/>
    <w:rsid w:val="00AB5405"/>
    <w:rsid w:val="00AB6664"/>
    <w:rsid w:val="00AB7ABF"/>
    <w:rsid w:val="00AC0D65"/>
    <w:rsid w:val="00AC12C4"/>
    <w:rsid w:val="00AC1827"/>
    <w:rsid w:val="00AC23A3"/>
    <w:rsid w:val="00AC2D1F"/>
    <w:rsid w:val="00AC30EE"/>
    <w:rsid w:val="00AC37D4"/>
    <w:rsid w:val="00AC3C70"/>
    <w:rsid w:val="00AC4D54"/>
    <w:rsid w:val="00AC61C4"/>
    <w:rsid w:val="00AC6566"/>
    <w:rsid w:val="00AC71C9"/>
    <w:rsid w:val="00AC751B"/>
    <w:rsid w:val="00AC7BFF"/>
    <w:rsid w:val="00AD0112"/>
    <w:rsid w:val="00AD026D"/>
    <w:rsid w:val="00AD07CE"/>
    <w:rsid w:val="00AD0C75"/>
    <w:rsid w:val="00AD0FEE"/>
    <w:rsid w:val="00AD1D5C"/>
    <w:rsid w:val="00AD24F7"/>
    <w:rsid w:val="00AD2560"/>
    <w:rsid w:val="00AD2754"/>
    <w:rsid w:val="00AD27E6"/>
    <w:rsid w:val="00AD2F70"/>
    <w:rsid w:val="00AD3E3A"/>
    <w:rsid w:val="00AD46E1"/>
    <w:rsid w:val="00AD4799"/>
    <w:rsid w:val="00AD492D"/>
    <w:rsid w:val="00AD4D0B"/>
    <w:rsid w:val="00AD510F"/>
    <w:rsid w:val="00AD6763"/>
    <w:rsid w:val="00AD6861"/>
    <w:rsid w:val="00AE0721"/>
    <w:rsid w:val="00AE0A57"/>
    <w:rsid w:val="00AE0CD6"/>
    <w:rsid w:val="00AE0E64"/>
    <w:rsid w:val="00AE1422"/>
    <w:rsid w:val="00AE1BD6"/>
    <w:rsid w:val="00AE1C29"/>
    <w:rsid w:val="00AE1D20"/>
    <w:rsid w:val="00AE1F3F"/>
    <w:rsid w:val="00AE1FA4"/>
    <w:rsid w:val="00AE2A57"/>
    <w:rsid w:val="00AE2FCD"/>
    <w:rsid w:val="00AE3495"/>
    <w:rsid w:val="00AE47A5"/>
    <w:rsid w:val="00AE482D"/>
    <w:rsid w:val="00AE50BD"/>
    <w:rsid w:val="00AE5391"/>
    <w:rsid w:val="00AE58D5"/>
    <w:rsid w:val="00AE6841"/>
    <w:rsid w:val="00AE6CB5"/>
    <w:rsid w:val="00AE74F0"/>
    <w:rsid w:val="00AE75EE"/>
    <w:rsid w:val="00AE76D9"/>
    <w:rsid w:val="00AE7B75"/>
    <w:rsid w:val="00AF0736"/>
    <w:rsid w:val="00AF07F4"/>
    <w:rsid w:val="00AF0A99"/>
    <w:rsid w:val="00AF0C3E"/>
    <w:rsid w:val="00AF1330"/>
    <w:rsid w:val="00AF157D"/>
    <w:rsid w:val="00AF1A07"/>
    <w:rsid w:val="00AF2040"/>
    <w:rsid w:val="00AF25C2"/>
    <w:rsid w:val="00AF25F0"/>
    <w:rsid w:val="00AF2797"/>
    <w:rsid w:val="00AF2E0D"/>
    <w:rsid w:val="00AF3430"/>
    <w:rsid w:val="00AF407C"/>
    <w:rsid w:val="00AF571A"/>
    <w:rsid w:val="00B0027F"/>
    <w:rsid w:val="00B002E3"/>
    <w:rsid w:val="00B00E4C"/>
    <w:rsid w:val="00B0127D"/>
    <w:rsid w:val="00B016BF"/>
    <w:rsid w:val="00B02272"/>
    <w:rsid w:val="00B02D1D"/>
    <w:rsid w:val="00B03395"/>
    <w:rsid w:val="00B034FC"/>
    <w:rsid w:val="00B038FD"/>
    <w:rsid w:val="00B04DBC"/>
    <w:rsid w:val="00B051F2"/>
    <w:rsid w:val="00B058FD"/>
    <w:rsid w:val="00B05F4F"/>
    <w:rsid w:val="00B06762"/>
    <w:rsid w:val="00B076D8"/>
    <w:rsid w:val="00B10024"/>
    <w:rsid w:val="00B11C34"/>
    <w:rsid w:val="00B11CA1"/>
    <w:rsid w:val="00B11CC0"/>
    <w:rsid w:val="00B12A6A"/>
    <w:rsid w:val="00B13069"/>
    <w:rsid w:val="00B13A81"/>
    <w:rsid w:val="00B1538F"/>
    <w:rsid w:val="00B15581"/>
    <w:rsid w:val="00B16CA0"/>
    <w:rsid w:val="00B201E6"/>
    <w:rsid w:val="00B209E1"/>
    <w:rsid w:val="00B2246C"/>
    <w:rsid w:val="00B23534"/>
    <w:rsid w:val="00B23C35"/>
    <w:rsid w:val="00B24BF4"/>
    <w:rsid w:val="00B2566F"/>
    <w:rsid w:val="00B2580D"/>
    <w:rsid w:val="00B269EC"/>
    <w:rsid w:val="00B2743B"/>
    <w:rsid w:val="00B27748"/>
    <w:rsid w:val="00B30A73"/>
    <w:rsid w:val="00B30FB5"/>
    <w:rsid w:val="00B31D90"/>
    <w:rsid w:val="00B33E00"/>
    <w:rsid w:val="00B34343"/>
    <w:rsid w:val="00B34931"/>
    <w:rsid w:val="00B34F30"/>
    <w:rsid w:val="00B34F34"/>
    <w:rsid w:val="00B35095"/>
    <w:rsid w:val="00B35597"/>
    <w:rsid w:val="00B355F5"/>
    <w:rsid w:val="00B3581A"/>
    <w:rsid w:val="00B364B7"/>
    <w:rsid w:val="00B366DB"/>
    <w:rsid w:val="00B374C3"/>
    <w:rsid w:val="00B37EF3"/>
    <w:rsid w:val="00B4076C"/>
    <w:rsid w:val="00B40D76"/>
    <w:rsid w:val="00B41102"/>
    <w:rsid w:val="00B427C3"/>
    <w:rsid w:val="00B42DB8"/>
    <w:rsid w:val="00B4307A"/>
    <w:rsid w:val="00B43516"/>
    <w:rsid w:val="00B44485"/>
    <w:rsid w:val="00B4607C"/>
    <w:rsid w:val="00B4615C"/>
    <w:rsid w:val="00B47054"/>
    <w:rsid w:val="00B473FC"/>
    <w:rsid w:val="00B50793"/>
    <w:rsid w:val="00B52169"/>
    <w:rsid w:val="00B5239E"/>
    <w:rsid w:val="00B52BD0"/>
    <w:rsid w:val="00B532E1"/>
    <w:rsid w:val="00B542A7"/>
    <w:rsid w:val="00B542C8"/>
    <w:rsid w:val="00B54327"/>
    <w:rsid w:val="00B55186"/>
    <w:rsid w:val="00B5652E"/>
    <w:rsid w:val="00B56A0E"/>
    <w:rsid w:val="00B56A4F"/>
    <w:rsid w:val="00B613F5"/>
    <w:rsid w:val="00B618E6"/>
    <w:rsid w:val="00B61A77"/>
    <w:rsid w:val="00B61C4F"/>
    <w:rsid w:val="00B622AD"/>
    <w:rsid w:val="00B630D8"/>
    <w:rsid w:val="00B647C5"/>
    <w:rsid w:val="00B64D2F"/>
    <w:rsid w:val="00B65A55"/>
    <w:rsid w:val="00B671D2"/>
    <w:rsid w:val="00B673CD"/>
    <w:rsid w:val="00B67E6E"/>
    <w:rsid w:val="00B706C5"/>
    <w:rsid w:val="00B70BD9"/>
    <w:rsid w:val="00B71F29"/>
    <w:rsid w:val="00B7240F"/>
    <w:rsid w:val="00B7269C"/>
    <w:rsid w:val="00B726DB"/>
    <w:rsid w:val="00B726FC"/>
    <w:rsid w:val="00B72887"/>
    <w:rsid w:val="00B72ADD"/>
    <w:rsid w:val="00B748EC"/>
    <w:rsid w:val="00B74D91"/>
    <w:rsid w:val="00B75A53"/>
    <w:rsid w:val="00B75B26"/>
    <w:rsid w:val="00B75F3D"/>
    <w:rsid w:val="00B76CFF"/>
    <w:rsid w:val="00B772CA"/>
    <w:rsid w:val="00B77353"/>
    <w:rsid w:val="00B80F26"/>
    <w:rsid w:val="00B81000"/>
    <w:rsid w:val="00B8141B"/>
    <w:rsid w:val="00B81983"/>
    <w:rsid w:val="00B81D92"/>
    <w:rsid w:val="00B8224D"/>
    <w:rsid w:val="00B82427"/>
    <w:rsid w:val="00B82B11"/>
    <w:rsid w:val="00B82D65"/>
    <w:rsid w:val="00B83A4E"/>
    <w:rsid w:val="00B83AE4"/>
    <w:rsid w:val="00B83F21"/>
    <w:rsid w:val="00B8428D"/>
    <w:rsid w:val="00B8488A"/>
    <w:rsid w:val="00B85A1C"/>
    <w:rsid w:val="00B85A8B"/>
    <w:rsid w:val="00B85CDA"/>
    <w:rsid w:val="00B863ED"/>
    <w:rsid w:val="00B86DA1"/>
    <w:rsid w:val="00B86DCC"/>
    <w:rsid w:val="00B872AB"/>
    <w:rsid w:val="00B87675"/>
    <w:rsid w:val="00B90D0D"/>
    <w:rsid w:val="00B913AB"/>
    <w:rsid w:val="00B915D1"/>
    <w:rsid w:val="00B9170C"/>
    <w:rsid w:val="00B91743"/>
    <w:rsid w:val="00B92AD8"/>
    <w:rsid w:val="00B9396F"/>
    <w:rsid w:val="00B94FB2"/>
    <w:rsid w:val="00B96569"/>
    <w:rsid w:val="00B97D09"/>
    <w:rsid w:val="00BA01D5"/>
    <w:rsid w:val="00BA03D5"/>
    <w:rsid w:val="00BA05D9"/>
    <w:rsid w:val="00BA06D5"/>
    <w:rsid w:val="00BA1364"/>
    <w:rsid w:val="00BA1757"/>
    <w:rsid w:val="00BA1B75"/>
    <w:rsid w:val="00BA286B"/>
    <w:rsid w:val="00BA35E6"/>
    <w:rsid w:val="00BA4C38"/>
    <w:rsid w:val="00BA5FD2"/>
    <w:rsid w:val="00BA6A5F"/>
    <w:rsid w:val="00BA72C6"/>
    <w:rsid w:val="00BA7566"/>
    <w:rsid w:val="00BA7862"/>
    <w:rsid w:val="00BA7E50"/>
    <w:rsid w:val="00BB1CF0"/>
    <w:rsid w:val="00BB1EBA"/>
    <w:rsid w:val="00BB2952"/>
    <w:rsid w:val="00BB34BF"/>
    <w:rsid w:val="00BB3B8F"/>
    <w:rsid w:val="00BB3E94"/>
    <w:rsid w:val="00BB513B"/>
    <w:rsid w:val="00BB51B4"/>
    <w:rsid w:val="00BB5EEA"/>
    <w:rsid w:val="00BB633B"/>
    <w:rsid w:val="00BB73BB"/>
    <w:rsid w:val="00BB7B1A"/>
    <w:rsid w:val="00BB7B4A"/>
    <w:rsid w:val="00BB7EDD"/>
    <w:rsid w:val="00BC0553"/>
    <w:rsid w:val="00BC0990"/>
    <w:rsid w:val="00BC16FB"/>
    <w:rsid w:val="00BC1942"/>
    <w:rsid w:val="00BC36B3"/>
    <w:rsid w:val="00BC6580"/>
    <w:rsid w:val="00BC6726"/>
    <w:rsid w:val="00BC7342"/>
    <w:rsid w:val="00BC7494"/>
    <w:rsid w:val="00BC7E70"/>
    <w:rsid w:val="00BD0490"/>
    <w:rsid w:val="00BD0502"/>
    <w:rsid w:val="00BD1540"/>
    <w:rsid w:val="00BD199E"/>
    <w:rsid w:val="00BD1DA3"/>
    <w:rsid w:val="00BD24D7"/>
    <w:rsid w:val="00BD2530"/>
    <w:rsid w:val="00BD3FBF"/>
    <w:rsid w:val="00BD4299"/>
    <w:rsid w:val="00BD4477"/>
    <w:rsid w:val="00BD4860"/>
    <w:rsid w:val="00BD550B"/>
    <w:rsid w:val="00BD5B0D"/>
    <w:rsid w:val="00BD6F88"/>
    <w:rsid w:val="00BE0952"/>
    <w:rsid w:val="00BE0C52"/>
    <w:rsid w:val="00BE0C96"/>
    <w:rsid w:val="00BE1379"/>
    <w:rsid w:val="00BE1640"/>
    <w:rsid w:val="00BE2006"/>
    <w:rsid w:val="00BE22CC"/>
    <w:rsid w:val="00BE256E"/>
    <w:rsid w:val="00BE2C76"/>
    <w:rsid w:val="00BE3634"/>
    <w:rsid w:val="00BE3CAC"/>
    <w:rsid w:val="00BE5D2E"/>
    <w:rsid w:val="00BE5E7E"/>
    <w:rsid w:val="00BE721B"/>
    <w:rsid w:val="00BE7D65"/>
    <w:rsid w:val="00BF05EE"/>
    <w:rsid w:val="00BF1102"/>
    <w:rsid w:val="00BF20F5"/>
    <w:rsid w:val="00BF376A"/>
    <w:rsid w:val="00BF4DD8"/>
    <w:rsid w:val="00BF5084"/>
    <w:rsid w:val="00BF6D2C"/>
    <w:rsid w:val="00BF718B"/>
    <w:rsid w:val="00BF759E"/>
    <w:rsid w:val="00BF7F0A"/>
    <w:rsid w:val="00C00910"/>
    <w:rsid w:val="00C01F1F"/>
    <w:rsid w:val="00C0279F"/>
    <w:rsid w:val="00C02D58"/>
    <w:rsid w:val="00C033C9"/>
    <w:rsid w:val="00C036C2"/>
    <w:rsid w:val="00C0385F"/>
    <w:rsid w:val="00C040E3"/>
    <w:rsid w:val="00C04783"/>
    <w:rsid w:val="00C0488A"/>
    <w:rsid w:val="00C0498F"/>
    <w:rsid w:val="00C04E02"/>
    <w:rsid w:val="00C06187"/>
    <w:rsid w:val="00C064EC"/>
    <w:rsid w:val="00C070C2"/>
    <w:rsid w:val="00C0793C"/>
    <w:rsid w:val="00C07FA8"/>
    <w:rsid w:val="00C10AB7"/>
    <w:rsid w:val="00C10AC4"/>
    <w:rsid w:val="00C11024"/>
    <w:rsid w:val="00C118A3"/>
    <w:rsid w:val="00C12063"/>
    <w:rsid w:val="00C1388E"/>
    <w:rsid w:val="00C14CD1"/>
    <w:rsid w:val="00C1504C"/>
    <w:rsid w:val="00C15139"/>
    <w:rsid w:val="00C15E41"/>
    <w:rsid w:val="00C16F35"/>
    <w:rsid w:val="00C20435"/>
    <w:rsid w:val="00C20A1F"/>
    <w:rsid w:val="00C217FB"/>
    <w:rsid w:val="00C224C9"/>
    <w:rsid w:val="00C22E28"/>
    <w:rsid w:val="00C2349C"/>
    <w:rsid w:val="00C24812"/>
    <w:rsid w:val="00C24986"/>
    <w:rsid w:val="00C24C75"/>
    <w:rsid w:val="00C24D49"/>
    <w:rsid w:val="00C256C4"/>
    <w:rsid w:val="00C2639F"/>
    <w:rsid w:val="00C31A59"/>
    <w:rsid w:val="00C3302C"/>
    <w:rsid w:val="00C33258"/>
    <w:rsid w:val="00C34336"/>
    <w:rsid w:val="00C34B03"/>
    <w:rsid w:val="00C34BDA"/>
    <w:rsid w:val="00C34CF1"/>
    <w:rsid w:val="00C35348"/>
    <w:rsid w:val="00C360BB"/>
    <w:rsid w:val="00C36A73"/>
    <w:rsid w:val="00C371A4"/>
    <w:rsid w:val="00C40437"/>
    <w:rsid w:val="00C40C36"/>
    <w:rsid w:val="00C41C88"/>
    <w:rsid w:val="00C43248"/>
    <w:rsid w:val="00C434DF"/>
    <w:rsid w:val="00C43723"/>
    <w:rsid w:val="00C438AC"/>
    <w:rsid w:val="00C43C8D"/>
    <w:rsid w:val="00C43E01"/>
    <w:rsid w:val="00C45148"/>
    <w:rsid w:val="00C45392"/>
    <w:rsid w:val="00C4585C"/>
    <w:rsid w:val="00C466B3"/>
    <w:rsid w:val="00C46782"/>
    <w:rsid w:val="00C475F0"/>
    <w:rsid w:val="00C500C9"/>
    <w:rsid w:val="00C5125E"/>
    <w:rsid w:val="00C52C73"/>
    <w:rsid w:val="00C52CD3"/>
    <w:rsid w:val="00C52D12"/>
    <w:rsid w:val="00C52ED2"/>
    <w:rsid w:val="00C53B8B"/>
    <w:rsid w:val="00C547FF"/>
    <w:rsid w:val="00C55451"/>
    <w:rsid w:val="00C55630"/>
    <w:rsid w:val="00C55E26"/>
    <w:rsid w:val="00C56538"/>
    <w:rsid w:val="00C56C55"/>
    <w:rsid w:val="00C577CE"/>
    <w:rsid w:val="00C579A1"/>
    <w:rsid w:val="00C6123F"/>
    <w:rsid w:val="00C616E4"/>
    <w:rsid w:val="00C61D59"/>
    <w:rsid w:val="00C629AD"/>
    <w:rsid w:val="00C62EC1"/>
    <w:rsid w:val="00C634F8"/>
    <w:rsid w:val="00C6394B"/>
    <w:rsid w:val="00C6434E"/>
    <w:rsid w:val="00C644D4"/>
    <w:rsid w:val="00C6492C"/>
    <w:rsid w:val="00C64BB4"/>
    <w:rsid w:val="00C65ECF"/>
    <w:rsid w:val="00C71B87"/>
    <w:rsid w:val="00C72125"/>
    <w:rsid w:val="00C72BC9"/>
    <w:rsid w:val="00C733F0"/>
    <w:rsid w:val="00C7382D"/>
    <w:rsid w:val="00C739F7"/>
    <w:rsid w:val="00C73BAB"/>
    <w:rsid w:val="00C743EF"/>
    <w:rsid w:val="00C744E2"/>
    <w:rsid w:val="00C75580"/>
    <w:rsid w:val="00C7592E"/>
    <w:rsid w:val="00C75F36"/>
    <w:rsid w:val="00C76746"/>
    <w:rsid w:val="00C76F0F"/>
    <w:rsid w:val="00C77304"/>
    <w:rsid w:val="00C80681"/>
    <w:rsid w:val="00C81253"/>
    <w:rsid w:val="00C83372"/>
    <w:rsid w:val="00C83591"/>
    <w:rsid w:val="00C83705"/>
    <w:rsid w:val="00C842D0"/>
    <w:rsid w:val="00C8525B"/>
    <w:rsid w:val="00C858D4"/>
    <w:rsid w:val="00C85946"/>
    <w:rsid w:val="00C85C65"/>
    <w:rsid w:val="00C872EC"/>
    <w:rsid w:val="00C90A04"/>
    <w:rsid w:val="00C90CF1"/>
    <w:rsid w:val="00C913D5"/>
    <w:rsid w:val="00C92314"/>
    <w:rsid w:val="00C923C4"/>
    <w:rsid w:val="00C92B07"/>
    <w:rsid w:val="00C92B3B"/>
    <w:rsid w:val="00C93DFC"/>
    <w:rsid w:val="00C93E42"/>
    <w:rsid w:val="00C93F3C"/>
    <w:rsid w:val="00C95B16"/>
    <w:rsid w:val="00C9678E"/>
    <w:rsid w:val="00C97D45"/>
    <w:rsid w:val="00CA1E5D"/>
    <w:rsid w:val="00CA38B0"/>
    <w:rsid w:val="00CA39DE"/>
    <w:rsid w:val="00CA3B11"/>
    <w:rsid w:val="00CA3D98"/>
    <w:rsid w:val="00CA40F7"/>
    <w:rsid w:val="00CA6673"/>
    <w:rsid w:val="00CA6CFE"/>
    <w:rsid w:val="00CA771C"/>
    <w:rsid w:val="00CA7CC4"/>
    <w:rsid w:val="00CA7D6F"/>
    <w:rsid w:val="00CB0781"/>
    <w:rsid w:val="00CB0793"/>
    <w:rsid w:val="00CB0FE7"/>
    <w:rsid w:val="00CB2D1B"/>
    <w:rsid w:val="00CB2D37"/>
    <w:rsid w:val="00CB3DB0"/>
    <w:rsid w:val="00CB461F"/>
    <w:rsid w:val="00CB53C2"/>
    <w:rsid w:val="00CB5999"/>
    <w:rsid w:val="00CB5C56"/>
    <w:rsid w:val="00CB6BA3"/>
    <w:rsid w:val="00CB6F51"/>
    <w:rsid w:val="00CB72D4"/>
    <w:rsid w:val="00CC0D78"/>
    <w:rsid w:val="00CC1287"/>
    <w:rsid w:val="00CC12BA"/>
    <w:rsid w:val="00CC1779"/>
    <w:rsid w:val="00CC1CEA"/>
    <w:rsid w:val="00CC2390"/>
    <w:rsid w:val="00CC29A5"/>
    <w:rsid w:val="00CC4556"/>
    <w:rsid w:val="00CC4C08"/>
    <w:rsid w:val="00CC537D"/>
    <w:rsid w:val="00CC5CFB"/>
    <w:rsid w:val="00CC6B6A"/>
    <w:rsid w:val="00CC6D22"/>
    <w:rsid w:val="00CC75F5"/>
    <w:rsid w:val="00CD04E6"/>
    <w:rsid w:val="00CD17D2"/>
    <w:rsid w:val="00CD1E6E"/>
    <w:rsid w:val="00CD2A7F"/>
    <w:rsid w:val="00CD31C6"/>
    <w:rsid w:val="00CD349A"/>
    <w:rsid w:val="00CD388C"/>
    <w:rsid w:val="00CD3E64"/>
    <w:rsid w:val="00CD4BC6"/>
    <w:rsid w:val="00CD523C"/>
    <w:rsid w:val="00CD5DF0"/>
    <w:rsid w:val="00CD6107"/>
    <w:rsid w:val="00CD747C"/>
    <w:rsid w:val="00CD74F6"/>
    <w:rsid w:val="00CE0F93"/>
    <w:rsid w:val="00CE10C5"/>
    <w:rsid w:val="00CE1653"/>
    <w:rsid w:val="00CE1B80"/>
    <w:rsid w:val="00CE1E85"/>
    <w:rsid w:val="00CE2095"/>
    <w:rsid w:val="00CE5922"/>
    <w:rsid w:val="00CE5FB1"/>
    <w:rsid w:val="00CF0399"/>
    <w:rsid w:val="00CF03DB"/>
    <w:rsid w:val="00CF1763"/>
    <w:rsid w:val="00CF2ED9"/>
    <w:rsid w:val="00CF317E"/>
    <w:rsid w:val="00CF50C0"/>
    <w:rsid w:val="00CF5797"/>
    <w:rsid w:val="00CF5AE4"/>
    <w:rsid w:val="00CF6211"/>
    <w:rsid w:val="00CF68F7"/>
    <w:rsid w:val="00CF7768"/>
    <w:rsid w:val="00CF7841"/>
    <w:rsid w:val="00D0096D"/>
    <w:rsid w:val="00D01BE7"/>
    <w:rsid w:val="00D023FC"/>
    <w:rsid w:val="00D0247D"/>
    <w:rsid w:val="00D02B86"/>
    <w:rsid w:val="00D02FD2"/>
    <w:rsid w:val="00D041D6"/>
    <w:rsid w:val="00D0440A"/>
    <w:rsid w:val="00D05438"/>
    <w:rsid w:val="00D05494"/>
    <w:rsid w:val="00D057E4"/>
    <w:rsid w:val="00D05CDE"/>
    <w:rsid w:val="00D06E10"/>
    <w:rsid w:val="00D070CB"/>
    <w:rsid w:val="00D07950"/>
    <w:rsid w:val="00D10A56"/>
    <w:rsid w:val="00D10A7C"/>
    <w:rsid w:val="00D11367"/>
    <w:rsid w:val="00D1154B"/>
    <w:rsid w:val="00D12B8A"/>
    <w:rsid w:val="00D12C0C"/>
    <w:rsid w:val="00D14AE7"/>
    <w:rsid w:val="00D14F94"/>
    <w:rsid w:val="00D1565D"/>
    <w:rsid w:val="00D15902"/>
    <w:rsid w:val="00D1607B"/>
    <w:rsid w:val="00D16423"/>
    <w:rsid w:val="00D17AA3"/>
    <w:rsid w:val="00D17FA7"/>
    <w:rsid w:val="00D2259E"/>
    <w:rsid w:val="00D226D6"/>
    <w:rsid w:val="00D22BF7"/>
    <w:rsid w:val="00D238E9"/>
    <w:rsid w:val="00D26028"/>
    <w:rsid w:val="00D273ED"/>
    <w:rsid w:val="00D27514"/>
    <w:rsid w:val="00D27C4E"/>
    <w:rsid w:val="00D30285"/>
    <w:rsid w:val="00D30BBC"/>
    <w:rsid w:val="00D31EBC"/>
    <w:rsid w:val="00D32109"/>
    <w:rsid w:val="00D335D3"/>
    <w:rsid w:val="00D337D5"/>
    <w:rsid w:val="00D33E52"/>
    <w:rsid w:val="00D34073"/>
    <w:rsid w:val="00D340BA"/>
    <w:rsid w:val="00D348D1"/>
    <w:rsid w:val="00D34A8A"/>
    <w:rsid w:val="00D34F77"/>
    <w:rsid w:val="00D35045"/>
    <w:rsid w:val="00D3662C"/>
    <w:rsid w:val="00D374EA"/>
    <w:rsid w:val="00D401B0"/>
    <w:rsid w:val="00D40212"/>
    <w:rsid w:val="00D40BA7"/>
    <w:rsid w:val="00D416C5"/>
    <w:rsid w:val="00D41B03"/>
    <w:rsid w:val="00D42F82"/>
    <w:rsid w:val="00D45649"/>
    <w:rsid w:val="00D45764"/>
    <w:rsid w:val="00D45EC4"/>
    <w:rsid w:val="00D46D0C"/>
    <w:rsid w:val="00D50DA3"/>
    <w:rsid w:val="00D5131E"/>
    <w:rsid w:val="00D51DF0"/>
    <w:rsid w:val="00D52374"/>
    <w:rsid w:val="00D52CD6"/>
    <w:rsid w:val="00D52CDE"/>
    <w:rsid w:val="00D53068"/>
    <w:rsid w:val="00D53076"/>
    <w:rsid w:val="00D537DF"/>
    <w:rsid w:val="00D53A9D"/>
    <w:rsid w:val="00D53B78"/>
    <w:rsid w:val="00D541A3"/>
    <w:rsid w:val="00D547A3"/>
    <w:rsid w:val="00D55345"/>
    <w:rsid w:val="00D5562F"/>
    <w:rsid w:val="00D55828"/>
    <w:rsid w:val="00D55A8D"/>
    <w:rsid w:val="00D57363"/>
    <w:rsid w:val="00D5778D"/>
    <w:rsid w:val="00D57F04"/>
    <w:rsid w:val="00D60C04"/>
    <w:rsid w:val="00D60CB1"/>
    <w:rsid w:val="00D61E8D"/>
    <w:rsid w:val="00D621E1"/>
    <w:rsid w:val="00D6234C"/>
    <w:rsid w:val="00D62688"/>
    <w:rsid w:val="00D62BB4"/>
    <w:rsid w:val="00D63F9A"/>
    <w:rsid w:val="00D64FBC"/>
    <w:rsid w:val="00D65625"/>
    <w:rsid w:val="00D65FFB"/>
    <w:rsid w:val="00D66572"/>
    <w:rsid w:val="00D6683E"/>
    <w:rsid w:val="00D676F8"/>
    <w:rsid w:val="00D67B60"/>
    <w:rsid w:val="00D70111"/>
    <w:rsid w:val="00D703FE"/>
    <w:rsid w:val="00D71160"/>
    <w:rsid w:val="00D72096"/>
    <w:rsid w:val="00D72587"/>
    <w:rsid w:val="00D7286E"/>
    <w:rsid w:val="00D72B5A"/>
    <w:rsid w:val="00D72F20"/>
    <w:rsid w:val="00D73095"/>
    <w:rsid w:val="00D73551"/>
    <w:rsid w:val="00D73593"/>
    <w:rsid w:val="00D73BA1"/>
    <w:rsid w:val="00D7510F"/>
    <w:rsid w:val="00D75215"/>
    <w:rsid w:val="00D7660C"/>
    <w:rsid w:val="00D768E5"/>
    <w:rsid w:val="00D77B3F"/>
    <w:rsid w:val="00D77B7E"/>
    <w:rsid w:val="00D77E6D"/>
    <w:rsid w:val="00D800DA"/>
    <w:rsid w:val="00D80928"/>
    <w:rsid w:val="00D80959"/>
    <w:rsid w:val="00D80DBD"/>
    <w:rsid w:val="00D81A6A"/>
    <w:rsid w:val="00D825FD"/>
    <w:rsid w:val="00D82823"/>
    <w:rsid w:val="00D8285B"/>
    <w:rsid w:val="00D83115"/>
    <w:rsid w:val="00D83605"/>
    <w:rsid w:val="00D83BC7"/>
    <w:rsid w:val="00D83D4A"/>
    <w:rsid w:val="00D83E25"/>
    <w:rsid w:val="00D85089"/>
    <w:rsid w:val="00D862FA"/>
    <w:rsid w:val="00D874F7"/>
    <w:rsid w:val="00D879B3"/>
    <w:rsid w:val="00D91523"/>
    <w:rsid w:val="00D91BB6"/>
    <w:rsid w:val="00D91FAC"/>
    <w:rsid w:val="00D92B2C"/>
    <w:rsid w:val="00D94DD0"/>
    <w:rsid w:val="00D95990"/>
    <w:rsid w:val="00D96944"/>
    <w:rsid w:val="00D96D4D"/>
    <w:rsid w:val="00D97353"/>
    <w:rsid w:val="00D975D4"/>
    <w:rsid w:val="00DA29D1"/>
    <w:rsid w:val="00DA3CFC"/>
    <w:rsid w:val="00DA401B"/>
    <w:rsid w:val="00DA417D"/>
    <w:rsid w:val="00DA5039"/>
    <w:rsid w:val="00DA5416"/>
    <w:rsid w:val="00DA59FB"/>
    <w:rsid w:val="00DA7E6E"/>
    <w:rsid w:val="00DB0C0E"/>
    <w:rsid w:val="00DB11A2"/>
    <w:rsid w:val="00DB2566"/>
    <w:rsid w:val="00DB2CBF"/>
    <w:rsid w:val="00DB3AE3"/>
    <w:rsid w:val="00DB49F7"/>
    <w:rsid w:val="00DB50B5"/>
    <w:rsid w:val="00DB58AB"/>
    <w:rsid w:val="00DB5939"/>
    <w:rsid w:val="00DB5C92"/>
    <w:rsid w:val="00DB64DA"/>
    <w:rsid w:val="00DB6CF0"/>
    <w:rsid w:val="00DB7129"/>
    <w:rsid w:val="00DB7605"/>
    <w:rsid w:val="00DB790B"/>
    <w:rsid w:val="00DB7C24"/>
    <w:rsid w:val="00DB7E9D"/>
    <w:rsid w:val="00DC05CE"/>
    <w:rsid w:val="00DC149B"/>
    <w:rsid w:val="00DC1C2B"/>
    <w:rsid w:val="00DC1C44"/>
    <w:rsid w:val="00DC24C2"/>
    <w:rsid w:val="00DC25BB"/>
    <w:rsid w:val="00DC2FC3"/>
    <w:rsid w:val="00DC4C13"/>
    <w:rsid w:val="00DC53BE"/>
    <w:rsid w:val="00DC5BC6"/>
    <w:rsid w:val="00DC5CDD"/>
    <w:rsid w:val="00DC5F7B"/>
    <w:rsid w:val="00DC6B2C"/>
    <w:rsid w:val="00DC7068"/>
    <w:rsid w:val="00DC735B"/>
    <w:rsid w:val="00DC74EB"/>
    <w:rsid w:val="00DC78D4"/>
    <w:rsid w:val="00DC78F7"/>
    <w:rsid w:val="00DC7AD6"/>
    <w:rsid w:val="00DC7B84"/>
    <w:rsid w:val="00DC7FF2"/>
    <w:rsid w:val="00DD0312"/>
    <w:rsid w:val="00DD0856"/>
    <w:rsid w:val="00DD1563"/>
    <w:rsid w:val="00DD1D54"/>
    <w:rsid w:val="00DD22AB"/>
    <w:rsid w:val="00DD334F"/>
    <w:rsid w:val="00DD3558"/>
    <w:rsid w:val="00DD3B14"/>
    <w:rsid w:val="00DD4596"/>
    <w:rsid w:val="00DD4B40"/>
    <w:rsid w:val="00DD4BB1"/>
    <w:rsid w:val="00DD4F4B"/>
    <w:rsid w:val="00DD5045"/>
    <w:rsid w:val="00DD569F"/>
    <w:rsid w:val="00DD6B3F"/>
    <w:rsid w:val="00DD6CAB"/>
    <w:rsid w:val="00DD6E51"/>
    <w:rsid w:val="00DD74F9"/>
    <w:rsid w:val="00DE02C4"/>
    <w:rsid w:val="00DE0EAD"/>
    <w:rsid w:val="00DE273A"/>
    <w:rsid w:val="00DE29BB"/>
    <w:rsid w:val="00DE4165"/>
    <w:rsid w:val="00DE46CB"/>
    <w:rsid w:val="00DE4BE1"/>
    <w:rsid w:val="00DE4C06"/>
    <w:rsid w:val="00DE4F69"/>
    <w:rsid w:val="00DE5E3E"/>
    <w:rsid w:val="00DE666E"/>
    <w:rsid w:val="00DE6A07"/>
    <w:rsid w:val="00DE6F6F"/>
    <w:rsid w:val="00DE72E6"/>
    <w:rsid w:val="00DE7702"/>
    <w:rsid w:val="00DE7B51"/>
    <w:rsid w:val="00DF04BB"/>
    <w:rsid w:val="00DF0CEC"/>
    <w:rsid w:val="00DF1214"/>
    <w:rsid w:val="00DF1ACD"/>
    <w:rsid w:val="00DF247F"/>
    <w:rsid w:val="00DF31E2"/>
    <w:rsid w:val="00DF38BF"/>
    <w:rsid w:val="00DF4660"/>
    <w:rsid w:val="00DF516E"/>
    <w:rsid w:val="00DF5918"/>
    <w:rsid w:val="00DF5CFD"/>
    <w:rsid w:val="00DF634D"/>
    <w:rsid w:val="00DF79D3"/>
    <w:rsid w:val="00DF7D0D"/>
    <w:rsid w:val="00E00A43"/>
    <w:rsid w:val="00E0194C"/>
    <w:rsid w:val="00E0282B"/>
    <w:rsid w:val="00E02944"/>
    <w:rsid w:val="00E03A41"/>
    <w:rsid w:val="00E04206"/>
    <w:rsid w:val="00E054CF"/>
    <w:rsid w:val="00E055C4"/>
    <w:rsid w:val="00E05EC6"/>
    <w:rsid w:val="00E07755"/>
    <w:rsid w:val="00E07B55"/>
    <w:rsid w:val="00E10AD4"/>
    <w:rsid w:val="00E10B43"/>
    <w:rsid w:val="00E11845"/>
    <w:rsid w:val="00E11AAC"/>
    <w:rsid w:val="00E11EB1"/>
    <w:rsid w:val="00E11F90"/>
    <w:rsid w:val="00E12ACA"/>
    <w:rsid w:val="00E12D94"/>
    <w:rsid w:val="00E13524"/>
    <w:rsid w:val="00E13E58"/>
    <w:rsid w:val="00E14829"/>
    <w:rsid w:val="00E15F2C"/>
    <w:rsid w:val="00E168F7"/>
    <w:rsid w:val="00E16C16"/>
    <w:rsid w:val="00E17737"/>
    <w:rsid w:val="00E2003A"/>
    <w:rsid w:val="00E20FF3"/>
    <w:rsid w:val="00E21021"/>
    <w:rsid w:val="00E2322D"/>
    <w:rsid w:val="00E2415F"/>
    <w:rsid w:val="00E24AFC"/>
    <w:rsid w:val="00E24B9B"/>
    <w:rsid w:val="00E2507B"/>
    <w:rsid w:val="00E255D4"/>
    <w:rsid w:val="00E2563E"/>
    <w:rsid w:val="00E25FEB"/>
    <w:rsid w:val="00E2627C"/>
    <w:rsid w:val="00E26C4A"/>
    <w:rsid w:val="00E26E86"/>
    <w:rsid w:val="00E270BA"/>
    <w:rsid w:val="00E274F7"/>
    <w:rsid w:val="00E301A5"/>
    <w:rsid w:val="00E31AA7"/>
    <w:rsid w:val="00E3242C"/>
    <w:rsid w:val="00E32BF1"/>
    <w:rsid w:val="00E33597"/>
    <w:rsid w:val="00E33A44"/>
    <w:rsid w:val="00E33E6E"/>
    <w:rsid w:val="00E34608"/>
    <w:rsid w:val="00E34FD8"/>
    <w:rsid w:val="00E35393"/>
    <w:rsid w:val="00E35A85"/>
    <w:rsid w:val="00E35C40"/>
    <w:rsid w:val="00E364C5"/>
    <w:rsid w:val="00E366F5"/>
    <w:rsid w:val="00E36E6D"/>
    <w:rsid w:val="00E37664"/>
    <w:rsid w:val="00E3798B"/>
    <w:rsid w:val="00E4045C"/>
    <w:rsid w:val="00E408FF"/>
    <w:rsid w:val="00E41C30"/>
    <w:rsid w:val="00E41EBF"/>
    <w:rsid w:val="00E42CE5"/>
    <w:rsid w:val="00E4359F"/>
    <w:rsid w:val="00E43D6E"/>
    <w:rsid w:val="00E44804"/>
    <w:rsid w:val="00E45D87"/>
    <w:rsid w:val="00E47935"/>
    <w:rsid w:val="00E506B8"/>
    <w:rsid w:val="00E50D2A"/>
    <w:rsid w:val="00E5176C"/>
    <w:rsid w:val="00E51A8A"/>
    <w:rsid w:val="00E529EB"/>
    <w:rsid w:val="00E52B52"/>
    <w:rsid w:val="00E53B7E"/>
    <w:rsid w:val="00E54763"/>
    <w:rsid w:val="00E549A7"/>
    <w:rsid w:val="00E54BC6"/>
    <w:rsid w:val="00E54D1B"/>
    <w:rsid w:val="00E5536A"/>
    <w:rsid w:val="00E55B51"/>
    <w:rsid w:val="00E5625C"/>
    <w:rsid w:val="00E60AE8"/>
    <w:rsid w:val="00E60DA4"/>
    <w:rsid w:val="00E614C5"/>
    <w:rsid w:val="00E658D2"/>
    <w:rsid w:val="00E66B32"/>
    <w:rsid w:val="00E66CB1"/>
    <w:rsid w:val="00E679FA"/>
    <w:rsid w:val="00E706A4"/>
    <w:rsid w:val="00E70DF4"/>
    <w:rsid w:val="00E70EC4"/>
    <w:rsid w:val="00E71E5C"/>
    <w:rsid w:val="00E71E78"/>
    <w:rsid w:val="00E73106"/>
    <w:rsid w:val="00E74230"/>
    <w:rsid w:val="00E742CD"/>
    <w:rsid w:val="00E7445B"/>
    <w:rsid w:val="00E74C36"/>
    <w:rsid w:val="00E75F90"/>
    <w:rsid w:val="00E76DFE"/>
    <w:rsid w:val="00E76FAD"/>
    <w:rsid w:val="00E80E95"/>
    <w:rsid w:val="00E80F1B"/>
    <w:rsid w:val="00E8156E"/>
    <w:rsid w:val="00E816A3"/>
    <w:rsid w:val="00E817DC"/>
    <w:rsid w:val="00E8371F"/>
    <w:rsid w:val="00E84078"/>
    <w:rsid w:val="00E843C0"/>
    <w:rsid w:val="00E84AF0"/>
    <w:rsid w:val="00E8601D"/>
    <w:rsid w:val="00E860B2"/>
    <w:rsid w:val="00E86349"/>
    <w:rsid w:val="00E86A3B"/>
    <w:rsid w:val="00E901DF"/>
    <w:rsid w:val="00E90865"/>
    <w:rsid w:val="00E90AC7"/>
    <w:rsid w:val="00E90C0F"/>
    <w:rsid w:val="00E91D1F"/>
    <w:rsid w:val="00E92F8D"/>
    <w:rsid w:val="00E92FEF"/>
    <w:rsid w:val="00E933B8"/>
    <w:rsid w:val="00E93727"/>
    <w:rsid w:val="00E93BCE"/>
    <w:rsid w:val="00E93D65"/>
    <w:rsid w:val="00E94B56"/>
    <w:rsid w:val="00E94F47"/>
    <w:rsid w:val="00E94F48"/>
    <w:rsid w:val="00E9576A"/>
    <w:rsid w:val="00E95CA0"/>
    <w:rsid w:val="00E95EF9"/>
    <w:rsid w:val="00E96042"/>
    <w:rsid w:val="00E96AD5"/>
    <w:rsid w:val="00E97708"/>
    <w:rsid w:val="00E9770D"/>
    <w:rsid w:val="00E97E6C"/>
    <w:rsid w:val="00EA0A27"/>
    <w:rsid w:val="00EA0FE2"/>
    <w:rsid w:val="00EA12D6"/>
    <w:rsid w:val="00EA1FD4"/>
    <w:rsid w:val="00EA3E87"/>
    <w:rsid w:val="00EA4AC4"/>
    <w:rsid w:val="00EA50E3"/>
    <w:rsid w:val="00EA546C"/>
    <w:rsid w:val="00EA5898"/>
    <w:rsid w:val="00EA5EB8"/>
    <w:rsid w:val="00EA6703"/>
    <w:rsid w:val="00EA788A"/>
    <w:rsid w:val="00EA7A3B"/>
    <w:rsid w:val="00EA7BAA"/>
    <w:rsid w:val="00EB0950"/>
    <w:rsid w:val="00EB0D56"/>
    <w:rsid w:val="00EB1B53"/>
    <w:rsid w:val="00EB1FE3"/>
    <w:rsid w:val="00EB27D9"/>
    <w:rsid w:val="00EB2FE3"/>
    <w:rsid w:val="00EB36C0"/>
    <w:rsid w:val="00EB3B52"/>
    <w:rsid w:val="00EB3C92"/>
    <w:rsid w:val="00EB4B3D"/>
    <w:rsid w:val="00EB526B"/>
    <w:rsid w:val="00EB5482"/>
    <w:rsid w:val="00EB5886"/>
    <w:rsid w:val="00EB7831"/>
    <w:rsid w:val="00EC0510"/>
    <w:rsid w:val="00EC0D0F"/>
    <w:rsid w:val="00EC2EB3"/>
    <w:rsid w:val="00EC333F"/>
    <w:rsid w:val="00EC3CDA"/>
    <w:rsid w:val="00EC3CEC"/>
    <w:rsid w:val="00EC480E"/>
    <w:rsid w:val="00EC513E"/>
    <w:rsid w:val="00EC5603"/>
    <w:rsid w:val="00EC5FD3"/>
    <w:rsid w:val="00EC6FCA"/>
    <w:rsid w:val="00ED0B04"/>
    <w:rsid w:val="00ED0EAB"/>
    <w:rsid w:val="00ED0FAA"/>
    <w:rsid w:val="00ED11DF"/>
    <w:rsid w:val="00ED162A"/>
    <w:rsid w:val="00ED3AFB"/>
    <w:rsid w:val="00ED3C98"/>
    <w:rsid w:val="00ED3D56"/>
    <w:rsid w:val="00ED424A"/>
    <w:rsid w:val="00ED489D"/>
    <w:rsid w:val="00ED5108"/>
    <w:rsid w:val="00ED6467"/>
    <w:rsid w:val="00ED6925"/>
    <w:rsid w:val="00ED711E"/>
    <w:rsid w:val="00ED7351"/>
    <w:rsid w:val="00ED7397"/>
    <w:rsid w:val="00ED76E4"/>
    <w:rsid w:val="00ED7ECD"/>
    <w:rsid w:val="00EE06E7"/>
    <w:rsid w:val="00EE0992"/>
    <w:rsid w:val="00EE0B10"/>
    <w:rsid w:val="00EE17D6"/>
    <w:rsid w:val="00EE1995"/>
    <w:rsid w:val="00EE1F0C"/>
    <w:rsid w:val="00EE24B5"/>
    <w:rsid w:val="00EE285D"/>
    <w:rsid w:val="00EE49A2"/>
    <w:rsid w:val="00EE4B34"/>
    <w:rsid w:val="00EE5422"/>
    <w:rsid w:val="00EE5461"/>
    <w:rsid w:val="00EE5787"/>
    <w:rsid w:val="00EE72D7"/>
    <w:rsid w:val="00EF0C6E"/>
    <w:rsid w:val="00EF1169"/>
    <w:rsid w:val="00EF15EA"/>
    <w:rsid w:val="00EF19D4"/>
    <w:rsid w:val="00EF2058"/>
    <w:rsid w:val="00EF380D"/>
    <w:rsid w:val="00EF394C"/>
    <w:rsid w:val="00EF39E1"/>
    <w:rsid w:val="00EF5478"/>
    <w:rsid w:val="00EF5547"/>
    <w:rsid w:val="00EF569A"/>
    <w:rsid w:val="00EF612F"/>
    <w:rsid w:val="00EF6173"/>
    <w:rsid w:val="00EF647A"/>
    <w:rsid w:val="00EF7032"/>
    <w:rsid w:val="00EF7FE5"/>
    <w:rsid w:val="00F00557"/>
    <w:rsid w:val="00F00C95"/>
    <w:rsid w:val="00F00FFD"/>
    <w:rsid w:val="00F01498"/>
    <w:rsid w:val="00F0176F"/>
    <w:rsid w:val="00F01999"/>
    <w:rsid w:val="00F01A4E"/>
    <w:rsid w:val="00F03D1A"/>
    <w:rsid w:val="00F03DC5"/>
    <w:rsid w:val="00F04BD1"/>
    <w:rsid w:val="00F068DF"/>
    <w:rsid w:val="00F06B58"/>
    <w:rsid w:val="00F07189"/>
    <w:rsid w:val="00F07460"/>
    <w:rsid w:val="00F10750"/>
    <w:rsid w:val="00F1168D"/>
    <w:rsid w:val="00F1175C"/>
    <w:rsid w:val="00F11947"/>
    <w:rsid w:val="00F11EFC"/>
    <w:rsid w:val="00F11F4A"/>
    <w:rsid w:val="00F12309"/>
    <w:rsid w:val="00F13E37"/>
    <w:rsid w:val="00F142CF"/>
    <w:rsid w:val="00F15A77"/>
    <w:rsid w:val="00F160EA"/>
    <w:rsid w:val="00F1685E"/>
    <w:rsid w:val="00F168C7"/>
    <w:rsid w:val="00F17F49"/>
    <w:rsid w:val="00F20636"/>
    <w:rsid w:val="00F20BB9"/>
    <w:rsid w:val="00F2162F"/>
    <w:rsid w:val="00F21D7F"/>
    <w:rsid w:val="00F220E6"/>
    <w:rsid w:val="00F22BE7"/>
    <w:rsid w:val="00F22D8D"/>
    <w:rsid w:val="00F231CF"/>
    <w:rsid w:val="00F238DC"/>
    <w:rsid w:val="00F2432B"/>
    <w:rsid w:val="00F250A7"/>
    <w:rsid w:val="00F25609"/>
    <w:rsid w:val="00F25FFB"/>
    <w:rsid w:val="00F26067"/>
    <w:rsid w:val="00F27162"/>
    <w:rsid w:val="00F3079F"/>
    <w:rsid w:val="00F313E4"/>
    <w:rsid w:val="00F318D3"/>
    <w:rsid w:val="00F31A90"/>
    <w:rsid w:val="00F324BC"/>
    <w:rsid w:val="00F32B3F"/>
    <w:rsid w:val="00F33A5C"/>
    <w:rsid w:val="00F33C3C"/>
    <w:rsid w:val="00F363B9"/>
    <w:rsid w:val="00F367F9"/>
    <w:rsid w:val="00F41394"/>
    <w:rsid w:val="00F413B2"/>
    <w:rsid w:val="00F416EA"/>
    <w:rsid w:val="00F418C3"/>
    <w:rsid w:val="00F41F29"/>
    <w:rsid w:val="00F42F3B"/>
    <w:rsid w:val="00F42F55"/>
    <w:rsid w:val="00F431B0"/>
    <w:rsid w:val="00F43369"/>
    <w:rsid w:val="00F43436"/>
    <w:rsid w:val="00F44207"/>
    <w:rsid w:val="00F44C69"/>
    <w:rsid w:val="00F44F30"/>
    <w:rsid w:val="00F44F7D"/>
    <w:rsid w:val="00F456BA"/>
    <w:rsid w:val="00F4623B"/>
    <w:rsid w:val="00F46690"/>
    <w:rsid w:val="00F46884"/>
    <w:rsid w:val="00F46965"/>
    <w:rsid w:val="00F47552"/>
    <w:rsid w:val="00F47EB6"/>
    <w:rsid w:val="00F502B8"/>
    <w:rsid w:val="00F513A3"/>
    <w:rsid w:val="00F51452"/>
    <w:rsid w:val="00F5155F"/>
    <w:rsid w:val="00F52711"/>
    <w:rsid w:val="00F531EC"/>
    <w:rsid w:val="00F53960"/>
    <w:rsid w:val="00F54541"/>
    <w:rsid w:val="00F56275"/>
    <w:rsid w:val="00F563BB"/>
    <w:rsid w:val="00F566B2"/>
    <w:rsid w:val="00F60E37"/>
    <w:rsid w:val="00F6167B"/>
    <w:rsid w:val="00F6395A"/>
    <w:rsid w:val="00F6415E"/>
    <w:rsid w:val="00F670ED"/>
    <w:rsid w:val="00F676C6"/>
    <w:rsid w:val="00F676F5"/>
    <w:rsid w:val="00F67768"/>
    <w:rsid w:val="00F6781A"/>
    <w:rsid w:val="00F6784E"/>
    <w:rsid w:val="00F67DFC"/>
    <w:rsid w:val="00F67F81"/>
    <w:rsid w:val="00F71615"/>
    <w:rsid w:val="00F7196A"/>
    <w:rsid w:val="00F71AFA"/>
    <w:rsid w:val="00F71D86"/>
    <w:rsid w:val="00F73893"/>
    <w:rsid w:val="00F738A3"/>
    <w:rsid w:val="00F749C8"/>
    <w:rsid w:val="00F74BCB"/>
    <w:rsid w:val="00F75459"/>
    <w:rsid w:val="00F75A0C"/>
    <w:rsid w:val="00F75B04"/>
    <w:rsid w:val="00F77D21"/>
    <w:rsid w:val="00F80627"/>
    <w:rsid w:val="00F80B1D"/>
    <w:rsid w:val="00F81587"/>
    <w:rsid w:val="00F81CD0"/>
    <w:rsid w:val="00F8246E"/>
    <w:rsid w:val="00F8295C"/>
    <w:rsid w:val="00F82A62"/>
    <w:rsid w:val="00F82B94"/>
    <w:rsid w:val="00F832F5"/>
    <w:rsid w:val="00F83B44"/>
    <w:rsid w:val="00F83CBC"/>
    <w:rsid w:val="00F8446F"/>
    <w:rsid w:val="00F849AD"/>
    <w:rsid w:val="00F8593C"/>
    <w:rsid w:val="00F85F84"/>
    <w:rsid w:val="00F86DE9"/>
    <w:rsid w:val="00F8769A"/>
    <w:rsid w:val="00F87714"/>
    <w:rsid w:val="00F903E9"/>
    <w:rsid w:val="00F904CC"/>
    <w:rsid w:val="00F911D3"/>
    <w:rsid w:val="00F914FC"/>
    <w:rsid w:val="00F91680"/>
    <w:rsid w:val="00F91748"/>
    <w:rsid w:val="00F91D7D"/>
    <w:rsid w:val="00F91FE6"/>
    <w:rsid w:val="00F931F1"/>
    <w:rsid w:val="00F9328A"/>
    <w:rsid w:val="00F938A1"/>
    <w:rsid w:val="00F939FF"/>
    <w:rsid w:val="00F93F6C"/>
    <w:rsid w:val="00F94614"/>
    <w:rsid w:val="00F94D87"/>
    <w:rsid w:val="00F964D2"/>
    <w:rsid w:val="00F9694F"/>
    <w:rsid w:val="00F9797E"/>
    <w:rsid w:val="00FA17E9"/>
    <w:rsid w:val="00FA2F3D"/>
    <w:rsid w:val="00FA33AA"/>
    <w:rsid w:val="00FA529D"/>
    <w:rsid w:val="00FA610F"/>
    <w:rsid w:val="00FA6AC1"/>
    <w:rsid w:val="00FA702A"/>
    <w:rsid w:val="00FA7037"/>
    <w:rsid w:val="00FA7CBC"/>
    <w:rsid w:val="00FA7CCF"/>
    <w:rsid w:val="00FA7EE6"/>
    <w:rsid w:val="00FB097D"/>
    <w:rsid w:val="00FB1C0E"/>
    <w:rsid w:val="00FB1F8A"/>
    <w:rsid w:val="00FB205C"/>
    <w:rsid w:val="00FB2946"/>
    <w:rsid w:val="00FB2B19"/>
    <w:rsid w:val="00FB2F5A"/>
    <w:rsid w:val="00FB328B"/>
    <w:rsid w:val="00FB330D"/>
    <w:rsid w:val="00FB4439"/>
    <w:rsid w:val="00FB4CB0"/>
    <w:rsid w:val="00FB593D"/>
    <w:rsid w:val="00FB6878"/>
    <w:rsid w:val="00FB6EFB"/>
    <w:rsid w:val="00FC01A6"/>
    <w:rsid w:val="00FC0510"/>
    <w:rsid w:val="00FC0AA0"/>
    <w:rsid w:val="00FC0D49"/>
    <w:rsid w:val="00FC1042"/>
    <w:rsid w:val="00FC25DD"/>
    <w:rsid w:val="00FC2811"/>
    <w:rsid w:val="00FC3667"/>
    <w:rsid w:val="00FC46BF"/>
    <w:rsid w:val="00FC49CB"/>
    <w:rsid w:val="00FC4B04"/>
    <w:rsid w:val="00FC4C65"/>
    <w:rsid w:val="00FC535F"/>
    <w:rsid w:val="00FC5DB8"/>
    <w:rsid w:val="00FC6045"/>
    <w:rsid w:val="00FC62F3"/>
    <w:rsid w:val="00FC6A92"/>
    <w:rsid w:val="00FC6CE1"/>
    <w:rsid w:val="00FC7322"/>
    <w:rsid w:val="00FC751A"/>
    <w:rsid w:val="00FD21F7"/>
    <w:rsid w:val="00FD24DF"/>
    <w:rsid w:val="00FD2E61"/>
    <w:rsid w:val="00FD3169"/>
    <w:rsid w:val="00FD3D59"/>
    <w:rsid w:val="00FD3E12"/>
    <w:rsid w:val="00FD3FC7"/>
    <w:rsid w:val="00FD43DA"/>
    <w:rsid w:val="00FD5CE3"/>
    <w:rsid w:val="00FD6076"/>
    <w:rsid w:val="00FD65BE"/>
    <w:rsid w:val="00FD67BC"/>
    <w:rsid w:val="00FD6B02"/>
    <w:rsid w:val="00FD6D36"/>
    <w:rsid w:val="00FD7912"/>
    <w:rsid w:val="00FE065B"/>
    <w:rsid w:val="00FE0EA0"/>
    <w:rsid w:val="00FE0F81"/>
    <w:rsid w:val="00FE1E83"/>
    <w:rsid w:val="00FE35E6"/>
    <w:rsid w:val="00FE427F"/>
    <w:rsid w:val="00FE4296"/>
    <w:rsid w:val="00FE53A8"/>
    <w:rsid w:val="00FE53D6"/>
    <w:rsid w:val="00FE7154"/>
    <w:rsid w:val="00FE72BE"/>
    <w:rsid w:val="00FE7817"/>
    <w:rsid w:val="00FE7986"/>
    <w:rsid w:val="00FE7D50"/>
    <w:rsid w:val="00FF0CCA"/>
    <w:rsid w:val="00FF1F9E"/>
    <w:rsid w:val="00FF2112"/>
    <w:rsid w:val="00FF2E3B"/>
    <w:rsid w:val="00FF321A"/>
    <w:rsid w:val="00FF3F6C"/>
    <w:rsid w:val="00FF51EF"/>
    <w:rsid w:val="00FF5C85"/>
    <w:rsid w:val="00FF6034"/>
    <w:rsid w:val="00FF6B15"/>
    <w:rsid w:val="00FF6DDA"/>
    <w:rsid w:val="00FF73D9"/>
    <w:rsid w:val="00FF7F4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9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Block Text"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75D"/>
    <w:rPr>
      <w:rFonts w:eastAsia="Times New Roman"/>
      <w:sz w:val="24"/>
      <w:szCs w:val="24"/>
      <w:lang w:eastAsia="en-AU"/>
    </w:rPr>
  </w:style>
  <w:style w:type="paragraph" w:styleId="Heading1">
    <w:name w:val="heading 1"/>
    <w:basedOn w:val="Normal"/>
    <w:next w:val="Normal"/>
    <w:link w:val="Heading1Char"/>
    <w:uiPriority w:val="9"/>
    <w:rsid w:val="00CD34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34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34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34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349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Defn">
    <w:name w:val="t_Defn"/>
    <w:basedOn w:val="Normal"/>
    <w:uiPriority w:val="99"/>
    <w:rsid w:val="00CD349A"/>
    <w:pPr>
      <w:spacing w:before="80" w:after="100" w:line="260" w:lineRule="exact"/>
      <w:ind w:left="964"/>
      <w:jc w:val="both"/>
    </w:pPr>
  </w:style>
  <w:style w:type="paragraph" w:customStyle="1" w:styleId="Tempstyle">
    <w:name w:val="Temp style"/>
    <w:basedOn w:val="Normal"/>
    <w:rsid w:val="00CD349A"/>
  </w:style>
  <w:style w:type="paragraph" w:customStyle="1" w:styleId="h1ChSch">
    <w:name w:val="h1_Ch_Sch"/>
    <w:basedOn w:val="Heading1"/>
    <w:next w:val="Normal"/>
    <w:qFormat/>
    <w:rsid w:val="00CD349A"/>
    <w:pPr>
      <w:pageBreakBefore/>
      <w:spacing w:after="60"/>
      <w:ind w:left="2410" w:hanging="2410"/>
    </w:pPr>
    <w:rPr>
      <w:rFonts w:ascii="Arial" w:eastAsia="Times New Roman" w:hAnsi="Arial" w:cs="Arial"/>
      <w:color w:val="auto"/>
      <w:kern w:val="32"/>
      <w:sz w:val="40"/>
      <w:szCs w:val="32"/>
    </w:rPr>
  </w:style>
  <w:style w:type="character" w:customStyle="1" w:styleId="Heading1Char">
    <w:name w:val="Heading 1 Char"/>
    <w:basedOn w:val="DefaultParagraphFont"/>
    <w:link w:val="Heading1"/>
    <w:uiPriority w:val="9"/>
    <w:rsid w:val="00CD349A"/>
    <w:rPr>
      <w:rFonts w:asciiTheme="majorHAnsi" w:eastAsiaTheme="majorEastAsia" w:hAnsiTheme="majorHAnsi" w:cstheme="majorBidi"/>
      <w:b/>
      <w:bCs/>
      <w:color w:val="365F91" w:themeColor="accent1" w:themeShade="BF"/>
      <w:sz w:val="28"/>
      <w:szCs w:val="28"/>
    </w:rPr>
  </w:style>
  <w:style w:type="paragraph" w:customStyle="1" w:styleId="h3Div">
    <w:name w:val="h3_Div"/>
    <w:basedOn w:val="Heading3"/>
    <w:next w:val="Normal"/>
    <w:qFormat/>
    <w:rsid w:val="00CD349A"/>
    <w:pPr>
      <w:spacing w:before="360" w:after="60"/>
      <w:ind w:left="2410" w:hanging="2410"/>
    </w:pPr>
    <w:rPr>
      <w:rFonts w:ascii="Arial" w:eastAsia="Times New Roman" w:hAnsi="Arial" w:cs="Arial"/>
      <w:color w:val="auto"/>
      <w:sz w:val="28"/>
      <w:szCs w:val="26"/>
    </w:rPr>
  </w:style>
  <w:style w:type="character" w:customStyle="1" w:styleId="Heading3Char">
    <w:name w:val="Heading 3 Char"/>
    <w:basedOn w:val="DefaultParagraphFont"/>
    <w:link w:val="Heading3"/>
    <w:uiPriority w:val="9"/>
    <w:semiHidden/>
    <w:rsid w:val="00CD349A"/>
    <w:rPr>
      <w:rFonts w:asciiTheme="majorHAnsi" w:eastAsiaTheme="majorEastAsia" w:hAnsiTheme="majorHAnsi" w:cstheme="majorBidi"/>
      <w:b/>
      <w:bCs/>
      <w:color w:val="4F81BD" w:themeColor="accent1"/>
    </w:rPr>
  </w:style>
  <w:style w:type="paragraph" w:customStyle="1" w:styleId="h7Example">
    <w:name w:val="h7_Example"/>
    <w:basedOn w:val="Normal"/>
    <w:next w:val="Normal"/>
    <w:qFormat/>
    <w:rsid w:val="00CD349A"/>
    <w:pPr>
      <w:keepNext/>
      <w:spacing w:before="120" w:line="220" w:lineRule="exact"/>
      <w:ind w:left="964"/>
    </w:pPr>
    <w:rPr>
      <w:i/>
    </w:rPr>
  </w:style>
  <w:style w:type="paragraph" w:customStyle="1" w:styleId="h2Part">
    <w:name w:val="h2_Part"/>
    <w:basedOn w:val="Heading2"/>
    <w:next w:val="h3Div"/>
    <w:qFormat/>
    <w:rsid w:val="00CD349A"/>
    <w:pPr>
      <w:pageBreakBefore/>
      <w:spacing w:before="360" w:after="60"/>
      <w:ind w:left="2410" w:hanging="2410"/>
    </w:pPr>
    <w:rPr>
      <w:rFonts w:ascii="Arial" w:eastAsia="Times New Roman" w:hAnsi="Arial" w:cs="Arial"/>
      <w:bCs w:val="0"/>
      <w:iCs/>
      <w:color w:val="auto"/>
      <w:sz w:val="36"/>
      <w:szCs w:val="22"/>
    </w:rPr>
  </w:style>
  <w:style w:type="character" w:customStyle="1" w:styleId="Heading2Char">
    <w:name w:val="Heading 2 Char"/>
    <w:basedOn w:val="DefaultParagraphFont"/>
    <w:link w:val="Heading2"/>
    <w:uiPriority w:val="9"/>
    <w:rsid w:val="00CD349A"/>
    <w:rPr>
      <w:rFonts w:asciiTheme="majorHAnsi" w:eastAsiaTheme="majorEastAsia" w:hAnsiTheme="majorHAnsi" w:cstheme="majorBidi"/>
      <w:b/>
      <w:bCs/>
      <w:color w:val="4F81BD" w:themeColor="accent1"/>
      <w:sz w:val="26"/>
      <w:szCs w:val="26"/>
    </w:rPr>
  </w:style>
  <w:style w:type="paragraph" w:customStyle="1" w:styleId="h4Subdiv">
    <w:name w:val="h4_Subdiv"/>
    <w:basedOn w:val="Heading4"/>
    <w:next w:val="Normal"/>
    <w:autoRedefine/>
    <w:qFormat/>
    <w:rsid w:val="00CD349A"/>
    <w:pPr>
      <w:spacing w:before="360" w:after="60"/>
      <w:ind w:left="2410" w:hanging="2410"/>
    </w:pPr>
    <w:rPr>
      <w:rFonts w:ascii="Arial" w:eastAsia="Times New Roman" w:hAnsi="Arial" w:cs="Times New Roman"/>
      <w:i w:val="0"/>
      <w:iCs w:val="0"/>
      <w:color w:val="auto"/>
      <w:sz w:val="28"/>
      <w:szCs w:val="28"/>
    </w:rPr>
  </w:style>
  <w:style w:type="character" w:customStyle="1" w:styleId="Heading4Char">
    <w:name w:val="Heading 4 Char"/>
    <w:basedOn w:val="DefaultParagraphFont"/>
    <w:link w:val="Heading4"/>
    <w:uiPriority w:val="9"/>
    <w:semiHidden/>
    <w:rsid w:val="00CD349A"/>
    <w:rPr>
      <w:rFonts w:asciiTheme="majorHAnsi" w:eastAsiaTheme="majorEastAsia" w:hAnsiTheme="majorHAnsi" w:cstheme="majorBidi"/>
      <w:b/>
      <w:bCs/>
      <w:i/>
      <w:iCs/>
      <w:color w:val="4F81BD" w:themeColor="accent1"/>
    </w:rPr>
  </w:style>
  <w:style w:type="paragraph" w:customStyle="1" w:styleId="h5Section">
    <w:name w:val="h5_Section"/>
    <w:basedOn w:val="Heading5"/>
    <w:next w:val="Normal"/>
    <w:uiPriority w:val="99"/>
    <w:qFormat/>
    <w:rsid w:val="00CD349A"/>
    <w:pPr>
      <w:spacing w:before="360" w:after="60"/>
      <w:ind w:left="964" w:hanging="964"/>
    </w:pPr>
    <w:rPr>
      <w:rFonts w:ascii="Arial" w:eastAsia="Times New Roman" w:hAnsi="Arial" w:cs="Times New Roman"/>
      <w:b/>
      <w:bCs/>
      <w:iCs/>
      <w:color w:val="auto"/>
      <w:szCs w:val="26"/>
    </w:rPr>
  </w:style>
  <w:style w:type="character" w:customStyle="1" w:styleId="Heading5Char">
    <w:name w:val="Heading 5 Char"/>
    <w:basedOn w:val="DefaultParagraphFont"/>
    <w:link w:val="Heading5"/>
    <w:uiPriority w:val="9"/>
    <w:semiHidden/>
    <w:rsid w:val="00CD349A"/>
    <w:rPr>
      <w:rFonts w:asciiTheme="majorHAnsi" w:eastAsiaTheme="majorEastAsia" w:hAnsiTheme="majorHAnsi" w:cstheme="majorBidi"/>
      <w:color w:val="243F60" w:themeColor="accent1" w:themeShade="7F"/>
    </w:rPr>
  </w:style>
  <w:style w:type="paragraph" w:customStyle="1" w:styleId="noteDrafter">
    <w:name w:val="note_Drafter"/>
    <w:basedOn w:val="Normal"/>
    <w:qFormat/>
    <w:rsid w:val="00E26C4A"/>
    <w:pPr>
      <w:spacing w:before="80" w:after="80"/>
    </w:pPr>
    <w:rPr>
      <w:color w:val="0070C0"/>
    </w:rPr>
  </w:style>
  <w:style w:type="paragraph" w:customStyle="1" w:styleId="tPara">
    <w:name w:val="t_Para"/>
    <w:basedOn w:val="Normal"/>
    <w:uiPriority w:val="99"/>
    <w:qFormat/>
    <w:rsid w:val="00071ABA"/>
    <w:pPr>
      <w:keepLines/>
      <w:tabs>
        <w:tab w:val="right" w:pos="1531"/>
      </w:tabs>
      <w:spacing w:after="100" w:line="260" w:lineRule="exact"/>
      <w:ind w:left="1701" w:hanging="1701"/>
      <w:jc w:val="both"/>
    </w:pPr>
  </w:style>
  <w:style w:type="paragraph" w:customStyle="1" w:styleId="tSubpara">
    <w:name w:val="t_Subpara"/>
    <w:basedOn w:val="Normal"/>
    <w:qFormat/>
    <w:rsid w:val="00071ABA"/>
    <w:pPr>
      <w:keepLines/>
      <w:tabs>
        <w:tab w:val="right" w:pos="2211"/>
      </w:tabs>
      <w:spacing w:after="100" w:line="260" w:lineRule="exact"/>
      <w:ind w:left="2410" w:hanging="2410"/>
      <w:jc w:val="both"/>
    </w:pPr>
  </w:style>
  <w:style w:type="paragraph" w:customStyle="1" w:styleId="tSubsub">
    <w:name w:val="t_Subsub"/>
    <w:basedOn w:val="Normal"/>
    <w:qFormat/>
    <w:rsid w:val="00071ABA"/>
    <w:pPr>
      <w:tabs>
        <w:tab w:val="right" w:pos="2948"/>
      </w:tabs>
      <w:spacing w:after="100" w:line="260" w:lineRule="exact"/>
      <w:ind w:left="3119" w:hanging="3119"/>
      <w:jc w:val="both"/>
    </w:pPr>
  </w:style>
  <w:style w:type="paragraph" w:styleId="Title">
    <w:name w:val="Title"/>
    <w:basedOn w:val="Normal"/>
    <w:next w:val="Normal"/>
    <w:link w:val="TitleChar"/>
    <w:qFormat/>
    <w:rsid w:val="00CD349A"/>
    <w:pPr>
      <w:spacing w:before="480"/>
    </w:pPr>
    <w:rPr>
      <w:rFonts w:ascii="Arial" w:hAnsi="Arial" w:cs="Arial"/>
      <w:b/>
      <w:bCs/>
      <w:sz w:val="40"/>
      <w:szCs w:val="40"/>
    </w:rPr>
  </w:style>
  <w:style w:type="character" w:customStyle="1" w:styleId="TitleChar">
    <w:name w:val="Title Char"/>
    <w:basedOn w:val="DefaultParagraphFont"/>
    <w:link w:val="Title"/>
    <w:rsid w:val="00CD349A"/>
    <w:rPr>
      <w:rFonts w:ascii="Arial" w:eastAsia="Times New Roman" w:hAnsi="Arial" w:cs="Arial"/>
      <w:b/>
      <w:bCs/>
      <w:sz w:val="40"/>
      <w:szCs w:val="40"/>
      <w:lang w:eastAsia="en-AU"/>
    </w:rPr>
  </w:style>
  <w:style w:type="paragraph" w:styleId="BalloonText">
    <w:name w:val="Balloon Text"/>
    <w:basedOn w:val="Normal"/>
    <w:link w:val="BalloonTextChar"/>
    <w:uiPriority w:val="99"/>
    <w:semiHidden/>
    <w:unhideWhenUsed/>
    <w:rsid w:val="00CD349A"/>
    <w:rPr>
      <w:rFonts w:ascii="Tahoma" w:hAnsi="Tahoma" w:cs="Tahoma"/>
      <w:sz w:val="16"/>
      <w:szCs w:val="16"/>
    </w:rPr>
  </w:style>
  <w:style w:type="character" w:customStyle="1" w:styleId="BalloonTextChar">
    <w:name w:val="Balloon Text Char"/>
    <w:basedOn w:val="DefaultParagraphFont"/>
    <w:link w:val="BalloonText"/>
    <w:uiPriority w:val="99"/>
    <w:semiHidden/>
    <w:rsid w:val="00CD349A"/>
    <w:rPr>
      <w:rFonts w:ascii="Tahoma" w:eastAsia="Times New Roman" w:hAnsi="Tahoma" w:cs="Tahoma"/>
      <w:sz w:val="16"/>
      <w:szCs w:val="16"/>
      <w:lang w:eastAsia="en-AU"/>
    </w:rPr>
  </w:style>
  <w:style w:type="paragraph" w:styleId="Header">
    <w:name w:val="header"/>
    <w:basedOn w:val="Normal"/>
    <w:link w:val="HeaderChar"/>
    <w:uiPriority w:val="99"/>
    <w:unhideWhenUsed/>
    <w:rsid w:val="00CD349A"/>
    <w:pPr>
      <w:tabs>
        <w:tab w:val="center" w:pos="4513"/>
        <w:tab w:val="right" w:pos="9026"/>
      </w:tabs>
    </w:pPr>
  </w:style>
  <w:style w:type="character" w:customStyle="1" w:styleId="HeaderChar">
    <w:name w:val="Header Char"/>
    <w:basedOn w:val="DefaultParagraphFont"/>
    <w:link w:val="Header"/>
    <w:uiPriority w:val="99"/>
    <w:rsid w:val="00CD349A"/>
    <w:rPr>
      <w:rFonts w:eastAsia="Times New Roman"/>
      <w:sz w:val="24"/>
      <w:szCs w:val="24"/>
      <w:lang w:eastAsia="en-AU"/>
    </w:rPr>
  </w:style>
  <w:style w:type="paragraph" w:styleId="Footer">
    <w:name w:val="footer"/>
    <w:basedOn w:val="Normal"/>
    <w:link w:val="FooterChar"/>
    <w:uiPriority w:val="99"/>
    <w:unhideWhenUsed/>
    <w:rsid w:val="00CD349A"/>
    <w:pPr>
      <w:tabs>
        <w:tab w:val="center" w:pos="4513"/>
        <w:tab w:val="right" w:pos="9026"/>
      </w:tabs>
    </w:pPr>
  </w:style>
  <w:style w:type="character" w:customStyle="1" w:styleId="FooterChar">
    <w:name w:val="Footer Char"/>
    <w:basedOn w:val="DefaultParagraphFont"/>
    <w:link w:val="Footer"/>
    <w:uiPriority w:val="99"/>
    <w:rsid w:val="00CD349A"/>
    <w:rPr>
      <w:rFonts w:eastAsia="Times New Roman"/>
      <w:sz w:val="24"/>
      <w:szCs w:val="24"/>
      <w:lang w:eastAsia="en-AU"/>
    </w:rPr>
  </w:style>
  <w:style w:type="paragraph" w:customStyle="1" w:styleId="HeaderBoldOdd">
    <w:name w:val="HeaderBoldOdd"/>
    <w:basedOn w:val="Normal"/>
    <w:rsid w:val="00D55828"/>
    <w:pPr>
      <w:spacing w:before="120" w:after="60"/>
      <w:jc w:val="right"/>
    </w:pPr>
    <w:rPr>
      <w:rFonts w:ascii="Arial" w:hAnsi="Arial"/>
      <w:b/>
      <w:sz w:val="20"/>
    </w:rPr>
  </w:style>
  <w:style w:type="paragraph" w:customStyle="1" w:styleId="HeaderLiteOdd">
    <w:name w:val="HeaderLiteOdd"/>
    <w:basedOn w:val="Normal"/>
    <w:rsid w:val="00D55828"/>
    <w:pPr>
      <w:tabs>
        <w:tab w:val="center" w:pos="3969"/>
        <w:tab w:val="right" w:pos="8505"/>
      </w:tabs>
      <w:spacing w:before="60"/>
      <w:jc w:val="right"/>
    </w:pPr>
    <w:rPr>
      <w:rFonts w:ascii="Arial" w:hAnsi="Arial"/>
      <w:sz w:val="18"/>
    </w:rPr>
  </w:style>
  <w:style w:type="paragraph" w:customStyle="1" w:styleId="FooterDraft">
    <w:name w:val="FooterDraft"/>
    <w:basedOn w:val="Normal"/>
    <w:rsid w:val="00D55828"/>
    <w:pPr>
      <w:jc w:val="center"/>
    </w:pPr>
    <w:rPr>
      <w:rFonts w:ascii="Arial" w:hAnsi="Arial"/>
      <w:b/>
      <w:sz w:val="40"/>
    </w:rPr>
  </w:style>
  <w:style w:type="character" w:styleId="PageNumber">
    <w:name w:val="page number"/>
    <w:basedOn w:val="DefaultParagraphFont"/>
    <w:rsid w:val="00D55828"/>
    <w:rPr>
      <w:rFonts w:ascii="Arial" w:hAnsi="Arial"/>
      <w:sz w:val="22"/>
    </w:rPr>
  </w:style>
  <w:style w:type="paragraph" w:customStyle="1" w:styleId="FooterCitation">
    <w:name w:val="FooterCitation"/>
    <w:basedOn w:val="Footer"/>
    <w:rsid w:val="00D55828"/>
    <w:pPr>
      <w:tabs>
        <w:tab w:val="clear" w:pos="4513"/>
        <w:tab w:val="clear" w:pos="9026"/>
        <w:tab w:val="center" w:pos="4153"/>
        <w:tab w:val="right" w:pos="8306"/>
      </w:tabs>
      <w:spacing w:before="20" w:line="240" w:lineRule="exact"/>
      <w:jc w:val="center"/>
    </w:pPr>
    <w:rPr>
      <w:rFonts w:ascii="Arial" w:hAnsi="Arial"/>
      <w:i/>
      <w:sz w:val="18"/>
    </w:rPr>
  </w:style>
  <w:style w:type="paragraph" w:styleId="TOC2">
    <w:name w:val="toc 2"/>
    <w:basedOn w:val="Normal"/>
    <w:next w:val="Normal"/>
    <w:autoRedefine/>
    <w:uiPriority w:val="39"/>
    <w:rsid w:val="005E089C"/>
    <w:pPr>
      <w:keepNext/>
      <w:tabs>
        <w:tab w:val="right" w:pos="8278"/>
      </w:tabs>
      <w:spacing w:before="120" w:after="120"/>
      <w:ind w:left="1843" w:right="714" w:hanging="1843"/>
    </w:pPr>
    <w:rPr>
      <w:rFonts w:ascii="Arial" w:hAnsi="Arial"/>
      <w:b/>
      <w:noProof/>
      <w:sz w:val="22"/>
      <w:szCs w:val="22"/>
      <w:lang w:eastAsia="en-US"/>
    </w:rPr>
  </w:style>
  <w:style w:type="paragraph" w:styleId="TOC3">
    <w:name w:val="toc 3"/>
    <w:basedOn w:val="Normal"/>
    <w:next w:val="Normal"/>
    <w:autoRedefine/>
    <w:uiPriority w:val="39"/>
    <w:rsid w:val="005E089C"/>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39"/>
    <w:rsid w:val="005E089C"/>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5E089C"/>
    <w:pPr>
      <w:tabs>
        <w:tab w:val="right" w:pos="1559"/>
        <w:tab w:val="right" w:pos="8278"/>
      </w:tabs>
      <w:spacing w:before="40"/>
      <w:ind w:left="1843" w:right="714" w:hanging="1843"/>
    </w:pPr>
    <w:rPr>
      <w:rFonts w:ascii="Arial" w:hAnsi="Arial"/>
      <w:noProof/>
      <w:sz w:val="19"/>
      <w:szCs w:val="19"/>
      <w:lang w:eastAsia="en-US"/>
    </w:rPr>
  </w:style>
  <w:style w:type="character" w:customStyle="1" w:styleId="CharSectno">
    <w:name w:val="CharSectno"/>
    <w:basedOn w:val="DefaultParagraphFont"/>
    <w:uiPriority w:val="99"/>
    <w:rsid w:val="005E089C"/>
  </w:style>
  <w:style w:type="paragraph" w:customStyle="1" w:styleId="Sec">
    <w:name w:val="Sec"/>
    <w:basedOn w:val="Normal"/>
    <w:next w:val="Normal"/>
    <w:uiPriority w:val="99"/>
    <w:rsid w:val="003B533D"/>
    <w:pPr>
      <w:keepLines/>
      <w:tabs>
        <w:tab w:val="right" w:pos="794"/>
      </w:tabs>
      <w:spacing w:before="80" w:after="100" w:line="260" w:lineRule="exact"/>
      <w:ind w:left="964" w:hanging="964"/>
      <w:jc w:val="both"/>
    </w:pPr>
  </w:style>
  <w:style w:type="character" w:styleId="Hyperlink">
    <w:name w:val="Hyperlink"/>
    <w:basedOn w:val="DefaultParagraphFont"/>
    <w:rsid w:val="00B8428D"/>
    <w:rPr>
      <w:color w:val="0000FF"/>
      <w:u w:val="single"/>
    </w:rPr>
  </w:style>
  <w:style w:type="paragraph" w:customStyle="1" w:styleId="tMain">
    <w:name w:val="t_Main"/>
    <w:basedOn w:val="Normal"/>
    <w:uiPriority w:val="99"/>
    <w:qFormat/>
    <w:rsid w:val="00B8428D"/>
    <w:pPr>
      <w:keepLines/>
      <w:tabs>
        <w:tab w:val="right" w:pos="794"/>
      </w:tabs>
      <w:spacing w:before="80" w:after="100" w:line="260" w:lineRule="exact"/>
      <w:ind w:left="964" w:hanging="964"/>
      <w:jc w:val="both"/>
    </w:pPr>
  </w:style>
  <w:style w:type="paragraph" w:customStyle="1" w:styleId="h6Subsec">
    <w:name w:val="h6_Subsec"/>
    <w:basedOn w:val="Normal"/>
    <w:next w:val="Normal"/>
    <w:qFormat/>
    <w:rsid w:val="00B8428D"/>
    <w:pPr>
      <w:keepNext/>
      <w:spacing w:before="120"/>
      <w:ind w:left="964"/>
    </w:pPr>
    <w:rPr>
      <w:rFonts w:ascii="Arial" w:hAnsi="Arial"/>
      <w:i/>
    </w:rPr>
  </w:style>
  <w:style w:type="paragraph" w:styleId="BlockText">
    <w:name w:val="Block Text"/>
    <w:basedOn w:val="Normal"/>
    <w:rsid w:val="00B8428D"/>
    <w:pPr>
      <w:spacing w:after="120"/>
      <w:ind w:left="1440" w:right="1440"/>
    </w:pPr>
  </w:style>
  <w:style w:type="paragraph" w:styleId="ListParagraph">
    <w:name w:val="List Paragraph"/>
    <w:basedOn w:val="Normal"/>
    <w:uiPriority w:val="34"/>
    <w:qFormat/>
    <w:rsid w:val="00B8428D"/>
    <w:pPr>
      <w:spacing w:line="276" w:lineRule="auto"/>
      <w:ind w:left="720"/>
    </w:pPr>
    <w:rPr>
      <w:szCs w:val="22"/>
      <w:lang w:eastAsia="en-US"/>
    </w:rPr>
  </w:style>
  <w:style w:type="paragraph" w:customStyle="1" w:styleId="EquationNote">
    <w:name w:val="EquationNote"/>
    <w:basedOn w:val="Normal"/>
    <w:link w:val="EquationNoteChar"/>
    <w:uiPriority w:val="99"/>
    <w:rsid w:val="00B8428D"/>
    <w:pPr>
      <w:tabs>
        <w:tab w:val="right" w:pos="9000"/>
      </w:tabs>
      <w:spacing w:before="60"/>
      <w:ind w:left="360" w:hanging="360"/>
    </w:pPr>
    <w:rPr>
      <w:rFonts w:ascii="Arial" w:hAnsi="Arial" w:cs="Arial"/>
      <w:iCs/>
      <w:sz w:val="18"/>
      <w:szCs w:val="20"/>
      <w:lang w:eastAsia="en-US"/>
    </w:rPr>
  </w:style>
  <w:style w:type="character" w:customStyle="1" w:styleId="EquationNoteChar">
    <w:name w:val="EquationNote Char"/>
    <w:basedOn w:val="DefaultParagraphFont"/>
    <w:link w:val="EquationNote"/>
    <w:uiPriority w:val="99"/>
    <w:locked/>
    <w:rsid w:val="00B8428D"/>
    <w:rPr>
      <w:rFonts w:ascii="Arial" w:eastAsia="Times New Roman" w:hAnsi="Arial" w:cs="Arial"/>
      <w:iCs/>
      <w:sz w:val="18"/>
    </w:rPr>
  </w:style>
  <w:style w:type="paragraph" w:customStyle="1" w:styleId="NoteEnd">
    <w:name w:val="Note End"/>
    <w:basedOn w:val="Normal"/>
    <w:rsid w:val="004466D2"/>
    <w:pPr>
      <w:keepLines/>
      <w:spacing w:before="120" w:line="240" w:lineRule="exact"/>
      <w:ind w:left="567" w:hanging="567"/>
      <w:jc w:val="both"/>
    </w:pPr>
    <w:rPr>
      <w:sz w:val="22"/>
    </w:rPr>
  </w:style>
  <w:style w:type="paragraph" w:customStyle="1" w:styleId="noteMain">
    <w:name w:val="note_Main"/>
    <w:basedOn w:val="tMain"/>
    <w:qFormat/>
    <w:rsid w:val="000D19CF"/>
    <w:pPr>
      <w:spacing w:line="220" w:lineRule="exact"/>
    </w:pPr>
    <w:rPr>
      <w:sz w:val="20"/>
    </w:rPr>
  </w:style>
  <w:style w:type="paragraph" w:customStyle="1" w:styleId="notePara">
    <w:name w:val="note_Para"/>
    <w:basedOn w:val="tPara"/>
    <w:qFormat/>
    <w:rsid w:val="000D19CF"/>
    <w:pPr>
      <w:spacing w:line="220" w:lineRule="exact"/>
    </w:pPr>
    <w:rPr>
      <w:sz w:val="20"/>
    </w:rPr>
  </w:style>
  <w:style w:type="paragraph" w:customStyle="1" w:styleId="noteSubpara">
    <w:name w:val="note_Subpara"/>
    <w:basedOn w:val="tSubpara"/>
    <w:qFormat/>
    <w:rsid w:val="000D19CF"/>
    <w:pPr>
      <w:spacing w:line="220" w:lineRule="exact"/>
    </w:pPr>
    <w:rPr>
      <w:sz w:val="20"/>
    </w:rPr>
  </w:style>
  <w:style w:type="paragraph" w:customStyle="1" w:styleId="noteSubsub">
    <w:name w:val="note_Subsub"/>
    <w:basedOn w:val="tSubsub"/>
    <w:qFormat/>
    <w:rsid w:val="000D19CF"/>
    <w:pPr>
      <w:spacing w:line="220" w:lineRule="exact"/>
    </w:pPr>
    <w:rPr>
      <w:sz w:val="20"/>
    </w:rPr>
  </w:style>
  <w:style w:type="paragraph" w:customStyle="1" w:styleId="definition">
    <w:name w:val="definition"/>
    <w:basedOn w:val="Normal"/>
    <w:rsid w:val="000D3FCA"/>
    <w:pPr>
      <w:spacing w:before="80" w:line="260" w:lineRule="exact"/>
      <w:ind w:left="964"/>
      <w:jc w:val="both"/>
    </w:pPr>
  </w:style>
  <w:style w:type="character" w:styleId="CommentReference">
    <w:name w:val="annotation reference"/>
    <w:basedOn w:val="DefaultParagraphFont"/>
    <w:uiPriority w:val="99"/>
    <w:unhideWhenUsed/>
    <w:rsid w:val="000D3FCA"/>
    <w:rPr>
      <w:sz w:val="16"/>
      <w:szCs w:val="16"/>
    </w:rPr>
  </w:style>
  <w:style w:type="paragraph" w:styleId="CommentText">
    <w:name w:val="annotation text"/>
    <w:basedOn w:val="Normal"/>
    <w:link w:val="CommentTextChar"/>
    <w:uiPriority w:val="99"/>
    <w:unhideWhenUsed/>
    <w:rsid w:val="000D3FCA"/>
    <w:rPr>
      <w:sz w:val="20"/>
      <w:szCs w:val="20"/>
    </w:rPr>
  </w:style>
  <w:style w:type="character" w:customStyle="1" w:styleId="CommentTextChar">
    <w:name w:val="Comment Text Char"/>
    <w:basedOn w:val="DefaultParagraphFont"/>
    <w:link w:val="CommentText"/>
    <w:uiPriority w:val="99"/>
    <w:rsid w:val="000D3FCA"/>
    <w:rPr>
      <w:rFonts w:eastAsia="Times New Roman"/>
      <w:lang w:eastAsia="en-AU"/>
    </w:rPr>
  </w:style>
  <w:style w:type="paragraph" w:styleId="CommentSubject">
    <w:name w:val="annotation subject"/>
    <w:basedOn w:val="CommentText"/>
    <w:next w:val="CommentText"/>
    <w:link w:val="CommentSubjectChar"/>
    <w:uiPriority w:val="99"/>
    <w:semiHidden/>
    <w:unhideWhenUsed/>
    <w:rsid w:val="000D3FCA"/>
    <w:rPr>
      <w:b/>
      <w:bCs/>
    </w:rPr>
  </w:style>
  <w:style w:type="character" w:customStyle="1" w:styleId="CommentSubjectChar">
    <w:name w:val="Comment Subject Char"/>
    <w:basedOn w:val="CommentTextChar"/>
    <w:link w:val="CommentSubject"/>
    <w:uiPriority w:val="99"/>
    <w:semiHidden/>
    <w:rsid w:val="000D3FCA"/>
    <w:rPr>
      <w:rFonts w:eastAsia="Times New Roman"/>
      <w:b/>
      <w:bCs/>
      <w:lang w:eastAsia="en-AU"/>
    </w:rPr>
  </w:style>
  <w:style w:type="paragraph" w:styleId="Revision">
    <w:name w:val="Revision"/>
    <w:hidden/>
    <w:uiPriority w:val="99"/>
    <w:semiHidden/>
    <w:rsid w:val="000D3FCA"/>
    <w:rPr>
      <w:rFonts w:eastAsia="Times New Roman"/>
      <w:sz w:val="24"/>
      <w:szCs w:val="24"/>
      <w:lang w:eastAsia="en-AU"/>
    </w:rPr>
  </w:style>
  <w:style w:type="paragraph" w:customStyle="1" w:styleId="Default">
    <w:name w:val="Default"/>
    <w:rsid w:val="000D3FCA"/>
    <w:pPr>
      <w:autoSpaceDE w:val="0"/>
      <w:autoSpaceDN w:val="0"/>
      <w:adjustRightInd w:val="0"/>
    </w:pPr>
    <w:rPr>
      <w:rFonts w:ascii="Calibri" w:hAnsi="Calibri" w:cs="Calibri"/>
      <w:color w:val="000000"/>
      <w:sz w:val="24"/>
      <w:szCs w:val="24"/>
    </w:rPr>
  </w:style>
  <w:style w:type="paragraph" w:customStyle="1" w:styleId="HSR">
    <w:name w:val="HSR"/>
    <w:aliases w:val="Subregulation Heading,HSS"/>
    <w:basedOn w:val="Normal"/>
    <w:next w:val="Normal"/>
    <w:rsid w:val="000D3FCA"/>
    <w:pPr>
      <w:keepNext/>
      <w:spacing w:before="300"/>
      <w:ind w:left="964"/>
    </w:pPr>
    <w:rPr>
      <w:rFonts w:ascii="Arial" w:hAnsi="Arial"/>
      <w:i/>
    </w:rPr>
  </w:style>
  <w:style w:type="paragraph" w:customStyle="1" w:styleId="R1">
    <w:name w:val="R1"/>
    <w:aliases w:val="1. or 1.(1)"/>
    <w:basedOn w:val="Normal"/>
    <w:next w:val="Normal"/>
    <w:rsid w:val="000D3FCA"/>
    <w:pPr>
      <w:keepLines/>
      <w:tabs>
        <w:tab w:val="right" w:pos="794"/>
      </w:tabs>
      <w:spacing w:before="120" w:line="260" w:lineRule="exact"/>
      <w:ind w:left="964" w:hanging="964"/>
      <w:jc w:val="both"/>
    </w:pPr>
  </w:style>
  <w:style w:type="paragraph" w:customStyle="1" w:styleId="R2">
    <w:name w:val="R2"/>
    <w:aliases w:val="(2)"/>
    <w:basedOn w:val="Normal"/>
    <w:rsid w:val="000D3FCA"/>
    <w:pPr>
      <w:keepLines/>
      <w:tabs>
        <w:tab w:val="right" w:pos="794"/>
      </w:tabs>
      <w:spacing w:before="180" w:line="260" w:lineRule="exact"/>
      <w:ind w:left="964" w:hanging="964"/>
      <w:jc w:val="both"/>
    </w:pPr>
  </w:style>
  <w:style w:type="paragraph" w:styleId="BodyText">
    <w:name w:val="Body Text"/>
    <w:basedOn w:val="Normal"/>
    <w:link w:val="BodyTextChar"/>
    <w:rsid w:val="000D3FCA"/>
    <w:pPr>
      <w:spacing w:before="120"/>
    </w:pPr>
    <w:rPr>
      <w:rFonts w:eastAsia="MS Mincho"/>
      <w:sz w:val="22"/>
      <w:szCs w:val="20"/>
      <w:lang w:val="en-US" w:eastAsia="en-US"/>
    </w:rPr>
  </w:style>
  <w:style w:type="character" w:customStyle="1" w:styleId="BodyTextChar">
    <w:name w:val="Body Text Char"/>
    <w:basedOn w:val="DefaultParagraphFont"/>
    <w:link w:val="BodyText"/>
    <w:rsid w:val="000D3FCA"/>
    <w:rPr>
      <w:rFonts w:eastAsia="MS Mincho"/>
      <w:sz w:val="22"/>
      <w:lang w:val="en-US"/>
    </w:rPr>
  </w:style>
  <w:style w:type="paragraph" w:customStyle="1" w:styleId="equation">
    <w:name w:val="equation"/>
    <w:basedOn w:val="Normal"/>
    <w:rsid w:val="000D3FCA"/>
    <w:pPr>
      <w:tabs>
        <w:tab w:val="left" w:pos="1134"/>
        <w:tab w:val="left" w:pos="1701"/>
        <w:tab w:val="center" w:pos="9072"/>
      </w:tabs>
    </w:pPr>
    <w:rPr>
      <w:rFonts w:eastAsia="MS Mincho"/>
      <w:sz w:val="22"/>
      <w:szCs w:val="22"/>
      <w:lang w:val="es-ES_tradnl" w:eastAsia="en-US"/>
    </w:rPr>
  </w:style>
  <w:style w:type="paragraph" w:customStyle="1" w:styleId="P1">
    <w:name w:val="P1"/>
    <w:aliases w:val="(a)"/>
    <w:basedOn w:val="Normal"/>
    <w:uiPriority w:val="99"/>
    <w:rsid w:val="000D3FCA"/>
    <w:pPr>
      <w:keepLines/>
      <w:tabs>
        <w:tab w:val="right" w:pos="1191"/>
      </w:tabs>
      <w:spacing w:before="60" w:line="260" w:lineRule="exact"/>
      <w:ind w:left="1418" w:hanging="1418"/>
      <w:jc w:val="both"/>
    </w:pPr>
  </w:style>
  <w:style w:type="table" w:styleId="TableGrid">
    <w:name w:val="Table Grid"/>
    <w:basedOn w:val="TableNormal"/>
    <w:uiPriority w:val="59"/>
    <w:rsid w:val="000D3FCA"/>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odyTextFirstIndent">
    <w:name w:val="Body Text First Indent"/>
    <w:basedOn w:val="BodyText"/>
    <w:link w:val="BodyTextFirstIndentChar"/>
    <w:uiPriority w:val="99"/>
    <w:semiHidden/>
    <w:unhideWhenUsed/>
    <w:rsid w:val="000D3FCA"/>
    <w:pPr>
      <w:spacing w:before="0"/>
      <w:ind w:firstLine="360"/>
    </w:pPr>
    <w:rPr>
      <w:rFonts w:eastAsia="Times New Roman"/>
      <w:sz w:val="24"/>
      <w:szCs w:val="24"/>
      <w:lang w:val="en-AU" w:eastAsia="en-AU"/>
    </w:rPr>
  </w:style>
  <w:style w:type="character" w:customStyle="1" w:styleId="BodyTextFirstIndentChar">
    <w:name w:val="Body Text First Indent Char"/>
    <w:basedOn w:val="BodyTextChar"/>
    <w:link w:val="BodyTextFirstIndent"/>
    <w:uiPriority w:val="99"/>
    <w:semiHidden/>
    <w:rsid w:val="000D3FCA"/>
    <w:rPr>
      <w:rFonts w:eastAsia="Times New Roman"/>
      <w:sz w:val="24"/>
      <w:szCs w:val="24"/>
      <w:lang w:val="en-US" w:eastAsia="en-AU"/>
    </w:rPr>
  </w:style>
  <w:style w:type="paragraph" w:customStyle="1" w:styleId="tabletext">
    <w:name w:val="tabletext"/>
    <w:basedOn w:val="Normal"/>
    <w:rsid w:val="000D3FCA"/>
    <w:pPr>
      <w:spacing w:before="100" w:beforeAutospacing="1" w:after="100" w:afterAutospacing="1"/>
    </w:pPr>
  </w:style>
  <w:style w:type="paragraph" w:customStyle="1" w:styleId="Def">
    <w:name w:val="Def"/>
    <w:basedOn w:val="Normal"/>
    <w:uiPriority w:val="99"/>
    <w:rsid w:val="006E714B"/>
    <w:pPr>
      <w:spacing w:before="80" w:after="100" w:line="260" w:lineRule="exact"/>
      <w:ind w:left="964"/>
      <w:jc w:val="both"/>
    </w:pPr>
    <w:rPr>
      <w:rFonts w:asciiTheme="minorHAnsi" w:eastAsiaTheme="minorHAnsi" w:hAnsiTheme="minorHAnsi" w:cstheme="minorBidi"/>
      <w:sz w:val="22"/>
      <w:szCs w:val="22"/>
      <w:lang w:eastAsia="en-US"/>
    </w:rPr>
  </w:style>
  <w:style w:type="paragraph" w:customStyle="1" w:styleId="HC">
    <w:name w:val="HC"/>
    <w:aliases w:val="Sch"/>
    <w:basedOn w:val="Heading1"/>
    <w:next w:val="Normal"/>
    <w:rsid w:val="006E714B"/>
    <w:pPr>
      <w:pageBreakBefore/>
      <w:spacing w:after="60" w:line="276" w:lineRule="auto"/>
      <w:ind w:left="2410" w:hanging="2410"/>
    </w:pPr>
    <w:rPr>
      <w:rFonts w:ascii="Arial" w:eastAsia="Times New Roman" w:hAnsi="Arial" w:cs="Arial"/>
      <w:color w:val="auto"/>
      <w:kern w:val="32"/>
      <w:sz w:val="40"/>
      <w:szCs w:val="32"/>
      <w:lang w:eastAsia="en-US"/>
    </w:rPr>
  </w:style>
  <w:style w:type="paragraph" w:customStyle="1" w:styleId="HD">
    <w:name w:val="HD"/>
    <w:aliases w:val="Division Heading"/>
    <w:basedOn w:val="Heading3"/>
    <w:next w:val="Normal"/>
    <w:rsid w:val="006E714B"/>
    <w:pPr>
      <w:spacing w:before="360" w:after="60" w:line="276" w:lineRule="auto"/>
      <w:ind w:left="2410" w:hanging="2410"/>
    </w:pPr>
    <w:rPr>
      <w:rFonts w:ascii="Arial" w:eastAsia="Times New Roman" w:hAnsi="Arial" w:cs="Arial"/>
      <w:color w:val="auto"/>
      <w:sz w:val="28"/>
      <w:szCs w:val="26"/>
      <w:lang w:eastAsia="en-US"/>
    </w:rPr>
  </w:style>
  <w:style w:type="paragraph" w:customStyle="1" w:styleId="HE">
    <w:name w:val="HE"/>
    <w:aliases w:val="Example heading"/>
    <w:basedOn w:val="Normal"/>
    <w:next w:val="Normal"/>
    <w:rsid w:val="006E714B"/>
    <w:pPr>
      <w:keepNext/>
      <w:spacing w:before="120" w:after="200" w:line="220" w:lineRule="exact"/>
      <w:ind w:left="964"/>
    </w:pPr>
    <w:rPr>
      <w:rFonts w:asciiTheme="minorHAnsi" w:eastAsiaTheme="minorHAnsi" w:hAnsiTheme="minorHAnsi" w:cstheme="minorBidi"/>
      <w:i/>
      <w:sz w:val="22"/>
      <w:szCs w:val="22"/>
      <w:lang w:eastAsia="en-US"/>
    </w:rPr>
  </w:style>
  <w:style w:type="paragraph" w:customStyle="1" w:styleId="HP">
    <w:name w:val="HP"/>
    <w:basedOn w:val="Heading2"/>
    <w:next w:val="HD"/>
    <w:rsid w:val="006E714B"/>
    <w:pPr>
      <w:pageBreakBefore/>
      <w:spacing w:before="360" w:after="60" w:line="276" w:lineRule="auto"/>
      <w:ind w:left="2410" w:hanging="2410"/>
    </w:pPr>
    <w:rPr>
      <w:rFonts w:ascii="Arial" w:eastAsia="Times New Roman" w:hAnsi="Arial" w:cs="Arial"/>
      <w:bCs w:val="0"/>
      <w:iCs/>
      <w:color w:val="auto"/>
      <w:sz w:val="36"/>
      <w:szCs w:val="22"/>
      <w:lang w:eastAsia="en-US"/>
    </w:rPr>
  </w:style>
  <w:style w:type="paragraph" w:customStyle="1" w:styleId="HS">
    <w:name w:val="HS"/>
    <w:aliases w:val="Subdiv Heading"/>
    <w:basedOn w:val="Heading4"/>
    <w:next w:val="Normal"/>
    <w:rsid w:val="006E714B"/>
    <w:pPr>
      <w:spacing w:before="360" w:after="60" w:line="276" w:lineRule="auto"/>
      <w:ind w:left="2410" w:hanging="2410"/>
    </w:pPr>
    <w:rPr>
      <w:rFonts w:ascii="Arial" w:eastAsia="Times New Roman" w:hAnsi="Arial" w:cs="Times New Roman"/>
      <w:i w:val="0"/>
      <w:iCs w:val="0"/>
      <w:color w:val="auto"/>
      <w:sz w:val="28"/>
      <w:szCs w:val="28"/>
      <w:lang w:eastAsia="en-US"/>
    </w:rPr>
  </w:style>
  <w:style w:type="paragraph" w:customStyle="1" w:styleId="HSec">
    <w:name w:val="HSec"/>
    <w:basedOn w:val="Heading5"/>
    <w:next w:val="Normal"/>
    <w:uiPriority w:val="99"/>
    <w:rsid w:val="006E714B"/>
    <w:pPr>
      <w:spacing w:before="360" w:after="60" w:line="276" w:lineRule="auto"/>
      <w:ind w:left="964" w:hanging="964"/>
    </w:pPr>
    <w:rPr>
      <w:rFonts w:ascii="Arial" w:eastAsia="Times New Roman" w:hAnsi="Arial" w:cs="Times New Roman"/>
      <w:b/>
      <w:bCs/>
      <w:iCs/>
      <w:color w:val="auto"/>
      <w:sz w:val="22"/>
      <w:szCs w:val="26"/>
      <w:lang w:eastAsia="en-US"/>
    </w:rPr>
  </w:style>
  <w:style w:type="paragraph" w:customStyle="1" w:styleId="Notequery">
    <w:name w:val="Note query"/>
    <w:basedOn w:val="Normal"/>
    <w:qFormat/>
    <w:rsid w:val="006E714B"/>
    <w:pPr>
      <w:spacing w:before="80" w:after="80" w:line="276" w:lineRule="auto"/>
    </w:pPr>
    <w:rPr>
      <w:rFonts w:asciiTheme="minorHAnsi" w:eastAsiaTheme="minorHAnsi" w:hAnsiTheme="minorHAnsi" w:cstheme="minorBidi"/>
      <w:color w:val="0070C0"/>
      <w:sz w:val="22"/>
      <w:szCs w:val="22"/>
      <w:lang w:eastAsia="en-US"/>
    </w:rPr>
  </w:style>
  <w:style w:type="paragraph" w:customStyle="1" w:styleId="Notepara0">
    <w:name w:val="Note para"/>
    <w:basedOn w:val="Normal"/>
    <w:rsid w:val="006E714B"/>
    <w:pPr>
      <w:keepLines/>
      <w:spacing w:before="60" w:after="200" w:line="220" w:lineRule="exact"/>
      <w:ind w:left="1304" w:hanging="340"/>
      <w:jc w:val="both"/>
    </w:pPr>
    <w:rPr>
      <w:rFonts w:asciiTheme="minorHAnsi" w:eastAsiaTheme="minorHAnsi" w:hAnsiTheme="minorHAnsi" w:cstheme="minorBidi"/>
      <w:sz w:val="20"/>
      <w:szCs w:val="22"/>
      <w:lang w:eastAsia="en-US"/>
    </w:rPr>
  </w:style>
  <w:style w:type="paragraph" w:customStyle="1" w:styleId="NoteSec">
    <w:name w:val="Note Sec"/>
    <w:basedOn w:val="Normal"/>
    <w:qFormat/>
    <w:rsid w:val="006E714B"/>
    <w:pPr>
      <w:keepLines/>
      <w:spacing w:before="120" w:after="200" w:line="220" w:lineRule="exact"/>
      <w:jc w:val="both"/>
    </w:pPr>
    <w:rPr>
      <w:rFonts w:asciiTheme="minorHAnsi" w:eastAsiaTheme="minorHAnsi" w:hAnsiTheme="minorHAnsi" w:cstheme="minorBidi"/>
      <w:sz w:val="20"/>
      <w:szCs w:val="22"/>
      <w:lang w:eastAsia="en-US"/>
    </w:rPr>
  </w:style>
  <w:style w:type="paragraph" w:customStyle="1" w:styleId="NoteSS">
    <w:name w:val="Note SS"/>
    <w:basedOn w:val="Normal"/>
    <w:qFormat/>
    <w:rsid w:val="006E714B"/>
    <w:pPr>
      <w:keepLines/>
      <w:spacing w:before="120" w:after="200" w:line="220" w:lineRule="exact"/>
      <w:ind w:left="964"/>
      <w:jc w:val="both"/>
    </w:pPr>
    <w:rPr>
      <w:rFonts w:asciiTheme="minorHAnsi" w:eastAsiaTheme="minorHAnsi" w:hAnsiTheme="minorHAnsi" w:cstheme="minorBidi"/>
      <w:sz w:val="20"/>
      <w:szCs w:val="22"/>
      <w:lang w:eastAsia="en-US"/>
    </w:rPr>
  </w:style>
  <w:style w:type="paragraph" w:customStyle="1" w:styleId="P2">
    <w:name w:val="P2"/>
    <w:basedOn w:val="Normal"/>
    <w:rsid w:val="006E714B"/>
    <w:pPr>
      <w:keepLines/>
      <w:tabs>
        <w:tab w:val="right" w:pos="2098"/>
      </w:tabs>
      <w:spacing w:after="100" w:line="260" w:lineRule="exact"/>
      <w:ind w:left="2268" w:hanging="2268"/>
      <w:jc w:val="both"/>
    </w:pPr>
    <w:rPr>
      <w:rFonts w:asciiTheme="minorHAnsi" w:eastAsiaTheme="minorHAnsi" w:hAnsiTheme="minorHAnsi" w:cstheme="minorBidi"/>
      <w:sz w:val="22"/>
      <w:szCs w:val="22"/>
      <w:lang w:eastAsia="en-US"/>
    </w:rPr>
  </w:style>
  <w:style w:type="paragraph" w:customStyle="1" w:styleId="P3">
    <w:name w:val="P3"/>
    <w:basedOn w:val="Normal"/>
    <w:rsid w:val="006E714B"/>
    <w:pPr>
      <w:tabs>
        <w:tab w:val="right" w:pos="2722"/>
      </w:tabs>
      <w:spacing w:after="100" w:line="260" w:lineRule="exact"/>
      <w:ind w:left="2892" w:hanging="2892"/>
      <w:jc w:val="both"/>
    </w:pPr>
    <w:rPr>
      <w:rFonts w:asciiTheme="minorHAnsi" w:eastAsiaTheme="minorHAnsi" w:hAnsiTheme="minorHAnsi" w:cstheme="minorBidi"/>
      <w:sz w:val="22"/>
      <w:szCs w:val="22"/>
      <w:lang w:eastAsia="en-US"/>
    </w:rPr>
  </w:style>
  <w:style w:type="paragraph" w:customStyle="1" w:styleId="Subsec">
    <w:name w:val="Subsec"/>
    <w:basedOn w:val="Normal"/>
    <w:uiPriority w:val="99"/>
    <w:rsid w:val="006E714B"/>
    <w:pPr>
      <w:keepLines/>
      <w:tabs>
        <w:tab w:val="right" w:pos="794"/>
      </w:tabs>
      <w:spacing w:before="80" w:after="100" w:line="260" w:lineRule="exact"/>
      <w:ind w:left="964" w:hanging="964"/>
      <w:jc w:val="both"/>
    </w:pPr>
    <w:rPr>
      <w:rFonts w:asciiTheme="minorHAnsi" w:eastAsiaTheme="minorHAnsi" w:hAnsiTheme="minorHAnsi" w:cstheme="minorBidi"/>
      <w:sz w:val="22"/>
      <w:szCs w:val="22"/>
      <w:lang w:eastAsia="en-US"/>
    </w:rPr>
  </w:style>
  <w:style w:type="paragraph" w:customStyle="1" w:styleId="Green">
    <w:name w:val="Green"/>
    <w:basedOn w:val="Normal"/>
    <w:qFormat/>
    <w:rsid w:val="006E714B"/>
    <w:pPr>
      <w:spacing w:before="80" w:after="80" w:line="276" w:lineRule="auto"/>
    </w:pPr>
    <w:rPr>
      <w:rFonts w:ascii="Arial" w:eastAsiaTheme="minorHAnsi" w:hAnsi="Arial" w:cstheme="minorBidi"/>
      <w:b/>
      <w:color w:val="00B050"/>
      <w:sz w:val="20"/>
      <w:szCs w:val="22"/>
      <w:lang w:eastAsia="en-US"/>
    </w:rPr>
  </w:style>
  <w:style w:type="paragraph" w:customStyle="1" w:styleId="h5section0">
    <w:name w:val="h5section"/>
    <w:basedOn w:val="Normal"/>
    <w:rsid w:val="00742B61"/>
    <w:pPr>
      <w:keepNext/>
      <w:spacing w:before="360" w:after="60"/>
      <w:ind w:left="964" w:hanging="964"/>
    </w:pPr>
    <w:rPr>
      <w:rFonts w:ascii="Arial" w:eastAsiaTheme="minorHAnsi" w:hAnsi="Arial" w:cs="Arial"/>
      <w:b/>
      <w:bCs/>
    </w:rPr>
  </w:style>
  <w:style w:type="paragraph" w:customStyle="1" w:styleId="tpara0">
    <w:name w:val="tpara"/>
    <w:basedOn w:val="Normal"/>
    <w:rsid w:val="00742B61"/>
    <w:pPr>
      <w:spacing w:after="100" w:line="260" w:lineRule="atLeast"/>
      <w:ind w:left="1701" w:hanging="1701"/>
      <w:jc w:val="both"/>
    </w:pPr>
    <w:rPr>
      <w:rFonts w:eastAsiaTheme="minorHAnsi"/>
    </w:rPr>
  </w:style>
  <w:style w:type="paragraph" w:customStyle="1" w:styleId="tmain0">
    <w:name w:val="tmain"/>
    <w:basedOn w:val="Normal"/>
    <w:rsid w:val="00742B61"/>
    <w:pPr>
      <w:spacing w:before="80" w:after="100" w:line="260" w:lineRule="atLeast"/>
      <w:ind w:left="964" w:hanging="964"/>
      <w:jc w:val="both"/>
    </w:pPr>
    <w:rPr>
      <w:rFonts w:eastAsiaTheme="minorHAnsi"/>
    </w:rPr>
  </w:style>
  <w:style w:type="paragraph" w:customStyle="1" w:styleId="notepara1">
    <w:name w:val="notepara"/>
    <w:basedOn w:val="Normal"/>
    <w:rsid w:val="00742B61"/>
    <w:pPr>
      <w:spacing w:after="100" w:line="220" w:lineRule="atLeast"/>
      <w:ind w:left="1701" w:hanging="1701"/>
      <w:jc w:val="both"/>
    </w:pPr>
    <w:rPr>
      <w:rFonts w:eastAsiaTheme="minorHAnsi"/>
      <w:sz w:val="20"/>
      <w:szCs w:val="20"/>
    </w:rPr>
  </w:style>
  <w:style w:type="character" w:styleId="PlaceholderText">
    <w:name w:val="Placeholder Text"/>
    <w:basedOn w:val="DefaultParagraphFont"/>
    <w:uiPriority w:val="99"/>
    <w:semiHidden/>
    <w:rsid w:val="009E3155"/>
    <w:rPr>
      <w:color w:val="808080"/>
    </w:rPr>
  </w:style>
  <w:style w:type="paragraph" w:customStyle="1" w:styleId="Bullet">
    <w:name w:val="Bullet"/>
    <w:aliases w:val="b"/>
    <w:basedOn w:val="Normal"/>
    <w:link w:val="BulletChar"/>
    <w:qFormat/>
    <w:rsid w:val="00707BFA"/>
    <w:pPr>
      <w:numPr>
        <w:numId w:val="3"/>
      </w:numPr>
      <w:spacing w:before="120" w:after="120" w:line="276" w:lineRule="auto"/>
    </w:pPr>
    <w:rPr>
      <w:rFonts w:ascii="Calibri" w:hAnsi="Calibri"/>
      <w:sz w:val="22"/>
      <w:szCs w:val="22"/>
      <w:lang w:eastAsia="en-US"/>
    </w:rPr>
  </w:style>
  <w:style w:type="character" w:customStyle="1" w:styleId="BulletChar">
    <w:name w:val="Bullet Char"/>
    <w:aliases w:val="b Char"/>
    <w:basedOn w:val="DefaultParagraphFont"/>
    <w:link w:val="Bullet"/>
    <w:locked/>
    <w:rsid w:val="00707BFA"/>
    <w:rPr>
      <w:rFonts w:ascii="Calibri" w:eastAsia="Times New Roman" w:hAnsi="Calibri"/>
      <w:sz w:val="22"/>
      <w:szCs w:val="22"/>
    </w:rPr>
  </w:style>
  <w:style w:type="paragraph" w:customStyle="1" w:styleId="Dash">
    <w:name w:val="Dash"/>
    <w:basedOn w:val="Normal"/>
    <w:qFormat/>
    <w:rsid w:val="00707BFA"/>
    <w:pPr>
      <w:numPr>
        <w:ilvl w:val="1"/>
        <w:numId w:val="3"/>
      </w:numPr>
      <w:spacing w:before="120" w:after="120" w:line="276" w:lineRule="auto"/>
    </w:pPr>
    <w:rPr>
      <w:rFonts w:ascii="Calibri" w:hAnsi="Calibri"/>
      <w:sz w:val="22"/>
      <w:szCs w:val="22"/>
      <w:lang w:eastAsia="en-US"/>
    </w:rPr>
  </w:style>
  <w:style w:type="paragraph" w:customStyle="1" w:styleId="DoubleDot">
    <w:name w:val="Double Dot"/>
    <w:basedOn w:val="Normal"/>
    <w:rsid w:val="00707BFA"/>
    <w:pPr>
      <w:numPr>
        <w:ilvl w:val="2"/>
        <w:numId w:val="3"/>
      </w:numPr>
      <w:spacing w:before="120" w:after="120" w:line="276" w:lineRule="auto"/>
    </w:pPr>
    <w:rPr>
      <w:rFonts w:ascii="Calibri" w:hAnsi="Calibri"/>
      <w:sz w:val="22"/>
      <w:szCs w:val="22"/>
      <w:lang w:eastAsia="en-US"/>
    </w:rPr>
  </w:style>
  <w:style w:type="paragraph" w:customStyle="1" w:styleId="ldclauseheading">
    <w:name w:val="ldclauseheading"/>
    <w:basedOn w:val="Normal"/>
    <w:rsid w:val="00D1565D"/>
    <w:pPr>
      <w:spacing w:before="100" w:beforeAutospacing="1" w:after="100" w:afterAutospacing="1"/>
    </w:pPr>
  </w:style>
  <w:style w:type="paragraph" w:customStyle="1" w:styleId="ldclause">
    <w:name w:val="ldclause"/>
    <w:basedOn w:val="Normal"/>
    <w:rsid w:val="00D1565D"/>
    <w:pPr>
      <w:spacing w:before="100" w:beforeAutospacing="1" w:after="100" w:afterAutospacing="1"/>
    </w:pPr>
  </w:style>
  <w:style w:type="paragraph" w:customStyle="1" w:styleId="ldp1a">
    <w:name w:val="ldp1a"/>
    <w:basedOn w:val="Normal"/>
    <w:rsid w:val="00D1565D"/>
    <w:pPr>
      <w:spacing w:before="100" w:beforeAutospacing="1" w:after="100" w:afterAutospacing="1"/>
    </w:pPr>
  </w:style>
  <w:style w:type="paragraph" w:customStyle="1" w:styleId="tdefn0">
    <w:name w:val="tdefn"/>
    <w:basedOn w:val="Normal"/>
    <w:rsid w:val="00235955"/>
    <w:pPr>
      <w:spacing w:before="100" w:beforeAutospacing="1" w:after="100" w:afterAutospacing="1"/>
    </w:pPr>
  </w:style>
  <w:style w:type="character" w:styleId="FollowedHyperlink">
    <w:name w:val="FollowedHyperlink"/>
    <w:basedOn w:val="DefaultParagraphFont"/>
    <w:uiPriority w:val="99"/>
    <w:semiHidden/>
    <w:unhideWhenUsed/>
    <w:rsid w:val="00585E28"/>
    <w:rPr>
      <w:color w:val="800080" w:themeColor="followedHyperlink"/>
      <w:u w:val="single"/>
    </w:rPr>
  </w:style>
  <w:style w:type="paragraph" w:customStyle="1" w:styleId="tsubpara0">
    <w:name w:val="tsubpara"/>
    <w:basedOn w:val="Normal"/>
    <w:rsid w:val="00926FE8"/>
    <w:pPr>
      <w:spacing w:before="100" w:beforeAutospacing="1" w:after="100" w:afterAutospacing="1"/>
    </w:pPr>
  </w:style>
  <w:style w:type="paragraph" w:customStyle="1" w:styleId="notesubpara0">
    <w:name w:val="notesubpara"/>
    <w:basedOn w:val="Normal"/>
    <w:rsid w:val="00796C8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Block Text"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75D"/>
    <w:rPr>
      <w:rFonts w:eastAsia="Times New Roman"/>
      <w:sz w:val="24"/>
      <w:szCs w:val="24"/>
      <w:lang w:eastAsia="en-AU"/>
    </w:rPr>
  </w:style>
  <w:style w:type="paragraph" w:styleId="Heading1">
    <w:name w:val="heading 1"/>
    <w:basedOn w:val="Normal"/>
    <w:next w:val="Normal"/>
    <w:link w:val="Heading1Char"/>
    <w:uiPriority w:val="9"/>
    <w:rsid w:val="00CD34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34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34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34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349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Defn">
    <w:name w:val="t_Defn"/>
    <w:basedOn w:val="Normal"/>
    <w:uiPriority w:val="99"/>
    <w:rsid w:val="00CD349A"/>
    <w:pPr>
      <w:spacing w:before="80" w:after="100" w:line="260" w:lineRule="exact"/>
      <w:ind w:left="964"/>
      <w:jc w:val="both"/>
    </w:pPr>
  </w:style>
  <w:style w:type="paragraph" w:customStyle="1" w:styleId="Tempstyle">
    <w:name w:val="Temp style"/>
    <w:basedOn w:val="Normal"/>
    <w:rsid w:val="00CD349A"/>
  </w:style>
  <w:style w:type="paragraph" w:customStyle="1" w:styleId="h1ChSch">
    <w:name w:val="h1_Ch_Sch"/>
    <w:basedOn w:val="Heading1"/>
    <w:next w:val="Normal"/>
    <w:qFormat/>
    <w:rsid w:val="00CD349A"/>
    <w:pPr>
      <w:pageBreakBefore/>
      <w:spacing w:after="60"/>
      <w:ind w:left="2410" w:hanging="2410"/>
    </w:pPr>
    <w:rPr>
      <w:rFonts w:ascii="Arial" w:eastAsia="Times New Roman" w:hAnsi="Arial" w:cs="Arial"/>
      <w:color w:val="auto"/>
      <w:kern w:val="32"/>
      <w:sz w:val="40"/>
      <w:szCs w:val="32"/>
    </w:rPr>
  </w:style>
  <w:style w:type="character" w:customStyle="1" w:styleId="Heading1Char">
    <w:name w:val="Heading 1 Char"/>
    <w:basedOn w:val="DefaultParagraphFont"/>
    <w:link w:val="Heading1"/>
    <w:uiPriority w:val="9"/>
    <w:rsid w:val="00CD349A"/>
    <w:rPr>
      <w:rFonts w:asciiTheme="majorHAnsi" w:eastAsiaTheme="majorEastAsia" w:hAnsiTheme="majorHAnsi" w:cstheme="majorBidi"/>
      <w:b/>
      <w:bCs/>
      <w:color w:val="365F91" w:themeColor="accent1" w:themeShade="BF"/>
      <w:sz w:val="28"/>
      <w:szCs w:val="28"/>
    </w:rPr>
  </w:style>
  <w:style w:type="paragraph" w:customStyle="1" w:styleId="h3Div">
    <w:name w:val="h3_Div"/>
    <w:basedOn w:val="Heading3"/>
    <w:next w:val="Normal"/>
    <w:qFormat/>
    <w:rsid w:val="00CD349A"/>
    <w:pPr>
      <w:spacing w:before="360" w:after="60"/>
      <w:ind w:left="2410" w:hanging="2410"/>
    </w:pPr>
    <w:rPr>
      <w:rFonts w:ascii="Arial" w:eastAsia="Times New Roman" w:hAnsi="Arial" w:cs="Arial"/>
      <w:color w:val="auto"/>
      <w:sz w:val="28"/>
      <w:szCs w:val="26"/>
    </w:rPr>
  </w:style>
  <w:style w:type="character" w:customStyle="1" w:styleId="Heading3Char">
    <w:name w:val="Heading 3 Char"/>
    <w:basedOn w:val="DefaultParagraphFont"/>
    <w:link w:val="Heading3"/>
    <w:uiPriority w:val="9"/>
    <w:semiHidden/>
    <w:rsid w:val="00CD349A"/>
    <w:rPr>
      <w:rFonts w:asciiTheme="majorHAnsi" w:eastAsiaTheme="majorEastAsia" w:hAnsiTheme="majorHAnsi" w:cstheme="majorBidi"/>
      <w:b/>
      <w:bCs/>
      <w:color w:val="4F81BD" w:themeColor="accent1"/>
    </w:rPr>
  </w:style>
  <w:style w:type="paragraph" w:customStyle="1" w:styleId="h7Example">
    <w:name w:val="h7_Example"/>
    <w:basedOn w:val="Normal"/>
    <w:next w:val="Normal"/>
    <w:qFormat/>
    <w:rsid w:val="00CD349A"/>
    <w:pPr>
      <w:keepNext/>
      <w:spacing w:before="120" w:line="220" w:lineRule="exact"/>
      <w:ind w:left="964"/>
    </w:pPr>
    <w:rPr>
      <w:i/>
    </w:rPr>
  </w:style>
  <w:style w:type="paragraph" w:customStyle="1" w:styleId="h2Part">
    <w:name w:val="h2_Part"/>
    <w:basedOn w:val="Heading2"/>
    <w:next w:val="h3Div"/>
    <w:qFormat/>
    <w:rsid w:val="00CD349A"/>
    <w:pPr>
      <w:pageBreakBefore/>
      <w:spacing w:before="360" w:after="60"/>
      <w:ind w:left="2410" w:hanging="2410"/>
    </w:pPr>
    <w:rPr>
      <w:rFonts w:ascii="Arial" w:eastAsia="Times New Roman" w:hAnsi="Arial" w:cs="Arial"/>
      <w:bCs w:val="0"/>
      <w:iCs/>
      <w:color w:val="auto"/>
      <w:sz w:val="36"/>
      <w:szCs w:val="22"/>
    </w:rPr>
  </w:style>
  <w:style w:type="character" w:customStyle="1" w:styleId="Heading2Char">
    <w:name w:val="Heading 2 Char"/>
    <w:basedOn w:val="DefaultParagraphFont"/>
    <w:link w:val="Heading2"/>
    <w:uiPriority w:val="9"/>
    <w:rsid w:val="00CD349A"/>
    <w:rPr>
      <w:rFonts w:asciiTheme="majorHAnsi" w:eastAsiaTheme="majorEastAsia" w:hAnsiTheme="majorHAnsi" w:cstheme="majorBidi"/>
      <w:b/>
      <w:bCs/>
      <w:color w:val="4F81BD" w:themeColor="accent1"/>
      <w:sz w:val="26"/>
      <w:szCs w:val="26"/>
    </w:rPr>
  </w:style>
  <w:style w:type="paragraph" w:customStyle="1" w:styleId="h4Subdiv">
    <w:name w:val="h4_Subdiv"/>
    <w:basedOn w:val="Heading4"/>
    <w:next w:val="Normal"/>
    <w:autoRedefine/>
    <w:qFormat/>
    <w:rsid w:val="00CD349A"/>
    <w:pPr>
      <w:spacing w:before="360" w:after="60"/>
      <w:ind w:left="2410" w:hanging="2410"/>
    </w:pPr>
    <w:rPr>
      <w:rFonts w:ascii="Arial" w:eastAsia="Times New Roman" w:hAnsi="Arial" w:cs="Times New Roman"/>
      <w:i w:val="0"/>
      <w:iCs w:val="0"/>
      <w:color w:val="auto"/>
      <w:sz w:val="28"/>
      <w:szCs w:val="28"/>
    </w:rPr>
  </w:style>
  <w:style w:type="character" w:customStyle="1" w:styleId="Heading4Char">
    <w:name w:val="Heading 4 Char"/>
    <w:basedOn w:val="DefaultParagraphFont"/>
    <w:link w:val="Heading4"/>
    <w:uiPriority w:val="9"/>
    <w:semiHidden/>
    <w:rsid w:val="00CD349A"/>
    <w:rPr>
      <w:rFonts w:asciiTheme="majorHAnsi" w:eastAsiaTheme="majorEastAsia" w:hAnsiTheme="majorHAnsi" w:cstheme="majorBidi"/>
      <w:b/>
      <w:bCs/>
      <w:i/>
      <w:iCs/>
      <w:color w:val="4F81BD" w:themeColor="accent1"/>
    </w:rPr>
  </w:style>
  <w:style w:type="paragraph" w:customStyle="1" w:styleId="h5Section">
    <w:name w:val="h5_Section"/>
    <w:basedOn w:val="Heading5"/>
    <w:next w:val="Normal"/>
    <w:uiPriority w:val="99"/>
    <w:qFormat/>
    <w:rsid w:val="00CD349A"/>
    <w:pPr>
      <w:spacing w:before="360" w:after="60"/>
      <w:ind w:left="964" w:hanging="964"/>
    </w:pPr>
    <w:rPr>
      <w:rFonts w:ascii="Arial" w:eastAsia="Times New Roman" w:hAnsi="Arial" w:cs="Times New Roman"/>
      <w:b/>
      <w:bCs/>
      <w:iCs/>
      <w:color w:val="auto"/>
      <w:szCs w:val="26"/>
    </w:rPr>
  </w:style>
  <w:style w:type="character" w:customStyle="1" w:styleId="Heading5Char">
    <w:name w:val="Heading 5 Char"/>
    <w:basedOn w:val="DefaultParagraphFont"/>
    <w:link w:val="Heading5"/>
    <w:uiPriority w:val="9"/>
    <w:semiHidden/>
    <w:rsid w:val="00CD349A"/>
    <w:rPr>
      <w:rFonts w:asciiTheme="majorHAnsi" w:eastAsiaTheme="majorEastAsia" w:hAnsiTheme="majorHAnsi" w:cstheme="majorBidi"/>
      <w:color w:val="243F60" w:themeColor="accent1" w:themeShade="7F"/>
    </w:rPr>
  </w:style>
  <w:style w:type="paragraph" w:customStyle="1" w:styleId="noteDrafter">
    <w:name w:val="note_Drafter"/>
    <w:basedOn w:val="Normal"/>
    <w:qFormat/>
    <w:rsid w:val="00E26C4A"/>
    <w:pPr>
      <w:spacing w:before="80" w:after="80"/>
    </w:pPr>
    <w:rPr>
      <w:color w:val="0070C0"/>
    </w:rPr>
  </w:style>
  <w:style w:type="paragraph" w:customStyle="1" w:styleId="tPara">
    <w:name w:val="t_Para"/>
    <w:basedOn w:val="Normal"/>
    <w:uiPriority w:val="99"/>
    <w:qFormat/>
    <w:rsid w:val="00071ABA"/>
    <w:pPr>
      <w:keepLines/>
      <w:tabs>
        <w:tab w:val="right" w:pos="1531"/>
      </w:tabs>
      <w:spacing w:after="100" w:line="260" w:lineRule="exact"/>
      <w:ind w:left="1701" w:hanging="1701"/>
      <w:jc w:val="both"/>
    </w:pPr>
  </w:style>
  <w:style w:type="paragraph" w:customStyle="1" w:styleId="tSubpara">
    <w:name w:val="t_Subpara"/>
    <w:basedOn w:val="Normal"/>
    <w:qFormat/>
    <w:rsid w:val="00071ABA"/>
    <w:pPr>
      <w:keepLines/>
      <w:tabs>
        <w:tab w:val="right" w:pos="2211"/>
      </w:tabs>
      <w:spacing w:after="100" w:line="260" w:lineRule="exact"/>
      <w:ind w:left="2410" w:hanging="2410"/>
      <w:jc w:val="both"/>
    </w:pPr>
  </w:style>
  <w:style w:type="paragraph" w:customStyle="1" w:styleId="tSubsub">
    <w:name w:val="t_Subsub"/>
    <w:basedOn w:val="Normal"/>
    <w:qFormat/>
    <w:rsid w:val="00071ABA"/>
    <w:pPr>
      <w:tabs>
        <w:tab w:val="right" w:pos="2948"/>
      </w:tabs>
      <w:spacing w:after="100" w:line="260" w:lineRule="exact"/>
      <w:ind w:left="3119" w:hanging="3119"/>
      <w:jc w:val="both"/>
    </w:pPr>
  </w:style>
  <w:style w:type="paragraph" w:styleId="Title">
    <w:name w:val="Title"/>
    <w:basedOn w:val="Normal"/>
    <w:next w:val="Normal"/>
    <w:link w:val="TitleChar"/>
    <w:qFormat/>
    <w:rsid w:val="00CD349A"/>
    <w:pPr>
      <w:spacing w:before="480"/>
    </w:pPr>
    <w:rPr>
      <w:rFonts w:ascii="Arial" w:hAnsi="Arial" w:cs="Arial"/>
      <w:b/>
      <w:bCs/>
      <w:sz w:val="40"/>
      <w:szCs w:val="40"/>
    </w:rPr>
  </w:style>
  <w:style w:type="character" w:customStyle="1" w:styleId="TitleChar">
    <w:name w:val="Title Char"/>
    <w:basedOn w:val="DefaultParagraphFont"/>
    <w:link w:val="Title"/>
    <w:rsid w:val="00CD349A"/>
    <w:rPr>
      <w:rFonts w:ascii="Arial" w:eastAsia="Times New Roman" w:hAnsi="Arial" w:cs="Arial"/>
      <w:b/>
      <w:bCs/>
      <w:sz w:val="40"/>
      <w:szCs w:val="40"/>
      <w:lang w:eastAsia="en-AU"/>
    </w:rPr>
  </w:style>
  <w:style w:type="paragraph" w:styleId="BalloonText">
    <w:name w:val="Balloon Text"/>
    <w:basedOn w:val="Normal"/>
    <w:link w:val="BalloonTextChar"/>
    <w:uiPriority w:val="99"/>
    <w:semiHidden/>
    <w:unhideWhenUsed/>
    <w:rsid w:val="00CD349A"/>
    <w:rPr>
      <w:rFonts w:ascii="Tahoma" w:hAnsi="Tahoma" w:cs="Tahoma"/>
      <w:sz w:val="16"/>
      <w:szCs w:val="16"/>
    </w:rPr>
  </w:style>
  <w:style w:type="character" w:customStyle="1" w:styleId="BalloonTextChar">
    <w:name w:val="Balloon Text Char"/>
    <w:basedOn w:val="DefaultParagraphFont"/>
    <w:link w:val="BalloonText"/>
    <w:uiPriority w:val="99"/>
    <w:semiHidden/>
    <w:rsid w:val="00CD349A"/>
    <w:rPr>
      <w:rFonts w:ascii="Tahoma" w:eastAsia="Times New Roman" w:hAnsi="Tahoma" w:cs="Tahoma"/>
      <w:sz w:val="16"/>
      <w:szCs w:val="16"/>
      <w:lang w:eastAsia="en-AU"/>
    </w:rPr>
  </w:style>
  <w:style w:type="paragraph" w:styleId="Header">
    <w:name w:val="header"/>
    <w:basedOn w:val="Normal"/>
    <w:link w:val="HeaderChar"/>
    <w:uiPriority w:val="99"/>
    <w:unhideWhenUsed/>
    <w:rsid w:val="00CD349A"/>
    <w:pPr>
      <w:tabs>
        <w:tab w:val="center" w:pos="4513"/>
        <w:tab w:val="right" w:pos="9026"/>
      </w:tabs>
    </w:pPr>
  </w:style>
  <w:style w:type="character" w:customStyle="1" w:styleId="HeaderChar">
    <w:name w:val="Header Char"/>
    <w:basedOn w:val="DefaultParagraphFont"/>
    <w:link w:val="Header"/>
    <w:uiPriority w:val="99"/>
    <w:rsid w:val="00CD349A"/>
    <w:rPr>
      <w:rFonts w:eastAsia="Times New Roman"/>
      <w:sz w:val="24"/>
      <w:szCs w:val="24"/>
      <w:lang w:eastAsia="en-AU"/>
    </w:rPr>
  </w:style>
  <w:style w:type="paragraph" w:styleId="Footer">
    <w:name w:val="footer"/>
    <w:basedOn w:val="Normal"/>
    <w:link w:val="FooterChar"/>
    <w:uiPriority w:val="99"/>
    <w:unhideWhenUsed/>
    <w:rsid w:val="00CD349A"/>
    <w:pPr>
      <w:tabs>
        <w:tab w:val="center" w:pos="4513"/>
        <w:tab w:val="right" w:pos="9026"/>
      </w:tabs>
    </w:pPr>
  </w:style>
  <w:style w:type="character" w:customStyle="1" w:styleId="FooterChar">
    <w:name w:val="Footer Char"/>
    <w:basedOn w:val="DefaultParagraphFont"/>
    <w:link w:val="Footer"/>
    <w:uiPriority w:val="99"/>
    <w:rsid w:val="00CD349A"/>
    <w:rPr>
      <w:rFonts w:eastAsia="Times New Roman"/>
      <w:sz w:val="24"/>
      <w:szCs w:val="24"/>
      <w:lang w:eastAsia="en-AU"/>
    </w:rPr>
  </w:style>
  <w:style w:type="paragraph" w:customStyle="1" w:styleId="HeaderBoldOdd">
    <w:name w:val="HeaderBoldOdd"/>
    <w:basedOn w:val="Normal"/>
    <w:rsid w:val="00D55828"/>
    <w:pPr>
      <w:spacing w:before="120" w:after="60"/>
      <w:jc w:val="right"/>
    </w:pPr>
    <w:rPr>
      <w:rFonts w:ascii="Arial" w:hAnsi="Arial"/>
      <w:b/>
      <w:sz w:val="20"/>
    </w:rPr>
  </w:style>
  <w:style w:type="paragraph" w:customStyle="1" w:styleId="HeaderLiteOdd">
    <w:name w:val="HeaderLiteOdd"/>
    <w:basedOn w:val="Normal"/>
    <w:rsid w:val="00D55828"/>
    <w:pPr>
      <w:tabs>
        <w:tab w:val="center" w:pos="3969"/>
        <w:tab w:val="right" w:pos="8505"/>
      </w:tabs>
      <w:spacing w:before="60"/>
      <w:jc w:val="right"/>
    </w:pPr>
    <w:rPr>
      <w:rFonts w:ascii="Arial" w:hAnsi="Arial"/>
      <w:sz w:val="18"/>
    </w:rPr>
  </w:style>
  <w:style w:type="paragraph" w:customStyle="1" w:styleId="FooterDraft">
    <w:name w:val="FooterDraft"/>
    <w:basedOn w:val="Normal"/>
    <w:rsid w:val="00D55828"/>
    <w:pPr>
      <w:jc w:val="center"/>
    </w:pPr>
    <w:rPr>
      <w:rFonts w:ascii="Arial" w:hAnsi="Arial"/>
      <w:b/>
      <w:sz w:val="40"/>
    </w:rPr>
  </w:style>
  <w:style w:type="character" w:styleId="PageNumber">
    <w:name w:val="page number"/>
    <w:basedOn w:val="DefaultParagraphFont"/>
    <w:rsid w:val="00D55828"/>
    <w:rPr>
      <w:rFonts w:ascii="Arial" w:hAnsi="Arial"/>
      <w:sz w:val="22"/>
    </w:rPr>
  </w:style>
  <w:style w:type="paragraph" w:customStyle="1" w:styleId="FooterCitation">
    <w:name w:val="FooterCitation"/>
    <w:basedOn w:val="Footer"/>
    <w:rsid w:val="00D55828"/>
    <w:pPr>
      <w:tabs>
        <w:tab w:val="clear" w:pos="4513"/>
        <w:tab w:val="clear" w:pos="9026"/>
        <w:tab w:val="center" w:pos="4153"/>
        <w:tab w:val="right" w:pos="8306"/>
      </w:tabs>
      <w:spacing w:before="20" w:line="240" w:lineRule="exact"/>
      <w:jc w:val="center"/>
    </w:pPr>
    <w:rPr>
      <w:rFonts w:ascii="Arial" w:hAnsi="Arial"/>
      <w:i/>
      <w:sz w:val="18"/>
    </w:rPr>
  </w:style>
  <w:style w:type="paragraph" w:styleId="TOC2">
    <w:name w:val="toc 2"/>
    <w:basedOn w:val="Normal"/>
    <w:next w:val="Normal"/>
    <w:autoRedefine/>
    <w:uiPriority w:val="39"/>
    <w:rsid w:val="005E089C"/>
    <w:pPr>
      <w:keepNext/>
      <w:tabs>
        <w:tab w:val="right" w:pos="8278"/>
      </w:tabs>
      <w:spacing w:before="120" w:after="120"/>
      <w:ind w:left="1843" w:right="714" w:hanging="1843"/>
    </w:pPr>
    <w:rPr>
      <w:rFonts w:ascii="Arial" w:hAnsi="Arial"/>
      <w:b/>
      <w:noProof/>
      <w:sz w:val="22"/>
      <w:szCs w:val="22"/>
      <w:lang w:eastAsia="en-US"/>
    </w:rPr>
  </w:style>
  <w:style w:type="paragraph" w:styleId="TOC3">
    <w:name w:val="toc 3"/>
    <w:basedOn w:val="Normal"/>
    <w:next w:val="Normal"/>
    <w:autoRedefine/>
    <w:uiPriority w:val="39"/>
    <w:rsid w:val="005E089C"/>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39"/>
    <w:rsid w:val="005E089C"/>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5E089C"/>
    <w:pPr>
      <w:tabs>
        <w:tab w:val="right" w:pos="1559"/>
        <w:tab w:val="right" w:pos="8278"/>
      </w:tabs>
      <w:spacing w:before="40"/>
      <w:ind w:left="1843" w:right="714" w:hanging="1843"/>
    </w:pPr>
    <w:rPr>
      <w:rFonts w:ascii="Arial" w:hAnsi="Arial"/>
      <w:noProof/>
      <w:sz w:val="19"/>
      <w:szCs w:val="19"/>
      <w:lang w:eastAsia="en-US"/>
    </w:rPr>
  </w:style>
  <w:style w:type="character" w:customStyle="1" w:styleId="CharSectno">
    <w:name w:val="CharSectno"/>
    <w:basedOn w:val="DefaultParagraphFont"/>
    <w:uiPriority w:val="99"/>
    <w:rsid w:val="005E089C"/>
  </w:style>
  <w:style w:type="paragraph" w:customStyle="1" w:styleId="Sec">
    <w:name w:val="Sec"/>
    <w:basedOn w:val="Normal"/>
    <w:next w:val="Normal"/>
    <w:uiPriority w:val="99"/>
    <w:rsid w:val="003B533D"/>
    <w:pPr>
      <w:keepLines/>
      <w:tabs>
        <w:tab w:val="right" w:pos="794"/>
      </w:tabs>
      <w:spacing w:before="80" w:after="100" w:line="260" w:lineRule="exact"/>
      <w:ind w:left="964" w:hanging="964"/>
      <w:jc w:val="both"/>
    </w:pPr>
  </w:style>
  <w:style w:type="character" w:styleId="Hyperlink">
    <w:name w:val="Hyperlink"/>
    <w:basedOn w:val="DefaultParagraphFont"/>
    <w:rsid w:val="00B8428D"/>
    <w:rPr>
      <w:color w:val="0000FF"/>
      <w:u w:val="single"/>
    </w:rPr>
  </w:style>
  <w:style w:type="paragraph" w:customStyle="1" w:styleId="tMain">
    <w:name w:val="t_Main"/>
    <w:basedOn w:val="Normal"/>
    <w:uiPriority w:val="99"/>
    <w:qFormat/>
    <w:rsid w:val="00B8428D"/>
    <w:pPr>
      <w:keepLines/>
      <w:tabs>
        <w:tab w:val="right" w:pos="794"/>
      </w:tabs>
      <w:spacing w:before="80" w:after="100" w:line="260" w:lineRule="exact"/>
      <w:ind w:left="964" w:hanging="964"/>
      <w:jc w:val="both"/>
    </w:pPr>
  </w:style>
  <w:style w:type="paragraph" w:customStyle="1" w:styleId="h6Subsec">
    <w:name w:val="h6_Subsec"/>
    <w:basedOn w:val="Normal"/>
    <w:next w:val="Normal"/>
    <w:qFormat/>
    <w:rsid w:val="00B8428D"/>
    <w:pPr>
      <w:keepNext/>
      <w:spacing w:before="120"/>
      <w:ind w:left="964"/>
    </w:pPr>
    <w:rPr>
      <w:rFonts w:ascii="Arial" w:hAnsi="Arial"/>
      <w:i/>
    </w:rPr>
  </w:style>
  <w:style w:type="paragraph" w:styleId="BlockText">
    <w:name w:val="Block Text"/>
    <w:basedOn w:val="Normal"/>
    <w:rsid w:val="00B8428D"/>
    <w:pPr>
      <w:spacing w:after="120"/>
      <w:ind w:left="1440" w:right="1440"/>
    </w:pPr>
  </w:style>
  <w:style w:type="paragraph" w:styleId="ListParagraph">
    <w:name w:val="List Paragraph"/>
    <w:basedOn w:val="Normal"/>
    <w:uiPriority w:val="34"/>
    <w:qFormat/>
    <w:rsid w:val="00B8428D"/>
    <w:pPr>
      <w:spacing w:line="276" w:lineRule="auto"/>
      <w:ind w:left="720"/>
    </w:pPr>
    <w:rPr>
      <w:szCs w:val="22"/>
      <w:lang w:eastAsia="en-US"/>
    </w:rPr>
  </w:style>
  <w:style w:type="paragraph" w:customStyle="1" w:styleId="EquationNote">
    <w:name w:val="EquationNote"/>
    <w:basedOn w:val="Normal"/>
    <w:link w:val="EquationNoteChar"/>
    <w:uiPriority w:val="99"/>
    <w:rsid w:val="00B8428D"/>
    <w:pPr>
      <w:tabs>
        <w:tab w:val="right" w:pos="9000"/>
      </w:tabs>
      <w:spacing w:before="60"/>
      <w:ind w:left="360" w:hanging="360"/>
    </w:pPr>
    <w:rPr>
      <w:rFonts w:ascii="Arial" w:hAnsi="Arial" w:cs="Arial"/>
      <w:iCs/>
      <w:sz w:val="18"/>
      <w:szCs w:val="20"/>
      <w:lang w:eastAsia="en-US"/>
    </w:rPr>
  </w:style>
  <w:style w:type="character" w:customStyle="1" w:styleId="EquationNoteChar">
    <w:name w:val="EquationNote Char"/>
    <w:basedOn w:val="DefaultParagraphFont"/>
    <w:link w:val="EquationNote"/>
    <w:uiPriority w:val="99"/>
    <w:locked/>
    <w:rsid w:val="00B8428D"/>
    <w:rPr>
      <w:rFonts w:ascii="Arial" w:eastAsia="Times New Roman" w:hAnsi="Arial" w:cs="Arial"/>
      <w:iCs/>
      <w:sz w:val="18"/>
    </w:rPr>
  </w:style>
  <w:style w:type="paragraph" w:customStyle="1" w:styleId="NoteEnd">
    <w:name w:val="Note End"/>
    <w:basedOn w:val="Normal"/>
    <w:rsid w:val="004466D2"/>
    <w:pPr>
      <w:keepLines/>
      <w:spacing w:before="120" w:line="240" w:lineRule="exact"/>
      <w:ind w:left="567" w:hanging="567"/>
      <w:jc w:val="both"/>
    </w:pPr>
    <w:rPr>
      <w:sz w:val="22"/>
    </w:rPr>
  </w:style>
  <w:style w:type="paragraph" w:customStyle="1" w:styleId="noteMain">
    <w:name w:val="note_Main"/>
    <w:basedOn w:val="tMain"/>
    <w:qFormat/>
    <w:rsid w:val="000D19CF"/>
    <w:pPr>
      <w:spacing w:line="220" w:lineRule="exact"/>
    </w:pPr>
    <w:rPr>
      <w:sz w:val="20"/>
    </w:rPr>
  </w:style>
  <w:style w:type="paragraph" w:customStyle="1" w:styleId="notePara">
    <w:name w:val="note_Para"/>
    <w:basedOn w:val="tPara"/>
    <w:qFormat/>
    <w:rsid w:val="000D19CF"/>
    <w:pPr>
      <w:spacing w:line="220" w:lineRule="exact"/>
    </w:pPr>
    <w:rPr>
      <w:sz w:val="20"/>
    </w:rPr>
  </w:style>
  <w:style w:type="paragraph" w:customStyle="1" w:styleId="noteSubpara">
    <w:name w:val="note_Subpara"/>
    <w:basedOn w:val="tSubpara"/>
    <w:qFormat/>
    <w:rsid w:val="000D19CF"/>
    <w:pPr>
      <w:spacing w:line="220" w:lineRule="exact"/>
    </w:pPr>
    <w:rPr>
      <w:sz w:val="20"/>
    </w:rPr>
  </w:style>
  <w:style w:type="paragraph" w:customStyle="1" w:styleId="noteSubsub">
    <w:name w:val="note_Subsub"/>
    <w:basedOn w:val="tSubsub"/>
    <w:qFormat/>
    <w:rsid w:val="000D19CF"/>
    <w:pPr>
      <w:spacing w:line="220" w:lineRule="exact"/>
    </w:pPr>
    <w:rPr>
      <w:sz w:val="20"/>
    </w:rPr>
  </w:style>
  <w:style w:type="paragraph" w:customStyle="1" w:styleId="definition">
    <w:name w:val="definition"/>
    <w:basedOn w:val="Normal"/>
    <w:rsid w:val="000D3FCA"/>
    <w:pPr>
      <w:spacing w:before="80" w:line="260" w:lineRule="exact"/>
      <w:ind w:left="964"/>
      <w:jc w:val="both"/>
    </w:pPr>
  </w:style>
  <w:style w:type="character" w:styleId="CommentReference">
    <w:name w:val="annotation reference"/>
    <w:basedOn w:val="DefaultParagraphFont"/>
    <w:uiPriority w:val="99"/>
    <w:unhideWhenUsed/>
    <w:rsid w:val="000D3FCA"/>
    <w:rPr>
      <w:sz w:val="16"/>
      <w:szCs w:val="16"/>
    </w:rPr>
  </w:style>
  <w:style w:type="paragraph" w:styleId="CommentText">
    <w:name w:val="annotation text"/>
    <w:basedOn w:val="Normal"/>
    <w:link w:val="CommentTextChar"/>
    <w:uiPriority w:val="99"/>
    <w:unhideWhenUsed/>
    <w:rsid w:val="000D3FCA"/>
    <w:rPr>
      <w:sz w:val="20"/>
      <w:szCs w:val="20"/>
    </w:rPr>
  </w:style>
  <w:style w:type="character" w:customStyle="1" w:styleId="CommentTextChar">
    <w:name w:val="Comment Text Char"/>
    <w:basedOn w:val="DefaultParagraphFont"/>
    <w:link w:val="CommentText"/>
    <w:uiPriority w:val="99"/>
    <w:rsid w:val="000D3FCA"/>
    <w:rPr>
      <w:rFonts w:eastAsia="Times New Roman"/>
      <w:lang w:eastAsia="en-AU"/>
    </w:rPr>
  </w:style>
  <w:style w:type="paragraph" w:styleId="CommentSubject">
    <w:name w:val="annotation subject"/>
    <w:basedOn w:val="CommentText"/>
    <w:next w:val="CommentText"/>
    <w:link w:val="CommentSubjectChar"/>
    <w:uiPriority w:val="99"/>
    <w:semiHidden/>
    <w:unhideWhenUsed/>
    <w:rsid w:val="000D3FCA"/>
    <w:rPr>
      <w:b/>
      <w:bCs/>
    </w:rPr>
  </w:style>
  <w:style w:type="character" w:customStyle="1" w:styleId="CommentSubjectChar">
    <w:name w:val="Comment Subject Char"/>
    <w:basedOn w:val="CommentTextChar"/>
    <w:link w:val="CommentSubject"/>
    <w:uiPriority w:val="99"/>
    <w:semiHidden/>
    <w:rsid w:val="000D3FCA"/>
    <w:rPr>
      <w:rFonts w:eastAsia="Times New Roman"/>
      <w:b/>
      <w:bCs/>
      <w:lang w:eastAsia="en-AU"/>
    </w:rPr>
  </w:style>
  <w:style w:type="paragraph" w:styleId="Revision">
    <w:name w:val="Revision"/>
    <w:hidden/>
    <w:uiPriority w:val="99"/>
    <w:semiHidden/>
    <w:rsid w:val="000D3FCA"/>
    <w:rPr>
      <w:rFonts w:eastAsia="Times New Roman"/>
      <w:sz w:val="24"/>
      <w:szCs w:val="24"/>
      <w:lang w:eastAsia="en-AU"/>
    </w:rPr>
  </w:style>
  <w:style w:type="paragraph" w:customStyle="1" w:styleId="Default">
    <w:name w:val="Default"/>
    <w:rsid w:val="000D3FCA"/>
    <w:pPr>
      <w:autoSpaceDE w:val="0"/>
      <w:autoSpaceDN w:val="0"/>
      <w:adjustRightInd w:val="0"/>
    </w:pPr>
    <w:rPr>
      <w:rFonts w:ascii="Calibri" w:hAnsi="Calibri" w:cs="Calibri"/>
      <w:color w:val="000000"/>
      <w:sz w:val="24"/>
      <w:szCs w:val="24"/>
    </w:rPr>
  </w:style>
  <w:style w:type="paragraph" w:customStyle="1" w:styleId="HSR">
    <w:name w:val="HSR"/>
    <w:aliases w:val="Subregulation Heading,HSS"/>
    <w:basedOn w:val="Normal"/>
    <w:next w:val="Normal"/>
    <w:rsid w:val="000D3FCA"/>
    <w:pPr>
      <w:keepNext/>
      <w:spacing w:before="300"/>
      <w:ind w:left="964"/>
    </w:pPr>
    <w:rPr>
      <w:rFonts w:ascii="Arial" w:hAnsi="Arial"/>
      <w:i/>
    </w:rPr>
  </w:style>
  <w:style w:type="paragraph" w:customStyle="1" w:styleId="R1">
    <w:name w:val="R1"/>
    <w:aliases w:val="1. or 1.(1)"/>
    <w:basedOn w:val="Normal"/>
    <w:next w:val="Normal"/>
    <w:rsid w:val="000D3FCA"/>
    <w:pPr>
      <w:keepLines/>
      <w:tabs>
        <w:tab w:val="right" w:pos="794"/>
      </w:tabs>
      <w:spacing w:before="120" w:line="260" w:lineRule="exact"/>
      <w:ind w:left="964" w:hanging="964"/>
      <w:jc w:val="both"/>
    </w:pPr>
  </w:style>
  <w:style w:type="paragraph" w:customStyle="1" w:styleId="R2">
    <w:name w:val="R2"/>
    <w:aliases w:val="(2)"/>
    <w:basedOn w:val="Normal"/>
    <w:rsid w:val="000D3FCA"/>
    <w:pPr>
      <w:keepLines/>
      <w:tabs>
        <w:tab w:val="right" w:pos="794"/>
      </w:tabs>
      <w:spacing w:before="180" w:line="260" w:lineRule="exact"/>
      <w:ind w:left="964" w:hanging="964"/>
      <w:jc w:val="both"/>
    </w:pPr>
  </w:style>
  <w:style w:type="paragraph" w:styleId="BodyText">
    <w:name w:val="Body Text"/>
    <w:basedOn w:val="Normal"/>
    <w:link w:val="BodyTextChar"/>
    <w:rsid w:val="000D3FCA"/>
    <w:pPr>
      <w:spacing w:before="120"/>
    </w:pPr>
    <w:rPr>
      <w:rFonts w:eastAsia="MS Mincho"/>
      <w:sz w:val="22"/>
      <w:szCs w:val="20"/>
      <w:lang w:val="en-US" w:eastAsia="en-US"/>
    </w:rPr>
  </w:style>
  <w:style w:type="character" w:customStyle="1" w:styleId="BodyTextChar">
    <w:name w:val="Body Text Char"/>
    <w:basedOn w:val="DefaultParagraphFont"/>
    <w:link w:val="BodyText"/>
    <w:rsid w:val="000D3FCA"/>
    <w:rPr>
      <w:rFonts w:eastAsia="MS Mincho"/>
      <w:sz w:val="22"/>
      <w:lang w:val="en-US"/>
    </w:rPr>
  </w:style>
  <w:style w:type="paragraph" w:customStyle="1" w:styleId="equation">
    <w:name w:val="equation"/>
    <w:basedOn w:val="Normal"/>
    <w:rsid w:val="000D3FCA"/>
    <w:pPr>
      <w:tabs>
        <w:tab w:val="left" w:pos="1134"/>
        <w:tab w:val="left" w:pos="1701"/>
        <w:tab w:val="center" w:pos="9072"/>
      </w:tabs>
    </w:pPr>
    <w:rPr>
      <w:rFonts w:eastAsia="MS Mincho"/>
      <w:sz w:val="22"/>
      <w:szCs w:val="22"/>
      <w:lang w:val="es-ES_tradnl" w:eastAsia="en-US"/>
    </w:rPr>
  </w:style>
  <w:style w:type="paragraph" w:customStyle="1" w:styleId="P1">
    <w:name w:val="P1"/>
    <w:aliases w:val="(a)"/>
    <w:basedOn w:val="Normal"/>
    <w:uiPriority w:val="99"/>
    <w:rsid w:val="000D3FCA"/>
    <w:pPr>
      <w:keepLines/>
      <w:tabs>
        <w:tab w:val="right" w:pos="1191"/>
      </w:tabs>
      <w:spacing w:before="60" w:line="260" w:lineRule="exact"/>
      <w:ind w:left="1418" w:hanging="1418"/>
      <w:jc w:val="both"/>
    </w:pPr>
  </w:style>
  <w:style w:type="table" w:styleId="TableGrid">
    <w:name w:val="Table Grid"/>
    <w:basedOn w:val="TableNormal"/>
    <w:uiPriority w:val="59"/>
    <w:rsid w:val="000D3FCA"/>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odyTextFirstIndent">
    <w:name w:val="Body Text First Indent"/>
    <w:basedOn w:val="BodyText"/>
    <w:link w:val="BodyTextFirstIndentChar"/>
    <w:uiPriority w:val="99"/>
    <w:semiHidden/>
    <w:unhideWhenUsed/>
    <w:rsid w:val="000D3FCA"/>
    <w:pPr>
      <w:spacing w:before="0"/>
      <w:ind w:firstLine="360"/>
    </w:pPr>
    <w:rPr>
      <w:rFonts w:eastAsia="Times New Roman"/>
      <w:sz w:val="24"/>
      <w:szCs w:val="24"/>
      <w:lang w:val="en-AU" w:eastAsia="en-AU"/>
    </w:rPr>
  </w:style>
  <w:style w:type="character" w:customStyle="1" w:styleId="BodyTextFirstIndentChar">
    <w:name w:val="Body Text First Indent Char"/>
    <w:basedOn w:val="BodyTextChar"/>
    <w:link w:val="BodyTextFirstIndent"/>
    <w:uiPriority w:val="99"/>
    <w:semiHidden/>
    <w:rsid w:val="000D3FCA"/>
    <w:rPr>
      <w:rFonts w:eastAsia="Times New Roman"/>
      <w:sz w:val="24"/>
      <w:szCs w:val="24"/>
      <w:lang w:val="en-US" w:eastAsia="en-AU"/>
    </w:rPr>
  </w:style>
  <w:style w:type="paragraph" w:customStyle="1" w:styleId="tabletext">
    <w:name w:val="tabletext"/>
    <w:basedOn w:val="Normal"/>
    <w:rsid w:val="000D3FCA"/>
    <w:pPr>
      <w:spacing w:before="100" w:beforeAutospacing="1" w:after="100" w:afterAutospacing="1"/>
    </w:pPr>
  </w:style>
  <w:style w:type="paragraph" w:customStyle="1" w:styleId="Def">
    <w:name w:val="Def"/>
    <w:basedOn w:val="Normal"/>
    <w:uiPriority w:val="99"/>
    <w:rsid w:val="006E714B"/>
    <w:pPr>
      <w:spacing w:before="80" w:after="100" w:line="260" w:lineRule="exact"/>
      <w:ind w:left="964"/>
      <w:jc w:val="both"/>
    </w:pPr>
    <w:rPr>
      <w:rFonts w:asciiTheme="minorHAnsi" w:eastAsiaTheme="minorHAnsi" w:hAnsiTheme="minorHAnsi" w:cstheme="minorBidi"/>
      <w:sz w:val="22"/>
      <w:szCs w:val="22"/>
      <w:lang w:eastAsia="en-US"/>
    </w:rPr>
  </w:style>
  <w:style w:type="paragraph" w:customStyle="1" w:styleId="HC">
    <w:name w:val="HC"/>
    <w:aliases w:val="Sch"/>
    <w:basedOn w:val="Heading1"/>
    <w:next w:val="Normal"/>
    <w:rsid w:val="006E714B"/>
    <w:pPr>
      <w:pageBreakBefore/>
      <w:spacing w:after="60" w:line="276" w:lineRule="auto"/>
      <w:ind w:left="2410" w:hanging="2410"/>
    </w:pPr>
    <w:rPr>
      <w:rFonts w:ascii="Arial" w:eastAsia="Times New Roman" w:hAnsi="Arial" w:cs="Arial"/>
      <w:color w:val="auto"/>
      <w:kern w:val="32"/>
      <w:sz w:val="40"/>
      <w:szCs w:val="32"/>
      <w:lang w:eastAsia="en-US"/>
    </w:rPr>
  </w:style>
  <w:style w:type="paragraph" w:customStyle="1" w:styleId="HD">
    <w:name w:val="HD"/>
    <w:aliases w:val="Division Heading"/>
    <w:basedOn w:val="Heading3"/>
    <w:next w:val="Normal"/>
    <w:rsid w:val="006E714B"/>
    <w:pPr>
      <w:spacing w:before="360" w:after="60" w:line="276" w:lineRule="auto"/>
      <w:ind w:left="2410" w:hanging="2410"/>
    </w:pPr>
    <w:rPr>
      <w:rFonts w:ascii="Arial" w:eastAsia="Times New Roman" w:hAnsi="Arial" w:cs="Arial"/>
      <w:color w:val="auto"/>
      <w:sz w:val="28"/>
      <w:szCs w:val="26"/>
      <w:lang w:eastAsia="en-US"/>
    </w:rPr>
  </w:style>
  <w:style w:type="paragraph" w:customStyle="1" w:styleId="HE">
    <w:name w:val="HE"/>
    <w:aliases w:val="Example heading"/>
    <w:basedOn w:val="Normal"/>
    <w:next w:val="Normal"/>
    <w:rsid w:val="006E714B"/>
    <w:pPr>
      <w:keepNext/>
      <w:spacing w:before="120" w:after="200" w:line="220" w:lineRule="exact"/>
      <w:ind w:left="964"/>
    </w:pPr>
    <w:rPr>
      <w:rFonts w:asciiTheme="minorHAnsi" w:eastAsiaTheme="minorHAnsi" w:hAnsiTheme="minorHAnsi" w:cstheme="minorBidi"/>
      <w:i/>
      <w:sz w:val="22"/>
      <w:szCs w:val="22"/>
      <w:lang w:eastAsia="en-US"/>
    </w:rPr>
  </w:style>
  <w:style w:type="paragraph" w:customStyle="1" w:styleId="HP">
    <w:name w:val="HP"/>
    <w:basedOn w:val="Heading2"/>
    <w:next w:val="HD"/>
    <w:rsid w:val="006E714B"/>
    <w:pPr>
      <w:pageBreakBefore/>
      <w:spacing w:before="360" w:after="60" w:line="276" w:lineRule="auto"/>
      <w:ind w:left="2410" w:hanging="2410"/>
    </w:pPr>
    <w:rPr>
      <w:rFonts w:ascii="Arial" w:eastAsia="Times New Roman" w:hAnsi="Arial" w:cs="Arial"/>
      <w:bCs w:val="0"/>
      <w:iCs/>
      <w:color w:val="auto"/>
      <w:sz w:val="36"/>
      <w:szCs w:val="22"/>
      <w:lang w:eastAsia="en-US"/>
    </w:rPr>
  </w:style>
  <w:style w:type="paragraph" w:customStyle="1" w:styleId="HS">
    <w:name w:val="HS"/>
    <w:aliases w:val="Subdiv Heading"/>
    <w:basedOn w:val="Heading4"/>
    <w:next w:val="Normal"/>
    <w:rsid w:val="006E714B"/>
    <w:pPr>
      <w:spacing w:before="360" w:after="60" w:line="276" w:lineRule="auto"/>
      <w:ind w:left="2410" w:hanging="2410"/>
    </w:pPr>
    <w:rPr>
      <w:rFonts w:ascii="Arial" w:eastAsia="Times New Roman" w:hAnsi="Arial" w:cs="Times New Roman"/>
      <w:i w:val="0"/>
      <w:iCs w:val="0"/>
      <w:color w:val="auto"/>
      <w:sz w:val="28"/>
      <w:szCs w:val="28"/>
      <w:lang w:eastAsia="en-US"/>
    </w:rPr>
  </w:style>
  <w:style w:type="paragraph" w:customStyle="1" w:styleId="HSec">
    <w:name w:val="HSec"/>
    <w:basedOn w:val="Heading5"/>
    <w:next w:val="Normal"/>
    <w:uiPriority w:val="99"/>
    <w:rsid w:val="006E714B"/>
    <w:pPr>
      <w:spacing w:before="360" w:after="60" w:line="276" w:lineRule="auto"/>
      <w:ind w:left="964" w:hanging="964"/>
    </w:pPr>
    <w:rPr>
      <w:rFonts w:ascii="Arial" w:eastAsia="Times New Roman" w:hAnsi="Arial" w:cs="Times New Roman"/>
      <w:b/>
      <w:bCs/>
      <w:iCs/>
      <w:color w:val="auto"/>
      <w:sz w:val="22"/>
      <w:szCs w:val="26"/>
      <w:lang w:eastAsia="en-US"/>
    </w:rPr>
  </w:style>
  <w:style w:type="paragraph" w:customStyle="1" w:styleId="Notequery">
    <w:name w:val="Note query"/>
    <w:basedOn w:val="Normal"/>
    <w:qFormat/>
    <w:rsid w:val="006E714B"/>
    <w:pPr>
      <w:spacing w:before="80" w:after="80" w:line="276" w:lineRule="auto"/>
    </w:pPr>
    <w:rPr>
      <w:rFonts w:asciiTheme="minorHAnsi" w:eastAsiaTheme="minorHAnsi" w:hAnsiTheme="minorHAnsi" w:cstheme="minorBidi"/>
      <w:color w:val="0070C0"/>
      <w:sz w:val="22"/>
      <w:szCs w:val="22"/>
      <w:lang w:eastAsia="en-US"/>
    </w:rPr>
  </w:style>
  <w:style w:type="paragraph" w:customStyle="1" w:styleId="Notepara0">
    <w:name w:val="Note para"/>
    <w:basedOn w:val="Normal"/>
    <w:rsid w:val="006E714B"/>
    <w:pPr>
      <w:keepLines/>
      <w:spacing w:before="60" w:after="200" w:line="220" w:lineRule="exact"/>
      <w:ind w:left="1304" w:hanging="340"/>
      <w:jc w:val="both"/>
    </w:pPr>
    <w:rPr>
      <w:rFonts w:asciiTheme="minorHAnsi" w:eastAsiaTheme="minorHAnsi" w:hAnsiTheme="minorHAnsi" w:cstheme="minorBidi"/>
      <w:sz w:val="20"/>
      <w:szCs w:val="22"/>
      <w:lang w:eastAsia="en-US"/>
    </w:rPr>
  </w:style>
  <w:style w:type="paragraph" w:customStyle="1" w:styleId="NoteSec">
    <w:name w:val="Note Sec"/>
    <w:basedOn w:val="Normal"/>
    <w:qFormat/>
    <w:rsid w:val="006E714B"/>
    <w:pPr>
      <w:keepLines/>
      <w:spacing w:before="120" w:after="200" w:line="220" w:lineRule="exact"/>
      <w:jc w:val="both"/>
    </w:pPr>
    <w:rPr>
      <w:rFonts w:asciiTheme="minorHAnsi" w:eastAsiaTheme="minorHAnsi" w:hAnsiTheme="minorHAnsi" w:cstheme="minorBidi"/>
      <w:sz w:val="20"/>
      <w:szCs w:val="22"/>
      <w:lang w:eastAsia="en-US"/>
    </w:rPr>
  </w:style>
  <w:style w:type="paragraph" w:customStyle="1" w:styleId="NoteSS">
    <w:name w:val="Note SS"/>
    <w:basedOn w:val="Normal"/>
    <w:qFormat/>
    <w:rsid w:val="006E714B"/>
    <w:pPr>
      <w:keepLines/>
      <w:spacing w:before="120" w:after="200" w:line="220" w:lineRule="exact"/>
      <w:ind w:left="964"/>
      <w:jc w:val="both"/>
    </w:pPr>
    <w:rPr>
      <w:rFonts w:asciiTheme="minorHAnsi" w:eastAsiaTheme="minorHAnsi" w:hAnsiTheme="minorHAnsi" w:cstheme="minorBidi"/>
      <w:sz w:val="20"/>
      <w:szCs w:val="22"/>
      <w:lang w:eastAsia="en-US"/>
    </w:rPr>
  </w:style>
  <w:style w:type="paragraph" w:customStyle="1" w:styleId="P2">
    <w:name w:val="P2"/>
    <w:basedOn w:val="Normal"/>
    <w:rsid w:val="006E714B"/>
    <w:pPr>
      <w:keepLines/>
      <w:tabs>
        <w:tab w:val="right" w:pos="2098"/>
      </w:tabs>
      <w:spacing w:after="100" w:line="260" w:lineRule="exact"/>
      <w:ind w:left="2268" w:hanging="2268"/>
      <w:jc w:val="both"/>
    </w:pPr>
    <w:rPr>
      <w:rFonts w:asciiTheme="minorHAnsi" w:eastAsiaTheme="minorHAnsi" w:hAnsiTheme="minorHAnsi" w:cstheme="minorBidi"/>
      <w:sz w:val="22"/>
      <w:szCs w:val="22"/>
      <w:lang w:eastAsia="en-US"/>
    </w:rPr>
  </w:style>
  <w:style w:type="paragraph" w:customStyle="1" w:styleId="P3">
    <w:name w:val="P3"/>
    <w:basedOn w:val="Normal"/>
    <w:rsid w:val="006E714B"/>
    <w:pPr>
      <w:tabs>
        <w:tab w:val="right" w:pos="2722"/>
      </w:tabs>
      <w:spacing w:after="100" w:line="260" w:lineRule="exact"/>
      <w:ind w:left="2892" w:hanging="2892"/>
      <w:jc w:val="both"/>
    </w:pPr>
    <w:rPr>
      <w:rFonts w:asciiTheme="minorHAnsi" w:eastAsiaTheme="minorHAnsi" w:hAnsiTheme="minorHAnsi" w:cstheme="minorBidi"/>
      <w:sz w:val="22"/>
      <w:szCs w:val="22"/>
      <w:lang w:eastAsia="en-US"/>
    </w:rPr>
  </w:style>
  <w:style w:type="paragraph" w:customStyle="1" w:styleId="Subsec">
    <w:name w:val="Subsec"/>
    <w:basedOn w:val="Normal"/>
    <w:uiPriority w:val="99"/>
    <w:rsid w:val="006E714B"/>
    <w:pPr>
      <w:keepLines/>
      <w:tabs>
        <w:tab w:val="right" w:pos="794"/>
      </w:tabs>
      <w:spacing w:before="80" w:after="100" w:line="260" w:lineRule="exact"/>
      <w:ind w:left="964" w:hanging="964"/>
      <w:jc w:val="both"/>
    </w:pPr>
    <w:rPr>
      <w:rFonts w:asciiTheme="minorHAnsi" w:eastAsiaTheme="minorHAnsi" w:hAnsiTheme="minorHAnsi" w:cstheme="minorBidi"/>
      <w:sz w:val="22"/>
      <w:szCs w:val="22"/>
      <w:lang w:eastAsia="en-US"/>
    </w:rPr>
  </w:style>
  <w:style w:type="paragraph" w:customStyle="1" w:styleId="Green">
    <w:name w:val="Green"/>
    <w:basedOn w:val="Normal"/>
    <w:qFormat/>
    <w:rsid w:val="006E714B"/>
    <w:pPr>
      <w:spacing w:before="80" w:after="80" w:line="276" w:lineRule="auto"/>
    </w:pPr>
    <w:rPr>
      <w:rFonts w:ascii="Arial" w:eastAsiaTheme="minorHAnsi" w:hAnsi="Arial" w:cstheme="minorBidi"/>
      <w:b/>
      <w:color w:val="00B050"/>
      <w:sz w:val="20"/>
      <w:szCs w:val="22"/>
      <w:lang w:eastAsia="en-US"/>
    </w:rPr>
  </w:style>
  <w:style w:type="paragraph" w:customStyle="1" w:styleId="h5section0">
    <w:name w:val="h5section"/>
    <w:basedOn w:val="Normal"/>
    <w:uiPriority w:val="99"/>
    <w:rsid w:val="00742B61"/>
    <w:pPr>
      <w:keepNext/>
      <w:spacing w:before="360" w:after="60"/>
      <w:ind w:left="964" w:hanging="964"/>
    </w:pPr>
    <w:rPr>
      <w:rFonts w:ascii="Arial" w:eastAsiaTheme="minorHAnsi" w:hAnsi="Arial" w:cs="Arial"/>
      <w:b/>
      <w:bCs/>
    </w:rPr>
  </w:style>
  <w:style w:type="paragraph" w:customStyle="1" w:styleId="tpara0">
    <w:name w:val="tpara"/>
    <w:basedOn w:val="Normal"/>
    <w:uiPriority w:val="99"/>
    <w:rsid w:val="00742B61"/>
    <w:pPr>
      <w:spacing w:after="100" w:line="260" w:lineRule="atLeast"/>
      <w:ind w:left="1701" w:hanging="1701"/>
      <w:jc w:val="both"/>
    </w:pPr>
    <w:rPr>
      <w:rFonts w:eastAsiaTheme="minorHAnsi"/>
    </w:rPr>
  </w:style>
  <w:style w:type="paragraph" w:customStyle="1" w:styleId="tmain0">
    <w:name w:val="tmain"/>
    <w:basedOn w:val="Normal"/>
    <w:uiPriority w:val="99"/>
    <w:rsid w:val="00742B61"/>
    <w:pPr>
      <w:spacing w:before="80" w:after="100" w:line="260" w:lineRule="atLeast"/>
      <w:ind w:left="964" w:hanging="964"/>
      <w:jc w:val="both"/>
    </w:pPr>
    <w:rPr>
      <w:rFonts w:eastAsiaTheme="minorHAnsi"/>
    </w:rPr>
  </w:style>
  <w:style w:type="paragraph" w:customStyle="1" w:styleId="notepara1">
    <w:name w:val="notepara"/>
    <w:basedOn w:val="Normal"/>
    <w:uiPriority w:val="99"/>
    <w:rsid w:val="00742B61"/>
    <w:pPr>
      <w:spacing w:after="100" w:line="220" w:lineRule="atLeast"/>
      <w:ind w:left="1701" w:hanging="1701"/>
      <w:jc w:val="both"/>
    </w:pPr>
    <w:rPr>
      <w:rFonts w:eastAsiaTheme="minorHAnsi"/>
      <w:sz w:val="20"/>
      <w:szCs w:val="20"/>
    </w:rPr>
  </w:style>
  <w:style w:type="character" w:styleId="PlaceholderText">
    <w:name w:val="Placeholder Text"/>
    <w:basedOn w:val="DefaultParagraphFont"/>
    <w:uiPriority w:val="99"/>
    <w:semiHidden/>
    <w:rsid w:val="009E3155"/>
    <w:rPr>
      <w:color w:val="808080"/>
    </w:rPr>
  </w:style>
  <w:style w:type="paragraph" w:customStyle="1" w:styleId="Bullet">
    <w:name w:val="Bullet"/>
    <w:aliases w:val="b"/>
    <w:basedOn w:val="Normal"/>
    <w:link w:val="BulletChar"/>
    <w:uiPriority w:val="99"/>
    <w:qFormat/>
    <w:rsid w:val="00707BFA"/>
    <w:pPr>
      <w:numPr>
        <w:numId w:val="13"/>
      </w:numPr>
      <w:spacing w:before="120" w:after="120" w:line="276" w:lineRule="auto"/>
    </w:pPr>
    <w:rPr>
      <w:rFonts w:ascii="Calibri" w:hAnsi="Calibri"/>
      <w:sz w:val="22"/>
      <w:szCs w:val="22"/>
      <w:lang w:eastAsia="en-US"/>
    </w:rPr>
  </w:style>
  <w:style w:type="character" w:customStyle="1" w:styleId="BulletChar">
    <w:name w:val="Bullet Char"/>
    <w:aliases w:val="b Char"/>
    <w:basedOn w:val="DefaultParagraphFont"/>
    <w:link w:val="Bullet"/>
    <w:uiPriority w:val="99"/>
    <w:locked/>
    <w:rsid w:val="00707BFA"/>
    <w:rPr>
      <w:rFonts w:ascii="Calibri" w:eastAsia="Times New Roman" w:hAnsi="Calibri"/>
      <w:sz w:val="22"/>
      <w:szCs w:val="22"/>
    </w:rPr>
  </w:style>
  <w:style w:type="paragraph" w:customStyle="1" w:styleId="Dash">
    <w:name w:val="Dash"/>
    <w:basedOn w:val="Normal"/>
    <w:uiPriority w:val="99"/>
    <w:qFormat/>
    <w:rsid w:val="00707BFA"/>
    <w:pPr>
      <w:numPr>
        <w:ilvl w:val="1"/>
        <w:numId w:val="13"/>
      </w:numPr>
      <w:spacing w:before="120" w:after="120" w:line="276" w:lineRule="auto"/>
    </w:pPr>
    <w:rPr>
      <w:rFonts w:ascii="Calibri" w:hAnsi="Calibri"/>
      <w:sz w:val="22"/>
      <w:szCs w:val="22"/>
      <w:lang w:eastAsia="en-US"/>
    </w:rPr>
  </w:style>
  <w:style w:type="paragraph" w:customStyle="1" w:styleId="DoubleDot">
    <w:name w:val="Double Dot"/>
    <w:basedOn w:val="Normal"/>
    <w:uiPriority w:val="99"/>
    <w:rsid w:val="00707BFA"/>
    <w:pPr>
      <w:numPr>
        <w:ilvl w:val="2"/>
        <w:numId w:val="13"/>
      </w:numPr>
      <w:spacing w:before="120" w:after="120" w:line="276" w:lineRule="auto"/>
    </w:pPr>
    <w:rPr>
      <w:rFonts w:ascii="Calibri" w:hAnsi="Calibri"/>
      <w:sz w:val="22"/>
      <w:szCs w:val="22"/>
      <w:lang w:eastAsia="en-US"/>
    </w:rPr>
  </w:style>
  <w:style w:type="paragraph" w:customStyle="1" w:styleId="ldclauseheading">
    <w:name w:val="ldclauseheading"/>
    <w:basedOn w:val="Normal"/>
    <w:rsid w:val="00D1565D"/>
    <w:pPr>
      <w:spacing w:before="100" w:beforeAutospacing="1" w:after="100" w:afterAutospacing="1"/>
    </w:pPr>
  </w:style>
  <w:style w:type="paragraph" w:customStyle="1" w:styleId="ldclause">
    <w:name w:val="ldclause"/>
    <w:basedOn w:val="Normal"/>
    <w:rsid w:val="00D1565D"/>
    <w:pPr>
      <w:spacing w:before="100" w:beforeAutospacing="1" w:after="100" w:afterAutospacing="1"/>
    </w:pPr>
  </w:style>
  <w:style w:type="paragraph" w:customStyle="1" w:styleId="ldp1a">
    <w:name w:val="ldp1a"/>
    <w:basedOn w:val="Normal"/>
    <w:rsid w:val="00D1565D"/>
    <w:pPr>
      <w:spacing w:before="100" w:beforeAutospacing="1" w:after="100" w:afterAutospacing="1"/>
    </w:pPr>
  </w:style>
  <w:style w:type="paragraph" w:customStyle="1" w:styleId="tdefn0">
    <w:name w:val="tdefn"/>
    <w:basedOn w:val="Normal"/>
    <w:rsid w:val="00235955"/>
    <w:pPr>
      <w:spacing w:before="100" w:beforeAutospacing="1" w:after="100" w:afterAutospacing="1"/>
    </w:pPr>
  </w:style>
  <w:style w:type="character" w:styleId="FollowedHyperlink">
    <w:name w:val="FollowedHyperlink"/>
    <w:basedOn w:val="DefaultParagraphFont"/>
    <w:uiPriority w:val="99"/>
    <w:semiHidden/>
    <w:unhideWhenUsed/>
    <w:rsid w:val="00585E2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4090666">
      <w:bodyDiv w:val="1"/>
      <w:marLeft w:val="0"/>
      <w:marRight w:val="0"/>
      <w:marTop w:val="0"/>
      <w:marBottom w:val="0"/>
      <w:divBdr>
        <w:top w:val="none" w:sz="0" w:space="0" w:color="auto"/>
        <w:left w:val="none" w:sz="0" w:space="0" w:color="auto"/>
        <w:bottom w:val="none" w:sz="0" w:space="0" w:color="auto"/>
        <w:right w:val="none" w:sz="0" w:space="0" w:color="auto"/>
      </w:divBdr>
      <w:divsChild>
        <w:div w:id="975404478">
          <w:marLeft w:val="0"/>
          <w:marRight w:val="0"/>
          <w:marTop w:val="0"/>
          <w:marBottom w:val="0"/>
          <w:divBdr>
            <w:top w:val="none" w:sz="0" w:space="0" w:color="auto"/>
            <w:left w:val="none" w:sz="0" w:space="0" w:color="auto"/>
            <w:bottom w:val="none" w:sz="0" w:space="0" w:color="auto"/>
            <w:right w:val="none" w:sz="0" w:space="0" w:color="auto"/>
          </w:divBdr>
          <w:divsChild>
            <w:div w:id="623923757">
              <w:marLeft w:val="0"/>
              <w:marRight w:val="0"/>
              <w:marTop w:val="0"/>
              <w:marBottom w:val="0"/>
              <w:divBdr>
                <w:top w:val="none" w:sz="0" w:space="0" w:color="auto"/>
                <w:left w:val="none" w:sz="0" w:space="0" w:color="auto"/>
                <w:bottom w:val="none" w:sz="0" w:space="0" w:color="auto"/>
                <w:right w:val="none" w:sz="0" w:space="0" w:color="auto"/>
              </w:divBdr>
              <w:divsChild>
                <w:div w:id="16743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4617">
      <w:bodyDiv w:val="1"/>
      <w:marLeft w:val="0"/>
      <w:marRight w:val="0"/>
      <w:marTop w:val="0"/>
      <w:marBottom w:val="0"/>
      <w:divBdr>
        <w:top w:val="none" w:sz="0" w:space="0" w:color="auto"/>
        <w:left w:val="none" w:sz="0" w:space="0" w:color="auto"/>
        <w:bottom w:val="none" w:sz="0" w:space="0" w:color="auto"/>
        <w:right w:val="none" w:sz="0" w:space="0" w:color="auto"/>
      </w:divBdr>
    </w:div>
    <w:div w:id="104421892">
      <w:bodyDiv w:val="1"/>
      <w:marLeft w:val="0"/>
      <w:marRight w:val="0"/>
      <w:marTop w:val="0"/>
      <w:marBottom w:val="0"/>
      <w:divBdr>
        <w:top w:val="none" w:sz="0" w:space="0" w:color="auto"/>
        <w:left w:val="none" w:sz="0" w:space="0" w:color="auto"/>
        <w:bottom w:val="none" w:sz="0" w:space="0" w:color="auto"/>
        <w:right w:val="none" w:sz="0" w:space="0" w:color="auto"/>
      </w:divBdr>
      <w:divsChild>
        <w:div w:id="614292376">
          <w:marLeft w:val="0"/>
          <w:marRight w:val="0"/>
          <w:marTop w:val="0"/>
          <w:marBottom w:val="0"/>
          <w:divBdr>
            <w:top w:val="none" w:sz="0" w:space="0" w:color="auto"/>
            <w:left w:val="none" w:sz="0" w:space="0" w:color="auto"/>
            <w:bottom w:val="none" w:sz="0" w:space="0" w:color="auto"/>
            <w:right w:val="none" w:sz="0" w:space="0" w:color="auto"/>
          </w:divBdr>
          <w:divsChild>
            <w:div w:id="1759208336">
              <w:marLeft w:val="0"/>
              <w:marRight w:val="0"/>
              <w:marTop w:val="0"/>
              <w:marBottom w:val="0"/>
              <w:divBdr>
                <w:top w:val="none" w:sz="0" w:space="0" w:color="auto"/>
                <w:left w:val="none" w:sz="0" w:space="0" w:color="auto"/>
                <w:bottom w:val="none" w:sz="0" w:space="0" w:color="auto"/>
                <w:right w:val="none" w:sz="0" w:space="0" w:color="auto"/>
              </w:divBdr>
              <w:divsChild>
                <w:div w:id="2076733774">
                  <w:marLeft w:val="0"/>
                  <w:marRight w:val="0"/>
                  <w:marTop w:val="0"/>
                  <w:marBottom w:val="0"/>
                  <w:divBdr>
                    <w:top w:val="none" w:sz="0" w:space="0" w:color="auto"/>
                    <w:left w:val="none" w:sz="0" w:space="0" w:color="auto"/>
                    <w:bottom w:val="none" w:sz="0" w:space="0" w:color="auto"/>
                    <w:right w:val="none" w:sz="0" w:space="0" w:color="auto"/>
                  </w:divBdr>
                  <w:divsChild>
                    <w:div w:id="306668244">
                      <w:marLeft w:val="0"/>
                      <w:marRight w:val="0"/>
                      <w:marTop w:val="0"/>
                      <w:marBottom w:val="0"/>
                      <w:divBdr>
                        <w:top w:val="none" w:sz="0" w:space="0" w:color="auto"/>
                        <w:left w:val="none" w:sz="0" w:space="0" w:color="auto"/>
                        <w:bottom w:val="none" w:sz="0" w:space="0" w:color="auto"/>
                        <w:right w:val="none" w:sz="0" w:space="0" w:color="auto"/>
                      </w:divBdr>
                      <w:divsChild>
                        <w:div w:id="29888834">
                          <w:marLeft w:val="0"/>
                          <w:marRight w:val="0"/>
                          <w:marTop w:val="0"/>
                          <w:marBottom w:val="0"/>
                          <w:divBdr>
                            <w:top w:val="single" w:sz="2" w:space="0" w:color="828282"/>
                            <w:left w:val="single" w:sz="2" w:space="0" w:color="828282"/>
                            <w:bottom w:val="single" w:sz="2" w:space="0" w:color="828282"/>
                            <w:right w:val="single" w:sz="2" w:space="0" w:color="828282"/>
                          </w:divBdr>
                          <w:divsChild>
                            <w:div w:id="1873108195">
                              <w:marLeft w:val="0"/>
                              <w:marRight w:val="0"/>
                              <w:marTop w:val="0"/>
                              <w:marBottom w:val="0"/>
                              <w:divBdr>
                                <w:top w:val="none" w:sz="0" w:space="0" w:color="auto"/>
                                <w:left w:val="none" w:sz="0" w:space="0" w:color="auto"/>
                                <w:bottom w:val="none" w:sz="0" w:space="0" w:color="auto"/>
                                <w:right w:val="none" w:sz="0" w:space="0" w:color="auto"/>
                              </w:divBdr>
                              <w:divsChild>
                                <w:div w:id="991255511">
                                  <w:marLeft w:val="0"/>
                                  <w:marRight w:val="0"/>
                                  <w:marTop w:val="0"/>
                                  <w:marBottom w:val="0"/>
                                  <w:divBdr>
                                    <w:top w:val="none" w:sz="0" w:space="0" w:color="auto"/>
                                    <w:left w:val="none" w:sz="0" w:space="0" w:color="auto"/>
                                    <w:bottom w:val="none" w:sz="0" w:space="0" w:color="auto"/>
                                    <w:right w:val="none" w:sz="0" w:space="0" w:color="auto"/>
                                  </w:divBdr>
                                  <w:divsChild>
                                    <w:div w:id="70279350">
                                      <w:marLeft w:val="0"/>
                                      <w:marRight w:val="0"/>
                                      <w:marTop w:val="0"/>
                                      <w:marBottom w:val="0"/>
                                      <w:divBdr>
                                        <w:top w:val="none" w:sz="0" w:space="0" w:color="auto"/>
                                        <w:left w:val="none" w:sz="0" w:space="0" w:color="auto"/>
                                        <w:bottom w:val="none" w:sz="0" w:space="0" w:color="auto"/>
                                        <w:right w:val="none" w:sz="0" w:space="0" w:color="auto"/>
                                      </w:divBdr>
                                      <w:divsChild>
                                        <w:div w:id="1097946448">
                                          <w:marLeft w:val="0"/>
                                          <w:marRight w:val="0"/>
                                          <w:marTop w:val="0"/>
                                          <w:marBottom w:val="0"/>
                                          <w:divBdr>
                                            <w:top w:val="none" w:sz="0" w:space="0" w:color="auto"/>
                                            <w:left w:val="none" w:sz="0" w:space="0" w:color="auto"/>
                                            <w:bottom w:val="none" w:sz="0" w:space="0" w:color="auto"/>
                                            <w:right w:val="none" w:sz="0" w:space="0" w:color="auto"/>
                                          </w:divBdr>
                                          <w:divsChild>
                                            <w:div w:id="1628782728">
                                              <w:marLeft w:val="0"/>
                                              <w:marRight w:val="0"/>
                                              <w:marTop w:val="0"/>
                                              <w:marBottom w:val="0"/>
                                              <w:divBdr>
                                                <w:top w:val="none" w:sz="0" w:space="0" w:color="auto"/>
                                                <w:left w:val="none" w:sz="0" w:space="0" w:color="auto"/>
                                                <w:bottom w:val="none" w:sz="0" w:space="0" w:color="auto"/>
                                                <w:right w:val="none" w:sz="0" w:space="0" w:color="auto"/>
                                              </w:divBdr>
                                              <w:divsChild>
                                                <w:div w:id="194310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95655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53">
          <w:marLeft w:val="0"/>
          <w:marRight w:val="0"/>
          <w:marTop w:val="0"/>
          <w:marBottom w:val="0"/>
          <w:divBdr>
            <w:top w:val="none" w:sz="0" w:space="0" w:color="auto"/>
            <w:left w:val="none" w:sz="0" w:space="0" w:color="auto"/>
            <w:bottom w:val="none" w:sz="0" w:space="0" w:color="auto"/>
            <w:right w:val="none" w:sz="0" w:space="0" w:color="auto"/>
          </w:divBdr>
          <w:divsChild>
            <w:div w:id="434710797">
              <w:marLeft w:val="0"/>
              <w:marRight w:val="0"/>
              <w:marTop w:val="0"/>
              <w:marBottom w:val="0"/>
              <w:divBdr>
                <w:top w:val="none" w:sz="0" w:space="0" w:color="auto"/>
                <w:left w:val="none" w:sz="0" w:space="0" w:color="auto"/>
                <w:bottom w:val="none" w:sz="0" w:space="0" w:color="auto"/>
                <w:right w:val="none" w:sz="0" w:space="0" w:color="auto"/>
              </w:divBdr>
              <w:divsChild>
                <w:div w:id="2123959641">
                  <w:marLeft w:val="0"/>
                  <w:marRight w:val="0"/>
                  <w:marTop w:val="0"/>
                  <w:marBottom w:val="0"/>
                  <w:divBdr>
                    <w:top w:val="none" w:sz="0" w:space="0" w:color="auto"/>
                    <w:left w:val="none" w:sz="0" w:space="0" w:color="auto"/>
                    <w:bottom w:val="none" w:sz="0" w:space="0" w:color="auto"/>
                    <w:right w:val="none" w:sz="0" w:space="0" w:color="auto"/>
                  </w:divBdr>
                  <w:divsChild>
                    <w:div w:id="798568665">
                      <w:marLeft w:val="0"/>
                      <w:marRight w:val="0"/>
                      <w:marTop w:val="0"/>
                      <w:marBottom w:val="0"/>
                      <w:divBdr>
                        <w:top w:val="none" w:sz="0" w:space="0" w:color="auto"/>
                        <w:left w:val="none" w:sz="0" w:space="0" w:color="auto"/>
                        <w:bottom w:val="none" w:sz="0" w:space="0" w:color="auto"/>
                        <w:right w:val="none" w:sz="0" w:space="0" w:color="auto"/>
                      </w:divBdr>
                      <w:divsChild>
                        <w:div w:id="1819610734">
                          <w:marLeft w:val="0"/>
                          <w:marRight w:val="0"/>
                          <w:marTop w:val="0"/>
                          <w:marBottom w:val="0"/>
                          <w:divBdr>
                            <w:top w:val="single" w:sz="4" w:space="0" w:color="828282"/>
                            <w:left w:val="single" w:sz="4" w:space="0" w:color="828282"/>
                            <w:bottom w:val="single" w:sz="4" w:space="0" w:color="828282"/>
                            <w:right w:val="single" w:sz="4" w:space="0" w:color="828282"/>
                          </w:divBdr>
                          <w:divsChild>
                            <w:div w:id="1014529813">
                              <w:marLeft w:val="0"/>
                              <w:marRight w:val="0"/>
                              <w:marTop w:val="0"/>
                              <w:marBottom w:val="0"/>
                              <w:divBdr>
                                <w:top w:val="none" w:sz="0" w:space="0" w:color="auto"/>
                                <w:left w:val="none" w:sz="0" w:space="0" w:color="auto"/>
                                <w:bottom w:val="none" w:sz="0" w:space="0" w:color="auto"/>
                                <w:right w:val="none" w:sz="0" w:space="0" w:color="auto"/>
                              </w:divBdr>
                              <w:divsChild>
                                <w:div w:id="1532918697">
                                  <w:marLeft w:val="0"/>
                                  <w:marRight w:val="0"/>
                                  <w:marTop w:val="0"/>
                                  <w:marBottom w:val="0"/>
                                  <w:divBdr>
                                    <w:top w:val="none" w:sz="0" w:space="0" w:color="auto"/>
                                    <w:left w:val="none" w:sz="0" w:space="0" w:color="auto"/>
                                    <w:bottom w:val="none" w:sz="0" w:space="0" w:color="auto"/>
                                    <w:right w:val="none" w:sz="0" w:space="0" w:color="auto"/>
                                  </w:divBdr>
                                  <w:divsChild>
                                    <w:div w:id="1040469303">
                                      <w:marLeft w:val="0"/>
                                      <w:marRight w:val="0"/>
                                      <w:marTop w:val="0"/>
                                      <w:marBottom w:val="0"/>
                                      <w:divBdr>
                                        <w:top w:val="none" w:sz="0" w:space="0" w:color="auto"/>
                                        <w:left w:val="none" w:sz="0" w:space="0" w:color="auto"/>
                                        <w:bottom w:val="none" w:sz="0" w:space="0" w:color="auto"/>
                                        <w:right w:val="none" w:sz="0" w:space="0" w:color="auto"/>
                                      </w:divBdr>
                                      <w:divsChild>
                                        <w:div w:id="1158032425">
                                          <w:marLeft w:val="0"/>
                                          <w:marRight w:val="0"/>
                                          <w:marTop w:val="0"/>
                                          <w:marBottom w:val="0"/>
                                          <w:divBdr>
                                            <w:top w:val="none" w:sz="0" w:space="0" w:color="auto"/>
                                            <w:left w:val="none" w:sz="0" w:space="0" w:color="auto"/>
                                            <w:bottom w:val="none" w:sz="0" w:space="0" w:color="auto"/>
                                            <w:right w:val="none" w:sz="0" w:space="0" w:color="auto"/>
                                          </w:divBdr>
                                          <w:divsChild>
                                            <w:div w:id="1555582459">
                                              <w:marLeft w:val="0"/>
                                              <w:marRight w:val="0"/>
                                              <w:marTop w:val="0"/>
                                              <w:marBottom w:val="0"/>
                                              <w:divBdr>
                                                <w:top w:val="none" w:sz="0" w:space="0" w:color="auto"/>
                                                <w:left w:val="none" w:sz="0" w:space="0" w:color="auto"/>
                                                <w:bottom w:val="none" w:sz="0" w:space="0" w:color="auto"/>
                                                <w:right w:val="none" w:sz="0" w:space="0" w:color="auto"/>
                                              </w:divBdr>
                                              <w:divsChild>
                                                <w:div w:id="18159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101786">
      <w:bodyDiv w:val="1"/>
      <w:marLeft w:val="0"/>
      <w:marRight w:val="0"/>
      <w:marTop w:val="0"/>
      <w:marBottom w:val="0"/>
      <w:divBdr>
        <w:top w:val="none" w:sz="0" w:space="0" w:color="auto"/>
        <w:left w:val="none" w:sz="0" w:space="0" w:color="auto"/>
        <w:bottom w:val="none" w:sz="0" w:space="0" w:color="auto"/>
        <w:right w:val="none" w:sz="0" w:space="0" w:color="auto"/>
      </w:divBdr>
      <w:divsChild>
        <w:div w:id="2038576259">
          <w:marLeft w:val="0"/>
          <w:marRight w:val="0"/>
          <w:marTop w:val="0"/>
          <w:marBottom w:val="0"/>
          <w:divBdr>
            <w:top w:val="none" w:sz="0" w:space="0" w:color="auto"/>
            <w:left w:val="none" w:sz="0" w:space="0" w:color="auto"/>
            <w:bottom w:val="none" w:sz="0" w:space="0" w:color="auto"/>
            <w:right w:val="none" w:sz="0" w:space="0" w:color="auto"/>
          </w:divBdr>
          <w:divsChild>
            <w:div w:id="843321175">
              <w:marLeft w:val="0"/>
              <w:marRight w:val="0"/>
              <w:marTop w:val="0"/>
              <w:marBottom w:val="0"/>
              <w:divBdr>
                <w:top w:val="none" w:sz="0" w:space="0" w:color="auto"/>
                <w:left w:val="none" w:sz="0" w:space="0" w:color="auto"/>
                <w:bottom w:val="none" w:sz="0" w:space="0" w:color="auto"/>
                <w:right w:val="none" w:sz="0" w:space="0" w:color="auto"/>
              </w:divBdr>
              <w:divsChild>
                <w:div w:id="2146460213">
                  <w:marLeft w:val="0"/>
                  <w:marRight w:val="0"/>
                  <w:marTop w:val="0"/>
                  <w:marBottom w:val="0"/>
                  <w:divBdr>
                    <w:top w:val="none" w:sz="0" w:space="0" w:color="auto"/>
                    <w:left w:val="none" w:sz="0" w:space="0" w:color="auto"/>
                    <w:bottom w:val="none" w:sz="0" w:space="0" w:color="auto"/>
                    <w:right w:val="none" w:sz="0" w:space="0" w:color="auto"/>
                  </w:divBdr>
                  <w:divsChild>
                    <w:div w:id="852766550">
                      <w:marLeft w:val="0"/>
                      <w:marRight w:val="0"/>
                      <w:marTop w:val="0"/>
                      <w:marBottom w:val="0"/>
                      <w:divBdr>
                        <w:top w:val="none" w:sz="0" w:space="0" w:color="auto"/>
                        <w:left w:val="none" w:sz="0" w:space="0" w:color="auto"/>
                        <w:bottom w:val="none" w:sz="0" w:space="0" w:color="auto"/>
                        <w:right w:val="none" w:sz="0" w:space="0" w:color="auto"/>
                      </w:divBdr>
                      <w:divsChild>
                        <w:div w:id="256907654">
                          <w:marLeft w:val="0"/>
                          <w:marRight w:val="0"/>
                          <w:marTop w:val="0"/>
                          <w:marBottom w:val="0"/>
                          <w:divBdr>
                            <w:top w:val="single" w:sz="2" w:space="0" w:color="828282"/>
                            <w:left w:val="single" w:sz="2" w:space="0" w:color="828282"/>
                            <w:bottom w:val="single" w:sz="2" w:space="0" w:color="828282"/>
                            <w:right w:val="single" w:sz="2" w:space="0" w:color="828282"/>
                          </w:divBdr>
                          <w:divsChild>
                            <w:div w:id="1002976794">
                              <w:marLeft w:val="0"/>
                              <w:marRight w:val="0"/>
                              <w:marTop w:val="0"/>
                              <w:marBottom w:val="0"/>
                              <w:divBdr>
                                <w:top w:val="none" w:sz="0" w:space="0" w:color="auto"/>
                                <w:left w:val="none" w:sz="0" w:space="0" w:color="auto"/>
                                <w:bottom w:val="none" w:sz="0" w:space="0" w:color="auto"/>
                                <w:right w:val="none" w:sz="0" w:space="0" w:color="auto"/>
                              </w:divBdr>
                              <w:divsChild>
                                <w:div w:id="1848670575">
                                  <w:marLeft w:val="0"/>
                                  <w:marRight w:val="0"/>
                                  <w:marTop w:val="0"/>
                                  <w:marBottom w:val="0"/>
                                  <w:divBdr>
                                    <w:top w:val="none" w:sz="0" w:space="0" w:color="auto"/>
                                    <w:left w:val="none" w:sz="0" w:space="0" w:color="auto"/>
                                    <w:bottom w:val="none" w:sz="0" w:space="0" w:color="auto"/>
                                    <w:right w:val="none" w:sz="0" w:space="0" w:color="auto"/>
                                  </w:divBdr>
                                  <w:divsChild>
                                    <w:div w:id="618073652">
                                      <w:marLeft w:val="0"/>
                                      <w:marRight w:val="0"/>
                                      <w:marTop w:val="0"/>
                                      <w:marBottom w:val="0"/>
                                      <w:divBdr>
                                        <w:top w:val="none" w:sz="0" w:space="0" w:color="auto"/>
                                        <w:left w:val="none" w:sz="0" w:space="0" w:color="auto"/>
                                        <w:bottom w:val="none" w:sz="0" w:space="0" w:color="auto"/>
                                        <w:right w:val="none" w:sz="0" w:space="0" w:color="auto"/>
                                      </w:divBdr>
                                      <w:divsChild>
                                        <w:div w:id="367611507">
                                          <w:marLeft w:val="0"/>
                                          <w:marRight w:val="0"/>
                                          <w:marTop w:val="0"/>
                                          <w:marBottom w:val="0"/>
                                          <w:divBdr>
                                            <w:top w:val="none" w:sz="0" w:space="0" w:color="auto"/>
                                            <w:left w:val="none" w:sz="0" w:space="0" w:color="auto"/>
                                            <w:bottom w:val="none" w:sz="0" w:space="0" w:color="auto"/>
                                            <w:right w:val="none" w:sz="0" w:space="0" w:color="auto"/>
                                          </w:divBdr>
                                          <w:divsChild>
                                            <w:div w:id="1519540127">
                                              <w:marLeft w:val="0"/>
                                              <w:marRight w:val="0"/>
                                              <w:marTop w:val="0"/>
                                              <w:marBottom w:val="0"/>
                                              <w:divBdr>
                                                <w:top w:val="none" w:sz="0" w:space="0" w:color="auto"/>
                                                <w:left w:val="none" w:sz="0" w:space="0" w:color="auto"/>
                                                <w:bottom w:val="none" w:sz="0" w:space="0" w:color="auto"/>
                                                <w:right w:val="none" w:sz="0" w:space="0" w:color="auto"/>
                                              </w:divBdr>
                                              <w:divsChild>
                                                <w:div w:id="100856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4016260">
      <w:bodyDiv w:val="1"/>
      <w:marLeft w:val="0"/>
      <w:marRight w:val="0"/>
      <w:marTop w:val="0"/>
      <w:marBottom w:val="0"/>
      <w:divBdr>
        <w:top w:val="none" w:sz="0" w:space="0" w:color="auto"/>
        <w:left w:val="none" w:sz="0" w:space="0" w:color="auto"/>
        <w:bottom w:val="none" w:sz="0" w:space="0" w:color="auto"/>
        <w:right w:val="none" w:sz="0" w:space="0" w:color="auto"/>
      </w:divBdr>
      <w:divsChild>
        <w:div w:id="1656565964">
          <w:marLeft w:val="0"/>
          <w:marRight w:val="0"/>
          <w:marTop w:val="0"/>
          <w:marBottom w:val="0"/>
          <w:divBdr>
            <w:top w:val="none" w:sz="0" w:space="0" w:color="auto"/>
            <w:left w:val="none" w:sz="0" w:space="0" w:color="auto"/>
            <w:bottom w:val="none" w:sz="0" w:space="0" w:color="auto"/>
            <w:right w:val="none" w:sz="0" w:space="0" w:color="auto"/>
          </w:divBdr>
          <w:divsChild>
            <w:div w:id="201023307">
              <w:marLeft w:val="0"/>
              <w:marRight w:val="0"/>
              <w:marTop w:val="0"/>
              <w:marBottom w:val="0"/>
              <w:divBdr>
                <w:top w:val="none" w:sz="0" w:space="0" w:color="auto"/>
                <w:left w:val="none" w:sz="0" w:space="0" w:color="auto"/>
                <w:bottom w:val="none" w:sz="0" w:space="0" w:color="auto"/>
                <w:right w:val="none" w:sz="0" w:space="0" w:color="auto"/>
              </w:divBdr>
              <w:divsChild>
                <w:div w:id="1631520135">
                  <w:marLeft w:val="0"/>
                  <w:marRight w:val="0"/>
                  <w:marTop w:val="0"/>
                  <w:marBottom w:val="0"/>
                  <w:divBdr>
                    <w:top w:val="none" w:sz="0" w:space="0" w:color="auto"/>
                    <w:left w:val="none" w:sz="0" w:space="0" w:color="auto"/>
                    <w:bottom w:val="none" w:sz="0" w:space="0" w:color="auto"/>
                    <w:right w:val="none" w:sz="0" w:space="0" w:color="auto"/>
                  </w:divBdr>
                  <w:divsChild>
                    <w:div w:id="2034181685">
                      <w:marLeft w:val="0"/>
                      <w:marRight w:val="0"/>
                      <w:marTop w:val="0"/>
                      <w:marBottom w:val="0"/>
                      <w:divBdr>
                        <w:top w:val="none" w:sz="0" w:space="0" w:color="auto"/>
                        <w:left w:val="none" w:sz="0" w:space="0" w:color="auto"/>
                        <w:bottom w:val="none" w:sz="0" w:space="0" w:color="auto"/>
                        <w:right w:val="none" w:sz="0" w:space="0" w:color="auto"/>
                      </w:divBdr>
                      <w:divsChild>
                        <w:div w:id="627710837">
                          <w:marLeft w:val="0"/>
                          <w:marRight w:val="0"/>
                          <w:marTop w:val="0"/>
                          <w:marBottom w:val="0"/>
                          <w:divBdr>
                            <w:top w:val="single" w:sz="6" w:space="0" w:color="828282"/>
                            <w:left w:val="single" w:sz="6" w:space="0" w:color="828282"/>
                            <w:bottom w:val="single" w:sz="6" w:space="0" w:color="828282"/>
                            <w:right w:val="single" w:sz="6" w:space="0" w:color="828282"/>
                          </w:divBdr>
                          <w:divsChild>
                            <w:div w:id="1066075831">
                              <w:marLeft w:val="0"/>
                              <w:marRight w:val="0"/>
                              <w:marTop w:val="0"/>
                              <w:marBottom w:val="0"/>
                              <w:divBdr>
                                <w:top w:val="none" w:sz="0" w:space="0" w:color="auto"/>
                                <w:left w:val="none" w:sz="0" w:space="0" w:color="auto"/>
                                <w:bottom w:val="none" w:sz="0" w:space="0" w:color="auto"/>
                                <w:right w:val="none" w:sz="0" w:space="0" w:color="auto"/>
                              </w:divBdr>
                              <w:divsChild>
                                <w:div w:id="319818304">
                                  <w:marLeft w:val="0"/>
                                  <w:marRight w:val="0"/>
                                  <w:marTop w:val="0"/>
                                  <w:marBottom w:val="0"/>
                                  <w:divBdr>
                                    <w:top w:val="none" w:sz="0" w:space="0" w:color="auto"/>
                                    <w:left w:val="none" w:sz="0" w:space="0" w:color="auto"/>
                                    <w:bottom w:val="none" w:sz="0" w:space="0" w:color="auto"/>
                                    <w:right w:val="none" w:sz="0" w:space="0" w:color="auto"/>
                                  </w:divBdr>
                                  <w:divsChild>
                                    <w:div w:id="396246738">
                                      <w:marLeft w:val="0"/>
                                      <w:marRight w:val="0"/>
                                      <w:marTop w:val="0"/>
                                      <w:marBottom w:val="0"/>
                                      <w:divBdr>
                                        <w:top w:val="none" w:sz="0" w:space="0" w:color="auto"/>
                                        <w:left w:val="none" w:sz="0" w:space="0" w:color="auto"/>
                                        <w:bottom w:val="none" w:sz="0" w:space="0" w:color="auto"/>
                                        <w:right w:val="none" w:sz="0" w:space="0" w:color="auto"/>
                                      </w:divBdr>
                                      <w:divsChild>
                                        <w:div w:id="1205100838">
                                          <w:marLeft w:val="0"/>
                                          <w:marRight w:val="0"/>
                                          <w:marTop w:val="0"/>
                                          <w:marBottom w:val="0"/>
                                          <w:divBdr>
                                            <w:top w:val="none" w:sz="0" w:space="0" w:color="auto"/>
                                            <w:left w:val="none" w:sz="0" w:space="0" w:color="auto"/>
                                            <w:bottom w:val="none" w:sz="0" w:space="0" w:color="auto"/>
                                            <w:right w:val="none" w:sz="0" w:space="0" w:color="auto"/>
                                          </w:divBdr>
                                          <w:divsChild>
                                            <w:div w:id="1963878349">
                                              <w:marLeft w:val="0"/>
                                              <w:marRight w:val="0"/>
                                              <w:marTop w:val="0"/>
                                              <w:marBottom w:val="0"/>
                                              <w:divBdr>
                                                <w:top w:val="none" w:sz="0" w:space="0" w:color="auto"/>
                                                <w:left w:val="none" w:sz="0" w:space="0" w:color="auto"/>
                                                <w:bottom w:val="none" w:sz="0" w:space="0" w:color="auto"/>
                                                <w:right w:val="none" w:sz="0" w:space="0" w:color="auto"/>
                                              </w:divBdr>
                                              <w:divsChild>
                                                <w:div w:id="115286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459919">
      <w:bodyDiv w:val="1"/>
      <w:marLeft w:val="0"/>
      <w:marRight w:val="0"/>
      <w:marTop w:val="0"/>
      <w:marBottom w:val="0"/>
      <w:divBdr>
        <w:top w:val="none" w:sz="0" w:space="0" w:color="auto"/>
        <w:left w:val="none" w:sz="0" w:space="0" w:color="auto"/>
        <w:bottom w:val="none" w:sz="0" w:space="0" w:color="auto"/>
        <w:right w:val="none" w:sz="0" w:space="0" w:color="auto"/>
      </w:divBdr>
    </w:div>
    <w:div w:id="587497090">
      <w:bodyDiv w:val="1"/>
      <w:marLeft w:val="0"/>
      <w:marRight w:val="0"/>
      <w:marTop w:val="0"/>
      <w:marBottom w:val="0"/>
      <w:divBdr>
        <w:top w:val="none" w:sz="0" w:space="0" w:color="auto"/>
        <w:left w:val="none" w:sz="0" w:space="0" w:color="auto"/>
        <w:bottom w:val="none" w:sz="0" w:space="0" w:color="auto"/>
        <w:right w:val="none" w:sz="0" w:space="0" w:color="auto"/>
      </w:divBdr>
      <w:divsChild>
        <w:div w:id="85346820">
          <w:marLeft w:val="0"/>
          <w:marRight w:val="0"/>
          <w:marTop w:val="0"/>
          <w:marBottom w:val="0"/>
          <w:divBdr>
            <w:top w:val="none" w:sz="0" w:space="0" w:color="auto"/>
            <w:left w:val="none" w:sz="0" w:space="0" w:color="auto"/>
            <w:bottom w:val="none" w:sz="0" w:space="0" w:color="auto"/>
            <w:right w:val="none" w:sz="0" w:space="0" w:color="auto"/>
          </w:divBdr>
          <w:divsChild>
            <w:div w:id="297687760">
              <w:marLeft w:val="0"/>
              <w:marRight w:val="0"/>
              <w:marTop w:val="0"/>
              <w:marBottom w:val="0"/>
              <w:divBdr>
                <w:top w:val="none" w:sz="0" w:space="0" w:color="auto"/>
                <w:left w:val="none" w:sz="0" w:space="0" w:color="auto"/>
                <w:bottom w:val="none" w:sz="0" w:space="0" w:color="auto"/>
                <w:right w:val="none" w:sz="0" w:space="0" w:color="auto"/>
              </w:divBdr>
              <w:divsChild>
                <w:div w:id="816652564">
                  <w:marLeft w:val="0"/>
                  <w:marRight w:val="0"/>
                  <w:marTop w:val="0"/>
                  <w:marBottom w:val="0"/>
                  <w:divBdr>
                    <w:top w:val="none" w:sz="0" w:space="0" w:color="auto"/>
                    <w:left w:val="none" w:sz="0" w:space="0" w:color="auto"/>
                    <w:bottom w:val="none" w:sz="0" w:space="0" w:color="auto"/>
                    <w:right w:val="none" w:sz="0" w:space="0" w:color="auto"/>
                  </w:divBdr>
                  <w:divsChild>
                    <w:div w:id="1304239961">
                      <w:marLeft w:val="0"/>
                      <w:marRight w:val="0"/>
                      <w:marTop w:val="0"/>
                      <w:marBottom w:val="0"/>
                      <w:divBdr>
                        <w:top w:val="none" w:sz="0" w:space="0" w:color="auto"/>
                        <w:left w:val="none" w:sz="0" w:space="0" w:color="auto"/>
                        <w:bottom w:val="none" w:sz="0" w:space="0" w:color="auto"/>
                        <w:right w:val="none" w:sz="0" w:space="0" w:color="auto"/>
                      </w:divBdr>
                      <w:divsChild>
                        <w:div w:id="1755980230">
                          <w:marLeft w:val="0"/>
                          <w:marRight w:val="0"/>
                          <w:marTop w:val="0"/>
                          <w:marBottom w:val="0"/>
                          <w:divBdr>
                            <w:top w:val="single" w:sz="6" w:space="0" w:color="828282"/>
                            <w:left w:val="single" w:sz="6" w:space="0" w:color="828282"/>
                            <w:bottom w:val="single" w:sz="6" w:space="0" w:color="828282"/>
                            <w:right w:val="single" w:sz="6" w:space="0" w:color="828282"/>
                          </w:divBdr>
                          <w:divsChild>
                            <w:div w:id="527766208">
                              <w:marLeft w:val="0"/>
                              <w:marRight w:val="0"/>
                              <w:marTop w:val="0"/>
                              <w:marBottom w:val="0"/>
                              <w:divBdr>
                                <w:top w:val="none" w:sz="0" w:space="0" w:color="auto"/>
                                <w:left w:val="none" w:sz="0" w:space="0" w:color="auto"/>
                                <w:bottom w:val="none" w:sz="0" w:space="0" w:color="auto"/>
                                <w:right w:val="none" w:sz="0" w:space="0" w:color="auto"/>
                              </w:divBdr>
                              <w:divsChild>
                                <w:div w:id="1580754018">
                                  <w:marLeft w:val="0"/>
                                  <w:marRight w:val="0"/>
                                  <w:marTop w:val="0"/>
                                  <w:marBottom w:val="0"/>
                                  <w:divBdr>
                                    <w:top w:val="none" w:sz="0" w:space="0" w:color="auto"/>
                                    <w:left w:val="none" w:sz="0" w:space="0" w:color="auto"/>
                                    <w:bottom w:val="none" w:sz="0" w:space="0" w:color="auto"/>
                                    <w:right w:val="none" w:sz="0" w:space="0" w:color="auto"/>
                                  </w:divBdr>
                                  <w:divsChild>
                                    <w:div w:id="2028556519">
                                      <w:marLeft w:val="0"/>
                                      <w:marRight w:val="0"/>
                                      <w:marTop w:val="0"/>
                                      <w:marBottom w:val="0"/>
                                      <w:divBdr>
                                        <w:top w:val="none" w:sz="0" w:space="0" w:color="auto"/>
                                        <w:left w:val="none" w:sz="0" w:space="0" w:color="auto"/>
                                        <w:bottom w:val="none" w:sz="0" w:space="0" w:color="auto"/>
                                        <w:right w:val="none" w:sz="0" w:space="0" w:color="auto"/>
                                      </w:divBdr>
                                      <w:divsChild>
                                        <w:div w:id="1372729854">
                                          <w:marLeft w:val="0"/>
                                          <w:marRight w:val="0"/>
                                          <w:marTop w:val="0"/>
                                          <w:marBottom w:val="0"/>
                                          <w:divBdr>
                                            <w:top w:val="none" w:sz="0" w:space="0" w:color="auto"/>
                                            <w:left w:val="none" w:sz="0" w:space="0" w:color="auto"/>
                                            <w:bottom w:val="none" w:sz="0" w:space="0" w:color="auto"/>
                                            <w:right w:val="none" w:sz="0" w:space="0" w:color="auto"/>
                                          </w:divBdr>
                                          <w:divsChild>
                                            <w:div w:id="1242762900">
                                              <w:marLeft w:val="0"/>
                                              <w:marRight w:val="0"/>
                                              <w:marTop w:val="0"/>
                                              <w:marBottom w:val="0"/>
                                              <w:divBdr>
                                                <w:top w:val="none" w:sz="0" w:space="0" w:color="auto"/>
                                                <w:left w:val="none" w:sz="0" w:space="0" w:color="auto"/>
                                                <w:bottom w:val="none" w:sz="0" w:space="0" w:color="auto"/>
                                                <w:right w:val="none" w:sz="0" w:space="0" w:color="auto"/>
                                              </w:divBdr>
                                              <w:divsChild>
                                                <w:div w:id="7000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206111">
      <w:bodyDiv w:val="1"/>
      <w:marLeft w:val="0"/>
      <w:marRight w:val="0"/>
      <w:marTop w:val="0"/>
      <w:marBottom w:val="0"/>
      <w:divBdr>
        <w:top w:val="none" w:sz="0" w:space="0" w:color="auto"/>
        <w:left w:val="none" w:sz="0" w:space="0" w:color="auto"/>
        <w:bottom w:val="none" w:sz="0" w:space="0" w:color="auto"/>
        <w:right w:val="none" w:sz="0" w:space="0" w:color="auto"/>
      </w:divBdr>
      <w:divsChild>
        <w:div w:id="2034527751">
          <w:marLeft w:val="0"/>
          <w:marRight w:val="0"/>
          <w:marTop w:val="0"/>
          <w:marBottom w:val="0"/>
          <w:divBdr>
            <w:top w:val="none" w:sz="0" w:space="0" w:color="auto"/>
            <w:left w:val="none" w:sz="0" w:space="0" w:color="auto"/>
            <w:bottom w:val="none" w:sz="0" w:space="0" w:color="auto"/>
            <w:right w:val="none" w:sz="0" w:space="0" w:color="auto"/>
          </w:divBdr>
          <w:divsChild>
            <w:div w:id="1779257620">
              <w:marLeft w:val="0"/>
              <w:marRight w:val="0"/>
              <w:marTop w:val="0"/>
              <w:marBottom w:val="0"/>
              <w:divBdr>
                <w:top w:val="none" w:sz="0" w:space="0" w:color="auto"/>
                <w:left w:val="none" w:sz="0" w:space="0" w:color="auto"/>
                <w:bottom w:val="none" w:sz="0" w:space="0" w:color="auto"/>
                <w:right w:val="none" w:sz="0" w:space="0" w:color="auto"/>
              </w:divBdr>
              <w:divsChild>
                <w:div w:id="76948185">
                  <w:marLeft w:val="0"/>
                  <w:marRight w:val="0"/>
                  <w:marTop w:val="0"/>
                  <w:marBottom w:val="0"/>
                  <w:divBdr>
                    <w:top w:val="none" w:sz="0" w:space="0" w:color="auto"/>
                    <w:left w:val="none" w:sz="0" w:space="0" w:color="auto"/>
                    <w:bottom w:val="none" w:sz="0" w:space="0" w:color="auto"/>
                    <w:right w:val="none" w:sz="0" w:space="0" w:color="auto"/>
                  </w:divBdr>
                  <w:divsChild>
                    <w:div w:id="1708066706">
                      <w:marLeft w:val="0"/>
                      <w:marRight w:val="0"/>
                      <w:marTop w:val="0"/>
                      <w:marBottom w:val="0"/>
                      <w:divBdr>
                        <w:top w:val="none" w:sz="0" w:space="0" w:color="auto"/>
                        <w:left w:val="none" w:sz="0" w:space="0" w:color="auto"/>
                        <w:bottom w:val="none" w:sz="0" w:space="0" w:color="auto"/>
                        <w:right w:val="none" w:sz="0" w:space="0" w:color="auto"/>
                      </w:divBdr>
                      <w:divsChild>
                        <w:div w:id="1212880760">
                          <w:marLeft w:val="0"/>
                          <w:marRight w:val="0"/>
                          <w:marTop w:val="0"/>
                          <w:marBottom w:val="0"/>
                          <w:divBdr>
                            <w:top w:val="single" w:sz="6" w:space="0" w:color="828282"/>
                            <w:left w:val="single" w:sz="6" w:space="0" w:color="828282"/>
                            <w:bottom w:val="single" w:sz="6" w:space="0" w:color="828282"/>
                            <w:right w:val="single" w:sz="6" w:space="0" w:color="828282"/>
                          </w:divBdr>
                          <w:divsChild>
                            <w:div w:id="809057099">
                              <w:marLeft w:val="0"/>
                              <w:marRight w:val="0"/>
                              <w:marTop w:val="0"/>
                              <w:marBottom w:val="0"/>
                              <w:divBdr>
                                <w:top w:val="none" w:sz="0" w:space="0" w:color="auto"/>
                                <w:left w:val="none" w:sz="0" w:space="0" w:color="auto"/>
                                <w:bottom w:val="none" w:sz="0" w:space="0" w:color="auto"/>
                                <w:right w:val="none" w:sz="0" w:space="0" w:color="auto"/>
                              </w:divBdr>
                              <w:divsChild>
                                <w:div w:id="1592928243">
                                  <w:marLeft w:val="0"/>
                                  <w:marRight w:val="0"/>
                                  <w:marTop w:val="0"/>
                                  <w:marBottom w:val="0"/>
                                  <w:divBdr>
                                    <w:top w:val="none" w:sz="0" w:space="0" w:color="auto"/>
                                    <w:left w:val="none" w:sz="0" w:space="0" w:color="auto"/>
                                    <w:bottom w:val="none" w:sz="0" w:space="0" w:color="auto"/>
                                    <w:right w:val="none" w:sz="0" w:space="0" w:color="auto"/>
                                  </w:divBdr>
                                  <w:divsChild>
                                    <w:div w:id="274405760">
                                      <w:marLeft w:val="0"/>
                                      <w:marRight w:val="0"/>
                                      <w:marTop w:val="0"/>
                                      <w:marBottom w:val="0"/>
                                      <w:divBdr>
                                        <w:top w:val="none" w:sz="0" w:space="0" w:color="auto"/>
                                        <w:left w:val="none" w:sz="0" w:space="0" w:color="auto"/>
                                        <w:bottom w:val="none" w:sz="0" w:space="0" w:color="auto"/>
                                        <w:right w:val="none" w:sz="0" w:space="0" w:color="auto"/>
                                      </w:divBdr>
                                      <w:divsChild>
                                        <w:div w:id="1645235392">
                                          <w:marLeft w:val="0"/>
                                          <w:marRight w:val="0"/>
                                          <w:marTop w:val="0"/>
                                          <w:marBottom w:val="0"/>
                                          <w:divBdr>
                                            <w:top w:val="none" w:sz="0" w:space="0" w:color="auto"/>
                                            <w:left w:val="none" w:sz="0" w:space="0" w:color="auto"/>
                                            <w:bottom w:val="none" w:sz="0" w:space="0" w:color="auto"/>
                                            <w:right w:val="none" w:sz="0" w:space="0" w:color="auto"/>
                                          </w:divBdr>
                                          <w:divsChild>
                                            <w:div w:id="1316691112">
                                              <w:marLeft w:val="0"/>
                                              <w:marRight w:val="0"/>
                                              <w:marTop w:val="0"/>
                                              <w:marBottom w:val="0"/>
                                              <w:divBdr>
                                                <w:top w:val="none" w:sz="0" w:space="0" w:color="auto"/>
                                                <w:left w:val="none" w:sz="0" w:space="0" w:color="auto"/>
                                                <w:bottom w:val="none" w:sz="0" w:space="0" w:color="auto"/>
                                                <w:right w:val="none" w:sz="0" w:space="0" w:color="auto"/>
                                              </w:divBdr>
                                              <w:divsChild>
                                                <w:div w:id="9097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0331799">
      <w:bodyDiv w:val="1"/>
      <w:marLeft w:val="0"/>
      <w:marRight w:val="0"/>
      <w:marTop w:val="0"/>
      <w:marBottom w:val="0"/>
      <w:divBdr>
        <w:top w:val="none" w:sz="0" w:space="0" w:color="auto"/>
        <w:left w:val="none" w:sz="0" w:space="0" w:color="auto"/>
        <w:bottom w:val="none" w:sz="0" w:space="0" w:color="auto"/>
        <w:right w:val="none" w:sz="0" w:space="0" w:color="auto"/>
      </w:divBdr>
      <w:divsChild>
        <w:div w:id="763036080">
          <w:marLeft w:val="0"/>
          <w:marRight w:val="0"/>
          <w:marTop w:val="0"/>
          <w:marBottom w:val="0"/>
          <w:divBdr>
            <w:top w:val="none" w:sz="0" w:space="0" w:color="auto"/>
            <w:left w:val="none" w:sz="0" w:space="0" w:color="auto"/>
            <w:bottom w:val="none" w:sz="0" w:space="0" w:color="auto"/>
            <w:right w:val="none" w:sz="0" w:space="0" w:color="auto"/>
          </w:divBdr>
          <w:divsChild>
            <w:div w:id="988435169">
              <w:marLeft w:val="0"/>
              <w:marRight w:val="0"/>
              <w:marTop w:val="0"/>
              <w:marBottom w:val="0"/>
              <w:divBdr>
                <w:top w:val="none" w:sz="0" w:space="0" w:color="auto"/>
                <w:left w:val="none" w:sz="0" w:space="0" w:color="auto"/>
                <w:bottom w:val="none" w:sz="0" w:space="0" w:color="auto"/>
                <w:right w:val="none" w:sz="0" w:space="0" w:color="auto"/>
              </w:divBdr>
              <w:divsChild>
                <w:div w:id="889921496">
                  <w:marLeft w:val="0"/>
                  <w:marRight w:val="0"/>
                  <w:marTop w:val="0"/>
                  <w:marBottom w:val="0"/>
                  <w:divBdr>
                    <w:top w:val="none" w:sz="0" w:space="0" w:color="auto"/>
                    <w:left w:val="none" w:sz="0" w:space="0" w:color="auto"/>
                    <w:bottom w:val="none" w:sz="0" w:space="0" w:color="auto"/>
                    <w:right w:val="none" w:sz="0" w:space="0" w:color="auto"/>
                  </w:divBdr>
                  <w:divsChild>
                    <w:div w:id="195967018">
                      <w:marLeft w:val="0"/>
                      <w:marRight w:val="0"/>
                      <w:marTop w:val="0"/>
                      <w:marBottom w:val="0"/>
                      <w:divBdr>
                        <w:top w:val="none" w:sz="0" w:space="0" w:color="auto"/>
                        <w:left w:val="none" w:sz="0" w:space="0" w:color="auto"/>
                        <w:bottom w:val="none" w:sz="0" w:space="0" w:color="auto"/>
                        <w:right w:val="none" w:sz="0" w:space="0" w:color="auto"/>
                      </w:divBdr>
                      <w:divsChild>
                        <w:div w:id="1243759127">
                          <w:marLeft w:val="0"/>
                          <w:marRight w:val="0"/>
                          <w:marTop w:val="0"/>
                          <w:marBottom w:val="0"/>
                          <w:divBdr>
                            <w:top w:val="single" w:sz="2" w:space="0" w:color="828282"/>
                            <w:left w:val="single" w:sz="2" w:space="0" w:color="828282"/>
                            <w:bottom w:val="single" w:sz="2" w:space="0" w:color="828282"/>
                            <w:right w:val="single" w:sz="2" w:space="0" w:color="828282"/>
                          </w:divBdr>
                          <w:divsChild>
                            <w:div w:id="1681274102">
                              <w:marLeft w:val="0"/>
                              <w:marRight w:val="0"/>
                              <w:marTop w:val="0"/>
                              <w:marBottom w:val="0"/>
                              <w:divBdr>
                                <w:top w:val="none" w:sz="0" w:space="0" w:color="auto"/>
                                <w:left w:val="none" w:sz="0" w:space="0" w:color="auto"/>
                                <w:bottom w:val="none" w:sz="0" w:space="0" w:color="auto"/>
                                <w:right w:val="none" w:sz="0" w:space="0" w:color="auto"/>
                              </w:divBdr>
                              <w:divsChild>
                                <w:div w:id="269515300">
                                  <w:marLeft w:val="0"/>
                                  <w:marRight w:val="0"/>
                                  <w:marTop w:val="0"/>
                                  <w:marBottom w:val="0"/>
                                  <w:divBdr>
                                    <w:top w:val="none" w:sz="0" w:space="0" w:color="auto"/>
                                    <w:left w:val="none" w:sz="0" w:space="0" w:color="auto"/>
                                    <w:bottom w:val="none" w:sz="0" w:space="0" w:color="auto"/>
                                    <w:right w:val="none" w:sz="0" w:space="0" w:color="auto"/>
                                  </w:divBdr>
                                  <w:divsChild>
                                    <w:div w:id="3172760">
                                      <w:marLeft w:val="0"/>
                                      <w:marRight w:val="0"/>
                                      <w:marTop w:val="0"/>
                                      <w:marBottom w:val="0"/>
                                      <w:divBdr>
                                        <w:top w:val="none" w:sz="0" w:space="0" w:color="auto"/>
                                        <w:left w:val="none" w:sz="0" w:space="0" w:color="auto"/>
                                        <w:bottom w:val="none" w:sz="0" w:space="0" w:color="auto"/>
                                        <w:right w:val="none" w:sz="0" w:space="0" w:color="auto"/>
                                      </w:divBdr>
                                      <w:divsChild>
                                        <w:div w:id="325401467">
                                          <w:marLeft w:val="0"/>
                                          <w:marRight w:val="0"/>
                                          <w:marTop w:val="0"/>
                                          <w:marBottom w:val="0"/>
                                          <w:divBdr>
                                            <w:top w:val="none" w:sz="0" w:space="0" w:color="auto"/>
                                            <w:left w:val="none" w:sz="0" w:space="0" w:color="auto"/>
                                            <w:bottom w:val="none" w:sz="0" w:space="0" w:color="auto"/>
                                            <w:right w:val="none" w:sz="0" w:space="0" w:color="auto"/>
                                          </w:divBdr>
                                          <w:divsChild>
                                            <w:div w:id="882717510">
                                              <w:marLeft w:val="0"/>
                                              <w:marRight w:val="0"/>
                                              <w:marTop w:val="0"/>
                                              <w:marBottom w:val="0"/>
                                              <w:divBdr>
                                                <w:top w:val="none" w:sz="0" w:space="0" w:color="auto"/>
                                                <w:left w:val="none" w:sz="0" w:space="0" w:color="auto"/>
                                                <w:bottom w:val="none" w:sz="0" w:space="0" w:color="auto"/>
                                                <w:right w:val="none" w:sz="0" w:space="0" w:color="auto"/>
                                              </w:divBdr>
                                              <w:divsChild>
                                                <w:div w:id="146820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640665">
      <w:bodyDiv w:val="1"/>
      <w:marLeft w:val="0"/>
      <w:marRight w:val="0"/>
      <w:marTop w:val="0"/>
      <w:marBottom w:val="0"/>
      <w:divBdr>
        <w:top w:val="none" w:sz="0" w:space="0" w:color="auto"/>
        <w:left w:val="none" w:sz="0" w:space="0" w:color="auto"/>
        <w:bottom w:val="none" w:sz="0" w:space="0" w:color="auto"/>
        <w:right w:val="none" w:sz="0" w:space="0" w:color="auto"/>
      </w:divBdr>
    </w:div>
    <w:div w:id="1175344904">
      <w:bodyDiv w:val="1"/>
      <w:marLeft w:val="0"/>
      <w:marRight w:val="0"/>
      <w:marTop w:val="0"/>
      <w:marBottom w:val="0"/>
      <w:divBdr>
        <w:top w:val="none" w:sz="0" w:space="0" w:color="auto"/>
        <w:left w:val="none" w:sz="0" w:space="0" w:color="auto"/>
        <w:bottom w:val="none" w:sz="0" w:space="0" w:color="auto"/>
        <w:right w:val="none" w:sz="0" w:space="0" w:color="auto"/>
      </w:divBdr>
      <w:divsChild>
        <w:div w:id="1525435646">
          <w:marLeft w:val="0"/>
          <w:marRight w:val="0"/>
          <w:marTop w:val="0"/>
          <w:marBottom w:val="0"/>
          <w:divBdr>
            <w:top w:val="none" w:sz="0" w:space="0" w:color="auto"/>
            <w:left w:val="none" w:sz="0" w:space="0" w:color="auto"/>
            <w:bottom w:val="none" w:sz="0" w:space="0" w:color="auto"/>
            <w:right w:val="none" w:sz="0" w:space="0" w:color="auto"/>
          </w:divBdr>
          <w:divsChild>
            <w:div w:id="190997707">
              <w:marLeft w:val="0"/>
              <w:marRight w:val="0"/>
              <w:marTop w:val="0"/>
              <w:marBottom w:val="0"/>
              <w:divBdr>
                <w:top w:val="none" w:sz="0" w:space="0" w:color="auto"/>
                <w:left w:val="none" w:sz="0" w:space="0" w:color="auto"/>
                <w:bottom w:val="none" w:sz="0" w:space="0" w:color="auto"/>
                <w:right w:val="none" w:sz="0" w:space="0" w:color="auto"/>
              </w:divBdr>
              <w:divsChild>
                <w:div w:id="402290433">
                  <w:marLeft w:val="0"/>
                  <w:marRight w:val="0"/>
                  <w:marTop w:val="0"/>
                  <w:marBottom w:val="0"/>
                  <w:divBdr>
                    <w:top w:val="none" w:sz="0" w:space="0" w:color="auto"/>
                    <w:left w:val="none" w:sz="0" w:space="0" w:color="auto"/>
                    <w:bottom w:val="none" w:sz="0" w:space="0" w:color="auto"/>
                    <w:right w:val="none" w:sz="0" w:space="0" w:color="auto"/>
                  </w:divBdr>
                  <w:divsChild>
                    <w:div w:id="60687761">
                      <w:marLeft w:val="0"/>
                      <w:marRight w:val="0"/>
                      <w:marTop w:val="0"/>
                      <w:marBottom w:val="0"/>
                      <w:divBdr>
                        <w:top w:val="none" w:sz="0" w:space="0" w:color="auto"/>
                        <w:left w:val="none" w:sz="0" w:space="0" w:color="auto"/>
                        <w:bottom w:val="none" w:sz="0" w:space="0" w:color="auto"/>
                        <w:right w:val="none" w:sz="0" w:space="0" w:color="auto"/>
                      </w:divBdr>
                      <w:divsChild>
                        <w:div w:id="996684460">
                          <w:marLeft w:val="0"/>
                          <w:marRight w:val="0"/>
                          <w:marTop w:val="0"/>
                          <w:marBottom w:val="0"/>
                          <w:divBdr>
                            <w:top w:val="single" w:sz="6" w:space="0" w:color="828282"/>
                            <w:left w:val="single" w:sz="6" w:space="0" w:color="828282"/>
                            <w:bottom w:val="single" w:sz="6" w:space="0" w:color="828282"/>
                            <w:right w:val="single" w:sz="6" w:space="0" w:color="828282"/>
                          </w:divBdr>
                          <w:divsChild>
                            <w:div w:id="817384922">
                              <w:marLeft w:val="0"/>
                              <w:marRight w:val="0"/>
                              <w:marTop w:val="0"/>
                              <w:marBottom w:val="0"/>
                              <w:divBdr>
                                <w:top w:val="none" w:sz="0" w:space="0" w:color="auto"/>
                                <w:left w:val="none" w:sz="0" w:space="0" w:color="auto"/>
                                <w:bottom w:val="none" w:sz="0" w:space="0" w:color="auto"/>
                                <w:right w:val="none" w:sz="0" w:space="0" w:color="auto"/>
                              </w:divBdr>
                              <w:divsChild>
                                <w:div w:id="2060745261">
                                  <w:marLeft w:val="0"/>
                                  <w:marRight w:val="0"/>
                                  <w:marTop w:val="0"/>
                                  <w:marBottom w:val="0"/>
                                  <w:divBdr>
                                    <w:top w:val="none" w:sz="0" w:space="0" w:color="auto"/>
                                    <w:left w:val="none" w:sz="0" w:space="0" w:color="auto"/>
                                    <w:bottom w:val="none" w:sz="0" w:space="0" w:color="auto"/>
                                    <w:right w:val="none" w:sz="0" w:space="0" w:color="auto"/>
                                  </w:divBdr>
                                  <w:divsChild>
                                    <w:div w:id="1805075816">
                                      <w:marLeft w:val="0"/>
                                      <w:marRight w:val="0"/>
                                      <w:marTop w:val="0"/>
                                      <w:marBottom w:val="0"/>
                                      <w:divBdr>
                                        <w:top w:val="none" w:sz="0" w:space="0" w:color="auto"/>
                                        <w:left w:val="none" w:sz="0" w:space="0" w:color="auto"/>
                                        <w:bottom w:val="none" w:sz="0" w:space="0" w:color="auto"/>
                                        <w:right w:val="none" w:sz="0" w:space="0" w:color="auto"/>
                                      </w:divBdr>
                                      <w:divsChild>
                                        <w:div w:id="503017302">
                                          <w:marLeft w:val="0"/>
                                          <w:marRight w:val="0"/>
                                          <w:marTop w:val="0"/>
                                          <w:marBottom w:val="0"/>
                                          <w:divBdr>
                                            <w:top w:val="none" w:sz="0" w:space="0" w:color="auto"/>
                                            <w:left w:val="none" w:sz="0" w:space="0" w:color="auto"/>
                                            <w:bottom w:val="none" w:sz="0" w:space="0" w:color="auto"/>
                                            <w:right w:val="none" w:sz="0" w:space="0" w:color="auto"/>
                                          </w:divBdr>
                                          <w:divsChild>
                                            <w:div w:id="464472246">
                                              <w:marLeft w:val="0"/>
                                              <w:marRight w:val="0"/>
                                              <w:marTop w:val="0"/>
                                              <w:marBottom w:val="0"/>
                                              <w:divBdr>
                                                <w:top w:val="none" w:sz="0" w:space="0" w:color="auto"/>
                                                <w:left w:val="none" w:sz="0" w:space="0" w:color="auto"/>
                                                <w:bottom w:val="none" w:sz="0" w:space="0" w:color="auto"/>
                                                <w:right w:val="none" w:sz="0" w:space="0" w:color="auto"/>
                                              </w:divBdr>
                                              <w:divsChild>
                                                <w:div w:id="11248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982064">
      <w:bodyDiv w:val="1"/>
      <w:marLeft w:val="0"/>
      <w:marRight w:val="0"/>
      <w:marTop w:val="0"/>
      <w:marBottom w:val="0"/>
      <w:divBdr>
        <w:top w:val="none" w:sz="0" w:space="0" w:color="auto"/>
        <w:left w:val="none" w:sz="0" w:space="0" w:color="auto"/>
        <w:bottom w:val="none" w:sz="0" w:space="0" w:color="auto"/>
        <w:right w:val="none" w:sz="0" w:space="0" w:color="auto"/>
      </w:divBdr>
      <w:divsChild>
        <w:div w:id="1055785792">
          <w:marLeft w:val="0"/>
          <w:marRight w:val="0"/>
          <w:marTop w:val="0"/>
          <w:marBottom w:val="0"/>
          <w:divBdr>
            <w:top w:val="none" w:sz="0" w:space="0" w:color="auto"/>
            <w:left w:val="none" w:sz="0" w:space="0" w:color="auto"/>
            <w:bottom w:val="none" w:sz="0" w:space="0" w:color="auto"/>
            <w:right w:val="none" w:sz="0" w:space="0" w:color="auto"/>
          </w:divBdr>
          <w:divsChild>
            <w:div w:id="1007559617">
              <w:marLeft w:val="0"/>
              <w:marRight w:val="0"/>
              <w:marTop w:val="0"/>
              <w:marBottom w:val="0"/>
              <w:divBdr>
                <w:top w:val="none" w:sz="0" w:space="0" w:color="auto"/>
                <w:left w:val="none" w:sz="0" w:space="0" w:color="auto"/>
                <w:bottom w:val="none" w:sz="0" w:space="0" w:color="auto"/>
                <w:right w:val="none" w:sz="0" w:space="0" w:color="auto"/>
              </w:divBdr>
              <w:divsChild>
                <w:div w:id="962419193">
                  <w:marLeft w:val="0"/>
                  <w:marRight w:val="0"/>
                  <w:marTop w:val="0"/>
                  <w:marBottom w:val="0"/>
                  <w:divBdr>
                    <w:top w:val="none" w:sz="0" w:space="0" w:color="auto"/>
                    <w:left w:val="none" w:sz="0" w:space="0" w:color="auto"/>
                    <w:bottom w:val="none" w:sz="0" w:space="0" w:color="auto"/>
                    <w:right w:val="none" w:sz="0" w:space="0" w:color="auto"/>
                  </w:divBdr>
                  <w:divsChild>
                    <w:div w:id="97410269">
                      <w:marLeft w:val="0"/>
                      <w:marRight w:val="0"/>
                      <w:marTop w:val="0"/>
                      <w:marBottom w:val="0"/>
                      <w:divBdr>
                        <w:top w:val="none" w:sz="0" w:space="0" w:color="auto"/>
                        <w:left w:val="none" w:sz="0" w:space="0" w:color="auto"/>
                        <w:bottom w:val="none" w:sz="0" w:space="0" w:color="auto"/>
                        <w:right w:val="none" w:sz="0" w:space="0" w:color="auto"/>
                      </w:divBdr>
                      <w:divsChild>
                        <w:div w:id="893812521">
                          <w:marLeft w:val="0"/>
                          <w:marRight w:val="0"/>
                          <w:marTop w:val="0"/>
                          <w:marBottom w:val="0"/>
                          <w:divBdr>
                            <w:top w:val="single" w:sz="4" w:space="0" w:color="828282"/>
                            <w:left w:val="single" w:sz="4" w:space="0" w:color="828282"/>
                            <w:bottom w:val="single" w:sz="4" w:space="0" w:color="828282"/>
                            <w:right w:val="single" w:sz="4" w:space="0" w:color="828282"/>
                          </w:divBdr>
                          <w:divsChild>
                            <w:div w:id="1786383679">
                              <w:marLeft w:val="0"/>
                              <w:marRight w:val="0"/>
                              <w:marTop w:val="0"/>
                              <w:marBottom w:val="0"/>
                              <w:divBdr>
                                <w:top w:val="none" w:sz="0" w:space="0" w:color="auto"/>
                                <w:left w:val="none" w:sz="0" w:space="0" w:color="auto"/>
                                <w:bottom w:val="none" w:sz="0" w:space="0" w:color="auto"/>
                                <w:right w:val="none" w:sz="0" w:space="0" w:color="auto"/>
                              </w:divBdr>
                              <w:divsChild>
                                <w:div w:id="2058967209">
                                  <w:marLeft w:val="0"/>
                                  <w:marRight w:val="0"/>
                                  <w:marTop w:val="0"/>
                                  <w:marBottom w:val="0"/>
                                  <w:divBdr>
                                    <w:top w:val="none" w:sz="0" w:space="0" w:color="auto"/>
                                    <w:left w:val="none" w:sz="0" w:space="0" w:color="auto"/>
                                    <w:bottom w:val="none" w:sz="0" w:space="0" w:color="auto"/>
                                    <w:right w:val="none" w:sz="0" w:space="0" w:color="auto"/>
                                  </w:divBdr>
                                  <w:divsChild>
                                    <w:div w:id="1911378689">
                                      <w:marLeft w:val="0"/>
                                      <w:marRight w:val="0"/>
                                      <w:marTop w:val="0"/>
                                      <w:marBottom w:val="0"/>
                                      <w:divBdr>
                                        <w:top w:val="none" w:sz="0" w:space="0" w:color="auto"/>
                                        <w:left w:val="none" w:sz="0" w:space="0" w:color="auto"/>
                                        <w:bottom w:val="none" w:sz="0" w:space="0" w:color="auto"/>
                                        <w:right w:val="none" w:sz="0" w:space="0" w:color="auto"/>
                                      </w:divBdr>
                                      <w:divsChild>
                                        <w:div w:id="1812821343">
                                          <w:marLeft w:val="0"/>
                                          <w:marRight w:val="0"/>
                                          <w:marTop w:val="0"/>
                                          <w:marBottom w:val="0"/>
                                          <w:divBdr>
                                            <w:top w:val="none" w:sz="0" w:space="0" w:color="auto"/>
                                            <w:left w:val="none" w:sz="0" w:space="0" w:color="auto"/>
                                            <w:bottom w:val="none" w:sz="0" w:space="0" w:color="auto"/>
                                            <w:right w:val="none" w:sz="0" w:space="0" w:color="auto"/>
                                          </w:divBdr>
                                          <w:divsChild>
                                            <w:div w:id="280455225">
                                              <w:marLeft w:val="0"/>
                                              <w:marRight w:val="0"/>
                                              <w:marTop w:val="0"/>
                                              <w:marBottom w:val="0"/>
                                              <w:divBdr>
                                                <w:top w:val="none" w:sz="0" w:space="0" w:color="auto"/>
                                                <w:left w:val="none" w:sz="0" w:space="0" w:color="auto"/>
                                                <w:bottom w:val="none" w:sz="0" w:space="0" w:color="auto"/>
                                                <w:right w:val="none" w:sz="0" w:space="0" w:color="auto"/>
                                              </w:divBdr>
                                              <w:divsChild>
                                                <w:div w:id="19456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438284">
      <w:bodyDiv w:val="1"/>
      <w:marLeft w:val="0"/>
      <w:marRight w:val="0"/>
      <w:marTop w:val="0"/>
      <w:marBottom w:val="0"/>
      <w:divBdr>
        <w:top w:val="none" w:sz="0" w:space="0" w:color="auto"/>
        <w:left w:val="none" w:sz="0" w:space="0" w:color="auto"/>
        <w:bottom w:val="none" w:sz="0" w:space="0" w:color="auto"/>
        <w:right w:val="none" w:sz="0" w:space="0" w:color="auto"/>
      </w:divBdr>
      <w:divsChild>
        <w:div w:id="924147981">
          <w:marLeft w:val="0"/>
          <w:marRight w:val="0"/>
          <w:marTop w:val="0"/>
          <w:marBottom w:val="0"/>
          <w:divBdr>
            <w:top w:val="none" w:sz="0" w:space="0" w:color="auto"/>
            <w:left w:val="none" w:sz="0" w:space="0" w:color="auto"/>
            <w:bottom w:val="none" w:sz="0" w:space="0" w:color="auto"/>
            <w:right w:val="none" w:sz="0" w:space="0" w:color="auto"/>
          </w:divBdr>
          <w:divsChild>
            <w:div w:id="1078867870">
              <w:marLeft w:val="0"/>
              <w:marRight w:val="0"/>
              <w:marTop w:val="0"/>
              <w:marBottom w:val="0"/>
              <w:divBdr>
                <w:top w:val="none" w:sz="0" w:space="0" w:color="auto"/>
                <w:left w:val="none" w:sz="0" w:space="0" w:color="auto"/>
                <w:bottom w:val="none" w:sz="0" w:space="0" w:color="auto"/>
                <w:right w:val="none" w:sz="0" w:space="0" w:color="auto"/>
              </w:divBdr>
              <w:divsChild>
                <w:div w:id="337390463">
                  <w:marLeft w:val="0"/>
                  <w:marRight w:val="0"/>
                  <w:marTop w:val="0"/>
                  <w:marBottom w:val="0"/>
                  <w:divBdr>
                    <w:top w:val="none" w:sz="0" w:space="0" w:color="auto"/>
                    <w:left w:val="none" w:sz="0" w:space="0" w:color="auto"/>
                    <w:bottom w:val="none" w:sz="0" w:space="0" w:color="auto"/>
                    <w:right w:val="none" w:sz="0" w:space="0" w:color="auto"/>
                  </w:divBdr>
                  <w:divsChild>
                    <w:div w:id="1057819506">
                      <w:marLeft w:val="0"/>
                      <w:marRight w:val="0"/>
                      <w:marTop w:val="0"/>
                      <w:marBottom w:val="0"/>
                      <w:divBdr>
                        <w:top w:val="none" w:sz="0" w:space="0" w:color="auto"/>
                        <w:left w:val="none" w:sz="0" w:space="0" w:color="auto"/>
                        <w:bottom w:val="none" w:sz="0" w:space="0" w:color="auto"/>
                        <w:right w:val="none" w:sz="0" w:space="0" w:color="auto"/>
                      </w:divBdr>
                      <w:divsChild>
                        <w:div w:id="8916941">
                          <w:marLeft w:val="0"/>
                          <w:marRight w:val="0"/>
                          <w:marTop w:val="0"/>
                          <w:marBottom w:val="0"/>
                          <w:divBdr>
                            <w:top w:val="single" w:sz="6" w:space="0" w:color="828282"/>
                            <w:left w:val="single" w:sz="6" w:space="0" w:color="828282"/>
                            <w:bottom w:val="single" w:sz="6" w:space="0" w:color="828282"/>
                            <w:right w:val="single" w:sz="6" w:space="0" w:color="828282"/>
                          </w:divBdr>
                          <w:divsChild>
                            <w:div w:id="647049927">
                              <w:marLeft w:val="0"/>
                              <w:marRight w:val="0"/>
                              <w:marTop w:val="0"/>
                              <w:marBottom w:val="0"/>
                              <w:divBdr>
                                <w:top w:val="none" w:sz="0" w:space="0" w:color="auto"/>
                                <w:left w:val="none" w:sz="0" w:space="0" w:color="auto"/>
                                <w:bottom w:val="none" w:sz="0" w:space="0" w:color="auto"/>
                                <w:right w:val="none" w:sz="0" w:space="0" w:color="auto"/>
                              </w:divBdr>
                              <w:divsChild>
                                <w:div w:id="1544563386">
                                  <w:marLeft w:val="0"/>
                                  <w:marRight w:val="0"/>
                                  <w:marTop w:val="0"/>
                                  <w:marBottom w:val="0"/>
                                  <w:divBdr>
                                    <w:top w:val="none" w:sz="0" w:space="0" w:color="auto"/>
                                    <w:left w:val="none" w:sz="0" w:space="0" w:color="auto"/>
                                    <w:bottom w:val="none" w:sz="0" w:space="0" w:color="auto"/>
                                    <w:right w:val="none" w:sz="0" w:space="0" w:color="auto"/>
                                  </w:divBdr>
                                  <w:divsChild>
                                    <w:div w:id="163906658">
                                      <w:marLeft w:val="0"/>
                                      <w:marRight w:val="0"/>
                                      <w:marTop w:val="0"/>
                                      <w:marBottom w:val="0"/>
                                      <w:divBdr>
                                        <w:top w:val="none" w:sz="0" w:space="0" w:color="auto"/>
                                        <w:left w:val="none" w:sz="0" w:space="0" w:color="auto"/>
                                        <w:bottom w:val="none" w:sz="0" w:space="0" w:color="auto"/>
                                        <w:right w:val="none" w:sz="0" w:space="0" w:color="auto"/>
                                      </w:divBdr>
                                      <w:divsChild>
                                        <w:div w:id="61371864">
                                          <w:marLeft w:val="0"/>
                                          <w:marRight w:val="0"/>
                                          <w:marTop w:val="0"/>
                                          <w:marBottom w:val="0"/>
                                          <w:divBdr>
                                            <w:top w:val="none" w:sz="0" w:space="0" w:color="auto"/>
                                            <w:left w:val="none" w:sz="0" w:space="0" w:color="auto"/>
                                            <w:bottom w:val="none" w:sz="0" w:space="0" w:color="auto"/>
                                            <w:right w:val="none" w:sz="0" w:space="0" w:color="auto"/>
                                          </w:divBdr>
                                          <w:divsChild>
                                            <w:div w:id="707143850">
                                              <w:marLeft w:val="0"/>
                                              <w:marRight w:val="0"/>
                                              <w:marTop w:val="0"/>
                                              <w:marBottom w:val="0"/>
                                              <w:divBdr>
                                                <w:top w:val="none" w:sz="0" w:space="0" w:color="auto"/>
                                                <w:left w:val="none" w:sz="0" w:space="0" w:color="auto"/>
                                                <w:bottom w:val="none" w:sz="0" w:space="0" w:color="auto"/>
                                                <w:right w:val="none" w:sz="0" w:space="0" w:color="auto"/>
                                              </w:divBdr>
                                              <w:divsChild>
                                                <w:div w:id="13131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3471225">
      <w:bodyDiv w:val="1"/>
      <w:marLeft w:val="0"/>
      <w:marRight w:val="0"/>
      <w:marTop w:val="0"/>
      <w:marBottom w:val="0"/>
      <w:divBdr>
        <w:top w:val="none" w:sz="0" w:space="0" w:color="auto"/>
        <w:left w:val="none" w:sz="0" w:space="0" w:color="auto"/>
        <w:bottom w:val="none" w:sz="0" w:space="0" w:color="auto"/>
        <w:right w:val="none" w:sz="0" w:space="0" w:color="auto"/>
      </w:divBdr>
    </w:div>
    <w:div w:id="1710690036">
      <w:bodyDiv w:val="1"/>
      <w:marLeft w:val="0"/>
      <w:marRight w:val="0"/>
      <w:marTop w:val="0"/>
      <w:marBottom w:val="0"/>
      <w:divBdr>
        <w:top w:val="none" w:sz="0" w:space="0" w:color="auto"/>
        <w:left w:val="none" w:sz="0" w:space="0" w:color="auto"/>
        <w:bottom w:val="none" w:sz="0" w:space="0" w:color="auto"/>
        <w:right w:val="none" w:sz="0" w:space="0" w:color="auto"/>
      </w:divBdr>
    </w:div>
    <w:div w:id="1767573947">
      <w:bodyDiv w:val="1"/>
      <w:marLeft w:val="0"/>
      <w:marRight w:val="0"/>
      <w:marTop w:val="0"/>
      <w:marBottom w:val="0"/>
      <w:divBdr>
        <w:top w:val="none" w:sz="0" w:space="0" w:color="auto"/>
        <w:left w:val="none" w:sz="0" w:space="0" w:color="auto"/>
        <w:bottom w:val="none" w:sz="0" w:space="0" w:color="auto"/>
        <w:right w:val="none" w:sz="0" w:space="0" w:color="auto"/>
      </w:divBdr>
      <w:divsChild>
        <w:div w:id="766655885">
          <w:marLeft w:val="0"/>
          <w:marRight w:val="0"/>
          <w:marTop w:val="0"/>
          <w:marBottom w:val="0"/>
          <w:divBdr>
            <w:top w:val="none" w:sz="0" w:space="0" w:color="auto"/>
            <w:left w:val="none" w:sz="0" w:space="0" w:color="auto"/>
            <w:bottom w:val="none" w:sz="0" w:space="0" w:color="auto"/>
            <w:right w:val="none" w:sz="0" w:space="0" w:color="auto"/>
          </w:divBdr>
          <w:divsChild>
            <w:div w:id="916598878">
              <w:marLeft w:val="0"/>
              <w:marRight w:val="0"/>
              <w:marTop w:val="0"/>
              <w:marBottom w:val="0"/>
              <w:divBdr>
                <w:top w:val="none" w:sz="0" w:space="0" w:color="auto"/>
                <w:left w:val="none" w:sz="0" w:space="0" w:color="auto"/>
                <w:bottom w:val="none" w:sz="0" w:space="0" w:color="auto"/>
                <w:right w:val="none" w:sz="0" w:space="0" w:color="auto"/>
              </w:divBdr>
              <w:divsChild>
                <w:div w:id="1522670905">
                  <w:marLeft w:val="0"/>
                  <w:marRight w:val="0"/>
                  <w:marTop w:val="0"/>
                  <w:marBottom w:val="0"/>
                  <w:divBdr>
                    <w:top w:val="none" w:sz="0" w:space="0" w:color="auto"/>
                    <w:left w:val="none" w:sz="0" w:space="0" w:color="auto"/>
                    <w:bottom w:val="none" w:sz="0" w:space="0" w:color="auto"/>
                    <w:right w:val="none" w:sz="0" w:space="0" w:color="auto"/>
                  </w:divBdr>
                  <w:divsChild>
                    <w:div w:id="532572543">
                      <w:marLeft w:val="0"/>
                      <w:marRight w:val="0"/>
                      <w:marTop w:val="0"/>
                      <w:marBottom w:val="0"/>
                      <w:divBdr>
                        <w:top w:val="none" w:sz="0" w:space="0" w:color="auto"/>
                        <w:left w:val="none" w:sz="0" w:space="0" w:color="auto"/>
                        <w:bottom w:val="none" w:sz="0" w:space="0" w:color="auto"/>
                        <w:right w:val="none" w:sz="0" w:space="0" w:color="auto"/>
                      </w:divBdr>
                      <w:divsChild>
                        <w:div w:id="1801260127">
                          <w:marLeft w:val="0"/>
                          <w:marRight w:val="0"/>
                          <w:marTop w:val="0"/>
                          <w:marBottom w:val="0"/>
                          <w:divBdr>
                            <w:top w:val="single" w:sz="6" w:space="0" w:color="828282"/>
                            <w:left w:val="single" w:sz="6" w:space="0" w:color="828282"/>
                            <w:bottom w:val="single" w:sz="6" w:space="0" w:color="828282"/>
                            <w:right w:val="single" w:sz="6" w:space="0" w:color="828282"/>
                          </w:divBdr>
                          <w:divsChild>
                            <w:div w:id="1070687298">
                              <w:marLeft w:val="0"/>
                              <w:marRight w:val="0"/>
                              <w:marTop w:val="0"/>
                              <w:marBottom w:val="0"/>
                              <w:divBdr>
                                <w:top w:val="none" w:sz="0" w:space="0" w:color="auto"/>
                                <w:left w:val="none" w:sz="0" w:space="0" w:color="auto"/>
                                <w:bottom w:val="none" w:sz="0" w:space="0" w:color="auto"/>
                                <w:right w:val="none" w:sz="0" w:space="0" w:color="auto"/>
                              </w:divBdr>
                              <w:divsChild>
                                <w:div w:id="1525243876">
                                  <w:marLeft w:val="0"/>
                                  <w:marRight w:val="0"/>
                                  <w:marTop w:val="0"/>
                                  <w:marBottom w:val="0"/>
                                  <w:divBdr>
                                    <w:top w:val="none" w:sz="0" w:space="0" w:color="auto"/>
                                    <w:left w:val="none" w:sz="0" w:space="0" w:color="auto"/>
                                    <w:bottom w:val="none" w:sz="0" w:space="0" w:color="auto"/>
                                    <w:right w:val="none" w:sz="0" w:space="0" w:color="auto"/>
                                  </w:divBdr>
                                  <w:divsChild>
                                    <w:div w:id="2083940974">
                                      <w:marLeft w:val="0"/>
                                      <w:marRight w:val="0"/>
                                      <w:marTop w:val="0"/>
                                      <w:marBottom w:val="0"/>
                                      <w:divBdr>
                                        <w:top w:val="none" w:sz="0" w:space="0" w:color="auto"/>
                                        <w:left w:val="none" w:sz="0" w:space="0" w:color="auto"/>
                                        <w:bottom w:val="none" w:sz="0" w:space="0" w:color="auto"/>
                                        <w:right w:val="none" w:sz="0" w:space="0" w:color="auto"/>
                                      </w:divBdr>
                                      <w:divsChild>
                                        <w:div w:id="574322583">
                                          <w:marLeft w:val="0"/>
                                          <w:marRight w:val="0"/>
                                          <w:marTop w:val="0"/>
                                          <w:marBottom w:val="0"/>
                                          <w:divBdr>
                                            <w:top w:val="none" w:sz="0" w:space="0" w:color="auto"/>
                                            <w:left w:val="none" w:sz="0" w:space="0" w:color="auto"/>
                                            <w:bottom w:val="none" w:sz="0" w:space="0" w:color="auto"/>
                                            <w:right w:val="none" w:sz="0" w:space="0" w:color="auto"/>
                                          </w:divBdr>
                                          <w:divsChild>
                                            <w:div w:id="1566331140">
                                              <w:marLeft w:val="0"/>
                                              <w:marRight w:val="0"/>
                                              <w:marTop w:val="0"/>
                                              <w:marBottom w:val="0"/>
                                              <w:divBdr>
                                                <w:top w:val="none" w:sz="0" w:space="0" w:color="auto"/>
                                                <w:left w:val="none" w:sz="0" w:space="0" w:color="auto"/>
                                                <w:bottom w:val="none" w:sz="0" w:space="0" w:color="auto"/>
                                                <w:right w:val="none" w:sz="0" w:space="0" w:color="auto"/>
                                              </w:divBdr>
                                              <w:divsChild>
                                                <w:div w:id="4313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6025">
      <w:bodyDiv w:val="1"/>
      <w:marLeft w:val="0"/>
      <w:marRight w:val="0"/>
      <w:marTop w:val="0"/>
      <w:marBottom w:val="0"/>
      <w:divBdr>
        <w:top w:val="none" w:sz="0" w:space="0" w:color="auto"/>
        <w:left w:val="none" w:sz="0" w:space="0" w:color="auto"/>
        <w:bottom w:val="none" w:sz="0" w:space="0" w:color="auto"/>
        <w:right w:val="none" w:sz="0" w:space="0" w:color="auto"/>
      </w:divBdr>
      <w:divsChild>
        <w:div w:id="2105569811">
          <w:marLeft w:val="0"/>
          <w:marRight w:val="0"/>
          <w:marTop w:val="0"/>
          <w:marBottom w:val="0"/>
          <w:divBdr>
            <w:top w:val="none" w:sz="0" w:space="0" w:color="auto"/>
            <w:left w:val="none" w:sz="0" w:space="0" w:color="auto"/>
            <w:bottom w:val="none" w:sz="0" w:space="0" w:color="auto"/>
            <w:right w:val="none" w:sz="0" w:space="0" w:color="auto"/>
          </w:divBdr>
          <w:divsChild>
            <w:div w:id="315770308">
              <w:marLeft w:val="0"/>
              <w:marRight w:val="0"/>
              <w:marTop w:val="0"/>
              <w:marBottom w:val="0"/>
              <w:divBdr>
                <w:top w:val="none" w:sz="0" w:space="0" w:color="auto"/>
                <w:left w:val="none" w:sz="0" w:space="0" w:color="auto"/>
                <w:bottom w:val="none" w:sz="0" w:space="0" w:color="auto"/>
                <w:right w:val="none" w:sz="0" w:space="0" w:color="auto"/>
              </w:divBdr>
              <w:divsChild>
                <w:div w:id="652417693">
                  <w:marLeft w:val="0"/>
                  <w:marRight w:val="0"/>
                  <w:marTop w:val="0"/>
                  <w:marBottom w:val="0"/>
                  <w:divBdr>
                    <w:top w:val="none" w:sz="0" w:space="0" w:color="auto"/>
                    <w:left w:val="none" w:sz="0" w:space="0" w:color="auto"/>
                    <w:bottom w:val="none" w:sz="0" w:space="0" w:color="auto"/>
                    <w:right w:val="none" w:sz="0" w:space="0" w:color="auto"/>
                  </w:divBdr>
                  <w:divsChild>
                    <w:div w:id="1253661106">
                      <w:marLeft w:val="0"/>
                      <w:marRight w:val="0"/>
                      <w:marTop w:val="0"/>
                      <w:marBottom w:val="0"/>
                      <w:divBdr>
                        <w:top w:val="none" w:sz="0" w:space="0" w:color="auto"/>
                        <w:left w:val="none" w:sz="0" w:space="0" w:color="auto"/>
                        <w:bottom w:val="none" w:sz="0" w:space="0" w:color="auto"/>
                        <w:right w:val="none" w:sz="0" w:space="0" w:color="auto"/>
                      </w:divBdr>
                      <w:divsChild>
                        <w:div w:id="1150174548">
                          <w:marLeft w:val="0"/>
                          <w:marRight w:val="0"/>
                          <w:marTop w:val="0"/>
                          <w:marBottom w:val="0"/>
                          <w:divBdr>
                            <w:top w:val="single" w:sz="6" w:space="0" w:color="828282"/>
                            <w:left w:val="single" w:sz="6" w:space="0" w:color="828282"/>
                            <w:bottom w:val="single" w:sz="6" w:space="0" w:color="828282"/>
                            <w:right w:val="single" w:sz="6" w:space="0" w:color="828282"/>
                          </w:divBdr>
                          <w:divsChild>
                            <w:div w:id="1598059783">
                              <w:marLeft w:val="0"/>
                              <w:marRight w:val="0"/>
                              <w:marTop w:val="0"/>
                              <w:marBottom w:val="0"/>
                              <w:divBdr>
                                <w:top w:val="none" w:sz="0" w:space="0" w:color="auto"/>
                                <w:left w:val="none" w:sz="0" w:space="0" w:color="auto"/>
                                <w:bottom w:val="none" w:sz="0" w:space="0" w:color="auto"/>
                                <w:right w:val="none" w:sz="0" w:space="0" w:color="auto"/>
                              </w:divBdr>
                              <w:divsChild>
                                <w:div w:id="1658068589">
                                  <w:marLeft w:val="0"/>
                                  <w:marRight w:val="0"/>
                                  <w:marTop w:val="0"/>
                                  <w:marBottom w:val="0"/>
                                  <w:divBdr>
                                    <w:top w:val="none" w:sz="0" w:space="0" w:color="auto"/>
                                    <w:left w:val="none" w:sz="0" w:space="0" w:color="auto"/>
                                    <w:bottom w:val="none" w:sz="0" w:space="0" w:color="auto"/>
                                    <w:right w:val="none" w:sz="0" w:space="0" w:color="auto"/>
                                  </w:divBdr>
                                  <w:divsChild>
                                    <w:div w:id="1458253019">
                                      <w:marLeft w:val="0"/>
                                      <w:marRight w:val="0"/>
                                      <w:marTop w:val="0"/>
                                      <w:marBottom w:val="0"/>
                                      <w:divBdr>
                                        <w:top w:val="none" w:sz="0" w:space="0" w:color="auto"/>
                                        <w:left w:val="none" w:sz="0" w:space="0" w:color="auto"/>
                                        <w:bottom w:val="none" w:sz="0" w:space="0" w:color="auto"/>
                                        <w:right w:val="none" w:sz="0" w:space="0" w:color="auto"/>
                                      </w:divBdr>
                                      <w:divsChild>
                                        <w:div w:id="1285968484">
                                          <w:marLeft w:val="0"/>
                                          <w:marRight w:val="0"/>
                                          <w:marTop w:val="0"/>
                                          <w:marBottom w:val="0"/>
                                          <w:divBdr>
                                            <w:top w:val="none" w:sz="0" w:space="0" w:color="auto"/>
                                            <w:left w:val="none" w:sz="0" w:space="0" w:color="auto"/>
                                            <w:bottom w:val="none" w:sz="0" w:space="0" w:color="auto"/>
                                            <w:right w:val="none" w:sz="0" w:space="0" w:color="auto"/>
                                          </w:divBdr>
                                          <w:divsChild>
                                            <w:div w:id="1939092742">
                                              <w:marLeft w:val="0"/>
                                              <w:marRight w:val="0"/>
                                              <w:marTop w:val="0"/>
                                              <w:marBottom w:val="0"/>
                                              <w:divBdr>
                                                <w:top w:val="none" w:sz="0" w:space="0" w:color="auto"/>
                                                <w:left w:val="none" w:sz="0" w:space="0" w:color="auto"/>
                                                <w:bottom w:val="none" w:sz="0" w:space="0" w:color="auto"/>
                                                <w:right w:val="none" w:sz="0" w:space="0" w:color="auto"/>
                                              </w:divBdr>
                                              <w:divsChild>
                                                <w:div w:id="16404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154413">
      <w:bodyDiv w:val="1"/>
      <w:marLeft w:val="0"/>
      <w:marRight w:val="0"/>
      <w:marTop w:val="0"/>
      <w:marBottom w:val="0"/>
      <w:divBdr>
        <w:top w:val="none" w:sz="0" w:space="0" w:color="auto"/>
        <w:left w:val="none" w:sz="0" w:space="0" w:color="auto"/>
        <w:bottom w:val="none" w:sz="0" w:space="0" w:color="auto"/>
        <w:right w:val="none" w:sz="0" w:space="0" w:color="auto"/>
      </w:divBdr>
      <w:divsChild>
        <w:div w:id="561645728">
          <w:marLeft w:val="0"/>
          <w:marRight w:val="0"/>
          <w:marTop w:val="0"/>
          <w:marBottom w:val="0"/>
          <w:divBdr>
            <w:top w:val="none" w:sz="0" w:space="0" w:color="auto"/>
            <w:left w:val="none" w:sz="0" w:space="0" w:color="auto"/>
            <w:bottom w:val="none" w:sz="0" w:space="0" w:color="auto"/>
            <w:right w:val="none" w:sz="0" w:space="0" w:color="auto"/>
          </w:divBdr>
          <w:divsChild>
            <w:div w:id="1855268300">
              <w:marLeft w:val="0"/>
              <w:marRight w:val="0"/>
              <w:marTop w:val="0"/>
              <w:marBottom w:val="0"/>
              <w:divBdr>
                <w:top w:val="none" w:sz="0" w:space="0" w:color="auto"/>
                <w:left w:val="none" w:sz="0" w:space="0" w:color="auto"/>
                <w:bottom w:val="none" w:sz="0" w:space="0" w:color="auto"/>
                <w:right w:val="none" w:sz="0" w:space="0" w:color="auto"/>
              </w:divBdr>
              <w:divsChild>
                <w:div w:id="167644494">
                  <w:marLeft w:val="0"/>
                  <w:marRight w:val="0"/>
                  <w:marTop w:val="0"/>
                  <w:marBottom w:val="0"/>
                  <w:divBdr>
                    <w:top w:val="none" w:sz="0" w:space="0" w:color="auto"/>
                    <w:left w:val="none" w:sz="0" w:space="0" w:color="auto"/>
                    <w:bottom w:val="none" w:sz="0" w:space="0" w:color="auto"/>
                    <w:right w:val="none" w:sz="0" w:space="0" w:color="auto"/>
                  </w:divBdr>
                  <w:divsChild>
                    <w:div w:id="632952116">
                      <w:marLeft w:val="0"/>
                      <w:marRight w:val="0"/>
                      <w:marTop w:val="0"/>
                      <w:marBottom w:val="0"/>
                      <w:divBdr>
                        <w:top w:val="none" w:sz="0" w:space="0" w:color="auto"/>
                        <w:left w:val="none" w:sz="0" w:space="0" w:color="auto"/>
                        <w:bottom w:val="none" w:sz="0" w:space="0" w:color="auto"/>
                        <w:right w:val="none" w:sz="0" w:space="0" w:color="auto"/>
                      </w:divBdr>
                      <w:divsChild>
                        <w:div w:id="949124509">
                          <w:marLeft w:val="0"/>
                          <w:marRight w:val="0"/>
                          <w:marTop w:val="0"/>
                          <w:marBottom w:val="0"/>
                          <w:divBdr>
                            <w:top w:val="single" w:sz="2" w:space="0" w:color="828282"/>
                            <w:left w:val="single" w:sz="2" w:space="0" w:color="828282"/>
                            <w:bottom w:val="single" w:sz="2" w:space="0" w:color="828282"/>
                            <w:right w:val="single" w:sz="2" w:space="0" w:color="828282"/>
                          </w:divBdr>
                          <w:divsChild>
                            <w:div w:id="686251166">
                              <w:marLeft w:val="0"/>
                              <w:marRight w:val="0"/>
                              <w:marTop w:val="0"/>
                              <w:marBottom w:val="0"/>
                              <w:divBdr>
                                <w:top w:val="none" w:sz="0" w:space="0" w:color="auto"/>
                                <w:left w:val="none" w:sz="0" w:space="0" w:color="auto"/>
                                <w:bottom w:val="none" w:sz="0" w:space="0" w:color="auto"/>
                                <w:right w:val="none" w:sz="0" w:space="0" w:color="auto"/>
                              </w:divBdr>
                              <w:divsChild>
                                <w:div w:id="1174613633">
                                  <w:marLeft w:val="0"/>
                                  <w:marRight w:val="0"/>
                                  <w:marTop w:val="0"/>
                                  <w:marBottom w:val="0"/>
                                  <w:divBdr>
                                    <w:top w:val="none" w:sz="0" w:space="0" w:color="auto"/>
                                    <w:left w:val="none" w:sz="0" w:space="0" w:color="auto"/>
                                    <w:bottom w:val="none" w:sz="0" w:space="0" w:color="auto"/>
                                    <w:right w:val="none" w:sz="0" w:space="0" w:color="auto"/>
                                  </w:divBdr>
                                  <w:divsChild>
                                    <w:div w:id="277183765">
                                      <w:marLeft w:val="0"/>
                                      <w:marRight w:val="0"/>
                                      <w:marTop w:val="0"/>
                                      <w:marBottom w:val="0"/>
                                      <w:divBdr>
                                        <w:top w:val="none" w:sz="0" w:space="0" w:color="auto"/>
                                        <w:left w:val="none" w:sz="0" w:space="0" w:color="auto"/>
                                        <w:bottom w:val="none" w:sz="0" w:space="0" w:color="auto"/>
                                        <w:right w:val="none" w:sz="0" w:space="0" w:color="auto"/>
                                      </w:divBdr>
                                      <w:divsChild>
                                        <w:div w:id="608313557">
                                          <w:marLeft w:val="0"/>
                                          <w:marRight w:val="0"/>
                                          <w:marTop w:val="0"/>
                                          <w:marBottom w:val="0"/>
                                          <w:divBdr>
                                            <w:top w:val="none" w:sz="0" w:space="0" w:color="auto"/>
                                            <w:left w:val="none" w:sz="0" w:space="0" w:color="auto"/>
                                            <w:bottom w:val="none" w:sz="0" w:space="0" w:color="auto"/>
                                            <w:right w:val="none" w:sz="0" w:space="0" w:color="auto"/>
                                          </w:divBdr>
                                          <w:divsChild>
                                            <w:div w:id="1282222564">
                                              <w:marLeft w:val="0"/>
                                              <w:marRight w:val="0"/>
                                              <w:marTop w:val="0"/>
                                              <w:marBottom w:val="0"/>
                                              <w:divBdr>
                                                <w:top w:val="none" w:sz="0" w:space="0" w:color="auto"/>
                                                <w:left w:val="none" w:sz="0" w:space="0" w:color="auto"/>
                                                <w:bottom w:val="none" w:sz="0" w:space="0" w:color="auto"/>
                                                <w:right w:val="none" w:sz="0" w:space="0" w:color="auto"/>
                                              </w:divBdr>
                                              <w:divsChild>
                                                <w:div w:id="17553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DE6BDE74CE31E249838F8BDA74E60FF2" ma:contentTypeVersion="" ma:contentTypeDescription="PDMS Documentation Content Type" ma:contentTypeScope="" ma:versionID="55b5de5b0cb16f73ce8d10bd3a0166ad">
  <xsd:schema xmlns:xsd="http://www.w3.org/2001/XMLSchema" xmlns:xs="http://www.w3.org/2001/XMLSchema" xmlns:p="http://schemas.microsoft.com/office/2006/metadata/properties" xmlns:ns2="A14FE9F5-1695-4A34-AD99-D2C9906D8F93" targetNamespace="http://schemas.microsoft.com/office/2006/metadata/properties" ma:root="true" ma:fieldsID="13c2f6af05ad8bc35a3f21964b8102cf" ns2:_="">
    <xsd:import namespace="A14FE9F5-1695-4A34-AD99-D2C9906D8F93"/>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FE9F5-1695-4A34-AD99-D2C9906D8F9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dms_DocumentType xmlns="A14FE9F5-1695-4A34-AD99-D2C9906D8F93" xsi:nil="true"/>
    <pdms_Reason xmlns="A14FE9F5-1695-4A34-AD99-D2C9906D8F93" xsi:nil="true"/>
    <pdms_AttachedBy xmlns="A14FE9F5-1695-4A34-AD99-D2C9906D8F93" xsi:nil="true"/>
    <pdms_SecurityClassification xmlns="A14FE9F5-1695-4A34-AD99-D2C9906D8F93" xsi:nil="true"/>
    <SecurityClassification xmlns="A14FE9F5-1695-4A34-AD99-D2C9906D8F93" xsi:nil="true"/>
  </documentManagement>
</p:properties>
</file>

<file path=customXml/itemProps1.xml><?xml version="1.0" encoding="utf-8"?>
<ds:datastoreItem xmlns:ds="http://schemas.openxmlformats.org/officeDocument/2006/customXml" ds:itemID="{3205BA10-08B2-4D64-90C2-613C5CA7EC2F}">
  <ds:schemaRefs>
    <ds:schemaRef ds:uri="http://schemas.microsoft.com/sharepoint/v3/contenttype/forms"/>
  </ds:schemaRefs>
</ds:datastoreItem>
</file>

<file path=customXml/itemProps2.xml><?xml version="1.0" encoding="utf-8"?>
<ds:datastoreItem xmlns:ds="http://schemas.openxmlformats.org/officeDocument/2006/customXml" ds:itemID="{35D215BE-8E27-40FA-B2FC-0E6779799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FE9F5-1695-4A34-AD99-D2C9906D8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CBFA6-FB7E-4343-8C96-01E73560F48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A14FE9F5-1695-4A34-AD99-D2C9906D8F93"/>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13872</Words>
  <Characters>79072</Characters>
  <Application>Microsoft Office Word</Application>
  <DocSecurity>0</DocSecurity>
  <Lines>658</Lines>
  <Paragraphs>185</Paragraphs>
  <ScaleCrop>false</ScaleCrop>
  <HeadingPairs>
    <vt:vector size="2" baseType="variant">
      <vt:variant>
        <vt:lpstr>Title</vt:lpstr>
      </vt:variant>
      <vt:variant>
        <vt:i4>1</vt:i4>
      </vt:variant>
    </vt:vector>
  </HeadingPairs>
  <Company>DEWHA</Company>
  <LinksUpToDate>false</LinksUpToDate>
  <CharactersWithSpaces>92759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a17947</dc:creator>
  <cp:lastModifiedBy>a15139</cp:lastModifiedBy>
  <cp:revision>2</cp:revision>
  <dcterms:created xsi:type="dcterms:W3CDTF">2014-09-09T07:22:00Z</dcterms:created>
  <dcterms:modified xsi:type="dcterms:W3CDTF">2014-09-09T07:22:00Z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0x010100266966F133664895A6EE3632470D45F50100DE6BDE74CE31E249838F8BDA74E60FF2</vt:lpwstr>
  </property>
</Properties>
</file>