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881" w:rsidRPr="00315A92" w:rsidRDefault="00610881" w:rsidP="00315A92">
      <w:pPr>
        <w:rPr>
          <w:rFonts w:ascii="Arial" w:hAnsi="Arial" w:cs="Arial"/>
        </w:rPr>
      </w:pPr>
    </w:p>
    <w:p w:rsidR="00315A92" w:rsidRPr="00315A92" w:rsidRDefault="00315A92" w:rsidP="00315A92">
      <w:pPr>
        <w:jc w:val="center"/>
        <w:rPr>
          <w:rFonts w:ascii="Arial" w:hAnsi="Arial" w:cs="Arial"/>
          <w:u w:val="single"/>
        </w:rPr>
      </w:pPr>
      <w:r w:rsidRPr="00315A92">
        <w:rPr>
          <w:rFonts w:ascii="Arial" w:hAnsi="Arial" w:cs="Arial"/>
          <w:u w:val="single"/>
        </w:rPr>
        <w:t xml:space="preserve">HIGH COURT </w:t>
      </w:r>
      <w:r w:rsidR="00205BED">
        <w:rPr>
          <w:rFonts w:ascii="Arial" w:hAnsi="Arial" w:cs="Arial"/>
          <w:u w:val="single"/>
        </w:rPr>
        <w:t xml:space="preserve">AMENDMENT </w:t>
      </w:r>
      <w:r w:rsidR="0012618D">
        <w:rPr>
          <w:rFonts w:ascii="Arial" w:hAnsi="Arial" w:cs="Arial"/>
          <w:u w:val="single"/>
        </w:rPr>
        <w:t>(</w:t>
      </w:r>
      <w:r w:rsidR="009726D2">
        <w:rPr>
          <w:rFonts w:ascii="Arial" w:hAnsi="Arial" w:cs="Arial"/>
          <w:u w:val="single"/>
        </w:rPr>
        <w:t>2014 MEASURES No. 1</w:t>
      </w:r>
      <w:r w:rsidR="0012618D">
        <w:rPr>
          <w:rFonts w:ascii="Arial" w:hAnsi="Arial" w:cs="Arial"/>
          <w:u w:val="single"/>
        </w:rPr>
        <w:t xml:space="preserve">) </w:t>
      </w:r>
      <w:r w:rsidRPr="00315A92">
        <w:rPr>
          <w:rFonts w:ascii="Arial" w:hAnsi="Arial" w:cs="Arial"/>
          <w:u w:val="single"/>
        </w:rPr>
        <w:t>RULE</w:t>
      </w:r>
      <w:r w:rsidR="00205BED">
        <w:rPr>
          <w:rFonts w:ascii="Arial" w:hAnsi="Arial" w:cs="Arial"/>
          <w:u w:val="single"/>
        </w:rPr>
        <w:t>S</w:t>
      </w:r>
      <w:r w:rsidR="009726D2">
        <w:rPr>
          <w:rFonts w:ascii="Arial" w:hAnsi="Arial" w:cs="Arial"/>
          <w:u w:val="single"/>
        </w:rPr>
        <w:t xml:space="preserve"> 2014</w:t>
      </w:r>
    </w:p>
    <w:p w:rsidR="00315A92" w:rsidRDefault="009726D2" w:rsidP="00315A92">
      <w:pPr>
        <w:jc w:val="center"/>
        <w:rPr>
          <w:rFonts w:ascii="Arial" w:hAnsi="Arial" w:cs="Arial"/>
          <w:u w:val="single"/>
        </w:rPr>
      </w:pPr>
      <w:r>
        <w:rPr>
          <w:rFonts w:ascii="Arial" w:hAnsi="Arial" w:cs="Arial"/>
          <w:u w:val="single"/>
        </w:rPr>
        <w:t>9 SEPTEMBER 2014</w:t>
      </w:r>
      <w:r w:rsidR="00315A92" w:rsidRPr="00315A92">
        <w:rPr>
          <w:rFonts w:ascii="Arial" w:hAnsi="Arial" w:cs="Arial"/>
          <w:u w:val="single"/>
        </w:rPr>
        <w:br/>
        <w:t>EXPLANATORY STATEMENT</w:t>
      </w:r>
    </w:p>
    <w:p w:rsidR="00315A92" w:rsidRPr="004B6FC8" w:rsidRDefault="004B6FC8" w:rsidP="00315A92">
      <w:pPr>
        <w:jc w:val="center"/>
        <w:rPr>
          <w:rFonts w:ascii="Arial" w:hAnsi="Arial" w:cs="Arial"/>
          <w:u w:val="single"/>
        </w:rPr>
      </w:pPr>
      <w:r w:rsidRPr="004B6FC8">
        <w:rPr>
          <w:rFonts w:ascii="Arial" w:hAnsi="Arial" w:cs="Arial"/>
          <w:u w:val="single"/>
        </w:rPr>
        <w:t xml:space="preserve">Select Legislative Instrument No. 139, 2014  </w:t>
      </w:r>
    </w:p>
    <w:p w:rsidR="004B6FC8" w:rsidRPr="00315A92" w:rsidRDefault="004B6FC8" w:rsidP="00315A92">
      <w:pPr>
        <w:jc w:val="center"/>
        <w:rPr>
          <w:rFonts w:ascii="Arial" w:hAnsi="Arial" w:cs="Arial"/>
        </w:rPr>
      </w:pPr>
    </w:p>
    <w:p w:rsidR="00315A92" w:rsidRPr="004822BC" w:rsidRDefault="00315A92" w:rsidP="00651A3B">
      <w:pPr>
        <w:jc w:val="both"/>
        <w:rPr>
          <w:rFonts w:ascii="Arial" w:hAnsi="Arial" w:cs="Arial"/>
        </w:rPr>
      </w:pPr>
      <w:r>
        <w:rPr>
          <w:rFonts w:ascii="Arial" w:hAnsi="Arial" w:cs="Arial"/>
        </w:rPr>
        <w:t xml:space="preserve">These </w:t>
      </w:r>
      <w:r w:rsidR="00205BED">
        <w:rPr>
          <w:rFonts w:ascii="Arial" w:hAnsi="Arial" w:cs="Arial"/>
        </w:rPr>
        <w:t xml:space="preserve">Amendment </w:t>
      </w:r>
      <w:r>
        <w:rPr>
          <w:rFonts w:ascii="Arial" w:hAnsi="Arial" w:cs="Arial"/>
        </w:rPr>
        <w:t>Rules of Court</w:t>
      </w:r>
      <w:r w:rsidR="00205BED">
        <w:rPr>
          <w:rFonts w:ascii="Arial" w:hAnsi="Arial" w:cs="Arial"/>
        </w:rPr>
        <w:t>,</w:t>
      </w:r>
      <w:r>
        <w:rPr>
          <w:rFonts w:ascii="Arial" w:hAnsi="Arial" w:cs="Arial"/>
        </w:rPr>
        <w:t xml:space="preserve"> </w:t>
      </w:r>
      <w:r w:rsidR="00205BED">
        <w:rPr>
          <w:rFonts w:ascii="Arial" w:hAnsi="Arial" w:cs="Arial"/>
        </w:rPr>
        <w:t xml:space="preserve">signed by the Justices </w:t>
      </w:r>
      <w:r w:rsidR="00205BED" w:rsidRPr="00F71D1C">
        <w:rPr>
          <w:rFonts w:ascii="Arial" w:hAnsi="Arial" w:cs="Arial"/>
        </w:rPr>
        <w:t>on</w:t>
      </w:r>
      <w:r w:rsidR="003519D5" w:rsidRPr="00F71D1C">
        <w:rPr>
          <w:rFonts w:ascii="Arial" w:hAnsi="Arial" w:cs="Arial"/>
        </w:rPr>
        <w:t xml:space="preserve"> </w:t>
      </w:r>
      <w:r w:rsidR="009726D2">
        <w:rPr>
          <w:rFonts w:ascii="Arial" w:hAnsi="Arial" w:cs="Arial"/>
        </w:rPr>
        <w:t>9 September 2014</w:t>
      </w:r>
      <w:r w:rsidR="00205BED">
        <w:rPr>
          <w:rFonts w:ascii="Arial" w:hAnsi="Arial" w:cs="Arial"/>
        </w:rPr>
        <w:t xml:space="preserve">, </w:t>
      </w:r>
      <w:r>
        <w:rPr>
          <w:rFonts w:ascii="Arial" w:hAnsi="Arial" w:cs="Arial"/>
        </w:rPr>
        <w:t xml:space="preserve">are made by the Justices under the </w:t>
      </w:r>
      <w:r>
        <w:rPr>
          <w:rFonts w:ascii="Arial" w:hAnsi="Arial" w:cs="Arial"/>
          <w:i/>
        </w:rPr>
        <w:t>Judiciary A</w:t>
      </w:r>
      <w:r w:rsidRPr="00315A92">
        <w:rPr>
          <w:rFonts w:ascii="Arial" w:hAnsi="Arial" w:cs="Arial"/>
          <w:i/>
        </w:rPr>
        <w:t>ct</w:t>
      </w:r>
      <w:r w:rsidRPr="004822BC">
        <w:rPr>
          <w:rFonts w:ascii="Arial" w:hAnsi="Arial" w:cs="Arial"/>
          <w:i/>
        </w:rPr>
        <w:t xml:space="preserve"> </w:t>
      </w:r>
      <w:r w:rsidRPr="004822BC">
        <w:rPr>
          <w:rFonts w:ascii="Arial" w:hAnsi="Arial" w:cs="Arial"/>
        </w:rPr>
        <w:t>1903</w:t>
      </w:r>
      <w:r w:rsidR="004822BC">
        <w:rPr>
          <w:rFonts w:ascii="Arial" w:hAnsi="Arial" w:cs="Arial"/>
        </w:rPr>
        <w:t xml:space="preserve">, the </w:t>
      </w:r>
      <w:r w:rsidR="004822BC" w:rsidRPr="004822BC">
        <w:rPr>
          <w:rFonts w:ascii="Arial" w:hAnsi="Arial" w:cs="Arial"/>
          <w:i/>
        </w:rPr>
        <w:t>Commonwealth Electoral Act</w:t>
      </w:r>
      <w:r w:rsidR="004822BC">
        <w:rPr>
          <w:rFonts w:ascii="Arial" w:hAnsi="Arial" w:cs="Arial"/>
        </w:rPr>
        <w:t xml:space="preserve"> </w:t>
      </w:r>
      <w:r w:rsidR="004822BC" w:rsidRPr="004822BC">
        <w:rPr>
          <w:rFonts w:ascii="Arial" w:hAnsi="Arial" w:cs="Arial"/>
        </w:rPr>
        <w:t>1918</w:t>
      </w:r>
      <w:r w:rsidR="004822BC">
        <w:rPr>
          <w:rFonts w:ascii="Arial" w:hAnsi="Arial" w:cs="Arial"/>
        </w:rPr>
        <w:t xml:space="preserve">, the </w:t>
      </w:r>
      <w:r w:rsidR="004822BC" w:rsidRPr="004822BC">
        <w:rPr>
          <w:rFonts w:ascii="Arial" w:hAnsi="Arial" w:cs="Arial"/>
          <w:i/>
        </w:rPr>
        <w:t xml:space="preserve">Nauru (High Court Appeals) Act </w:t>
      </w:r>
      <w:r w:rsidR="004822BC" w:rsidRPr="004822BC">
        <w:rPr>
          <w:rFonts w:ascii="Arial" w:hAnsi="Arial" w:cs="Arial"/>
        </w:rPr>
        <w:t>1976</w:t>
      </w:r>
      <w:r w:rsidR="004822BC">
        <w:rPr>
          <w:rFonts w:ascii="Arial" w:hAnsi="Arial" w:cs="Arial"/>
          <w:i/>
        </w:rPr>
        <w:t xml:space="preserve"> </w:t>
      </w:r>
      <w:r w:rsidR="004822BC" w:rsidRPr="004822BC">
        <w:rPr>
          <w:rFonts w:ascii="Arial" w:hAnsi="Arial" w:cs="Arial"/>
        </w:rPr>
        <w:t>and the</w:t>
      </w:r>
      <w:r w:rsidR="004822BC">
        <w:rPr>
          <w:rFonts w:ascii="Arial" w:hAnsi="Arial" w:cs="Arial"/>
          <w:i/>
        </w:rPr>
        <w:t xml:space="preserve"> High Court of Australia Act </w:t>
      </w:r>
      <w:r w:rsidR="004822BC" w:rsidRPr="004822BC">
        <w:rPr>
          <w:rFonts w:ascii="Arial" w:hAnsi="Arial" w:cs="Arial"/>
        </w:rPr>
        <w:t>1979</w:t>
      </w:r>
      <w:r w:rsidR="004822BC">
        <w:rPr>
          <w:rFonts w:ascii="Arial" w:hAnsi="Arial" w:cs="Arial"/>
        </w:rPr>
        <w:t>.</w:t>
      </w:r>
    </w:p>
    <w:p w:rsidR="009726D2" w:rsidRDefault="009726D2" w:rsidP="00651A3B">
      <w:pPr>
        <w:jc w:val="both"/>
        <w:rPr>
          <w:rFonts w:ascii="Arial" w:hAnsi="Arial" w:cs="Arial"/>
        </w:rPr>
      </w:pPr>
    </w:p>
    <w:p w:rsidR="00822492" w:rsidRDefault="009726D2" w:rsidP="00822492">
      <w:pPr>
        <w:jc w:val="both"/>
        <w:rPr>
          <w:rFonts w:ascii="Arial" w:hAnsi="Arial" w:cs="Arial"/>
          <w:szCs w:val="24"/>
        </w:rPr>
      </w:pPr>
      <w:r>
        <w:rPr>
          <w:rFonts w:ascii="Arial" w:hAnsi="Arial" w:cs="Arial"/>
        </w:rPr>
        <w:t xml:space="preserve">The Amendment Rules </w:t>
      </w:r>
      <w:r w:rsidR="005E7DFF">
        <w:rPr>
          <w:rFonts w:ascii="Arial" w:hAnsi="Arial" w:cs="Arial"/>
        </w:rPr>
        <w:t xml:space="preserve">amend the following parts of the </w:t>
      </w:r>
      <w:r>
        <w:rPr>
          <w:rFonts w:ascii="Arial" w:hAnsi="Arial" w:cs="Arial"/>
          <w:szCs w:val="24"/>
        </w:rPr>
        <w:t>High Court Rules:</w:t>
      </w:r>
    </w:p>
    <w:p w:rsidR="005E7DFF" w:rsidRPr="004C056A" w:rsidRDefault="00822492" w:rsidP="00822492">
      <w:pPr>
        <w:jc w:val="both"/>
        <w:rPr>
          <w:rFonts w:ascii="Arial" w:hAnsi="Arial" w:cs="Arial"/>
          <w:szCs w:val="24"/>
        </w:rPr>
      </w:pPr>
      <w:r>
        <w:rPr>
          <w:rFonts w:ascii="Arial" w:hAnsi="Arial" w:cs="Arial"/>
          <w:szCs w:val="24"/>
        </w:rPr>
        <w:br/>
      </w:r>
      <w:r w:rsidR="005E7DFF" w:rsidRPr="004C056A">
        <w:rPr>
          <w:rFonts w:ascii="Arial" w:hAnsi="Arial" w:cs="Arial"/>
          <w:szCs w:val="24"/>
        </w:rPr>
        <w:t>Part 5 (and Part 45)</w:t>
      </w:r>
      <w:r w:rsidR="00B5218C">
        <w:rPr>
          <w:rFonts w:ascii="Arial" w:hAnsi="Arial" w:cs="Arial"/>
          <w:szCs w:val="24"/>
        </w:rPr>
        <w:t xml:space="preserve"> – </w:t>
      </w:r>
      <w:r w:rsidR="005E7DFF" w:rsidRPr="004C056A">
        <w:rPr>
          <w:rFonts w:ascii="Arial" w:hAnsi="Arial" w:cs="Arial"/>
          <w:szCs w:val="24"/>
        </w:rPr>
        <w:t>Judiciary Act 1903 – section 78B Notice</w:t>
      </w:r>
      <w:r w:rsidR="00431479">
        <w:rPr>
          <w:rFonts w:ascii="Arial" w:hAnsi="Arial" w:cs="Arial"/>
          <w:szCs w:val="24"/>
        </w:rPr>
        <w:t>;</w:t>
      </w:r>
    </w:p>
    <w:p w:rsidR="009726D2" w:rsidRPr="004C056A" w:rsidRDefault="005E7DFF" w:rsidP="004C056A">
      <w:pPr>
        <w:rPr>
          <w:rFonts w:ascii="Arial" w:hAnsi="Arial" w:cs="Arial"/>
          <w:szCs w:val="24"/>
        </w:rPr>
      </w:pPr>
      <w:r w:rsidRPr="004C056A">
        <w:rPr>
          <w:rFonts w:ascii="Arial" w:hAnsi="Arial" w:cs="Arial"/>
          <w:szCs w:val="24"/>
        </w:rPr>
        <w:t>Part 13 – Interlocutory applications</w:t>
      </w:r>
      <w:r w:rsidR="00431479">
        <w:rPr>
          <w:rFonts w:ascii="Arial" w:hAnsi="Arial" w:cs="Arial"/>
          <w:szCs w:val="24"/>
        </w:rPr>
        <w:t>;</w:t>
      </w:r>
    </w:p>
    <w:p w:rsidR="005E7DFF" w:rsidRPr="004C056A" w:rsidRDefault="005E7DFF" w:rsidP="004C056A">
      <w:pPr>
        <w:rPr>
          <w:rFonts w:ascii="Arial" w:hAnsi="Arial" w:cs="Arial"/>
          <w:szCs w:val="24"/>
        </w:rPr>
      </w:pPr>
      <w:r w:rsidRPr="004C056A">
        <w:rPr>
          <w:rFonts w:ascii="Arial" w:hAnsi="Arial" w:cs="Arial"/>
          <w:szCs w:val="24"/>
        </w:rPr>
        <w:t>Part 56 – Taxation of costs – Particular items</w:t>
      </w:r>
      <w:r w:rsidR="009726D2" w:rsidRPr="004C056A">
        <w:rPr>
          <w:rFonts w:ascii="Arial" w:hAnsi="Arial" w:cs="Arial"/>
          <w:szCs w:val="24"/>
        </w:rPr>
        <w:t>;</w:t>
      </w:r>
    </w:p>
    <w:p w:rsidR="009726D2" w:rsidRPr="004C056A" w:rsidRDefault="005E7DFF" w:rsidP="004C056A">
      <w:pPr>
        <w:rPr>
          <w:rFonts w:ascii="Arial" w:hAnsi="Arial" w:cs="Arial"/>
          <w:szCs w:val="24"/>
        </w:rPr>
      </w:pPr>
      <w:r w:rsidRPr="004C056A">
        <w:rPr>
          <w:rFonts w:ascii="Arial" w:hAnsi="Arial" w:cs="Arial"/>
          <w:szCs w:val="24"/>
        </w:rPr>
        <w:t>Part 58 – Costs of taxation;</w:t>
      </w:r>
      <w:r w:rsidR="009726D2" w:rsidRPr="004C056A">
        <w:rPr>
          <w:rFonts w:ascii="Arial" w:hAnsi="Arial" w:cs="Arial"/>
          <w:szCs w:val="24"/>
        </w:rPr>
        <w:t xml:space="preserve"> </w:t>
      </w:r>
    </w:p>
    <w:p w:rsidR="005E7DFF" w:rsidRDefault="005E7DFF" w:rsidP="004C056A">
      <w:pPr>
        <w:pStyle w:val="NoSpacing"/>
        <w:ind w:left="0"/>
        <w:rPr>
          <w:rFonts w:ascii="Arial" w:hAnsi="Arial" w:cs="Arial"/>
          <w:sz w:val="24"/>
          <w:szCs w:val="24"/>
        </w:rPr>
      </w:pPr>
      <w:r>
        <w:rPr>
          <w:rFonts w:ascii="Arial" w:hAnsi="Arial" w:cs="Arial"/>
          <w:sz w:val="24"/>
          <w:szCs w:val="24"/>
        </w:rPr>
        <w:t>Schedule 1 – Forms; and</w:t>
      </w:r>
    </w:p>
    <w:p w:rsidR="009726D2" w:rsidRPr="005E7DFF" w:rsidRDefault="005E7DFF" w:rsidP="004C056A">
      <w:pPr>
        <w:pStyle w:val="NoSpacing"/>
        <w:ind w:left="0"/>
        <w:rPr>
          <w:rFonts w:ascii="Arial" w:hAnsi="Arial" w:cs="Arial"/>
          <w:sz w:val="24"/>
          <w:szCs w:val="24"/>
        </w:rPr>
      </w:pPr>
      <w:r w:rsidRPr="005E7DFF">
        <w:rPr>
          <w:rFonts w:ascii="Arial" w:hAnsi="Arial" w:cs="Arial"/>
          <w:sz w:val="24"/>
          <w:szCs w:val="24"/>
        </w:rPr>
        <w:t>Schedule 2 – Schedule of fees for work done or services performed</w:t>
      </w:r>
      <w:r w:rsidR="009726D2" w:rsidRPr="005E7DFF">
        <w:rPr>
          <w:rFonts w:ascii="Arial" w:hAnsi="Arial" w:cs="Arial"/>
          <w:sz w:val="24"/>
          <w:szCs w:val="24"/>
        </w:rPr>
        <w:t>.</w:t>
      </w:r>
    </w:p>
    <w:p w:rsidR="009726D2" w:rsidRPr="009726D2" w:rsidRDefault="009726D2" w:rsidP="009726D2">
      <w:pPr>
        <w:pStyle w:val="NoSpacing"/>
        <w:ind w:left="426" w:hanging="426"/>
        <w:jc w:val="both"/>
        <w:rPr>
          <w:rFonts w:ascii="Arial" w:hAnsi="Arial" w:cs="Arial"/>
          <w:sz w:val="24"/>
          <w:szCs w:val="24"/>
        </w:rPr>
      </w:pPr>
    </w:p>
    <w:p w:rsidR="00C20E29" w:rsidRPr="00C20E29" w:rsidRDefault="00C20E29" w:rsidP="00C20E29">
      <w:pPr>
        <w:rPr>
          <w:rFonts w:ascii="Arial" w:hAnsi="Arial" w:cs="Arial"/>
          <w:szCs w:val="24"/>
          <w:u w:val="single"/>
        </w:rPr>
      </w:pPr>
      <w:r w:rsidRPr="00C20E29">
        <w:rPr>
          <w:rFonts w:ascii="Arial" w:hAnsi="Arial" w:cs="Arial"/>
          <w:szCs w:val="24"/>
          <w:u w:val="single"/>
        </w:rPr>
        <w:t xml:space="preserve">Part 5 (and Part 45) </w:t>
      </w:r>
      <w:r w:rsidR="00B5218C">
        <w:rPr>
          <w:rFonts w:ascii="Arial" w:hAnsi="Arial" w:cs="Arial"/>
          <w:szCs w:val="24"/>
          <w:u w:val="single"/>
        </w:rPr>
        <w:t xml:space="preserve">– </w:t>
      </w:r>
      <w:r w:rsidRPr="00C20E29">
        <w:rPr>
          <w:rFonts w:ascii="Arial" w:hAnsi="Arial" w:cs="Arial"/>
          <w:szCs w:val="24"/>
          <w:u w:val="single"/>
        </w:rPr>
        <w:t>Judiciary Act 1903 – section 78B Notice</w:t>
      </w:r>
    </w:p>
    <w:p w:rsidR="005E7DFF" w:rsidRPr="00F876CD" w:rsidRDefault="00F876CD" w:rsidP="009726D2">
      <w:pPr>
        <w:ind w:right="-46"/>
        <w:rPr>
          <w:rFonts w:ascii="Arial" w:hAnsi="Arial" w:cs="Arial"/>
          <w:u w:val="single"/>
        </w:rPr>
      </w:pPr>
      <w:r w:rsidRPr="00F876CD">
        <w:rPr>
          <w:rFonts w:ascii="Arial" w:hAnsi="Arial" w:cs="Arial"/>
          <w:szCs w:val="24"/>
          <w:u w:val="single"/>
        </w:rPr>
        <w:t>Schedule 1 – Forms</w:t>
      </w:r>
    </w:p>
    <w:p w:rsidR="00F876CD" w:rsidRDefault="00F876CD" w:rsidP="009726D2">
      <w:pPr>
        <w:ind w:right="-46"/>
        <w:rPr>
          <w:rFonts w:ascii="Arial" w:hAnsi="Arial" w:cs="Arial"/>
        </w:rPr>
      </w:pPr>
    </w:p>
    <w:p w:rsidR="008B14BA" w:rsidRDefault="008B14BA" w:rsidP="008B14BA">
      <w:pPr>
        <w:ind w:right="-46"/>
        <w:jc w:val="both"/>
        <w:rPr>
          <w:rFonts w:ascii="Arial" w:hAnsi="Arial" w:cs="Arial"/>
          <w:szCs w:val="24"/>
        </w:rPr>
      </w:pPr>
      <w:r>
        <w:rPr>
          <w:rFonts w:ascii="Arial" w:hAnsi="Arial" w:cs="Arial"/>
        </w:rPr>
        <w:t>The filing and service of notices of a constitutional matter required by</w:t>
      </w:r>
      <w:r w:rsidR="005E7DFF" w:rsidRPr="005E7DFF">
        <w:rPr>
          <w:rFonts w:ascii="Arial" w:hAnsi="Arial" w:cs="Arial"/>
        </w:rPr>
        <w:t xml:space="preserve"> s78B of the </w:t>
      </w:r>
      <w:r w:rsidR="005E7DFF" w:rsidRPr="008B14BA">
        <w:rPr>
          <w:rFonts w:ascii="Arial" w:hAnsi="Arial" w:cs="Arial"/>
          <w:i/>
        </w:rPr>
        <w:t>Judiciary Act</w:t>
      </w:r>
      <w:r w:rsidR="005E7DFF" w:rsidRPr="005E7DFF">
        <w:rPr>
          <w:rFonts w:ascii="Arial" w:hAnsi="Arial" w:cs="Arial"/>
        </w:rPr>
        <w:t xml:space="preserve"> </w:t>
      </w:r>
      <w:r w:rsidR="004C056A">
        <w:rPr>
          <w:rFonts w:ascii="Arial" w:hAnsi="Arial" w:cs="Arial"/>
        </w:rPr>
        <w:t xml:space="preserve">1903 </w:t>
      </w:r>
      <w:r>
        <w:rPr>
          <w:rFonts w:ascii="Arial" w:hAnsi="Arial" w:cs="Arial"/>
        </w:rPr>
        <w:t xml:space="preserve">is presently dealt with in two parts of the Rules.  </w:t>
      </w:r>
      <w:r>
        <w:rPr>
          <w:rFonts w:ascii="Arial" w:hAnsi="Arial" w:cs="Arial"/>
          <w:szCs w:val="24"/>
        </w:rPr>
        <w:t>Part 5 deals with the filing and service of a notice in original jurisdiction matters.  Part</w:t>
      </w:r>
      <w:r w:rsidR="00822492">
        <w:rPr>
          <w:rFonts w:ascii="Arial" w:hAnsi="Arial" w:cs="Arial"/>
          <w:szCs w:val="24"/>
        </w:rPr>
        <w:t> </w:t>
      </w:r>
      <w:r>
        <w:rPr>
          <w:rFonts w:ascii="Arial" w:hAnsi="Arial" w:cs="Arial"/>
          <w:szCs w:val="24"/>
        </w:rPr>
        <w:t xml:space="preserve">45 deals with the filing and service of a notice in appeals and applications referred to an enlarged Court for hearing as if on appeal.  </w:t>
      </w:r>
      <w:r w:rsidR="000C621D">
        <w:rPr>
          <w:rFonts w:ascii="Arial" w:hAnsi="Arial" w:cs="Arial"/>
          <w:szCs w:val="24"/>
        </w:rPr>
        <w:t xml:space="preserve">The Amendment </w:t>
      </w:r>
      <w:r w:rsidRPr="000C621D">
        <w:rPr>
          <w:rFonts w:ascii="Arial" w:hAnsi="Arial" w:cs="Arial"/>
          <w:szCs w:val="24"/>
        </w:rPr>
        <w:t>Rules</w:t>
      </w:r>
      <w:r w:rsidR="000C621D">
        <w:rPr>
          <w:rFonts w:ascii="Arial" w:hAnsi="Arial" w:cs="Arial"/>
          <w:szCs w:val="24"/>
        </w:rPr>
        <w:t xml:space="preserve"> </w:t>
      </w:r>
      <w:r>
        <w:rPr>
          <w:rFonts w:ascii="Arial" w:hAnsi="Arial" w:cs="Arial"/>
          <w:szCs w:val="24"/>
        </w:rPr>
        <w:t xml:space="preserve">amalgamate Parts 5 and 45 so that there will be one part (Part 5) dealing </w:t>
      </w:r>
      <w:r w:rsidR="00822492">
        <w:rPr>
          <w:rFonts w:ascii="Arial" w:hAnsi="Arial" w:cs="Arial"/>
          <w:szCs w:val="24"/>
        </w:rPr>
        <w:t xml:space="preserve">with the filing and service of </w:t>
      </w:r>
      <w:r>
        <w:rPr>
          <w:rFonts w:ascii="Arial" w:hAnsi="Arial" w:cs="Arial"/>
          <w:szCs w:val="24"/>
        </w:rPr>
        <w:t>notice</w:t>
      </w:r>
      <w:r w:rsidR="00822492">
        <w:rPr>
          <w:rFonts w:ascii="Arial" w:hAnsi="Arial" w:cs="Arial"/>
          <w:szCs w:val="24"/>
        </w:rPr>
        <w:t>s</w:t>
      </w:r>
      <w:r>
        <w:rPr>
          <w:rFonts w:ascii="Arial" w:hAnsi="Arial" w:cs="Arial"/>
          <w:szCs w:val="24"/>
        </w:rPr>
        <w:t xml:space="preserve"> of a constitutional matter in all types of proceedings.</w:t>
      </w:r>
    </w:p>
    <w:p w:rsidR="008B14BA" w:rsidRDefault="008B14BA" w:rsidP="008B14BA">
      <w:pPr>
        <w:ind w:right="-46"/>
        <w:rPr>
          <w:rFonts w:ascii="Arial" w:hAnsi="Arial" w:cs="Arial"/>
        </w:rPr>
      </w:pPr>
    </w:p>
    <w:p w:rsidR="00B61889" w:rsidRDefault="00B61889" w:rsidP="00B61889">
      <w:pPr>
        <w:ind w:right="-46"/>
        <w:jc w:val="both"/>
        <w:rPr>
          <w:rFonts w:ascii="Arial" w:hAnsi="Arial" w:cs="Arial"/>
          <w:szCs w:val="24"/>
        </w:rPr>
      </w:pPr>
      <w:r>
        <w:rPr>
          <w:rFonts w:ascii="Arial" w:hAnsi="Arial" w:cs="Arial"/>
          <w:szCs w:val="24"/>
        </w:rPr>
        <w:t xml:space="preserve">There is no requirement in the High Court Rules for an Attorney-General intervening in a High Court proceeding pursuant to s78A of the </w:t>
      </w:r>
      <w:r>
        <w:rPr>
          <w:rFonts w:ascii="Arial" w:hAnsi="Arial" w:cs="Arial"/>
          <w:i/>
          <w:szCs w:val="24"/>
        </w:rPr>
        <w:t xml:space="preserve">Judiciary </w:t>
      </w:r>
      <w:r w:rsidRPr="00F94C56">
        <w:rPr>
          <w:rFonts w:ascii="Arial" w:hAnsi="Arial" w:cs="Arial"/>
          <w:szCs w:val="24"/>
        </w:rPr>
        <w:t>Act</w:t>
      </w:r>
      <w:r>
        <w:rPr>
          <w:rFonts w:ascii="Arial" w:hAnsi="Arial" w:cs="Arial"/>
          <w:szCs w:val="24"/>
        </w:rPr>
        <w:t xml:space="preserve"> to formally notify the Court or the parties to the proceeding of his or her intervention.  T</w:t>
      </w:r>
      <w:r w:rsidRPr="00A543BE">
        <w:rPr>
          <w:rFonts w:ascii="Arial" w:hAnsi="Arial" w:cs="Arial"/>
          <w:szCs w:val="24"/>
        </w:rPr>
        <w:t xml:space="preserve">he </w:t>
      </w:r>
      <w:r>
        <w:rPr>
          <w:rFonts w:ascii="Arial" w:hAnsi="Arial" w:cs="Arial"/>
          <w:szCs w:val="24"/>
        </w:rPr>
        <w:t xml:space="preserve">Amendment Rules </w:t>
      </w:r>
      <w:r w:rsidR="008B14BA">
        <w:rPr>
          <w:rFonts w:ascii="Arial" w:hAnsi="Arial" w:cs="Arial"/>
          <w:szCs w:val="24"/>
        </w:rPr>
        <w:t xml:space="preserve">(see new Rule 5.04) </w:t>
      </w:r>
      <w:r>
        <w:rPr>
          <w:rFonts w:ascii="Arial" w:hAnsi="Arial" w:cs="Arial"/>
          <w:szCs w:val="24"/>
        </w:rPr>
        <w:t xml:space="preserve">introduce </w:t>
      </w:r>
      <w:r w:rsidRPr="00A543BE">
        <w:rPr>
          <w:rFonts w:ascii="Arial" w:hAnsi="Arial" w:cs="Arial"/>
          <w:szCs w:val="24"/>
        </w:rPr>
        <w:t>a notice of intervention</w:t>
      </w:r>
      <w:r>
        <w:rPr>
          <w:rFonts w:ascii="Arial" w:hAnsi="Arial" w:cs="Arial"/>
          <w:szCs w:val="24"/>
        </w:rPr>
        <w:t xml:space="preserve"> (</w:t>
      </w:r>
      <w:r w:rsidR="00F876CD">
        <w:rPr>
          <w:rFonts w:ascii="Arial" w:hAnsi="Arial" w:cs="Arial"/>
          <w:szCs w:val="24"/>
        </w:rPr>
        <w:t xml:space="preserve">Schedule 1 - </w:t>
      </w:r>
      <w:r>
        <w:rPr>
          <w:rFonts w:ascii="Arial" w:hAnsi="Arial" w:cs="Arial"/>
          <w:szCs w:val="24"/>
        </w:rPr>
        <w:t>Form 1A)</w:t>
      </w:r>
      <w:r w:rsidRPr="00A543BE">
        <w:rPr>
          <w:rFonts w:ascii="Arial" w:hAnsi="Arial" w:cs="Arial"/>
          <w:szCs w:val="24"/>
        </w:rPr>
        <w:t xml:space="preserve">, to be filed </w:t>
      </w:r>
      <w:r>
        <w:rPr>
          <w:rFonts w:ascii="Arial" w:hAnsi="Arial" w:cs="Arial"/>
          <w:szCs w:val="24"/>
        </w:rPr>
        <w:t xml:space="preserve">and served </w:t>
      </w:r>
      <w:r w:rsidRPr="00A543BE">
        <w:rPr>
          <w:rFonts w:ascii="Arial" w:hAnsi="Arial" w:cs="Arial"/>
          <w:szCs w:val="24"/>
        </w:rPr>
        <w:t>before any step is taken</w:t>
      </w:r>
      <w:r>
        <w:rPr>
          <w:rFonts w:ascii="Arial" w:hAnsi="Arial" w:cs="Arial"/>
          <w:szCs w:val="24"/>
        </w:rPr>
        <w:t xml:space="preserve"> on behalf of an Attorney</w:t>
      </w:r>
      <w:r>
        <w:rPr>
          <w:rFonts w:ascii="Arial" w:hAnsi="Arial" w:cs="Arial"/>
          <w:szCs w:val="24"/>
        </w:rPr>
        <w:noBreakHyphen/>
        <w:t>General</w:t>
      </w:r>
      <w:r w:rsidRPr="00A543BE">
        <w:rPr>
          <w:rFonts w:ascii="Arial" w:hAnsi="Arial" w:cs="Arial"/>
          <w:szCs w:val="24"/>
        </w:rPr>
        <w:t>.</w:t>
      </w:r>
      <w:r>
        <w:rPr>
          <w:rFonts w:ascii="Arial" w:hAnsi="Arial" w:cs="Arial"/>
          <w:szCs w:val="24"/>
        </w:rPr>
        <w:t xml:space="preserve">  </w:t>
      </w:r>
      <w:r w:rsidRPr="00A543BE">
        <w:rPr>
          <w:rFonts w:ascii="Arial" w:hAnsi="Arial" w:cs="Arial"/>
          <w:szCs w:val="24"/>
        </w:rPr>
        <w:t>This will ensure that the intervention of an Attorney</w:t>
      </w:r>
      <w:r>
        <w:rPr>
          <w:rFonts w:ascii="Arial" w:hAnsi="Arial" w:cs="Arial"/>
          <w:szCs w:val="24"/>
        </w:rPr>
        <w:t>-General</w:t>
      </w:r>
      <w:r w:rsidRPr="00A543BE">
        <w:rPr>
          <w:rFonts w:ascii="Arial" w:hAnsi="Arial" w:cs="Arial"/>
          <w:szCs w:val="24"/>
        </w:rPr>
        <w:t xml:space="preserve"> is formally recorded on the Court file</w:t>
      </w:r>
      <w:r>
        <w:rPr>
          <w:rFonts w:ascii="Arial" w:hAnsi="Arial" w:cs="Arial"/>
          <w:szCs w:val="24"/>
        </w:rPr>
        <w:t xml:space="preserve"> and brought to the attention of the parties to the proceedings.</w:t>
      </w:r>
    </w:p>
    <w:p w:rsidR="009726D2" w:rsidRDefault="009726D2" w:rsidP="009726D2">
      <w:pPr>
        <w:ind w:right="-46"/>
        <w:jc w:val="both"/>
        <w:rPr>
          <w:rFonts w:ascii="Arial" w:hAnsi="Arial" w:cs="Arial"/>
          <w:szCs w:val="24"/>
        </w:rPr>
      </w:pPr>
    </w:p>
    <w:p w:rsidR="009726D2" w:rsidRDefault="00C20E29" w:rsidP="009726D2">
      <w:pPr>
        <w:ind w:right="-46"/>
        <w:jc w:val="both"/>
        <w:rPr>
          <w:rFonts w:ascii="Arial" w:hAnsi="Arial" w:cs="Arial"/>
          <w:szCs w:val="24"/>
          <w:u w:val="single"/>
        </w:rPr>
      </w:pPr>
      <w:r w:rsidRPr="00C20E29">
        <w:rPr>
          <w:rFonts w:ascii="Arial" w:hAnsi="Arial" w:cs="Arial"/>
          <w:szCs w:val="24"/>
          <w:u w:val="single"/>
        </w:rPr>
        <w:t>Part 13 – Interlocutory applications</w:t>
      </w:r>
    </w:p>
    <w:p w:rsidR="00C20E29" w:rsidRPr="00C20E29" w:rsidRDefault="00C20E29" w:rsidP="009726D2">
      <w:pPr>
        <w:ind w:right="-46"/>
        <w:jc w:val="both"/>
        <w:rPr>
          <w:rFonts w:ascii="Arial" w:hAnsi="Arial" w:cs="Arial"/>
          <w:szCs w:val="24"/>
          <w:u w:val="single"/>
        </w:rPr>
      </w:pPr>
    </w:p>
    <w:p w:rsidR="005E7DFF" w:rsidRDefault="005E7DFF" w:rsidP="005E7DFF">
      <w:pPr>
        <w:ind w:right="-46"/>
        <w:jc w:val="both"/>
        <w:rPr>
          <w:rFonts w:ascii="Arial" w:hAnsi="Arial" w:cs="Arial"/>
          <w:szCs w:val="24"/>
        </w:rPr>
      </w:pPr>
      <w:r w:rsidRPr="005E7DFF">
        <w:rPr>
          <w:rFonts w:ascii="Arial" w:hAnsi="Arial" w:cs="Arial"/>
          <w:szCs w:val="24"/>
        </w:rPr>
        <w:t xml:space="preserve">Interlocutory </w:t>
      </w:r>
      <w:r w:rsidR="009726D2" w:rsidRPr="005E7DFF">
        <w:rPr>
          <w:rFonts w:ascii="Arial" w:hAnsi="Arial" w:cs="Arial"/>
          <w:szCs w:val="24"/>
        </w:rPr>
        <w:t>applications are automatically listed for hearing before a single Justice and generally involve the attendance of all parties.</w:t>
      </w:r>
      <w:r w:rsidR="004C056A">
        <w:rPr>
          <w:rFonts w:ascii="Arial" w:hAnsi="Arial" w:cs="Arial"/>
          <w:szCs w:val="24"/>
        </w:rPr>
        <w:t xml:space="preserve">  </w:t>
      </w:r>
      <w:r w:rsidR="009726D2">
        <w:rPr>
          <w:rFonts w:ascii="Arial" w:hAnsi="Arial" w:cs="Arial"/>
          <w:szCs w:val="24"/>
        </w:rPr>
        <w:t xml:space="preserve">The </w:t>
      </w:r>
      <w:r w:rsidR="000F333B">
        <w:rPr>
          <w:rFonts w:ascii="Arial" w:hAnsi="Arial" w:cs="Arial"/>
          <w:szCs w:val="24"/>
        </w:rPr>
        <w:t xml:space="preserve">Amendment Rules </w:t>
      </w:r>
      <w:r>
        <w:rPr>
          <w:rFonts w:ascii="Arial" w:hAnsi="Arial" w:cs="Arial"/>
          <w:szCs w:val="24"/>
        </w:rPr>
        <w:t xml:space="preserve">amend Part 13 to </w:t>
      </w:r>
      <w:r w:rsidR="000F333B">
        <w:rPr>
          <w:rFonts w:ascii="Arial" w:hAnsi="Arial" w:cs="Arial"/>
          <w:szCs w:val="24"/>
        </w:rPr>
        <w:t xml:space="preserve">provide that </w:t>
      </w:r>
      <w:r w:rsidR="009726D2">
        <w:rPr>
          <w:rFonts w:ascii="Arial" w:hAnsi="Arial" w:cs="Arial"/>
          <w:szCs w:val="24"/>
        </w:rPr>
        <w:t>any interlocutory applications (whether by represented or unrepresented parties) may, at the discretion of the Court or a Justice, be dealt with on the papers without a hearing</w:t>
      </w:r>
      <w:r w:rsidR="004C056A">
        <w:rPr>
          <w:rFonts w:ascii="Arial" w:hAnsi="Arial" w:cs="Arial"/>
          <w:szCs w:val="24"/>
        </w:rPr>
        <w:t xml:space="preserve"> (see New Rule 13.03.1)</w:t>
      </w:r>
      <w:r w:rsidR="009726D2">
        <w:rPr>
          <w:rFonts w:ascii="Arial" w:hAnsi="Arial" w:cs="Arial"/>
          <w:szCs w:val="24"/>
        </w:rPr>
        <w:t>.</w:t>
      </w:r>
      <w:r>
        <w:rPr>
          <w:rFonts w:ascii="Arial" w:hAnsi="Arial" w:cs="Arial"/>
          <w:szCs w:val="24"/>
        </w:rPr>
        <w:t xml:space="preserve">  New Rule 13.03.2 provides that the Court or a Justice may direct a party to file written submissions in advance of the hearing or consideration of an application.  New Rule</w:t>
      </w:r>
      <w:r w:rsidR="00431479">
        <w:rPr>
          <w:rFonts w:ascii="Arial" w:hAnsi="Arial" w:cs="Arial"/>
          <w:szCs w:val="24"/>
        </w:rPr>
        <w:t>s</w:t>
      </w:r>
      <w:r>
        <w:rPr>
          <w:rFonts w:ascii="Arial" w:hAnsi="Arial" w:cs="Arial"/>
          <w:szCs w:val="24"/>
        </w:rPr>
        <w:t xml:space="preserve"> 13.03.3 </w:t>
      </w:r>
      <w:r w:rsidR="00431479">
        <w:rPr>
          <w:rFonts w:ascii="Arial" w:hAnsi="Arial" w:cs="Arial"/>
          <w:szCs w:val="24"/>
        </w:rPr>
        <w:t>and 13.03.4 retain</w:t>
      </w:r>
      <w:r>
        <w:rPr>
          <w:rFonts w:ascii="Arial" w:hAnsi="Arial" w:cs="Arial"/>
          <w:szCs w:val="24"/>
        </w:rPr>
        <w:t xml:space="preserve"> the procedures in existing Rules 13.03.1 and 13.03.2 where a person </w:t>
      </w:r>
      <w:r w:rsidR="00431479">
        <w:rPr>
          <w:rFonts w:ascii="Arial" w:hAnsi="Arial" w:cs="Arial"/>
          <w:szCs w:val="24"/>
        </w:rPr>
        <w:t xml:space="preserve">to whom a summons </w:t>
      </w:r>
      <w:r w:rsidR="006040D4">
        <w:rPr>
          <w:rFonts w:ascii="Arial" w:hAnsi="Arial" w:cs="Arial"/>
          <w:szCs w:val="24"/>
        </w:rPr>
        <w:t>i</w:t>
      </w:r>
      <w:r w:rsidR="00431479">
        <w:rPr>
          <w:rFonts w:ascii="Arial" w:hAnsi="Arial" w:cs="Arial"/>
          <w:szCs w:val="24"/>
        </w:rPr>
        <w:t xml:space="preserve">s addressed or an applicant </w:t>
      </w:r>
      <w:r>
        <w:rPr>
          <w:rFonts w:ascii="Arial" w:hAnsi="Arial" w:cs="Arial"/>
          <w:szCs w:val="24"/>
        </w:rPr>
        <w:t>fails to attend the hearing of an interlocutory application</w:t>
      </w:r>
      <w:r w:rsidR="00431479">
        <w:rPr>
          <w:rFonts w:ascii="Arial" w:hAnsi="Arial" w:cs="Arial"/>
          <w:szCs w:val="24"/>
        </w:rPr>
        <w:t xml:space="preserve"> listed for hearing</w:t>
      </w:r>
      <w:r>
        <w:rPr>
          <w:rFonts w:ascii="Arial" w:hAnsi="Arial" w:cs="Arial"/>
          <w:szCs w:val="24"/>
        </w:rPr>
        <w:t>.</w:t>
      </w:r>
    </w:p>
    <w:p w:rsidR="009726D2" w:rsidRPr="000F333B" w:rsidRDefault="009726D2" w:rsidP="009726D2">
      <w:pPr>
        <w:ind w:right="-46"/>
        <w:jc w:val="both"/>
        <w:rPr>
          <w:rFonts w:ascii="Arial" w:hAnsi="Arial" w:cs="Arial"/>
          <w:b/>
          <w:i/>
          <w:szCs w:val="24"/>
        </w:rPr>
      </w:pPr>
    </w:p>
    <w:p w:rsidR="009726D2" w:rsidRDefault="009726D2" w:rsidP="009726D2">
      <w:pPr>
        <w:ind w:right="-46"/>
        <w:jc w:val="both"/>
        <w:rPr>
          <w:rFonts w:ascii="Arial" w:hAnsi="Arial" w:cs="Arial"/>
          <w:szCs w:val="24"/>
        </w:rPr>
      </w:pPr>
      <w:r>
        <w:rPr>
          <w:rFonts w:ascii="Arial" w:hAnsi="Arial" w:cs="Arial"/>
          <w:szCs w:val="24"/>
        </w:rPr>
        <w:t xml:space="preserve">To allow for the possibility of an interlocutory application being considered on the papers the service requirement in existing Rule 13.02.2(b) </w:t>
      </w:r>
      <w:r w:rsidR="000F333B">
        <w:rPr>
          <w:rFonts w:ascii="Arial" w:hAnsi="Arial" w:cs="Arial"/>
          <w:szCs w:val="24"/>
        </w:rPr>
        <w:t xml:space="preserve">is amended to be </w:t>
      </w:r>
      <w:r>
        <w:rPr>
          <w:rFonts w:ascii="Arial" w:hAnsi="Arial" w:cs="Arial"/>
          <w:szCs w:val="24"/>
        </w:rPr>
        <w:t>made referable to the time of filing the summons rather than the date of the hearing</w:t>
      </w:r>
      <w:r w:rsidR="00B5218C">
        <w:rPr>
          <w:rFonts w:ascii="Arial" w:hAnsi="Arial" w:cs="Arial"/>
          <w:szCs w:val="24"/>
        </w:rPr>
        <w:t>.</w:t>
      </w:r>
    </w:p>
    <w:p w:rsidR="009726D2" w:rsidRDefault="009726D2" w:rsidP="009726D2">
      <w:pPr>
        <w:ind w:right="-46"/>
        <w:jc w:val="both"/>
        <w:rPr>
          <w:rFonts w:ascii="Arial" w:hAnsi="Arial" w:cs="Arial"/>
          <w:szCs w:val="24"/>
        </w:rPr>
      </w:pPr>
    </w:p>
    <w:p w:rsidR="00F876CD" w:rsidRDefault="00C20E29" w:rsidP="00F876CD">
      <w:pPr>
        <w:ind w:right="-46"/>
        <w:rPr>
          <w:rFonts w:ascii="Arial" w:hAnsi="Arial" w:cs="Arial"/>
          <w:szCs w:val="24"/>
          <w:u w:val="single"/>
        </w:rPr>
      </w:pPr>
      <w:r w:rsidRPr="00F876CD">
        <w:rPr>
          <w:rFonts w:ascii="Arial" w:hAnsi="Arial" w:cs="Arial"/>
          <w:szCs w:val="24"/>
          <w:u w:val="single"/>
        </w:rPr>
        <w:t>Schedule 2 – Schedule of fees for work done or services performed</w:t>
      </w:r>
    </w:p>
    <w:p w:rsidR="009726D2" w:rsidRDefault="00F876CD" w:rsidP="00F876CD">
      <w:pPr>
        <w:ind w:right="-46"/>
        <w:rPr>
          <w:rFonts w:ascii="Arial" w:hAnsi="Arial" w:cs="Arial"/>
          <w:szCs w:val="24"/>
          <w:u w:val="single"/>
        </w:rPr>
      </w:pPr>
      <w:r w:rsidRPr="00F876CD">
        <w:rPr>
          <w:rFonts w:ascii="Arial" w:hAnsi="Arial" w:cs="Arial"/>
          <w:szCs w:val="24"/>
          <w:u w:val="single"/>
        </w:rPr>
        <w:t>Part 56 – Taxation of costs – Particular items</w:t>
      </w:r>
    </w:p>
    <w:p w:rsidR="00F876CD" w:rsidRPr="008B14BA" w:rsidRDefault="00F876CD" w:rsidP="008B14BA">
      <w:pPr>
        <w:rPr>
          <w:rFonts w:ascii="Arial" w:hAnsi="Arial" w:cs="Arial"/>
        </w:rPr>
      </w:pPr>
    </w:p>
    <w:p w:rsidR="009726D2" w:rsidRPr="008B14BA" w:rsidRDefault="009726D2" w:rsidP="008B14BA">
      <w:pPr>
        <w:jc w:val="both"/>
        <w:rPr>
          <w:rFonts w:ascii="Arial" w:hAnsi="Arial" w:cs="Arial"/>
          <w:i/>
        </w:rPr>
      </w:pPr>
      <w:r w:rsidRPr="008B14BA">
        <w:rPr>
          <w:rFonts w:ascii="Arial" w:hAnsi="Arial" w:cs="Arial"/>
        </w:rPr>
        <w:t xml:space="preserve">The </w:t>
      </w:r>
      <w:r w:rsidRPr="008B14BA">
        <w:rPr>
          <w:rFonts w:ascii="Arial" w:hAnsi="Arial" w:cs="Arial"/>
          <w:i/>
        </w:rPr>
        <w:t xml:space="preserve">Schedule of Fees for Work Done or Services Performed </w:t>
      </w:r>
      <w:r w:rsidRPr="008B14BA">
        <w:rPr>
          <w:rFonts w:ascii="Arial" w:hAnsi="Arial" w:cs="Arial"/>
        </w:rPr>
        <w:t>set out in Schedule 2 of the Rules (the Schedule) specifies the amount which solicitors may charge and be allowed on a taxation of costs in respect of proceedings in the Court.</w:t>
      </w:r>
    </w:p>
    <w:p w:rsidR="009726D2" w:rsidRPr="008B14BA" w:rsidRDefault="009726D2" w:rsidP="008B14BA">
      <w:pPr>
        <w:jc w:val="both"/>
        <w:rPr>
          <w:rFonts w:ascii="Arial" w:hAnsi="Arial" w:cs="Arial"/>
          <w:i/>
        </w:rPr>
      </w:pPr>
    </w:p>
    <w:p w:rsidR="003B5379" w:rsidRPr="008B14BA" w:rsidRDefault="009726D2" w:rsidP="008B14BA">
      <w:pPr>
        <w:jc w:val="both"/>
        <w:rPr>
          <w:rFonts w:ascii="Arial" w:hAnsi="Arial" w:cs="Arial"/>
        </w:rPr>
      </w:pPr>
      <w:r w:rsidRPr="008B14BA">
        <w:rPr>
          <w:rFonts w:ascii="Arial" w:hAnsi="Arial" w:cs="Arial"/>
        </w:rPr>
        <w:t>The Schedule has not been subjected to a wholesale review for a number of years, although the amounts prescribed for individual items are regularly reviewed and updated</w:t>
      </w:r>
      <w:r w:rsidR="000F333B" w:rsidRPr="008B14BA">
        <w:rPr>
          <w:rFonts w:ascii="Arial" w:hAnsi="Arial" w:cs="Arial"/>
        </w:rPr>
        <w:t xml:space="preserve"> on the recommendation of the Joint Costs Advisory Committee</w:t>
      </w:r>
      <w:r w:rsidRPr="008B14BA">
        <w:rPr>
          <w:rFonts w:ascii="Arial" w:hAnsi="Arial" w:cs="Arial"/>
        </w:rPr>
        <w:t>.  The Court considers that the existing Schedule is out</w:t>
      </w:r>
      <w:r w:rsidRPr="008B14BA">
        <w:rPr>
          <w:rFonts w:ascii="Arial" w:hAnsi="Arial" w:cs="Arial"/>
        </w:rPr>
        <w:noBreakHyphen/>
        <w:t>dated, particularly in its descriptions of the tasks performed by legal practitioners</w:t>
      </w:r>
      <w:r w:rsidR="000F333B" w:rsidRPr="008B14BA">
        <w:rPr>
          <w:rFonts w:ascii="Arial" w:hAnsi="Arial" w:cs="Arial"/>
        </w:rPr>
        <w:t xml:space="preserve">, including </w:t>
      </w:r>
      <w:r w:rsidRPr="008B14BA">
        <w:rPr>
          <w:rFonts w:ascii="Arial" w:hAnsi="Arial" w:cs="Arial"/>
        </w:rPr>
        <w:t xml:space="preserve">references to telegrams, telexes, carbon copies and folios.  The </w:t>
      </w:r>
      <w:r w:rsidR="00431479">
        <w:rPr>
          <w:rFonts w:ascii="Arial" w:hAnsi="Arial" w:cs="Arial"/>
        </w:rPr>
        <w:t xml:space="preserve">Amendment Rules </w:t>
      </w:r>
      <w:r w:rsidR="003B5379" w:rsidRPr="008B14BA">
        <w:rPr>
          <w:rFonts w:ascii="Arial" w:hAnsi="Arial" w:cs="Arial"/>
        </w:rPr>
        <w:t>substitute a</w:t>
      </w:r>
      <w:r w:rsidRPr="008B14BA">
        <w:rPr>
          <w:rFonts w:ascii="Arial" w:hAnsi="Arial" w:cs="Arial"/>
        </w:rPr>
        <w:t xml:space="preserve"> simplified Schedule with the individual items based on the work required to be undertaken under the current Court procedures and reflecting modern work practices.</w:t>
      </w:r>
      <w:r w:rsidR="003B5379" w:rsidRPr="008B14BA">
        <w:rPr>
          <w:rFonts w:ascii="Arial" w:hAnsi="Arial" w:cs="Arial"/>
        </w:rPr>
        <w:t xml:space="preserve">  The Court will continue its involvement in the Joint Costs Advisory Committee’s review process and will continue to consider any variations recommended by the Committee to the amounts in the Schedule.</w:t>
      </w:r>
    </w:p>
    <w:p w:rsidR="009726D2" w:rsidRPr="008B14BA" w:rsidRDefault="009726D2" w:rsidP="008B14BA">
      <w:pPr>
        <w:jc w:val="both"/>
        <w:rPr>
          <w:rFonts w:ascii="Arial" w:hAnsi="Arial" w:cs="Arial"/>
        </w:rPr>
      </w:pPr>
    </w:p>
    <w:p w:rsidR="009726D2" w:rsidRPr="008B14BA" w:rsidRDefault="009726D2" w:rsidP="008B14BA">
      <w:pPr>
        <w:jc w:val="both"/>
        <w:rPr>
          <w:rFonts w:ascii="Arial" w:hAnsi="Arial" w:cs="Arial"/>
        </w:rPr>
      </w:pPr>
      <w:r w:rsidRPr="008B14BA">
        <w:rPr>
          <w:rFonts w:ascii="Arial" w:hAnsi="Arial" w:cs="Arial"/>
        </w:rPr>
        <w:t>The amendments are directed to modernising the form and style of the Schedule rather than to introducing radical changes to the basis of the assessment and taxation of bills of costs.  The number of individual items in the Schedule has been reduced from 56 to 21.  The new Schedule includes different types of charging depending on the tasks that are likely to be undertaken (for example, some items prescribe fixed amounts, some are based on amounts per page of text, and some are time-based).  For those items allowed on a time basis the increased figure of $500 per hour for work undertaken by a legal practitioner is considered to be closer to the rates currently charged by legal practitioners than the lower rates provided in the existing Schedule (which range from around $190 to $310).  Allowances are also provided for work which does not require the attendance of a solicitor but can be undertaken by a law clerk or other non-legally qualified person.</w:t>
      </w:r>
    </w:p>
    <w:p w:rsidR="009726D2" w:rsidRPr="008B14BA" w:rsidRDefault="009726D2" w:rsidP="008B14BA">
      <w:pPr>
        <w:jc w:val="both"/>
        <w:rPr>
          <w:rFonts w:ascii="Arial" w:hAnsi="Arial" w:cs="Arial"/>
        </w:rPr>
      </w:pPr>
    </w:p>
    <w:p w:rsidR="004B6FC8" w:rsidRDefault="00B05A9E" w:rsidP="004B6FC8">
      <w:pPr>
        <w:jc w:val="both"/>
        <w:rPr>
          <w:rFonts w:ascii="Arial" w:hAnsi="Arial" w:cs="Arial"/>
        </w:rPr>
      </w:pPr>
      <w:r w:rsidRPr="008B14BA">
        <w:rPr>
          <w:rFonts w:ascii="Arial" w:hAnsi="Arial" w:cs="Arial"/>
        </w:rPr>
        <w:t xml:space="preserve">The Amendment Rules </w:t>
      </w:r>
      <w:r w:rsidR="004C056A">
        <w:rPr>
          <w:rFonts w:ascii="Arial" w:hAnsi="Arial" w:cs="Arial"/>
        </w:rPr>
        <w:t xml:space="preserve">substitute </w:t>
      </w:r>
      <w:r w:rsidRPr="008B14BA">
        <w:rPr>
          <w:rFonts w:ascii="Arial" w:hAnsi="Arial" w:cs="Arial"/>
        </w:rPr>
        <w:t>a</w:t>
      </w:r>
      <w:r w:rsidR="009726D2" w:rsidRPr="008B14BA">
        <w:rPr>
          <w:rFonts w:ascii="Arial" w:hAnsi="Arial" w:cs="Arial"/>
        </w:rPr>
        <w:t xml:space="preserve"> new Schedule 2</w:t>
      </w:r>
      <w:r w:rsidR="003B5379" w:rsidRPr="008B14BA">
        <w:rPr>
          <w:rFonts w:ascii="Arial" w:hAnsi="Arial" w:cs="Arial"/>
        </w:rPr>
        <w:t xml:space="preserve"> </w:t>
      </w:r>
      <w:r w:rsidR="001A6453">
        <w:rPr>
          <w:rFonts w:ascii="Arial" w:hAnsi="Arial" w:cs="Arial"/>
        </w:rPr>
        <w:t>which will apply to work done or services performed on or after 1 January 2015.  The</w:t>
      </w:r>
      <w:r w:rsidR="009726D2" w:rsidRPr="008B14BA">
        <w:rPr>
          <w:rFonts w:ascii="Arial" w:hAnsi="Arial" w:cs="Arial"/>
        </w:rPr>
        <w:t xml:space="preserve"> consequential amendments to Part 56</w:t>
      </w:r>
      <w:r w:rsidR="003B5379" w:rsidRPr="008B14BA">
        <w:rPr>
          <w:rFonts w:ascii="Arial" w:hAnsi="Arial" w:cs="Arial"/>
        </w:rPr>
        <w:t xml:space="preserve"> (see </w:t>
      </w:r>
      <w:r w:rsidR="00B5218C">
        <w:rPr>
          <w:rFonts w:ascii="Arial" w:hAnsi="Arial" w:cs="Arial"/>
        </w:rPr>
        <w:t xml:space="preserve">Amendment </w:t>
      </w:r>
      <w:r w:rsidR="003B5379" w:rsidRPr="008B14BA">
        <w:rPr>
          <w:rFonts w:ascii="Arial" w:hAnsi="Arial" w:cs="Arial"/>
        </w:rPr>
        <w:t>Rules 12-18)</w:t>
      </w:r>
      <w:r w:rsidR="001A6453">
        <w:rPr>
          <w:rFonts w:ascii="Arial" w:hAnsi="Arial" w:cs="Arial"/>
        </w:rPr>
        <w:t xml:space="preserve"> will commence on 1 January</w:t>
      </w:r>
      <w:r w:rsidR="004B6FC8">
        <w:rPr>
          <w:rFonts w:ascii="Arial" w:hAnsi="Arial" w:cs="Arial"/>
        </w:rPr>
        <w:t xml:space="preserve"> </w:t>
      </w:r>
      <w:r w:rsidR="001A6453">
        <w:rPr>
          <w:rFonts w:ascii="Arial" w:hAnsi="Arial" w:cs="Arial"/>
        </w:rPr>
        <w:t>2015.</w:t>
      </w:r>
    </w:p>
    <w:p w:rsidR="004B6FC8" w:rsidRDefault="004B6FC8" w:rsidP="004B6FC8">
      <w:pPr>
        <w:jc w:val="both"/>
        <w:rPr>
          <w:rFonts w:ascii="Arial" w:hAnsi="Arial" w:cs="Arial"/>
          <w:szCs w:val="24"/>
          <w:u w:val="single"/>
        </w:rPr>
      </w:pPr>
    </w:p>
    <w:p w:rsidR="009726D2" w:rsidRPr="00F876CD" w:rsidRDefault="00F876CD" w:rsidP="004B6FC8">
      <w:pPr>
        <w:jc w:val="both"/>
        <w:rPr>
          <w:rFonts w:ascii="Arial" w:hAnsi="Arial" w:cs="Arial"/>
          <w:szCs w:val="24"/>
          <w:u w:val="single"/>
        </w:rPr>
      </w:pPr>
      <w:r w:rsidRPr="00F876CD">
        <w:rPr>
          <w:rFonts w:ascii="Arial" w:hAnsi="Arial" w:cs="Arial"/>
          <w:szCs w:val="24"/>
          <w:u w:val="single"/>
        </w:rPr>
        <w:t>Part 58 – Costs of taxation</w:t>
      </w:r>
    </w:p>
    <w:p w:rsidR="00F876CD" w:rsidRDefault="00F876CD" w:rsidP="009726D2">
      <w:pPr>
        <w:tabs>
          <w:tab w:val="left" w:pos="1418"/>
          <w:tab w:val="left" w:pos="8505"/>
        </w:tabs>
        <w:ind w:right="-46"/>
        <w:jc w:val="both"/>
        <w:rPr>
          <w:rFonts w:ascii="Arial" w:hAnsi="Arial" w:cs="Arial"/>
          <w:szCs w:val="24"/>
        </w:rPr>
      </w:pPr>
    </w:p>
    <w:p w:rsidR="009726D2" w:rsidRPr="000519BA" w:rsidRDefault="00431479" w:rsidP="009726D2">
      <w:pPr>
        <w:tabs>
          <w:tab w:val="left" w:pos="1418"/>
          <w:tab w:val="left" w:pos="8505"/>
        </w:tabs>
        <w:ind w:right="-46"/>
        <w:jc w:val="both"/>
        <w:rPr>
          <w:rFonts w:ascii="Arial" w:hAnsi="Arial" w:cs="Arial"/>
          <w:szCs w:val="24"/>
        </w:rPr>
      </w:pPr>
      <w:r>
        <w:rPr>
          <w:rFonts w:ascii="Arial" w:hAnsi="Arial" w:cs="Arial"/>
          <w:szCs w:val="24"/>
        </w:rPr>
        <w:t xml:space="preserve">Rule 58.02.1 </w:t>
      </w:r>
      <w:r w:rsidR="009726D2">
        <w:rPr>
          <w:rFonts w:ascii="Arial" w:hAnsi="Arial" w:cs="Arial"/>
          <w:szCs w:val="24"/>
        </w:rPr>
        <w:t xml:space="preserve">deals </w:t>
      </w:r>
      <w:r w:rsidR="009726D2" w:rsidRPr="000519BA">
        <w:rPr>
          <w:rFonts w:ascii="Arial" w:hAnsi="Arial" w:cs="Arial"/>
          <w:szCs w:val="24"/>
        </w:rPr>
        <w:t>with the liability for the costs of a taxation</w:t>
      </w:r>
      <w:r w:rsidR="009726D2">
        <w:rPr>
          <w:rFonts w:ascii="Arial" w:hAnsi="Arial" w:cs="Arial"/>
          <w:szCs w:val="24"/>
        </w:rPr>
        <w:t xml:space="preserve"> of a bill of costs </w:t>
      </w:r>
      <w:r w:rsidR="009726D2" w:rsidRPr="000519BA">
        <w:rPr>
          <w:rFonts w:ascii="Arial" w:hAnsi="Arial" w:cs="Arial"/>
          <w:szCs w:val="24"/>
        </w:rPr>
        <w:t>sub</w:t>
      </w:r>
      <w:r w:rsidR="009726D2">
        <w:rPr>
          <w:rFonts w:ascii="Arial" w:hAnsi="Arial" w:cs="Arial"/>
          <w:szCs w:val="24"/>
        </w:rPr>
        <w:t>sequent to a Taxing O</w:t>
      </w:r>
      <w:r w:rsidR="009726D2" w:rsidRPr="000519BA">
        <w:rPr>
          <w:rFonts w:ascii="Arial" w:hAnsi="Arial" w:cs="Arial"/>
          <w:szCs w:val="24"/>
        </w:rPr>
        <w:t>fficer making</w:t>
      </w:r>
      <w:r w:rsidR="009726D2">
        <w:rPr>
          <w:rFonts w:ascii="Arial" w:hAnsi="Arial" w:cs="Arial"/>
          <w:szCs w:val="24"/>
        </w:rPr>
        <w:t xml:space="preserve"> an estimate under Rule 57.01.  </w:t>
      </w:r>
      <w:r w:rsidR="00C20E29">
        <w:rPr>
          <w:rFonts w:ascii="Arial" w:hAnsi="Arial" w:cs="Arial"/>
          <w:szCs w:val="24"/>
        </w:rPr>
        <w:t xml:space="preserve">The rule </w:t>
      </w:r>
      <w:r w:rsidR="00B5218C">
        <w:rPr>
          <w:rFonts w:ascii="Arial" w:hAnsi="Arial" w:cs="Arial"/>
          <w:szCs w:val="24"/>
        </w:rPr>
        <w:t xml:space="preserve">presently </w:t>
      </w:r>
      <w:r w:rsidR="00C20E29">
        <w:rPr>
          <w:rFonts w:ascii="Arial" w:hAnsi="Arial" w:cs="Arial"/>
          <w:szCs w:val="24"/>
        </w:rPr>
        <w:t xml:space="preserve">requires </w:t>
      </w:r>
      <w:r w:rsidR="009726D2" w:rsidRPr="000519BA">
        <w:rPr>
          <w:rFonts w:ascii="Arial" w:hAnsi="Arial" w:cs="Arial"/>
          <w:szCs w:val="24"/>
        </w:rPr>
        <w:t>the objecting party to pay the costs of the taxation</w:t>
      </w:r>
      <w:r w:rsidR="009726D2">
        <w:rPr>
          <w:rFonts w:ascii="Arial" w:hAnsi="Arial" w:cs="Arial"/>
          <w:szCs w:val="24"/>
        </w:rPr>
        <w:t xml:space="preserve"> regardless of the success of that party’s objection.  The </w:t>
      </w:r>
      <w:r w:rsidR="00B05A9E">
        <w:rPr>
          <w:rFonts w:ascii="Arial" w:hAnsi="Arial" w:cs="Arial"/>
          <w:szCs w:val="24"/>
        </w:rPr>
        <w:t xml:space="preserve">Amendment Rules amend </w:t>
      </w:r>
      <w:r w:rsidR="009726D2">
        <w:rPr>
          <w:rFonts w:ascii="Arial" w:hAnsi="Arial" w:cs="Arial"/>
          <w:szCs w:val="24"/>
        </w:rPr>
        <w:t>Rule 58.02.1(a) to provide that where the amount allowed on taxation is varied by more than one-sixth of the estimate, in favour of the party filing the notice of objection or dispute, the costs of the taxation must be paid in the amount and by the party directed by the Taxing Officer</w:t>
      </w:r>
      <w:r w:rsidR="00B5218C">
        <w:rPr>
          <w:rFonts w:ascii="Arial" w:hAnsi="Arial" w:cs="Arial"/>
          <w:szCs w:val="24"/>
        </w:rPr>
        <w:t>.</w:t>
      </w:r>
    </w:p>
    <w:p w:rsidR="009726D2" w:rsidRDefault="009726D2" w:rsidP="009726D2">
      <w:pPr>
        <w:ind w:right="-46"/>
        <w:jc w:val="both"/>
        <w:rPr>
          <w:rFonts w:ascii="Arial" w:hAnsi="Arial" w:cs="Arial"/>
          <w:szCs w:val="24"/>
        </w:rPr>
      </w:pPr>
    </w:p>
    <w:p w:rsidR="009726D2" w:rsidRPr="009726D2" w:rsidRDefault="009726D2" w:rsidP="009726D2">
      <w:pPr>
        <w:ind w:right="-46"/>
        <w:rPr>
          <w:rFonts w:ascii="Arial" w:hAnsi="Arial" w:cs="Arial"/>
          <w:u w:val="single"/>
        </w:rPr>
      </w:pPr>
      <w:r w:rsidRPr="009726D2">
        <w:rPr>
          <w:rFonts w:ascii="Arial" w:hAnsi="Arial" w:cs="Arial"/>
          <w:u w:val="single"/>
        </w:rPr>
        <w:t xml:space="preserve">Chapter 6 – Transitional provisions </w:t>
      </w:r>
    </w:p>
    <w:p w:rsidR="009726D2" w:rsidRDefault="009726D2" w:rsidP="009726D2">
      <w:pPr>
        <w:ind w:right="-46"/>
        <w:jc w:val="both"/>
        <w:rPr>
          <w:rFonts w:ascii="Arial" w:hAnsi="Arial" w:cs="Arial"/>
          <w:szCs w:val="24"/>
        </w:rPr>
      </w:pPr>
    </w:p>
    <w:p w:rsidR="009726D2" w:rsidRDefault="009726D2" w:rsidP="009726D2">
      <w:pPr>
        <w:ind w:right="-46"/>
        <w:jc w:val="both"/>
        <w:rPr>
          <w:rFonts w:ascii="Arial" w:hAnsi="Arial" w:cs="Arial"/>
          <w:szCs w:val="24"/>
        </w:rPr>
      </w:pPr>
      <w:r>
        <w:rPr>
          <w:rFonts w:ascii="Arial" w:hAnsi="Arial" w:cs="Arial"/>
          <w:szCs w:val="24"/>
        </w:rPr>
        <w:t xml:space="preserve">New Rule 60.01 provides that the new Rules 13.02 and 13.03 (dealing with the determination of interlocutory applications </w:t>
      </w:r>
      <w:r w:rsidR="004C056A">
        <w:rPr>
          <w:rFonts w:ascii="Arial" w:hAnsi="Arial" w:cs="Arial"/>
          <w:szCs w:val="24"/>
        </w:rPr>
        <w:t>without a hearing</w:t>
      </w:r>
      <w:r>
        <w:rPr>
          <w:rFonts w:ascii="Arial" w:hAnsi="Arial" w:cs="Arial"/>
          <w:szCs w:val="24"/>
        </w:rPr>
        <w:t xml:space="preserve">) will apply to interlocutory applications made after the commencement of the </w:t>
      </w:r>
      <w:r w:rsidR="00431479">
        <w:rPr>
          <w:rFonts w:ascii="Arial" w:hAnsi="Arial" w:cs="Arial"/>
          <w:szCs w:val="24"/>
        </w:rPr>
        <w:t xml:space="preserve">Amendment </w:t>
      </w:r>
      <w:r>
        <w:rPr>
          <w:rFonts w:ascii="Arial" w:hAnsi="Arial" w:cs="Arial"/>
          <w:szCs w:val="24"/>
        </w:rPr>
        <w:t>Rules.  The intention is that the new provisions will apply to interlocutory applications</w:t>
      </w:r>
      <w:r w:rsidR="004C056A">
        <w:rPr>
          <w:rFonts w:ascii="Arial" w:hAnsi="Arial" w:cs="Arial"/>
          <w:szCs w:val="24"/>
        </w:rPr>
        <w:t xml:space="preserve"> filed after commencement of the Amendment Rules </w:t>
      </w:r>
      <w:r>
        <w:rPr>
          <w:rFonts w:ascii="Arial" w:hAnsi="Arial" w:cs="Arial"/>
          <w:szCs w:val="24"/>
        </w:rPr>
        <w:t xml:space="preserve">even </w:t>
      </w:r>
      <w:r w:rsidR="00431479">
        <w:rPr>
          <w:rFonts w:ascii="Arial" w:hAnsi="Arial" w:cs="Arial"/>
          <w:szCs w:val="24"/>
        </w:rPr>
        <w:t xml:space="preserve">if </w:t>
      </w:r>
      <w:r>
        <w:rPr>
          <w:rFonts w:ascii="Arial" w:hAnsi="Arial" w:cs="Arial"/>
          <w:szCs w:val="24"/>
        </w:rPr>
        <w:t xml:space="preserve">the substantive proceedings </w:t>
      </w:r>
      <w:r w:rsidR="004C056A">
        <w:rPr>
          <w:rFonts w:ascii="Arial" w:hAnsi="Arial" w:cs="Arial"/>
          <w:szCs w:val="24"/>
        </w:rPr>
        <w:t xml:space="preserve">were </w:t>
      </w:r>
      <w:r>
        <w:rPr>
          <w:rFonts w:ascii="Arial" w:hAnsi="Arial" w:cs="Arial"/>
          <w:szCs w:val="24"/>
        </w:rPr>
        <w:t>instituted prior to the commencement of the new provisions.</w:t>
      </w:r>
    </w:p>
    <w:p w:rsidR="009726D2" w:rsidRDefault="009726D2" w:rsidP="009726D2">
      <w:pPr>
        <w:ind w:right="-46"/>
        <w:jc w:val="both"/>
        <w:rPr>
          <w:rFonts w:ascii="Arial" w:hAnsi="Arial" w:cs="Arial"/>
          <w:szCs w:val="24"/>
        </w:rPr>
      </w:pPr>
    </w:p>
    <w:p w:rsidR="009726D2" w:rsidRDefault="009726D2" w:rsidP="009726D2">
      <w:pPr>
        <w:ind w:right="-46"/>
        <w:jc w:val="both"/>
        <w:rPr>
          <w:rFonts w:ascii="Arial" w:hAnsi="Arial" w:cs="Arial"/>
          <w:szCs w:val="24"/>
        </w:rPr>
      </w:pPr>
      <w:r>
        <w:rPr>
          <w:rFonts w:ascii="Arial" w:hAnsi="Arial" w:cs="Arial"/>
          <w:szCs w:val="24"/>
        </w:rPr>
        <w:t xml:space="preserve">Similarly, new Rule 60.02 provides that new Rules 58.02.1 and 58.02.1A will apply to notices of dispute and notices of objection to the Taxing Officer’s estimate filed after commencement of the Rules.  The intention is that the new provisions will apply to notices </w:t>
      </w:r>
      <w:r w:rsidR="004C056A">
        <w:rPr>
          <w:rFonts w:ascii="Arial" w:hAnsi="Arial" w:cs="Arial"/>
          <w:szCs w:val="24"/>
        </w:rPr>
        <w:t xml:space="preserve">of dispute and notices of objection </w:t>
      </w:r>
      <w:r>
        <w:rPr>
          <w:rFonts w:ascii="Arial" w:hAnsi="Arial" w:cs="Arial"/>
          <w:szCs w:val="24"/>
        </w:rPr>
        <w:t xml:space="preserve">filed after the commencement of the new provisions even </w:t>
      </w:r>
      <w:r w:rsidR="00431479">
        <w:rPr>
          <w:rFonts w:ascii="Arial" w:hAnsi="Arial" w:cs="Arial"/>
          <w:szCs w:val="24"/>
        </w:rPr>
        <w:t xml:space="preserve">if </w:t>
      </w:r>
      <w:r>
        <w:rPr>
          <w:rFonts w:ascii="Arial" w:hAnsi="Arial" w:cs="Arial"/>
          <w:szCs w:val="24"/>
        </w:rPr>
        <w:t xml:space="preserve">the estimate of the bill of costs to which the notice relates </w:t>
      </w:r>
      <w:r w:rsidR="004C056A">
        <w:rPr>
          <w:rFonts w:ascii="Arial" w:hAnsi="Arial" w:cs="Arial"/>
          <w:szCs w:val="24"/>
        </w:rPr>
        <w:t xml:space="preserve">was </w:t>
      </w:r>
      <w:r>
        <w:rPr>
          <w:rFonts w:ascii="Arial" w:hAnsi="Arial" w:cs="Arial"/>
          <w:szCs w:val="24"/>
        </w:rPr>
        <w:t>completed prior to the commencement of the new provisions.</w:t>
      </w:r>
    </w:p>
    <w:p w:rsidR="009726D2" w:rsidRPr="0012618D" w:rsidRDefault="009726D2" w:rsidP="00651A3B">
      <w:pPr>
        <w:jc w:val="both"/>
        <w:rPr>
          <w:rFonts w:ascii="Arial" w:hAnsi="Arial" w:cs="Arial"/>
        </w:rPr>
      </w:pPr>
    </w:p>
    <w:p w:rsidR="004C056A" w:rsidRPr="00C20E29" w:rsidRDefault="004C056A" w:rsidP="004C056A">
      <w:pPr>
        <w:jc w:val="both"/>
        <w:rPr>
          <w:rFonts w:ascii="Arial" w:hAnsi="Arial" w:cs="Arial"/>
          <w:u w:val="single"/>
        </w:rPr>
      </w:pPr>
      <w:r w:rsidRPr="00C20E29">
        <w:rPr>
          <w:rFonts w:ascii="Arial" w:hAnsi="Arial" w:cs="Arial"/>
          <w:u w:val="single"/>
        </w:rPr>
        <w:t>Commencement</w:t>
      </w:r>
    </w:p>
    <w:p w:rsidR="004C056A" w:rsidRDefault="004C056A" w:rsidP="004C056A">
      <w:pPr>
        <w:jc w:val="both"/>
        <w:rPr>
          <w:rFonts w:ascii="Arial" w:hAnsi="Arial" w:cs="Arial"/>
        </w:rPr>
      </w:pPr>
    </w:p>
    <w:p w:rsidR="004C056A" w:rsidRPr="00B05A9E" w:rsidRDefault="004C056A" w:rsidP="004C056A">
      <w:pPr>
        <w:jc w:val="both"/>
        <w:rPr>
          <w:rFonts w:ascii="Arial" w:hAnsi="Arial" w:cs="Arial"/>
          <w:color w:val="FF0000"/>
        </w:rPr>
      </w:pPr>
      <w:r w:rsidRPr="0012618D">
        <w:rPr>
          <w:rFonts w:ascii="Arial" w:hAnsi="Arial" w:cs="Arial"/>
        </w:rPr>
        <w:t xml:space="preserve">The </w:t>
      </w:r>
      <w:r>
        <w:rPr>
          <w:rFonts w:ascii="Arial" w:hAnsi="Arial" w:cs="Arial"/>
        </w:rPr>
        <w:t xml:space="preserve">provisions relating to Part 56 and the substitution of the new Schedule 2 will commence on 1 January 2015.  All other provisions in the </w:t>
      </w:r>
      <w:r w:rsidRPr="0012618D">
        <w:rPr>
          <w:rFonts w:ascii="Arial" w:hAnsi="Arial" w:cs="Arial"/>
        </w:rPr>
        <w:t xml:space="preserve">Amendment Rules will commence on </w:t>
      </w:r>
      <w:r>
        <w:rPr>
          <w:rFonts w:ascii="Arial" w:hAnsi="Arial" w:cs="Arial"/>
        </w:rPr>
        <w:t>the day after the Rules are registered.</w:t>
      </w:r>
    </w:p>
    <w:p w:rsidR="004C056A" w:rsidRDefault="004C056A" w:rsidP="00651A3B">
      <w:pPr>
        <w:jc w:val="both"/>
        <w:rPr>
          <w:rFonts w:ascii="Arial" w:hAnsi="Arial" w:cs="Arial"/>
          <w:u w:val="single"/>
        </w:rPr>
      </w:pPr>
    </w:p>
    <w:p w:rsidR="00704AC5" w:rsidRPr="00B05A9E" w:rsidRDefault="00B05A9E" w:rsidP="00651A3B">
      <w:pPr>
        <w:jc w:val="both"/>
        <w:rPr>
          <w:rFonts w:ascii="Arial" w:hAnsi="Arial" w:cs="Arial"/>
          <w:u w:val="single"/>
        </w:rPr>
      </w:pPr>
      <w:r>
        <w:rPr>
          <w:rFonts w:ascii="Arial" w:hAnsi="Arial" w:cs="Arial"/>
          <w:u w:val="single"/>
        </w:rPr>
        <w:t>Consultation</w:t>
      </w:r>
    </w:p>
    <w:p w:rsidR="00C20E29" w:rsidRDefault="00C20E29" w:rsidP="00651A3B">
      <w:pPr>
        <w:jc w:val="both"/>
        <w:rPr>
          <w:rFonts w:ascii="Arial" w:hAnsi="Arial" w:cs="Arial"/>
        </w:rPr>
      </w:pPr>
    </w:p>
    <w:p w:rsidR="006441E7" w:rsidRPr="0012618D" w:rsidRDefault="006441E7" w:rsidP="00651A3B">
      <w:pPr>
        <w:jc w:val="both"/>
        <w:rPr>
          <w:rFonts w:ascii="Arial" w:hAnsi="Arial" w:cs="Arial"/>
        </w:rPr>
      </w:pPr>
      <w:r w:rsidRPr="0012618D">
        <w:rPr>
          <w:rFonts w:ascii="Arial" w:hAnsi="Arial" w:cs="Arial"/>
        </w:rPr>
        <w:t>Consultations on the changes have taken place with relevant professional organisations</w:t>
      </w:r>
      <w:r w:rsidR="00B05A9E">
        <w:rPr>
          <w:rFonts w:ascii="Arial" w:hAnsi="Arial" w:cs="Arial"/>
        </w:rPr>
        <w:t xml:space="preserve"> and the Special Co</w:t>
      </w:r>
      <w:r w:rsidR="004C056A">
        <w:rPr>
          <w:rFonts w:ascii="Arial" w:hAnsi="Arial" w:cs="Arial"/>
        </w:rPr>
        <w:t xml:space="preserve">mmittee </w:t>
      </w:r>
      <w:r w:rsidR="00B05A9E">
        <w:rPr>
          <w:rFonts w:ascii="Arial" w:hAnsi="Arial" w:cs="Arial"/>
        </w:rPr>
        <w:t>of Solicitors-General</w:t>
      </w:r>
      <w:r w:rsidRPr="0012618D">
        <w:rPr>
          <w:rFonts w:ascii="Arial" w:hAnsi="Arial" w:cs="Arial"/>
        </w:rPr>
        <w:t>.</w:t>
      </w:r>
      <w:r w:rsidR="00C20E29">
        <w:rPr>
          <w:rFonts w:ascii="Arial" w:hAnsi="Arial" w:cs="Arial"/>
        </w:rPr>
        <w:t xml:space="preserve">  The Amendment Rules incorporate recommendations made by these bodies during the consultation process.</w:t>
      </w:r>
    </w:p>
    <w:p w:rsidR="00FE7BB8" w:rsidRDefault="00FE7BB8" w:rsidP="00FE7BB8">
      <w:pPr>
        <w:jc w:val="both"/>
        <w:rPr>
          <w:rFonts w:ascii="Arial" w:hAnsi="Arial" w:cs="Arial"/>
        </w:rPr>
      </w:pPr>
    </w:p>
    <w:p w:rsidR="00C20E29" w:rsidRPr="00C20E29" w:rsidRDefault="00C20E29" w:rsidP="00FE7BB8">
      <w:pPr>
        <w:jc w:val="both"/>
        <w:rPr>
          <w:rFonts w:ascii="Arial" w:hAnsi="Arial" w:cs="Arial"/>
          <w:u w:val="single"/>
        </w:rPr>
      </w:pPr>
      <w:r>
        <w:rPr>
          <w:rFonts w:ascii="Arial" w:hAnsi="Arial" w:cs="Arial"/>
          <w:u w:val="single"/>
        </w:rPr>
        <w:t>Statement of Comp</w:t>
      </w:r>
      <w:r w:rsidR="008B14BA">
        <w:rPr>
          <w:rFonts w:ascii="Arial" w:hAnsi="Arial" w:cs="Arial"/>
          <w:u w:val="single"/>
        </w:rPr>
        <w:t>ati</w:t>
      </w:r>
      <w:r>
        <w:rPr>
          <w:rFonts w:ascii="Arial" w:hAnsi="Arial" w:cs="Arial"/>
          <w:u w:val="single"/>
        </w:rPr>
        <w:t>bility</w:t>
      </w:r>
    </w:p>
    <w:p w:rsidR="00C20E29" w:rsidRDefault="00C20E29" w:rsidP="00FE7BB8">
      <w:pPr>
        <w:jc w:val="both"/>
        <w:rPr>
          <w:rFonts w:ascii="Arial" w:hAnsi="Arial" w:cs="Arial"/>
        </w:rPr>
      </w:pPr>
    </w:p>
    <w:p w:rsidR="00FE7BB8" w:rsidRPr="0012618D" w:rsidRDefault="00C20E29" w:rsidP="00FE7BB8">
      <w:pPr>
        <w:jc w:val="both"/>
        <w:rPr>
          <w:rFonts w:ascii="Arial" w:hAnsi="Arial" w:cs="Arial"/>
        </w:rPr>
      </w:pPr>
      <w:r>
        <w:rPr>
          <w:rFonts w:ascii="Arial" w:hAnsi="Arial" w:cs="Arial"/>
        </w:rPr>
        <w:t>S</w:t>
      </w:r>
      <w:r w:rsidR="00FE7BB8" w:rsidRPr="0012618D">
        <w:rPr>
          <w:rFonts w:ascii="Arial" w:hAnsi="Arial" w:cs="Arial"/>
        </w:rPr>
        <w:t xml:space="preserve">ection 9 of the </w:t>
      </w:r>
      <w:r w:rsidR="00FE7BB8" w:rsidRPr="0012618D">
        <w:rPr>
          <w:rFonts w:ascii="Arial" w:hAnsi="Arial" w:cs="Arial"/>
          <w:i/>
        </w:rPr>
        <w:t>Legislative Instruments Act</w:t>
      </w:r>
      <w:r w:rsidR="00FE7BB8" w:rsidRPr="0012618D">
        <w:rPr>
          <w:rFonts w:ascii="Arial" w:hAnsi="Arial" w:cs="Arial"/>
        </w:rPr>
        <w:t xml:space="preserve"> 2003 provides that Rules of</w:t>
      </w:r>
      <w:r w:rsidR="00FE7BB8" w:rsidRPr="0012618D">
        <w:rPr>
          <w:rFonts w:ascii="Arial" w:hAnsi="Arial" w:cs="Arial"/>
        </w:rPr>
        <w:br/>
        <w:t xml:space="preserve">Court made for the High Court are not legislative instruments for the purposes of that Act. The </w:t>
      </w:r>
      <w:r w:rsidR="00FE7BB8" w:rsidRPr="0012618D">
        <w:rPr>
          <w:rFonts w:ascii="Arial" w:hAnsi="Arial" w:cs="Arial"/>
          <w:i/>
        </w:rPr>
        <w:t>Human Rights (Parliamentary Scrutiny) Act</w:t>
      </w:r>
      <w:r w:rsidR="00FE7BB8" w:rsidRPr="0012618D">
        <w:rPr>
          <w:rFonts w:ascii="Arial" w:hAnsi="Arial" w:cs="Arial"/>
        </w:rPr>
        <w:t xml:space="preserve"> 2011 does not apply to any such Rules of Court and no statement of compatibility for the purposes of that latter Act is included in the Explanatory Statement.</w:t>
      </w:r>
    </w:p>
    <w:sectPr w:rsidR="00FE7BB8" w:rsidRPr="0012618D" w:rsidSect="004B6FC8">
      <w:headerReference w:type="even" r:id="rId9"/>
      <w:headerReference w:type="default" r:id="rId10"/>
      <w:headerReference w:type="first" r:id="rId11"/>
      <w:pgSz w:w="11909" w:h="16834" w:code="9"/>
      <w:pgMar w:top="1440" w:right="1800" w:bottom="1135" w:left="1800" w:header="426" w:footer="70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36B" w:rsidRDefault="0044136B">
      <w:r>
        <w:separator/>
      </w:r>
    </w:p>
  </w:endnote>
  <w:endnote w:type="continuationSeparator" w:id="0">
    <w:p w:rsidR="0044136B" w:rsidRDefault="00441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36B" w:rsidRDefault="0044136B">
      <w:r>
        <w:continuationSeparator/>
      </w:r>
    </w:p>
  </w:footnote>
  <w:footnote w:type="continuationSeparator" w:id="0">
    <w:p w:rsidR="0044136B" w:rsidRDefault="00441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479" w:rsidRDefault="00431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431479" w:rsidRDefault="00431479">
    <w:pPr>
      <w:pStyle w:val="Header"/>
      <w:rPr>
        <w:sz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479" w:rsidRDefault="00431479">
    <w:pPr>
      <w:pStyle w:val="Header"/>
      <w:pBdr>
        <w:bottom w:val="single" w:sz="4" w:space="1" w:color="auto"/>
      </w:pBdr>
      <w:tabs>
        <w:tab w:val="right" w:pos="3969"/>
        <w:tab w:val="right" w:pos="8222"/>
      </w:tabs>
      <w:jc w:val="left"/>
      <w:rPr>
        <w:rFonts w:ascii="Arial" w:hAnsi="Arial"/>
        <w:smallCaps/>
        <w:sz w:val="18"/>
      </w:rPr>
    </w:pPr>
    <w:r>
      <w:rPr>
        <w:rFonts w:ascii="Arial" w:hAnsi="Arial"/>
      </w:rPr>
      <w:object w:dxaOrig="7470" w:dyaOrig="5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23.6pt" o:ole="" fillcolor="window">
          <v:imagedata r:id="rId1" o:title=""/>
        </v:shape>
        <o:OLEObject Type="Embed" ProgID="PBrush" ShapeID="_x0000_i1025" DrawAspect="Content" ObjectID="_1472472774" r:id="rId2"/>
      </w:object>
    </w:r>
    <w:r>
      <w:rPr>
        <w:rFonts w:ascii="Arial" w:hAnsi="Arial"/>
        <w:smallCaps/>
      </w:rPr>
      <w:t xml:space="preserve"> </w:t>
    </w:r>
    <w:r>
      <w:rPr>
        <w:rFonts w:ascii="Arial" w:hAnsi="Arial"/>
        <w:smallCaps/>
        <w:sz w:val="18"/>
      </w:rPr>
      <w:t>High Court of Australia</w:t>
    </w:r>
    <w:r>
      <w:rPr>
        <w:rFonts w:ascii="Arial" w:hAnsi="Arial"/>
        <w:smallCaps/>
        <w:sz w:val="18"/>
      </w:rPr>
      <w:tab/>
    </w:r>
    <w:r>
      <w:rPr>
        <w:rFonts w:ascii="Arial" w:hAnsi="Arial"/>
        <w:smallCaps/>
        <w:sz w:val="18"/>
      </w:rPr>
      <w:tab/>
    </w:r>
    <w:r>
      <w:rPr>
        <w:rStyle w:val="PageNumber"/>
        <w:rFonts w:ascii="Arial" w:hAnsi="Arial"/>
        <w:sz w:val="18"/>
      </w:rPr>
      <w:fldChar w:fldCharType="begin"/>
    </w:r>
    <w:r>
      <w:rPr>
        <w:rStyle w:val="PageNumber"/>
        <w:rFonts w:ascii="Arial" w:hAnsi="Arial"/>
        <w:sz w:val="18"/>
      </w:rPr>
      <w:instrText xml:space="preserve"> PAGE </w:instrText>
    </w:r>
    <w:r>
      <w:rPr>
        <w:rStyle w:val="PageNumber"/>
        <w:rFonts w:ascii="Arial" w:hAnsi="Arial"/>
        <w:sz w:val="18"/>
      </w:rPr>
      <w:fldChar w:fldCharType="separate"/>
    </w:r>
    <w:r w:rsidR="004B6FC8">
      <w:rPr>
        <w:rStyle w:val="PageNumber"/>
        <w:rFonts w:ascii="Arial" w:hAnsi="Arial"/>
        <w:noProof/>
        <w:sz w:val="18"/>
      </w:rPr>
      <w:t>2</w:t>
    </w:r>
    <w:r>
      <w:rPr>
        <w:rStyle w:val="PageNumber"/>
        <w:rFonts w:ascii="Arial" w:hAnsi="Arial"/>
        <w:sz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479" w:rsidRDefault="00431479">
    <w:pPr>
      <w:jc w:val="center"/>
    </w:pPr>
    <w:r>
      <w:object w:dxaOrig="7470" w:dyaOrig="5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05pt;height:54.7pt" o:ole="">
          <v:imagedata r:id="rId1" o:title=""/>
        </v:shape>
        <o:OLEObject Type="Embed" ProgID="PBrush" ShapeID="_x0000_i1026" DrawAspect="Content" ObjectID="_1472472775" r:id="rId2"/>
      </w:object>
    </w:r>
  </w:p>
  <w:p w:rsidR="00431479" w:rsidRDefault="00431479">
    <w:pPr>
      <w:spacing w:before="200" w:after="200"/>
      <w:jc w:val="center"/>
      <w:rPr>
        <w:rFonts w:ascii="Arial" w:hAnsi="Arial"/>
        <w:spacing w:val="40"/>
        <w:sz w:val="28"/>
      </w:rPr>
    </w:pPr>
    <w:r>
      <w:rPr>
        <w:rFonts w:ascii="Arial" w:hAnsi="Arial"/>
        <w:spacing w:val="40"/>
        <w:sz w:val="28"/>
      </w:rPr>
      <w:t>HIGH COURT OF AUSTRALIA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E547C"/>
    <w:multiLevelType w:val="hybridMultilevel"/>
    <w:tmpl w:val="A8C89B6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54307955"/>
    <w:multiLevelType w:val="hybridMultilevel"/>
    <w:tmpl w:val="82161DDC"/>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290"/>
    <w:rsid w:val="0002419A"/>
    <w:rsid w:val="00047ADB"/>
    <w:rsid w:val="00054C03"/>
    <w:rsid w:val="000810B9"/>
    <w:rsid w:val="000C621D"/>
    <w:rsid w:val="000D7ED9"/>
    <w:rsid w:val="000F333B"/>
    <w:rsid w:val="001162D0"/>
    <w:rsid w:val="0012618D"/>
    <w:rsid w:val="00134D19"/>
    <w:rsid w:val="001351C4"/>
    <w:rsid w:val="0016015E"/>
    <w:rsid w:val="00165D8A"/>
    <w:rsid w:val="00197E2B"/>
    <w:rsid w:val="001A6453"/>
    <w:rsid w:val="001A7161"/>
    <w:rsid w:val="001B14EF"/>
    <w:rsid w:val="001D1A37"/>
    <w:rsid w:val="00205BED"/>
    <w:rsid w:val="00210007"/>
    <w:rsid w:val="00227494"/>
    <w:rsid w:val="00240819"/>
    <w:rsid w:val="002700D4"/>
    <w:rsid w:val="002F56B5"/>
    <w:rsid w:val="00315A92"/>
    <w:rsid w:val="00330751"/>
    <w:rsid w:val="003519D5"/>
    <w:rsid w:val="003B5379"/>
    <w:rsid w:val="004119C3"/>
    <w:rsid w:val="00426927"/>
    <w:rsid w:val="00431479"/>
    <w:rsid w:val="0044136B"/>
    <w:rsid w:val="00471CD9"/>
    <w:rsid w:val="004822BC"/>
    <w:rsid w:val="004B6FC8"/>
    <w:rsid w:val="004C056A"/>
    <w:rsid w:val="004F5A9A"/>
    <w:rsid w:val="00504FBC"/>
    <w:rsid w:val="00594290"/>
    <w:rsid w:val="005B7B52"/>
    <w:rsid w:val="005E7DFF"/>
    <w:rsid w:val="005F4CE2"/>
    <w:rsid w:val="006040D4"/>
    <w:rsid w:val="00610881"/>
    <w:rsid w:val="006441E7"/>
    <w:rsid w:val="00651A3B"/>
    <w:rsid w:val="00676A57"/>
    <w:rsid w:val="006A2AFB"/>
    <w:rsid w:val="006B5020"/>
    <w:rsid w:val="006C5746"/>
    <w:rsid w:val="00704AC5"/>
    <w:rsid w:val="0070688B"/>
    <w:rsid w:val="00753456"/>
    <w:rsid w:val="00785C4D"/>
    <w:rsid w:val="007A5EC9"/>
    <w:rsid w:val="007B3CC5"/>
    <w:rsid w:val="007B6A9C"/>
    <w:rsid w:val="007F2717"/>
    <w:rsid w:val="008030CE"/>
    <w:rsid w:val="008101DA"/>
    <w:rsid w:val="00822492"/>
    <w:rsid w:val="0084021B"/>
    <w:rsid w:val="008521AE"/>
    <w:rsid w:val="00884247"/>
    <w:rsid w:val="008B14BA"/>
    <w:rsid w:val="008F5A81"/>
    <w:rsid w:val="0092522F"/>
    <w:rsid w:val="0092697E"/>
    <w:rsid w:val="00966DB9"/>
    <w:rsid w:val="009679BE"/>
    <w:rsid w:val="009726D2"/>
    <w:rsid w:val="00A42C9D"/>
    <w:rsid w:val="00AE5227"/>
    <w:rsid w:val="00B05A9E"/>
    <w:rsid w:val="00B202B4"/>
    <w:rsid w:val="00B44CF4"/>
    <w:rsid w:val="00B47411"/>
    <w:rsid w:val="00B5218C"/>
    <w:rsid w:val="00B61889"/>
    <w:rsid w:val="00B95AB8"/>
    <w:rsid w:val="00BA1D54"/>
    <w:rsid w:val="00BA6917"/>
    <w:rsid w:val="00BA7CFF"/>
    <w:rsid w:val="00BD540C"/>
    <w:rsid w:val="00BF3F4D"/>
    <w:rsid w:val="00C02EE1"/>
    <w:rsid w:val="00C20E29"/>
    <w:rsid w:val="00C5039D"/>
    <w:rsid w:val="00C64A98"/>
    <w:rsid w:val="00C81706"/>
    <w:rsid w:val="00C81D9D"/>
    <w:rsid w:val="00C829E2"/>
    <w:rsid w:val="00CB579D"/>
    <w:rsid w:val="00CB7EFE"/>
    <w:rsid w:val="00CF0582"/>
    <w:rsid w:val="00D32302"/>
    <w:rsid w:val="00D35ABF"/>
    <w:rsid w:val="00D35E59"/>
    <w:rsid w:val="00D42570"/>
    <w:rsid w:val="00D9194B"/>
    <w:rsid w:val="00DB2A76"/>
    <w:rsid w:val="00DF0B29"/>
    <w:rsid w:val="00E108DC"/>
    <w:rsid w:val="00F71D1C"/>
    <w:rsid w:val="00F876CD"/>
    <w:rsid w:val="00F8787D"/>
    <w:rsid w:val="00F92652"/>
    <w:rsid w:val="00FE0354"/>
    <w:rsid w:val="00FE7B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GB"/>
    </w:rPr>
  </w:style>
  <w:style w:type="paragraph" w:styleId="Heading1">
    <w:name w:val="heading 1"/>
    <w:basedOn w:val="Normal"/>
    <w:next w:val="NoIndent"/>
    <w:qFormat/>
    <w:pPr>
      <w:keepNext/>
      <w:spacing w:before="240" w:after="60"/>
      <w:outlineLvl w:val="0"/>
    </w:pPr>
    <w:rPr>
      <w:b/>
      <w:sz w:val="28"/>
    </w:rPr>
  </w:style>
  <w:style w:type="paragraph" w:styleId="Heading2">
    <w:name w:val="heading 2"/>
    <w:basedOn w:val="Normal"/>
    <w:next w:val="NoIndent"/>
    <w:qFormat/>
    <w:pPr>
      <w:keepNext/>
      <w:spacing w:before="240" w:after="60"/>
      <w:outlineLvl w:val="1"/>
    </w:pPr>
    <w:rPr>
      <w:b/>
      <w:i/>
    </w:rPr>
  </w:style>
  <w:style w:type="paragraph" w:styleId="Heading3">
    <w:name w:val="heading 3"/>
    <w:basedOn w:val="Normal"/>
    <w:next w:val="NoIndent"/>
    <w:qFormat/>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BalloonText">
    <w:name w:val="Balloon Text"/>
    <w:basedOn w:val="Normal"/>
    <w:link w:val="BalloonTextChar"/>
    <w:uiPriority w:val="99"/>
    <w:semiHidden/>
    <w:unhideWhenUsed/>
    <w:rsid w:val="003519D5"/>
    <w:rPr>
      <w:rFonts w:ascii="Tahoma" w:hAnsi="Tahoma" w:cs="Tahoma"/>
      <w:sz w:val="16"/>
      <w:szCs w:val="16"/>
    </w:rPr>
  </w:style>
  <w:style w:type="character" w:customStyle="1" w:styleId="BalloonTextChar">
    <w:name w:val="Balloon Text Char"/>
    <w:link w:val="BalloonText"/>
    <w:uiPriority w:val="99"/>
    <w:semiHidden/>
    <w:rsid w:val="003519D5"/>
    <w:rPr>
      <w:rFonts w:ascii="Tahoma" w:hAnsi="Tahoma" w:cs="Tahoma"/>
      <w:sz w:val="16"/>
      <w:szCs w:val="16"/>
      <w:lang w:val="en-GB"/>
    </w:rPr>
  </w:style>
  <w:style w:type="paragraph" w:styleId="Header">
    <w:name w:val="header"/>
    <w:basedOn w:val="Normal"/>
    <w:pPr>
      <w:jc w:val="center"/>
    </w:pPr>
  </w:style>
  <w:style w:type="character" w:styleId="PageNumber">
    <w:name w:val="page number"/>
    <w:basedOn w:val="DefaultParagraphFont"/>
  </w:style>
  <w:style w:type="paragraph" w:customStyle="1" w:styleId="Bullet">
    <w:name w:val="Bullet"/>
    <w:basedOn w:val="Normal"/>
    <w:pPr>
      <w:ind w:left="566" w:hanging="283"/>
    </w:pPr>
  </w:style>
  <w:style w:type="paragraph" w:styleId="FootnoteText">
    <w:name w:val="footnote text"/>
    <w:basedOn w:val="Normal"/>
    <w:semiHidden/>
    <w:pPr>
      <w:ind w:firstLine="284"/>
    </w:pPr>
    <w:rPr>
      <w:lang w:val="en-AU"/>
    </w:rPr>
  </w:style>
  <w:style w:type="paragraph" w:customStyle="1" w:styleId="Quotation">
    <w:name w:val="Quotation"/>
    <w:basedOn w:val="Normal"/>
    <w:next w:val="NoIndent"/>
    <w:pPr>
      <w:spacing w:before="120" w:after="120"/>
      <w:ind w:left="567" w:right="510"/>
    </w:pPr>
    <w:rPr>
      <w:lang w:val="en-AU"/>
    </w:rPr>
  </w:style>
  <w:style w:type="paragraph" w:styleId="Footer">
    <w:name w:val="footer"/>
    <w:basedOn w:val="Normal"/>
    <w:link w:val="FooterChar"/>
    <w:uiPriority w:val="99"/>
    <w:pPr>
      <w:jc w:val="center"/>
    </w:pPr>
  </w:style>
  <w:style w:type="paragraph" w:customStyle="1" w:styleId="Indent">
    <w:name w:val="Indent"/>
    <w:basedOn w:val="Normal"/>
    <w:pPr>
      <w:ind w:firstLine="284"/>
    </w:pPr>
  </w:style>
  <w:style w:type="paragraph" w:customStyle="1" w:styleId="NoIndent">
    <w:name w:val="No Indent"/>
    <w:basedOn w:val="Normal"/>
    <w:next w:val="Indent"/>
  </w:style>
  <w:style w:type="paragraph" w:customStyle="1" w:styleId="NoBullet">
    <w:name w:val="No Bullet"/>
    <w:basedOn w:val="Bullet"/>
    <w:next w:val="Bullet"/>
    <w:pPr>
      <w:ind w:left="567" w:firstLine="0"/>
    </w:pPr>
  </w:style>
  <w:style w:type="character" w:customStyle="1" w:styleId="FooterChar">
    <w:name w:val="Footer Char"/>
    <w:link w:val="Footer"/>
    <w:uiPriority w:val="99"/>
    <w:rsid w:val="005B7B52"/>
    <w:rPr>
      <w:sz w:val="24"/>
      <w:lang w:val="en-GB"/>
    </w:rPr>
  </w:style>
  <w:style w:type="paragraph" w:styleId="NoSpacing">
    <w:name w:val="No Spacing"/>
    <w:uiPriority w:val="1"/>
    <w:qFormat/>
    <w:rsid w:val="009726D2"/>
    <w:pPr>
      <w:spacing w:line="276" w:lineRule="auto"/>
      <w:ind w:left="357"/>
    </w:pPr>
    <w:rPr>
      <w:rFonts w:ascii="Calibri" w:eastAsia="Calibri" w:hAnsi="Calibri"/>
      <w:sz w:val="22"/>
      <w:szCs w:val="22"/>
      <w:lang w:eastAsia="en-US"/>
    </w:rPr>
  </w:style>
  <w:style w:type="paragraph" w:styleId="ListParagraph">
    <w:name w:val="List Paragraph"/>
    <w:basedOn w:val="Normal"/>
    <w:uiPriority w:val="34"/>
    <w:qFormat/>
    <w:rsid w:val="009726D2"/>
    <w:pPr>
      <w:spacing w:line="276" w:lineRule="auto"/>
      <w:ind w:left="720"/>
      <w:contextualSpacing/>
    </w:pPr>
    <w:rPr>
      <w:rFonts w:ascii="Calibri" w:eastAsia="Calibri" w:hAnsi="Calibri"/>
      <w:sz w:val="22"/>
      <w:szCs w:val="22"/>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GB"/>
    </w:rPr>
  </w:style>
  <w:style w:type="paragraph" w:styleId="Heading1">
    <w:name w:val="heading 1"/>
    <w:basedOn w:val="Normal"/>
    <w:next w:val="NoIndent"/>
    <w:qFormat/>
    <w:pPr>
      <w:keepNext/>
      <w:spacing w:before="240" w:after="60"/>
      <w:outlineLvl w:val="0"/>
    </w:pPr>
    <w:rPr>
      <w:b/>
      <w:sz w:val="28"/>
    </w:rPr>
  </w:style>
  <w:style w:type="paragraph" w:styleId="Heading2">
    <w:name w:val="heading 2"/>
    <w:basedOn w:val="Normal"/>
    <w:next w:val="NoIndent"/>
    <w:qFormat/>
    <w:pPr>
      <w:keepNext/>
      <w:spacing w:before="240" w:after="60"/>
      <w:outlineLvl w:val="1"/>
    </w:pPr>
    <w:rPr>
      <w:b/>
      <w:i/>
    </w:rPr>
  </w:style>
  <w:style w:type="paragraph" w:styleId="Heading3">
    <w:name w:val="heading 3"/>
    <w:basedOn w:val="Normal"/>
    <w:next w:val="NoIndent"/>
    <w:qFormat/>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BalloonText">
    <w:name w:val="Balloon Text"/>
    <w:basedOn w:val="Normal"/>
    <w:link w:val="BalloonTextChar"/>
    <w:uiPriority w:val="99"/>
    <w:semiHidden/>
    <w:unhideWhenUsed/>
    <w:rsid w:val="003519D5"/>
    <w:rPr>
      <w:rFonts w:ascii="Tahoma" w:hAnsi="Tahoma" w:cs="Tahoma"/>
      <w:sz w:val="16"/>
      <w:szCs w:val="16"/>
    </w:rPr>
  </w:style>
  <w:style w:type="character" w:customStyle="1" w:styleId="BalloonTextChar">
    <w:name w:val="Balloon Text Char"/>
    <w:link w:val="BalloonText"/>
    <w:uiPriority w:val="99"/>
    <w:semiHidden/>
    <w:rsid w:val="003519D5"/>
    <w:rPr>
      <w:rFonts w:ascii="Tahoma" w:hAnsi="Tahoma" w:cs="Tahoma"/>
      <w:sz w:val="16"/>
      <w:szCs w:val="16"/>
      <w:lang w:val="en-GB"/>
    </w:rPr>
  </w:style>
  <w:style w:type="paragraph" w:styleId="Header">
    <w:name w:val="header"/>
    <w:basedOn w:val="Normal"/>
    <w:pPr>
      <w:jc w:val="center"/>
    </w:pPr>
  </w:style>
  <w:style w:type="character" w:styleId="PageNumber">
    <w:name w:val="page number"/>
    <w:basedOn w:val="DefaultParagraphFont"/>
  </w:style>
  <w:style w:type="paragraph" w:customStyle="1" w:styleId="Bullet">
    <w:name w:val="Bullet"/>
    <w:basedOn w:val="Normal"/>
    <w:pPr>
      <w:ind w:left="566" w:hanging="283"/>
    </w:pPr>
  </w:style>
  <w:style w:type="paragraph" w:styleId="FootnoteText">
    <w:name w:val="footnote text"/>
    <w:basedOn w:val="Normal"/>
    <w:semiHidden/>
    <w:pPr>
      <w:ind w:firstLine="284"/>
    </w:pPr>
    <w:rPr>
      <w:lang w:val="en-AU"/>
    </w:rPr>
  </w:style>
  <w:style w:type="paragraph" w:customStyle="1" w:styleId="Quotation">
    <w:name w:val="Quotation"/>
    <w:basedOn w:val="Normal"/>
    <w:next w:val="NoIndent"/>
    <w:pPr>
      <w:spacing w:before="120" w:after="120"/>
      <w:ind w:left="567" w:right="510"/>
    </w:pPr>
    <w:rPr>
      <w:lang w:val="en-AU"/>
    </w:rPr>
  </w:style>
  <w:style w:type="paragraph" w:styleId="Footer">
    <w:name w:val="footer"/>
    <w:basedOn w:val="Normal"/>
    <w:link w:val="FooterChar"/>
    <w:uiPriority w:val="99"/>
    <w:pPr>
      <w:jc w:val="center"/>
    </w:pPr>
  </w:style>
  <w:style w:type="paragraph" w:customStyle="1" w:styleId="Indent">
    <w:name w:val="Indent"/>
    <w:basedOn w:val="Normal"/>
    <w:pPr>
      <w:ind w:firstLine="284"/>
    </w:pPr>
  </w:style>
  <w:style w:type="paragraph" w:customStyle="1" w:styleId="NoIndent">
    <w:name w:val="No Indent"/>
    <w:basedOn w:val="Normal"/>
    <w:next w:val="Indent"/>
  </w:style>
  <w:style w:type="paragraph" w:customStyle="1" w:styleId="NoBullet">
    <w:name w:val="No Bullet"/>
    <w:basedOn w:val="Bullet"/>
    <w:next w:val="Bullet"/>
    <w:pPr>
      <w:ind w:left="567" w:firstLine="0"/>
    </w:pPr>
  </w:style>
  <w:style w:type="character" w:customStyle="1" w:styleId="FooterChar">
    <w:name w:val="Footer Char"/>
    <w:link w:val="Footer"/>
    <w:uiPriority w:val="99"/>
    <w:rsid w:val="005B7B52"/>
    <w:rPr>
      <w:sz w:val="24"/>
      <w:lang w:val="en-GB"/>
    </w:rPr>
  </w:style>
  <w:style w:type="paragraph" w:styleId="NoSpacing">
    <w:name w:val="No Spacing"/>
    <w:uiPriority w:val="1"/>
    <w:qFormat/>
    <w:rsid w:val="009726D2"/>
    <w:pPr>
      <w:spacing w:line="276" w:lineRule="auto"/>
      <w:ind w:left="357"/>
    </w:pPr>
    <w:rPr>
      <w:rFonts w:ascii="Calibri" w:eastAsia="Calibri" w:hAnsi="Calibri"/>
      <w:sz w:val="22"/>
      <w:szCs w:val="22"/>
      <w:lang w:eastAsia="en-US"/>
    </w:rPr>
  </w:style>
  <w:style w:type="paragraph" w:styleId="ListParagraph">
    <w:name w:val="List Paragraph"/>
    <w:basedOn w:val="Normal"/>
    <w:uiPriority w:val="34"/>
    <w:qFormat/>
    <w:rsid w:val="009726D2"/>
    <w:pPr>
      <w:spacing w:line="276" w:lineRule="auto"/>
      <w:ind w:left="720"/>
      <w:contextualSpacing/>
    </w:pPr>
    <w:rPr>
      <w:rFonts w:ascii="Calibri" w:eastAsia="Calibri" w:hAnsi="Calibri"/>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CA\Acting%20Senior%20Registrar%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C4587-63D2-40A6-B427-A73C4A1C3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Acting Senior Registrar Letterhead.dot</Template>
  <TotalTime>311</TotalTime>
  <Pages>1</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Letter from Senior Registrar</vt:lpstr>
    </vt:vector>
  </TitlesOfParts>
  <Company>High Court of Australia</Company>
  <LinksUpToDate>false</LinksUpToDate>
  <CharactersWithSpaces>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from Senior Registrar</dc:title>
  <dc:creator>HCA</dc:creator>
  <cp:lastModifiedBy>Administrator</cp:lastModifiedBy>
  <cp:revision>13</cp:revision>
  <cp:lastPrinted>2014-09-09T07:20:00Z</cp:lastPrinted>
  <dcterms:created xsi:type="dcterms:W3CDTF">2014-08-29T01:07:00Z</dcterms:created>
  <dcterms:modified xsi:type="dcterms:W3CDTF">2014-09-09T07:20:00Z</dcterms:modified>
</cp:coreProperties>
</file>