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D9E53" w14:textId="3CBB7C06" w:rsidR="00287170" w:rsidRPr="00254A2F" w:rsidRDefault="00F57DFE" w:rsidP="000B2A03">
      <w:r>
        <w:rPr>
          <w:noProof/>
          <w:lang w:eastAsia="en-AU"/>
        </w:rPr>
        <w:drawing>
          <wp:anchor distT="0" distB="0" distL="114300" distR="114300" simplePos="0" relativeHeight="251657728" behindDoc="0" locked="0" layoutInCell="1" allowOverlap="1" wp14:anchorId="6ACDA002" wp14:editId="165B042A">
            <wp:simplePos x="0" y="0"/>
            <wp:positionH relativeFrom="column">
              <wp:align>left</wp:align>
            </wp:positionH>
            <wp:positionV relativeFrom="paragraph">
              <wp:align>top</wp:align>
            </wp:positionV>
            <wp:extent cx="1415415" cy="1104265"/>
            <wp:effectExtent l="0" t="0" r="0" b="635"/>
            <wp:wrapSquare wrapText="bothSides"/>
            <wp:docPr id="3" name="Picture 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5415" cy="1104265"/>
                    </a:xfrm>
                    <a:prstGeom prst="rect">
                      <a:avLst/>
                    </a:prstGeom>
                    <a:noFill/>
                  </pic:spPr>
                </pic:pic>
              </a:graphicData>
            </a:graphic>
            <wp14:sizeRelH relativeFrom="page">
              <wp14:pctWidth>0</wp14:pctWidth>
            </wp14:sizeRelH>
            <wp14:sizeRelV relativeFrom="page">
              <wp14:pctHeight>0</wp14:pctHeight>
            </wp14:sizeRelV>
          </wp:anchor>
        </w:drawing>
      </w:r>
      <w:r w:rsidR="004B6601">
        <w:br w:type="textWrapping" w:clear="all"/>
      </w:r>
    </w:p>
    <w:p w14:paraId="6ACD9E54" w14:textId="77777777" w:rsidR="00287170" w:rsidRPr="00A3471C" w:rsidRDefault="00287170" w:rsidP="00A3471C">
      <w:pPr>
        <w:pStyle w:val="Title"/>
        <w:spacing w:before="480" w:after="0" w:line="240" w:lineRule="auto"/>
        <w:rPr>
          <w:rFonts w:eastAsia="Times New Roman"/>
          <w:noProof/>
        </w:rPr>
      </w:pPr>
      <w:r w:rsidRPr="00A3471C">
        <w:rPr>
          <w:rFonts w:eastAsia="Times New Roman"/>
          <w:noProof/>
        </w:rPr>
        <w:t>Radiocommunications (Compliance Labelling</w:t>
      </w:r>
      <w:r w:rsidR="00182A39" w:rsidRPr="00A3471C">
        <w:rPr>
          <w:rFonts w:eastAsia="Times New Roman"/>
          <w:noProof/>
        </w:rPr>
        <w:t xml:space="preserve"> – Devices</w:t>
      </w:r>
      <w:r w:rsidRPr="00A3471C">
        <w:rPr>
          <w:rFonts w:eastAsia="Times New Roman"/>
          <w:noProof/>
        </w:rPr>
        <w:t>) Notice</w:t>
      </w:r>
      <w:r w:rsidR="00254A2F" w:rsidRPr="00A3471C">
        <w:rPr>
          <w:rFonts w:eastAsia="Times New Roman"/>
          <w:noProof/>
        </w:rPr>
        <w:t> </w:t>
      </w:r>
      <w:r w:rsidRPr="00A3471C">
        <w:rPr>
          <w:rFonts w:eastAsia="Times New Roman"/>
          <w:noProof/>
        </w:rPr>
        <w:t>20</w:t>
      </w:r>
      <w:r w:rsidR="00E805A6" w:rsidRPr="00A3471C">
        <w:rPr>
          <w:rFonts w:eastAsia="Times New Roman"/>
          <w:noProof/>
        </w:rPr>
        <w:t>14</w:t>
      </w:r>
    </w:p>
    <w:p w14:paraId="019D5258" w14:textId="61107990" w:rsidR="00A3471C" w:rsidRDefault="00B40B11" w:rsidP="00A3471C">
      <w:pPr>
        <w:pBdr>
          <w:bottom w:val="single" w:sz="4" w:space="1" w:color="auto"/>
        </w:pBdr>
        <w:spacing w:before="240"/>
      </w:pPr>
      <w:r w:rsidRPr="00B40B11">
        <w:rPr>
          <w:i/>
          <w:sz w:val="28"/>
          <w:szCs w:val="28"/>
        </w:rPr>
        <w:t>Radiocommunications Act 1992</w:t>
      </w:r>
    </w:p>
    <w:p w14:paraId="6ACD9E58" w14:textId="0B6C9EB0" w:rsidR="009E7506" w:rsidRPr="0086722C" w:rsidRDefault="009E7506" w:rsidP="00A3471C">
      <w:pPr>
        <w:spacing w:before="240"/>
      </w:pPr>
      <w:r>
        <w:t xml:space="preserve">The AUSTRALIAN COMMUNICATIONS AND MEDIA AUTHORITY makes this </w:t>
      </w:r>
      <w:r w:rsidR="00FA7AD5">
        <w:t>Notice under subsection 182(1) </w:t>
      </w:r>
      <w:r>
        <w:t xml:space="preserve">of the </w:t>
      </w:r>
      <w:r w:rsidR="00FA7AD5">
        <w:rPr>
          <w:i/>
        </w:rPr>
        <w:t>Radio</w:t>
      </w:r>
      <w:r>
        <w:rPr>
          <w:i/>
        </w:rPr>
        <w:t>communications Act 199</w:t>
      </w:r>
      <w:r w:rsidR="00FA7AD5">
        <w:rPr>
          <w:i/>
        </w:rPr>
        <w:t>2</w:t>
      </w:r>
      <w:r>
        <w:t>.</w:t>
      </w:r>
    </w:p>
    <w:p w14:paraId="6ACD9E59" w14:textId="44AFCBC7" w:rsidR="009E7506" w:rsidRPr="006A15E3" w:rsidRDefault="009E7506" w:rsidP="009E7506">
      <w:pPr>
        <w:tabs>
          <w:tab w:val="left" w:pos="3119"/>
        </w:tabs>
        <w:spacing w:before="300" w:after="600" w:line="300" w:lineRule="atLeast"/>
        <w:rPr>
          <w:i/>
        </w:rPr>
      </w:pPr>
      <w:bookmarkStart w:id="0" w:name="Year"/>
      <w:r>
        <w:t xml:space="preserve">Dated             </w:t>
      </w:r>
      <w:r w:rsidRPr="006A15E3">
        <w:rPr>
          <w:i/>
        </w:rPr>
        <w:t xml:space="preserve"> </w:t>
      </w:r>
      <w:bookmarkEnd w:id="0"/>
      <w:r w:rsidR="00B51592" w:rsidRPr="006A15E3">
        <w:rPr>
          <w:i/>
        </w:rPr>
        <w:t>9</w:t>
      </w:r>
      <w:r w:rsidR="00B51592" w:rsidRPr="006A15E3">
        <w:rPr>
          <w:i/>
          <w:vertAlign w:val="superscript"/>
        </w:rPr>
        <w:t>th</w:t>
      </w:r>
      <w:r w:rsidR="00B51592" w:rsidRPr="006A15E3">
        <w:rPr>
          <w:i/>
        </w:rPr>
        <w:t xml:space="preserve"> September 2014</w:t>
      </w:r>
    </w:p>
    <w:p w14:paraId="6ACD9E5A" w14:textId="272979AB" w:rsidR="009E7506" w:rsidRDefault="009E7506" w:rsidP="009E7506">
      <w:pPr>
        <w:tabs>
          <w:tab w:val="left" w:pos="3119"/>
        </w:tabs>
        <w:spacing w:before="300" w:after="600" w:line="300" w:lineRule="atLeast"/>
        <w:jc w:val="right"/>
      </w:pPr>
      <w:r>
        <w:br/>
      </w:r>
      <w:r w:rsidR="00B51592" w:rsidRPr="006A15E3">
        <w:rPr>
          <w:i/>
        </w:rPr>
        <w:t>Chris Chapman</w:t>
      </w:r>
      <w:r w:rsidR="00B51592">
        <w:t xml:space="preserve"> [signed] </w:t>
      </w:r>
      <w:r>
        <w:t>Member</w:t>
      </w:r>
      <w:bookmarkStart w:id="1" w:name="Minister"/>
    </w:p>
    <w:p w14:paraId="6ACD9E5C" w14:textId="77463019" w:rsidR="009E7506" w:rsidRDefault="009E7506" w:rsidP="006A15E3">
      <w:pPr>
        <w:tabs>
          <w:tab w:val="left" w:pos="3119"/>
        </w:tabs>
        <w:spacing w:before="300" w:line="300" w:lineRule="atLeast"/>
        <w:jc w:val="right"/>
      </w:pPr>
      <w:r>
        <w:br/>
      </w:r>
      <w:r>
        <w:br/>
      </w:r>
      <w:r w:rsidR="00B51592" w:rsidRPr="006A15E3">
        <w:rPr>
          <w:i/>
        </w:rPr>
        <w:t>Richard Bean</w:t>
      </w:r>
      <w:r w:rsidR="00B51592">
        <w:t xml:space="preserve"> </w:t>
      </w:r>
      <w:r w:rsidR="00B51592">
        <w:br/>
        <w:t>[signed</w:t>
      </w:r>
      <w:proofErr w:type="gramStart"/>
      <w:r w:rsidR="00B51592">
        <w:t>]</w:t>
      </w:r>
      <w:proofErr w:type="gramEnd"/>
      <w:r w:rsidR="006A15E3">
        <w:br/>
      </w:r>
      <w:r w:rsidRPr="006A15E3">
        <w:t>Member</w:t>
      </w:r>
      <w:r>
        <w:t xml:space="preserve"> / </w:t>
      </w:r>
      <w:r w:rsidRPr="006A15E3">
        <w:rPr>
          <w:strike/>
        </w:rPr>
        <w:t>General Manager</w:t>
      </w:r>
    </w:p>
    <w:p w14:paraId="53B30ECA" w14:textId="77777777" w:rsidR="006A15E3" w:rsidRPr="008018B8" w:rsidRDefault="006A15E3" w:rsidP="00B51592">
      <w:pPr>
        <w:tabs>
          <w:tab w:val="left" w:pos="3119"/>
        </w:tabs>
        <w:spacing w:before="240" w:line="300" w:lineRule="atLeast"/>
        <w:jc w:val="right"/>
      </w:pPr>
    </w:p>
    <w:bookmarkEnd w:id="1"/>
    <w:p w14:paraId="6ACD9E5D" w14:textId="7DC8952A" w:rsidR="00287170" w:rsidRDefault="009E7506" w:rsidP="000B2A03">
      <w:r>
        <w:t>Australian Communications and Media Authority</w:t>
      </w:r>
    </w:p>
    <w:p w14:paraId="04745409" w14:textId="77777777" w:rsidR="00A3471C" w:rsidRDefault="00A3471C" w:rsidP="00A3471C">
      <w:pPr>
        <w:pBdr>
          <w:top w:val="single" w:sz="4" w:space="1" w:color="auto"/>
        </w:pBdr>
      </w:pPr>
    </w:p>
    <w:p w14:paraId="0033A32B" w14:textId="77777777" w:rsidR="00A3471C" w:rsidRDefault="00A3471C" w:rsidP="00A3471C">
      <w:pPr>
        <w:pBdr>
          <w:top w:val="single" w:sz="4" w:space="1" w:color="auto"/>
        </w:pBdr>
        <w:sectPr w:rsidR="00A3471C" w:rsidSect="00A3471C">
          <w:headerReference w:type="even" r:id="rId14"/>
          <w:footerReference w:type="even" r:id="rId15"/>
          <w:headerReference w:type="first" r:id="rId16"/>
          <w:footerReference w:type="first" r:id="rId17"/>
          <w:pgSz w:w="11907" w:h="16839" w:code="9"/>
          <w:pgMar w:top="2312" w:right="1797" w:bottom="1440" w:left="1797" w:header="720" w:footer="709" w:gutter="0"/>
          <w:pgNumType w:start="1"/>
          <w:cols w:space="708"/>
          <w:docGrid w:linePitch="360"/>
        </w:sectPr>
      </w:pPr>
    </w:p>
    <w:p w14:paraId="130F596E" w14:textId="4EE69D76" w:rsidR="00A3471C" w:rsidRPr="00254A2F" w:rsidRDefault="00A3471C" w:rsidP="00A3471C"/>
    <w:p w14:paraId="6ACD9E5E" w14:textId="6183624B" w:rsidR="004B6601" w:rsidRDefault="004B6601">
      <w:pPr>
        <w:spacing w:line="240" w:lineRule="auto"/>
        <w:rPr>
          <w:b/>
          <w:sz w:val="28"/>
          <w:szCs w:val="28"/>
        </w:rPr>
      </w:pPr>
      <w:r>
        <w:rPr>
          <w:b/>
          <w:sz w:val="28"/>
          <w:szCs w:val="28"/>
        </w:rPr>
        <w:br w:type="page"/>
      </w:r>
      <w:bookmarkStart w:id="2" w:name="_GoBack"/>
      <w:bookmarkEnd w:id="2"/>
    </w:p>
    <w:p w14:paraId="6ACD9E5F" w14:textId="458146A8" w:rsidR="00B40B11" w:rsidRPr="00C25AB4" w:rsidRDefault="00287170" w:rsidP="00B40B11">
      <w:pPr>
        <w:pStyle w:val="ActHead2"/>
        <w:ind w:left="0" w:firstLine="0"/>
        <w:rPr>
          <w:rFonts w:ascii="Arial" w:hAnsi="Arial" w:cs="Arial"/>
        </w:rPr>
      </w:pPr>
      <w:bookmarkStart w:id="3" w:name="_Toc368055234"/>
      <w:r w:rsidRPr="00C25AB4">
        <w:rPr>
          <w:rStyle w:val="CharPartNo"/>
          <w:rFonts w:ascii="Arial" w:hAnsi="Arial" w:cs="Arial"/>
          <w:noProof/>
          <w:kern w:val="0"/>
          <w:szCs w:val="24"/>
          <w:lang w:eastAsia="en-US"/>
        </w:rPr>
        <w:lastRenderedPageBreak/>
        <w:t>Part</w:t>
      </w:r>
      <w:r w:rsidR="00254A2F" w:rsidRPr="00C25AB4">
        <w:rPr>
          <w:rStyle w:val="CharPartNo"/>
          <w:rFonts w:ascii="Arial" w:hAnsi="Arial" w:cs="Arial"/>
          <w:noProof/>
          <w:kern w:val="0"/>
          <w:szCs w:val="24"/>
          <w:lang w:eastAsia="en-US"/>
        </w:rPr>
        <w:t> </w:t>
      </w:r>
      <w:r w:rsidR="00342B79" w:rsidRPr="00C25AB4">
        <w:rPr>
          <w:rStyle w:val="CharPartNo"/>
          <w:rFonts w:ascii="Arial" w:hAnsi="Arial" w:cs="Arial"/>
          <w:noProof/>
          <w:kern w:val="0"/>
          <w:szCs w:val="24"/>
          <w:lang w:eastAsia="en-US"/>
        </w:rPr>
        <w:t>1</w:t>
      </w:r>
      <w:r w:rsidR="009E1FC6" w:rsidRPr="00C25AB4">
        <w:rPr>
          <w:rFonts w:ascii="Arial" w:hAnsi="Arial" w:cs="Arial"/>
        </w:rPr>
        <w:tab/>
      </w:r>
      <w:r w:rsidR="00342B79" w:rsidRPr="00C25AB4">
        <w:rPr>
          <w:rStyle w:val="CharPartText"/>
          <w:rFonts w:ascii="Arial" w:hAnsi="Arial" w:cs="Arial"/>
        </w:rPr>
        <w:t>Preliminary</w:t>
      </w:r>
      <w:bookmarkEnd w:id="3"/>
    </w:p>
    <w:p w14:paraId="6ACD9E60" w14:textId="77777777" w:rsidR="00342B79" w:rsidRPr="00254A2F" w:rsidRDefault="00342B79" w:rsidP="00342B79">
      <w:pPr>
        <w:pStyle w:val="Header"/>
      </w:pPr>
    </w:p>
    <w:p w14:paraId="6ACD9E61" w14:textId="77777777" w:rsidR="00342B79" w:rsidRPr="00254A2F" w:rsidRDefault="00342B79" w:rsidP="00287170">
      <w:pPr>
        <w:pStyle w:val="ActHead5"/>
        <w:rPr>
          <w:sz w:val="18"/>
        </w:rPr>
      </w:pPr>
      <w:bookmarkStart w:id="4" w:name="_Toc368055235"/>
      <w:proofErr w:type="gramStart"/>
      <w:r w:rsidRPr="00254A2F">
        <w:rPr>
          <w:rStyle w:val="CharSectno"/>
        </w:rPr>
        <w:t>1</w:t>
      </w:r>
      <w:r w:rsidR="008D742E">
        <w:rPr>
          <w:rStyle w:val="CharSectno"/>
        </w:rPr>
        <w:t xml:space="preserve"> </w:t>
      </w:r>
      <w:r w:rsidR="00A45C90">
        <w:rPr>
          <w:rStyle w:val="CharSectno"/>
        </w:rPr>
        <w:t xml:space="preserve"> </w:t>
      </w:r>
      <w:r w:rsidRPr="00254A2F">
        <w:t>Name</w:t>
      </w:r>
      <w:proofErr w:type="gramEnd"/>
      <w:r w:rsidRPr="00254A2F">
        <w:t xml:space="preserve"> of Notice</w:t>
      </w:r>
      <w:bookmarkEnd w:id="4"/>
    </w:p>
    <w:p w14:paraId="6ACD9E62" w14:textId="77777777" w:rsidR="00342B79" w:rsidRPr="00254A2F" w:rsidRDefault="00342B79" w:rsidP="00287170">
      <w:pPr>
        <w:pStyle w:val="subsection"/>
      </w:pPr>
      <w:r w:rsidRPr="00254A2F">
        <w:tab/>
      </w:r>
      <w:r w:rsidRPr="00254A2F">
        <w:tab/>
        <w:t xml:space="preserve">This Notice is the </w:t>
      </w:r>
      <w:r w:rsidR="00195D7F" w:rsidRPr="00254A2F">
        <w:rPr>
          <w:i/>
        </w:rPr>
        <w:t>Radiocommunications (Compliance Labelling</w:t>
      </w:r>
      <w:r w:rsidR="00182A39">
        <w:rPr>
          <w:i/>
        </w:rPr>
        <w:t xml:space="preserve"> – Devices</w:t>
      </w:r>
      <w:r w:rsidR="00195D7F" w:rsidRPr="00254A2F">
        <w:rPr>
          <w:i/>
        </w:rPr>
        <w:t>) Notice</w:t>
      </w:r>
      <w:r w:rsidR="00254A2F">
        <w:rPr>
          <w:i/>
        </w:rPr>
        <w:t> </w:t>
      </w:r>
      <w:r w:rsidR="00195D7F" w:rsidRPr="00254A2F">
        <w:rPr>
          <w:i/>
        </w:rPr>
        <w:t>20</w:t>
      </w:r>
      <w:r w:rsidR="00E805A6">
        <w:rPr>
          <w:i/>
        </w:rPr>
        <w:t>14</w:t>
      </w:r>
      <w:r w:rsidRPr="00254A2F">
        <w:t>.</w:t>
      </w:r>
    </w:p>
    <w:p w14:paraId="6ACD9E63" w14:textId="77777777" w:rsidR="00342B79" w:rsidRPr="00254A2F" w:rsidRDefault="00342B79" w:rsidP="00287170">
      <w:pPr>
        <w:pStyle w:val="ActHead5"/>
        <w:rPr>
          <w:sz w:val="18"/>
        </w:rPr>
      </w:pPr>
      <w:bookmarkStart w:id="5" w:name="_Toc368055236"/>
      <w:proofErr w:type="gramStart"/>
      <w:r w:rsidRPr="00254A2F">
        <w:rPr>
          <w:rStyle w:val="CharSectno"/>
        </w:rPr>
        <w:t>2</w:t>
      </w:r>
      <w:r w:rsidR="008D742E">
        <w:rPr>
          <w:rStyle w:val="CharSectno"/>
        </w:rPr>
        <w:t xml:space="preserve"> </w:t>
      </w:r>
      <w:r w:rsidR="00A45C90">
        <w:rPr>
          <w:rStyle w:val="CharSectno"/>
        </w:rPr>
        <w:t xml:space="preserve"> </w:t>
      </w:r>
      <w:r w:rsidRPr="00254A2F">
        <w:t>Commencement</w:t>
      </w:r>
      <w:bookmarkEnd w:id="5"/>
      <w:proofErr w:type="gramEnd"/>
    </w:p>
    <w:p w14:paraId="1AB9DE80" w14:textId="59842E14" w:rsidR="002172A3" w:rsidRDefault="00342B79" w:rsidP="00287170">
      <w:pPr>
        <w:pStyle w:val="subsection"/>
      </w:pPr>
      <w:r w:rsidRPr="00254A2F">
        <w:tab/>
      </w:r>
      <w:r w:rsidRPr="00254A2F">
        <w:tab/>
        <w:t>This Notice commences on</w:t>
      </w:r>
      <w:r w:rsidR="00E805A6">
        <w:t xml:space="preserve"> the </w:t>
      </w:r>
      <w:r w:rsidR="002172A3">
        <w:t>later of:</w:t>
      </w:r>
    </w:p>
    <w:p w14:paraId="3561FB11" w14:textId="77777777" w:rsidR="002172A3" w:rsidRDefault="002172A3" w:rsidP="002172A3">
      <w:pPr>
        <w:pStyle w:val="paragraph"/>
      </w:pPr>
      <w:r w:rsidRPr="002172A3">
        <w:tab/>
        <w:t>(a)</w:t>
      </w:r>
      <w:r w:rsidRPr="002172A3">
        <w:tab/>
      </w:r>
      <w:proofErr w:type="gramStart"/>
      <w:r>
        <w:t>the</w:t>
      </w:r>
      <w:proofErr w:type="gramEnd"/>
      <w:r>
        <w:t xml:space="preserve"> </w:t>
      </w:r>
      <w:r w:rsidR="00E805A6" w:rsidRPr="002172A3">
        <w:t>day after it is registered</w:t>
      </w:r>
      <w:r>
        <w:t>; or</w:t>
      </w:r>
    </w:p>
    <w:p w14:paraId="6ACD9E64" w14:textId="03916BCC" w:rsidR="00D238F4" w:rsidRPr="002172A3" w:rsidRDefault="002172A3" w:rsidP="002172A3">
      <w:pPr>
        <w:pStyle w:val="paragraph"/>
      </w:pPr>
      <w:r>
        <w:tab/>
        <w:t>(b)</w:t>
      </w:r>
      <w:r>
        <w:tab/>
      </w:r>
      <w:proofErr w:type="gramStart"/>
      <w:r>
        <w:t>the</w:t>
      </w:r>
      <w:proofErr w:type="gramEnd"/>
      <w:r>
        <w:t xml:space="preserve"> day on which it is published in the </w:t>
      </w:r>
      <w:r>
        <w:rPr>
          <w:i/>
        </w:rPr>
        <w:t>Gazette</w:t>
      </w:r>
      <w:r w:rsidR="00FA7AD5" w:rsidRPr="002172A3">
        <w:t>.</w:t>
      </w:r>
      <w:r w:rsidR="00D238F4" w:rsidRPr="002172A3">
        <w:t xml:space="preserve"> </w:t>
      </w:r>
    </w:p>
    <w:p w14:paraId="44234F5E" w14:textId="4FFF3BDA" w:rsidR="002172A3" w:rsidRPr="0026502E" w:rsidRDefault="00B40B11" w:rsidP="0026502E">
      <w:pPr>
        <w:pStyle w:val="notetext"/>
        <w:rPr>
          <w:iCs/>
        </w:rPr>
      </w:pPr>
      <w:r w:rsidRPr="0026502E">
        <w:rPr>
          <w:iCs/>
        </w:rPr>
        <w:t>Note</w:t>
      </w:r>
      <w:r w:rsidR="002172A3" w:rsidRPr="0026502E">
        <w:rPr>
          <w:iCs/>
        </w:rPr>
        <w:t xml:space="preserve"> 1</w:t>
      </w:r>
      <w:r w:rsidRPr="0026502E">
        <w:rPr>
          <w:iCs/>
        </w:rPr>
        <w:t>:</w:t>
      </w:r>
      <w:r w:rsidR="0026502E">
        <w:rPr>
          <w:iCs/>
        </w:rPr>
        <w:tab/>
      </w:r>
      <w:r w:rsidRPr="0026502E">
        <w:rPr>
          <w:iCs/>
        </w:rPr>
        <w:t xml:space="preserve">All legislative instruments and compilations are registered on the Federal Register of Legislative Instruments kept under the </w:t>
      </w:r>
      <w:r w:rsidRPr="001E3B32">
        <w:rPr>
          <w:i/>
          <w:iCs/>
        </w:rPr>
        <w:t>Legislative Instruments Act 2003</w:t>
      </w:r>
      <w:r w:rsidRPr="0026502E">
        <w:rPr>
          <w:iCs/>
        </w:rPr>
        <w:t xml:space="preserve">.  See </w:t>
      </w:r>
      <w:hyperlink r:id="rId18" w:history="1">
        <w:r w:rsidRPr="0026502E">
          <w:rPr>
            <w:iCs/>
          </w:rPr>
          <w:t>www.comlaw.gov.au</w:t>
        </w:r>
      </w:hyperlink>
      <w:r w:rsidR="002172A3" w:rsidRPr="0026502E">
        <w:rPr>
          <w:iCs/>
        </w:rPr>
        <w:t>.</w:t>
      </w:r>
    </w:p>
    <w:p w14:paraId="4482764B" w14:textId="7F133165" w:rsidR="002172A3" w:rsidRPr="0026502E" w:rsidRDefault="002172A3" w:rsidP="0026502E">
      <w:pPr>
        <w:pStyle w:val="notetext"/>
        <w:rPr>
          <w:iCs/>
        </w:rPr>
      </w:pPr>
      <w:r w:rsidRPr="0026502E">
        <w:rPr>
          <w:iCs/>
        </w:rPr>
        <w:t>Note 2:</w:t>
      </w:r>
      <w:r w:rsidR="0026502E">
        <w:rPr>
          <w:iCs/>
        </w:rPr>
        <w:tab/>
      </w:r>
      <w:r w:rsidRPr="0026502E">
        <w:rPr>
          <w:iCs/>
        </w:rPr>
        <w:t>Both (a) and (b) must occur for this Notice to commence</w:t>
      </w:r>
    </w:p>
    <w:p w14:paraId="6ACD9E66" w14:textId="77777777" w:rsidR="00342B79" w:rsidRPr="00254A2F" w:rsidRDefault="00342B79" w:rsidP="00287170">
      <w:pPr>
        <w:pStyle w:val="ActHead5"/>
      </w:pPr>
      <w:bookmarkStart w:id="6" w:name="_Toc368055237"/>
      <w:proofErr w:type="gramStart"/>
      <w:r w:rsidRPr="00254A2F">
        <w:rPr>
          <w:rStyle w:val="CharSectno"/>
        </w:rPr>
        <w:t>3</w:t>
      </w:r>
      <w:r w:rsidR="008D742E">
        <w:rPr>
          <w:rStyle w:val="CharSectno"/>
        </w:rPr>
        <w:t xml:space="preserve"> </w:t>
      </w:r>
      <w:r w:rsidR="00A45C90">
        <w:rPr>
          <w:rStyle w:val="CharSectno"/>
        </w:rPr>
        <w:t xml:space="preserve"> </w:t>
      </w:r>
      <w:r w:rsidRPr="00254A2F">
        <w:rPr>
          <w:i/>
        </w:rPr>
        <w:t>Radiocommunications</w:t>
      </w:r>
      <w:proofErr w:type="gramEnd"/>
      <w:r w:rsidRPr="00254A2F">
        <w:rPr>
          <w:i/>
        </w:rPr>
        <w:t xml:space="preserve"> Devices (Compliance Labelling) Notice</w:t>
      </w:r>
      <w:r w:rsidR="00254A2F">
        <w:rPr>
          <w:i/>
        </w:rPr>
        <w:t> </w:t>
      </w:r>
      <w:r w:rsidR="00E805A6">
        <w:rPr>
          <w:i/>
        </w:rPr>
        <w:t>2003</w:t>
      </w:r>
      <w:r w:rsidR="00287170" w:rsidRPr="00254A2F">
        <w:rPr>
          <w:i/>
        </w:rPr>
        <w:t>—</w:t>
      </w:r>
      <w:r w:rsidRPr="00254A2F">
        <w:t>revocation</w:t>
      </w:r>
      <w:bookmarkEnd w:id="6"/>
    </w:p>
    <w:p w14:paraId="6ACD9E67" w14:textId="0B33A6AA" w:rsidR="00342B79" w:rsidRPr="00254A2F" w:rsidRDefault="00342B79" w:rsidP="00287170">
      <w:pPr>
        <w:pStyle w:val="subsection"/>
      </w:pPr>
      <w:r w:rsidRPr="00254A2F">
        <w:tab/>
      </w:r>
      <w:r w:rsidRPr="00254A2F">
        <w:tab/>
        <w:t xml:space="preserve">The </w:t>
      </w:r>
      <w:r w:rsidRPr="00254A2F">
        <w:rPr>
          <w:i/>
        </w:rPr>
        <w:t>Radiocommunications Devices (Compliance Labelling) Notice</w:t>
      </w:r>
      <w:r w:rsidR="00254A2F">
        <w:rPr>
          <w:i/>
        </w:rPr>
        <w:t> </w:t>
      </w:r>
      <w:r w:rsidR="00E805A6">
        <w:rPr>
          <w:i/>
        </w:rPr>
        <w:t>2003</w:t>
      </w:r>
      <w:r w:rsidRPr="00254A2F">
        <w:t xml:space="preserve"> </w:t>
      </w:r>
      <w:r w:rsidR="00E55F03">
        <w:t xml:space="preserve">[F2005B00739] </w:t>
      </w:r>
      <w:r w:rsidRPr="00254A2F">
        <w:t>is revoked.</w:t>
      </w:r>
    </w:p>
    <w:p w14:paraId="6ACD9E68" w14:textId="77777777" w:rsidR="00342B79" w:rsidRPr="00254A2F" w:rsidRDefault="00342B79" w:rsidP="00287170">
      <w:pPr>
        <w:pStyle w:val="ActHead5"/>
      </w:pPr>
      <w:bookmarkStart w:id="7" w:name="_Toc368055238"/>
      <w:proofErr w:type="gramStart"/>
      <w:r w:rsidRPr="00254A2F">
        <w:rPr>
          <w:rStyle w:val="CharSectno"/>
        </w:rPr>
        <w:t>4</w:t>
      </w:r>
      <w:r w:rsidR="008D742E">
        <w:rPr>
          <w:rStyle w:val="CharSectno"/>
        </w:rPr>
        <w:t xml:space="preserve"> </w:t>
      </w:r>
      <w:r w:rsidR="00A45C90">
        <w:rPr>
          <w:rStyle w:val="CharSectno"/>
        </w:rPr>
        <w:t xml:space="preserve"> </w:t>
      </w:r>
      <w:r w:rsidRPr="00254A2F">
        <w:t>Definitions</w:t>
      </w:r>
      <w:bookmarkEnd w:id="7"/>
      <w:proofErr w:type="gramEnd"/>
    </w:p>
    <w:p w14:paraId="6ACD9E69" w14:textId="77777777" w:rsidR="00342B79" w:rsidRPr="00254A2F" w:rsidRDefault="00342B79" w:rsidP="00287170">
      <w:pPr>
        <w:pStyle w:val="subsection"/>
      </w:pPr>
      <w:r w:rsidRPr="00254A2F">
        <w:tab/>
        <w:t>(1)</w:t>
      </w:r>
      <w:r w:rsidRPr="00254A2F">
        <w:tab/>
        <w:t>In this Notice:</w:t>
      </w:r>
    </w:p>
    <w:p w14:paraId="6ACD9E6A" w14:textId="77777777" w:rsidR="00342B79" w:rsidRPr="00254A2F" w:rsidRDefault="00342B79" w:rsidP="00287170">
      <w:pPr>
        <w:pStyle w:val="Definition"/>
      </w:pPr>
      <w:proofErr w:type="gramStart"/>
      <w:r w:rsidRPr="00254A2F">
        <w:rPr>
          <w:b/>
          <w:bCs/>
          <w:i/>
          <w:iCs/>
        </w:rPr>
        <w:t>accredited</w:t>
      </w:r>
      <w:proofErr w:type="gramEnd"/>
      <w:r w:rsidRPr="00254A2F">
        <w:rPr>
          <w:b/>
          <w:bCs/>
          <w:i/>
          <w:iCs/>
        </w:rPr>
        <w:t xml:space="preserve"> testing body</w:t>
      </w:r>
      <w:r w:rsidRPr="00254A2F">
        <w:t xml:space="preserve"> means a laboratory that is accredited, for this Notice, by:</w:t>
      </w:r>
    </w:p>
    <w:p w14:paraId="6ACD9E6B" w14:textId="77777777" w:rsidR="00342B79" w:rsidRPr="00254A2F" w:rsidRDefault="00342B79" w:rsidP="00287170">
      <w:pPr>
        <w:pStyle w:val="paragraph"/>
      </w:pPr>
      <w:r w:rsidRPr="00254A2F">
        <w:tab/>
        <w:t>(a)</w:t>
      </w:r>
      <w:r w:rsidRPr="00254A2F">
        <w:tab/>
        <w:t>NATA; or</w:t>
      </w:r>
    </w:p>
    <w:p w14:paraId="6ACD9E6C" w14:textId="77777777" w:rsidR="00342B79" w:rsidRPr="00254A2F" w:rsidRDefault="00342B79" w:rsidP="00287170">
      <w:pPr>
        <w:pStyle w:val="paragraph"/>
      </w:pPr>
      <w:r w:rsidRPr="00254A2F">
        <w:tab/>
        <w:t>(b)</w:t>
      </w:r>
      <w:r w:rsidRPr="00254A2F">
        <w:tab/>
      </w:r>
      <w:proofErr w:type="gramStart"/>
      <w:r w:rsidRPr="00254A2F">
        <w:t>a</w:t>
      </w:r>
      <w:proofErr w:type="gramEnd"/>
      <w:r w:rsidRPr="00254A2F">
        <w:t xml:space="preserve"> body that:</w:t>
      </w:r>
    </w:p>
    <w:p w14:paraId="6ACD9E6D" w14:textId="77777777" w:rsidR="00342B79" w:rsidRPr="00254A2F" w:rsidRDefault="00342B79" w:rsidP="00287170">
      <w:pPr>
        <w:pStyle w:val="paragraphsub"/>
      </w:pPr>
      <w:r w:rsidRPr="00254A2F">
        <w:tab/>
        <w:t>(</w:t>
      </w:r>
      <w:proofErr w:type="spellStart"/>
      <w:r w:rsidRPr="00254A2F">
        <w:t>i</w:t>
      </w:r>
      <w:proofErr w:type="spellEnd"/>
      <w:r w:rsidRPr="00254A2F">
        <w:t>)</w:t>
      </w:r>
      <w:r w:rsidRPr="00254A2F">
        <w:tab/>
      </w:r>
      <w:proofErr w:type="gramStart"/>
      <w:r w:rsidRPr="00254A2F">
        <w:t>has</w:t>
      </w:r>
      <w:proofErr w:type="gramEnd"/>
      <w:r w:rsidRPr="00254A2F">
        <w:t xml:space="preserve"> entered into a mutual recognition agreement with NATA; or</w:t>
      </w:r>
    </w:p>
    <w:p w14:paraId="6ACD9E6E" w14:textId="7D2359E4" w:rsidR="00342B79" w:rsidRPr="00254A2F" w:rsidRDefault="00342B79" w:rsidP="00287170">
      <w:pPr>
        <w:pStyle w:val="paragraphsub"/>
      </w:pPr>
      <w:r w:rsidRPr="00254A2F">
        <w:tab/>
        <w:t>(ii)</w:t>
      </w:r>
      <w:r w:rsidRPr="00254A2F">
        <w:tab/>
        <w:t xml:space="preserve">has entered into a mutual recognition agreement under the </w:t>
      </w:r>
      <w:r w:rsidR="00312F61">
        <w:t>“</w:t>
      </w:r>
      <w:r w:rsidRPr="00312F61">
        <w:rPr>
          <w:i/>
        </w:rPr>
        <w:t xml:space="preserve">Agreement on Mutual Recognition </w:t>
      </w:r>
      <w:r w:rsidR="00312F61" w:rsidRPr="00312F61">
        <w:rPr>
          <w:i/>
        </w:rPr>
        <w:t>in relation to c</w:t>
      </w:r>
      <w:r w:rsidRPr="00312F61">
        <w:rPr>
          <w:i/>
        </w:rPr>
        <w:t xml:space="preserve">onformity </w:t>
      </w:r>
      <w:r w:rsidR="00312F61" w:rsidRPr="00312F61">
        <w:rPr>
          <w:i/>
        </w:rPr>
        <w:t>a</w:t>
      </w:r>
      <w:r w:rsidRPr="00312F61">
        <w:rPr>
          <w:i/>
        </w:rPr>
        <w:t>ssessment</w:t>
      </w:r>
      <w:r w:rsidR="00312F61" w:rsidRPr="00312F61">
        <w:rPr>
          <w:i/>
        </w:rPr>
        <w:t xml:space="preserve">, certificates and markings </w:t>
      </w:r>
      <w:r w:rsidRPr="00312F61">
        <w:rPr>
          <w:i/>
        </w:rPr>
        <w:t xml:space="preserve">between the European Community </w:t>
      </w:r>
      <w:r w:rsidR="00312F61" w:rsidRPr="00312F61">
        <w:rPr>
          <w:i/>
        </w:rPr>
        <w:t>and Australia – Final Act – Joint Declarations</w:t>
      </w:r>
      <w:r w:rsidR="00312F61">
        <w:t xml:space="preserve">” signed </w:t>
      </w:r>
      <w:r w:rsidRPr="00254A2F">
        <w:t>on 24</w:t>
      </w:r>
      <w:r w:rsidR="00254A2F">
        <w:t> </w:t>
      </w:r>
      <w:r w:rsidRPr="00254A2F">
        <w:t>June 1998, as in force from time to time; or</w:t>
      </w:r>
    </w:p>
    <w:p w14:paraId="6ACD9E6F" w14:textId="77777777" w:rsidR="00342B79" w:rsidRPr="00254A2F" w:rsidRDefault="00342B79" w:rsidP="00287170">
      <w:pPr>
        <w:pStyle w:val="paragraphsub"/>
      </w:pPr>
      <w:r w:rsidRPr="00254A2F">
        <w:tab/>
        <w:t>(iii)</w:t>
      </w:r>
      <w:r w:rsidRPr="00254A2F">
        <w:tab/>
      </w:r>
      <w:proofErr w:type="gramStart"/>
      <w:r w:rsidRPr="00254A2F">
        <w:t>has</w:t>
      </w:r>
      <w:proofErr w:type="gramEnd"/>
      <w:r w:rsidRPr="00254A2F">
        <w:t xml:space="preserve"> entered into a mutual recognition agreement under an agreement about mutual recognition on conformity assessment certification and marking made between Australia and a foreign country or the European Union.</w:t>
      </w:r>
    </w:p>
    <w:p w14:paraId="6ACD9E70" w14:textId="77777777" w:rsidR="00342B79" w:rsidRPr="00254A2F" w:rsidRDefault="00342B79" w:rsidP="00287170">
      <w:pPr>
        <w:pStyle w:val="Definition"/>
      </w:pPr>
      <w:r w:rsidRPr="00254A2F">
        <w:rPr>
          <w:b/>
          <w:i/>
        </w:rPr>
        <w:t>Act</w:t>
      </w:r>
      <w:r w:rsidRPr="00254A2F">
        <w:t xml:space="preserve"> means the </w:t>
      </w:r>
      <w:r w:rsidRPr="00254A2F">
        <w:rPr>
          <w:i/>
        </w:rPr>
        <w:t>Radiocommunications Act 1992</w:t>
      </w:r>
      <w:r w:rsidRPr="00254A2F">
        <w:t>.</w:t>
      </w:r>
    </w:p>
    <w:p w14:paraId="6ACD9E71" w14:textId="77777777" w:rsidR="00342B79" w:rsidRPr="00254A2F" w:rsidRDefault="00342B79" w:rsidP="00287170">
      <w:pPr>
        <w:pStyle w:val="Definition"/>
      </w:pPr>
      <w:proofErr w:type="gramStart"/>
      <w:r w:rsidRPr="00254A2F">
        <w:rPr>
          <w:b/>
          <w:bCs/>
          <w:i/>
          <w:iCs/>
        </w:rPr>
        <w:t>agent</w:t>
      </w:r>
      <w:proofErr w:type="gramEnd"/>
      <w:r w:rsidRPr="00254A2F">
        <w:t xml:space="preserve">, of a manufacturer or importer, means a person who is authorised in writing by the manufacturer or importer to act in Australia as an agent of the manufacturer or importer for </w:t>
      </w:r>
      <w:r w:rsidR="00287170" w:rsidRPr="00254A2F">
        <w:t>Division</w:t>
      </w:r>
      <w:r w:rsidR="00254A2F">
        <w:t> </w:t>
      </w:r>
      <w:r w:rsidRPr="00254A2F">
        <w:t xml:space="preserve">7 of </w:t>
      </w:r>
      <w:r w:rsidR="00287170" w:rsidRPr="00254A2F">
        <w:t>Part</w:t>
      </w:r>
      <w:r w:rsidR="00254A2F">
        <w:t> </w:t>
      </w:r>
      <w:r w:rsidRPr="00254A2F">
        <w:t>4.1 of the Act.</w:t>
      </w:r>
    </w:p>
    <w:p w14:paraId="6ACD9E72" w14:textId="77777777" w:rsidR="00342B79" w:rsidRPr="00254A2F" w:rsidRDefault="00342B79" w:rsidP="00287170">
      <w:pPr>
        <w:pStyle w:val="Definition"/>
      </w:pPr>
      <w:proofErr w:type="gramStart"/>
      <w:r w:rsidRPr="00254A2F">
        <w:rPr>
          <w:b/>
          <w:bCs/>
          <w:i/>
          <w:iCs/>
        </w:rPr>
        <w:t>applicable</w:t>
      </w:r>
      <w:proofErr w:type="gramEnd"/>
      <w:r w:rsidRPr="00254A2F">
        <w:rPr>
          <w:b/>
          <w:bCs/>
          <w:i/>
          <w:iCs/>
        </w:rPr>
        <w:t xml:space="preserve"> standard</w:t>
      </w:r>
      <w:r w:rsidRPr="00254A2F">
        <w:t xml:space="preserve">, for a device, means a standard mentioned in </w:t>
      </w:r>
      <w:r w:rsidR="00FF324D" w:rsidRPr="00254A2F">
        <w:t>Schedule</w:t>
      </w:r>
      <w:r w:rsidR="00254A2F">
        <w:t> </w:t>
      </w:r>
      <w:r w:rsidR="00FF324D" w:rsidRPr="00254A2F">
        <w:t>2</w:t>
      </w:r>
      <w:r w:rsidRPr="00254A2F">
        <w:t xml:space="preserve"> that applies to the device.</w:t>
      </w:r>
    </w:p>
    <w:p w14:paraId="6ACD9E73" w14:textId="77777777" w:rsidR="00342B79" w:rsidRPr="00254A2F" w:rsidRDefault="00287170" w:rsidP="00287170">
      <w:pPr>
        <w:pStyle w:val="notetext"/>
      </w:pPr>
      <w:r w:rsidRPr="00254A2F">
        <w:rPr>
          <w:iCs/>
        </w:rPr>
        <w:t>Note:</w:t>
      </w:r>
      <w:r w:rsidRPr="00254A2F">
        <w:rPr>
          <w:iCs/>
        </w:rPr>
        <w:tab/>
      </w:r>
      <w:r w:rsidR="00342B79" w:rsidRPr="00254A2F">
        <w:t>Standards are made under section</w:t>
      </w:r>
      <w:r w:rsidR="00254A2F">
        <w:t> </w:t>
      </w:r>
      <w:r w:rsidR="00342B79" w:rsidRPr="00254A2F">
        <w:t>162 of the Act.</w:t>
      </w:r>
    </w:p>
    <w:p w14:paraId="6ACD9E74" w14:textId="57CD03D4" w:rsidR="007E2493" w:rsidRPr="00254A2F" w:rsidRDefault="007E2493" w:rsidP="00287170">
      <w:pPr>
        <w:pStyle w:val="Definition"/>
      </w:pPr>
      <w:r w:rsidRPr="00254A2F">
        <w:rPr>
          <w:b/>
          <w:i/>
        </w:rPr>
        <w:lastRenderedPageBreak/>
        <w:t>AS/NZS 4417.1</w:t>
      </w:r>
      <w:r w:rsidRPr="00254A2F">
        <w:t xml:space="preserve"> means </w:t>
      </w:r>
      <w:r w:rsidR="00E55F03" w:rsidRPr="00E55F03">
        <w:rPr>
          <w:i/>
        </w:rPr>
        <w:t>AS/NZS 4417.1 Marking of electrical and electric products to indicate compliance with regulations</w:t>
      </w:r>
      <w:r w:rsidR="00422A73">
        <w:t xml:space="preserve"> </w:t>
      </w:r>
      <w:r w:rsidR="00422A73">
        <w:rPr>
          <w:i/>
        </w:rPr>
        <w:t xml:space="preserve">Part 1: General rules for use of the mark </w:t>
      </w:r>
      <w:r w:rsidR="00422A73" w:rsidRPr="00422A73">
        <w:t>published by Standards Australia, as in force or existing from time to time</w:t>
      </w:r>
      <w:r w:rsidR="00D238F4">
        <w:t xml:space="preserve">. </w:t>
      </w:r>
    </w:p>
    <w:p w14:paraId="6ACD9E75" w14:textId="77777777" w:rsidR="00342B79" w:rsidRPr="00254A2F" w:rsidRDefault="00342B79" w:rsidP="00287170">
      <w:pPr>
        <w:pStyle w:val="Definition"/>
      </w:pPr>
      <w:proofErr w:type="gramStart"/>
      <w:r w:rsidRPr="00254A2F">
        <w:rPr>
          <w:b/>
          <w:bCs/>
          <w:i/>
          <w:iCs/>
        </w:rPr>
        <w:t>authorised</w:t>
      </w:r>
      <w:proofErr w:type="gramEnd"/>
      <w:r w:rsidRPr="00254A2F">
        <w:rPr>
          <w:b/>
          <w:bCs/>
          <w:i/>
          <w:iCs/>
        </w:rPr>
        <w:t xml:space="preserve"> officer</w:t>
      </w:r>
      <w:r w:rsidRPr="00254A2F">
        <w:t xml:space="preserve"> means:</w:t>
      </w:r>
    </w:p>
    <w:p w14:paraId="6ACD9E76" w14:textId="77777777" w:rsidR="00342B79" w:rsidRPr="00254A2F" w:rsidRDefault="00342B79" w:rsidP="00287170">
      <w:pPr>
        <w:pStyle w:val="paragraph"/>
      </w:pPr>
      <w:r w:rsidRPr="00254A2F">
        <w:tab/>
        <w:t>(a)</w:t>
      </w:r>
      <w:r w:rsidRPr="00254A2F">
        <w:tab/>
      </w:r>
      <w:proofErr w:type="gramStart"/>
      <w:r w:rsidRPr="00254A2F">
        <w:t>an</w:t>
      </w:r>
      <w:proofErr w:type="gramEnd"/>
      <w:r w:rsidRPr="00254A2F">
        <w:t xml:space="preserve"> inspector under subsection</w:t>
      </w:r>
      <w:r w:rsidR="00254A2F">
        <w:t> </w:t>
      </w:r>
      <w:r w:rsidRPr="00254A2F">
        <w:t>267(1) of the Act; or</w:t>
      </w:r>
    </w:p>
    <w:p w14:paraId="6ACD9E77" w14:textId="2DA3BA99" w:rsidR="00342B79" w:rsidRPr="00254A2F" w:rsidRDefault="00342B79" w:rsidP="00287170">
      <w:pPr>
        <w:pStyle w:val="paragraph"/>
      </w:pPr>
      <w:r w:rsidRPr="00254A2F">
        <w:tab/>
        <w:t>(b)</w:t>
      </w:r>
      <w:r w:rsidRPr="00254A2F">
        <w:tab/>
      </w:r>
      <w:proofErr w:type="gramStart"/>
      <w:r w:rsidRPr="00254A2F">
        <w:t>a</w:t>
      </w:r>
      <w:proofErr w:type="gramEnd"/>
      <w:r w:rsidRPr="00254A2F">
        <w:t xml:space="preserve"> person authorised in writing by </w:t>
      </w:r>
      <w:r w:rsidR="00D238F4">
        <w:t xml:space="preserve">the </w:t>
      </w:r>
      <w:r w:rsidR="004B7A34" w:rsidRPr="00254A2F">
        <w:t>ACMA</w:t>
      </w:r>
      <w:r w:rsidRPr="00254A2F">
        <w:t xml:space="preserve"> for sections</w:t>
      </w:r>
      <w:r w:rsidR="00254A2F">
        <w:t> </w:t>
      </w:r>
      <w:r w:rsidRPr="00254A2F">
        <w:t>24</w:t>
      </w:r>
      <w:r w:rsidR="00130BC1">
        <w:t>,</w:t>
      </w:r>
      <w:r w:rsidRPr="00254A2F">
        <w:t xml:space="preserve"> 25</w:t>
      </w:r>
      <w:r w:rsidR="00130BC1">
        <w:t>, 29 and 30</w:t>
      </w:r>
      <w:r w:rsidRPr="00254A2F">
        <w:t>.</w:t>
      </w:r>
    </w:p>
    <w:p w14:paraId="6ACD9E78" w14:textId="77777777" w:rsidR="007E2493" w:rsidRPr="00254A2F" w:rsidRDefault="007E2493" w:rsidP="00287170">
      <w:pPr>
        <w:pStyle w:val="Definition"/>
      </w:pPr>
      <w:proofErr w:type="gramStart"/>
      <w:r w:rsidRPr="00254A2F">
        <w:rPr>
          <w:b/>
          <w:i/>
        </w:rPr>
        <w:t>built</w:t>
      </w:r>
      <w:r w:rsidR="00254A2F">
        <w:rPr>
          <w:b/>
          <w:i/>
        </w:rPr>
        <w:noBreakHyphen/>
      </w:r>
      <w:r w:rsidRPr="00254A2F">
        <w:rPr>
          <w:b/>
          <w:i/>
        </w:rPr>
        <w:t>in</w:t>
      </w:r>
      <w:proofErr w:type="gramEnd"/>
      <w:r w:rsidRPr="00254A2F">
        <w:rPr>
          <w:b/>
          <w:i/>
        </w:rPr>
        <w:t xml:space="preserve"> display</w:t>
      </w:r>
      <w:r w:rsidRPr="00254A2F">
        <w:t>, for a device, means an electronic display or screen integral to the device, and does not include a display or screen that can be used independently of the device.</w:t>
      </w:r>
    </w:p>
    <w:p w14:paraId="6ACD9E79" w14:textId="24C8CC5B" w:rsidR="003A0860" w:rsidRDefault="00D34188">
      <w:pPr>
        <w:pStyle w:val="ACMABodyText"/>
        <w:ind w:left="1134" w:firstLine="0"/>
        <w:jc w:val="both"/>
        <w:rPr>
          <w:i/>
          <w:sz w:val="22"/>
          <w:szCs w:val="22"/>
        </w:rPr>
      </w:pPr>
      <w:r w:rsidRPr="001A625D">
        <w:rPr>
          <w:b/>
          <w:i/>
          <w:sz w:val="22"/>
          <w:szCs w:val="22"/>
        </w:rPr>
        <w:t xml:space="preserve">Class Licence </w:t>
      </w:r>
      <w:r w:rsidRPr="001A625D">
        <w:rPr>
          <w:sz w:val="22"/>
          <w:szCs w:val="22"/>
        </w:rPr>
        <w:t>means the</w:t>
      </w:r>
      <w:r w:rsidRPr="001A625D">
        <w:rPr>
          <w:b/>
          <w:i/>
          <w:sz w:val="22"/>
          <w:szCs w:val="22"/>
        </w:rPr>
        <w:t xml:space="preserve"> </w:t>
      </w:r>
      <w:r w:rsidRPr="001A625D">
        <w:rPr>
          <w:i/>
          <w:sz w:val="22"/>
          <w:szCs w:val="22"/>
        </w:rPr>
        <w:t>Radiocommunications (Low Interference Potential Devices) Class Licence</w:t>
      </w:r>
      <w:r w:rsidR="001E686D">
        <w:rPr>
          <w:i/>
          <w:sz w:val="22"/>
          <w:szCs w:val="22"/>
        </w:rPr>
        <w:t xml:space="preserve"> 2000</w:t>
      </w:r>
      <w:r w:rsidRPr="001A625D">
        <w:rPr>
          <w:i/>
          <w:sz w:val="22"/>
          <w:szCs w:val="22"/>
        </w:rPr>
        <w:t xml:space="preserve"> </w:t>
      </w:r>
      <w:r w:rsidR="00B40B11" w:rsidRPr="00B40B11">
        <w:rPr>
          <w:sz w:val="22"/>
          <w:szCs w:val="22"/>
        </w:rPr>
        <w:t>as in force from time to time.</w:t>
      </w:r>
    </w:p>
    <w:p w14:paraId="6ACD9E7A" w14:textId="77777777" w:rsidR="003A0860" w:rsidRDefault="00217855">
      <w:pPr>
        <w:tabs>
          <w:tab w:val="left" w:pos="1134"/>
        </w:tabs>
        <w:spacing w:before="122" w:after="120" w:line="198" w:lineRule="atLeast"/>
        <w:ind w:left="1965" w:hanging="1245"/>
        <w:jc w:val="both"/>
        <w:rPr>
          <w:b/>
          <w:bCs/>
          <w:i/>
          <w:iCs/>
        </w:rPr>
      </w:pPr>
      <w:r>
        <w:rPr>
          <w:sz w:val="18"/>
          <w:szCs w:val="18"/>
        </w:rPr>
        <w:tab/>
      </w:r>
      <w:r w:rsidR="00D34188" w:rsidRPr="0013628A">
        <w:rPr>
          <w:sz w:val="18"/>
          <w:szCs w:val="18"/>
        </w:rPr>
        <w:t xml:space="preserve">Note: </w:t>
      </w:r>
      <w:r>
        <w:rPr>
          <w:sz w:val="18"/>
          <w:szCs w:val="18"/>
        </w:rPr>
        <w:tab/>
      </w:r>
      <w:r w:rsidR="00D34188" w:rsidRPr="0013628A">
        <w:rPr>
          <w:sz w:val="18"/>
          <w:szCs w:val="18"/>
        </w:rPr>
        <w:t xml:space="preserve">The </w:t>
      </w:r>
      <w:r w:rsidR="00D34188" w:rsidRPr="0013628A">
        <w:rPr>
          <w:i/>
          <w:sz w:val="18"/>
          <w:szCs w:val="18"/>
        </w:rPr>
        <w:t xml:space="preserve">Radiocommunications (Low Interference Potential Devices) Class Licence 2000 </w:t>
      </w:r>
      <w:r w:rsidR="00D34188" w:rsidRPr="0013628A">
        <w:rPr>
          <w:sz w:val="18"/>
          <w:szCs w:val="18"/>
        </w:rPr>
        <w:t xml:space="preserve">is registered on the Federal Register of Legislative Instruments kept under the </w:t>
      </w:r>
      <w:r w:rsidR="00D34188" w:rsidRPr="0013628A">
        <w:rPr>
          <w:i/>
          <w:sz w:val="18"/>
          <w:szCs w:val="18"/>
        </w:rPr>
        <w:t>Legislative Instruments Act 2003</w:t>
      </w:r>
      <w:r w:rsidR="00D34188" w:rsidRPr="0013628A">
        <w:rPr>
          <w:sz w:val="18"/>
          <w:szCs w:val="18"/>
        </w:rPr>
        <w:t xml:space="preserve">. See </w:t>
      </w:r>
      <w:hyperlink r:id="rId19" w:history="1">
        <w:r w:rsidR="00D34188" w:rsidRPr="0013628A">
          <w:rPr>
            <w:rStyle w:val="Hyperlink"/>
            <w:sz w:val="18"/>
            <w:szCs w:val="18"/>
          </w:rPr>
          <w:t>www.comlaw.gov.au</w:t>
        </w:r>
      </w:hyperlink>
      <w:r w:rsidR="00D34188" w:rsidRPr="0013628A">
        <w:rPr>
          <w:sz w:val="18"/>
          <w:szCs w:val="18"/>
        </w:rPr>
        <w:t xml:space="preserve">.  </w:t>
      </w:r>
    </w:p>
    <w:p w14:paraId="6ACD9E7B" w14:textId="77777777" w:rsidR="00342B79" w:rsidRPr="00254A2F" w:rsidRDefault="00342B79" w:rsidP="00287170">
      <w:pPr>
        <w:pStyle w:val="Definition"/>
      </w:pPr>
      <w:proofErr w:type="gramStart"/>
      <w:r w:rsidRPr="00254A2F">
        <w:rPr>
          <w:b/>
          <w:bCs/>
          <w:i/>
          <w:iCs/>
        </w:rPr>
        <w:t>compliance</w:t>
      </w:r>
      <w:proofErr w:type="gramEnd"/>
      <w:r w:rsidRPr="00254A2F">
        <w:rPr>
          <w:b/>
          <w:bCs/>
          <w:i/>
          <w:iCs/>
        </w:rPr>
        <w:t xml:space="preserve"> label</w:t>
      </w:r>
      <w:r w:rsidRPr="00254A2F">
        <w:t xml:space="preserve"> has the meaning given by subsection</w:t>
      </w:r>
      <w:r w:rsidR="00254A2F">
        <w:t> </w:t>
      </w:r>
      <w:r w:rsidRPr="00254A2F">
        <w:t>9(1).</w:t>
      </w:r>
    </w:p>
    <w:p w14:paraId="6ACD9E7C" w14:textId="560F2F39" w:rsidR="00342B79" w:rsidRPr="00254A2F" w:rsidRDefault="00287170" w:rsidP="00E87923">
      <w:pPr>
        <w:pStyle w:val="notetext"/>
      </w:pPr>
      <w:r w:rsidRPr="00254A2F">
        <w:rPr>
          <w:iCs/>
        </w:rPr>
        <w:t>Note:</w:t>
      </w:r>
      <w:r w:rsidRPr="00254A2F">
        <w:rPr>
          <w:iCs/>
        </w:rPr>
        <w:tab/>
      </w:r>
      <w:r w:rsidR="00342B79" w:rsidRPr="00254A2F">
        <w:t>Section</w:t>
      </w:r>
      <w:r w:rsidR="00254A2F">
        <w:t> </w:t>
      </w:r>
      <w:r w:rsidR="00342B79" w:rsidRPr="00254A2F">
        <w:t>6 extends some references to ‘compliance label’ in this Notice to include a compliance label under</w:t>
      </w:r>
      <w:r w:rsidR="001E3B32">
        <w:t xml:space="preserve"> </w:t>
      </w:r>
      <w:r w:rsidR="001E3B32" w:rsidRPr="00366501">
        <w:t xml:space="preserve">an instrument made under subsection 407(1) of the </w:t>
      </w:r>
      <w:r w:rsidR="001E3B32" w:rsidRPr="00366501">
        <w:rPr>
          <w:i/>
        </w:rPr>
        <w:t>Telecommunications Act 1997</w:t>
      </w:r>
      <w:r w:rsidR="00342B79" w:rsidRPr="00366501">
        <w:t>.</w:t>
      </w:r>
    </w:p>
    <w:p w14:paraId="6ACD9E7D" w14:textId="77777777" w:rsidR="00342B79" w:rsidRPr="00254A2F" w:rsidRDefault="00342B79" w:rsidP="00287170">
      <w:pPr>
        <w:pStyle w:val="Definition"/>
      </w:pPr>
      <w:proofErr w:type="gramStart"/>
      <w:r w:rsidRPr="00254A2F">
        <w:rPr>
          <w:b/>
          <w:bCs/>
          <w:i/>
          <w:iCs/>
        </w:rPr>
        <w:t>compliance</w:t>
      </w:r>
      <w:proofErr w:type="gramEnd"/>
      <w:r w:rsidRPr="00254A2F">
        <w:rPr>
          <w:b/>
          <w:bCs/>
          <w:i/>
          <w:iCs/>
        </w:rPr>
        <w:t xml:space="preserve"> mark</w:t>
      </w:r>
      <w:r w:rsidRPr="00254A2F">
        <w:t xml:space="preserve"> means the C</w:t>
      </w:r>
      <w:r w:rsidR="00254A2F">
        <w:noBreakHyphen/>
      </w:r>
      <w:r w:rsidRPr="00254A2F">
        <w:t>Tick mark or the RCM.</w:t>
      </w:r>
    </w:p>
    <w:p w14:paraId="6ACD9E7E" w14:textId="77777777" w:rsidR="00342B79" w:rsidRPr="00254A2F" w:rsidRDefault="00342B79" w:rsidP="00287170">
      <w:pPr>
        <w:pStyle w:val="Definition"/>
      </w:pPr>
      <w:proofErr w:type="gramStart"/>
      <w:r w:rsidRPr="00254A2F">
        <w:rPr>
          <w:b/>
          <w:bCs/>
          <w:i/>
          <w:iCs/>
        </w:rPr>
        <w:t>compliance</w:t>
      </w:r>
      <w:proofErr w:type="gramEnd"/>
      <w:r w:rsidRPr="00254A2F">
        <w:rPr>
          <w:b/>
          <w:bCs/>
          <w:i/>
          <w:iCs/>
        </w:rPr>
        <w:t xml:space="preserve"> record </w:t>
      </w:r>
      <w:r w:rsidRPr="00254A2F">
        <w:t>has the meaning given by subsection</w:t>
      </w:r>
      <w:r w:rsidR="00254A2F">
        <w:t> </w:t>
      </w:r>
      <w:r w:rsidRPr="00254A2F">
        <w:t>19(1).</w:t>
      </w:r>
    </w:p>
    <w:p w14:paraId="6ACD9E7F" w14:textId="77777777" w:rsidR="00342B79" w:rsidRPr="00254A2F" w:rsidRDefault="00342B79" w:rsidP="00287170">
      <w:pPr>
        <w:pStyle w:val="Definition"/>
      </w:pPr>
      <w:r w:rsidRPr="00254A2F">
        <w:rPr>
          <w:b/>
          <w:bCs/>
          <w:i/>
          <w:iCs/>
        </w:rPr>
        <w:t>C</w:t>
      </w:r>
      <w:r w:rsidR="00254A2F">
        <w:rPr>
          <w:b/>
          <w:bCs/>
          <w:i/>
          <w:iCs/>
        </w:rPr>
        <w:noBreakHyphen/>
      </w:r>
      <w:r w:rsidRPr="00254A2F">
        <w:rPr>
          <w:b/>
          <w:bCs/>
          <w:i/>
          <w:iCs/>
        </w:rPr>
        <w:t>Tick mark</w:t>
      </w:r>
      <w:r w:rsidRPr="00254A2F">
        <w:t xml:space="preserve"> means the mark set out in Part</w:t>
      </w:r>
      <w:r w:rsidR="00254A2F">
        <w:t> </w:t>
      </w:r>
      <w:r w:rsidRPr="00254A2F">
        <w:t xml:space="preserve">1 of </w:t>
      </w:r>
      <w:r w:rsidR="00287170" w:rsidRPr="00254A2F">
        <w:t>Schedule</w:t>
      </w:r>
      <w:r w:rsidR="00254A2F">
        <w:t> </w:t>
      </w:r>
      <w:r w:rsidRPr="00254A2F">
        <w:t>1.</w:t>
      </w:r>
    </w:p>
    <w:p w14:paraId="6ACD9E80" w14:textId="77777777" w:rsidR="007E2493" w:rsidRPr="00254A2F" w:rsidRDefault="007E2493" w:rsidP="00287170">
      <w:pPr>
        <w:pStyle w:val="Definition"/>
      </w:pPr>
      <w:proofErr w:type="gramStart"/>
      <w:r w:rsidRPr="00254A2F">
        <w:rPr>
          <w:b/>
          <w:i/>
        </w:rPr>
        <w:t>declaration</w:t>
      </w:r>
      <w:proofErr w:type="gramEnd"/>
      <w:r w:rsidRPr="00254A2F">
        <w:rPr>
          <w:b/>
          <w:i/>
        </w:rPr>
        <w:t xml:space="preserve"> of conformity</w:t>
      </w:r>
      <w:r w:rsidRPr="00254A2F">
        <w:t xml:space="preserve"> means a declaration that:</w:t>
      </w:r>
    </w:p>
    <w:p w14:paraId="6ACD9E81" w14:textId="77777777" w:rsidR="007E2493" w:rsidRPr="00254A2F" w:rsidRDefault="007E2493" w:rsidP="00287170">
      <w:pPr>
        <w:pStyle w:val="paragraph"/>
      </w:pPr>
      <w:r w:rsidRPr="00254A2F">
        <w:tab/>
        <w:t>(a)</w:t>
      </w:r>
      <w:r w:rsidRPr="00254A2F">
        <w:tab/>
      </w:r>
      <w:proofErr w:type="gramStart"/>
      <w:r w:rsidRPr="00254A2F">
        <w:t>is</w:t>
      </w:r>
      <w:proofErr w:type="gramEnd"/>
      <w:r w:rsidRPr="00254A2F">
        <w:t xml:space="preserve"> in a form approved by the ACMA; or</w:t>
      </w:r>
    </w:p>
    <w:p w14:paraId="6ACD9E82" w14:textId="77777777" w:rsidR="007E2493" w:rsidRPr="00254A2F" w:rsidRDefault="007E2493" w:rsidP="00287170">
      <w:pPr>
        <w:pStyle w:val="paragraph"/>
      </w:pPr>
      <w:r w:rsidRPr="00254A2F">
        <w:tab/>
        <w:t>(b)</w:t>
      </w:r>
      <w:r w:rsidRPr="00254A2F">
        <w:tab/>
      </w:r>
      <w:proofErr w:type="gramStart"/>
      <w:r w:rsidRPr="00254A2F">
        <w:t>contains</w:t>
      </w:r>
      <w:proofErr w:type="gramEnd"/>
      <w:r w:rsidRPr="00254A2F">
        <w:t xml:space="preserve"> the information required in that approved form, whether or not the declaration is accompanied by other material.</w:t>
      </w:r>
    </w:p>
    <w:p w14:paraId="6ACD9E83" w14:textId="45C7F4D7" w:rsidR="007E2493" w:rsidRPr="00254A2F" w:rsidRDefault="00287170" w:rsidP="00287170">
      <w:pPr>
        <w:pStyle w:val="notetext"/>
      </w:pPr>
      <w:r w:rsidRPr="00254A2F">
        <w:t>Note:</w:t>
      </w:r>
      <w:r w:rsidRPr="00254A2F">
        <w:tab/>
      </w:r>
      <w:r w:rsidR="007E2493" w:rsidRPr="00254A2F">
        <w:t xml:space="preserve">The ACMA makes approved forms available on its website at </w:t>
      </w:r>
      <w:r w:rsidR="00680C57" w:rsidRPr="00680C57">
        <w:rPr>
          <w:u w:val="single"/>
        </w:rPr>
        <w:t>www.acma.gov.au/Industry/Suppliers/Supplier-resources/Supplier-overview/equipment-compliance-forms</w:t>
      </w:r>
      <w:r w:rsidR="007E2493" w:rsidRPr="00254A2F">
        <w:rPr>
          <w:u w:val="single"/>
        </w:rPr>
        <w:t>www.acma.gov.au/complianceforms</w:t>
      </w:r>
      <w:r w:rsidR="007E2493" w:rsidRPr="00254A2F">
        <w:t>.</w:t>
      </w:r>
    </w:p>
    <w:p w14:paraId="6ACD9E84" w14:textId="77777777" w:rsidR="00342B79" w:rsidRPr="00254A2F" w:rsidRDefault="00342B79" w:rsidP="00287170">
      <w:pPr>
        <w:pStyle w:val="Definition"/>
      </w:pPr>
      <w:proofErr w:type="gramStart"/>
      <w:r w:rsidRPr="00254A2F">
        <w:rPr>
          <w:b/>
          <w:bCs/>
          <w:i/>
          <w:iCs/>
        </w:rPr>
        <w:t>description</w:t>
      </w:r>
      <w:proofErr w:type="gramEnd"/>
      <w:r w:rsidRPr="00254A2F">
        <w:rPr>
          <w:b/>
          <w:bCs/>
          <w:i/>
          <w:iCs/>
        </w:rPr>
        <w:t xml:space="preserve"> of the device</w:t>
      </w:r>
      <w:r w:rsidRPr="00254A2F">
        <w:t xml:space="preserve"> means sufficient information for a person to determine whether the device is the same as a device for which a declaration of conformity was prepared.</w:t>
      </w:r>
    </w:p>
    <w:p w14:paraId="6ACD9E85" w14:textId="77777777" w:rsidR="00342B79" w:rsidRPr="00254A2F" w:rsidRDefault="00287170" w:rsidP="00287170">
      <w:pPr>
        <w:pStyle w:val="notetext"/>
      </w:pPr>
      <w:r w:rsidRPr="00254A2F">
        <w:rPr>
          <w:iCs/>
        </w:rPr>
        <w:t>Note:</w:t>
      </w:r>
      <w:r w:rsidRPr="00254A2F">
        <w:rPr>
          <w:iCs/>
        </w:rPr>
        <w:tab/>
      </w:r>
      <w:r w:rsidR="00342B79" w:rsidRPr="00254A2F">
        <w:t>The description of a device may include a photograph or sketch or other pictorial representation of the device illustrating its internal and external aspects (including printed circuit boards).</w:t>
      </w:r>
    </w:p>
    <w:p w14:paraId="6ACD9E86" w14:textId="77777777" w:rsidR="00342B79" w:rsidRDefault="00342B79" w:rsidP="00287170">
      <w:pPr>
        <w:pStyle w:val="Definition"/>
        <w:rPr>
          <w:i/>
          <w:iCs/>
        </w:rPr>
      </w:pPr>
      <w:r w:rsidRPr="00254A2F">
        <w:rPr>
          <w:b/>
          <w:i/>
        </w:rPr>
        <w:t>Federal Chamber of Automotive Industries</w:t>
      </w:r>
      <w:r w:rsidRPr="00254A2F">
        <w:t xml:space="preserve"> means the Federal Chamber of Automotive Industries ACN 008 550 347</w:t>
      </w:r>
      <w:r w:rsidRPr="00254A2F">
        <w:rPr>
          <w:i/>
          <w:iCs/>
        </w:rPr>
        <w:t>.</w:t>
      </w:r>
    </w:p>
    <w:p w14:paraId="57FCFCD9" w14:textId="09DD6E1C" w:rsidR="00240952" w:rsidRPr="00240952" w:rsidRDefault="00240952" w:rsidP="00287170">
      <w:pPr>
        <w:pStyle w:val="Definition"/>
      </w:pPr>
      <w:r>
        <w:rPr>
          <w:b/>
          <w:i/>
        </w:rPr>
        <w:t xml:space="preserve">Federal Communications Commission </w:t>
      </w:r>
      <w:r>
        <w:t xml:space="preserve">means </w:t>
      </w:r>
      <w:r w:rsidR="00366501">
        <w:t>the United States government body of that name</w:t>
      </w:r>
      <w:r w:rsidR="00130BC1">
        <w:t>.</w:t>
      </w:r>
    </w:p>
    <w:p w14:paraId="6ACD9E87" w14:textId="11E144B6" w:rsidR="00342B79" w:rsidRPr="00254A2F" w:rsidRDefault="00342B79" w:rsidP="00287170">
      <w:pPr>
        <w:pStyle w:val="Definition"/>
      </w:pPr>
      <w:proofErr w:type="gramStart"/>
      <w:r w:rsidRPr="00254A2F">
        <w:rPr>
          <w:b/>
          <w:bCs/>
          <w:i/>
        </w:rPr>
        <w:t>high</w:t>
      </w:r>
      <w:r w:rsidR="00254A2F">
        <w:rPr>
          <w:b/>
          <w:bCs/>
          <w:i/>
        </w:rPr>
        <w:noBreakHyphen/>
      </w:r>
      <w:r w:rsidRPr="00254A2F">
        <w:rPr>
          <w:b/>
          <w:bCs/>
          <w:i/>
        </w:rPr>
        <w:t>risk</w:t>
      </w:r>
      <w:proofErr w:type="gramEnd"/>
      <w:r w:rsidRPr="00254A2F">
        <w:rPr>
          <w:b/>
          <w:bCs/>
          <w:i/>
        </w:rPr>
        <w:t xml:space="preserve"> device</w:t>
      </w:r>
      <w:r w:rsidRPr="00254A2F">
        <w:t xml:space="preserve"> means a device which</w:t>
      </w:r>
      <w:r w:rsidR="0061491C">
        <w:t>,</w:t>
      </w:r>
      <w:r w:rsidRPr="00254A2F">
        <w:t xml:space="preserve"> if operated in contravention of an applicable standard</w:t>
      </w:r>
      <w:r w:rsidR="0061491C">
        <w:t>,</w:t>
      </w:r>
      <w:r w:rsidRPr="00254A2F">
        <w:t xml:space="preserve"> may have a high interference impact on other devices using the radiofrequency spectrum.</w:t>
      </w:r>
    </w:p>
    <w:p w14:paraId="6ACD9E8E" w14:textId="77777777" w:rsidR="003A0860" w:rsidRDefault="00D34188">
      <w:pPr>
        <w:pStyle w:val="ACMABodyText"/>
        <w:ind w:left="1134" w:firstLine="0"/>
        <w:jc w:val="both"/>
        <w:rPr>
          <w:b/>
          <w:bCs/>
          <w:i/>
          <w:iCs/>
        </w:rPr>
      </w:pPr>
      <w:proofErr w:type="gramStart"/>
      <w:r w:rsidRPr="001A625D">
        <w:rPr>
          <w:b/>
          <w:i/>
          <w:sz w:val="22"/>
          <w:szCs w:val="22"/>
        </w:rPr>
        <w:lastRenderedPageBreak/>
        <w:t>low</w:t>
      </w:r>
      <w:proofErr w:type="gramEnd"/>
      <w:r w:rsidRPr="001A625D">
        <w:rPr>
          <w:b/>
          <w:i/>
          <w:sz w:val="22"/>
          <w:szCs w:val="22"/>
        </w:rPr>
        <w:t xml:space="preserve"> interference potential device </w:t>
      </w:r>
      <w:r w:rsidRPr="001A625D">
        <w:rPr>
          <w:sz w:val="22"/>
          <w:szCs w:val="22"/>
        </w:rPr>
        <w:t>has the meaning given by section 3A of the Class Licence</w:t>
      </w:r>
      <w:r>
        <w:rPr>
          <w:sz w:val="22"/>
          <w:szCs w:val="22"/>
        </w:rPr>
        <w:t>.</w:t>
      </w:r>
    </w:p>
    <w:p w14:paraId="6ACD9E8F" w14:textId="77777777" w:rsidR="00342B79" w:rsidRPr="00254A2F" w:rsidRDefault="00342B79" w:rsidP="00287170">
      <w:pPr>
        <w:pStyle w:val="Definition"/>
      </w:pPr>
      <w:proofErr w:type="gramStart"/>
      <w:r w:rsidRPr="00254A2F">
        <w:rPr>
          <w:b/>
          <w:bCs/>
          <w:i/>
          <w:iCs/>
        </w:rPr>
        <w:t>low</w:t>
      </w:r>
      <w:r w:rsidR="00254A2F">
        <w:rPr>
          <w:b/>
          <w:bCs/>
          <w:i/>
          <w:iCs/>
        </w:rPr>
        <w:noBreakHyphen/>
      </w:r>
      <w:r w:rsidRPr="00254A2F">
        <w:rPr>
          <w:b/>
          <w:bCs/>
          <w:i/>
          <w:iCs/>
        </w:rPr>
        <w:t>risk</w:t>
      </w:r>
      <w:proofErr w:type="gramEnd"/>
      <w:r w:rsidRPr="00254A2F">
        <w:rPr>
          <w:b/>
          <w:bCs/>
          <w:i/>
          <w:iCs/>
        </w:rPr>
        <w:t xml:space="preserve"> device</w:t>
      </w:r>
      <w:r w:rsidRPr="00254A2F">
        <w:t xml:space="preserve"> means a device which</w:t>
      </w:r>
      <w:r w:rsidR="007B1F0E">
        <w:t>,</w:t>
      </w:r>
      <w:r w:rsidRPr="00254A2F">
        <w:t xml:space="preserve"> if operated in contravention of an applicable standard</w:t>
      </w:r>
      <w:r w:rsidR="007B1F0E">
        <w:t>,</w:t>
      </w:r>
      <w:r w:rsidRPr="00254A2F">
        <w:t xml:space="preserve"> may have a low interference impact on other devices using the radiofrequency spectrum.</w:t>
      </w:r>
    </w:p>
    <w:p w14:paraId="6ACD9E90" w14:textId="77777777" w:rsidR="00342B79" w:rsidRPr="00254A2F" w:rsidRDefault="00342B79" w:rsidP="000B2A03">
      <w:pPr>
        <w:pStyle w:val="notetext"/>
      </w:pPr>
      <w:r w:rsidRPr="00254A2F">
        <w:rPr>
          <w:i/>
        </w:rPr>
        <w:t>Examples of devices that are low</w:t>
      </w:r>
      <w:r w:rsidR="00254A2F">
        <w:rPr>
          <w:i/>
        </w:rPr>
        <w:noBreakHyphen/>
      </w:r>
      <w:r w:rsidRPr="00254A2F">
        <w:rPr>
          <w:i/>
        </w:rPr>
        <w:t>risk devices</w:t>
      </w:r>
    </w:p>
    <w:p w14:paraId="6ACD9E91" w14:textId="77777777" w:rsidR="00342B79" w:rsidRPr="00254A2F" w:rsidRDefault="00342B79" w:rsidP="00287170">
      <w:pPr>
        <w:pStyle w:val="notetext"/>
      </w:pPr>
      <w:r w:rsidRPr="00254A2F">
        <w:t>1</w:t>
      </w:r>
      <w:r w:rsidR="007B1F0E">
        <w:t xml:space="preserve"> </w:t>
      </w:r>
      <w:r w:rsidRPr="00254A2F">
        <w:t>A remote controlled model.</w:t>
      </w:r>
    </w:p>
    <w:p w14:paraId="6ACD9E92" w14:textId="77777777" w:rsidR="00342B79" w:rsidRPr="00254A2F" w:rsidRDefault="00342B79" w:rsidP="00287170">
      <w:pPr>
        <w:pStyle w:val="notetext"/>
      </w:pPr>
      <w:r w:rsidRPr="00254A2F">
        <w:t>2</w:t>
      </w:r>
      <w:r w:rsidR="007B1F0E">
        <w:t xml:space="preserve"> </w:t>
      </w:r>
      <w:r w:rsidRPr="00254A2F">
        <w:t>A garage door control.</w:t>
      </w:r>
    </w:p>
    <w:p w14:paraId="6ACD9E93" w14:textId="77777777" w:rsidR="00342B79" w:rsidRPr="00254A2F" w:rsidRDefault="00342B79" w:rsidP="00287170">
      <w:pPr>
        <w:pStyle w:val="notetext"/>
      </w:pPr>
      <w:r w:rsidRPr="00254A2F">
        <w:t>3</w:t>
      </w:r>
      <w:r w:rsidR="007B1F0E">
        <w:t xml:space="preserve"> </w:t>
      </w:r>
      <w:r w:rsidRPr="00254A2F">
        <w:t>A radio microphone.</w:t>
      </w:r>
    </w:p>
    <w:p w14:paraId="6ACD9E94" w14:textId="77777777" w:rsidR="00342B79" w:rsidRPr="00254A2F" w:rsidRDefault="00342B79" w:rsidP="00287170">
      <w:pPr>
        <w:pStyle w:val="notetext"/>
      </w:pPr>
      <w:r w:rsidRPr="00254A2F">
        <w:t>4</w:t>
      </w:r>
      <w:r w:rsidR="007B1F0E">
        <w:t xml:space="preserve"> </w:t>
      </w:r>
      <w:r w:rsidRPr="00254A2F">
        <w:t>A personal alarm transmitter.</w:t>
      </w:r>
    </w:p>
    <w:p w14:paraId="6ACD9E95" w14:textId="77777777" w:rsidR="00342B79" w:rsidRPr="00254A2F" w:rsidRDefault="00342B79" w:rsidP="00287170">
      <w:pPr>
        <w:pStyle w:val="Definition"/>
      </w:pPr>
      <w:proofErr w:type="gramStart"/>
      <w:r w:rsidRPr="00254A2F">
        <w:rPr>
          <w:b/>
          <w:bCs/>
          <w:i/>
          <w:iCs/>
        </w:rPr>
        <w:t>medium</w:t>
      </w:r>
      <w:r w:rsidR="00254A2F">
        <w:rPr>
          <w:b/>
          <w:bCs/>
          <w:i/>
          <w:iCs/>
        </w:rPr>
        <w:noBreakHyphen/>
      </w:r>
      <w:r w:rsidRPr="00254A2F">
        <w:rPr>
          <w:b/>
          <w:bCs/>
          <w:i/>
          <w:iCs/>
        </w:rPr>
        <w:t>risk</w:t>
      </w:r>
      <w:proofErr w:type="gramEnd"/>
      <w:r w:rsidRPr="00254A2F">
        <w:rPr>
          <w:b/>
          <w:bCs/>
          <w:i/>
          <w:iCs/>
        </w:rPr>
        <w:t xml:space="preserve"> device</w:t>
      </w:r>
      <w:r w:rsidRPr="00254A2F">
        <w:t xml:space="preserve"> means a device:</w:t>
      </w:r>
    </w:p>
    <w:p w14:paraId="6ACD9E96" w14:textId="77777777" w:rsidR="00342B79" w:rsidRPr="00254A2F" w:rsidRDefault="00342B79" w:rsidP="00287170">
      <w:pPr>
        <w:pStyle w:val="paragraph"/>
      </w:pPr>
      <w:r w:rsidRPr="00254A2F">
        <w:tab/>
        <w:t>(a)</w:t>
      </w:r>
      <w:r w:rsidRPr="00254A2F">
        <w:tab/>
      </w:r>
      <w:proofErr w:type="gramStart"/>
      <w:r w:rsidRPr="00254A2F">
        <w:t>which</w:t>
      </w:r>
      <w:proofErr w:type="gramEnd"/>
      <w:r w:rsidRPr="00254A2F">
        <w:t xml:space="preserve"> if operated in contravention of an applicable standard may have an interference impact on other devices using the radiofrequency spectrum; and</w:t>
      </w:r>
    </w:p>
    <w:p w14:paraId="6ACD9E97" w14:textId="77777777" w:rsidR="00342B79" w:rsidRPr="00254A2F" w:rsidRDefault="00342B79" w:rsidP="00287170">
      <w:pPr>
        <w:pStyle w:val="paragraph"/>
      </w:pPr>
      <w:r w:rsidRPr="00254A2F">
        <w:tab/>
        <w:t>(</w:t>
      </w:r>
      <w:proofErr w:type="gramStart"/>
      <w:r w:rsidRPr="00254A2F">
        <w:t>b</w:t>
      </w:r>
      <w:proofErr w:type="gramEnd"/>
      <w:r w:rsidRPr="00254A2F">
        <w:t>)</w:t>
      </w:r>
      <w:r w:rsidRPr="00254A2F">
        <w:tab/>
        <w:t>that is not:</w:t>
      </w:r>
    </w:p>
    <w:p w14:paraId="6ACD9E98" w14:textId="77777777" w:rsidR="00342B79" w:rsidRPr="00254A2F" w:rsidRDefault="00342B79" w:rsidP="00287170">
      <w:pPr>
        <w:pStyle w:val="paragraphsub"/>
      </w:pPr>
      <w:r w:rsidRPr="00254A2F">
        <w:tab/>
        <w:t>(</w:t>
      </w:r>
      <w:proofErr w:type="spellStart"/>
      <w:r w:rsidRPr="00254A2F">
        <w:t>i</w:t>
      </w:r>
      <w:proofErr w:type="spellEnd"/>
      <w:r w:rsidRPr="00254A2F">
        <w:t>)</w:t>
      </w:r>
      <w:r w:rsidRPr="00254A2F">
        <w:tab/>
      </w:r>
      <w:proofErr w:type="gramStart"/>
      <w:r w:rsidRPr="00254A2F">
        <w:t>a</w:t>
      </w:r>
      <w:proofErr w:type="gramEnd"/>
      <w:r w:rsidRPr="00254A2F">
        <w:t xml:space="preserve"> high</w:t>
      </w:r>
      <w:r w:rsidR="00254A2F">
        <w:noBreakHyphen/>
      </w:r>
      <w:r w:rsidRPr="00254A2F">
        <w:t>risk device; or</w:t>
      </w:r>
    </w:p>
    <w:p w14:paraId="6ACD9E99" w14:textId="77777777" w:rsidR="00342B79" w:rsidRPr="00254A2F" w:rsidRDefault="00342B79" w:rsidP="00287170">
      <w:pPr>
        <w:pStyle w:val="paragraphsub"/>
      </w:pPr>
      <w:r w:rsidRPr="00254A2F">
        <w:tab/>
        <w:t>(ii)</w:t>
      </w:r>
      <w:r w:rsidRPr="00254A2F">
        <w:tab/>
      </w:r>
      <w:proofErr w:type="gramStart"/>
      <w:r w:rsidRPr="00254A2F">
        <w:t>a</w:t>
      </w:r>
      <w:proofErr w:type="gramEnd"/>
      <w:r w:rsidRPr="00254A2F">
        <w:t xml:space="preserve"> low</w:t>
      </w:r>
      <w:r w:rsidR="00254A2F">
        <w:noBreakHyphen/>
      </w:r>
      <w:r w:rsidRPr="00254A2F">
        <w:t>risk device.</w:t>
      </w:r>
    </w:p>
    <w:p w14:paraId="6ACD9E9A" w14:textId="77777777" w:rsidR="00342B79" w:rsidRPr="00254A2F" w:rsidRDefault="00342B79" w:rsidP="000B2A03">
      <w:pPr>
        <w:pStyle w:val="notetext"/>
      </w:pPr>
      <w:r w:rsidRPr="00254A2F">
        <w:rPr>
          <w:i/>
        </w:rPr>
        <w:t>Example of a device that is a medium</w:t>
      </w:r>
      <w:r w:rsidR="00254A2F">
        <w:rPr>
          <w:i/>
        </w:rPr>
        <w:noBreakHyphen/>
      </w:r>
      <w:r w:rsidRPr="00254A2F">
        <w:rPr>
          <w:i/>
        </w:rPr>
        <w:t>risk device</w:t>
      </w:r>
      <w:r w:rsidR="003444DF">
        <w:rPr>
          <w:i/>
        </w:rPr>
        <w:t>:</w:t>
      </w:r>
    </w:p>
    <w:p w14:paraId="6ACD9E9B" w14:textId="77777777" w:rsidR="00342B79" w:rsidRPr="00254A2F" w:rsidRDefault="007E2493" w:rsidP="0026502E">
      <w:pPr>
        <w:pStyle w:val="notetext"/>
        <w:ind w:left="1134" w:firstLine="0"/>
      </w:pPr>
      <w:r w:rsidRPr="00254A2F">
        <w:t xml:space="preserve">A </w:t>
      </w:r>
      <w:r w:rsidR="00422A73">
        <w:t>Digital Enhanced Cordless Telecommunications (</w:t>
      </w:r>
      <w:r w:rsidRPr="00254A2F">
        <w:t>DECT</w:t>
      </w:r>
      <w:r w:rsidR="00422A73">
        <w:t>)</w:t>
      </w:r>
      <w:r w:rsidRPr="00254A2F">
        <w:t xml:space="preserve"> or </w:t>
      </w:r>
      <w:r w:rsidR="00422A73">
        <w:t xml:space="preserve">a Personal </w:t>
      </w:r>
      <w:proofErr w:type="spellStart"/>
      <w:r w:rsidR="00422A73">
        <w:t>Handyphone</w:t>
      </w:r>
      <w:proofErr w:type="spellEnd"/>
      <w:r w:rsidR="00422A73">
        <w:t xml:space="preserve"> Service (</w:t>
      </w:r>
      <w:r w:rsidRPr="00254A2F">
        <w:t>PHS</w:t>
      </w:r>
      <w:r w:rsidR="00422A73">
        <w:t>)</w:t>
      </w:r>
      <w:r w:rsidRPr="00254A2F">
        <w:t xml:space="preserve"> device</w:t>
      </w:r>
      <w:r w:rsidR="008A4DA3" w:rsidRPr="00254A2F">
        <w:t>.</w:t>
      </w:r>
    </w:p>
    <w:p w14:paraId="6ACD9E9C" w14:textId="3C94C97C" w:rsidR="00342B79" w:rsidRPr="00254A2F" w:rsidRDefault="00342B79" w:rsidP="00287170">
      <w:pPr>
        <w:pStyle w:val="Definition"/>
      </w:pPr>
      <w:r w:rsidRPr="00254A2F">
        <w:rPr>
          <w:b/>
          <w:bCs/>
          <w:i/>
          <w:iCs/>
        </w:rPr>
        <w:t>NATA</w:t>
      </w:r>
      <w:r w:rsidRPr="00254A2F">
        <w:t xml:space="preserve"> means the National Association of Testing Authorities Australia ACN 004</w:t>
      </w:r>
      <w:r w:rsidR="00342B05">
        <w:t xml:space="preserve"> </w:t>
      </w:r>
      <w:r w:rsidRPr="00254A2F">
        <w:t>379</w:t>
      </w:r>
      <w:r w:rsidR="00342B05">
        <w:t xml:space="preserve"> </w:t>
      </w:r>
      <w:r w:rsidRPr="00254A2F">
        <w:t>748.</w:t>
      </w:r>
    </w:p>
    <w:p w14:paraId="6ACD9E9D" w14:textId="77777777" w:rsidR="00FF324D" w:rsidRPr="00254A2F" w:rsidRDefault="00FF324D" w:rsidP="00FF324D">
      <w:pPr>
        <w:pStyle w:val="Definition"/>
      </w:pPr>
      <w:proofErr w:type="gramStart"/>
      <w:r w:rsidRPr="00254A2F">
        <w:rPr>
          <w:b/>
          <w:i/>
        </w:rPr>
        <w:t>national</w:t>
      </w:r>
      <w:proofErr w:type="gramEnd"/>
      <w:r w:rsidRPr="00254A2F">
        <w:rPr>
          <w:b/>
          <w:i/>
        </w:rPr>
        <w:t xml:space="preserve"> database</w:t>
      </w:r>
      <w:r w:rsidRPr="00254A2F">
        <w:t xml:space="preserve"> means a database designated in writing by the ACMA for the purposes of Division</w:t>
      </w:r>
      <w:r w:rsidR="00254A2F">
        <w:t> </w:t>
      </w:r>
      <w:r w:rsidRPr="00254A2F">
        <w:t>3.2.</w:t>
      </w:r>
    </w:p>
    <w:p w14:paraId="6ACD9E9E" w14:textId="77777777" w:rsidR="00FF324D" w:rsidRPr="00130BC1" w:rsidRDefault="00FF324D" w:rsidP="00FF324D">
      <w:pPr>
        <w:pStyle w:val="notetext"/>
        <w:rPr>
          <w:szCs w:val="18"/>
        </w:rPr>
      </w:pPr>
      <w:r w:rsidRPr="00130BC1">
        <w:rPr>
          <w:szCs w:val="18"/>
        </w:rPr>
        <w:t>Note</w:t>
      </w:r>
      <w:r w:rsidR="00D11563" w:rsidRPr="00130BC1">
        <w:rPr>
          <w:szCs w:val="18"/>
        </w:rPr>
        <w:t>:</w:t>
      </w:r>
      <w:r w:rsidRPr="00130BC1">
        <w:rPr>
          <w:szCs w:val="18"/>
        </w:rPr>
        <w:tab/>
        <w:t>A database may be designated by the ACMA for the purposes of Division</w:t>
      </w:r>
      <w:r w:rsidR="00254A2F" w:rsidRPr="00130BC1">
        <w:rPr>
          <w:szCs w:val="18"/>
        </w:rPr>
        <w:t> </w:t>
      </w:r>
      <w:r w:rsidRPr="00130BC1">
        <w:rPr>
          <w:szCs w:val="18"/>
        </w:rPr>
        <w:t>3.2 even if it forms part of another database or also serves purposes other than purposes provided for in this Notice.</w:t>
      </w:r>
    </w:p>
    <w:p w14:paraId="6ACD9E9F" w14:textId="330279E2" w:rsidR="00342B79" w:rsidRPr="00254A2F" w:rsidRDefault="00342B79" w:rsidP="00287170">
      <w:pPr>
        <w:pStyle w:val="Definition"/>
      </w:pPr>
      <w:r w:rsidRPr="00254A2F">
        <w:rPr>
          <w:b/>
          <w:i/>
        </w:rPr>
        <w:t>New Zealand Compliance Notice</w:t>
      </w:r>
      <w:r w:rsidRPr="00254A2F">
        <w:t xml:space="preserve"> means </w:t>
      </w:r>
      <w:r w:rsidR="00B940E3">
        <w:t xml:space="preserve">the </w:t>
      </w:r>
      <w:r w:rsidR="00B940E3">
        <w:rPr>
          <w:i/>
        </w:rPr>
        <w:t>Radiocommunications (Compliance) Notice 2013 No. 2</w:t>
      </w:r>
      <w:r w:rsidRPr="00254A2F">
        <w:t>, as in force from time to time, made under regulations</w:t>
      </w:r>
      <w:r w:rsidR="00254A2F">
        <w:t> </w:t>
      </w:r>
      <w:r w:rsidRPr="00254A2F">
        <w:t>32(1</w:t>
      </w:r>
      <w:r w:rsidR="00287170" w:rsidRPr="00254A2F">
        <w:t>)(</w:t>
      </w:r>
      <w:r w:rsidRPr="00254A2F">
        <w:t xml:space="preserve">d), (e), (f), (g) and (h) of the </w:t>
      </w:r>
      <w:r w:rsidRPr="00B940E3">
        <w:rPr>
          <w:i/>
        </w:rPr>
        <w:t>Radiocommunications Regulations</w:t>
      </w:r>
      <w:r w:rsidR="00254A2F" w:rsidRPr="00B940E3">
        <w:rPr>
          <w:i/>
        </w:rPr>
        <w:t> </w:t>
      </w:r>
      <w:r w:rsidRPr="00B940E3">
        <w:rPr>
          <w:i/>
        </w:rPr>
        <w:t>2001</w:t>
      </w:r>
      <w:r w:rsidRPr="00254A2F">
        <w:t xml:space="preserve"> of New Zealand.</w:t>
      </w:r>
    </w:p>
    <w:p w14:paraId="6ACD9EA0" w14:textId="0DAE385C" w:rsidR="00342B79" w:rsidRPr="00254A2F" w:rsidRDefault="00287170" w:rsidP="00287170">
      <w:pPr>
        <w:pStyle w:val="notetext"/>
      </w:pPr>
      <w:r w:rsidRPr="00254A2F">
        <w:t>Note:</w:t>
      </w:r>
      <w:r w:rsidRPr="00254A2F">
        <w:tab/>
      </w:r>
      <w:r w:rsidR="00342B79" w:rsidRPr="00254A2F">
        <w:t xml:space="preserve">The </w:t>
      </w:r>
      <w:r w:rsidR="00B940E3">
        <w:rPr>
          <w:i/>
        </w:rPr>
        <w:t xml:space="preserve">Radiocommunications (Compliance) Notice 2013 No. 2 </w:t>
      </w:r>
      <w:r w:rsidR="00342B79" w:rsidRPr="00254A2F">
        <w:t>is available on the</w:t>
      </w:r>
      <w:r w:rsidR="00B701D5">
        <w:t xml:space="preserve"> </w:t>
      </w:r>
      <w:hyperlink r:id="rId20" w:history="1">
        <w:r w:rsidR="00B701D5" w:rsidRPr="00B701D5">
          <w:rPr>
            <w:rStyle w:val="Hyperlink"/>
          </w:rPr>
          <w:t>Radio Spectrum Management website</w:t>
        </w:r>
      </w:hyperlink>
      <w:r w:rsidR="007D101F">
        <w:rPr>
          <w:rStyle w:val="Hyperlink"/>
        </w:rPr>
        <w:t xml:space="preserve">, </w:t>
      </w:r>
      <w:hyperlink r:id="rId21" w:history="1">
        <w:r w:rsidR="007D101F" w:rsidRPr="00036026">
          <w:rPr>
            <w:rStyle w:val="Hyperlink"/>
          </w:rPr>
          <w:t>www.rsm.govt.nz</w:t>
        </w:r>
      </w:hyperlink>
      <w:r w:rsidR="007D101F">
        <w:rPr>
          <w:rStyle w:val="Hyperlink"/>
        </w:rPr>
        <w:t>.</w:t>
      </w:r>
      <w:r w:rsidR="00B701D5">
        <w:t xml:space="preserve"> </w:t>
      </w:r>
      <w:r w:rsidR="00342B79" w:rsidRPr="00254A2F">
        <w:t xml:space="preserve">The New Zealand </w:t>
      </w:r>
      <w:r w:rsidR="00342B79" w:rsidRPr="00B940E3">
        <w:rPr>
          <w:i/>
        </w:rPr>
        <w:t>Radiocommunications Regulations</w:t>
      </w:r>
      <w:r w:rsidR="00254A2F" w:rsidRPr="00B940E3">
        <w:rPr>
          <w:i/>
        </w:rPr>
        <w:t> </w:t>
      </w:r>
      <w:r w:rsidR="00342B79" w:rsidRPr="00B940E3">
        <w:rPr>
          <w:i/>
        </w:rPr>
        <w:t>2001</w:t>
      </w:r>
      <w:r w:rsidR="00342B79" w:rsidRPr="00254A2F">
        <w:t xml:space="preserve"> are made under the New Zealand </w:t>
      </w:r>
      <w:r w:rsidR="00342B79" w:rsidRPr="00B940E3">
        <w:rPr>
          <w:i/>
        </w:rPr>
        <w:t>Radiocommunications Act</w:t>
      </w:r>
      <w:r w:rsidR="00B940E3">
        <w:rPr>
          <w:i/>
        </w:rPr>
        <w:t xml:space="preserve"> </w:t>
      </w:r>
      <w:r w:rsidR="00342B79" w:rsidRPr="00B940E3">
        <w:rPr>
          <w:i/>
        </w:rPr>
        <w:t>1989</w:t>
      </w:r>
      <w:r w:rsidR="00342B79" w:rsidRPr="00254A2F">
        <w:t>.  The Act and Regulations are available on the internet at http://www.legislation.govt.nz/.</w:t>
      </w:r>
    </w:p>
    <w:p w14:paraId="6ACD9EA1" w14:textId="6FB4E741" w:rsidR="00342B79" w:rsidRPr="00254A2F" w:rsidRDefault="00342B79" w:rsidP="00F45DD9">
      <w:pPr>
        <w:pStyle w:val="Definition"/>
        <w:keepNext/>
      </w:pPr>
      <w:r w:rsidRPr="00254A2F">
        <w:rPr>
          <w:b/>
          <w:bCs/>
          <w:i/>
          <w:iCs/>
        </w:rPr>
        <w:t>New Zealand Radio Standards Notice</w:t>
      </w:r>
      <w:r w:rsidRPr="00254A2F">
        <w:t xml:space="preserve"> means </w:t>
      </w:r>
      <w:r w:rsidR="00B940E3">
        <w:t xml:space="preserve">the </w:t>
      </w:r>
      <w:r w:rsidR="00B940E3">
        <w:rPr>
          <w:i/>
        </w:rPr>
        <w:t>Radiocommunications (Radio Standards) Notice 2010</w:t>
      </w:r>
      <w:r w:rsidRPr="00254A2F">
        <w:t>, as in force from time to time, made under regulations</w:t>
      </w:r>
      <w:r w:rsidR="00254A2F">
        <w:t> </w:t>
      </w:r>
      <w:r w:rsidRPr="00254A2F">
        <w:t>32(1</w:t>
      </w:r>
      <w:r w:rsidR="00287170" w:rsidRPr="00254A2F">
        <w:t>)(</w:t>
      </w:r>
      <w:r w:rsidRPr="00254A2F">
        <w:t xml:space="preserve">a), (b), (c), (d) and (j) of the </w:t>
      </w:r>
      <w:r w:rsidRPr="00B940E3">
        <w:rPr>
          <w:i/>
        </w:rPr>
        <w:t>Radiocommunications Regulations</w:t>
      </w:r>
      <w:r w:rsidR="00254A2F" w:rsidRPr="00B940E3">
        <w:rPr>
          <w:i/>
        </w:rPr>
        <w:t> </w:t>
      </w:r>
      <w:r w:rsidRPr="00B940E3">
        <w:rPr>
          <w:i/>
        </w:rPr>
        <w:t>2001</w:t>
      </w:r>
      <w:r w:rsidRPr="00254A2F">
        <w:t xml:space="preserve"> of New Zealand.</w:t>
      </w:r>
    </w:p>
    <w:p w14:paraId="6ACD9EA2" w14:textId="6CB416EE" w:rsidR="00342B79" w:rsidRPr="00254A2F" w:rsidRDefault="00287170" w:rsidP="00287170">
      <w:pPr>
        <w:pStyle w:val="notetext"/>
      </w:pPr>
      <w:r w:rsidRPr="00254A2F">
        <w:rPr>
          <w:iCs/>
        </w:rPr>
        <w:t>Note:</w:t>
      </w:r>
      <w:r w:rsidRPr="00254A2F">
        <w:rPr>
          <w:iCs/>
        </w:rPr>
        <w:tab/>
      </w:r>
      <w:r w:rsidR="00342B79" w:rsidRPr="00254A2F">
        <w:t xml:space="preserve">The t </w:t>
      </w:r>
      <w:r w:rsidR="00B940E3">
        <w:rPr>
          <w:i/>
        </w:rPr>
        <w:t xml:space="preserve">Radiocommunications (Radio Standard) Notice 2010 </w:t>
      </w:r>
      <w:r w:rsidR="00342B79" w:rsidRPr="00254A2F">
        <w:t>is available on the</w:t>
      </w:r>
      <w:r w:rsidR="00B701D5">
        <w:t xml:space="preserve"> </w:t>
      </w:r>
      <w:hyperlink r:id="rId22" w:history="1">
        <w:r w:rsidR="00B701D5" w:rsidRPr="00B701D5">
          <w:rPr>
            <w:rStyle w:val="Hyperlink"/>
          </w:rPr>
          <w:t>Radio Spectrum Management website</w:t>
        </w:r>
      </w:hyperlink>
      <w:r w:rsidR="007D101F">
        <w:rPr>
          <w:rStyle w:val="Hyperlink"/>
        </w:rPr>
        <w:t xml:space="preserve"> </w:t>
      </w:r>
      <w:hyperlink r:id="rId23" w:history="1">
        <w:r w:rsidR="007D101F" w:rsidRPr="00036026">
          <w:rPr>
            <w:rStyle w:val="Hyperlink"/>
          </w:rPr>
          <w:t>www.rsm.govt.nz</w:t>
        </w:r>
      </w:hyperlink>
      <w:r w:rsidR="007D101F">
        <w:rPr>
          <w:rStyle w:val="Hyperlink"/>
        </w:rPr>
        <w:t>.</w:t>
      </w:r>
      <w:r w:rsidR="00342B79" w:rsidRPr="00254A2F">
        <w:t xml:space="preserve"> The New </w:t>
      </w:r>
      <w:r w:rsidR="00B940E3">
        <w:t xml:space="preserve">Zealand </w:t>
      </w:r>
      <w:r w:rsidR="00342B79" w:rsidRPr="00B940E3">
        <w:rPr>
          <w:i/>
        </w:rPr>
        <w:t>Radiocommunications Regulations</w:t>
      </w:r>
      <w:r w:rsidR="00254A2F" w:rsidRPr="00B940E3">
        <w:rPr>
          <w:i/>
        </w:rPr>
        <w:t> </w:t>
      </w:r>
      <w:r w:rsidR="00342B79" w:rsidRPr="00B940E3">
        <w:rPr>
          <w:i/>
        </w:rPr>
        <w:t>2001</w:t>
      </w:r>
      <w:r w:rsidR="00342B79" w:rsidRPr="00254A2F">
        <w:t xml:space="preserve"> are made under the New Zealand </w:t>
      </w:r>
      <w:r w:rsidR="00342B79" w:rsidRPr="00B940E3">
        <w:rPr>
          <w:i/>
        </w:rPr>
        <w:t>Radiocommunications Act</w:t>
      </w:r>
      <w:r w:rsidR="00B940E3" w:rsidRPr="00B940E3">
        <w:rPr>
          <w:i/>
        </w:rPr>
        <w:t xml:space="preserve"> </w:t>
      </w:r>
      <w:r w:rsidR="00342B79" w:rsidRPr="00B940E3">
        <w:rPr>
          <w:i/>
        </w:rPr>
        <w:t>1989</w:t>
      </w:r>
      <w:r w:rsidR="00342B79" w:rsidRPr="00254A2F">
        <w:t xml:space="preserve">.  The Act and Regulations are available on the internet at http://www.legislation.govt.nz/.  </w:t>
      </w:r>
    </w:p>
    <w:p w14:paraId="6ACD9EA3" w14:textId="77777777" w:rsidR="00342B79" w:rsidRPr="00254A2F" w:rsidRDefault="00342B79" w:rsidP="00287170">
      <w:pPr>
        <w:pStyle w:val="Definition"/>
      </w:pPr>
      <w:proofErr w:type="gramStart"/>
      <w:r w:rsidRPr="00254A2F">
        <w:rPr>
          <w:b/>
          <w:bCs/>
          <w:i/>
          <w:iCs/>
        </w:rPr>
        <w:lastRenderedPageBreak/>
        <w:t>product</w:t>
      </w:r>
      <w:proofErr w:type="gramEnd"/>
      <w:r w:rsidRPr="00254A2F">
        <w:rPr>
          <w:b/>
          <w:bCs/>
          <w:i/>
          <w:iCs/>
        </w:rPr>
        <w:t xml:space="preserve"> identification code</w:t>
      </w:r>
      <w:r w:rsidRPr="00254A2F">
        <w:t>, for a device, means the written information used by the supplier of the device to identify the device.</w:t>
      </w:r>
    </w:p>
    <w:p w14:paraId="6ACD9EA4" w14:textId="77777777" w:rsidR="00342B79" w:rsidRPr="00254A2F" w:rsidRDefault="00342B79" w:rsidP="00287170">
      <w:pPr>
        <w:pStyle w:val="Definition"/>
      </w:pPr>
      <w:r w:rsidRPr="00254A2F">
        <w:rPr>
          <w:b/>
          <w:bCs/>
          <w:i/>
          <w:iCs/>
        </w:rPr>
        <w:t>RCM</w:t>
      </w:r>
      <w:r w:rsidRPr="00254A2F">
        <w:t xml:space="preserve"> means the Regulatory Compliance Mark set out in Part</w:t>
      </w:r>
      <w:r w:rsidR="00254A2F">
        <w:t> </w:t>
      </w:r>
      <w:r w:rsidRPr="00254A2F">
        <w:t>2 of Schedule</w:t>
      </w:r>
      <w:r w:rsidR="00254A2F">
        <w:t> </w:t>
      </w:r>
      <w:r w:rsidRPr="00254A2F">
        <w:t>1.</w:t>
      </w:r>
    </w:p>
    <w:p w14:paraId="6ACD9EA5" w14:textId="77777777" w:rsidR="00342B79" w:rsidRPr="00254A2F" w:rsidRDefault="00342B79" w:rsidP="00287170">
      <w:pPr>
        <w:pStyle w:val="Definition"/>
      </w:pPr>
      <w:proofErr w:type="gramStart"/>
      <w:r w:rsidRPr="00254A2F">
        <w:rPr>
          <w:b/>
          <w:bCs/>
          <w:i/>
          <w:iCs/>
        </w:rPr>
        <w:t>supplier</w:t>
      </w:r>
      <w:proofErr w:type="gramEnd"/>
      <w:r w:rsidRPr="00254A2F">
        <w:t xml:space="preserve"> means:</w:t>
      </w:r>
    </w:p>
    <w:p w14:paraId="6ACD9EA6" w14:textId="77777777" w:rsidR="00342B79" w:rsidRPr="00254A2F" w:rsidRDefault="00342B79" w:rsidP="00287170">
      <w:pPr>
        <w:pStyle w:val="paragraph"/>
      </w:pPr>
      <w:r w:rsidRPr="00254A2F">
        <w:tab/>
        <w:t>(a)</w:t>
      </w:r>
      <w:r w:rsidRPr="00254A2F">
        <w:tab/>
      </w:r>
      <w:proofErr w:type="gramStart"/>
      <w:r w:rsidRPr="00254A2F">
        <w:t>in</w:t>
      </w:r>
      <w:proofErr w:type="gramEnd"/>
      <w:r w:rsidRPr="00254A2F">
        <w:t xml:space="preserve"> relation to an imported device</w:t>
      </w:r>
      <w:r w:rsidR="00287170" w:rsidRPr="00254A2F">
        <w:t>—</w:t>
      </w:r>
      <w:r w:rsidRPr="00254A2F">
        <w:t>the importer or an agent of the importer; and</w:t>
      </w:r>
    </w:p>
    <w:p w14:paraId="6ACD9EA7" w14:textId="77777777" w:rsidR="00342B79" w:rsidRPr="00254A2F" w:rsidRDefault="00342B79" w:rsidP="00287170">
      <w:pPr>
        <w:pStyle w:val="paragraph"/>
      </w:pPr>
      <w:r w:rsidRPr="00254A2F">
        <w:tab/>
        <w:t>(b)</w:t>
      </w:r>
      <w:r w:rsidRPr="00254A2F">
        <w:tab/>
      </w:r>
      <w:proofErr w:type="gramStart"/>
      <w:r w:rsidRPr="00254A2F">
        <w:t>in</w:t>
      </w:r>
      <w:proofErr w:type="gramEnd"/>
      <w:r w:rsidRPr="00254A2F">
        <w:t xml:space="preserve"> relation to a device manufactured in Australia</w:t>
      </w:r>
      <w:r w:rsidR="00287170" w:rsidRPr="00254A2F">
        <w:t>—</w:t>
      </w:r>
      <w:r w:rsidRPr="00254A2F">
        <w:t>the manufacturer or an agent of the manufacturer.</w:t>
      </w:r>
    </w:p>
    <w:p w14:paraId="6ACD9EA8" w14:textId="77777777" w:rsidR="00342B79" w:rsidRPr="00254A2F" w:rsidRDefault="00342B79" w:rsidP="00287170">
      <w:pPr>
        <w:pStyle w:val="Definition"/>
      </w:pPr>
      <w:proofErr w:type="gramStart"/>
      <w:r w:rsidRPr="00254A2F">
        <w:rPr>
          <w:b/>
          <w:bCs/>
          <w:i/>
          <w:iCs/>
        </w:rPr>
        <w:t>supplier</w:t>
      </w:r>
      <w:proofErr w:type="gramEnd"/>
      <w:r w:rsidRPr="00254A2F">
        <w:rPr>
          <w:b/>
          <w:bCs/>
          <w:i/>
          <w:iCs/>
        </w:rPr>
        <w:t xml:space="preserve"> code number</w:t>
      </w:r>
      <w:r w:rsidRPr="00254A2F">
        <w:t xml:space="preserve"> means a code number issued to a person: </w:t>
      </w:r>
    </w:p>
    <w:p w14:paraId="6ACD9EA9" w14:textId="77777777" w:rsidR="00342B79" w:rsidRPr="00254A2F" w:rsidRDefault="00342B79" w:rsidP="00287170">
      <w:pPr>
        <w:pStyle w:val="paragraph"/>
      </w:pPr>
      <w:r w:rsidRPr="00254A2F">
        <w:tab/>
        <w:t>(a)</w:t>
      </w:r>
      <w:r w:rsidRPr="00254A2F">
        <w:tab/>
      </w:r>
      <w:proofErr w:type="gramStart"/>
      <w:r w:rsidRPr="00254A2F">
        <w:t>in</w:t>
      </w:r>
      <w:proofErr w:type="gramEnd"/>
      <w:r w:rsidRPr="00254A2F">
        <w:t xml:space="preserve"> accordance with a notice made by </w:t>
      </w:r>
      <w:r w:rsidR="007B1F0E">
        <w:t xml:space="preserve">the </w:t>
      </w:r>
      <w:r w:rsidR="004B7A34" w:rsidRPr="00254A2F">
        <w:t>ACMA</w:t>
      </w:r>
      <w:r w:rsidRPr="00254A2F">
        <w:t xml:space="preserve"> under section</w:t>
      </w:r>
      <w:r w:rsidR="00254A2F">
        <w:t> </w:t>
      </w:r>
      <w:r w:rsidRPr="00254A2F">
        <w:t xml:space="preserve">407 of the </w:t>
      </w:r>
      <w:r w:rsidRPr="00254A2F">
        <w:rPr>
          <w:i/>
          <w:iCs/>
        </w:rPr>
        <w:t>Telecommunications Act 1997</w:t>
      </w:r>
      <w:r w:rsidRPr="00254A2F">
        <w:t>; or</w:t>
      </w:r>
    </w:p>
    <w:p w14:paraId="6ACD9EAA" w14:textId="77777777" w:rsidR="00342B79" w:rsidRPr="00254A2F" w:rsidRDefault="00342B79" w:rsidP="00287170">
      <w:pPr>
        <w:pStyle w:val="paragraph"/>
      </w:pPr>
      <w:r w:rsidRPr="00254A2F">
        <w:tab/>
        <w:t>(b)</w:t>
      </w:r>
      <w:r w:rsidRPr="00254A2F">
        <w:tab/>
      </w:r>
      <w:proofErr w:type="gramStart"/>
      <w:r w:rsidRPr="00254A2F">
        <w:t>in</w:t>
      </w:r>
      <w:proofErr w:type="gramEnd"/>
      <w:r w:rsidRPr="00254A2F">
        <w:t xml:space="preserve"> accordance with this notice or the </w:t>
      </w:r>
      <w:r w:rsidRPr="00254A2F">
        <w:rPr>
          <w:i/>
        </w:rPr>
        <w:t>Radiocommunications Devices (Compliance Labelling) Notice</w:t>
      </w:r>
      <w:r w:rsidR="00254A2F">
        <w:rPr>
          <w:i/>
        </w:rPr>
        <w:t> </w:t>
      </w:r>
      <w:r w:rsidR="007E33AC">
        <w:rPr>
          <w:i/>
        </w:rPr>
        <w:t>2003</w:t>
      </w:r>
      <w:r w:rsidRPr="00254A2F">
        <w:t>; or</w:t>
      </w:r>
    </w:p>
    <w:p w14:paraId="6ACD9EAB" w14:textId="1F9E6448" w:rsidR="00342B79" w:rsidRPr="00366501" w:rsidRDefault="00342B79" w:rsidP="00287170">
      <w:pPr>
        <w:pStyle w:val="paragraph"/>
      </w:pPr>
      <w:r w:rsidRPr="00254A2F">
        <w:tab/>
        <w:t>(c)</w:t>
      </w:r>
      <w:r w:rsidRPr="00254A2F">
        <w:tab/>
      </w:r>
      <w:proofErr w:type="gramStart"/>
      <w:r w:rsidRPr="00254A2F">
        <w:t>by</w:t>
      </w:r>
      <w:proofErr w:type="gramEnd"/>
      <w:r w:rsidRPr="00254A2F">
        <w:t xml:space="preserve"> </w:t>
      </w:r>
      <w:r w:rsidR="00B701D5">
        <w:t>SAI Global</w:t>
      </w:r>
      <w:r w:rsidRPr="00254A2F">
        <w:t xml:space="preserve"> </w:t>
      </w:r>
      <w:r w:rsidR="001F2123" w:rsidRPr="00366501">
        <w:t xml:space="preserve">Limited ACN 050 611 642 </w:t>
      </w:r>
      <w:r w:rsidRPr="00366501">
        <w:t>under AS/NZS 4417.</w:t>
      </w:r>
      <w:r w:rsidR="007B1F0E" w:rsidRPr="00366501">
        <w:t>1.</w:t>
      </w:r>
    </w:p>
    <w:p w14:paraId="6ACD9EAC" w14:textId="77777777" w:rsidR="00342B79" w:rsidRPr="00366501" w:rsidRDefault="00342B79" w:rsidP="00287170">
      <w:pPr>
        <w:pStyle w:val="Definition"/>
      </w:pPr>
      <w:proofErr w:type="gramStart"/>
      <w:r w:rsidRPr="00366501">
        <w:rPr>
          <w:b/>
          <w:bCs/>
          <w:i/>
          <w:iCs/>
        </w:rPr>
        <w:t>variant</w:t>
      </w:r>
      <w:proofErr w:type="gramEnd"/>
      <w:r w:rsidRPr="00366501">
        <w:rPr>
          <w:bCs/>
          <w:iCs/>
        </w:rPr>
        <w:t xml:space="preserve">, of a device, </w:t>
      </w:r>
      <w:r w:rsidRPr="00366501">
        <w:t>means a version of the device that is not identical to the device but is not sufficiently different from the device to affect the application to that version of an applicable standard for the device.</w:t>
      </w:r>
    </w:p>
    <w:p w14:paraId="6ACD9EAD" w14:textId="77777777" w:rsidR="003A0860" w:rsidRPr="00366501" w:rsidRDefault="00D34188">
      <w:pPr>
        <w:spacing w:before="80" w:after="120"/>
        <w:ind w:left="1134"/>
        <w:jc w:val="both"/>
      </w:pPr>
      <w:proofErr w:type="gramStart"/>
      <w:r w:rsidRPr="00366501">
        <w:rPr>
          <w:b/>
          <w:bCs/>
          <w:i/>
          <w:iCs/>
        </w:rPr>
        <w:t>wireless</w:t>
      </w:r>
      <w:proofErr w:type="gramEnd"/>
      <w:r w:rsidRPr="00366501">
        <w:rPr>
          <w:b/>
          <w:bCs/>
          <w:i/>
          <w:iCs/>
        </w:rPr>
        <w:t xml:space="preserve"> audio transmitter</w:t>
      </w:r>
      <w:r w:rsidRPr="00366501">
        <w:t xml:space="preserve"> means a low interference potential device that is of a type mentioned at Item 22A of Schedule 1 to the Class Licence that is capable of being operated in the 694 – 820 MHz frequency range.</w:t>
      </w:r>
    </w:p>
    <w:p w14:paraId="6ACD9EAE" w14:textId="4240A841" w:rsidR="00342B79" w:rsidRPr="00254A2F" w:rsidRDefault="00342B79" w:rsidP="00287170">
      <w:pPr>
        <w:pStyle w:val="Definition"/>
      </w:pPr>
      <w:proofErr w:type="gramStart"/>
      <w:r w:rsidRPr="00366501">
        <w:rPr>
          <w:b/>
          <w:bCs/>
          <w:i/>
          <w:iCs/>
        </w:rPr>
        <w:t>working</w:t>
      </w:r>
      <w:proofErr w:type="gramEnd"/>
      <w:r w:rsidRPr="00366501">
        <w:rPr>
          <w:b/>
          <w:bCs/>
          <w:i/>
          <w:iCs/>
        </w:rPr>
        <w:t xml:space="preserve"> day</w:t>
      </w:r>
      <w:r w:rsidR="00130BC1">
        <w:t xml:space="preserve">, in relation to a request, </w:t>
      </w:r>
      <w:r w:rsidRPr="00366501">
        <w:t>means</w:t>
      </w:r>
      <w:r w:rsidRPr="00254A2F">
        <w:t xml:space="preserve"> a day other than:</w:t>
      </w:r>
    </w:p>
    <w:p w14:paraId="6ACD9EAF" w14:textId="77777777" w:rsidR="00342B79" w:rsidRPr="00254A2F" w:rsidRDefault="00342B79" w:rsidP="00287170">
      <w:pPr>
        <w:pStyle w:val="paragraph"/>
      </w:pPr>
      <w:r w:rsidRPr="00254A2F">
        <w:tab/>
        <w:t>(a)</w:t>
      </w:r>
      <w:r w:rsidRPr="00254A2F">
        <w:tab/>
      </w:r>
      <w:proofErr w:type="gramStart"/>
      <w:r w:rsidRPr="00254A2F">
        <w:t>a</w:t>
      </w:r>
      <w:proofErr w:type="gramEnd"/>
      <w:r w:rsidRPr="00254A2F">
        <w:t xml:space="preserve"> Saturday or a Sunday; or</w:t>
      </w:r>
    </w:p>
    <w:p w14:paraId="6ACD9EB0" w14:textId="77777777" w:rsidR="00342B79" w:rsidRPr="00254A2F" w:rsidRDefault="00342B79" w:rsidP="00287170">
      <w:pPr>
        <w:pStyle w:val="paragraph"/>
      </w:pPr>
      <w:r w:rsidRPr="00254A2F">
        <w:tab/>
        <w:t>(b)</w:t>
      </w:r>
      <w:r w:rsidRPr="00254A2F">
        <w:tab/>
      </w:r>
      <w:proofErr w:type="gramStart"/>
      <w:r w:rsidRPr="00254A2F">
        <w:t>a</w:t>
      </w:r>
      <w:proofErr w:type="gramEnd"/>
      <w:r w:rsidRPr="00254A2F">
        <w:t xml:space="preserve"> day that is a public holiday or an Australian Public Service holiday in the place where the request is made.</w:t>
      </w:r>
    </w:p>
    <w:p w14:paraId="6ACD9EB1" w14:textId="77777777" w:rsidR="00C819A4" w:rsidRPr="004F12BC" w:rsidRDefault="00B40B11" w:rsidP="00C819A4">
      <w:pPr>
        <w:pStyle w:val="Note"/>
        <w:keepNext/>
        <w:rPr>
          <w:sz w:val="18"/>
          <w:szCs w:val="18"/>
        </w:rPr>
      </w:pPr>
      <w:r w:rsidRPr="00B40B11">
        <w:rPr>
          <w:sz w:val="18"/>
          <w:szCs w:val="18"/>
        </w:rPr>
        <w:t>Note:   The following words and expressions used in this Notice have the meaning given by the Act:</w:t>
      </w:r>
    </w:p>
    <w:p w14:paraId="6ACD9EB2" w14:textId="77777777" w:rsidR="00C819A4" w:rsidRPr="004F12BC" w:rsidRDefault="00B40B11" w:rsidP="00C819A4">
      <w:pPr>
        <w:pStyle w:val="definition0"/>
        <w:numPr>
          <w:ilvl w:val="0"/>
          <w:numId w:val="27"/>
        </w:numPr>
        <w:spacing w:before="120" w:line="240" w:lineRule="atLeast"/>
        <w:ind w:hanging="357"/>
        <w:contextualSpacing/>
        <w:rPr>
          <w:sz w:val="18"/>
          <w:szCs w:val="18"/>
        </w:rPr>
      </w:pPr>
      <w:r w:rsidRPr="00B40B11">
        <w:rPr>
          <w:sz w:val="18"/>
          <w:szCs w:val="18"/>
        </w:rPr>
        <w:t>ACMA (section 5)</w:t>
      </w:r>
    </w:p>
    <w:p w14:paraId="6ACD9EB3" w14:textId="77777777" w:rsidR="00C819A4" w:rsidRPr="004F12BC" w:rsidRDefault="00B40B11" w:rsidP="00C819A4">
      <w:pPr>
        <w:pStyle w:val="definition0"/>
        <w:numPr>
          <w:ilvl w:val="0"/>
          <w:numId w:val="27"/>
        </w:numPr>
        <w:spacing w:before="120" w:line="240" w:lineRule="atLeast"/>
        <w:ind w:hanging="357"/>
        <w:contextualSpacing/>
        <w:rPr>
          <w:sz w:val="18"/>
          <w:szCs w:val="18"/>
        </w:rPr>
      </w:pPr>
      <w:proofErr w:type="gramStart"/>
      <w:r w:rsidRPr="00B40B11">
        <w:rPr>
          <w:sz w:val="18"/>
          <w:szCs w:val="18"/>
        </w:rPr>
        <w:t>device</w:t>
      </w:r>
      <w:proofErr w:type="gramEnd"/>
      <w:r w:rsidRPr="00B40B11">
        <w:rPr>
          <w:sz w:val="18"/>
          <w:szCs w:val="18"/>
        </w:rPr>
        <w:t xml:space="preserve"> (subsection 9(1)).</w:t>
      </w:r>
    </w:p>
    <w:p w14:paraId="6ACD9EB4" w14:textId="77777777" w:rsidR="00342B79" w:rsidRPr="00254A2F" w:rsidRDefault="00C819A4" w:rsidP="00287170">
      <w:pPr>
        <w:pStyle w:val="subsection"/>
      </w:pPr>
      <w:r>
        <w:tab/>
      </w:r>
      <w:r w:rsidR="00342B79" w:rsidRPr="00254A2F">
        <w:t>(2)</w:t>
      </w:r>
      <w:r w:rsidR="00342B79" w:rsidRPr="00254A2F">
        <w:tab/>
        <w:t>A reference in this Notice to a standard is a reference to the standard as in force</w:t>
      </w:r>
      <w:r w:rsidR="00C6649A">
        <w:t xml:space="preserve"> or existing</w:t>
      </w:r>
      <w:r w:rsidR="00342B79" w:rsidRPr="00254A2F">
        <w:t xml:space="preserve"> from time to time.</w:t>
      </w:r>
    </w:p>
    <w:p w14:paraId="6ACD9EB5" w14:textId="77777777" w:rsidR="00342B79" w:rsidRPr="00254A2F" w:rsidRDefault="00342B79" w:rsidP="00287170">
      <w:pPr>
        <w:pStyle w:val="subsection"/>
      </w:pPr>
      <w:r w:rsidRPr="00254A2F">
        <w:tab/>
        <w:t>(3)</w:t>
      </w:r>
      <w:r w:rsidRPr="00254A2F">
        <w:tab/>
        <w:t xml:space="preserve">A reference in this Notice to a document with the prefix ‘AS/NZS’ is a reference to a document that is a joint Australian and New Zealand Standard approved for publication on behalf of Standards Australia and Standards New Zealand, as in force </w:t>
      </w:r>
      <w:r w:rsidR="00A32D0B">
        <w:t xml:space="preserve">or existing </w:t>
      </w:r>
      <w:r w:rsidRPr="00254A2F">
        <w:t>from time to time.</w:t>
      </w:r>
    </w:p>
    <w:p w14:paraId="6ACD9EB6" w14:textId="77777777" w:rsidR="00342B79" w:rsidRPr="00254A2F" w:rsidRDefault="00342B79" w:rsidP="00287170">
      <w:pPr>
        <w:pStyle w:val="subsection"/>
      </w:pPr>
      <w:r w:rsidRPr="00254A2F">
        <w:tab/>
        <w:t>(4)</w:t>
      </w:r>
      <w:r w:rsidRPr="00254A2F">
        <w:tab/>
        <w:t>A reference in this Notice to a device that complies with New Zealand labelling legislation is a reference to a device for which the following criteria are satisfied:</w:t>
      </w:r>
    </w:p>
    <w:p w14:paraId="6ACD9EB7" w14:textId="77777777" w:rsidR="00342B79" w:rsidRPr="00254A2F" w:rsidRDefault="00342B79" w:rsidP="00287170">
      <w:pPr>
        <w:pStyle w:val="paragraph"/>
      </w:pPr>
      <w:r w:rsidRPr="00254A2F">
        <w:tab/>
        <w:t>(a)</w:t>
      </w:r>
      <w:r w:rsidRPr="00254A2F">
        <w:tab/>
      </w:r>
      <w:proofErr w:type="gramStart"/>
      <w:r w:rsidRPr="00254A2F">
        <w:t>the</w:t>
      </w:r>
      <w:proofErr w:type="gramEnd"/>
      <w:r w:rsidRPr="00254A2F">
        <w:t xml:space="preserve"> device complies, within the meaning of the New Zealand Radio Standards Notice, with an applicable standard mentioned in</w:t>
      </w:r>
      <w:r w:rsidRPr="00254A2F">
        <w:rPr>
          <w:color w:val="000000"/>
        </w:rPr>
        <w:t xml:space="preserve"> Table 1 of that Notice, which has a level of conformity of 1, 2 or 3;</w:t>
      </w:r>
    </w:p>
    <w:p w14:paraId="6ACD9EB8" w14:textId="6F67942D" w:rsidR="00342B79" w:rsidRPr="00254A2F" w:rsidRDefault="00342B79" w:rsidP="00287170">
      <w:pPr>
        <w:pStyle w:val="paragraph"/>
      </w:pPr>
      <w:r w:rsidRPr="00254A2F">
        <w:tab/>
        <w:t>(b)</w:t>
      </w:r>
      <w:r w:rsidRPr="00254A2F">
        <w:tab/>
        <w:t xml:space="preserve">the supplier of the device, within the meaning of the New Zealand Compliance Notice, has the documents mentioned in </w:t>
      </w:r>
      <w:r w:rsidR="001E686D">
        <w:t xml:space="preserve">section </w:t>
      </w:r>
      <w:r w:rsidRPr="00254A2F">
        <w:t>4 of the New Zealand Compliance Notice for level of conformity 1, 2 or 3;</w:t>
      </w:r>
    </w:p>
    <w:p w14:paraId="6ACD9EB9" w14:textId="77777777" w:rsidR="00342B79" w:rsidRPr="00254A2F" w:rsidRDefault="00342B79" w:rsidP="00287170">
      <w:pPr>
        <w:pStyle w:val="paragraph"/>
      </w:pPr>
      <w:r w:rsidRPr="00254A2F">
        <w:lastRenderedPageBreak/>
        <w:tab/>
        <w:t>(c)</w:t>
      </w:r>
      <w:r w:rsidRPr="00254A2F">
        <w:tab/>
      </w:r>
      <w:proofErr w:type="gramStart"/>
      <w:r w:rsidRPr="00254A2F">
        <w:t>the</w:t>
      </w:r>
      <w:proofErr w:type="gramEnd"/>
      <w:r w:rsidRPr="00254A2F">
        <w:t xml:space="preserve"> device is labelled with a compliance mark within the meaning of the New Zealand Compliance Notice.</w:t>
      </w:r>
    </w:p>
    <w:p w14:paraId="6ACD9EBA" w14:textId="77777777" w:rsidR="00342B79" w:rsidRPr="00254A2F" w:rsidRDefault="00342B79" w:rsidP="00287170">
      <w:pPr>
        <w:pStyle w:val="ActHead5"/>
      </w:pPr>
      <w:bookmarkStart w:id="8" w:name="_Toc368055239"/>
      <w:proofErr w:type="gramStart"/>
      <w:r w:rsidRPr="00254A2F">
        <w:rPr>
          <w:rStyle w:val="CharSectno"/>
        </w:rPr>
        <w:t>5</w:t>
      </w:r>
      <w:r w:rsidR="008D742E">
        <w:rPr>
          <w:rStyle w:val="CharSectno"/>
        </w:rPr>
        <w:t xml:space="preserve"> </w:t>
      </w:r>
      <w:r w:rsidR="00A45C90">
        <w:rPr>
          <w:rStyle w:val="CharSectno"/>
        </w:rPr>
        <w:t xml:space="preserve"> </w:t>
      </w:r>
      <w:r w:rsidRPr="00254A2F">
        <w:t>Application</w:t>
      </w:r>
      <w:bookmarkEnd w:id="8"/>
      <w:proofErr w:type="gramEnd"/>
    </w:p>
    <w:p w14:paraId="6ACD9EBB" w14:textId="77777777" w:rsidR="00342B79" w:rsidRPr="00254A2F" w:rsidRDefault="00342B79" w:rsidP="00287170">
      <w:pPr>
        <w:pStyle w:val="subsection"/>
      </w:pPr>
      <w:r w:rsidRPr="00254A2F">
        <w:tab/>
        <w:t>(1)</w:t>
      </w:r>
      <w:r w:rsidRPr="00254A2F">
        <w:tab/>
        <w:t xml:space="preserve">Subject to </w:t>
      </w:r>
      <w:r w:rsidR="00254A2F">
        <w:t>subsections (</w:t>
      </w:r>
      <w:r w:rsidRPr="00254A2F">
        <w:t>2) and (3), this Notice applies to a device that:</w:t>
      </w:r>
    </w:p>
    <w:p w14:paraId="6ACD9EBC" w14:textId="77777777" w:rsidR="00342B79" w:rsidRPr="00254A2F" w:rsidRDefault="00342B79" w:rsidP="00287170">
      <w:pPr>
        <w:pStyle w:val="paragraph"/>
      </w:pPr>
      <w:r w:rsidRPr="00254A2F">
        <w:tab/>
        <w:t>(a)</w:t>
      </w:r>
      <w:r w:rsidRPr="00254A2F">
        <w:tab/>
      </w:r>
      <w:proofErr w:type="gramStart"/>
      <w:r w:rsidRPr="00254A2F">
        <w:t>is</w:t>
      </w:r>
      <w:proofErr w:type="gramEnd"/>
      <w:r w:rsidRPr="00254A2F">
        <w:t xml:space="preserve"> manufactured in or imported into Australia for supply; and</w:t>
      </w:r>
    </w:p>
    <w:p w14:paraId="6ACD9EBD" w14:textId="77777777" w:rsidR="00342B79" w:rsidRPr="00254A2F" w:rsidRDefault="00342B79" w:rsidP="00287170">
      <w:pPr>
        <w:pStyle w:val="paragraph"/>
      </w:pPr>
      <w:r w:rsidRPr="00254A2F">
        <w:tab/>
        <w:t>(b)</w:t>
      </w:r>
      <w:r w:rsidRPr="00254A2F">
        <w:tab/>
      </w:r>
      <w:proofErr w:type="gramStart"/>
      <w:r w:rsidRPr="00254A2F">
        <w:t>is</w:t>
      </w:r>
      <w:proofErr w:type="gramEnd"/>
      <w:r w:rsidRPr="00254A2F">
        <w:t xml:space="preserve"> a device to which an applicable standard applies.</w:t>
      </w:r>
    </w:p>
    <w:p w14:paraId="6ACD9EBE" w14:textId="77777777" w:rsidR="00342B79" w:rsidRPr="00254A2F" w:rsidRDefault="00342B79" w:rsidP="00287170">
      <w:pPr>
        <w:pStyle w:val="subsection"/>
      </w:pPr>
      <w:r w:rsidRPr="00254A2F">
        <w:tab/>
        <w:t>(2)</w:t>
      </w:r>
      <w:r w:rsidRPr="00254A2F">
        <w:tab/>
        <w:t>This Notice does not apply to a device that is imported or manufactured otherwise than for supply in Australia.</w:t>
      </w:r>
    </w:p>
    <w:p w14:paraId="6ACD9EBF" w14:textId="77777777" w:rsidR="00342B79" w:rsidRPr="00254A2F" w:rsidRDefault="00342B79" w:rsidP="00287170">
      <w:pPr>
        <w:pStyle w:val="subsection"/>
      </w:pPr>
      <w:r w:rsidRPr="00254A2F">
        <w:tab/>
        <w:t>(3)</w:t>
      </w:r>
      <w:r w:rsidRPr="00254A2F">
        <w:tab/>
        <w:t>Parts</w:t>
      </w:r>
      <w:r w:rsidR="00254A2F">
        <w:t> </w:t>
      </w:r>
      <w:r w:rsidRPr="00254A2F">
        <w:t>2, 3 and 4 of this Notice do not apply to a device that:</w:t>
      </w:r>
    </w:p>
    <w:p w14:paraId="6ACD9EC0" w14:textId="77777777" w:rsidR="00342B79" w:rsidRPr="00254A2F" w:rsidRDefault="00342B79" w:rsidP="00287170">
      <w:pPr>
        <w:pStyle w:val="paragraph"/>
      </w:pPr>
      <w:r w:rsidRPr="00254A2F">
        <w:tab/>
        <w:t>(a)</w:t>
      </w:r>
      <w:r w:rsidRPr="00254A2F">
        <w:tab/>
      </w:r>
      <w:proofErr w:type="gramStart"/>
      <w:r w:rsidRPr="00254A2F">
        <w:t>is</w:t>
      </w:r>
      <w:proofErr w:type="gramEnd"/>
      <w:r w:rsidRPr="00254A2F">
        <w:t xml:space="preserve"> imported into Australia from New Zealand for supply; and</w:t>
      </w:r>
    </w:p>
    <w:p w14:paraId="6ACD9EC1" w14:textId="77777777" w:rsidR="00342B79" w:rsidRPr="00254A2F" w:rsidRDefault="00342B79" w:rsidP="00287170">
      <w:pPr>
        <w:pStyle w:val="paragraph"/>
      </w:pPr>
      <w:r w:rsidRPr="00254A2F">
        <w:tab/>
        <w:t>(b)</w:t>
      </w:r>
      <w:r w:rsidRPr="00254A2F">
        <w:tab/>
      </w:r>
      <w:proofErr w:type="gramStart"/>
      <w:r w:rsidRPr="00254A2F">
        <w:t>complies</w:t>
      </w:r>
      <w:proofErr w:type="gramEnd"/>
      <w:r w:rsidRPr="00254A2F">
        <w:t xml:space="preserve"> with New Zealand labelling legislation.</w:t>
      </w:r>
    </w:p>
    <w:p w14:paraId="6ACD9EC2" w14:textId="77777777" w:rsidR="00342B79" w:rsidRPr="00254A2F" w:rsidRDefault="00287170" w:rsidP="00287170">
      <w:pPr>
        <w:pStyle w:val="notetext"/>
      </w:pPr>
      <w:r w:rsidRPr="00254A2F">
        <w:rPr>
          <w:iCs/>
        </w:rPr>
        <w:t>Note:</w:t>
      </w:r>
      <w:r w:rsidRPr="00254A2F">
        <w:rPr>
          <w:iCs/>
        </w:rPr>
        <w:tab/>
      </w:r>
      <w:r w:rsidR="00342B79" w:rsidRPr="00254A2F">
        <w:t>Subsection</w:t>
      </w:r>
      <w:r w:rsidR="00254A2F">
        <w:t> </w:t>
      </w:r>
      <w:r w:rsidR="00342B79" w:rsidRPr="00254A2F">
        <w:t>4(4) explains when a device complies with New Zealand labelling legislation.</w:t>
      </w:r>
    </w:p>
    <w:p w14:paraId="6ACD9EC3" w14:textId="73AC6E8B" w:rsidR="00B40B11" w:rsidRDefault="00342B79" w:rsidP="00B40B11">
      <w:pPr>
        <w:pStyle w:val="ActHead5"/>
        <w:ind w:left="0" w:firstLine="0"/>
      </w:pPr>
      <w:bookmarkStart w:id="9" w:name="_Toc368055240"/>
      <w:proofErr w:type="gramStart"/>
      <w:r w:rsidRPr="00254A2F">
        <w:rPr>
          <w:rStyle w:val="CharSectno"/>
        </w:rPr>
        <w:t>6</w:t>
      </w:r>
      <w:r w:rsidR="008D742E">
        <w:rPr>
          <w:rStyle w:val="CharSectno"/>
        </w:rPr>
        <w:t xml:space="preserve"> </w:t>
      </w:r>
      <w:r w:rsidR="00A45C90">
        <w:rPr>
          <w:rStyle w:val="CharSectno"/>
        </w:rPr>
        <w:t xml:space="preserve"> </w:t>
      </w:r>
      <w:r w:rsidRPr="00254A2F">
        <w:t>Relationship</w:t>
      </w:r>
      <w:proofErr w:type="gramEnd"/>
      <w:r w:rsidRPr="00254A2F">
        <w:t xml:space="preserve"> between this Notice and </w:t>
      </w:r>
      <w:r w:rsidR="007E33AC">
        <w:t xml:space="preserve">instruments made under section 407 of the </w:t>
      </w:r>
      <w:r w:rsidR="00B40B11" w:rsidRPr="00B40B11">
        <w:rPr>
          <w:i/>
        </w:rPr>
        <w:t>Telecommunications Act 1997</w:t>
      </w:r>
      <w:r w:rsidR="007E33AC" w:rsidRPr="00254A2F">
        <w:t xml:space="preserve"> </w:t>
      </w:r>
      <w:bookmarkEnd w:id="9"/>
    </w:p>
    <w:p w14:paraId="6ACD9EC4" w14:textId="77777777" w:rsidR="00342B79" w:rsidRPr="00254A2F" w:rsidRDefault="00342B79" w:rsidP="00287170">
      <w:pPr>
        <w:pStyle w:val="subsection"/>
      </w:pPr>
      <w:r w:rsidRPr="00254A2F">
        <w:tab/>
      </w:r>
      <w:r w:rsidRPr="00254A2F">
        <w:tab/>
        <w:t xml:space="preserve">If a device to which this Notice applies is also an item of customer equipment or customer cabling to which </w:t>
      </w:r>
      <w:r w:rsidR="007B1F0E">
        <w:t xml:space="preserve">an instrument made under section 407 of the </w:t>
      </w:r>
      <w:r w:rsidR="007B1F0E" w:rsidRPr="007B1F0E">
        <w:rPr>
          <w:i/>
        </w:rPr>
        <w:t>Telecommunications Act 1997</w:t>
      </w:r>
      <w:r w:rsidR="007B1F0E">
        <w:rPr>
          <w:i/>
        </w:rPr>
        <w:t xml:space="preserve"> </w:t>
      </w:r>
      <w:r w:rsidRPr="00254A2F">
        <w:t>applies:</w:t>
      </w:r>
    </w:p>
    <w:p w14:paraId="6ACD9EC5" w14:textId="77777777" w:rsidR="00342B79" w:rsidRPr="00254A2F" w:rsidRDefault="00342B79" w:rsidP="00287170">
      <w:pPr>
        <w:pStyle w:val="paragraph"/>
      </w:pPr>
      <w:r w:rsidRPr="00254A2F">
        <w:tab/>
        <w:t>(a)</w:t>
      </w:r>
      <w:r w:rsidRPr="00254A2F">
        <w:tab/>
      </w:r>
      <w:proofErr w:type="gramStart"/>
      <w:r w:rsidRPr="00254A2F">
        <w:t>the</w:t>
      </w:r>
      <w:proofErr w:type="gramEnd"/>
      <w:r w:rsidRPr="00254A2F">
        <w:t xml:space="preserve"> requirements in this Notice (other than </w:t>
      </w:r>
      <w:r w:rsidR="00287170" w:rsidRPr="00254A2F">
        <w:t>Part</w:t>
      </w:r>
      <w:r w:rsidR="00254A2F">
        <w:t> </w:t>
      </w:r>
      <w:r w:rsidRPr="00254A2F">
        <w:t xml:space="preserve">2) are additional to the requirements under that </w:t>
      </w:r>
      <w:r w:rsidR="00BC3624">
        <w:t>instrument</w:t>
      </w:r>
      <w:r w:rsidRPr="00254A2F">
        <w:t>; and</w:t>
      </w:r>
    </w:p>
    <w:p w14:paraId="6ACD9EC6" w14:textId="77777777" w:rsidR="00342B79" w:rsidRPr="00254A2F" w:rsidRDefault="00342B79" w:rsidP="00287170">
      <w:pPr>
        <w:pStyle w:val="paragraph"/>
      </w:pPr>
      <w:r w:rsidRPr="00254A2F">
        <w:tab/>
        <w:t>(b)</w:t>
      </w:r>
      <w:r w:rsidRPr="00254A2F">
        <w:tab/>
      </w:r>
      <w:r w:rsidR="00287170" w:rsidRPr="00254A2F">
        <w:t>Part</w:t>
      </w:r>
      <w:r w:rsidR="00254A2F">
        <w:t> </w:t>
      </w:r>
      <w:r w:rsidRPr="00254A2F">
        <w:t>2 of this Notice does not apply in relation to the device; and</w:t>
      </w:r>
    </w:p>
    <w:p w14:paraId="6ACD9EC7" w14:textId="77777777" w:rsidR="00342B79" w:rsidRPr="00254A2F" w:rsidRDefault="00342B79" w:rsidP="00287170">
      <w:pPr>
        <w:pStyle w:val="paragraph"/>
      </w:pPr>
      <w:r w:rsidRPr="00254A2F">
        <w:tab/>
        <w:t>(c)</w:t>
      </w:r>
      <w:r w:rsidRPr="00254A2F">
        <w:tab/>
      </w:r>
      <w:proofErr w:type="gramStart"/>
      <w:r w:rsidRPr="00254A2F">
        <w:t>a</w:t>
      </w:r>
      <w:proofErr w:type="gramEnd"/>
      <w:r w:rsidRPr="00254A2F">
        <w:t xml:space="preserve"> reference in this Notice (except in subsection</w:t>
      </w:r>
      <w:r w:rsidR="00254A2F">
        <w:t> </w:t>
      </w:r>
      <w:r w:rsidRPr="00254A2F">
        <w:t xml:space="preserve">4(1)) to a compliance label includes a reference to a compliance label under that </w:t>
      </w:r>
      <w:r w:rsidR="00BC3624">
        <w:t>instrument</w:t>
      </w:r>
      <w:r w:rsidRPr="00254A2F">
        <w:t>.</w:t>
      </w:r>
    </w:p>
    <w:p w14:paraId="6ACD9EC8" w14:textId="77777777" w:rsidR="00B40B11" w:rsidRDefault="00342B79" w:rsidP="00B40B11">
      <w:pPr>
        <w:pStyle w:val="ActHead5"/>
        <w:ind w:left="0" w:firstLine="0"/>
      </w:pPr>
      <w:bookmarkStart w:id="10" w:name="_Toc368055241"/>
      <w:proofErr w:type="gramStart"/>
      <w:r w:rsidRPr="009B7ABB">
        <w:rPr>
          <w:rStyle w:val="CharSectno"/>
        </w:rPr>
        <w:t>7</w:t>
      </w:r>
      <w:r w:rsidR="008D742E" w:rsidRPr="009B7ABB">
        <w:rPr>
          <w:rStyle w:val="CharSectno"/>
        </w:rPr>
        <w:t xml:space="preserve"> </w:t>
      </w:r>
      <w:r w:rsidR="00A45C90" w:rsidRPr="009B7ABB">
        <w:rPr>
          <w:rStyle w:val="CharSectno"/>
        </w:rPr>
        <w:t xml:space="preserve"> </w:t>
      </w:r>
      <w:r w:rsidRPr="009B7ABB">
        <w:t>Relationship</w:t>
      </w:r>
      <w:proofErr w:type="gramEnd"/>
      <w:r w:rsidRPr="009B7ABB">
        <w:t xml:space="preserve"> between this Notice and </w:t>
      </w:r>
      <w:r w:rsidR="007E33AC" w:rsidRPr="009B7ABB">
        <w:t>instruments made under section 182 of the Act</w:t>
      </w:r>
      <w:bookmarkEnd w:id="10"/>
    </w:p>
    <w:p w14:paraId="6ACD9EC9" w14:textId="633311B6" w:rsidR="00342B79" w:rsidRPr="00254A2F" w:rsidRDefault="00342B79" w:rsidP="00287170">
      <w:pPr>
        <w:pStyle w:val="subsection"/>
      </w:pPr>
      <w:r w:rsidRPr="00254A2F">
        <w:tab/>
      </w:r>
      <w:r w:rsidRPr="00254A2F">
        <w:tab/>
        <w:t xml:space="preserve">If a device to which this Notice applies is also a device to which </w:t>
      </w:r>
      <w:r w:rsidR="009B7ABB">
        <w:t xml:space="preserve">another notice made under section 182 of the Act </w:t>
      </w:r>
      <w:proofErr w:type="gramStart"/>
      <w:r w:rsidR="009B7ABB">
        <w:t>applies</w:t>
      </w:r>
      <w:r w:rsidR="00366501">
        <w:t xml:space="preserve"> </w:t>
      </w:r>
      <w:r w:rsidRPr="00254A2F">
        <w:t>,</w:t>
      </w:r>
      <w:proofErr w:type="gramEnd"/>
      <w:r w:rsidRPr="00254A2F">
        <w:t xml:space="preserve"> the requirements in this Notice are additional to the requirements under </w:t>
      </w:r>
      <w:r w:rsidR="009B7ABB">
        <w:t>th</w:t>
      </w:r>
      <w:r w:rsidR="00130BC1">
        <w:t>at</w:t>
      </w:r>
      <w:r w:rsidR="009B7ABB">
        <w:t xml:space="preserve"> notice</w:t>
      </w:r>
      <w:r w:rsidRPr="00254A2F">
        <w:t>.</w:t>
      </w:r>
    </w:p>
    <w:p w14:paraId="6ACD9ECA" w14:textId="62261B32" w:rsidR="00342B79" w:rsidRPr="00254A2F" w:rsidRDefault="00287170" w:rsidP="00287170">
      <w:pPr>
        <w:pStyle w:val="notetext"/>
      </w:pPr>
      <w:r w:rsidRPr="00254A2F">
        <w:rPr>
          <w:iCs/>
        </w:rPr>
        <w:t>Note:</w:t>
      </w:r>
      <w:r w:rsidRPr="00254A2F">
        <w:rPr>
          <w:iCs/>
        </w:rPr>
        <w:tab/>
      </w:r>
      <w:r w:rsidR="00342B79" w:rsidRPr="00254A2F">
        <w:t>An effect of section</w:t>
      </w:r>
      <w:r w:rsidR="00254A2F">
        <w:t> </w:t>
      </w:r>
      <w:r w:rsidR="00342B79" w:rsidRPr="00254A2F">
        <w:t xml:space="preserve">7 is that a </w:t>
      </w:r>
      <w:r w:rsidR="00FF324D" w:rsidRPr="00254A2F">
        <w:t>compliance</w:t>
      </w:r>
      <w:r w:rsidR="00342B79" w:rsidRPr="00254A2F">
        <w:t xml:space="preserve"> mark can only be applied to a device if it complies with the requirements of this Notice</w:t>
      </w:r>
      <w:r w:rsidR="009B7ABB">
        <w:t xml:space="preserve">, </w:t>
      </w:r>
      <w:r w:rsidR="00342B79" w:rsidRPr="00254A2F">
        <w:t xml:space="preserve">the </w:t>
      </w:r>
      <w:r w:rsidR="00B40B11" w:rsidRPr="00446D7F">
        <w:rPr>
          <w:i/>
          <w:iCs/>
        </w:rPr>
        <w:t>Radiocommunications (Compliance Labelling—Electromagnetic Radiation) Notice 20</w:t>
      </w:r>
      <w:r w:rsidR="004C4CD2">
        <w:rPr>
          <w:i/>
          <w:iCs/>
        </w:rPr>
        <w:t>14</w:t>
      </w:r>
      <w:r w:rsidR="009B7ABB">
        <w:rPr>
          <w:i/>
          <w:iCs/>
        </w:rPr>
        <w:t xml:space="preserve"> </w:t>
      </w:r>
      <w:r w:rsidR="009B7ABB">
        <w:rPr>
          <w:iCs/>
        </w:rPr>
        <w:t xml:space="preserve">and the </w:t>
      </w:r>
      <w:r w:rsidR="009B7ABB" w:rsidRPr="009B7ABB">
        <w:rPr>
          <w:i/>
          <w:iCs/>
        </w:rPr>
        <w:t xml:space="preserve">Radiocommunications Labelling (Electromagnetic Compatibility) Notice </w:t>
      </w:r>
      <w:proofErr w:type="gramStart"/>
      <w:r w:rsidR="009B7ABB" w:rsidRPr="009B7ABB">
        <w:rPr>
          <w:i/>
          <w:iCs/>
        </w:rPr>
        <w:t>2008</w:t>
      </w:r>
      <w:r w:rsidR="009B7ABB">
        <w:rPr>
          <w:iCs/>
        </w:rPr>
        <w:t xml:space="preserve"> </w:t>
      </w:r>
      <w:r w:rsidR="00342B79" w:rsidRPr="00254A2F">
        <w:t>.</w:t>
      </w:r>
      <w:proofErr w:type="gramEnd"/>
    </w:p>
    <w:p w14:paraId="6ACD9ECB" w14:textId="77FEEDE7" w:rsidR="00342B79" w:rsidRPr="00284C36" w:rsidRDefault="00287170" w:rsidP="00F11095">
      <w:pPr>
        <w:pStyle w:val="ActHead2"/>
        <w:pageBreakBefore/>
        <w:rPr>
          <w:rFonts w:ascii="Arial" w:hAnsi="Arial" w:cs="Arial"/>
        </w:rPr>
      </w:pPr>
      <w:bookmarkStart w:id="11" w:name="_Toc368055242"/>
      <w:r w:rsidRPr="00284C36">
        <w:rPr>
          <w:rStyle w:val="CharPartNo"/>
          <w:rFonts w:ascii="Arial" w:hAnsi="Arial" w:cs="Arial"/>
          <w:noProof/>
          <w:kern w:val="0"/>
          <w:szCs w:val="24"/>
          <w:lang w:eastAsia="en-US"/>
        </w:rPr>
        <w:lastRenderedPageBreak/>
        <w:t>Part</w:t>
      </w:r>
      <w:r w:rsidR="00254A2F" w:rsidRPr="00284C36">
        <w:rPr>
          <w:rStyle w:val="CharPartNo"/>
          <w:rFonts w:ascii="Arial" w:hAnsi="Arial" w:cs="Arial"/>
          <w:noProof/>
          <w:kern w:val="0"/>
          <w:szCs w:val="24"/>
          <w:lang w:eastAsia="en-US"/>
        </w:rPr>
        <w:t> </w:t>
      </w:r>
      <w:r w:rsidR="00342B79" w:rsidRPr="00284C36">
        <w:rPr>
          <w:rStyle w:val="CharPartNo"/>
          <w:rFonts w:ascii="Arial" w:hAnsi="Arial" w:cs="Arial"/>
          <w:noProof/>
          <w:kern w:val="0"/>
          <w:szCs w:val="24"/>
          <w:lang w:eastAsia="en-US"/>
        </w:rPr>
        <w:t>2</w:t>
      </w:r>
      <w:r w:rsidR="009E1FC6" w:rsidRPr="00284C36">
        <w:rPr>
          <w:rStyle w:val="CharPartNo"/>
          <w:rFonts w:ascii="Arial" w:hAnsi="Arial" w:cs="Arial"/>
          <w:noProof/>
          <w:kern w:val="0"/>
          <w:szCs w:val="24"/>
          <w:lang w:eastAsia="en-US"/>
        </w:rPr>
        <w:tab/>
      </w:r>
      <w:r w:rsidR="00342B79" w:rsidRPr="00284C36">
        <w:rPr>
          <w:rStyle w:val="CharPartText"/>
          <w:rFonts w:ascii="Arial" w:hAnsi="Arial" w:cs="Arial"/>
        </w:rPr>
        <w:t>Form and placement of compliance labels</w:t>
      </w:r>
      <w:bookmarkEnd w:id="11"/>
    </w:p>
    <w:p w14:paraId="6ACD9ECC" w14:textId="77777777" w:rsidR="00342B79" w:rsidRPr="00254A2F" w:rsidRDefault="00342B79" w:rsidP="007F0341">
      <w:pPr>
        <w:pStyle w:val="Header"/>
      </w:pPr>
    </w:p>
    <w:p w14:paraId="6ACD9ECD" w14:textId="77777777" w:rsidR="00342B79" w:rsidRPr="00254A2F" w:rsidRDefault="00342B79" w:rsidP="00287170">
      <w:pPr>
        <w:pStyle w:val="ActHead5"/>
      </w:pPr>
      <w:bookmarkStart w:id="12" w:name="_Toc368055243"/>
      <w:proofErr w:type="gramStart"/>
      <w:r w:rsidRPr="00254A2F">
        <w:rPr>
          <w:rStyle w:val="CharSectno"/>
        </w:rPr>
        <w:t>8</w:t>
      </w:r>
      <w:r w:rsidR="008D742E">
        <w:rPr>
          <w:rStyle w:val="CharSectno"/>
        </w:rPr>
        <w:t xml:space="preserve"> </w:t>
      </w:r>
      <w:r w:rsidR="00A45C90">
        <w:rPr>
          <w:rStyle w:val="CharSectno"/>
        </w:rPr>
        <w:t xml:space="preserve"> </w:t>
      </w:r>
      <w:r w:rsidRPr="00254A2F">
        <w:t>Who</w:t>
      </w:r>
      <w:proofErr w:type="gramEnd"/>
      <w:r w:rsidRPr="00254A2F">
        <w:t xml:space="preserve"> must apply a compliance label to a device</w:t>
      </w:r>
      <w:bookmarkEnd w:id="12"/>
    </w:p>
    <w:p w14:paraId="6ACD9ECE" w14:textId="77777777" w:rsidR="00342B79" w:rsidRPr="00254A2F" w:rsidRDefault="00342B79" w:rsidP="00287170">
      <w:pPr>
        <w:pStyle w:val="subsection"/>
      </w:pPr>
      <w:r w:rsidRPr="00254A2F">
        <w:tab/>
        <w:t>(1)</w:t>
      </w:r>
      <w:r w:rsidRPr="00254A2F">
        <w:tab/>
        <w:t>If a device is manufactured in Australia, a label must be applied to the device as a compliance label by 1 of the following persons:</w:t>
      </w:r>
    </w:p>
    <w:p w14:paraId="6ACD9ECF" w14:textId="77777777" w:rsidR="00342B79" w:rsidRPr="00254A2F" w:rsidRDefault="00342B79" w:rsidP="00287170">
      <w:pPr>
        <w:pStyle w:val="paragraph"/>
      </w:pPr>
      <w:r w:rsidRPr="00254A2F">
        <w:rPr>
          <w:color w:val="000000"/>
        </w:rPr>
        <w:tab/>
        <w:t>(a)</w:t>
      </w:r>
      <w:r w:rsidRPr="00254A2F">
        <w:rPr>
          <w:color w:val="000000"/>
        </w:rPr>
        <w:tab/>
      </w:r>
      <w:proofErr w:type="gramStart"/>
      <w:r w:rsidRPr="00254A2F">
        <w:rPr>
          <w:color w:val="000000"/>
        </w:rPr>
        <w:t>the</w:t>
      </w:r>
      <w:proofErr w:type="gramEnd"/>
      <w:r w:rsidRPr="00254A2F">
        <w:rPr>
          <w:color w:val="000000"/>
        </w:rPr>
        <w:t xml:space="preserve"> manufacturer; </w:t>
      </w:r>
    </w:p>
    <w:p w14:paraId="6ACD9ED0" w14:textId="77777777" w:rsidR="00342B79" w:rsidRPr="00254A2F" w:rsidRDefault="00342B79" w:rsidP="00287170">
      <w:pPr>
        <w:pStyle w:val="paragraph"/>
      </w:pPr>
      <w:r w:rsidRPr="00254A2F">
        <w:tab/>
        <w:t>(b)</w:t>
      </w:r>
      <w:r w:rsidRPr="00254A2F">
        <w:tab/>
      </w:r>
      <w:proofErr w:type="gramStart"/>
      <w:r w:rsidRPr="00254A2F">
        <w:t>an</w:t>
      </w:r>
      <w:proofErr w:type="gramEnd"/>
      <w:r w:rsidRPr="00254A2F">
        <w:t xml:space="preserve"> agent of the manufacturer; </w:t>
      </w:r>
    </w:p>
    <w:p w14:paraId="6ACD9ED1" w14:textId="77777777" w:rsidR="00342B79" w:rsidRPr="00254A2F" w:rsidRDefault="00342B79" w:rsidP="00287170">
      <w:pPr>
        <w:pStyle w:val="paragraph"/>
      </w:pPr>
      <w:r w:rsidRPr="00254A2F">
        <w:tab/>
        <w:t>(c)</w:t>
      </w:r>
      <w:r w:rsidRPr="00254A2F">
        <w:tab/>
      </w:r>
      <w:proofErr w:type="gramStart"/>
      <w:r w:rsidRPr="00254A2F">
        <w:t>a</w:t>
      </w:r>
      <w:proofErr w:type="gramEnd"/>
      <w:r w:rsidRPr="00254A2F">
        <w:t xml:space="preserve"> person who is authorised by the manufacturer, or an agent of the manufacturer, to apply labels on behalf of the manufacturer or agent.</w:t>
      </w:r>
    </w:p>
    <w:p w14:paraId="6ACD9ED2" w14:textId="77777777" w:rsidR="00342B79" w:rsidRPr="00254A2F" w:rsidRDefault="00287170" w:rsidP="00287170">
      <w:pPr>
        <w:pStyle w:val="notetext"/>
      </w:pPr>
      <w:r w:rsidRPr="00254A2F">
        <w:rPr>
          <w:iCs/>
        </w:rPr>
        <w:t>Note:</w:t>
      </w:r>
      <w:r w:rsidRPr="00254A2F">
        <w:rPr>
          <w:iCs/>
        </w:rPr>
        <w:tab/>
      </w:r>
      <w:r w:rsidR="00342B79" w:rsidRPr="00254A2F">
        <w:t>A compliance label is described in subsection</w:t>
      </w:r>
      <w:r w:rsidR="00254A2F">
        <w:t> </w:t>
      </w:r>
      <w:r w:rsidR="00342B79" w:rsidRPr="00254A2F">
        <w:t>9(1).</w:t>
      </w:r>
    </w:p>
    <w:p w14:paraId="6ACD9ED3" w14:textId="77777777" w:rsidR="00342B79" w:rsidRPr="00254A2F" w:rsidRDefault="00342B79" w:rsidP="00287170">
      <w:pPr>
        <w:pStyle w:val="subsection"/>
      </w:pPr>
      <w:r w:rsidRPr="00254A2F">
        <w:tab/>
        <w:t>(2)</w:t>
      </w:r>
      <w:r w:rsidRPr="00254A2F">
        <w:tab/>
        <w:t>If a device is manufactured outside Australia, a label must be applied to the device as a compliance label by 1 of the following persons:</w:t>
      </w:r>
    </w:p>
    <w:p w14:paraId="6ACD9ED4" w14:textId="77777777" w:rsidR="00342B79" w:rsidRPr="00254A2F" w:rsidRDefault="00342B79" w:rsidP="00287170">
      <w:pPr>
        <w:pStyle w:val="paragraph"/>
      </w:pPr>
      <w:r w:rsidRPr="00254A2F">
        <w:rPr>
          <w:color w:val="000000"/>
        </w:rPr>
        <w:tab/>
        <w:t>(a)</w:t>
      </w:r>
      <w:r w:rsidRPr="00254A2F">
        <w:rPr>
          <w:color w:val="000000"/>
        </w:rPr>
        <w:tab/>
      </w:r>
      <w:proofErr w:type="gramStart"/>
      <w:r w:rsidRPr="00254A2F">
        <w:rPr>
          <w:color w:val="000000"/>
        </w:rPr>
        <w:t>the</w:t>
      </w:r>
      <w:proofErr w:type="gramEnd"/>
      <w:r w:rsidRPr="00254A2F">
        <w:rPr>
          <w:color w:val="000000"/>
        </w:rPr>
        <w:t xml:space="preserve"> importer; </w:t>
      </w:r>
    </w:p>
    <w:p w14:paraId="6ACD9ED5" w14:textId="77777777" w:rsidR="00342B79" w:rsidRPr="00254A2F" w:rsidRDefault="00342B79" w:rsidP="00287170">
      <w:pPr>
        <w:pStyle w:val="paragraph"/>
      </w:pPr>
      <w:r w:rsidRPr="00254A2F">
        <w:tab/>
        <w:t>(b)</w:t>
      </w:r>
      <w:r w:rsidRPr="00254A2F">
        <w:tab/>
      </w:r>
      <w:proofErr w:type="gramStart"/>
      <w:r w:rsidRPr="00254A2F">
        <w:t>an</w:t>
      </w:r>
      <w:proofErr w:type="gramEnd"/>
      <w:r w:rsidRPr="00254A2F">
        <w:t xml:space="preserve"> agent of the importer;</w:t>
      </w:r>
    </w:p>
    <w:p w14:paraId="6ACD9ED6" w14:textId="77777777" w:rsidR="00342B79" w:rsidRPr="00254A2F" w:rsidRDefault="00342B79" w:rsidP="00287170">
      <w:pPr>
        <w:pStyle w:val="paragraph"/>
      </w:pPr>
      <w:r w:rsidRPr="00254A2F">
        <w:tab/>
        <w:t>(c)</w:t>
      </w:r>
      <w:r w:rsidRPr="00254A2F">
        <w:tab/>
      </w:r>
      <w:proofErr w:type="gramStart"/>
      <w:r w:rsidRPr="00254A2F">
        <w:t>a</w:t>
      </w:r>
      <w:proofErr w:type="gramEnd"/>
      <w:r w:rsidRPr="00254A2F">
        <w:t xml:space="preserve"> person who is authorised in writing by the importer or agent to act outside Australia as an agent of the importer for </w:t>
      </w:r>
      <w:r w:rsidR="00287170" w:rsidRPr="00254A2F">
        <w:t>Division</w:t>
      </w:r>
      <w:r w:rsidR="00254A2F">
        <w:t> </w:t>
      </w:r>
      <w:r w:rsidRPr="00254A2F">
        <w:t xml:space="preserve">7 of </w:t>
      </w:r>
      <w:r w:rsidR="00287170" w:rsidRPr="00254A2F">
        <w:t>Part</w:t>
      </w:r>
      <w:r w:rsidR="00254A2F">
        <w:t> </w:t>
      </w:r>
      <w:r w:rsidRPr="00254A2F">
        <w:t>4.1 of the Act.</w:t>
      </w:r>
    </w:p>
    <w:p w14:paraId="6ACD9ED7" w14:textId="77777777" w:rsidR="00342B79" w:rsidRPr="00254A2F" w:rsidRDefault="00342B79" w:rsidP="00287170">
      <w:pPr>
        <w:pStyle w:val="subsection"/>
      </w:pPr>
      <w:r w:rsidRPr="00254A2F">
        <w:tab/>
        <w:t>(3)</w:t>
      </w:r>
      <w:r w:rsidRPr="00254A2F">
        <w:tab/>
        <w:t>If a device:</w:t>
      </w:r>
    </w:p>
    <w:p w14:paraId="6ACD9ED8" w14:textId="77777777" w:rsidR="00342B79" w:rsidRPr="00254A2F" w:rsidRDefault="00342B79" w:rsidP="00287170">
      <w:pPr>
        <w:pStyle w:val="paragraph"/>
      </w:pPr>
      <w:r w:rsidRPr="00254A2F">
        <w:tab/>
        <w:t>(a)</w:t>
      </w:r>
      <w:r w:rsidRPr="00254A2F">
        <w:tab/>
      </w:r>
      <w:proofErr w:type="gramStart"/>
      <w:r w:rsidRPr="00254A2F">
        <w:t>is</w:t>
      </w:r>
      <w:proofErr w:type="gramEnd"/>
      <w:r w:rsidRPr="00254A2F">
        <w:t xml:space="preserve"> either:</w:t>
      </w:r>
    </w:p>
    <w:p w14:paraId="6ACD9ED9" w14:textId="77777777" w:rsidR="00342B79" w:rsidRPr="00254A2F" w:rsidRDefault="00342B79" w:rsidP="00287170">
      <w:pPr>
        <w:pStyle w:val="paragraphsub"/>
      </w:pPr>
      <w:r w:rsidRPr="00254A2F">
        <w:tab/>
        <w:t>(</w:t>
      </w:r>
      <w:proofErr w:type="spellStart"/>
      <w:r w:rsidRPr="00254A2F">
        <w:t>i</w:t>
      </w:r>
      <w:proofErr w:type="spellEnd"/>
      <w:r w:rsidRPr="00254A2F">
        <w:t>)</w:t>
      </w:r>
      <w:r w:rsidRPr="00254A2F">
        <w:tab/>
        <w:t>manufactured as part of a motor vehicle, or installed in a motor vehicle, by a member of the Federal Chamber of Automotive Industries; or</w:t>
      </w:r>
    </w:p>
    <w:p w14:paraId="6ACD9EDA" w14:textId="77777777" w:rsidR="00342B79" w:rsidRPr="00254A2F" w:rsidRDefault="00342B79" w:rsidP="00287170">
      <w:pPr>
        <w:pStyle w:val="paragraphsub"/>
      </w:pPr>
      <w:r w:rsidRPr="00254A2F">
        <w:tab/>
        <w:t>(ii)</w:t>
      </w:r>
      <w:r w:rsidRPr="00254A2F">
        <w:tab/>
      </w:r>
      <w:proofErr w:type="gramStart"/>
      <w:r w:rsidRPr="00254A2F">
        <w:t>imported</w:t>
      </w:r>
      <w:proofErr w:type="gramEnd"/>
      <w:r w:rsidRPr="00254A2F">
        <w:t xml:space="preserve"> as part of an imported motor vehicle by a member of the Federal Chamber of Automotive Industries; and</w:t>
      </w:r>
    </w:p>
    <w:p w14:paraId="6ACD9EDB" w14:textId="77777777" w:rsidR="00342B79" w:rsidRPr="00254A2F" w:rsidRDefault="00342B79" w:rsidP="00287170">
      <w:pPr>
        <w:pStyle w:val="paragraph"/>
      </w:pPr>
      <w:r w:rsidRPr="00254A2F">
        <w:tab/>
        <w:t>(b)</w:t>
      </w:r>
      <w:r w:rsidRPr="00254A2F">
        <w:tab/>
      </w:r>
      <w:proofErr w:type="gramStart"/>
      <w:r w:rsidRPr="00254A2F">
        <w:t>is</w:t>
      </w:r>
      <w:proofErr w:type="gramEnd"/>
      <w:r w:rsidRPr="00254A2F">
        <w:t xml:space="preserve"> an integral part of the motor vehicle; and</w:t>
      </w:r>
    </w:p>
    <w:p w14:paraId="6ACD9EDC" w14:textId="77777777" w:rsidR="00342B79" w:rsidRPr="00254A2F" w:rsidRDefault="00342B79" w:rsidP="00287170">
      <w:pPr>
        <w:pStyle w:val="paragraph"/>
      </w:pPr>
      <w:r w:rsidRPr="00254A2F">
        <w:tab/>
        <w:t>(</w:t>
      </w:r>
      <w:proofErr w:type="gramStart"/>
      <w:r w:rsidRPr="00254A2F">
        <w:t>c</w:t>
      </w:r>
      <w:proofErr w:type="gramEnd"/>
      <w:r w:rsidRPr="00254A2F">
        <w:t>)</w:t>
      </w:r>
      <w:r w:rsidRPr="00254A2F">
        <w:tab/>
        <w:t xml:space="preserve">complies with each applicable standard; </w:t>
      </w:r>
    </w:p>
    <w:p w14:paraId="6ACD9EDD" w14:textId="77777777" w:rsidR="00342B79" w:rsidRPr="00254A2F" w:rsidRDefault="00254A2F" w:rsidP="00287170">
      <w:pPr>
        <w:pStyle w:val="subsection2"/>
      </w:pPr>
      <w:proofErr w:type="gramStart"/>
      <w:r>
        <w:t>subsections</w:t>
      </w:r>
      <w:proofErr w:type="gramEnd"/>
      <w:r>
        <w:t> (</w:t>
      </w:r>
      <w:r w:rsidR="00342B79" w:rsidRPr="00254A2F">
        <w:t>1) and (2) do not apply in relation to the device.</w:t>
      </w:r>
    </w:p>
    <w:p w14:paraId="6ACD9EDE" w14:textId="77777777" w:rsidR="00342B79" w:rsidRPr="00254A2F" w:rsidRDefault="00287170" w:rsidP="00287170">
      <w:pPr>
        <w:pStyle w:val="notetext"/>
      </w:pPr>
      <w:r w:rsidRPr="00254A2F">
        <w:t>Note:</w:t>
      </w:r>
      <w:r w:rsidRPr="00254A2F">
        <w:tab/>
      </w:r>
      <w:r w:rsidR="00342B79" w:rsidRPr="00254A2F">
        <w:t>See also sections</w:t>
      </w:r>
      <w:r w:rsidR="00254A2F">
        <w:t> </w:t>
      </w:r>
      <w:r w:rsidR="00342B79" w:rsidRPr="00254A2F">
        <w:t>12 and 18 in relation to a high</w:t>
      </w:r>
      <w:r w:rsidR="00254A2F">
        <w:noBreakHyphen/>
      </w:r>
      <w:r w:rsidR="00342B79" w:rsidRPr="00254A2F">
        <w:t>risk device or a medium</w:t>
      </w:r>
      <w:r w:rsidR="00254A2F">
        <w:noBreakHyphen/>
      </w:r>
      <w:r w:rsidR="00342B79" w:rsidRPr="00254A2F">
        <w:t>risk device to which subsection</w:t>
      </w:r>
      <w:r w:rsidR="00254A2F">
        <w:t> </w:t>
      </w:r>
      <w:r w:rsidR="00342B79" w:rsidRPr="00254A2F">
        <w:t>8(3) applies.</w:t>
      </w:r>
    </w:p>
    <w:p w14:paraId="6ACD9EDF" w14:textId="77777777" w:rsidR="00FF324D" w:rsidRPr="00254A2F" w:rsidRDefault="00FF324D" w:rsidP="00CA7F6E">
      <w:pPr>
        <w:pStyle w:val="ActHead5"/>
      </w:pPr>
      <w:bookmarkStart w:id="13" w:name="_Toc368055244"/>
      <w:proofErr w:type="gramStart"/>
      <w:r w:rsidRPr="00254A2F">
        <w:t>9</w:t>
      </w:r>
      <w:r w:rsidR="008D742E">
        <w:t xml:space="preserve"> </w:t>
      </w:r>
      <w:r w:rsidR="00A45C90">
        <w:t xml:space="preserve"> </w:t>
      </w:r>
      <w:r w:rsidRPr="00254A2F">
        <w:t>What</w:t>
      </w:r>
      <w:proofErr w:type="gramEnd"/>
      <w:r w:rsidRPr="00254A2F">
        <w:t xml:space="preserve"> is a compliance label</w:t>
      </w:r>
      <w:bookmarkEnd w:id="13"/>
    </w:p>
    <w:p w14:paraId="6ACD9EE0" w14:textId="77777777" w:rsidR="00FF324D" w:rsidRPr="00254A2F" w:rsidRDefault="00FF324D" w:rsidP="00FF324D">
      <w:pPr>
        <w:pStyle w:val="subsection"/>
      </w:pPr>
      <w:r w:rsidRPr="00254A2F">
        <w:tab/>
        <w:t>(1)</w:t>
      </w:r>
      <w:r w:rsidRPr="00254A2F">
        <w:tab/>
        <w:t xml:space="preserve">A </w:t>
      </w:r>
      <w:r w:rsidRPr="00254A2F">
        <w:rPr>
          <w:b/>
          <w:bCs/>
          <w:i/>
          <w:iCs/>
        </w:rPr>
        <w:t>compliance label</w:t>
      </w:r>
      <w:r w:rsidRPr="00254A2F">
        <w:t xml:space="preserve"> for a device is a label that meets the requirements of this section and sections</w:t>
      </w:r>
      <w:r w:rsidR="00254A2F">
        <w:t> </w:t>
      </w:r>
      <w:r w:rsidRPr="00254A2F">
        <w:t>9A to 9D.</w:t>
      </w:r>
    </w:p>
    <w:p w14:paraId="6ACD9EE1" w14:textId="77777777" w:rsidR="00FF324D" w:rsidRPr="00254A2F" w:rsidRDefault="00FF324D" w:rsidP="00CA7F6E">
      <w:pPr>
        <w:pStyle w:val="subsection"/>
      </w:pPr>
      <w:r w:rsidRPr="00254A2F">
        <w:tab/>
        <w:t>(2)</w:t>
      </w:r>
      <w:r w:rsidRPr="00254A2F">
        <w:tab/>
        <w:t>The label must consist of either:</w:t>
      </w:r>
    </w:p>
    <w:p w14:paraId="6ACD9EE2" w14:textId="77777777" w:rsidR="00FF324D" w:rsidRPr="00254A2F" w:rsidRDefault="00CA7F6E" w:rsidP="00CA7F6E">
      <w:pPr>
        <w:pStyle w:val="paragraph"/>
      </w:pPr>
      <w:r w:rsidRPr="00254A2F">
        <w:tab/>
        <w:t>(a)</w:t>
      </w:r>
      <w:r w:rsidRPr="00254A2F">
        <w:tab/>
      </w:r>
      <w:proofErr w:type="gramStart"/>
      <w:r w:rsidR="00FF324D" w:rsidRPr="00254A2F">
        <w:t>the</w:t>
      </w:r>
      <w:proofErr w:type="gramEnd"/>
      <w:r w:rsidR="00FF324D" w:rsidRPr="00254A2F">
        <w:t xml:space="preserve"> RCM; or</w:t>
      </w:r>
    </w:p>
    <w:p w14:paraId="6ACD9EE3" w14:textId="77777777" w:rsidR="00FF324D" w:rsidRDefault="00CA7F6E" w:rsidP="00CA7F6E">
      <w:pPr>
        <w:pStyle w:val="paragraph"/>
      </w:pPr>
      <w:r w:rsidRPr="00254A2F">
        <w:tab/>
        <w:t>(b)</w:t>
      </w:r>
      <w:r w:rsidRPr="00254A2F">
        <w:tab/>
      </w:r>
      <w:proofErr w:type="gramStart"/>
      <w:r w:rsidR="00FF324D" w:rsidRPr="00254A2F">
        <w:t>if</w:t>
      </w:r>
      <w:proofErr w:type="gramEnd"/>
      <w:r w:rsidR="00FF324D" w:rsidRPr="00254A2F">
        <w:t xml:space="preserve"> the label is applied before 1</w:t>
      </w:r>
      <w:r w:rsidR="00254A2F">
        <w:t> </w:t>
      </w:r>
      <w:r w:rsidR="00FF324D" w:rsidRPr="00254A2F">
        <w:t>March 2016</w:t>
      </w:r>
      <w:r w:rsidR="00070621">
        <w:t>—</w:t>
      </w:r>
      <w:r w:rsidR="00FF324D" w:rsidRPr="00254A2F">
        <w:t>either of the compliance marks.</w:t>
      </w:r>
    </w:p>
    <w:p w14:paraId="6ACD9EE4" w14:textId="77777777" w:rsidR="003A0860" w:rsidRDefault="00953CC5">
      <w:pPr>
        <w:pStyle w:val="notetext"/>
      </w:pPr>
      <w:r w:rsidRPr="00953CC5">
        <w:t xml:space="preserve">Note: </w:t>
      </w:r>
      <w:r w:rsidRPr="00953CC5">
        <w:tab/>
        <w:t>Section 9E imposes a requirement on a supplier who supplies a wireless audio transmitter to ensure that a separate label, in addition to a compliance label, is applied to the device at the time the device is supplied.</w:t>
      </w:r>
    </w:p>
    <w:p w14:paraId="6ACD9EE5" w14:textId="77777777" w:rsidR="00FF324D" w:rsidRPr="00254A2F" w:rsidRDefault="00FF324D" w:rsidP="00CA7F6E">
      <w:pPr>
        <w:pStyle w:val="SubsectionHead"/>
      </w:pPr>
      <w:r w:rsidRPr="00254A2F">
        <w:lastRenderedPageBreak/>
        <w:t>Location of compliance label</w:t>
      </w:r>
    </w:p>
    <w:p w14:paraId="6ACD9EE6" w14:textId="77777777" w:rsidR="00FF324D" w:rsidRPr="00254A2F" w:rsidRDefault="00FF324D" w:rsidP="00CA7F6E">
      <w:pPr>
        <w:pStyle w:val="subsection"/>
      </w:pPr>
      <w:r w:rsidRPr="00254A2F">
        <w:tab/>
        <w:t>(3)</w:t>
      </w:r>
      <w:r w:rsidRPr="00254A2F">
        <w:tab/>
        <w:t>Subject to sections</w:t>
      </w:r>
      <w:r w:rsidR="00254A2F">
        <w:t> </w:t>
      </w:r>
      <w:r w:rsidRPr="00254A2F">
        <w:t>9C and 9D, the label must be placed on the device on a place that is accessible by the user.</w:t>
      </w:r>
    </w:p>
    <w:p w14:paraId="6ACD9EE7" w14:textId="77777777" w:rsidR="00FF324D" w:rsidRPr="00254A2F" w:rsidRDefault="00FF324D" w:rsidP="00CA7F6E">
      <w:pPr>
        <w:pStyle w:val="notetext"/>
      </w:pPr>
      <w:r w:rsidRPr="00254A2F">
        <w:t>Note</w:t>
      </w:r>
      <w:r w:rsidR="00D11563">
        <w:t>:</w:t>
      </w:r>
      <w:r w:rsidR="00CA7F6E" w:rsidRPr="00254A2F">
        <w:rPr>
          <w:i/>
        </w:rPr>
        <w:tab/>
      </w:r>
      <w:r w:rsidRPr="00254A2F">
        <w:t>Section</w:t>
      </w:r>
      <w:r w:rsidR="00254A2F">
        <w:t> </w:t>
      </w:r>
      <w:r w:rsidRPr="00254A2F">
        <w:t>9C deals with situations where applying a label to the surface of a device is not possible or practical. Section</w:t>
      </w:r>
      <w:r w:rsidR="00254A2F">
        <w:t> </w:t>
      </w:r>
      <w:r w:rsidRPr="00254A2F">
        <w:t>9D gives a supplier the option of labelling some types of device electronically.</w:t>
      </w:r>
    </w:p>
    <w:p w14:paraId="6ACD9EE8" w14:textId="77777777" w:rsidR="00FF324D" w:rsidRPr="00254A2F" w:rsidRDefault="00FF324D" w:rsidP="00CA7F6E">
      <w:pPr>
        <w:pStyle w:val="subsection"/>
      </w:pPr>
      <w:r w:rsidRPr="00254A2F">
        <w:tab/>
        <w:t>(4)</w:t>
      </w:r>
      <w:r w:rsidRPr="00254A2F">
        <w:tab/>
        <w:t>A label is not accessible if it is necessary to use a specialised tool to gain access to it.</w:t>
      </w:r>
    </w:p>
    <w:p w14:paraId="6ACD9EE9" w14:textId="77777777" w:rsidR="007E2493" w:rsidRPr="00254A2F" w:rsidRDefault="007E2493" w:rsidP="00287170">
      <w:pPr>
        <w:pStyle w:val="ActHead5"/>
      </w:pPr>
      <w:bookmarkStart w:id="14" w:name="_Toc368055245"/>
      <w:proofErr w:type="gramStart"/>
      <w:r w:rsidRPr="00254A2F">
        <w:rPr>
          <w:rStyle w:val="CharSectno"/>
        </w:rPr>
        <w:t>9A</w:t>
      </w:r>
      <w:r w:rsidR="008D742E">
        <w:rPr>
          <w:rStyle w:val="CharSectno"/>
        </w:rPr>
        <w:t xml:space="preserve"> </w:t>
      </w:r>
      <w:r w:rsidR="00A45C90">
        <w:rPr>
          <w:rStyle w:val="CharSectno"/>
        </w:rPr>
        <w:t xml:space="preserve"> </w:t>
      </w:r>
      <w:r w:rsidRPr="00254A2F">
        <w:t>Durability</w:t>
      </w:r>
      <w:proofErr w:type="gramEnd"/>
      <w:r w:rsidRPr="00254A2F">
        <w:t xml:space="preserve"> of compliance label</w:t>
      </w:r>
      <w:bookmarkEnd w:id="14"/>
    </w:p>
    <w:p w14:paraId="6ACD9EEA" w14:textId="77777777" w:rsidR="007E2493" w:rsidRPr="00254A2F" w:rsidRDefault="007E2493" w:rsidP="00287170">
      <w:pPr>
        <w:pStyle w:val="subsection"/>
      </w:pPr>
      <w:r w:rsidRPr="00254A2F">
        <w:tab/>
        <w:t>(1)</w:t>
      </w:r>
      <w:r w:rsidRPr="00254A2F">
        <w:tab/>
        <w:t>A compliance label must be durable.</w:t>
      </w:r>
    </w:p>
    <w:p w14:paraId="6ACD9EEB" w14:textId="77777777" w:rsidR="007E2493" w:rsidRPr="00254A2F" w:rsidRDefault="007E2493" w:rsidP="00287170">
      <w:pPr>
        <w:pStyle w:val="subsection"/>
      </w:pPr>
      <w:r w:rsidRPr="00254A2F">
        <w:tab/>
        <w:t>(2)</w:t>
      </w:r>
      <w:r w:rsidRPr="00254A2F">
        <w:tab/>
        <w:t>A compliance label must be applied to a device:</w:t>
      </w:r>
    </w:p>
    <w:p w14:paraId="6ACD9EEC" w14:textId="77777777" w:rsidR="007E2493" w:rsidRPr="00254A2F" w:rsidRDefault="007E2493" w:rsidP="00287170">
      <w:pPr>
        <w:pStyle w:val="paragraph"/>
      </w:pPr>
      <w:r w:rsidRPr="00254A2F">
        <w:tab/>
        <w:t>(a)</w:t>
      </w:r>
      <w:r w:rsidRPr="00254A2F">
        <w:tab/>
      </w:r>
      <w:proofErr w:type="gramStart"/>
      <w:r w:rsidRPr="00254A2F">
        <w:t>permanently</w:t>
      </w:r>
      <w:proofErr w:type="gramEnd"/>
      <w:r w:rsidRPr="00254A2F">
        <w:t>; or</w:t>
      </w:r>
    </w:p>
    <w:p w14:paraId="6ACD9EED" w14:textId="77777777" w:rsidR="007E2493" w:rsidRPr="00254A2F" w:rsidRDefault="007E2493" w:rsidP="00287170">
      <w:pPr>
        <w:pStyle w:val="paragraph"/>
      </w:pPr>
      <w:r w:rsidRPr="00254A2F">
        <w:tab/>
        <w:t>(b)</w:t>
      </w:r>
      <w:r w:rsidRPr="00254A2F">
        <w:tab/>
      </w:r>
      <w:proofErr w:type="gramStart"/>
      <w:r w:rsidRPr="00254A2F">
        <w:t>in</w:t>
      </w:r>
      <w:proofErr w:type="gramEnd"/>
      <w:r w:rsidRPr="00254A2F">
        <w:t xml:space="preserve"> a way that makes removal or obliteration difficult.</w:t>
      </w:r>
    </w:p>
    <w:p w14:paraId="6ACD9EEE" w14:textId="77777777" w:rsidR="00CA7F6E" w:rsidRPr="00254A2F" w:rsidRDefault="00CA7F6E" w:rsidP="00CA7F6E">
      <w:pPr>
        <w:pStyle w:val="ActHead5"/>
      </w:pPr>
      <w:bookmarkStart w:id="15" w:name="_Toc368055246"/>
      <w:proofErr w:type="gramStart"/>
      <w:r w:rsidRPr="00254A2F">
        <w:rPr>
          <w:rStyle w:val="CharSectno"/>
        </w:rPr>
        <w:t>9B</w:t>
      </w:r>
      <w:r w:rsidRPr="00254A2F">
        <w:t xml:space="preserve">  Format</w:t>
      </w:r>
      <w:proofErr w:type="gramEnd"/>
      <w:r w:rsidRPr="00254A2F">
        <w:t xml:space="preserve"> of compliance label</w:t>
      </w:r>
      <w:bookmarkEnd w:id="15"/>
    </w:p>
    <w:p w14:paraId="6ACD9EEF" w14:textId="77777777" w:rsidR="00CA7F6E" w:rsidRPr="00254A2F" w:rsidRDefault="00CA7F6E" w:rsidP="00CA7F6E">
      <w:pPr>
        <w:pStyle w:val="subsection"/>
      </w:pPr>
      <w:r w:rsidRPr="00254A2F">
        <w:tab/>
      </w:r>
      <w:r w:rsidRPr="00254A2F">
        <w:tab/>
        <w:t xml:space="preserve">A compliance mark must be at least 3 mm high. </w:t>
      </w:r>
    </w:p>
    <w:p w14:paraId="6ACD9EF0" w14:textId="77777777" w:rsidR="00CA7F6E" w:rsidRPr="001E686D" w:rsidRDefault="00CA7F6E" w:rsidP="00CA7F6E">
      <w:pPr>
        <w:pStyle w:val="notetext"/>
        <w:rPr>
          <w:szCs w:val="18"/>
        </w:rPr>
      </w:pPr>
      <w:r w:rsidRPr="001E686D">
        <w:rPr>
          <w:szCs w:val="18"/>
        </w:rPr>
        <w:t>Note</w:t>
      </w:r>
      <w:r w:rsidR="00D11563" w:rsidRPr="001E686D">
        <w:rPr>
          <w:szCs w:val="18"/>
        </w:rPr>
        <w:t>:</w:t>
      </w:r>
      <w:r w:rsidRPr="001E686D">
        <w:rPr>
          <w:szCs w:val="18"/>
        </w:rPr>
        <w:tab/>
        <w:t>This Notice does not prevent a supplier from applying its own additional supplier identification details onto a device.</w:t>
      </w:r>
    </w:p>
    <w:p w14:paraId="6ACD9EF1" w14:textId="77777777" w:rsidR="007E2493" w:rsidRPr="00254A2F" w:rsidRDefault="007E2493" w:rsidP="00287170">
      <w:pPr>
        <w:pStyle w:val="ActHead5"/>
      </w:pPr>
      <w:bookmarkStart w:id="16" w:name="_Toc368055247"/>
      <w:proofErr w:type="gramStart"/>
      <w:r w:rsidRPr="00254A2F">
        <w:rPr>
          <w:rStyle w:val="CharSectno"/>
        </w:rPr>
        <w:t>9C</w:t>
      </w:r>
      <w:r w:rsidR="008D742E">
        <w:rPr>
          <w:rStyle w:val="CharSectno"/>
        </w:rPr>
        <w:t xml:space="preserve"> </w:t>
      </w:r>
      <w:r w:rsidR="00A45C90">
        <w:rPr>
          <w:rStyle w:val="CharSectno"/>
        </w:rPr>
        <w:t xml:space="preserve"> </w:t>
      </w:r>
      <w:r w:rsidRPr="00254A2F">
        <w:t>Placement</w:t>
      </w:r>
      <w:proofErr w:type="gramEnd"/>
      <w:r w:rsidRPr="00254A2F">
        <w:t xml:space="preserve"> of compliance label</w:t>
      </w:r>
      <w:bookmarkEnd w:id="16"/>
    </w:p>
    <w:p w14:paraId="6ACD9EF2" w14:textId="77777777" w:rsidR="007E2493" w:rsidRPr="00254A2F" w:rsidRDefault="007E2493" w:rsidP="00287170">
      <w:pPr>
        <w:pStyle w:val="subsection"/>
      </w:pPr>
      <w:r w:rsidRPr="00254A2F">
        <w:tab/>
        <w:t>(1)</w:t>
      </w:r>
      <w:r w:rsidRPr="00254A2F">
        <w:tab/>
        <w:t>If it is not possible to apply a compliance label to the surface of a device because of the size or physical nature of the device, or it is not practical to apply a compliance label to the surface of a device, the compliance label must be applied to:</w:t>
      </w:r>
    </w:p>
    <w:p w14:paraId="6ACD9EF3" w14:textId="77777777" w:rsidR="007E2493" w:rsidRPr="00254A2F" w:rsidRDefault="007E2493" w:rsidP="00287170">
      <w:pPr>
        <w:pStyle w:val="paragraph"/>
      </w:pPr>
      <w:r w:rsidRPr="00254A2F">
        <w:tab/>
        <w:t>(a)</w:t>
      </w:r>
      <w:r w:rsidRPr="00254A2F">
        <w:tab/>
      </w:r>
      <w:proofErr w:type="gramStart"/>
      <w:r w:rsidRPr="00254A2F">
        <w:t>the</w:t>
      </w:r>
      <w:proofErr w:type="gramEnd"/>
      <w:r w:rsidRPr="00254A2F">
        <w:t xml:space="preserve"> external surface of the packaging used for the device; and</w:t>
      </w:r>
    </w:p>
    <w:p w14:paraId="6ACD9EF4" w14:textId="77777777" w:rsidR="007E2493" w:rsidRPr="00254A2F" w:rsidRDefault="007E2493" w:rsidP="00287170">
      <w:pPr>
        <w:pStyle w:val="paragraph"/>
      </w:pPr>
      <w:r w:rsidRPr="00254A2F">
        <w:tab/>
        <w:t>(b)</w:t>
      </w:r>
      <w:r w:rsidRPr="00254A2F">
        <w:tab/>
      </w:r>
      <w:proofErr w:type="gramStart"/>
      <w:r w:rsidRPr="00254A2F">
        <w:t>the</w:t>
      </w:r>
      <w:proofErr w:type="gramEnd"/>
      <w:r w:rsidRPr="00254A2F">
        <w:t xml:space="preserve"> documentation (including any warranty or guarantee certificates) that accompanies the device when it is supplied to the user.</w:t>
      </w:r>
    </w:p>
    <w:p w14:paraId="6ACD9EF5" w14:textId="77777777" w:rsidR="007E2493" w:rsidRPr="00254A2F" w:rsidRDefault="007E2493" w:rsidP="00287170">
      <w:pPr>
        <w:pStyle w:val="subsection"/>
      </w:pPr>
      <w:r w:rsidRPr="00254A2F">
        <w:tab/>
        <w:t>(2)</w:t>
      </w:r>
      <w:r w:rsidRPr="00254A2F">
        <w:tab/>
        <w:t>The compliance label applied to the external surface of the packaging used for the device must:</w:t>
      </w:r>
    </w:p>
    <w:p w14:paraId="6ACD9EF6" w14:textId="77777777" w:rsidR="007E2493" w:rsidRPr="00254A2F" w:rsidRDefault="007E2493" w:rsidP="00287170">
      <w:pPr>
        <w:pStyle w:val="paragraph"/>
      </w:pPr>
      <w:r w:rsidRPr="00254A2F">
        <w:tab/>
        <w:t>(a)</w:t>
      </w:r>
      <w:r w:rsidRPr="00254A2F">
        <w:tab/>
      </w:r>
      <w:proofErr w:type="gramStart"/>
      <w:r w:rsidRPr="00254A2F">
        <w:t>occupy</w:t>
      </w:r>
      <w:proofErr w:type="gramEnd"/>
      <w:r w:rsidRPr="00254A2F">
        <w:t xml:space="preserve"> an area that is greater than 1% of that external surface; and</w:t>
      </w:r>
    </w:p>
    <w:p w14:paraId="6ACD9EF7" w14:textId="77777777" w:rsidR="007E2493" w:rsidRPr="00254A2F" w:rsidRDefault="007E2493" w:rsidP="00287170">
      <w:pPr>
        <w:pStyle w:val="paragraph"/>
      </w:pPr>
      <w:r w:rsidRPr="00254A2F">
        <w:tab/>
        <w:t>(b)</w:t>
      </w:r>
      <w:r w:rsidRPr="00254A2F">
        <w:tab/>
      </w:r>
      <w:proofErr w:type="gramStart"/>
      <w:r w:rsidRPr="00254A2F">
        <w:t>be</w:t>
      </w:r>
      <w:proofErr w:type="gramEnd"/>
      <w:r w:rsidRPr="00254A2F">
        <w:t xml:space="preserve"> clearly visible.</w:t>
      </w:r>
    </w:p>
    <w:p w14:paraId="6ACD9EF8" w14:textId="77777777" w:rsidR="007E2493" w:rsidRPr="00254A2F" w:rsidRDefault="007E2493" w:rsidP="00287170">
      <w:pPr>
        <w:pStyle w:val="subsection"/>
      </w:pPr>
      <w:r w:rsidRPr="00254A2F">
        <w:tab/>
        <w:t>(3)</w:t>
      </w:r>
      <w:r w:rsidRPr="00254A2F">
        <w:tab/>
        <w:t>The supplier must make and keep a record of:</w:t>
      </w:r>
    </w:p>
    <w:p w14:paraId="6ACD9EF9" w14:textId="77777777" w:rsidR="007E2493" w:rsidRPr="00254A2F" w:rsidRDefault="007E2493" w:rsidP="00287170">
      <w:pPr>
        <w:pStyle w:val="paragraph"/>
      </w:pPr>
      <w:r w:rsidRPr="00254A2F">
        <w:tab/>
        <w:t>(a)</w:t>
      </w:r>
      <w:r w:rsidRPr="00254A2F">
        <w:tab/>
      </w:r>
      <w:proofErr w:type="gramStart"/>
      <w:r w:rsidRPr="00254A2F">
        <w:t>the</w:t>
      </w:r>
      <w:proofErr w:type="gramEnd"/>
      <w:r w:rsidRPr="00254A2F">
        <w:t xml:space="preserve"> reasons why </w:t>
      </w:r>
      <w:r w:rsidR="00254A2F">
        <w:t>subsection (</w:t>
      </w:r>
      <w:r w:rsidRPr="00254A2F">
        <w:t>1) applies to the device; and</w:t>
      </w:r>
    </w:p>
    <w:p w14:paraId="6ACD9EFA" w14:textId="77777777" w:rsidR="007E2493" w:rsidRPr="00254A2F" w:rsidRDefault="007E2493" w:rsidP="00287170">
      <w:pPr>
        <w:pStyle w:val="paragraph"/>
      </w:pPr>
      <w:r w:rsidRPr="00254A2F">
        <w:tab/>
        <w:t>(b)</w:t>
      </w:r>
      <w:r w:rsidRPr="00254A2F">
        <w:tab/>
      </w:r>
      <w:proofErr w:type="gramStart"/>
      <w:r w:rsidRPr="00254A2F">
        <w:t>where</w:t>
      </w:r>
      <w:proofErr w:type="gramEnd"/>
      <w:r w:rsidRPr="00254A2F">
        <w:t xml:space="preserve"> each compliance label is applied.</w:t>
      </w:r>
    </w:p>
    <w:p w14:paraId="6ACD9EFB" w14:textId="77777777" w:rsidR="007E2493" w:rsidRPr="00254A2F" w:rsidRDefault="007E2493" w:rsidP="00287170">
      <w:pPr>
        <w:pStyle w:val="ActHead5"/>
      </w:pPr>
      <w:bookmarkStart w:id="17" w:name="_Toc368055248"/>
      <w:proofErr w:type="gramStart"/>
      <w:r w:rsidRPr="00254A2F">
        <w:rPr>
          <w:rStyle w:val="CharSectno"/>
        </w:rPr>
        <w:t>9D</w:t>
      </w:r>
      <w:r w:rsidR="008D742E">
        <w:rPr>
          <w:rStyle w:val="CharSectno"/>
        </w:rPr>
        <w:t xml:space="preserve"> </w:t>
      </w:r>
      <w:r w:rsidR="00A45C90">
        <w:rPr>
          <w:rStyle w:val="CharSectno"/>
        </w:rPr>
        <w:t xml:space="preserve"> </w:t>
      </w:r>
      <w:r w:rsidRPr="00254A2F">
        <w:t>Electronic</w:t>
      </w:r>
      <w:proofErr w:type="gramEnd"/>
      <w:r w:rsidRPr="00254A2F">
        <w:t xml:space="preserve"> labelling</w:t>
      </w:r>
      <w:bookmarkEnd w:id="17"/>
    </w:p>
    <w:p w14:paraId="6ACD9EFC" w14:textId="77777777" w:rsidR="007E2493" w:rsidRPr="00254A2F" w:rsidRDefault="007E2493" w:rsidP="00287170">
      <w:pPr>
        <w:pStyle w:val="subsection"/>
      </w:pPr>
      <w:r w:rsidRPr="00254A2F">
        <w:tab/>
        <w:t>(1)</w:t>
      </w:r>
      <w:r w:rsidRPr="00254A2F">
        <w:tab/>
        <w:t>A supplier may apply a compliance label to a device using the built</w:t>
      </w:r>
      <w:r w:rsidR="00254A2F">
        <w:noBreakHyphen/>
      </w:r>
      <w:r w:rsidRPr="00254A2F">
        <w:t>in display of the device.</w:t>
      </w:r>
    </w:p>
    <w:p w14:paraId="6ACD9EFD" w14:textId="77777777" w:rsidR="007E2493" w:rsidRPr="00254A2F" w:rsidRDefault="007E2493" w:rsidP="00287170">
      <w:pPr>
        <w:pStyle w:val="subsection"/>
      </w:pPr>
      <w:r w:rsidRPr="00254A2F">
        <w:tab/>
        <w:t>(2)</w:t>
      </w:r>
      <w:r w:rsidRPr="00254A2F">
        <w:tab/>
        <w:t>The supplier must ensure that the documentation that accompanies the device when it is supplied to the user sets out a method for displaying the compliance label.</w:t>
      </w:r>
    </w:p>
    <w:p w14:paraId="6ACD9EFE" w14:textId="77777777" w:rsidR="007E2493" w:rsidRPr="00254A2F" w:rsidRDefault="007E2493" w:rsidP="00287170">
      <w:pPr>
        <w:pStyle w:val="subsection"/>
      </w:pPr>
      <w:r w:rsidRPr="00254A2F">
        <w:lastRenderedPageBreak/>
        <w:tab/>
        <w:t>(3)</w:t>
      </w:r>
      <w:r w:rsidRPr="00254A2F">
        <w:tab/>
        <w:t>The compliance label must be applied to the device in a way that would make it difficult to prevent the display of the label when the method set out in the documentation is used.</w:t>
      </w:r>
    </w:p>
    <w:p w14:paraId="6ACD9EFF" w14:textId="77777777" w:rsidR="007E2493" w:rsidRDefault="007E2493" w:rsidP="00287170">
      <w:pPr>
        <w:pStyle w:val="subsection"/>
      </w:pPr>
      <w:r w:rsidRPr="00254A2F">
        <w:tab/>
        <w:t>(4)</w:t>
      </w:r>
      <w:r w:rsidRPr="00254A2F">
        <w:tab/>
      </w:r>
      <w:r w:rsidR="00CA7F6E" w:rsidRPr="00254A2F">
        <w:t>Subsection</w:t>
      </w:r>
      <w:r w:rsidR="00254A2F">
        <w:t> </w:t>
      </w:r>
      <w:r w:rsidR="00CA7F6E" w:rsidRPr="00254A2F">
        <w:t>9(3)</w:t>
      </w:r>
      <w:r w:rsidRPr="00254A2F">
        <w:t xml:space="preserve"> and sections</w:t>
      </w:r>
      <w:r w:rsidR="00254A2F">
        <w:t> </w:t>
      </w:r>
      <w:r w:rsidRPr="00254A2F">
        <w:t>9A and 9C do not apply to a label applied under this section.</w:t>
      </w:r>
    </w:p>
    <w:p w14:paraId="6ACD9F00" w14:textId="77777777" w:rsidR="004C2C9E" w:rsidRDefault="004C2C9E" w:rsidP="00287170">
      <w:pPr>
        <w:pStyle w:val="subsection"/>
      </w:pPr>
    </w:p>
    <w:p w14:paraId="6ACD9F01" w14:textId="4C436E63" w:rsidR="003A0860" w:rsidRPr="00C25AB4" w:rsidRDefault="0002669B">
      <w:pPr>
        <w:spacing w:after="120"/>
        <w:jc w:val="both"/>
        <w:rPr>
          <w:rFonts w:ascii="Arial" w:hAnsi="Arial" w:cs="Arial"/>
          <w:b/>
          <w:bCs/>
          <w:iCs/>
          <w:sz w:val="32"/>
          <w:szCs w:val="32"/>
        </w:rPr>
      </w:pPr>
      <w:r w:rsidRPr="00C25AB4">
        <w:rPr>
          <w:rStyle w:val="CharPartNo"/>
          <w:rFonts w:ascii="Arial" w:eastAsia="Times New Roman" w:hAnsi="Arial" w:cs="Arial"/>
          <w:b/>
          <w:noProof/>
          <w:sz w:val="32"/>
          <w:szCs w:val="32"/>
        </w:rPr>
        <w:t>Part 2A</w:t>
      </w:r>
      <w:r w:rsidR="009E1FC6" w:rsidRPr="00C25AB4">
        <w:rPr>
          <w:rFonts w:ascii="Arial" w:hAnsi="Arial" w:cs="Arial"/>
          <w:b/>
          <w:sz w:val="32"/>
          <w:szCs w:val="32"/>
        </w:rPr>
        <w:tab/>
      </w:r>
      <w:r w:rsidRPr="00C25AB4">
        <w:rPr>
          <w:rFonts w:ascii="Arial" w:hAnsi="Arial" w:cs="Arial"/>
          <w:b/>
          <w:bCs/>
          <w:iCs/>
          <w:sz w:val="32"/>
          <w:szCs w:val="32"/>
        </w:rPr>
        <w:t>Additional labelling requirement for wireless audio transmitters</w:t>
      </w:r>
    </w:p>
    <w:p w14:paraId="6ACD9F02" w14:textId="77777777" w:rsidR="004C2C9E" w:rsidRDefault="004C2C9E" w:rsidP="004C2C9E">
      <w:pPr>
        <w:spacing w:after="120"/>
        <w:ind w:hanging="425"/>
        <w:jc w:val="both"/>
        <w:rPr>
          <w:b/>
          <w:bCs/>
          <w:iCs/>
        </w:rPr>
      </w:pPr>
    </w:p>
    <w:p w14:paraId="6ACD9F03" w14:textId="77777777" w:rsidR="003A0860" w:rsidRDefault="0002669B">
      <w:pPr>
        <w:spacing w:after="120"/>
        <w:ind w:left="720" w:hanging="720"/>
        <w:jc w:val="both"/>
        <w:rPr>
          <w:b/>
          <w:bCs/>
          <w:iCs/>
          <w:sz w:val="24"/>
          <w:szCs w:val="24"/>
        </w:rPr>
      </w:pPr>
      <w:proofErr w:type="gramStart"/>
      <w:r w:rsidRPr="0002669B">
        <w:rPr>
          <w:b/>
          <w:bCs/>
          <w:iCs/>
          <w:sz w:val="24"/>
          <w:szCs w:val="24"/>
        </w:rPr>
        <w:t>9E</w:t>
      </w:r>
      <w:r w:rsidR="00A45C90">
        <w:rPr>
          <w:b/>
          <w:bCs/>
          <w:iCs/>
          <w:sz w:val="24"/>
          <w:szCs w:val="24"/>
        </w:rPr>
        <w:t xml:space="preserve">  </w:t>
      </w:r>
      <w:r w:rsidRPr="0002669B">
        <w:rPr>
          <w:b/>
          <w:bCs/>
          <w:iCs/>
          <w:sz w:val="24"/>
          <w:szCs w:val="24"/>
        </w:rPr>
        <w:t>Additional</w:t>
      </w:r>
      <w:proofErr w:type="gramEnd"/>
      <w:r w:rsidRPr="0002669B">
        <w:rPr>
          <w:b/>
          <w:bCs/>
          <w:iCs/>
          <w:sz w:val="24"/>
          <w:szCs w:val="24"/>
        </w:rPr>
        <w:t xml:space="preserve"> labelling requirement for suppliers of wireless audio transmitters </w:t>
      </w:r>
    </w:p>
    <w:p w14:paraId="6ACD9F04" w14:textId="77777777" w:rsidR="004C2C9E" w:rsidRDefault="004C2C9E" w:rsidP="00C73F2F">
      <w:pPr>
        <w:pStyle w:val="ListParagraph"/>
        <w:numPr>
          <w:ilvl w:val="0"/>
          <w:numId w:val="26"/>
        </w:numPr>
        <w:spacing w:after="120" w:line="240" w:lineRule="auto"/>
        <w:ind w:left="1077" w:hanging="357"/>
        <w:contextualSpacing w:val="0"/>
        <w:rPr>
          <w:rFonts w:ascii="Times New Roman" w:hAnsi="Times New Roman"/>
          <w:bCs/>
          <w:iCs/>
        </w:rPr>
      </w:pPr>
      <w:r w:rsidRPr="00250BD0">
        <w:rPr>
          <w:rFonts w:ascii="Times New Roman" w:hAnsi="Times New Roman"/>
          <w:bCs/>
          <w:iCs/>
        </w:rPr>
        <w:t>A supplier who supplies a wireless audio transmitter must</w:t>
      </w:r>
      <w:r>
        <w:rPr>
          <w:rFonts w:ascii="Times New Roman" w:hAnsi="Times New Roman"/>
          <w:bCs/>
          <w:iCs/>
        </w:rPr>
        <w:t xml:space="preserve"> </w:t>
      </w:r>
      <w:r w:rsidRPr="005E232A">
        <w:rPr>
          <w:rFonts w:ascii="Times New Roman" w:hAnsi="Times New Roman"/>
          <w:bCs/>
          <w:iCs/>
        </w:rPr>
        <w:t>also</w:t>
      </w:r>
      <w:r>
        <w:rPr>
          <w:rFonts w:ascii="Times New Roman" w:hAnsi="Times New Roman"/>
          <w:bCs/>
          <w:iCs/>
        </w:rPr>
        <w:t xml:space="preserve"> </w:t>
      </w:r>
      <w:r w:rsidRPr="00250BD0">
        <w:rPr>
          <w:rFonts w:ascii="Times New Roman" w:hAnsi="Times New Roman"/>
          <w:bCs/>
          <w:iCs/>
        </w:rPr>
        <w:t xml:space="preserve">ensure that </w:t>
      </w:r>
      <w:r>
        <w:rPr>
          <w:rFonts w:ascii="Times New Roman" w:hAnsi="Times New Roman"/>
          <w:bCs/>
          <w:iCs/>
        </w:rPr>
        <w:t xml:space="preserve">a </w:t>
      </w:r>
      <w:r w:rsidRPr="00250BD0">
        <w:rPr>
          <w:rFonts w:ascii="Times New Roman" w:hAnsi="Times New Roman"/>
          <w:bCs/>
          <w:iCs/>
        </w:rPr>
        <w:t>label that complies with subsection (2) is applied to the device</w:t>
      </w:r>
      <w:r w:rsidRPr="00182D7A">
        <w:rPr>
          <w:rFonts w:ascii="Times New Roman" w:hAnsi="Times New Roman"/>
          <w:bCs/>
          <w:iCs/>
        </w:rPr>
        <w:t xml:space="preserve"> </w:t>
      </w:r>
      <w:r w:rsidRPr="00250BD0">
        <w:rPr>
          <w:rFonts w:ascii="Times New Roman" w:hAnsi="Times New Roman"/>
          <w:bCs/>
          <w:iCs/>
        </w:rPr>
        <w:t>at the time the device is supplied.</w:t>
      </w:r>
    </w:p>
    <w:p w14:paraId="6ACD9F05" w14:textId="393B59B2" w:rsidR="004C2C9E" w:rsidRDefault="004C2C9E" w:rsidP="00C73F2F">
      <w:pPr>
        <w:pStyle w:val="ListParagraph"/>
        <w:numPr>
          <w:ilvl w:val="0"/>
          <w:numId w:val="26"/>
        </w:numPr>
        <w:spacing w:after="120" w:line="240" w:lineRule="auto"/>
        <w:ind w:left="1077" w:hanging="357"/>
        <w:contextualSpacing w:val="0"/>
        <w:rPr>
          <w:rFonts w:ascii="Times New Roman" w:hAnsi="Times New Roman"/>
          <w:bCs/>
          <w:iCs/>
        </w:rPr>
      </w:pPr>
      <w:r w:rsidRPr="00250BD0">
        <w:rPr>
          <w:rFonts w:ascii="Times New Roman" w:hAnsi="Times New Roman"/>
          <w:bCs/>
          <w:iCs/>
        </w:rPr>
        <w:t xml:space="preserve">The label must include the following statement in bold type no less than </w:t>
      </w:r>
      <w:r>
        <w:rPr>
          <w:rFonts w:ascii="Times New Roman" w:hAnsi="Times New Roman"/>
          <w:bCs/>
          <w:iCs/>
        </w:rPr>
        <w:t>5</w:t>
      </w:r>
      <w:r w:rsidRPr="00250BD0">
        <w:rPr>
          <w:rFonts w:ascii="Times New Roman" w:hAnsi="Times New Roman"/>
          <w:bCs/>
          <w:iCs/>
        </w:rPr>
        <w:t xml:space="preserve">mm high: </w:t>
      </w:r>
      <w:r w:rsidRPr="007370BA">
        <w:rPr>
          <w:rFonts w:ascii="Times New Roman" w:hAnsi="Times New Roman"/>
          <w:bCs/>
          <w:iCs/>
        </w:rPr>
        <w:t>“</w:t>
      </w:r>
      <w:r w:rsidRPr="007370BA">
        <w:rPr>
          <w:rFonts w:ascii="Times New Roman" w:hAnsi="Times New Roman"/>
        </w:rPr>
        <w:t>This device operates under an ACMA class licence and must comply with all the conditions of that licence including operating frequencies.  Before 31 December 2014, this device will comply if it is operated in the 520-820 MHz frequency band.  WARNING: After 31 December 2014, in order to comply, this device must not be operated in the 694-820 MHz band.</w:t>
      </w:r>
      <w:r w:rsidRPr="00250BD0">
        <w:rPr>
          <w:rFonts w:ascii="Times New Roman" w:hAnsi="Times New Roman"/>
          <w:bCs/>
          <w:iCs/>
        </w:rPr>
        <w:t xml:space="preserve">”  </w:t>
      </w:r>
    </w:p>
    <w:p w14:paraId="6ACD9F06" w14:textId="77777777" w:rsidR="004C2C9E" w:rsidRDefault="004C2C9E" w:rsidP="00C73F2F">
      <w:pPr>
        <w:pStyle w:val="ListParagraph"/>
        <w:numPr>
          <w:ilvl w:val="0"/>
          <w:numId w:val="26"/>
        </w:numPr>
        <w:spacing w:after="120" w:line="240" w:lineRule="auto"/>
        <w:ind w:left="1077" w:hanging="357"/>
        <w:contextualSpacing w:val="0"/>
        <w:rPr>
          <w:rFonts w:ascii="Times New Roman" w:hAnsi="Times New Roman"/>
          <w:bCs/>
          <w:iCs/>
        </w:rPr>
      </w:pPr>
      <w:r w:rsidRPr="00250BD0">
        <w:rPr>
          <w:rFonts w:ascii="Times New Roman" w:hAnsi="Times New Roman"/>
          <w:bCs/>
          <w:iCs/>
        </w:rPr>
        <w:t>For the purposes of this section, the label is taken to be applied to the device if it is affixed in a prominent position to a container, covering, package, case, box or other thing in or with which the device is supplied.</w:t>
      </w:r>
    </w:p>
    <w:p w14:paraId="6ACD9F07" w14:textId="77777777" w:rsidR="003A0860" w:rsidRDefault="004C2C9E">
      <w:pPr>
        <w:spacing w:before="120" w:after="120" w:line="180" w:lineRule="atLeast"/>
        <w:ind w:left="2154" w:hanging="1077"/>
        <w:jc w:val="both"/>
        <w:rPr>
          <w:bCs/>
          <w:iCs/>
          <w:sz w:val="18"/>
          <w:szCs w:val="18"/>
        </w:rPr>
      </w:pPr>
      <w:r w:rsidRPr="00250BD0">
        <w:rPr>
          <w:bCs/>
          <w:iCs/>
          <w:sz w:val="18"/>
          <w:szCs w:val="18"/>
        </w:rPr>
        <w:t>Note</w:t>
      </w:r>
      <w:r>
        <w:rPr>
          <w:bCs/>
          <w:iCs/>
          <w:sz w:val="18"/>
          <w:szCs w:val="18"/>
        </w:rPr>
        <w:t xml:space="preserve"> 1</w:t>
      </w:r>
      <w:r w:rsidRPr="00250BD0">
        <w:rPr>
          <w:bCs/>
          <w:iCs/>
          <w:sz w:val="18"/>
          <w:szCs w:val="18"/>
        </w:rPr>
        <w:t xml:space="preserve">:  </w:t>
      </w:r>
      <w:r w:rsidR="0005388B">
        <w:rPr>
          <w:bCs/>
          <w:iCs/>
          <w:sz w:val="18"/>
          <w:szCs w:val="18"/>
        </w:rPr>
        <w:tab/>
      </w:r>
      <w:r w:rsidRPr="00250BD0">
        <w:rPr>
          <w:bCs/>
          <w:iCs/>
          <w:sz w:val="18"/>
          <w:szCs w:val="18"/>
        </w:rPr>
        <w:t xml:space="preserve">Examples of wireless audio transmitters to which the requirements of section 9E apply include, but are not limited to, wireless microphones, in-ear monitoring devices, wireless musical instrument pickups and other short range devices that are capable of operating in the 694 – 820 MHz frequency range. </w:t>
      </w:r>
    </w:p>
    <w:p w14:paraId="6ACD9F08" w14:textId="34ECCEB1" w:rsidR="003A0860" w:rsidRDefault="004C2C9E">
      <w:pPr>
        <w:spacing w:before="120" w:after="120" w:line="180" w:lineRule="atLeast"/>
        <w:ind w:left="2154" w:hanging="1077"/>
        <w:jc w:val="both"/>
        <w:rPr>
          <w:bCs/>
          <w:iCs/>
          <w:sz w:val="18"/>
          <w:szCs w:val="18"/>
        </w:rPr>
      </w:pPr>
      <w:r w:rsidRPr="00250BD0">
        <w:rPr>
          <w:bCs/>
          <w:iCs/>
          <w:sz w:val="18"/>
          <w:szCs w:val="18"/>
        </w:rPr>
        <w:t>Note</w:t>
      </w:r>
      <w:r>
        <w:rPr>
          <w:bCs/>
          <w:iCs/>
          <w:sz w:val="18"/>
          <w:szCs w:val="18"/>
        </w:rPr>
        <w:t xml:space="preserve"> 2</w:t>
      </w:r>
      <w:r w:rsidRPr="00250BD0">
        <w:rPr>
          <w:bCs/>
          <w:iCs/>
          <w:sz w:val="18"/>
          <w:szCs w:val="18"/>
        </w:rPr>
        <w:t xml:space="preserve">: </w:t>
      </w:r>
      <w:r w:rsidR="0005388B">
        <w:rPr>
          <w:bCs/>
          <w:iCs/>
          <w:sz w:val="18"/>
          <w:szCs w:val="18"/>
        </w:rPr>
        <w:tab/>
      </w:r>
      <w:r>
        <w:rPr>
          <w:bCs/>
          <w:iCs/>
          <w:sz w:val="18"/>
          <w:szCs w:val="18"/>
        </w:rPr>
        <w:t xml:space="preserve">A </w:t>
      </w:r>
      <w:r w:rsidRPr="00250BD0">
        <w:rPr>
          <w:bCs/>
          <w:iCs/>
          <w:sz w:val="18"/>
          <w:szCs w:val="18"/>
        </w:rPr>
        <w:t>label applied under this section is not required to contain a compliance mark.</w:t>
      </w:r>
    </w:p>
    <w:p w14:paraId="6ACD9F09" w14:textId="77777777" w:rsidR="004C2C9E" w:rsidRPr="00254A2F" w:rsidRDefault="004C2C9E" w:rsidP="00287170">
      <w:pPr>
        <w:pStyle w:val="subsection"/>
      </w:pPr>
    </w:p>
    <w:p w14:paraId="6ACD9F0A" w14:textId="4C4A36C6" w:rsidR="00342B79" w:rsidRPr="00C25AB4" w:rsidRDefault="00287170" w:rsidP="00F11095">
      <w:pPr>
        <w:pStyle w:val="ActHead2"/>
        <w:pageBreakBefore/>
        <w:rPr>
          <w:rFonts w:ascii="Arial" w:hAnsi="Arial" w:cs="Arial"/>
        </w:rPr>
      </w:pPr>
      <w:bookmarkStart w:id="18" w:name="_Toc368055249"/>
      <w:r w:rsidRPr="00C25AB4">
        <w:rPr>
          <w:rStyle w:val="CharPartNo"/>
          <w:rFonts w:ascii="Arial" w:hAnsi="Arial" w:cs="Arial"/>
          <w:noProof/>
          <w:kern w:val="0"/>
          <w:szCs w:val="24"/>
          <w:lang w:eastAsia="en-US"/>
        </w:rPr>
        <w:lastRenderedPageBreak/>
        <w:t>Part</w:t>
      </w:r>
      <w:r w:rsidR="00254A2F" w:rsidRPr="00C25AB4">
        <w:rPr>
          <w:rStyle w:val="CharPartNo"/>
          <w:rFonts w:ascii="Arial" w:hAnsi="Arial" w:cs="Arial"/>
          <w:noProof/>
          <w:kern w:val="0"/>
          <w:szCs w:val="24"/>
          <w:lang w:eastAsia="en-US"/>
        </w:rPr>
        <w:t> </w:t>
      </w:r>
      <w:r w:rsidR="00342B79" w:rsidRPr="00C25AB4">
        <w:rPr>
          <w:rStyle w:val="CharPartNo"/>
          <w:rFonts w:ascii="Arial" w:hAnsi="Arial" w:cs="Arial"/>
          <w:noProof/>
          <w:kern w:val="0"/>
          <w:szCs w:val="24"/>
          <w:lang w:eastAsia="en-US"/>
        </w:rPr>
        <w:t>3</w:t>
      </w:r>
      <w:r w:rsidR="009E1FC6" w:rsidRPr="00C25AB4">
        <w:rPr>
          <w:rFonts w:ascii="Arial" w:hAnsi="Arial" w:cs="Arial"/>
        </w:rPr>
        <w:tab/>
      </w:r>
      <w:r w:rsidR="00342B79" w:rsidRPr="00C25AB4">
        <w:rPr>
          <w:rStyle w:val="CharPartText"/>
          <w:rFonts w:ascii="Arial" w:hAnsi="Arial" w:cs="Arial"/>
        </w:rPr>
        <w:t>Requirements to be met before a compliance label is applied</w:t>
      </w:r>
      <w:bookmarkEnd w:id="18"/>
    </w:p>
    <w:p w14:paraId="6ACD9F0B" w14:textId="77777777" w:rsidR="00342B79" w:rsidRPr="00254A2F" w:rsidRDefault="00287170" w:rsidP="00287170">
      <w:pPr>
        <w:pStyle w:val="ActHead3"/>
      </w:pPr>
      <w:bookmarkStart w:id="19" w:name="_Toc368055250"/>
      <w:r w:rsidRPr="00254A2F">
        <w:rPr>
          <w:rStyle w:val="CharDivNo"/>
        </w:rPr>
        <w:t>Division</w:t>
      </w:r>
      <w:r w:rsidR="00254A2F">
        <w:rPr>
          <w:rStyle w:val="CharDivNo"/>
        </w:rPr>
        <w:t> </w:t>
      </w:r>
      <w:r w:rsidR="00342B79" w:rsidRPr="00254A2F">
        <w:rPr>
          <w:rStyle w:val="CharDivNo"/>
        </w:rPr>
        <w:t>3.1</w:t>
      </w:r>
      <w:r w:rsidRPr="00254A2F">
        <w:t>—</w:t>
      </w:r>
      <w:r w:rsidR="00342B79" w:rsidRPr="00254A2F">
        <w:rPr>
          <w:rStyle w:val="CharDivText"/>
        </w:rPr>
        <w:t xml:space="preserve">Application of </w:t>
      </w:r>
      <w:r w:rsidRPr="00254A2F">
        <w:rPr>
          <w:rStyle w:val="CharDivText"/>
        </w:rPr>
        <w:t>Part</w:t>
      </w:r>
      <w:r w:rsidR="00254A2F">
        <w:rPr>
          <w:rStyle w:val="CharDivText"/>
        </w:rPr>
        <w:t> </w:t>
      </w:r>
      <w:r w:rsidR="00342B79" w:rsidRPr="00254A2F">
        <w:rPr>
          <w:rStyle w:val="CharDivText"/>
        </w:rPr>
        <w:t>3</w:t>
      </w:r>
      <w:bookmarkEnd w:id="19"/>
    </w:p>
    <w:p w14:paraId="6ACD9F0C" w14:textId="77777777" w:rsidR="00342B79" w:rsidRPr="00254A2F" w:rsidRDefault="00342B79" w:rsidP="00287170">
      <w:pPr>
        <w:pStyle w:val="ActHead5"/>
      </w:pPr>
      <w:bookmarkStart w:id="20" w:name="_Toc368055251"/>
      <w:proofErr w:type="gramStart"/>
      <w:r w:rsidRPr="00254A2F">
        <w:rPr>
          <w:rStyle w:val="CharSectno"/>
        </w:rPr>
        <w:t>10</w:t>
      </w:r>
      <w:r w:rsidR="0005388B">
        <w:rPr>
          <w:rStyle w:val="CharSectno"/>
        </w:rPr>
        <w:t xml:space="preserve"> </w:t>
      </w:r>
      <w:r w:rsidR="00A45C90">
        <w:rPr>
          <w:rStyle w:val="CharSectno"/>
        </w:rPr>
        <w:t xml:space="preserve"> </w:t>
      </w:r>
      <w:r w:rsidRPr="00254A2F">
        <w:t>No</w:t>
      </w:r>
      <w:proofErr w:type="gramEnd"/>
      <w:r w:rsidRPr="00254A2F">
        <w:t xml:space="preserve"> application to variants of a device</w:t>
      </w:r>
      <w:bookmarkEnd w:id="20"/>
    </w:p>
    <w:p w14:paraId="6ACD9F0D" w14:textId="77777777" w:rsidR="00342B79" w:rsidRPr="00254A2F" w:rsidRDefault="00342B79" w:rsidP="00287170">
      <w:pPr>
        <w:pStyle w:val="subsection"/>
      </w:pPr>
      <w:r w:rsidRPr="00254A2F">
        <w:tab/>
      </w:r>
      <w:r w:rsidRPr="00254A2F">
        <w:tab/>
        <w:t xml:space="preserve">This </w:t>
      </w:r>
      <w:r w:rsidR="00287170" w:rsidRPr="00254A2F">
        <w:t>Part</w:t>
      </w:r>
      <w:r w:rsidR="00C73F2F">
        <w:t xml:space="preserve"> </w:t>
      </w:r>
      <w:r w:rsidRPr="00254A2F">
        <w:t xml:space="preserve">does not apply in relation to a variant of a device if the relevant requirements of this </w:t>
      </w:r>
      <w:r w:rsidR="00287170" w:rsidRPr="00254A2F">
        <w:t>Part</w:t>
      </w:r>
      <w:r w:rsidR="00C73F2F">
        <w:t xml:space="preserve"> </w:t>
      </w:r>
      <w:r w:rsidRPr="00254A2F">
        <w:t>have been met in relation to the device.</w:t>
      </w:r>
    </w:p>
    <w:p w14:paraId="6ACD9F0E" w14:textId="77777777" w:rsidR="00CA7F6E" w:rsidRPr="00254A2F" w:rsidRDefault="00CA7F6E" w:rsidP="0026502E">
      <w:pPr>
        <w:pStyle w:val="ActHead3"/>
        <w:keepNext w:val="0"/>
        <w:keepLines w:val="0"/>
      </w:pPr>
      <w:bookmarkStart w:id="21" w:name="_Toc368055252"/>
      <w:r w:rsidRPr="00254A2F">
        <w:rPr>
          <w:rStyle w:val="CharDivNo"/>
        </w:rPr>
        <w:t>Division</w:t>
      </w:r>
      <w:r w:rsidR="00254A2F">
        <w:rPr>
          <w:rStyle w:val="CharDivNo"/>
        </w:rPr>
        <w:t> </w:t>
      </w:r>
      <w:r w:rsidRPr="00254A2F">
        <w:rPr>
          <w:rStyle w:val="CharDivNo"/>
        </w:rPr>
        <w:t>3.2</w:t>
      </w:r>
      <w:r w:rsidRPr="00254A2F">
        <w:t>—</w:t>
      </w:r>
      <w:r w:rsidRPr="00254A2F">
        <w:rPr>
          <w:rStyle w:val="CharDivText"/>
        </w:rPr>
        <w:t>Registration on national database and issue of supplier code numbers</w:t>
      </w:r>
      <w:bookmarkEnd w:id="21"/>
    </w:p>
    <w:p w14:paraId="6ACD9F0F" w14:textId="77777777" w:rsidR="00CA7F6E" w:rsidRPr="00254A2F" w:rsidRDefault="00CA7F6E" w:rsidP="001E686D">
      <w:pPr>
        <w:pStyle w:val="ActHead5"/>
        <w:keepNext w:val="0"/>
        <w:keepLines w:val="0"/>
        <w:ind w:left="0" w:firstLine="0"/>
      </w:pPr>
      <w:bookmarkStart w:id="22" w:name="_Toc368055253"/>
      <w:proofErr w:type="gramStart"/>
      <w:r w:rsidRPr="00254A2F">
        <w:rPr>
          <w:rStyle w:val="CharSectno"/>
        </w:rPr>
        <w:t>11</w:t>
      </w:r>
      <w:r w:rsidRPr="00254A2F">
        <w:t xml:space="preserve">  Use</w:t>
      </w:r>
      <w:proofErr w:type="gramEnd"/>
      <w:r w:rsidRPr="00254A2F">
        <w:t xml:space="preserve"> of RCM subject to registration on national database or issue of supplier code number</w:t>
      </w:r>
      <w:bookmarkEnd w:id="22"/>
    </w:p>
    <w:p w14:paraId="6ACD9F10" w14:textId="4D836139" w:rsidR="00CA7F6E" w:rsidRPr="00254A2F" w:rsidRDefault="00CA7F6E" w:rsidP="00DF6BF7">
      <w:pPr>
        <w:pStyle w:val="subsection"/>
        <w:numPr>
          <w:ilvl w:val="0"/>
          <w:numId w:val="29"/>
        </w:numPr>
        <w:tabs>
          <w:tab w:val="clear" w:pos="1021"/>
        </w:tabs>
        <w:ind w:left="1134" w:hanging="425"/>
      </w:pPr>
      <w:r w:rsidRPr="00254A2F">
        <w:t xml:space="preserve">Before a supplier applies a compliance label consisting of the RCM to a device, the supplier must: </w:t>
      </w:r>
    </w:p>
    <w:p w14:paraId="6ACD9F11" w14:textId="4435B421" w:rsidR="00CA7F6E" w:rsidRPr="00254A2F" w:rsidRDefault="00CA7F6E" w:rsidP="00DF6BF7">
      <w:pPr>
        <w:pStyle w:val="paragraph"/>
        <w:tabs>
          <w:tab w:val="clear" w:pos="1531"/>
          <w:tab w:val="left" w:pos="1843"/>
        </w:tabs>
        <w:ind w:left="1418" w:firstLine="0"/>
      </w:pPr>
      <w:r w:rsidRPr="00254A2F">
        <w:t>(a)</w:t>
      </w:r>
      <w:r w:rsidRPr="00254A2F">
        <w:tab/>
      </w:r>
      <w:proofErr w:type="gramStart"/>
      <w:r w:rsidRPr="00254A2F">
        <w:t>be</w:t>
      </w:r>
      <w:proofErr w:type="gramEnd"/>
      <w:r w:rsidRPr="00254A2F">
        <w:t xml:space="preserve"> registered on the national database; or</w:t>
      </w:r>
    </w:p>
    <w:p w14:paraId="6ACD9F12" w14:textId="5B4C2975" w:rsidR="00CA7F6E" w:rsidRDefault="00CA7F6E" w:rsidP="00DF6BF7">
      <w:pPr>
        <w:pStyle w:val="paragraph"/>
        <w:tabs>
          <w:tab w:val="clear" w:pos="1531"/>
        </w:tabs>
        <w:ind w:left="1843" w:hanging="425"/>
      </w:pPr>
      <w:r w:rsidRPr="00254A2F">
        <w:t>(b)</w:t>
      </w:r>
      <w:r w:rsidRPr="00254A2F">
        <w:tab/>
        <w:t>if the ACMA has not designated in writing a national database for the purposes of this Division</w:t>
      </w:r>
      <w:r w:rsidR="00070621">
        <w:t>—</w:t>
      </w:r>
      <w:r w:rsidRPr="00254A2F">
        <w:t xml:space="preserve">have been issued a supplier code number. </w:t>
      </w:r>
    </w:p>
    <w:p w14:paraId="6ACD9F13" w14:textId="13DF54AF" w:rsidR="00CA7F6E" w:rsidRPr="001E686D" w:rsidRDefault="00CA7F6E" w:rsidP="00240952">
      <w:pPr>
        <w:pStyle w:val="notetext"/>
        <w:ind w:left="1843" w:hanging="709"/>
        <w:rPr>
          <w:szCs w:val="18"/>
        </w:rPr>
      </w:pPr>
      <w:r w:rsidRPr="001E686D">
        <w:rPr>
          <w:szCs w:val="18"/>
        </w:rPr>
        <w:t>Note</w:t>
      </w:r>
      <w:r w:rsidR="00D11563" w:rsidRPr="001E686D">
        <w:rPr>
          <w:szCs w:val="18"/>
        </w:rPr>
        <w:t>:</w:t>
      </w:r>
      <w:r w:rsidRPr="001E686D">
        <w:rPr>
          <w:i/>
          <w:szCs w:val="18"/>
        </w:rPr>
        <w:tab/>
      </w:r>
      <w:r w:rsidRPr="001E686D">
        <w:rPr>
          <w:szCs w:val="18"/>
        </w:rPr>
        <w:t>Under section</w:t>
      </w:r>
      <w:r w:rsidR="00254A2F" w:rsidRPr="001E686D">
        <w:rPr>
          <w:szCs w:val="18"/>
        </w:rPr>
        <w:t> </w:t>
      </w:r>
      <w:r w:rsidRPr="001E686D">
        <w:rPr>
          <w:szCs w:val="18"/>
        </w:rPr>
        <w:t>187 of the</w:t>
      </w:r>
      <w:r w:rsidR="00C73F2F" w:rsidRPr="001E686D">
        <w:rPr>
          <w:szCs w:val="18"/>
        </w:rPr>
        <w:t xml:space="preserve"> </w:t>
      </w:r>
      <w:r w:rsidRPr="001E686D">
        <w:rPr>
          <w:szCs w:val="18"/>
        </w:rPr>
        <w:t>Act, a supplier that fails to comply with requirements that must be met before a label has been applied to a device may be subject to a pecuniary penalty.</w:t>
      </w:r>
    </w:p>
    <w:p w14:paraId="516BD10E" w14:textId="4CA7E99F" w:rsidR="003956C4" w:rsidRDefault="003956C4" w:rsidP="001E686D">
      <w:pPr>
        <w:pStyle w:val="paragraph"/>
        <w:numPr>
          <w:ilvl w:val="0"/>
          <w:numId w:val="29"/>
        </w:numPr>
        <w:tabs>
          <w:tab w:val="clear" w:pos="1531"/>
        </w:tabs>
        <w:ind w:left="1134" w:hanging="425"/>
        <w:rPr>
          <w:rStyle w:val="CharSectno"/>
        </w:rPr>
      </w:pPr>
      <w:bookmarkStart w:id="23" w:name="_Toc368055254"/>
      <w:r>
        <w:t>If the ACMA</w:t>
      </w:r>
      <w:r w:rsidR="00240952">
        <w:t xml:space="preserve"> has</w:t>
      </w:r>
      <w:r>
        <w:t xml:space="preserve"> designated in writing a national database for the purposes of Division 3.2 of the </w:t>
      </w:r>
      <w:r w:rsidRPr="003956C4">
        <w:rPr>
          <w:i/>
        </w:rPr>
        <w:t>Radiocommunications Devices (Compliance Labelling) Notice 2003</w:t>
      </w:r>
      <w:r>
        <w:t xml:space="preserve">, that database is taken to have been designated in writing by the ACMA for the purposes of this Division. </w:t>
      </w:r>
    </w:p>
    <w:p w14:paraId="6ACD9F14" w14:textId="77777777" w:rsidR="00924A8F" w:rsidRPr="00254A2F" w:rsidRDefault="00924A8F" w:rsidP="0026502E">
      <w:pPr>
        <w:pStyle w:val="ActHead5"/>
        <w:keepNext w:val="0"/>
        <w:keepLines w:val="0"/>
      </w:pPr>
      <w:proofErr w:type="gramStart"/>
      <w:r w:rsidRPr="00254A2F">
        <w:rPr>
          <w:rStyle w:val="CharSectno"/>
        </w:rPr>
        <w:t>11A</w:t>
      </w:r>
      <w:r w:rsidRPr="00254A2F">
        <w:t xml:space="preserve">  Registration</w:t>
      </w:r>
      <w:proofErr w:type="gramEnd"/>
      <w:r w:rsidRPr="00254A2F">
        <w:t xml:space="preserve"> on national database</w:t>
      </w:r>
      <w:bookmarkEnd w:id="23"/>
    </w:p>
    <w:p w14:paraId="6ACD9F15" w14:textId="77777777" w:rsidR="00924A8F" w:rsidRPr="00254A2F" w:rsidRDefault="00924A8F" w:rsidP="00924A8F">
      <w:pPr>
        <w:pStyle w:val="subsection"/>
      </w:pPr>
      <w:r w:rsidRPr="00254A2F">
        <w:rPr>
          <w:color w:val="000000"/>
        </w:rPr>
        <w:tab/>
        <w:t>(1)</w:t>
      </w:r>
      <w:r w:rsidRPr="00254A2F">
        <w:rPr>
          <w:color w:val="000000"/>
        </w:rPr>
        <w:tab/>
      </w:r>
      <w:r w:rsidRPr="00254A2F">
        <w:t>To be registered on the national database a supplier must, using a method which the database indicates is a method for including information on the database, provide:</w:t>
      </w:r>
    </w:p>
    <w:p w14:paraId="6ACD9F16" w14:textId="77777777" w:rsidR="00924A8F" w:rsidRPr="00254A2F" w:rsidRDefault="00924A8F" w:rsidP="00924A8F">
      <w:pPr>
        <w:pStyle w:val="paragraph"/>
      </w:pPr>
      <w:r w:rsidRPr="00254A2F">
        <w:tab/>
        <w:t>(a)</w:t>
      </w:r>
      <w:r w:rsidRPr="00254A2F">
        <w:tab/>
      </w:r>
      <w:proofErr w:type="gramStart"/>
      <w:r w:rsidRPr="00254A2F">
        <w:t>information</w:t>
      </w:r>
      <w:proofErr w:type="gramEnd"/>
      <w:r w:rsidRPr="00254A2F">
        <w:t xml:space="preserve"> identifying the supplier;</w:t>
      </w:r>
    </w:p>
    <w:p w14:paraId="6ACD9F17" w14:textId="77777777" w:rsidR="00924A8F" w:rsidRPr="00254A2F" w:rsidRDefault="00924A8F" w:rsidP="00924A8F">
      <w:pPr>
        <w:pStyle w:val="paragraph"/>
      </w:pPr>
      <w:r w:rsidRPr="00254A2F">
        <w:tab/>
        <w:t>(b)</w:t>
      </w:r>
      <w:r w:rsidRPr="00254A2F">
        <w:tab/>
      </w:r>
      <w:proofErr w:type="gramStart"/>
      <w:r w:rsidRPr="00254A2F">
        <w:t>the</w:t>
      </w:r>
      <w:proofErr w:type="gramEnd"/>
      <w:r w:rsidRPr="00254A2F">
        <w:t xml:space="preserve"> supplier’s address in Australia; and</w:t>
      </w:r>
    </w:p>
    <w:p w14:paraId="6ACD9F18" w14:textId="77777777" w:rsidR="00924A8F" w:rsidRPr="00254A2F" w:rsidRDefault="00924A8F" w:rsidP="00924A8F">
      <w:pPr>
        <w:pStyle w:val="paragraph"/>
        <w:rPr>
          <w:color w:val="000000"/>
        </w:rPr>
      </w:pPr>
      <w:r w:rsidRPr="00254A2F">
        <w:tab/>
        <w:t>(c)</w:t>
      </w:r>
      <w:r w:rsidRPr="00254A2F">
        <w:tab/>
      </w:r>
      <w:proofErr w:type="gramStart"/>
      <w:r w:rsidRPr="00254A2F">
        <w:t>the</w:t>
      </w:r>
      <w:proofErr w:type="gramEnd"/>
      <w:r w:rsidRPr="00254A2F">
        <w:t xml:space="preserve"> name and contact details of a representative of the supplier.</w:t>
      </w:r>
    </w:p>
    <w:p w14:paraId="6ACD9F19" w14:textId="77777777" w:rsidR="00924A8F" w:rsidRPr="00254A2F" w:rsidRDefault="00924A8F" w:rsidP="00924A8F">
      <w:pPr>
        <w:pStyle w:val="subsection"/>
        <w:rPr>
          <w:color w:val="000000"/>
        </w:rPr>
      </w:pPr>
      <w:r w:rsidRPr="00254A2F">
        <w:rPr>
          <w:color w:val="000000"/>
        </w:rPr>
        <w:tab/>
        <w:t>(2)</w:t>
      </w:r>
      <w:r w:rsidRPr="00254A2F">
        <w:rPr>
          <w:color w:val="000000"/>
        </w:rPr>
        <w:tab/>
      </w:r>
      <w:r w:rsidRPr="00254A2F">
        <w:t xml:space="preserve">For </w:t>
      </w:r>
      <w:r w:rsidR="00254A2F">
        <w:t>paragraph (</w:t>
      </w:r>
      <w:r w:rsidRPr="00254A2F">
        <w:t>1</w:t>
      </w:r>
      <w:proofErr w:type="gramStart"/>
      <w:r w:rsidRPr="00254A2F">
        <w:t>)(</w:t>
      </w:r>
      <w:proofErr w:type="gramEnd"/>
      <w:r w:rsidRPr="00254A2F">
        <w:t>a), information identifying a supplier consists of the supplier’s ABN and 1 of the following pieces of information in relation to the supplier</w:t>
      </w:r>
      <w:r w:rsidRPr="00254A2F">
        <w:rPr>
          <w:color w:val="000000"/>
        </w:rPr>
        <w:t xml:space="preserve">: </w:t>
      </w:r>
    </w:p>
    <w:p w14:paraId="6ACD9F1A" w14:textId="77777777" w:rsidR="00924A8F" w:rsidRPr="00254A2F" w:rsidRDefault="00924A8F" w:rsidP="00924A8F">
      <w:pPr>
        <w:pStyle w:val="paragraph"/>
      </w:pPr>
      <w:r w:rsidRPr="00254A2F">
        <w:tab/>
        <w:t>(a)</w:t>
      </w:r>
      <w:r w:rsidRPr="00254A2F">
        <w:tab/>
      </w:r>
      <w:proofErr w:type="gramStart"/>
      <w:r w:rsidRPr="00254A2F">
        <w:t>if</w:t>
      </w:r>
      <w:proofErr w:type="gramEnd"/>
      <w:r w:rsidRPr="00254A2F">
        <w:t xml:space="preserve"> the supplier is a body corporate, the name of the body corporate;</w:t>
      </w:r>
    </w:p>
    <w:p w14:paraId="6ACD9F1B" w14:textId="77777777" w:rsidR="00924A8F" w:rsidRPr="00254A2F" w:rsidRDefault="00924A8F" w:rsidP="00924A8F">
      <w:pPr>
        <w:pStyle w:val="paragraph"/>
      </w:pPr>
      <w:r w:rsidRPr="00254A2F">
        <w:tab/>
        <w:t>(b)</w:t>
      </w:r>
      <w:r w:rsidRPr="00254A2F">
        <w:tab/>
      </w:r>
      <w:proofErr w:type="gramStart"/>
      <w:r w:rsidRPr="00254A2F">
        <w:t>if</w:t>
      </w:r>
      <w:proofErr w:type="gramEnd"/>
      <w:r w:rsidRPr="00254A2F">
        <w:t xml:space="preserve"> the supplier is an individual, the name of the individual; </w:t>
      </w:r>
    </w:p>
    <w:p w14:paraId="6ACD9F1C" w14:textId="77777777" w:rsidR="00924A8F" w:rsidRPr="00254A2F" w:rsidRDefault="00924A8F" w:rsidP="00924A8F">
      <w:pPr>
        <w:pStyle w:val="paragraph"/>
      </w:pPr>
      <w:r w:rsidRPr="00254A2F">
        <w:tab/>
        <w:t>(c)</w:t>
      </w:r>
      <w:r w:rsidRPr="00254A2F">
        <w:tab/>
      </w:r>
      <w:proofErr w:type="gramStart"/>
      <w:r w:rsidRPr="00254A2F">
        <w:t>a</w:t>
      </w:r>
      <w:proofErr w:type="gramEnd"/>
      <w:r w:rsidRPr="00254A2F">
        <w:t xml:space="preserve"> business name used by the supplier in connection with its business as a supplier and registered as a business name under the </w:t>
      </w:r>
      <w:r w:rsidRPr="00254A2F">
        <w:rPr>
          <w:i/>
        </w:rPr>
        <w:t>Business Names Registration Act 2011</w:t>
      </w:r>
      <w:r w:rsidRPr="00254A2F">
        <w:t xml:space="preserve">. </w:t>
      </w:r>
    </w:p>
    <w:p w14:paraId="6ACD9F1D" w14:textId="77777777" w:rsidR="00924A8F" w:rsidRPr="00254A2F" w:rsidRDefault="00924A8F" w:rsidP="009051D5">
      <w:pPr>
        <w:pStyle w:val="subsection"/>
        <w:keepLines/>
      </w:pPr>
      <w:r w:rsidRPr="00254A2F">
        <w:lastRenderedPageBreak/>
        <w:tab/>
        <w:t>(3)</w:t>
      </w:r>
      <w:r w:rsidRPr="00254A2F">
        <w:tab/>
        <w:t xml:space="preserve">If the information provided by a supplier for inclusion in the national database subsequently changes, the supplier must, within 30 days after the change occurs, </w:t>
      </w:r>
      <w:r w:rsidRPr="00254A2F">
        <w:rPr>
          <w:color w:val="000000"/>
        </w:rPr>
        <w:t>update</w:t>
      </w:r>
      <w:r w:rsidRPr="00254A2F">
        <w:t xml:space="preserve"> the national database with the changed information using a method which the database indicates is a method for updating information on the database.</w:t>
      </w:r>
    </w:p>
    <w:p w14:paraId="6ACD9F1E" w14:textId="77777777" w:rsidR="00924A8F" w:rsidRPr="00254A2F" w:rsidRDefault="00924A8F" w:rsidP="00924A8F">
      <w:pPr>
        <w:pStyle w:val="subsection"/>
      </w:pPr>
      <w:r w:rsidRPr="00254A2F">
        <w:tab/>
        <w:t>(4)</w:t>
      </w:r>
      <w:r w:rsidRPr="00254A2F">
        <w:tab/>
        <w:t xml:space="preserve">In this section: </w:t>
      </w:r>
    </w:p>
    <w:p w14:paraId="6ACD9F1F" w14:textId="77777777" w:rsidR="00924A8F" w:rsidRPr="00254A2F" w:rsidRDefault="00924A8F" w:rsidP="00924A8F">
      <w:pPr>
        <w:pStyle w:val="Definition"/>
      </w:pPr>
      <w:r w:rsidRPr="00254A2F">
        <w:rPr>
          <w:b/>
          <w:i/>
        </w:rPr>
        <w:t>ABN</w:t>
      </w:r>
      <w:r w:rsidRPr="00254A2F">
        <w:t xml:space="preserve"> has the same meaning as in the </w:t>
      </w:r>
      <w:r w:rsidRPr="00254A2F">
        <w:rPr>
          <w:i/>
          <w:iCs/>
        </w:rPr>
        <w:t>A New Tax System (Australian Business Number) Act 1999</w:t>
      </w:r>
      <w:r w:rsidRPr="00254A2F">
        <w:rPr>
          <w:iCs/>
        </w:rPr>
        <w:t>.</w:t>
      </w:r>
    </w:p>
    <w:p w14:paraId="6ACD9F20" w14:textId="77777777" w:rsidR="00924A8F" w:rsidRPr="00254A2F" w:rsidRDefault="00C73F2F" w:rsidP="00924A8F">
      <w:pPr>
        <w:pStyle w:val="Definition"/>
        <w:rPr>
          <w:i/>
        </w:rPr>
      </w:pPr>
      <w:proofErr w:type="gramStart"/>
      <w:r>
        <w:rPr>
          <w:b/>
          <w:i/>
        </w:rPr>
        <w:t>r</w:t>
      </w:r>
      <w:r w:rsidR="00924A8F" w:rsidRPr="00254A2F">
        <w:rPr>
          <w:b/>
          <w:i/>
        </w:rPr>
        <w:t>epresentative</w:t>
      </w:r>
      <w:proofErr w:type="gramEnd"/>
      <w:r>
        <w:rPr>
          <w:b/>
          <w:i/>
        </w:rPr>
        <w:t xml:space="preserve"> </w:t>
      </w:r>
      <w:r w:rsidR="00924A8F" w:rsidRPr="00254A2F">
        <w:rPr>
          <w:b/>
          <w:i/>
        </w:rPr>
        <w:t>of the supplier</w:t>
      </w:r>
      <w:r w:rsidR="00924A8F" w:rsidRPr="00254A2F">
        <w:t xml:space="preserve"> means:</w:t>
      </w:r>
    </w:p>
    <w:p w14:paraId="6ACD9F21" w14:textId="77777777" w:rsidR="00924A8F" w:rsidRPr="00254A2F" w:rsidRDefault="00924A8F" w:rsidP="00924A8F">
      <w:pPr>
        <w:pStyle w:val="paragraph"/>
      </w:pPr>
      <w:r w:rsidRPr="00254A2F">
        <w:tab/>
        <w:t>(a)</w:t>
      </w:r>
      <w:r w:rsidRPr="00254A2F">
        <w:tab/>
      </w:r>
      <w:proofErr w:type="gramStart"/>
      <w:r w:rsidRPr="00254A2F">
        <w:t>an</w:t>
      </w:r>
      <w:proofErr w:type="gramEnd"/>
      <w:r w:rsidRPr="00254A2F">
        <w:t xml:space="preserve"> employee of the supplier; </w:t>
      </w:r>
    </w:p>
    <w:p w14:paraId="6ACD9F22" w14:textId="77777777" w:rsidR="00924A8F" w:rsidRPr="00254A2F" w:rsidRDefault="00924A8F" w:rsidP="00924A8F">
      <w:pPr>
        <w:pStyle w:val="paragraph"/>
      </w:pPr>
      <w:r w:rsidRPr="00254A2F">
        <w:tab/>
        <w:t>(b)</w:t>
      </w:r>
      <w:r w:rsidRPr="00254A2F">
        <w:tab/>
      </w:r>
      <w:proofErr w:type="gramStart"/>
      <w:r w:rsidRPr="00254A2F">
        <w:t>an</w:t>
      </w:r>
      <w:proofErr w:type="gramEnd"/>
      <w:r w:rsidRPr="00254A2F">
        <w:t xml:space="preserve"> officer of the supplier; or</w:t>
      </w:r>
    </w:p>
    <w:p w14:paraId="6ACD9F23" w14:textId="77777777" w:rsidR="00924A8F" w:rsidRPr="00254A2F" w:rsidRDefault="00924A8F" w:rsidP="00924A8F">
      <w:pPr>
        <w:pStyle w:val="paragraph"/>
      </w:pPr>
      <w:r w:rsidRPr="00254A2F">
        <w:tab/>
        <w:t>(c)</w:t>
      </w:r>
      <w:r w:rsidRPr="00254A2F">
        <w:tab/>
      </w:r>
      <w:proofErr w:type="gramStart"/>
      <w:r w:rsidRPr="00254A2F">
        <w:t>a</w:t>
      </w:r>
      <w:proofErr w:type="gramEnd"/>
      <w:r w:rsidRPr="00254A2F">
        <w:t xml:space="preserve"> person authorised in writing for the purposes of this section by the supplier or an employee or officer of the supplier.  </w:t>
      </w:r>
    </w:p>
    <w:p w14:paraId="6ACD9F24" w14:textId="77777777" w:rsidR="00924A8F" w:rsidRPr="00254A2F" w:rsidRDefault="00924A8F" w:rsidP="00F6482A">
      <w:pPr>
        <w:pStyle w:val="Definition"/>
        <w:keepNext/>
      </w:pPr>
      <w:proofErr w:type="gramStart"/>
      <w:r w:rsidRPr="00254A2F">
        <w:rPr>
          <w:b/>
          <w:i/>
        </w:rPr>
        <w:t>officer</w:t>
      </w:r>
      <w:proofErr w:type="gramEnd"/>
      <w:r w:rsidRPr="00254A2F">
        <w:rPr>
          <w:b/>
          <w:i/>
        </w:rPr>
        <w:t xml:space="preserve"> of the supplier </w:t>
      </w:r>
      <w:r w:rsidRPr="00254A2F">
        <w:t>means:</w:t>
      </w:r>
    </w:p>
    <w:p w14:paraId="6ACD9F25" w14:textId="77777777" w:rsidR="00924A8F" w:rsidRPr="00254A2F" w:rsidRDefault="00924A8F" w:rsidP="00924A8F">
      <w:pPr>
        <w:pStyle w:val="paragraph"/>
      </w:pPr>
      <w:r w:rsidRPr="00254A2F">
        <w:tab/>
        <w:t>(a)</w:t>
      </w:r>
      <w:r w:rsidRPr="00254A2F">
        <w:tab/>
        <w:t xml:space="preserve">if the supplier is a corporation for the purposes of the </w:t>
      </w:r>
      <w:r w:rsidRPr="00254A2F">
        <w:rPr>
          <w:i/>
        </w:rPr>
        <w:t>Corporations Act 2001</w:t>
      </w:r>
      <w:r w:rsidRPr="00254A2F">
        <w:t>, an officer of a corporation as that term is defined in section</w:t>
      </w:r>
      <w:r w:rsidR="00254A2F">
        <w:t> </w:t>
      </w:r>
      <w:r w:rsidRPr="00254A2F">
        <w:t xml:space="preserve">9 of the </w:t>
      </w:r>
      <w:r w:rsidRPr="00070621">
        <w:rPr>
          <w:i/>
        </w:rPr>
        <w:t>Corporations Act 2001</w:t>
      </w:r>
      <w:r w:rsidRPr="00254A2F">
        <w:t>; or</w:t>
      </w:r>
    </w:p>
    <w:p w14:paraId="6ACD9F26" w14:textId="77777777" w:rsidR="00924A8F" w:rsidRPr="00254A2F" w:rsidRDefault="00924A8F" w:rsidP="00924A8F">
      <w:pPr>
        <w:pStyle w:val="paragraph"/>
      </w:pPr>
      <w:r w:rsidRPr="00254A2F">
        <w:tab/>
        <w:t>(b)</w:t>
      </w:r>
      <w:r w:rsidRPr="00254A2F">
        <w:tab/>
      </w:r>
      <w:proofErr w:type="gramStart"/>
      <w:r w:rsidRPr="00254A2F">
        <w:t>if</w:t>
      </w:r>
      <w:proofErr w:type="gramEnd"/>
      <w:r w:rsidRPr="00254A2F">
        <w:t xml:space="preserve"> the supplier is an entity that is neither an individual nor a corporation for the purposes of the </w:t>
      </w:r>
      <w:r w:rsidRPr="00070621">
        <w:rPr>
          <w:i/>
        </w:rPr>
        <w:t>Corporations Act 2001</w:t>
      </w:r>
      <w:r w:rsidRPr="00254A2F">
        <w:t>, an officer of that entity as defined in section</w:t>
      </w:r>
      <w:r w:rsidR="00254A2F">
        <w:t> </w:t>
      </w:r>
      <w:r w:rsidRPr="00254A2F">
        <w:t xml:space="preserve">9 of the </w:t>
      </w:r>
      <w:r w:rsidRPr="00254A2F">
        <w:rPr>
          <w:i/>
        </w:rPr>
        <w:t>Corporations Act 2001</w:t>
      </w:r>
      <w:r w:rsidRPr="00254A2F">
        <w:t xml:space="preserve">.  </w:t>
      </w:r>
    </w:p>
    <w:p w14:paraId="6ACD9F27" w14:textId="77777777" w:rsidR="00924A8F" w:rsidRPr="00240952" w:rsidRDefault="00924A8F" w:rsidP="00924A8F">
      <w:pPr>
        <w:pStyle w:val="notetext"/>
        <w:rPr>
          <w:szCs w:val="18"/>
        </w:rPr>
      </w:pPr>
      <w:r w:rsidRPr="00240952">
        <w:rPr>
          <w:szCs w:val="18"/>
        </w:rPr>
        <w:t>Note 1</w:t>
      </w:r>
      <w:r w:rsidR="00D11563" w:rsidRPr="00240952">
        <w:rPr>
          <w:szCs w:val="18"/>
        </w:rPr>
        <w:t>:</w:t>
      </w:r>
      <w:r w:rsidRPr="00240952">
        <w:rPr>
          <w:i/>
          <w:szCs w:val="18"/>
        </w:rPr>
        <w:tab/>
      </w:r>
      <w:r w:rsidRPr="00240952">
        <w:rPr>
          <w:szCs w:val="18"/>
        </w:rPr>
        <w:t>The requirement for a supplier to update the information provided by it for inclusion in the national database imposed under subsection</w:t>
      </w:r>
      <w:r w:rsidR="00254A2F" w:rsidRPr="00240952">
        <w:rPr>
          <w:szCs w:val="18"/>
        </w:rPr>
        <w:t> </w:t>
      </w:r>
      <w:proofErr w:type="gramStart"/>
      <w:r w:rsidRPr="00240952">
        <w:rPr>
          <w:szCs w:val="18"/>
        </w:rPr>
        <w:t>11A(</w:t>
      </w:r>
      <w:proofErr w:type="gramEnd"/>
      <w:r w:rsidRPr="00240952">
        <w:rPr>
          <w:szCs w:val="18"/>
        </w:rPr>
        <w:t>3) is an ongoing requirement.  Under section</w:t>
      </w:r>
      <w:r w:rsidR="00254A2F" w:rsidRPr="00240952">
        <w:rPr>
          <w:szCs w:val="18"/>
        </w:rPr>
        <w:t> </w:t>
      </w:r>
      <w:r w:rsidRPr="00240952">
        <w:rPr>
          <w:szCs w:val="18"/>
        </w:rPr>
        <w:t xml:space="preserve">187A of the Act, a supplier that fails to comply with a specific requirement that must be met after a label has been applied to a device may be subject to a pecuniary penalty. </w:t>
      </w:r>
    </w:p>
    <w:p w14:paraId="6ACD9F28" w14:textId="77777777" w:rsidR="00924A8F" w:rsidRPr="00240952" w:rsidRDefault="00924A8F" w:rsidP="00924A8F">
      <w:pPr>
        <w:pStyle w:val="notetext"/>
        <w:rPr>
          <w:szCs w:val="18"/>
        </w:rPr>
      </w:pPr>
      <w:r w:rsidRPr="00240952">
        <w:rPr>
          <w:szCs w:val="18"/>
        </w:rPr>
        <w:t>Note 2</w:t>
      </w:r>
      <w:r w:rsidR="00D11563" w:rsidRPr="00240952">
        <w:rPr>
          <w:szCs w:val="18"/>
        </w:rPr>
        <w:t>:</w:t>
      </w:r>
      <w:r w:rsidRPr="00240952">
        <w:rPr>
          <w:szCs w:val="18"/>
        </w:rPr>
        <w:tab/>
        <w:t>Information provided by a supplier for inclusion on the national database for the purposes of this Notice will be made publicly available.</w:t>
      </w:r>
    </w:p>
    <w:p w14:paraId="6ACD9F29" w14:textId="77777777" w:rsidR="00924A8F" w:rsidRPr="00254A2F" w:rsidRDefault="00924A8F" w:rsidP="00924A8F">
      <w:pPr>
        <w:pStyle w:val="ActHead5"/>
      </w:pPr>
      <w:bookmarkStart w:id="24" w:name="_Toc368055255"/>
      <w:proofErr w:type="gramStart"/>
      <w:r w:rsidRPr="00254A2F">
        <w:rPr>
          <w:rStyle w:val="CharSectno"/>
        </w:rPr>
        <w:t>11B</w:t>
      </w:r>
      <w:r w:rsidRPr="00254A2F">
        <w:t xml:space="preserve">  Use</w:t>
      </w:r>
      <w:proofErr w:type="gramEnd"/>
      <w:r w:rsidRPr="00254A2F">
        <w:t xml:space="preserve"> of C</w:t>
      </w:r>
      <w:r w:rsidR="00254A2F">
        <w:noBreakHyphen/>
      </w:r>
      <w:r w:rsidRPr="00254A2F">
        <w:t>Tick mark</w:t>
      </w:r>
      <w:bookmarkEnd w:id="24"/>
    </w:p>
    <w:p w14:paraId="6ACD9F2A" w14:textId="77777777" w:rsidR="00924A8F" w:rsidRPr="00254A2F" w:rsidRDefault="00924A8F" w:rsidP="00924A8F">
      <w:pPr>
        <w:pStyle w:val="subsection"/>
      </w:pPr>
      <w:r w:rsidRPr="00254A2F">
        <w:tab/>
      </w:r>
      <w:r w:rsidRPr="00254A2F">
        <w:tab/>
        <w:t>Before a supplier applies a compliance label consisting of the C</w:t>
      </w:r>
      <w:r w:rsidR="00254A2F">
        <w:noBreakHyphen/>
      </w:r>
      <w:r w:rsidRPr="00254A2F">
        <w:t xml:space="preserve">Tick mark to a device, the supplier must have been issued a supplier code number by the ACMA.  </w:t>
      </w:r>
    </w:p>
    <w:p w14:paraId="6ACD9F2B" w14:textId="77777777" w:rsidR="00924A8F" w:rsidRPr="00254A2F" w:rsidRDefault="00924A8F" w:rsidP="00924A8F">
      <w:pPr>
        <w:pStyle w:val="ActHead5"/>
      </w:pPr>
      <w:bookmarkStart w:id="25" w:name="_Toc368055256"/>
      <w:proofErr w:type="gramStart"/>
      <w:r w:rsidRPr="00254A2F">
        <w:rPr>
          <w:rStyle w:val="CharSectno"/>
        </w:rPr>
        <w:t>11C</w:t>
      </w:r>
      <w:r w:rsidRPr="00254A2F">
        <w:t xml:space="preserve">  Issue</w:t>
      </w:r>
      <w:proofErr w:type="gramEnd"/>
      <w:r w:rsidRPr="00254A2F">
        <w:t xml:space="preserve"> of supplier code number</w:t>
      </w:r>
      <w:bookmarkEnd w:id="25"/>
    </w:p>
    <w:p w14:paraId="6ACD9F2C" w14:textId="77777777" w:rsidR="00924A8F" w:rsidRPr="00254A2F" w:rsidRDefault="00924A8F" w:rsidP="00924A8F">
      <w:pPr>
        <w:pStyle w:val="subsection"/>
      </w:pPr>
      <w:r w:rsidRPr="00254A2F">
        <w:tab/>
        <w:t>(1)</w:t>
      </w:r>
      <w:r w:rsidRPr="00254A2F">
        <w:tab/>
        <w:t>This section applies unless the ACMA has designated in writing a national database for the purposes of this Division.</w:t>
      </w:r>
    </w:p>
    <w:p w14:paraId="6ACD9F2D" w14:textId="77777777" w:rsidR="00924A8F" w:rsidRPr="00254A2F" w:rsidRDefault="00924A8F" w:rsidP="00924A8F">
      <w:pPr>
        <w:pStyle w:val="subsection"/>
      </w:pPr>
      <w:r w:rsidRPr="00254A2F">
        <w:tab/>
        <w:t>(2)</w:t>
      </w:r>
      <w:r w:rsidRPr="00254A2F">
        <w:tab/>
        <w:t xml:space="preserve">A supplier may apply in writing to the ACMA for a supplier code number. </w:t>
      </w:r>
    </w:p>
    <w:p w14:paraId="6ACD9F2E" w14:textId="77777777" w:rsidR="00924A8F" w:rsidRPr="00254A2F" w:rsidRDefault="00924A8F" w:rsidP="00924A8F">
      <w:pPr>
        <w:pStyle w:val="subsection"/>
      </w:pPr>
      <w:r w:rsidRPr="00254A2F">
        <w:tab/>
        <w:t>(3)</w:t>
      </w:r>
      <w:r w:rsidRPr="00254A2F">
        <w:tab/>
        <w:t xml:space="preserve">The application must be in a form approved by the ACMA. </w:t>
      </w:r>
    </w:p>
    <w:p w14:paraId="6ACD9F2F" w14:textId="77777777" w:rsidR="00924A8F" w:rsidRPr="00240952" w:rsidRDefault="00924A8F" w:rsidP="00924A8F">
      <w:pPr>
        <w:pStyle w:val="notetext"/>
        <w:rPr>
          <w:szCs w:val="18"/>
        </w:rPr>
      </w:pPr>
      <w:r w:rsidRPr="00240952">
        <w:rPr>
          <w:szCs w:val="18"/>
        </w:rPr>
        <w:t>Note</w:t>
      </w:r>
      <w:r w:rsidR="00D11563" w:rsidRPr="00240952">
        <w:rPr>
          <w:szCs w:val="18"/>
        </w:rPr>
        <w:t>:</w:t>
      </w:r>
      <w:r w:rsidRPr="00240952">
        <w:rPr>
          <w:i/>
          <w:szCs w:val="18"/>
        </w:rPr>
        <w:tab/>
      </w:r>
      <w:r w:rsidRPr="00240952">
        <w:rPr>
          <w:szCs w:val="18"/>
        </w:rPr>
        <w:t>The ACMA makes approved forms available on its website.</w:t>
      </w:r>
    </w:p>
    <w:p w14:paraId="6ACD9F30" w14:textId="77777777" w:rsidR="00924A8F" w:rsidRPr="00254A2F" w:rsidRDefault="00924A8F" w:rsidP="00924A8F">
      <w:pPr>
        <w:pStyle w:val="subsection"/>
      </w:pPr>
      <w:r w:rsidRPr="00254A2F">
        <w:tab/>
        <w:t>(4)</w:t>
      </w:r>
      <w:r w:rsidRPr="00254A2F">
        <w:tab/>
        <w:t>Upon such application being made, the ACMA may issue to the supplier a supplier code number.</w:t>
      </w:r>
    </w:p>
    <w:p w14:paraId="6ACD9F31" w14:textId="77777777" w:rsidR="00924A8F" w:rsidRPr="00254A2F" w:rsidRDefault="00924A8F" w:rsidP="00924A8F">
      <w:pPr>
        <w:pStyle w:val="notetext"/>
      </w:pPr>
    </w:p>
    <w:p w14:paraId="6ACD9F32" w14:textId="77777777" w:rsidR="00342B79" w:rsidRPr="00254A2F" w:rsidRDefault="00342B79" w:rsidP="0026502E">
      <w:pPr>
        <w:pStyle w:val="ActHead3"/>
        <w:keepLines w:val="0"/>
      </w:pPr>
      <w:bookmarkStart w:id="26" w:name="_Toc368055257"/>
      <w:r w:rsidRPr="00254A2F">
        <w:rPr>
          <w:rStyle w:val="CharDivNo"/>
        </w:rPr>
        <w:lastRenderedPageBreak/>
        <w:t>Division</w:t>
      </w:r>
      <w:r w:rsidR="00254A2F">
        <w:rPr>
          <w:rStyle w:val="CharDivNo"/>
        </w:rPr>
        <w:t> </w:t>
      </w:r>
      <w:r w:rsidRPr="00254A2F">
        <w:rPr>
          <w:rStyle w:val="CharDivNo"/>
        </w:rPr>
        <w:t>3.3</w:t>
      </w:r>
      <w:r w:rsidR="00287170" w:rsidRPr="00254A2F">
        <w:t>—</w:t>
      </w:r>
      <w:r w:rsidRPr="00254A2F">
        <w:rPr>
          <w:rStyle w:val="CharDivText"/>
        </w:rPr>
        <w:t>Compliance levels</w:t>
      </w:r>
      <w:bookmarkEnd w:id="26"/>
    </w:p>
    <w:p w14:paraId="6ACD9F33" w14:textId="77777777" w:rsidR="00342B79" w:rsidRPr="00254A2F" w:rsidRDefault="00342B79" w:rsidP="009B7ABB">
      <w:pPr>
        <w:pStyle w:val="ActHead5"/>
        <w:keepLines w:val="0"/>
      </w:pPr>
      <w:bookmarkStart w:id="27" w:name="_Toc368055258"/>
      <w:proofErr w:type="gramStart"/>
      <w:r w:rsidRPr="00254A2F">
        <w:rPr>
          <w:rStyle w:val="CharSectno"/>
        </w:rPr>
        <w:t>12</w:t>
      </w:r>
      <w:r w:rsidR="00A45C90">
        <w:rPr>
          <w:rStyle w:val="CharSectno"/>
        </w:rPr>
        <w:t xml:space="preserve">  </w:t>
      </w:r>
      <w:r w:rsidRPr="00254A2F">
        <w:t>Compliance</w:t>
      </w:r>
      <w:proofErr w:type="gramEnd"/>
      <w:r w:rsidRPr="00254A2F">
        <w:t xml:space="preserve"> levels</w:t>
      </w:r>
      <w:bookmarkEnd w:id="27"/>
    </w:p>
    <w:p w14:paraId="6ACD9F34" w14:textId="77777777" w:rsidR="00342B79" w:rsidRPr="00254A2F" w:rsidRDefault="00342B79" w:rsidP="00287170">
      <w:pPr>
        <w:pStyle w:val="subsection"/>
      </w:pPr>
      <w:r w:rsidRPr="00254A2F">
        <w:tab/>
        <w:t>(1)</w:t>
      </w:r>
      <w:r w:rsidRPr="00254A2F">
        <w:tab/>
        <w:t xml:space="preserve">Before a supplier applies a compliance label to a device, the supplier must ensure that the device complies with each applicable standard at the compliance level mentioned in column 3 of </w:t>
      </w:r>
      <w:r w:rsidR="00DE4E9D" w:rsidRPr="00254A2F">
        <w:t>Schedule</w:t>
      </w:r>
      <w:r w:rsidR="00254A2F">
        <w:t> </w:t>
      </w:r>
      <w:r w:rsidR="00DE4E9D" w:rsidRPr="00254A2F">
        <w:t>2</w:t>
      </w:r>
      <w:r w:rsidRPr="00254A2F">
        <w:t xml:space="preserve"> for the standard.</w:t>
      </w:r>
    </w:p>
    <w:p w14:paraId="6ACD9F35" w14:textId="77777777" w:rsidR="00342B79" w:rsidRPr="00254A2F" w:rsidRDefault="00342B79" w:rsidP="00287170">
      <w:pPr>
        <w:pStyle w:val="subsection"/>
      </w:pPr>
      <w:r w:rsidRPr="00254A2F">
        <w:tab/>
        <w:t>(2)</w:t>
      </w:r>
      <w:r w:rsidRPr="00254A2F">
        <w:tab/>
        <w:t>The supplier of a high</w:t>
      </w:r>
      <w:r w:rsidR="00254A2F">
        <w:noBreakHyphen/>
      </w:r>
      <w:r w:rsidRPr="00254A2F">
        <w:t>risk device or a medium</w:t>
      </w:r>
      <w:r w:rsidR="00254A2F">
        <w:noBreakHyphen/>
      </w:r>
      <w:r w:rsidRPr="00254A2F">
        <w:t>risk device to which subsection</w:t>
      </w:r>
      <w:r w:rsidR="00254A2F">
        <w:t> </w:t>
      </w:r>
      <w:r w:rsidRPr="00254A2F">
        <w:t xml:space="preserve">8(3) applies must ensure that the device complies with each applicable standard at the compliance level mentioned in column 3 of </w:t>
      </w:r>
      <w:r w:rsidR="00DE4E9D" w:rsidRPr="00254A2F">
        <w:t>Schedule</w:t>
      </w:r>
      <w:r w:rsidR="00254A2F">
        <w:t> </w:t>
      </w:r>
      <w:r w:rsidR="00DE4E9D" w:rsidRPr="00254A2F">
        <w:t>2</w:t>
      </w:r>
      <w:r w:rsidRPr="00254A2F">
        <w:t xml:space="preserve"> for the standard.</w:t>
      </w:r>
    </w:p>
    <w:p w14:paraId="6ACD9F36" w14:textId="77777777" w:rsidR="00342B79" w:rsidRPr="00254A2F" w:rsidRDefault="00342B79" w:rsidP="00287170">
      <w:pPr>
        <w:pStyle w:val="ActHead5"/>
      </w:pPr>
      <w:bookmarkStart w:id="28" w:name="_Toc368055259"/>
      <w:proofErr w:type="gramStart"/>
      <w:r w:rsidRPr="00254A2F">
        <w:rPr>
          <w:rStyle w:val="CharSectno"/>
        </w:rPr>
        <w:t>13</w:t>
      </w:r>
      <w:r w:rsidR="00A45C90">
        <w:rPr>
          <w:rStyle w:val="CharSectno"/>
        </w:rPr>
        <w:t xml:space="preserve">  </w:t>
      </w:r>
      <w:r w:rsidRPr="00254A2F">
        <w:t>Compliance</w:t>
      </w:r>
      <w:proofErr w:type="gramEnd"/>
      <w:r w:rsidRPr="00254A2F">
        <w:t xml:space="preserve"> level 1</w:t>
      </w:r>
      <w:bookmarkEnd w:id="28"/>
    </w:p>
    <w:p w14:paraId="6ACD9F37" w14:textId="77777777" w:rsidR="00342B79" w:rsidRPr="00254A2F" w:rsidRDefault="00342B79" w:rsidP="00287170">
      <w:pPr>
        <w:pStyle w:val="subsection"/>
      </w:pPr>
      <w:r w:rsidRPr="00254A2F">
        <w:tab/>
      </w:r>
      <w:r w:rsidRPr="00254A2F">
        <w:tab/>
        <w:t>To comply with compliance level 1 for an applicable standard, the supplier of a device must:</w:t>
      </w:r>
    </w:p>
    <w:p w14:paraId="6ACD9F38" w14:textId="77777777" w:rsidR="00342B79" w:rsidRPr="00254A2F" w:rsidRDefault="00342B79" w:rsidP="00287170">
      <w:pPr>
        <w:pStyle w:val="paragraph"/>
      </w:pPr>
      <w:r w:rsidRPr="00254A2F">
        <w:tab/>
        <w:t>(a)</w:t>
      </w:r>
      <w:r w:rsidRPr="00254A2F">
        <w:tab/>
      </w:r>
      <w:proofErr w:type="gramStart"/>
      <w:r w:rsidRPr="00254A2F">
        <w:t>prepare</w:t>
      </w:r>
      <w:proofErr w:type="gramEnd"/>
      <w:r w:rsidRPr="00254A2F">
        <w:t xml:space="preserve"> a description of the device; and</w:t>
      </w:r>
    </w:p>
    <w:p w14:paraId="6ACD9F39" w14:textId="77777777" w:rsidR="00342B79" w:rsidRPr="00254A2F" w:rsidRDefault="00342B79" w:rsidP="00287170">
      <w:pPr>
        <w:pStyle w:val="paragraph"/>
      </w:pPr>
      <w:r w:rsidRPr="00254A2F">
        <w:tab/>
        <w:t>(b)</w:t>
      </w:r>
      <w:r w:rsidRPr="00254A2F">
        <w:tab/>
      </w:r>
      <w:proofErr w:type="gramStart"/>
      <w:r w:rsidRPr="00254A2F">
        <w:t>complete</w:t>
      </w:r>
      <w:proofErr w:type="gramEnd"/>
      <w:r w:rsidRPr="00254A2F">
        <w:t xml:space="preserve"> and sign a declaration of conformity for the device.</w:t>
      </w:r>
    </w:p>
    <w:p w14:paraId="6ACD9F3A" w14:textId="77777777" w:rsidR="00342B79" w:rsidRPr="00254A2F" w:rsidRDefault="00342B79" w:rsidP="00287170">
      <w:pPr>
        <w:pStyle w:val="ActHead5"/>
      </w:pPr>
      <w:bookmarkStart w:id="29" w:name="_Toc368055260"/>
      <w:proofErr w:type="gramStart"/>
      <w:r w:rsidRPr="00254A2F">
        <w:rPr>
          <w:rStyle w:val="CharSectno"/>
        </w:rPr>
        <w:t>14</w:t>
      </w:r>
      <w:r w:rsidR="00A45C90">
        <w:rPr>
          <w:rStyle w:val="CharSectno"/>
        </w:rPr>
        <w:t xml:space="preserve">  </w:t>
      </w:r>
      <w:r w:rsidRPr="00254A2F">
        <w:t>Compliance</w:t>
      </w:r>
      <w:proofErr w:type="gramEnd"/>
      <w:r w:rsidRPr="00254A2F">
        <w:t xml:space="preserve"> level 2</w:t>
      </w:r>
      <w:bookmarkEnd w:id="29"/>
    </w:p>
    <w:p w14:paraId="6ACD9F3B" w14:textId="77777777" w:rsidR="00342B79" w:rsidRPr="00254A2F" w:rsidRDefault="00342B79" w:rsidP="00287170">
      <w:pPr>
        <w:pStyle w:val="subsection"/>
      </w:pPr>
      <w:r w:rsidRPr="00254A2F">
        <w:tab/>
        <w:t>(1)</w:t>
      </w:r>
      <w:r w:rsidRPr="00254A2F">
        <w:tab/>
        <w:t>To comply with compliance level 2 for an applicable standard, the supplier of a device must:</w:t>
      </w:r>
    </w:p>
    <w:p w14:paraId="6ACD9F3C" w14:textId="77777777" w:rsidR="00342B79" w:rsidRPr="00254A2F" w:rsidRDefault="00342B79" w:rsidP="00287170">
      <w:pPr>
        <w:pStyle w:val="paragraph"/>
      </w:pPr>
      <w:r w:rsidRPr="00254A2F">
        <w:tab/>
        <w:t>(a)</w:t>
      </w:r>
      <w:r w:rsidRPr="00254A2F">
        <w:tab/>
      </w:r>
      <w:proofErr w:type="gramStart"/>
      <w:r w:rsidRPr="00254A2F">
        <w:t>comply</w:t>
      </w:r>
      <w:proofErr w:type="gramEnd"/>
      <w:r w:rsidRPr="00254A2F">
        <w:t xml:space="preserve"> with compliance level 1; and</w:t>
      </w:r>
    </w:p>
    <w:p w14:paraId="6ACD9F3D" w14:textId="77777777" w:rsidR="00342B79" w:rsidRPr="00254A2F" w:rsidRDefault="00342B79" w:rsidP="00287170">
      <w:pPr>
        <w:pStyle w:val="paragraph"/>
      </w:pPr>
      <w:r w:rsidRPr="00254A2F">
        <w:tab/>
        <w:t>(b)</w:t>
      </w:r>
      <w:r w:rsidRPr="00254A2F">
        <w:tab/>
      </w:r>
      <w:proofErr w:type="gramStart"/>
      <w:r w:rsidRPr="00254A2F">
        <w:t>obtain</w:t>
      </w:r>
      <w:proofErr w:type="gramEnd"/>
      <w:r w:rsidRPr="00254A2F">
        <w:t xml:space="preserve"> and retain reasonable written evidence that the device complies with the standard.</w:t>
      </w:r>
    </w:p>
    <w:p w14:paraId="6ACD9F3E" w14:textId="77777777" w:rsidR="00342B79" w:rsidRPr="00254A2F" w:rsidRDefault="00342B79" w:rsidP="00287170">
      <w:pPr>
        <w:pStyle w:val="subsection"/>
      </w:pPr>
      <w:r w:rsidRPr="00254A2F">
        <w:tab/>
        <w:t>(2)</w:t>
      </w:r>
      <w:r w:rsidRPr="00254A2F">
        <w:tab/>
        <w:t xml:space="preserve">For </w:t>
      </w:r>
      <w:r w:rsidR="00254A2F">
        <w:t>paragraph (</w:t>
      </w:r>
      <w:r w:rsidRPr="00254A2F">
        <w:t>1</w:t>
      </w:r>
      <w:proofErr w:type="gramStart"/>
      <w:r w:rsidR="00287170" w:rsidRPr="00254A2F">
        <w:t>)(</w:t>
      </w:r>
      <w:proofErr w:type="gramEnd"/>
      <w:r w:rsidRPr="00254A2F">
        <w:t>b), the reasonable written evidence must include at least one of the following:</w:t>
      </w:r>
    </w:p>
    <w:p w14:paraId="6ACD9F3F" w14:textId="425A4EE9" w:rsidR="00342B79" w:rsidRPr="00254A2F" w:rsidRDefault="00342B79" w:rsidP="00287170">
      <w:pPr>
        <w:pStyle w:val="paragraph"/>
      </w:pPr>
      <w:r w:rsidRPr="00254A2F">
        <w:tab/>
        <w:t>(a)</w:t>
      </w:r>
      <w:r w:rsidRPr="00254A2F">
        <w:tab/>
      </w:r>
      <w:proofErr w:type="gramStart"/>
      <w:r w:rsidRPr="00254A2F">
        <w:t>written</w:t>
      </w:r>
      <w:proofErr w:type="gramEnd"/>
      <w:r w:rsidRPr="00254A2F">
        <w:t xml:space="preserve"> authority by the Federal Communications Commission for a device to operate in the United States of </w:t>
      </w:r>
      <w:r w:rsidRPr="00366501">
        <w:t>America (</w:t>
      </w:r>
      <w:r w:rsidRPr="00366501">
        <w:rPr>
          <w:b/>
          <w:i/>
        </w:rPr>
        <w:t>USA</w:t>
      </w:r>
      <w:r w:rsidRPr="00366501">
        <w:t>),</w:t>
      </w:r>
      <w:r w:rsidRPr="00254A2F">
        <w:t xml:space="preserve"> along with documented information showing how the device has been altered to meet Australian requirements where these diverge from USA requirements; </w:t>
      </w:r>
    </w:p>
    <w:p w14:paraId="6ACD9F40" w14:textId="77777777" w:rsidR="00342B79" w:rsidRPr="00254A2F" w:rsidRDefault="00342B79" w:rsidP="00287170">
      <w:pPr>
        <w:pStyle w:val="paragraph"/>
      </w:pPr>
      <w:r w:rsidRPr="00254A2F">
        <w:tab/>
        <w:t>(b)</w:t>
      </w:r>
      <w:r w:rsidRPr="00254A2F">
        <w:tab/>
      </w:r>
      <w:proofErr w:type="gramStart"/>
      <w:r w:rsidRPr="00254A2F">
        <w:t>a</w:t>
      </w:r>
      <w:proofErr w:type="gramEnd"/>
      <w:r w:rsidRPr="00254A2F">
        <w:t xml:space="preserve"> test report prepared by an accredited testing body endorsed in accordance with the body’s accreditation criteria; </w:t>
      </w:r>
    </w:p>
    <w:p w14:paraId="6ACD9F41" w14:textId="77777777" w:rsidR="00342B79" w:rsidRPr="00254A2F" w:rsidRDefault="00342B79" w:rsidP="00287170">
      <w:pPr>
        <w:pStyle w:val="paragraph"/>
      </w:pPr>
      <w:r w:rsidRPr="00254A2F">
        <w:tab/>
        <w:t>(c)</w:t>
      </w:r>
      <w:r w:rsidRPr="00254A2F">
        <w:tab/>
      </w:r>
      <w:proofErr w:type="gramStart"/>
      <w:r w:rsidRPr="00254A2F">
        <w:t>a</w:t>
      </w:r>
      <w:proofErr w:type="gramEnd"/>
      <w:r w:rsidRPr="00254A2F">
        <w:t xml:space="preserve"> test report from a person that is not an accredited testing body;</w:t>
      </w:r>
    </w:p>
    <w:p w14:paraId="6ACD9F42" w14:textId="77777777" w:rsidR="00342B79" w:rsidRPr="00254A2F" w:rsidRDefault="00342B79" w:rsidP="00287170">
      <w:pPr>
        <w:pStyle w:val="paragraph"/>
      </w:pPr>
      <w:r w:rsidRPr="00254A2F">
        <w:tab/>
        <w:t>(d)</w:t>
      </w:r>
      <w:r w:rsidRPr="00254A2F">
        <w:tab/>
      </w:r>
      <w:proofErr w:type="gramStart"/>
      <w:r w:rsidRPr="00254A2F">
        <w:t>a</w:t>
      </w:r>
      <w:proofErr w:type="gramEnd"/>
      <w:r w:rsidRPr="00254A2F">
        <w:t xml:space="preserve"> manufacturer’s performance specifications for the device.</w:t>
      </w:r>
    </w:p>
    <w:p w14:paraId="6ACD9F43" w14:textId="77777777" w:rsidR="00342B79" w:rsidRPr="00254A2F" w:rsidRDefault="00342B79" w:rsidP="00287170">
      <w:pPr>
        <w:pStyle w:val="ActHead5"/>
      </w:pPr>
      <w:bookmarkStart w:id="30" w:name="_Toc368055261"/>
      <w:proofErr w:type="gramStart"/>
      <w:r w:rsidRPr="00254A2F">
        <w:rPr>
          <w:rStyle w:val="CharSectno"/>
        </w:rPr>
        <w:t>15</w:t>
      </w:r>
      <w:r w:rsidR="00A45C90">
        <w:rPr>
          <w:rStyle w:val="CharSectno"/>
        </w:rPr>
        <w:t xml:space="preserve">  </w:t>
      </w:r>
      <w:r w:rsidRPr="00254A2F">
        <w:t>Compliance</w:t>
      </w:r>
      <w:proofErr w:type="gramEnd"/>
      <w:r w:rsidRPr="00254A2F">
        <w:t xml:space="preserve"> level 3</w:t>
      </w:r>
      <w:bookmarkEnd w:id="30"/>
    </w:p>
    <w:p w14:paraId="6ACD9F44" w14:textId="77777777" w:rsidR="00342B79" w:rsidRPr="00254A2F" w:rsidRDefault="00342B79" w:rsidP="00287170">
      <w:pPr>
        <w:pStyle w:val="subsection"/>
      </w:pPr>
      <w:r w:rsidRPr="00254A2F">
        <w:tab/>
      </w:r>
      <w:r w:rsidRPr="00254A2F">
        <w:tab/>
        <w:t>To comply with compliance level 3 for an applicable standard, the supplier of a device must:</w:t>
      </w:r>
    </w:p>
    <w:p w14:paraId="6ACD9F45" w14:textId="77777777" w:rsidR="00342B79" w:rsidRPr="00254A2F" w:rsidRDefault="00342B79" w:rsidP="00287170">
      <w:pPr>
        <w:pStyle w:val="paragraph"/>
      </w:pPr>
      <w:r w:rsidRPr="00254A2F">
        <w:tab/>
        <w:t>(a)</w:t>
      </w:r>
      <w:r w:rsidRPr="00254A2F">
        <w:tab/>
      </w:r>
      <w:proofErr w:type="gramStart"/>
      <w:r w:rsidRPr="00254A2F">
        <w:t>comply</w:t>
      </w:r>
      <w:proofErr w:type="gramEnd"/>
      <w:r w:rsidRPr="00254A2F">
        <w:t xml:space="preserve"> with compliance level 1; and</w:t>
      </w:r>
    </w:p>
    <w:p w14:paraId="6ACD9F46" w14:textId="77777777" w:rsidR="00342B79" w:rsidRPr="00254A2F" w:rsidRDefault="00342B79" w:rsidP="00287170">
      <w:pPr>
        <w:pStyle w:val="paragraph"/>
      </w:pPr>
      <w:r w:rsidRPr="00254A2F">
        <w:tab/>
        <w:t>(b)</w:t>
      </w:r>
      <w:r w:rsidRPr="00254A2F">
        <w:tab/>
      </w:r>
      <w:proofErr w:type="gramStart"/>
      <w:r w:rsidRPr="00254A2F">
        <w:t>obtain</w:t>
      </w:r>
      <w:proofErr w:type="gramEnd"/>
      <w:r w:rsidRPr="00254A2F">
        <w:t xml:space="preserve"> and retain evidence that the device conforms with the standard in the form of a test report produced under section</w:t>
      </w:r>
      <w:r w:rsidR="00254A2F">
        <w:t> </w:t>
      </w:r>
      <w:r w:rsidRPr="00254A2F">
        <w:t>16.</w:t>
      </w:r>
    </w:p>
    <w:p w14:paraId="6ACD9F47" w14:textId="77777777" w:rsidR="00342B79" w:rsidRPr="00254A2F" w:rsidRDefault="00342B79" w:rsidP="0026502E">
      <w:pPr>
        <w:pStyle w:val="ActHead3"/>
        <w:keepLines w:val="0"/>
      </w:pPr>
      <w:bookmarkStart w:id="31" w:name="_Toc368055262"/>
      <w:r w:rsidRPr="00254A2F">
        <w:rPr>
          <w:rStyle w:val="CharDivNo"/>
        </w:rPr>
        <w:lastRenderedPageBreak/>
        <w:t>Division</w:t>
      </w:r>
      <w:r w:rsidR="00254A2F">
        <w:rPr>
          <w:rStyle w:val="CharDivNo"/>
        </w:rPr>
        <w:t> </w:t>
      </w:r>
      <w:r w:rsidRPr="00254A2F">
        <w:rPr>
          <w:rStyle w:val="CharDivNo"/>
        </w:rPr>
        <w:t>3.4</w:t>
      </w:r>
      <w:r w:rsidR="00287170" w:rsidRPr="00254A2F">
        <w:t>—</w:t>
      </w:r>
      <w:r w:rsidRPr="00254A2F">
        <w:rPr>
          <w:rStyle w:val="CharDivText"/>
        </w:rPr>
        <w:t>Testing of devices</w:t>
      </w:r>
      <w:bookmarkEnd w:id="31"/>
    </w:p>
    <w:p w14:paraId="6ACD9F48" w14:textId="77777777" w:rsidR="00342B79" w:rsidRPr="00254A2F" w:rsidRDefault="00342B79" w:rsidP="0026502E">
      <w:pPr>
        <w:pStyle w:val="ActHead5"/>
        <w:keepNext w:val="0"/>
        <w:keepLines w:val="0"/>
      </w:pPr>
      <w:bookmarkStart w:id="32" w:name="_Toc368055263"/>
      <w:proofErr w:type="gramStart"/>
      <w:r w:rsidRPr="00254A2F">
        <w:rPr>
          <w:rStyle w:val="CharSectno"/>
        </w:rPr>
        <w:t>16</w:t>
      </w:r>
      <w:r w:rsidR="008D742E">
        <w:rPr>
          <w:rStyle w:val="CharSectno"/>
        </w:rPr>
        <w:t xml:space="preserve"> </w:t>
      </w:r>
      <w:r w:rsidR="00A45C90">
        <w:rPr>
          <w:rStyle w:val="CharSectno"/>
        </w:rPr>
        <w:t xml:space="preserve"> </w:t>
      </w:r>
      <w:r w:rsidRPr="00254A2F">
        <w:t>Testing</w:t>
      </w:r>
      <w:bookmarkEnd w:id="32"/>
      <w:proofErr w:type="gramEnd"/>
    </w:p>
    <w:p w14:paraId="6ACD9F49" w14:textId="77777777" w:rsidR="00342B79" w:rsidRPr="00254A2F" w:rsidRDefault="00342B79" w:rsidP="00287170">
      <w:pPr>
        <w:pStyle w:val="subsection"/>
      </w:pPr>
      <w:r w:rsidRPr="00254A2F">
        <w:tab/>
        <w:t>(1)</w:t>
      </w:r>
      <w:r w:rsidRPr="00254A2F">
        <w:tab/>
        <w:t xml:space="preserve">This section </w:t>
      </w:r>
      <w:r w:rsidRPr="00FA773F">
        <w:t>applies if</w:t>
      </w:r>
      <w:r w:rsidRPr="00254A2F">
        <w:t xml:space="preserve"> a device is to be tested for conformity with an applicable standard for compliance level 3.</w:t>
      </w:r>
    </w:p>
    <w:p w14:paraId="6ACD9F4A" w14:textId="77777777" w:rsidR="00342B79" w:rsidRPr="00254A2F" w:rsidRDefault="00342B79" w:rsidP="00287170">
      <w:pPr>
        <w:pStyle w:val="subsection"/>
      </w:pPr>
      <w:r w:rsidRPr="00254A2F">
        <w:tab/>
        <w:t>(2)</w:t>
      </w:r>
      <w:r w:rsidRPr="00254A2F">
        <w:tab/>
        <w:t>A test under this section must be carried out by an accredited testing body.</w:t>
      </w:r>
    </w:p>
    <w:p w14:paraId="6ACD9F4B" w14:textId="77777777" w:rsidR="00342B79" w:rsidRPr="00254A2F" w:rsidRDefault="00342B79" w:rsidP="00287170">
      <w:pPr>
        <w:pStyle w:val="subsection"/>
      </w:pPr>
      <w:r w:rsidRPr="00254A2F">
        <w:tab/>
        <w:t>(3)</w:t>
      </w:r>
      <w:r w:rsidRPr="00254A2F">
        <w:tab/>
        <w:t>The accredited testing body that tests a device must give a test report to the supplier of the device setting out:</w:t>
      </w:r>
    </w:p>
    <w:p w14:paraId="6ACD9F4C" w14:textId="77777777" w:rsidR="00342B79" w:rsidRPr="00254A2F" w:rsidRDefault="00342B79" w:rsidP="00287170">
      <w:pPr>
        <w:pStyle w:val="paragraph"/>
      </w:pPr>
      <w:r w:rsidRPr="00254A2F">
        <w:tab/>
        <w:t>(a)</w:t>
      </w:r>
      <w:r w:rsidRPr="00254A2F">
        <w:tab/>
      </w:r>
      <w:proofErr w:type="gramStart"/>
      <w:r w:rsidRPr="00254A2F">
        <w:t>the</w:t>
      </w:r>
      <w:proofErr w:type="gramEnd"/>
      <w:r w:rsidRPr="00254A2F">
        <w:t xml:space="preserve"> tests it has used; and</w:t>
      </w:r>
    </w:p>
    <w:p w14:paraId="6ACD9F4D" w14:textId="77777777" w:rsidR="00342B79" w:rsidRPr="00254A2F" w:rsidRDefault="00342B79" w:rsidP="00287170">
      <w:pPr>
        <w:pStyle w:val="paragraph"/>
      </w:pPr>
      <w:r w:rsidRPr="00254A2F">
        <w:tab/>
        <w:t>(b)</w:t>
      </w:r>
      <w:r w:rsidRPr="00254A2F">
        <w:tab/>
      </w:r>
      <w:proofErr w:type="gramStart"/>
      <w:r w:rsidRPr="00254A2F">
        <w:t>the</w:t>
      </w:r>
      <w:proofErr w:type="gramEnd"/>
      <w:r w:rsidRPr="00254A2F">
        <w:t xml:space="preserve"> results of those tests, including test data; and</w:t>
      </w:r>
    </w:p>
    <w:p w14:paraId="6ACD9F4E" w14:textId="77777777" w:rsidR="00342B79" w:rsidRPr="00254A2F" w:rsidRDefault="00342B79" w:rsidP="00287170">
      <w:pPr>
        <w:pStyle w:val="paragraph"/>
      </w:pPr>
      <w:r w:rsidRPr="00254A2F">
        <w:tab/>
        <w:t>(c)</w:t>
      </w:r>
      <w:r w:rsidRPr="00254A2F">
        <w:tab/>
      </w:r>
      <w:proofErr w:type="gramStart"/>
      <w:r w:rsidRPr="00254A2F">
        <w:t>whether</w:t>
      </w:r>
      <w:proofErr w:type="gramEnd"/>
      <w:r w:rsidRPr="00254A2F">
        <w:t xml:space="preserve"> the results of the tests show that the device conforms with the standard, within the meaning of section</w:t>
      </w:r>
      <w:r w:rsidR="00254A2F">
        <w:t> </w:t>
      </w:r>
      <w:r w:rsidRPr="00254A2F">
        <w:t>17.</w:t>
      </w:r>
    </w:p>
    <w:p w14:paraId="6ACD9F4F" w14:textId="77777777" w:rsidR="00342B79" w:rsidRPr="00254A2F" w:rsidRDefault="00342B79" w:rsidP="00287170">
      <w:pPr>
        <w:pStyle w:val="ActHead5"/>
      </w:pPr>
      <w:bookmarkStart w:id="33" w:name="_Toc368055264"/>
      <w:proofErr w:type="gramStart"/>
      <w:r w:rsidRPr="00254A2F">
        <w:rPr>
          <w:rStyle w:val="CharSectno"/>
        </w:rPr>
        <w:t>17</w:t>
      </w:r>
      <w:r w:rsidR="008D742E">
        <w:rPr>
          <w:rStyle w:val="CharSectno"/>
        </w:rPr>
        <w:t xml:space="preserve"> </w:t>
      </w:r>
      <w:r w:rsidR="00A45C90">
        <w:rPr>
          <w:rStyle w:val="CharSectno"/>
        </w:rPr>
        <w:t xml:space="preserve"> </w:t>
      </w:r>
      <w:r w:rsidRPr="00254A2F">
        <w:t>Test</w:t>
      </w:r>
      <w:proofErr w:type="gramEnd"/>
      <w:r w:rsidRPr="00254A2F">
        <w:t xml:space="preserve"> results</w:t>
      </w:r>
      <w:bookmarkEnd w:id="33"/>
    </w:p>
    <w:p w14:paraId="6ACD9F50" w14:textId="77777777" w:rsidR="00342B79" w:rsidRPr="00254A2F" w:rsidRDefault="00342B79" w:rsidP="00287170">
      <w:pPr>
        <w:pStyle w:val="subsection"/>
      </w:pPr>
      <w:r w:rsidRPr="00254A2F">
        <w:tab/>
        <w:t>(1)</w:t>
      </w:r>
      <w:r w:rsidRPr="00254A2F">
        <w:tab/>
        <w:t>This section applies to a device tested for conformity with an applicable standard under section</w:t>
      </w:r>
      <w:r w:rsidR="00254A2F">
        <w:t> </w:t>
      </w:r>
      <w:r w:rsidRPr="00254A2F">
        <w:t>16.</w:t>
      </w:r>
    </w:p>
    <w:p w14:paraId="6ACD9F51" w14:textId="77777777" w:rsidR="00342B79" w:rsidRPr="00254A2F" w:rsidRDefault="00342B79" w:rsidP="00287170">
      <w:pPr>
        <w:pStyle w:val="subsection"/>
      </w:pPr>
      <w:r w:rsidRPr="00254A2F">
        <w:tab/>
        <w:t>(2)</w:t>
      </w:r>
      <w:r w:rsidRPr="00254A2F">
        <w:tab/>
        <w:t xml:space="preserve">A device conforms </w:t>
      </w:r>
      <w:proofErr w:type="gramStart"/>
      <w:r w:rsidRPr="00254A2F">
        <w:t>with</w:t>
      </w:r>
      <w:proofErr w:type="gramEnd"/>
      <w:r w:rsidRPr="00254A2F">
        <w:t xml:space="preserve"> the standard if:</w:t>
      </w:r>
    </w:p>
    <w:p w14:paraId="6ACD9F52" w14:textId="77777777" w:rsidR="00342B79" w:rsidRPr="00254A2F" w:rsidRDefault="00342B79" w:rsidP="00287170">
      <w:pPr>
        <w:pStyle w:val="paragraph"/>
      </w:pPr>
      <w:r w:rsidRPr="00254A2F">
        <w:tab/>
        <w:t>(a)</w:t>
      </w:r>
      <w:r w:rsidRPr="00254A2F">
        <w:tab/>
      </w:r>
      <w:proofErr w:type="gramStart"/>
      <w:r w:rsidRPr="00254A2F">
        <w:t>the</w:t>
      </w:r>
      <w:proofErr w:type="gramEnd"/>
      <w:r w:rsidRPr="00254A2F">
        <w:t xml:space="preserve"> test measurement is within the relevant test limit; and</w:t>
      </w:r>
    </w:p>
    <w:p w14:paraId="6ACD9F53" w14:textId="77777777" w:rsidR="00342B79" w:rsidRPr="00254A2F" w:rsidRDefault="00342B79" w:rsidP="00287170">
      <w:pPr>
        <w:pStyle w:val="paragraph"/>
      </w:pPr>
      <w:r w:rsidRPr="00254A2F">
        <w:tab/>
        <w:t>(b)</w:t>
      </w:r>
      <w:r w:rsidRPr="00254A2F">
        <w:tab/>
      </w:r>
      <w:proofErr w:type="gramStart"/>
      <w:r w:rsidRPr="00254A2F">
        <w:t>the</w:t>
      </w:r>
      <w:proofErr w:type="gramEnd"/>
      <w:r w:rsidRPr="00254A2F">
        <w:t xml:space="preserve"> uncertainty range is within the relevant test limit.</w:t>
      </w:r>
    </w:p>
    <w:p w14:paraId="6ACD9F54" w14:textId="77777777" w:rsidR="00342B79" w:rsidRPr="00254A2F" w:rsidRDefault="00342B79" w:rsidP="00287170">
      <w:pPr>
        <w:pStyle w:val="subsection"/>
      </w:pPr>
      <w:r w:rsidRPr="00254A2F">
        <w:tab/>
        <w:t>(3)</w:t>
      </w:r>
      <w:r w:rsidRPr="00254A2F">
        <w:tab/>
        <w:t xml:space="preserve">A device does not conform </w:t>
      </w:r>
      <w:proofErr w:type="gramStart"/>
      <w:r w:rsidRPr="00254A2F">
        <w:t>with</w:t>
      </w:r>
      <w:proofErr w:type="gramEnd"/>
      <w:r w:rsidRPr="00254A2F">
        <w:t xml:space="preserve"> the standard if:</w:t>
      </w:r>
    </w:p>
    <w:p w14:paraId="6ACD9F55" w14:textId="77777777" w:rsidR="00342B79" w:rsidRPr="00254A2F" w:rsidRDefault="00342B79" w:rsidP="00287170">
      <w:pPr>
        <w:pStyle w:val="paragraph"/>
      </w:pPr>
      <w:r w:rsidRPr="00254A2F">
        <w:tab/>
        <w:t>(a)</w:t>
      </w:r>
      <w:r w:rsidRPr="00254A2F">
        <w:tab/>
      </w:r>
      <w:proofErr w:type="gramStart"/>
      <w:r w:rsidRPr="00254A2F">
        <w:t>the</w:t>
      </w:r>
      <w:proofErr w:type="gramEnd"/>
      <w:r w:rsidRPr="00254A2F">
        <w:t xml:space="preserve"> test measurement is not within the relevant test limit; or</w:t>
      </w:r>
    </w:p>
    <w:p w14:paraId="6ACD9F56" w14:textId="77777777" w:rsidR="00342B79" w:rsidRPr="00254A2F" w:rsidRDefault="00342B79" w:rsidP="00287170">
      <w:pPr>
        <w:pStyle w:val="paragraph"/>
      </w:pPr>
      <w:r w:rsidRPr="00254A2F">
        <w:tab/>
        <w:t>(b)</w:t>
      </w:r>
      <w:r w:rsidRPr="00254A2F">
        <w:tab/>
      </w:r>
      <w:proofErr w:type="gramStart"/>
      <w:r w:rsidRPr="00254A2F">
        <w:t>the</w:t>
      </w:r>
      <w:proofErr w:type="gramEnd"/>
      <w:r w:rsidRPr="00254A2F">
        <w:t xml:space="preserve"> uncertainty range, or a part of the uncertainty range, is not within the relevant test limit.</w:t>
      </w:r>
    </w:p>
    <w:p w14:paraId="6ACD9F57" w14:textId="77777777" w:rsidR="00342B79" w:rsidRPr="00254A2F" w:rsidRDefault="00342B79" w:rsidP="00287170">
      <w:pPr>
        <w:pStyle w:val="subsection"/>
      </w:pPr>
      <w:r w:rsidRPr="00254A2F">
        <w:tab/>
        <w:t>(4)</w:t>
      </w:r>
      <w:r w:rsidRPr="00254A2F">
        <w:tab/>
        <w:t>For measurements of radiated emissions, a device is to be assessed for conformity or non</w:t>
      </w:r>
      <w:r w:rsidR="00254A2F">
        <w:noBreakHyphen/>
      </w:r>
      <w:r w:rsidRPr="00254A2F">
        <w:t xml:space="preserve">conformity with the standard according to </w:t>
      </w:r>
      <w:r w:rsidR="00254A2F">
        <w:t>paragraphs (</w:t>
      </w:r>
      <w:r w:rsidRPr="00254A2F">
        <w:t>2</w:t>
      </w:r>
      <w:proofErr w:type="gramStart"/>
      <w:r w:rsidR="00287170" w:rsidRPr="00254A2F">
        <w:t>)(</w:t>
      </w:r>
      <w:proofErr w:type="gramEnd"/>
      <w:r w:rsidRPr="00254A2F">
        <w:t>a) and (3</w:t>
      </w:r>
      <w:r w:rsidR="00287170" w:rsidRPr="00254A2F">
        <w:t>)(</w:t>
      </w:r>
      <w:r w:rsidRPr="00254A2F">
        <w:t>a) only.</w:t>
      </w:r>
    </w:p>
    <w:p w14:paraId="6ACD9F58" w14:textId="77777777" w:rsidR="00264B4A" w:rsidRPr="00254A2F" w:rsidRDefault="00264B4A" w:rsidP="00287170">
      <w:pPr>
        <w:pStyle w:val="subsection"/>
        <w:rPr>
          <w:iCs/>
        </w:rPr>
      </w:pPr>
      <w:r w:rsidRPr="00254A2F">
        <w:rPr>
          <w:iCs/>
        </w:rPr>
        <w:tab/>
        <w:t>(4A)</w:t>
      </w:r>
      <w:r w:rsidRPr="00254A2F">
        <w:rPr>
          <w:iCs/>
        </w:rPr>
        <w:tab/>
        <w:t>If:</w:t>
      </w:r>
    </w:p>
    <w:p w14:paraId="6ACD9F59" w14:textId="77777777" w:rsidR="00264B4A" w:rsidRPr="00254A2F" w:rsidRDefault="00264B4A" w:rsidP="00287170">
      <w:pPr>
        <w:pStyle w:val="paragraph"/>
      </w:pPr>
      <w:r w:rsidRPr="00254A2F">
        <w:tab/>
        <w:t>(a)</w:t>
      </w:r>
      <w:r w:rsidRPr="00254A2F">
        <w:tab/>
      </w:r>
      <w:r w:rsidRPr="00254A2F">
        <w:rPr>
          <w:iCs/>
        </w:rPr>
        <w:t xml:space="preserve">a standard specified as the standard for performance (the </w:t>
      </w:r>
      <w:r w:rsidRPr="00254A2F">
        <w:rPr>
          <w:b/>
          <w:i/>
          <w:iCs/>
        </w:rPr>
        <w:t>first</w:t>
      </w:r>
      <w:r w:rsidR="00254A2F">
        <w:rPr>
          <w:b/>
          <w:i/>
          <w:iCs/>
        </w:rPr>
        <w:noBreakHyphen/>
      </w:r>
      <w:r w:rsidRPr="00254A2F">
        <w:rPr>
          <w:b/>
          <w:i/>
          <w:iCs/>
        </w:rPr>
        <w:t>mentioned standard</w:t>
      </w:r>
      <w:r w:rsidRPr="00254A2F">
        <w:rPr>
          <w:iCs/>
        </w:rPr>
        <w:t xml:space="preserve">) in an applicable standard </w:t>
      </w:r>
      <w:r w:rsidRPr="00254A2F">
        <w:t>permits test measurements to be taken in accordance with the requirements of a specified ETSI standard as an alternative to the requirements for test measurements in the first</w:t>
      </w:r>
      <w:r w:rsidR="00254A2F">
        <w:noBreakHyphen/>
      </w:r>
      <w:r w:rsidRPr="00254A2F">
        <w:t>mentioned standard; and</w:t>
      </w:r>
    </w:p>
    <w:p w14:paraId="6ACD9F5A" w14:textId="77777777" w:rsidR="00264B4A" w:rsidRPr="00254A2F" w:rsidRDefault="00264B4A" w:rsidP="00287170">
      <w:pPr>
        <w:pStyle w:val="paragraph"/>
      </w:pPr>
      <w:r w:rsidRPr="00254A2F">
        <w:tab/>
        <w:t>(b)</w:t>
      </w:r>
      <w:r w:rsidRPr="00254A2F">
        <w:tab/>
      </w:r>
      <w:proofErr w:type="gramStart"/>
      <w:r w:rsidRPr="00254A2F">
        <w:t>test</w:t>
      </w:r>
      <w:proofErr w:type="gramEnd"/>
      <w:r w:rsidRPr="00254A2F">
        <w:t xml:space="preserve"> measurements are taken in accordance with the requirements of the specified ETSI standard; </w:t>
      </w:r>
    </w:p>
    <w:p w14:paraId="6ACD9F5B" w14:textId="77777777" w:rsidR="00264B4A" w:rsidRPr="00254A2F" w:rsidRDefault="00264B4A" w:rsidP="00287170">
      <w:pPr>
        <w:pStyle w:val="subsection2"/>
      </w:pPr>
      <w:proofErr w:type="gramStart"/>
      <w:r w:rsidRPr="00254A2F">
        <w:t>a</w:t>
      </w:r>
      <w:proofErr w:type="gramEnd"/>
      <w:r w:rsidRPr="00254A2F">
        <w:t xml:space="preserve"> device is to be assessed for conformity or </w:t>
      </w:r>
      <w:proofErr w:type="spellStart"/>
      <w:r w:rsidRPr="00254A2F">
        <w:t>non conformity</w:t>
      </w:r>
      <w:proofErr w:type="spellEnd"/>
      <w:r w:rsidRPr="00254A2F">
        <w:t xml:space="preserve"> with the requirements</w:t>
      </w:r>
      <w:r w:rsidR="008D742E">
        <w:t xml:space="preserve"> </w:t>
      </w:r>
      <w:r w:rsidRPr="00254A2F">
        <w:t>of the ETSI standard in accordance with</w:t>
      </w:r>
      <w:r w:rsidR="00C73F2F">
        <w:t xml:space="preserve"> </w:t>
      </w:r>
      <w:r w:rsidRPr="00254A2F">
        <w:t>the provisions governing the interpretation of measurement results within that standard,</w:t>
      </w:r>
      <w:r w:rsidR="00C73F2F">
        <w:t xml:space="preserve"> </w:t>
      </w:r>
      <w:r w:rsidRPr="00254A2F">
        <w:t>and</w:t>
      </w:r>
      <w:r w:rsidR="00C73F2F">
        <w:t xml:space="preserve"> </w:t>
      </w:r>
      <w:r w:rsidR="00254A2F">
        <w:t>subsections (</w:t>
      </w:r>
      <w:r w:rsidRPr="00254A2F">
        <w:t>2) and (3) do not apply.</w:t>
      </w:r>
    </w:p>
    <w:p w14:paraId="6ACD9F5C" w14:textId="77777777" w:rsidR="00342B79" w:rsidRPr="00254A2F" w:rsidRDefault="00342B79" w:rsidP="0093220F">
      <w:pPr>
        <w:pStyle w:val="subsection"/>
        <w:keepNext/>
      </w:pPr>
      <w:r w:rsidRPr="00254A2F">
        <w:tab/>
        <w:t>(5)</w:t>
      </w:r>
      <w:r w:rsidRPr="00254A2F">
        <w:tab/>
        <w:t>In this section:</w:t>
      </w:r>
    </w:p>
    <w:p w14:paraId="6ACD9F5D" w14:textId="77777777" w:rsidR="00264B4A" w:rsidRPr="00254A2F" w:rsidRDefault="00264B4A" w:rsidP="00287170">
      <w:pPr>
        <w:pStyle w:val="Definition"/>
      </w:pPr>
      <w:r w:rsidRPr="00254A2F">
        <w:rPr>
          <w:b/>
          <w:i/>
        </w:rPr>
        <w:t>ETSI standard</w:t>
      </w:r>
      <w:r w:rsidRPr="00254A2F">
        <w:t xml:space="preserve"> means a standard published by the European Telecommunications</w:t>
      </w:r>
      <w:r w:rsidR="008D742E">
        <w:t xml:space="preserve"> </w:t>
      </w:r>
      <w:r w:rsidRPr="00254A2F">
        <w:t>Standards Institute (ETSI).</w:t>
      </w:r>
    </w:p>
    <w:p w14:paraId="6ACD9F5E" w14:textId="77777777" w:rsidR="00342B79" w:rsidRPr="00254A2F" w:rsidRDefault="00342B79" w:rsidP="00287170">
      <w:pPr>
        <w:pStyle w:val="Definition"/>
      </w:pPr>
      <w:proofErr w:type="gramStart"/>
      <w:r w:rsidRPr="00254A2F">
        <w:rPr>
          <w:b/>
          <w:i/>
        </w:rPr>
        <w:lastRenderedPageBreak/>
        <w:t>test</w:t>
      </w:r>
      <w:proofErr w:type="gramEnd"/>
      <w:r w:rsidRPr="00254A2F">
        <w:rPr>
          <w:b/>
          <w:i/>
        </w:rPr>
        <w:t xml:space="preserve"> limit</w:t>
      </w:r>
      <w:r w:rsidRPr="00254A2F">
        <w:t xml:space="preserve"> means a maximum or minimum value set by an applicable standard for a particular quantity subject to measurement.</w:t>
      </w:r>
    </w:p>
    <w:p w14:paraId="6ACD9F5F" w14:textId="77777777" w:rsidR="00342B79" w:rsidRPr="00254A2F" w:rsidRDefault="00342B79" w:rsidP="00287170">
      <w:pPr>
        <w:pStyle w:val="Definition"/>
      </w:pPr>
      <w:proofErr w:type="gramStart"/>
      <w:r w:rsidRPr="00254A2F">
        <w:rPr>
          <w:b/>
          <w:i/>
        </w:rPr>
        <w:t>test</w:t>
      </w:r>
      <w:proofErr w:type="gramEnd"/>
      <w:r w:rsidRPr="00254A2F">
        <w:rPr>
          <w:b/>
          <w:i/>
        </w:rPr>
        <w:t xml:space="preserve"> measurement</w:t>
      </w:r>
      <w:r w:rsidRPr="00254A2F">
        <w:t xml:space="preserve"> means a value attributed to a particular quantity subject to measurement according to an applicable standard.</w:t>
      </w:r>
    </w:p>
    <w:p w14:paraId="6ACD9F60" w14:textId="77777777" w:rsidR="00342B79" w:rsidRPr="00254A2F" w:rsidRDefault="00342B79" w:rsidP="00287170">
      <w:pPr>
        <w:pStyle w:val="Definition"/>
      </w:pPr>
      <w:proofErr w:type="gramStart"/>
      <w:r w:rsidRPr="00254A2F">
        <w:rPr>
          <w:b/>
          <w:i/>
        </w:rPr>
        <w:t>uncertainty</w:t>
      </w:r>
      <w:proofErr w:type="gramEnd"/>
      <w:r w:rsidRPr="00254A2F">
        <w:rPr>
          <w:b/>
          <w:i/>
        </w:rPr>
        <w:t xml:space="preserve"> range</w:t>
      </w:r>
      <w:r w:rsidRPr="00254A2F">
        <w:t xml:space="preserve"> means a range of values relating to a test measurement, within which the dispersion of test measurements for the quantity subject to measurement could reasonably be expected to fall.</w:t>
      </w:r>
    </w:p>
    <w:p w14:paraId="6ACD9F61" w14:textId="43E76974" w:rsidR="00342B79" w:rsidRPr="00C25AB4" w:rsidRDefault="00287170" w:rsidP="00F11095">
      <w:pPr>
        <w:pStyle w:val="ActHead2"/>
        <w:pageBreakBefore/>
        <w:rPr>
          <w:rFonts w:ascii="Arial" w:hAnsi="Arial" w:cs="Arial"/>
        </w:rPr>
      </w:pPr>
      <w:bookmarkStart w:id="34" w:name="_Toc368055265"/>
      <w:r w:rsidRPr="00C25AB4">
        <w:rPr>
          <w:rStyle w:val="CharPartNo"/>
          <w:rFonts w:ascii="Arial" w:hAnsi="Arial" w:cs="Arial"/>
          <w:noProof/>
          <w:kern w:val="0"/>
          <w:szCs w:val="24"/>
          <w:lang w:eastAsia="en-US"/>
        </w:rPr>
        <w:lastRenderedPageBreak/>
        <w:t>Part</w:t>
      </w:r>
      <w:r w:rsidR="00254A2F" w:rsidRPr="00C25AB4">
        <w:rPr>
          <w:rStyle w:val="CharPartNo"/>
          <w:rFonts w:ascii="Arial" w:hAnsi="Arial" w:cs="Arial"/>
          <w:noProof/>
          <w:kern w:val="0"/>
          <w:szCs w:val="24"/>
          <w:lang w:eastAsia="en-US"/>
        </w:rPr>
        <w:t> </w:t>
      </w:r>
      <w:r w:rsidR="00342B79" w:rsidRPr="00C25AB4">
        <w:rPr>
          <w:rStyle w:val="CharPartNo"/>
          <w:rFonts w:ascii="Arial" w:hAnsi="Arial" w:cs="Arial"/>
          <w:noProof/>
          <w:kern w:val="0"/>
          <w:szCs w:val="24"/>
          <w:lang w:eastAsia="en-US"/>
        </w:rPr>
        <w:t>4</w:t>
      </w:r>
      <w:r w:rsidR="009E1FC6" w:rsidRPr="00C25AB4">
        <w:rPr>
          <w:rStyle w:val="CharPartNo"/>
          <w:rFonts w:ascii="Arial" w:hAnsi="Arial" w:cs="Arial"/>
          <w:noProof/>
          <w:kern w:val="0"/>
          <w:szCs w:val="24"/>
          <w:lang w:eastAsia="en-US"/>
        </w:rPr>
        <w:tab/>
      </w:r>
      <w:r w:rsidR="00342B79" w:rsidRPr="00C25AB4">
        <w:rPr>
          <w:rStyle w:val="CharPartText"/>
          <w:rFonts w:ascii="Arial" w:hAnsi="Arial" w:cs="Arial"/>
        </w:rPr>
        <w:t>Requirements to be met after compliance label applied</w:t>
      </w:r>
      <w:r w:rsidRPr="00C25AB4">
        <w:rPr>
          <w:rStyle w:val="CharPartText"/>
          <w:rFonts w:ascii="Arial" w:hAnsi="Arial" w:cs="Arial"/>
        </w:rPr>
        <w:t>—</w:t>
      </w:r>
      <w:r w:rsidR="00342B79" w:rsidRPr="00C25AB4">
        <w:rPr>
          <w:rStyle w:val="CharPartText"/>
          <w:rFonts w:ascii="Arial" w:hAnsi="Arial" w:cs="Arial"/>
        </w:rPr>
        <w:t xml:space="preserve">devices to which </w:t>
      </w:r>
      <w:r w:rsidRPr="00C25AB4">
        <w:rPr>
          <w:rStyle w:val="CharPartText"/>
          <w:rFonts w:ascii="Arial" w:hAnsi="Arial" w:cs="Arial"/>
        </w:rPr>
        <w:t>Part</w:t>
      </w:r>
      <w:r w:rsidR="00254A2F" w:rsidRPr="00C25AB4">
        <w:rPr>
          <w:rStyle w:val="CharPartText"/>
          <w:rFonts w:ascii="Arial" w:hAnsi="Arial" w:cs="Arial"/>
        </w:rPr>
        <w:t> </w:t>
      </w:r>
      <w:r w:rsidR="00342B79" w:rsidRPr="00C25AB4">
        <w:rPr>
          <w:rStyle w:val="CharPartText"/>
          <w:rFonts w:ascii="Arial" w:hAnsi="Arial" w:cs="Arial"/>
        </w:rPr>
        <w:t>5 does not apply</w:t>
      </w:r>
      <w:bookmarkEnd w:id="34"/>
    </w:p>
    <w:p w14:paraId="6ACD9F62" w14:textId="77777777" w:rsidR="00342B79" w:rsidRPr="00254A2F" w:rsidRDefault="00287170" w:rsidP="00287170">
      <w:pPr>
        <w:pStyle w:val="ActHead3"/>
      </w:pPr>
      <w:bookmarkStart w:id="35" w:name="_Toc368055266"/>
      <w:r w:rsidRPr="00254A2F">
        <w:rPr>
          <w:rStyle w:val="CharDivNo"/>
        </w:rPr>
        <w:t>Division</w:t>
      </w:r>
      <w:r w:rsidR="00254A2F">
        <w:rPr>
          <w:rStyle w:val="CharDivNo"/>
        </w:rPr>
        <w:t> </w:t>
      </w:r>
      <w:r w:rsidR="00342B79" w:rsidRPr="00254A2F">
        <w:rPr>
          <w:rStyle w:val="CharDivNo"/>
        </w:rPr>
        <w:t>4.1</w:t>
      </w:r>
      <w:r w:rsidRPr="00254A2F">
        <w:t>—</w:t>
      </w:r>
      <w:r w:rsidR="00342B79" w:rsidRPr="00254A2F">
        <w:rPr>
          <w:rStyle w:val="CharDivText"/>
        </w:rPr>
        <w:t>Application</w:t>
      </w:r>
      <w:bookmarkEnd w:id="35"/>
    </w:p>
    <w:p w14:paraId="6ACD9F63" w14:textId="77777777" w:rsidR="00342B79" w:rsidRPr="00254A2F" w:rsidRDefault="00342B79" w:rsidP="00287170">
      <w:pPr>
        <w:pStyle w:val="ActHead5"/>
      </w:pPr>
      <w:bookmarkStart w:id="36" w:name="_Toc368055267"/>
      <w:proofErr w:type="gramStart"/>
      <w:r w:rsidRPr="00254A2F">
        <w:rPr>
          <w:rStyle w:val="CharSectno"/>
        </w:rPr>
        <w:t>18</w:t>
      </w:r>
      <w:r w:rsidR="008D742E">
        <w:rPr>
          <w:rStyle w:val="CharSectno"/>
        </w:rPr>
        <w:t xml:space="preserve"> </w:t>
      </w:r>
      <w:r w:rsidR="00A45C90">
        <w:rPr>
          <w:rStyle w:val="CharSectno"/>
        </w:rPr>
        <w:t xml:space="preserve"> </w:t>
      </w:r>
      <w:r w:rsidRPr="00254A2F">
        <w:t>Application</w:t>
      </w:r>
      <w:proofErr w:type="gramEnd"/>
      <w:r w:rsidRPr="00254A2F">
        <w:t xml:space="preserve"> of </w:t>
      </w:r>
      <w:r w:rsidR="00287170" w:rsidRPr="00254A2F">
        <w:t>Part</w:t>
      </w:r>
      <w:r w:rsidR="00254A2F">
        <w:t> </w:t>
      </w:r>
      <w:r w:rsidRPr="00254A2F">
        <w:t>4</w:t>
      </w:r>
      <w:bookmarkEnd w:id="36"/>
    </w:p>
    <w:p w14:paraId="6ACD9F64" w14:textId="77777777" w:rsidR="00342B79" w:rsidRPr="00254A2F" w:rsidRDefault="00342B79" w:rsidP="00287170">
      <w:pPr>
        <w:pStyle w:val="subsection"/>
      </w:pPr>
      <w:r w:rsidRPr="00254A2F">
        <w:tab/>
      </w:r>
      <w:r w:rsidRPr="00254A2F">
        <w:tab/>
        <w:t xml:space="preserve">This </w:t>
      </w:r>
      <w:r w:rsidR="00287170" w:rsidRPr="00254A2F">
        <w:t>Part</w:t>
      </w:r>
      <w:r w:rsidR="00C73F2F">
        <w:t xml:space="preserve"> </w:t>
      </w:r>
      <w:r w:rsidRPr="00254A2F">
        <w:t>applies to:</w:t>
      </w:r>
    </w:p>
    <w:p w14:paraId="6ACD9F65" w14:textId="77777777" w:rsidR="00342B79" w:rsidRPr="00254A2F" w:rsidRDefault="00342B79" w:rsidP="00287170">
      <w:pPr>
        <w:pStyle w:val="paragraph"/>
      </w:pPr>
      <w:r w:rsidRPr="00254A2F">
        <w:tab/>
        <w:t>(a)</w:t>
      </w:r>
      <w:r w:rsidRPr="00254A2F">
        <w:tab/>
      </w:r>
      <w:proofErr w:type="gramStart"/>
      <w:r w:rsidRPr="00254A2F">
        <w:t>a</w:t>
      </w:r>
      <w:proofErr w:type="gramEnd"/>
      <w:r w:rsidRPr="00254A2F">
        <w:t xml:space="preserve"> device, other than a device to which </w:t>
      </w:r>
      <w:r w:rsidR="00287170" w:rsidRPr="00254A2F">
        <w:t>Part</w:t>
      </w:r>
      <w:r w:rsidR="00254A2F">
        <w:t> </w:t>
      </w:r>
      <w:r w:rsidRPr="00254A2F">
        <w:t>5 applies, if a supplier of the device applies a label to the device as a compliance label; and</w:t>
      </w:r>
    </w:p>
    <w:p w14:paraId="6ACD9F66" w14:textId="77777777" w:rsidR="00342B79" w:rsidRPr="00254A2F" w:rsidRDefault="00342B79" w:rsidP="00287170">
      <w:pPr>
        <w:pStyle w:val="paragraph"/>
      </w:pPr>
      <w:r w:rsidRPr="00254A2F">
        <w:tab/>
        <w:t>(b)</w:t>
      </w:r>
      <w:r w:rsidRPr="00254A2F">
        <w:tab/>
      </w:r>
      <w:proofErr w:type="gramStart"/>
      <w:r w:rsidRPr="00254A2F">
        <w:t>a</w:t>
      </w:r>
      <w:proofErr w:type="gramEnd"/>
      <w:r w:rsidRPr="00254A2F">
        <w:t xml:space="preserve"> high</w:t>
      </w:r>
      <w:r w:rsidR="00254A2F">
        <w:noBreakHyphen/>
      </w:r>
      <w:r w:rsidRPr="00254A2F">
        <w:t>risk device or a medium</w:t>
      </w:r>
      <w:r w:rsidR="00254A2F">
        <w:noBreakHyphen/>
      </w:r>
      <w:r w:rsidRPr="00254A2F">
        <w:t>risk device to which subsection</w:t>
      </w:r>
      <w:r w:rsidR="00254A2F">
        <w:t> </w:t>
      </w:r>
      <w:r w:rsidRPr="00254A2F">
        <w:t>8(3) applies.</w:t>
      </w:r>
    </w:p>
    <w:p w14:paraId="6ACD9F67" w14:textId="77777777" w:rsidR="00342B79" w:rsidRPr="00254A2F" w:rsidRDefault="00287170" w:rsidP="0026502E">
      <w:pPr>
        <w:pStyle w:val="ActHead3"/>
        <w:keepNext w:val="0"/>
        <w:keepLines w:val="0"/>
        <w:widowControl w:val="0"/>
      </w:pPr>
      <w:bookmarkStart w:id="37" w:name="_Toc368055268"/>
      <w:r w:rsidRPr="00254A2F">
        <w:rPr>
          <w:rStyle w:val="CharDivNo"/>
        </w:rPr>
        <w:t>Division</w:t>
      </w:r>
      <w:r w:rsidR="00254A2F">
        <w:rPr>
          <w:rStyle w:val="CharDivNo"/>
        </w:rPr>
        <w:t> </w:t>
      </w:r>
      <w:r w:rsidR="00342B79" w:rsidRPr="00254A2F">
        <w:rPr>
          <w:rStyle w:val="CharDivNo"/>
        </w:rPr>
        <w:t>4.2</w:t>
      </w:r>
      <w:r w:rsidRPr="00254A2F">
        <w:t>—</w:t>
      </w:r>
      <w:r w:rsidR="00342B79" w:rsidRPr="00254A2F">
        <w:rPr>
          <w:rStyle w:val="CharDivText"/>
        </w:rPr>
        <w:t>Record keeping</w:t>
      </w:r>
      <w:bookmarkEnd w:id="37"/>
    </w:p>
    <w:p w14:paraId="6ACD9F68" w14:textId="77777777" w:rsidR="00342B79" w:rsidRPr="00254A2F" w:rsidRDefault="00342B79" w:rsidP="0026502E">
      <w:pPr>
        <w:pStyle w:val="ActHead5"/>
        <w:keepNext w:val="0"/>
        <w:keepLines w:val="0"/>
        <w:widowControl w:val="0"/>
      </w:pPr>
      <w:bookmarkStart w:id="38" w:name="_Toc368055269"/>
      <w:proofErr w:type="gramStart"/>
      <w:r w:rsidRPr="00254A2F">
        <w:rPr>
          <w:rStyle w:val="CharSectno"/>
        </w:rPr>
        <w:t>19</w:t>
      </w:r>
      <w:r w:rsidR="008D742E">
        <w:rPr>
          <w:rStyle w:val="CharSectno"/>
        </w:rPr>
        <w:t xml:space="preserve"> </w:t>
      </w:r>
      <w:r w:rsidR="00A45C90">
        <w:rPr>
          <w:rStyle w:val="CharSectno"/>
        </w:rPr>
        <w:t xml:space="preserve"> </w:t>
      </w:r>
      <w:r w:rsidRPr="00254A2F">
        <w:t>Compliance</w:t>
      </w:r>
      <w:proofErr w:type="gramEnd"/>
      <w:r w:rsidRPr="00254A2F">
        <w:t xml:space="preserve"> records</w:t>
      </w:r>
      <w:r w:rsidR="00287170" w:rsidRPr="00254A2F">
        <w:t>—</w:t>
      </w:r>
      <w:r w:rsidRPr="00254A2F">
        <w:t>general requirements</w:t>
      </w:r>
      <w:bookmarkEnd w:id="38"/>
    </w:p>
    <w:p w14:paraId="6ACD9F69" w14:textId="77777777" w:rsidR="00342B79" w:rsidRPr="00254A2F" w:rsidRDefault="00342B79" w:rsidP="0026502E">
      <w:pPr>
        <w:pStyle w:val="subsection"/>
        <w:widowControl w:val="0"/>
      </w:pPr>
      <w:r w:rsidRPr="00254A2F">
        <w:tab/>
        <w:t>(1)</w:t>
      </w:r>
      <w:r w:rsidRPr="00254A2F">
        <w:tab/>
        <w:t xml:space="preserve">A </w:t>
      </w:r>
      <w:r w:rsidRPr="00254A2F">
        <w:rPr>
          <w:b/>
          <w:bCs/>
          <w:i/>
          <w:iCs/>
        </w:rPr>
        <w:t>compliance record</w:t>
      </w:r>
      <w:r w:rsidRPr="00254A2F">
        <w:t xml:space="preserve"> is a record that must be kept under section</w:t>
      </w:r>
      <w:r w:rsidR="00254A2F">
        <w:t> </w:t>
      </w:r>
      <w:r w:rsidRPr="00254A2F">
        <w:t>20.</w:t>
      </w:r>
    </w:p>
    <w:p w14:paraId="6ACD9F6A" w14:textId="77777777" w:rsidR="00342B79" w:rsidRPr="00254A2F" w:rsidRDefault="00342B79" w:rsidP="0026502E">
      <w:pPr>
        <w:pStyle w:val="subsection"/>
        <w:widowControl w:val="0"/>
      </w:pPr>
      <w:r w:rsidRPr="00254A2F">
        <w:tab/>
        <w:t>(2)</w:t>
      </w:r>
      <w:r w:rsidRPr="00254A2F">
        <w:tab/>
        <w:t>A compliance record:</w:t>
      </w:r>
    </w:p>
    <w:p w14:paraId="6ACD9F6B" w14:textId="77777777" w:rsidR="00342B79" w:rsidRPr="00254A2F" w:rsidRDefault="00342B79" w:rsidP="0026502E">
      <w:pPr>
        <w:pStyle w:val="paragraph"/>
        <w:widowControl w:val="0"/>
      </w:pPr>
      <w:r w:rsidRPr="00254A2F">
        <w:rPr>
          <w:color w:val="000000"/>
        </w:rPr>
        <w:tab/>
        <w:t>(a)</w:t>
      </w:r>
      <w:r w:rsidRPr="00254A2F">
        <w:rPr>
          <w:color w:val="000000"/>
        </w:rPr>
        <w:tab/>
      </w:r>
      <w:proofErr w:type="gramStart"/>
      <w:r w:rsidRPr="00254A2F">
        <w:rPr>
          <w:color w:val="000000"/>
        </w:rPr>
        <w:t>must</w:t>
      </w:r>
      <w:proofErr w:type="gramEnd"/>
      <w:r w:rsidRPr="00254A2F">
        <w:rPr>
          <w:color w:val="000000"/>
        </w:rPr>
        <w:t xml:space="preserve"> be in English; and</w:t>
      </w:r>
    </w:p>
    <w:p w14:paraId="6ACD9F6C" w14:textId="77777777" w:rsidR="00342B79" w:rsidRPr="00254A2F" w:rsidRDefault="00342B79" w:rsidP="0026502E">
      <w:pPr>
        <w:pStyle w:val="paragraph"/>
        <w:widowControl w:val="0"/>
      </w:pPr>
      <w:r w:rsidRPr="00254A2F">
        <w:tab/>
        <w:t>(b)</w:t>
      </w:r>
      <w:r w:rsidRPr="00254A2F">
        <w:tab/>
      </w:r>
      <w:proofErr w:type="gramStart"/>
      <w:r w:rsidRPr="00254A2F">
        <w:t>may</w:t>
      </w:r>
      <w:proofErr w:type="gramEnd"/>
      <w:r w:rsidRPr="00254A2F">
        <w:t xml:space="preserve"> be a copy of an original record; and</w:t>
      </w:r>
    </w:p>
    <w:p w14:paraId="6ACD9F6D" w14:textId="77777777" w:rsidR="00342B79" w:rsidRPr="00254A2F" w:rsidRDefault="00342B79" w:rsidP="0026502E">
      <w:pPr>
        <w:pStyle w:val="paragraph"/>
        <w:widowControl w:val="0"/>
      </w:pPr>
      <w:r w:rsidRPr="00254A2F">
        <w:tab/>
        <w:t>(c)</w:t>
      </w:r>
      <w:r w:rsidRPr="00254A2F">
        <w:tab/>
      </w:r>
      <w:proofErr w:type="gramStart"/>
      <w:r w:rsidRPr="00254A2F">
        <w:t>may</w:t>
      </w:r>
      <w:proofErr w:type="gramEnd"/>
      <w:r w:rsidRPr="00254A2F">
        <w:t xml:space="preserve"> be kept in electronic form.</w:t>
      </w:r>
    </w:p>
    <w:p w14:paraId="6ACD9F6E" w14:textId="77777777" w:rsidR="00342B79" w:rsidRPr="00254A2F" w:rsidRDefault="00342B79" w:rsidP="0026502E">
      <w:pPr>
        <w:pStyle w:val="ActHead5"/>
        <w:keepNext w:val="0"/>
        <w:keepLines w:val="0"/>
        <w:widowControl w:val="0"/>
      </w:pPr>
      <w:bookmarkStart w:id="39" w:name="_Toc368055270"/>
      <w:proofErr w:type="gramStart"/>
      <w:r w:rsidRPr="00254A2F">
        <w:rPr>
          <w:rStyle w:val="CharSectno"/>
        </w:rPr>
        <w:t>20</w:t>
      </w:r>
      <w:r w:rsidR="008D742E">
        <w:rPr>
          <w:rStyle w:val="CharSectno"/>
        </w:rPr>
        <w:t xml:space="preserve"> </w:t>
      </w:r>
      <w:r w:rsidR="00A45C90">
        <w:rPr>
          <w:rStyle w:val="CharSectno"/>
        </w:rPr>
        <w:t xml:space="preserve"> </w:t>
      </w:r>
      <w:r w:rsidRPr="00254A2F">
        <w:t>Keeping</w:t>
      </w:r>
      <w:proofErr w:type="gramEnd"/>
      <w:r w:rsidRPr="00254A2F">
        <w:t xml:space="preserve"> of records</w:t>
      </w:r>
      <w:bookmarkEnd w:id="39"/>
    </w:p>
    <w:p w14:paraId="6ACD9F6F" w14:textId="77777777" w:rsidR="00342B79" w:rsidRPr="00254A2F" w:rsidRDefault="00342B79" w:rsidP="0026502E">
      <w:pPr>
        <w:pStyle w:val="subsection"/>
        <w:widowControl w:val="0"/>
      </w:pPr>
      <w:r w:rsidRPr="00254A2F">
        <w:tab/>
        <w:t>(1)</w:t>
      </w:r>
      <w:r w:rsidRPr="00254A2F">
        <w:tab/>
        <w:t>The supplier of the device must keep, for 5</w:t>
      </w:r>
      <w:r w:rsidR="00940ACA">
        <w:t xml:space="preserve"> </w:t>
      </w:r>
      <w:r w:rsidRPr="00254A2F">
        <w:t>years after the device has ceased to be supplied in Australia:</w:t>
      </w:r>
    </w:p>
    <w:p w14:paraId="6ACD9F70" w14:textId="77777777" w:rsidR="00342B79" w:rsidRPr="00254A2F" w:rsidRDefault="00342B79" w:rsidP="0026502E">
      <w:pPr>
        <w:pStyle w:val="paragraph"/>
        <w:widowControl w:val="0"/>
      </w:pPr>
      <w:r w:rsidRPr="00254A2F">
        <w:tab/>
        <w:t>(a)</w:t>
      </w:r>
      <w:r w:rsidRPr="00254A2F">
        <w:tab/>
      </w:r>
      <w:proofErr w:type="gramStart"/>
      <w:r w:rsidRPr="00254A2F">
        <w:t>the</w:t>
      </w:r>
      <w:proofErr w:type="gramEnd"/>
      <w:r w:rsidRPr="00254A2F">
        <w:t xml:space="preserve"> declaration of conformity relating to the device; and</w:t>
      </w:r>
    </w:p>
    <w:p w14:paraId="6ACD9F71" w14:textId="77777777" w:rsidR="00342B79" w:rsidRPr="00254A2F" w:rsidRDefault="00342B79" w:rsidP="0026502E">
      <w:pPr>
        <w:pStyle w:val="paragraph"/>
        <w:widowControl w:val="0"/>
      </w:pPr>
      <w:r w:rsidRPr="00254A2F">
        <w:tab/>
        <w:t>(b)</w:t>
      </w:r>
      <w:r w:rsidRPr="00254A2F">
        <w:tab/>
      </w:r>
      <w:proofErr w:type="gramStart"/>
      <w:r w:rsidRPr="00254A2F">
        <w:t>the</w:t>
      </w:r>
      <w:proofErr w:type="gramEnd"/>
      <w:r w:rsidRPr="00254A2F">
        <w:t xml:space="preserve"> description of the device; and</w:t>
      </w:r>
    </w:p>
    <w:p w14:paraId="6ACD9F72" w14:textId="77777777" w:rsidR="00342B79" w:rsidRPr="00254A2F" w:rsidRDefault="00342B79" w:rsidP="0026502E">
      <w:pPr>
        <w:pStyle w:val="paragraph"/>
        <w:widowControl w:val="0"/>
      </w:pPr>
      <w:r w:rsidRPr="00254A2F">
        <w:tab/>
        <w:t>(c)</w:t>
      </w:r>
      <w:r w:rsidRPr="00254A2F">
        <w:tab/>
      </w:r>
      <w:proofErr w:type="gramStart"/>
      <w:r w:rsidRPr="00254A2F">
        <w:t>for</w:t>
      </w:r>
      <w:proofErr w:type="gramEnd"/>
      <w:r w:rsidRPr="00254A2F">
        <w:t xml:space="preserve"> a high</w:t>
      </w:r>
      <w:r w:rsidR="00254A2F">
        <w:noBreakHyphen/>
      </w:r>
      <w:r w:rsidRPr="00254A2F">
        <w:t>risk device that is shown, under section</w:t>
      </w:r>
      <w:r w:rsidR="00254A2F">
        <w:t> </w:t>
      </w:r>
      <w:r w:rsidRPr="00254A2F">
        <w:t>16, to comply with an applicable standard</w:t>
      </w:r>
      <w:r w:rsidR="00287170" w:rsidRPr="00254A2F">
        <w:t>—</w:t>
      </w:r>
      <w:r w:rsidRPr="00254A2F">
        <w:t>the records mentioned in section</w:t>
      </w:r>
      <w:r w:rsidR="00254A2F">
        <w:t> </w:t>
      </w:r>
      <w:r w:rsidRPr="00254A2F">
        <w:t>21; and</w:t>
      </w:r>
    </w:p>
    <w:p w14:paraId="6ACD9F73" w14:textId="77777777" w:rsidR="00342B79" w:rsidRPr="00254A2F" w:rsidRDefault="00342B79" w:rsidP="0026502E">
      <w:pPr>
        <w:pStyle w:val="paragraph"/>
        <w:widowControl w:val="0"/>
      </w:pPr>
      <w:r w:rsidRPr="00254A2F">
        <w:tab/>
        <w:t>(d)</w:t>
      </w:r>
      <w:r w:rsidRPr="00254A2F">
        <w:tab/>
      </w:r>
      <w:proofErr w:type="gramStart"/>
      <w:r w:rsidRPr="00254A2F">
        <w:t>for</w:t>
      </w:r>
      <w:proofErr w:type="gramEnd"/>
      <w:r w:rsidRPr="00254A2F">
        <w:t xml:space="preserve"> a medium</w:t>
      </w:r>
      <w:r w:rsidR="00254A2F">
        <w:noBreakHyphen/>
      </w:r>
      <w:r w:rsidRPr="00254A2F">
        <w:t>risk device</w:t>
      </w:r>
      <w:r w:rsidR="00287170" w:rsidRPr="00254A2F">
        <w:t>—</w:t>
      </w:r>
      <w:r w:rsidRPr="00254A2F">
        <w:t>the records mentioned in section</w:t>
      </w:r>
      <w:r w:rsidR="00254A2F">
        <w:t> </w:t>
      </w:r>
      <w:r w:rsidRPr="00254A2F">
        <w:t>22; and</w:t>
      </w:r>
    </w:p>
    <w:p w14:paraId="6ACD9F74" w14:textId="77777777" w:rsidR="007E2493" w:rsidRPr="00254A2F" w:rsidRDefault="007E2493" w:rsidP="0026502E">
      <w:pPr>
        <w:pStyle w:val="paragraph"/>
        <w:widowControl w:val="0"/>
      </w:pPr>
      <w:r w:rsidRPr="00254A2F">
        <w:tab/>
        <w:t>(e)</w:t>
      </w:r>
      <w:r w:rsidRPr="00254A2F">
        <w:tab/>
      </w:r>
      <w:proofErr w:type="gramStart"/>
      <w:r w:rsidRPr="00254A2F">
        <w:t>for</w:t>
      </w:r>
      <w:proofErr w:type="gramEnd"/>
      <w:r w:rsidRPr="00254A2F">
        <w:t xml:space="preserve"> a device to which a compliance label is not applied because of section</w:t>
      </w:r>
      <w:r w:rsidR="00254A2F">
        <w:t> </w:t>
      </w:r>
      <w:r w:rsidRPr="00254A2F">
        <w:t>9C</w:t>
      </w:r>
      <w:r w:rsidR="00287170" w:rsidRPr="00254A2F">
        <w:t>—</w:t>
      </w:r>
      <w:r w:rsidRPr="00254A2F">
        <w:t>the records mentioned in subsection</w:t>
      </w:r>
      <w:r w:rsidR="00254A2F">
        <w:t> </w:t>
      </w:r>
      <w:r w:rsidRPr="00254A2F">
        <w:t>9C(3).</w:t>
      </w:r>
    </w:p>
    <w:p w14:paraId="6ACD9F75" w14:textId="77777777" w:rsidR="00342B79" w:rsidRPr="00254A2F" w:rsidRDefault="00342B79" w:rsidP="0026502E">
      <w:pPr>
        <w:pStyle w:val="subsection"/>
        <w:widowControl w:val="0"/>
      </w:pPr>
      <w:r w:rsidRPr="00254A2F">
        <w:rPr>
          <w:color w:val="000000"/>
        </w:rPr>
        <w:tab/>
        <w:t>(2)</w:t>
      </w:r>
      <w:r w:rsidRPr="00254A2F">
        <w:rPr>
          <w:color w:val="000000"/>
        </w:rPr>
        <w:tab/>
        <w:t xml:space="preserve">If an agent of a manufacturer or importer keeps records for the manufacturer or importer that must be kept under </w:t>
      </w:r>
      <w:r w:rsidR="00254A2F">
        <w:rPr>
          <w:color w:val="000000"/>
        </w:rPr>
        <w:t>subsection (</w:t>
      </w:r>
      <w:r w:rsidRPr="00254A2F">
        <w:rPr>
          <w:color w:val="000000"/>
        </w:rPr>
        <w:t>1), the agent must also keep a copy of its agency agreement with the manufacturer or importer for the same period as those records are kept.</w:t>
      </w:r>
    </w:p>
    <w:p w14:paraId="6ACD9F76" w14:textId="77777777" w:rsidR="00342B79" w:rsidRPr="00254A2F" w:rsidRDefault="00342B79" w:rsidP="0026502E">
      <w:pPr>
        <w:pStyle w:val="ActHead5"/>
        <w:keepNext w:val="0"/>
        <w:widowControl w:val="0"/>
      </w:pPr>
      <w:bookmarkStart w:id="40" w:name="_Toc368055271"/>
      <w:proofErr w:type="gramStart"/>
      <w:r w:rsidRPr="00254A2F">
        <w:rPr>
          <w:rStyle w:val="CharSectno"/>
        </w:rPr>
        <w:t>21</w:t>
      </w:r>
      <w:r w:rsidR="008D742E">
        <w:rPr>
          <w:rStyle w:val="CharSectno"/>
        </w:rPr>
        <w:t xml:space="preserve"> </w:t>
      </w:r>
      <w:r w:rsidR="00A45C90">
        <w:rPr>
          <w:rStyle w:val="CharSectno"/>
        </w:rPr>
        <w:t xml:space="preserve"> </w:t>
      </w:r>
      <w:r w:rsidRPr="00254A2F">
        <w:t>Records</w:t>
      </w:r>
      <w:proofErr w:type="gramEnd"/>
      <w:r w:rsidRPr="00254A2F">
        <w:t xml:space="preserve"> of compliance</w:t>
      </w:r>
      <w:r w:rsidR="008D742E">
        <w:t xml:space="preserve"> </w:t>
      </w:r>
      <w:r w:rsidRPr="00254A2F">
        <w:t>with applicable standard</w:t>
      </w:r>
      <w:bookmarkEnd w:id="40"/>
    </w:p>
    <w:p w14:paraId="6ACD9F77" w14:textId="77777777" w:rsidR="00342B79" w:rsidRPr="00254A2F" w:rsidRDefault="00342B79" w:rsidP="00287170">
      <w:pPr>
        <w:pStyle w:val="subsection"/>
      </w:pPr>
      <w:r w:rsidRPr="00254A2F">
        <w:tab/>
      </w:r>
      <w:r w:rsidRPr="00254A2F">
        <w:tab/>
        <w:t>For paragraph</w:t>
      </w:r>
      <w:r w:rsidR="00254A2F">
        <w:t> </w:t>
      </w:r>
      <w:r w:rsidRPr="00254A2F">
        <w:t>20(1</w:t>
      </w:r>
      <w:proofErr w:type="gramStart"/>
      <w:r w:rsidR="00287170" w:rsidRPr="00254A2F">
        <w:t>)(</w:t>
      </w:r>
      <w:proofErr w:type="gramEnd"/>
      <w:r w:rsidRPr="00254A2F">
        <w:t>c), the records are:</w:t>
      </w:r>
    </w:p>
    <w:p w14:paraId="6ACD9F78" w14:textId="77777777" w:rsidR="00342B79" w:rsidRPr="00254A2F" w:rsidRDefault="00342B79" w:rsidP="00287170">
      <w:pPr>
        <w:pStyle w:val="paragraph"/>
      </w:pPr>
      <w:r w:rsidRPr="00254A2F">
        <w:tab/>
        <w:t>(a)</w:t>
      </w:r>
      <w:r w:rsidRPr="00254A2F">
        <w:tab/>
      </w:r>
      <w:proofErr w:type="gramStart"/>
      <w:r w:rsidRPr="00254A2F">
        <w:t>the</w:t>
      </w:r>
      <w:proofErr w:type="gramEnd"/>
      <w:r w:rsidRPr="00254A2F">
        <w:t xml:space="preserve"> test report showing that the device conforms with the applicable standard; and</w:t>
      </w:r>
    </w:p>
    <w:p w14:paraId="6ACD9F79" w14:textId="77777777" w:rsidR="00342B79" w:rsidRPr="00254A2F" w:rsidRDefault="00342B79" w:rsidP="00287170">
      <w:pPr>
        <w:pStyle w:val="paragraph"/>
      </w:pPr>
      <w:r w:rsidRPr="00254A2F">
        <w:lastRenderedPageBreak/>
        <w:tab/>
        <w:t>(b)</w:t>
      </w:r>
      <w:r w:rsidRPr="00254A2F">
        <w:tab/>
      </w:r>
      <w:proofErr w:type="gramStart"/>
      <w:r w:rsidRPr="00254A2F">
        <w:t>for</w:t>
      </w:r>
      <w:proofErr w:type="gramEnd"/>
      <w:r w:rsidRPr="00254A2F">
        <w:t xml:space="preserve"> a variant of the device</w:t>
      </w:r>
      <w:r w:rsidR="00287170" w:rsidRPr="00254A2F">
        <w:t>—</w:t>
      </w:r>
      <w:r w:rsidRPr="00254A2F">
        <w:t>a statement by the supplier that:</w:t>
      </w:r>
    </w:p>
    <w:p w14:paraId="6ACD9F7A" w14:textId="77777777" w:rsidR="00342B79" w:rsidRPr="00254A2F" w:rsidRDefault="00342B79" w:rsidP="00287170">
      <w:pPr>
        <w:pStyle w:val="paragraphsub"/>
      </w:pPr>
      <w:r w:rsidRPr="00254A2F">
        <w:tab/>
        <w:t>(</w:t>
      </w:r>
      <w:proofErr w:type="spellStart"/>
      <w:r w:rsidRPr="00254A2F">
        <w:t>i</w:t>
      </w:r>
      <w:proofErr w:type="spellEnd"/>
      <w:r w:rsidRPr="00254A2F">
        <w:t>)</w:t>
      </w:r>
      <w:r w:rsidRPr="00254A2F">
        <w:tab/>
      </w:r>
      <w:proofErr w:type="gramStart"/>
      <w:r w:rsidRPr="00254A2F">
        <w:t>identifies</w:t>
      </w:r>
      <w:proofErr w:type="gramEnd"/>
      <w:r w:rsidRPr="00254A2F">
        <w:t xml:space="preserve"> the device and the variant; and</w:t>
      </w:r>
    </w:p>
    <w:p w14:paraId="6ACD9F7B" w14:textId="77777777" w:rsidR="00342B79" w:rsidRPr="00254A2F" w:rsidRDefault="00342B79" w:rsidP="00287170">
      <w:pPr>
        <w:pStyle w:val="paragraphsub"/>
      </w:pPr>
      <w:r w:rsidRPr="00254A2F">
        <w:tab/>
        <w:t>(ii)</w:t>
      </w:r>
      <w:r w:rsidRPr="00254A2F">
        <w:tab/>
      </w:r>
      <w:proofErr w:type="gramStart"/>
      <w:r w:rsidRPr="00254A2F">
        <w:t>describes</w:t>
      </w:r>
      <w:proofErr w:type="gramEnd"/>
      <w:r w:rsidRPr="00254A2F">
        <w:t xml:space="preserve"> the differences between the device and the variant; and</w:t>
      </w:r>
    </w:p>
    <w:p w14:paraId="6ACD9F7C" w14:textId="77777777" w:rsidR="00342B79" w:rsidRPr="00254A2F" w:rsidRDefault="00342B79" w:rsidP="00287170">
      <w:pPr>
        <w:pStyle w:val="paragraphsub"/>
      </w:pPr>
      <w:r w:rsidRPr="00254A2F">
        <w:tab/>
        <w:t>(iii)</w:t>
      </w:r>
      <w:r w:rsidRPr="00254A2F">
        <w:tab/>
      </w:r>
      <w:proofErr w:type="gramStart"/>
      <w:r w:rsidRPr="00254A2F">
        <w:t>includes</w:t>
      </w:r>
      <w:proofErr w:type="gramEnd"/>
      <w:r w:rsidRPr="00254A2F">
        <w:t xml:space="preserve"> an explanation of how the differences mentioned in </w:t>
      </w:r>
      <w:r w:rsidR="00254A2F">
        <w:t>subparagraph (</w:t>
      </w:r>
      <w:r w:rsidRPr="00254A2F">
        <w:t>ii) do not affect the variant’s conformity with the applicable standard.</w:t>
      </w:r>
    </w:p>
    <w:p w14:paraId="6ACD9F7D" w14:textId="7BC22BA6" w:rsidR="00342B79" w:rsidRPr="00254A2F" w:rsidRDefault="00342B79" w:rsidP="00287170">
      <w:pPr>
        <w:pStyle w:val="ActHead5"/>
      </w:pPr>
      <w:bookmarkStart w:id="41" w:name="_Toc368055272"/>
      <w:proofErr w:type="gramStart"/>
      <w:r w:rsidRPr="00254A2F">
        <w:rPr>
          <w:rStyle w:val="CharSectno"/>
        </w:rPr>
        <w:t>22</w:t>
      </w:r>
      <w:r w:rsidR="008D742E">
        <w:rPr>
          <w:rStyle w:val="CharSectno"/>
        </w:rPr>
        <w:t xml:space="preserve"> </w:t>
      </w:r>
      <w:r w:rsidR="00A45C90">
        <w:rPr>
          <w:rStyle w:val="CharSectno"/>
        </w:rPr>
        <w:t xml:space="preserve"> </w:t>
      </w:r>
      <w:r w:rsidRPr="00254A2F">
        <w:t>Records</w:t>
      </w:r>
      <w:proofErr w:type="gramEnd"/>
      <w:r w:rsidRPr="00254A2F">
        <w:t xml:space="preserve"> of compliance </w:t>
      </w:r>
      <w:bookmarkEnd w:id="41"/>
      <w:r w:rsidR="0014048E">
        <w:t>for medium-risk devices</w:t>
      </w:r>
    </w:p>
    <w:p w14:paraId="6ACD9F7E" w14:textId="77777777" w:rsidR="00342B79" w:rsidRPr="00254A2F" w:rsidRDefault="00342B79" w:rsidP="00287170">
      <w:pPr>
        <w:pStyle w:val="subsection"/>
      </w:pPr>
      <w:r w:rsidRPr="00254A2F">
        <w:tab/>
      </w:r>
      <w:r w:rsidRPr="00254A2F">
        <w:tab/>
        <w:t>For paragraph</w:t>
      </w:r>
      <w:r w:rsidR="00254A2F">
        <w:t> </w:t>
      </w:r>
      <w:r w:rsidRPr="00254A2F">
        <w:t>20(1</w:t>
      </w:r>
      <w:proofErr w:type="gramStart"/>
      <w:r w:rsidR="00287170" w:rsidRPr="00254A2F">
        <w:t>)(</w:t>
      </w:r>
      <w:proofErr w:type="gramEnd"/>
      <w:r w:rsidRPr="00254A2F">
        <w:t>d), the records</w:t>
      </w:r>
      <w:r w:rsidR="00C73F2F">
        <w:t xml:space="preserve"> </w:t>
      </w:r>
      <w:r w:rsidRPr="00254A2F">
        <w:t>are records of the reasonable written evidence mentioned in paragraph</w:t>
      </w:r>
      <w:r w:rsidR="00254A2F">
        <w:t> </w:t>
      </w:r>
      <w:r w:rsidRPr="00254A2F">
        <w:t>14(1</w:t>
      </w:r>
      <w:r w:rsidR="00287170" w:rsidRPr="00254A2F">
        <w:t>)(</w:t>
      </w:r>
      <w:r w:rsidRPr="00254A2F">
        <w:t>b).</w:t>
      </w:r>
    </w:p>
    <w:p w14:paraId="6ACD9F7F" w14:textId="77777777" w:rsidR="00342B79" w:rsidRPr="00254A2F" w:rsidRDefault="00287170" w:rsidP="0026502E">
      <w:pPr>
        <w:pStyle w:val="ActHead3"/>
        <w:keepNext w:val="0"/>
        <w:keepLines w:val="0"/>
      </w:pPr>
      <w:bookmarkStart w:id="42" w:name="_Toc368055273"/>
      <w:r w:rsidRPr="00254A2F">
        <w:rPr>
          <w:rStyle w:val="CharDivNo"/>
        </w:rPr>
        <w:t>Division</w:t>
      </w:r>
      <w:r w:rsidR="00254A2F">
        <w:rPr>
          <w:rStyle w:val="CharDivNo"/>
        </w:rPr>
        <w:t> </w:t>
      </w:r>
      <w:r w:rsidR="00342B79" w:rsidRPr="00254A2F">
        <w:rPr>
          <w:rStyle w:val="CharDivNo"/>
        </w:rPr>
        <w:t>4.3</w:t>
      </w:r>
      <w:r w:rsidRPr="00254A2F">
        <w:t>—</w:t>
      </w:r>
      <w:r w:rsidR="00342B79" w:rsidRPr="00254A2F">
        <w:rPr>
          <w:rStyle w:val="CharDivText"/>
        </w:rPr>
        <w:t>Availability of compliance records for inspection</w:t>
      </w:r>
      <w:bookmarkEnd w:id="42"/>
    </w:p>
    <w:p w14:paraId="6ACD9F80" w14:textId="77777777" w:rsidR="00342B79" w:rsidRPr="00254A2F" w:rsidRDefault="00342B79" w:rsidP="0026502E">
      <w:pPr>
        <w:pStyle w:val="ActHead5"/>
        <w:keepNext w:val="0"/>
        <w:keepLines w:val="0"/>
      </w:pPr>
      <w:bookmarkStart w:id="43" w:name="_Toc368055274"/>
      <w:proofErr w:type="gramStart"/>
      <w:r w:rsidRPr="00254A2F">
        <w:rPr>
          <w:rStyle w:val="CharSectno"/>
        </w:rPr>
        <w:t>23</w:t>
      </w:r>
      <w:r w:rsidR="008D742E">
        <w:rPr>
          <w:rStyle w:val="CharSectno"/>
        </w:rPr>
        <w:t xml:space="preserve"> </w:t>
      </w:r>
      <w:r w:rsidR="00A45C90">
        <w:rPr>
          <w:rStyle w:val="CharSectno"/>
        </w:rPr>
        <w:t xml:space="preserve"> </w:t>
      </w:r>
      <w:r w:rsidRPr="00254A2F">
        <w:t>Where</w:t>
      </w:r>
      <w:proofErr w:type="gramEnd"/>
      <w:r w:rsidRPr="00254A2F">
        <w:t xml:space="preserve"> compliance records are to be available</w:t>
      </w:r>
      <w:bookmarkEnd w:id="43"/>
    </w:p>
    <w:p w14:paraId="6ACD9F81" w14:textId="77777777" w:rsidR="00342B79" w:rsidRPr="00254A2F" w:rsidRDefault="00342B79" w:rsidP="0026502E">
      <w:pPr>
        <w:pStyle w:val="subsection"/>
      </w:pPr>
      <w:r w:rsidRPr="00254A2F">
        <w:tab/>
      </w:r>
      <w:r w:rsidRPr="00254A2F">
        <w:tab/>
        <w:t>The supplier must ensure that the compliance records for the device are available at the principal business address in Australia of the supplier.</w:t>
      </w:r>
    </w:p>
    <w:p w14:paraId="6ACD9F82" w14:textId="77777777" w:rsidR="00342B79" w:rsidRPr="00254A2F" w:rsidRDefault="00342B79" w:rsidP="0026502E">
      <w:pPr>
        <w:pStyle w:val="ActHead5"/>
        <w:keepNext w:val="0"/>
        <w:keepLines w:val="0"/>
      </w:pPr>
      <w:bookmarkStart w:id="44" w:name="_Toc368055275"/>
      <w:proofErr w:type="gramStart"/>
      <w:r w:rsidRPr="00254A2F">
        <w:rPr>
          <w:rStyle w:val="CharSectno"/>
        </w:rPr>
        <w:t>24</w:t>
      </w:r>
      <w:r w:rsidR="008D742E">
        <w:rPr>
          <w:rStyle w:val="CharSectno"/>
        </w:rPr>
        <w:t xml:space="preserve"> </w:t>
      </w:r>
      <w:r w:rsidR="00A45C90">
        <w:rPr>
          <w:rStyle w:val="CharSectno"/>
        </w:rPr>
        <w:t xml:space="preserve"> </w:t>
      </w:r>
      <w:r w:rsidRPr="00254A2F">
        <w:t>Provision</w:t>
      </w:r>
      <w:proofErr w:type="gramEnd"/>
      <w:r w:rsidRPr="00254A2F">
        <w:t xml:space="preserve"> of information to authorised officer</w:t>
      </w:r>
      <w:bookmarkEnd w:id="44"/>
    </w:p>
    <w:p w14:paraId="6ACD9F83" w14:textId="77777777" w:rsidR="00342B79" w:rsidRPr="00254A2F" w:rsidRDefault="00342B79" w:rsidP="00287170">
      <w:pPr>
        <w:pStyle w:val="subsection"/>
      </w:pPr>
      <w:r w:rsidRPr="00254A2F">
        <w:tab/>
        <w:t>(1)</w:t>
      </w:r>
      <w:r w:rsidRPr="00254A2F">
        <w:tab/>
        <w:t>An authorised officer may, in writing, require the supplier to give to the officer specified compliance records for the device.</w:t>
      </w:r>
    </w:p>
    <w:p w14:paraId="6ACD9F84" w14:textId="77777777" w:rsidR="00342B79" w:rsidRPr="00254A2F" w:rsidRDefault="00342B79" w:rsidP="00287170">
      <w:pPr>
        <w:pStyle w:val="subsection"/>
      </w:pPr>
      <w:r w:rsidRPr="00254A2F">
        <w:tab/>
        <w:t>(2)</w:t>
      </w:r>
      <w:r w:rsidRPr="00254A2F">
        <w:tab/>
        <w:t>If the request is for a specified record, the supplier must produce the record within 10 working days after the day specified in the request.</w:t>
      </w:r>
    </w:p>
    <w:p w14:paraId="6ACD9F85" w14:textId="77777777" w:rsidR="00342B79" w:rsidRPr="00254A2F" w:rsidRDefault="00342B79" w:rsidP="00287170">
      <w:pPr>
        <w:pStyle w:val="subsection"/>
      </w:pPr>
      <w:r w:rsidRPr="00254A2F">
        <w:tab/>
        <w:t>(3)</w:t>
      </w:r>
      <w:r w:rsidRPr="00254A2F">
        <w:tab/>
        <w:t>If the request is for a specified circuit diagram or manual for the device, the supplier must produce the document within 30 working days after the day specified in the request.</w:t>
      </w:r>
    </w:p>
    <w:p w14:paraId="6ACD9F86" w14:textId="77777777" w:rsidR="00342B79" w:rsidRPr="00254A2F" w:rsidRDefault="00342B79" w:rsidP="00287170">
      <w:pPr>
        <w:pStyle w:val="subsection"/>
      </w:pPr>
      <w:r w:rsidRPr="00254A2F">
        <w:tab/>
        <w:t>(4)</w:t>
      </w:r>
      <w:r w:rsidRPr="00254A2F">
        <w:tab/>
        <w:t>After receiving the information from the supplier, the authorised officer must give the supplier a receipt for the information supplied.</w:t>
      </w:r>
    </w:p>
    <w:p w14:paraId="6ACD9F87" w14:textId="77777777" w:rsidR="00342B79" w:rsidRPr="00254A2F" w:rsidRDefault="00342B79" w:rsidP="00287170">
      <w:pPr>
        <w:pStyle w:val="subsection"/>
      </w:pPr>
      <w:r w:rsidRPr="00254A2F">
        <w:tab/>
        <w:t>(5)</w:t>
      </w:r>
      <w:r w:rsidRPr="00254A2F">
        <w:tab/>
        <w:t>The authorised officer must return the records to the supplier as soon as practicable and, in any case, within 60 days after receiving the document.</w:t>
      </w:r>
    </w:p>
    <w:p w14:paraId="6ACD9F88" w14:textId="77777777" w:rsidR="00342B79" w:rsidRPr="00254A2F" w:rsidRDefault="00342B79" w:rsidP="00287170">
      <w:pPr>
        <w:pStyle w:val="subsection"/>
      </w:pPr>
      <w:r w:rsidRPr="00254A2F">
        <w:tab/>
        <w:t>(6)</w:t>
      </w:r>
      <w:r w:rsidRPr="00254A2F">
        <w:tab/>
        <w:t>If an authorised officer believes that the records kept by the supplier do not provide sufficient evidence that the device complies with each applicable standard, the officer may, in writing, require the supplier to give to the officer a test report from an accredited testing body showing that the device either complies or does not comply with each applicable standard.</w:t>
      </w:r>
    </w:p>
    <w:p w14:paraId="6ACD9F89" w14:textId="77777777" w:rsidR="00342B79" w:rsidRPr="00254A2F" w:rsidRDefault="00342B79" w:rsidP="00287170">
      <w:pPr>
        <w:pStyle w:val="ActHead5"/>
      </w:pPr>
      <w:bookmarkStart w:id="45" w:name="_Toc368055276"/>
      <w:proofErr w:type="gramStart"/>
      <w:r w:rsidRPr="00254A2F">
        <w:rPr>
          <w:rStyle w:val="CharSectno"/>
        </w:rPr>
        <w:t>25</w:t>
      </w:r>
      <w:r w:rsidR="008D742E">
        <w:rPr>
          <w:rStyle w:val="CharSectno"/>
        </w:rPr>
        <w:t xml:space="preserve"> </w:t>
      </w:r>
      <w:r w:rsidR="00A45C90">
        <w:rPr>
          <w:rStyle w:val="CharSectno"/>
        </w:rPr>
        <w:t xml:space="preserve"> </w:t>
      </w:r>
      <w:r w:rsidRPr="00254A2F">
        <w:t>Testing</w:t>
      </w:r>
      <w:proofErr w:type="gramEnd"/>
      <w:r w:rsidRPr="00254A2F">
        <w:t xml:space="preserve"> of items by testing body</w:t>
      </w:r>
      <w:bookmarkEnd w:id="45"/>
    </w:p>
    <w:p w14:paraId="6ACD9F8A" w14:textId="77777777" w:rsidR="00342B79" w:rsidRPr="00254A2F" w:rsidRDefault="00342B79" w:rsidP="00287170">
      <w:pPr>
        <w:pStyle w:val="subsection"/>
      </w:pPr>
      <w:r w:rsidRPr="00254A2F">
        <w:tab/>
        <w:t>(1)</w:t>
      </w:r>
      <w:r w:rsidRPr="00254A2F">
        <w:tab/>
        <w:t>An authorised officer may, in writing, require the supplier of a device to give up to 3 samples of the device to an accredited testing body specified by the officer, for testing to determine whether the device complies with an applicable standard.</w:t>
      </w:r>
    </w:p>
    <w:p w14:paraId="6ACD9F8B" w14:textId="77777777" w:rsidR="00342B79" w:rsidRPr="00254A2F" w:rsidRDefault="00342B79" w:rsidP="00287170">
      <w:pPr>
        <w:pStyle w:val="subsection"/>
      </w:pPr>
      <w:r w:rsidRPr="00254A2F">
        <w:tab/>
        <w:t>(2)</w:t>
      </w:r>
      <w:r w:rsidRPr="00254A2F">
        <w:tab/>
        <w:t>The supplier must comply with the request within 10 working days after the day specified in the request.</w:t>
      </w:r>
    </w:p>
    <w:p w14:paraId="6ACD9F8C" w14:textId="77777777" w:rsidR="00342B79" w:rsidRPr="00254A2F" w:rsidRDefault="00342B79" w:rsidP="00287170">
      <w:pPr>
        <w:pStyle w:val="subsection"/>
      </w:pPr>
      <w:r w:rsidRPr="00254A2F">
        <w:lastRenderedPageBreak/>
        <w:tab/>
        <w:t>(3)</w:t>
      </w:r>
      <w:r w:rsidRPr="00254A2F">
        <w:tab/>
        <w:t>The supplier must attempt to obtain from the body a receipt for the samples, specifying that the samples have been received by the body and the date when the samples were received by the body.</w:t>
      </w:r>
    </w:p>
    <w:p w14:paraId="6ACD9F8D" w14:textId="77777777" w:rsidR="00342B79" w:rsidRPr="00254A2F" w:rsidRDefault="00342B79" w:rsidP="00287170">
      <w:pPr>
        <w:pStyle w:val="subsection"/>
      </w:pPr>
      <w:r w:rsidRPr="00254A2F">
        <w:tab/>
        <w:t>(4)</w:t>
      </w:r>
      <w:r w:rsidRPr="00254A2F">
        <w:tab/>
        <w:t xml:space="preserve">On receiving a request from </w:t>
      </w:r>
      <w:r w:rsidR="006543FD">
        <w:t xml:space="preserve">the </w:t>
      </w:r>
      <w:r w:rsidR="004B7A34" w:rsidRPr="00254A2F">
        <w:t>ACMA</w:t>
      </w:r>
      <w:r w:rsidRPr="00254A2F">
        <w:t>, the supplier must:</w:t>
      </w:r>
    </w:p>
    <w:p w14:paraId="6ACD9F8E" w14:textId="77777777" w:rsidR="00342B79" w:rsidRPr="00254A2F" w:rsidRDefault="00342B79" w:rsidP="00287170">
      <w:pPr>
        <w:pStyle w:val="paragraph"/>
      </w:pPr>
      <w:r w:rsidRPr="00254A2F">
        <w:tab/>
        <w:t>(a)</w:t>
      </w:r>
      <w:r w:rsidRPr="00254A2F">
        <w:tab/>
      </w:r>
      <w:proofErr w:type="gramStart"/>
      <w:r w:rsidRPr="00254A2F">
        <w:t>give</w:t>
      </w:r>
      <w:proofErr w:type="gramEnd"/>
      <w:r w:rsidRPr="00254A2F">
        <w:t xml:space="preserve"> the receipt to </w:t>
      </w:r>
      <w:r w:rsidR="006543FD">
        <w:t xml:space="preserve">the </w:t>
      </w:r>
      <w:r w:rsidR="004B7A34" w:rsidRPr="00254A2F">
        <w:t>ACMA</w:t>
      </w:r>
      <w:r w:rsidRPr="00254A2F">
        <w:t>; or</w:t>
      </w:r>
    </w:p>
    <w:p w14:paraId="6ACD9F8F" w14:textId="77777777" w:rsidR="00342B79" w:rsidRPr="00366501" w:rsidRDefault="00342B79" w:rsidP="00287170">
      <w:pPr>
        <w:pStyle w:val="paragraph"/>
      </w:pPr>
      <w:r w:rsidRPr="00254A2F">
        <w:tab/>
        <w:t>(b)</w:t>
      </w:r>
      <w:r w:rsidRPr="00254A2F">
        <w:tab/>
      </w:r>
      <w:proofErr w:type="gramStart"/>
      <w:r w:rsidRPr="00254A2F">
        <w:t>if</w:t>
      </w:r>
      <w:proofErr w:type="gramEnd"/>
      <w:r w:rsidRPr="00254A2F">
        <w:t xml:space="preserve"> the </w:t>
      </w:r>
      <w:r w:rsidRPr="00366501">
        <w:t xml:space="preserve">supplier has been unable to obtain a receipt, satisfy </w:t>
      </w:r>
      <w:r w:rsidR="006543FD" w:rsidRPr="00366501">
        <w:t xml:space="preserve">the </w:t>
      </w:r>
      <w:r w:rsidR="004B7A34" w:rsidRPr="00366501">
        <w:t>ACMA</w:t>
      </w:r>
      <w:r w:rsidRPr="00366501">
        <w:t xml:space="preserve"> that the supplier made reasonable attempts to obtain a receipt.</w:t>
      </w:r>
    </w:p>
    <w:p w14:paraId="6ACD9F90" w14:textId="61DE247C" w:rsidR="00B265C6" w:rsidRDefault="00FA773F" w:rsidP="00FA773F">
      <w:pPr>
        <w:pStyle w:val="subsection"/>
      </w:pPr>
      <w:r w:rsidRPr="00366501">
        <w:tab/>
      </w:r>
      <w:r w:rsidR="00342B79" w:rsidRPr="00366501">
        <w:t>(5)</w:t>
      </w:r>
      <w:r w:rsidRPr="00366501">
        <w:tab/>
      </w:r>
      <w:r w:rsidR="003444DF" w:rsidRPr="00366501">
        <w:t xml:space="preserve">In this section, </w:t>
      </w:r>
      <w:r w:rsidR="003444DF" w:rsidRPr="00366501">
        <w:rPr>
          <w:b/>
          <w:i/>
        </w:rPr>
        <w:t>device</w:t>
      </w:r>
      <w:r w:rsidR="003444DF" w:rsidRPr="00366501">
        <w:t xml:space="preserve"> includes a variant of </w:t>
      </w:r>
      <w:r w:rsidR="00AA623C" w:rsidRPr="00366501">
        <w:t xml:space="preserve">a </w:t>
      </w:r>
      <w:r w:rsidR="003444DF" w:rsidRPr="00366501">
        <w:t>device</w:t>
      </w:r>
      <w:r w:rsidR="003444DF" w:rsidRPr="00254A2F">
        <w:t>.</w:t>
      </w:r>
      <w:r w:rsidR="00342B79" w:rsidRPr="00254A2F">
        <w:tab/>
      </w:r>
    </w:p>
    <w:p w14:paraId="6ACD9F91" w14:textId="723A6DF3" w:rsidR="00342B79" w:rsidRPr="00C25AB4" w:rsidRDefault="00287170" w:rsidP="00F11095">
      <w:pPr>
        <w:pStyle w:val="ActHead2"/>
        <w:pageBreakBefore/>
        <w:rPr>
          <w:rFonts w:ascii="Arial" w:hAnsi="Arial" w:cs="Arial"/>
        </w:rPr>
      </w:pPr>
      <w:bookmarkStart w:id="46" w:name="_Toc368055277"/>
      <w:r w:rsidRPr="00C25AB4">
        <w:rPr>
          <w:rStyle w:val="CharPartNo"/>
          <w:rFonts w:ascii="Arial" w:hAnsi="Arial" w:cs="Arial"/>
          <w:noProof/>
          <w:kern w:val="0"/>
          <w:szCs w:val="24"/>
          <w:lang w:eastAsia="en-US"/>
        </w:rPr>
        <w:lastRenderedPageBreak/>
        <w:t>Part</w:t>
      </w:r>
      <w:r w:rsidR="00254A2F" w:rsidRPr="00C25AB4">
        <w:rPr>
          <w:rStyle w:val="CharPartNo"/>
          <w:rFonts w:ascii="Arial" w:hAnsi="Arial" w:cs="Arial"/>
          <w:noProof/>
          <w:kern w:val="0"/>
          <w:szCs w:val="24"/>
          <w:lang w:eastAsia="en-US"/>
        </w:rPr>
        <w:t> </w:t>
      </w:r>
      <w:r w:rsidR="00342B79" w:rsidRPr="00C25AB4">
        <w:rPr>
          <w:rStyle w:val="CharPartNo"/>
          <w:rFonts w:ascii="Arial" w:hAnsi="Arial" w:cs="Arial"/>
          <w:noProof/>
          <w:kern w:val="0"/>
          <w:szCs w:val="24"/>
          <w:lang w:eastAsia="en-US"/>
        </w:rPr>
        <w:t>5</w:t>
      </w:r>
      <w:r w:rsidR="009E1FC6" w:rsidRPr="00C25AB4">
        <w:rPr>
          <w:rStyle w:val="CharPartNo"/>
          <w:rFonts w:ascii="Arial" w:hAnsi="Arial" w:cs="Arial"/>
          <w:noProof/>
          <w:kern w:val="0"/>
          <w:szCs w:val="24"/>
          <w:lang w:eastAsia="en-US"/>
        </w:rPr>
        <w:tab/>
      </w:r>
      <w:r w:rsidR="00342B79" w:rsidRPr="00C25AB4">
        <w:rPr>
          <w:rStyle w:val="CharPartText"/>
          <w:rFonts w:ascii="Arial" w:hAnsi="Arial" w:cs="Arial"/>
        </w:rPr>
        <w:t>Requirements to be met after compliance label applied</w:t>
      </w:r>
      <w:r w:rsidRPr="00C25AB4">
        <w:rPr>
          <w:rStyle w:val="CharPartText"/>
          <w:rFonts w:ascii="Arial" w:hAnsi="Arial" w:cs="Arial"/>
        </w:rPr>
        <w:t>—</w:t>
      </w:r>
      <w:r w:rsidR="00342B79" w:rsidRPr="00C25AB4">
        <w:rPr>
          <w:rStyle w:val="CharPartText"/>
          <w:rFonts w:ascii="Arial" w:hAnsi="Arial" w:cs="Arial"/>
        </w:rPr>
        <w:t>devices imported from New Zealand</w:t>
      </w:r>
      <w:bookmarkEnd w:id="46"/>
    </w:p>
    <w:p w14:paraId="6ACD9F92" w14:textId="77777777" w:rsidR="00342B79" w:rsidRPr="00254A2F" w:rsidRDefault="00342B79" w:rsidP="00342B79">
      <w:pPr>
        <w:pStyle w:val="Header"/>
      </w:pPr>
    </w:p>
    <w:p w14:paraId="6ACD9F93" w14:textId="77777777" w:rsidR="00342B79" w:rsidRPr="00254A2F" w:rsidRDefault="00342B79" w:rsidP="00287170">
      <w:pPr>
        <w:pStyle w:val="ActHead5"/>
      </w:pPr>
      <w:bookmarkStart w:id="47" w:name="_Toc368055278"/>
      <w:proofErr w:type="gramStart"/>
      <w:r w:rsidRPr="00254A2F">
        <w:rPr>
          <w:rStyle w:val="CharSectno"/>
        </w:rPr>
        <w:t>26</w:t>
      </w:r>
      <w:r w:rsidR="008D742E">
        <w:rPr>
          <w:rStyle w:val="CharSectno"/>
        </w:rPr>
        <w:t xml:space="preserve"> </w:t>
      </w:r>
      <w:r w:rsidR="00A45C90">
        <w:rPr>
          <w:rStyle w:val="CharSectno"/>
        </w:rPr>
        <w:t xml:space="preserve"> </w:t>
      </w:r>
      <w:r w:rsidRPr="00254A2F">
        <w:t>Purpose</w:t>
      </w:r>
      <w:proofErr w:type="gramEnd"/>
      <w:r w:rsidRPr="00254A2F">
        <w:t xml:space="preserve"> of </w:t>
      </w:r>
      <w:r w:rsidR="00287170" w:rsidRPr="00254A2F">
        <w:t>Part</w:t>
      </w:r>
      <w:r w:rsidR="00254A2F">
        <w:t> </w:t>
      </w:r>
      <w:r w:rsidRPr="00254A2F">
        <w:t>5</w:t>
      </w:r>
      <w:bookmarkEnd w:id="47"/>
    </w:p>
    <w:p w14:paraId="6ACD9F94" w14:textId="77777777" w:rsidR="00342B79" w:rsidRPr="00254A2F" w:rsidRDefault="00342B79" w:rsidP="00287170">
      <w:pPr>
        <w:pStyle w:val="subsection"/>
      </w:pPr>
      <w:r w:rsidRPr="00254A2F">
        <w:tab/>
      </w:r>
      <w:r w:rsidRPr="00254A2F">
        <w:tab/>
        <w:t xml:space="preserve">This </w:t>
      </w:r>
      <w:r w:rsidR="00287170" w:rsidRPr="00254A2F">
        <w:t>Part</w:t>
      </w:r>
      <w:r w:rsidR="008D742E">
        <w:t xml:space="preserve"> </w:t>
      </w:r>
      <w:r w:rsidRPr="00254A2F">
        <w:t xml:space="preserve">provides ways for </w:t>
      </w:r>
      <w:r w:rsidR="003444DF">
        <w:t xml:space="preserve">the </w:t>
      </w:r>
      <w:r w:rsidR="004B7A34" w:rsidRPr="00254A2F">
        <w:t>ACMA</w:t>
      </w:r>
      <w:r w:rsidRPr="00254A2F">
        <w:t xml:space="preserve"> to work out whether a device imported into Australia from New Zealand complies with New Zealand labelling legislation.</w:t>
      </w:r>
    </w:p>
    <w:p w14:paraId="6ACD9F95" w14:textId="77777777" w:rsidR="00342B79" w:rsidRPr="00254A2F" w:rsidRDefault="00287170" w:rsidP="00287170">
      <w:pPr>
        <w:pStyle w:val="notetext"/>
      </w:pPr>
      <w:r w:rsidRPr="00254A2F">
        <w:rPr>
          <w:iCs/>
        </w:rPr>
        <w:t>Note 1:</w:t>
      </w:r>
      <w:r w:rsidRPr="00254A2F">
        <w:rPr>
          <w:iCs/>
        </w:rPr>
        <w:tab/>
      </w:r>
      <w:r w:rsidR="00342B79" w:rsidRPr="00254A2F">
        <w:t>Subsection</w:t>
      </w:r>
      <w:r w:rsidR="00254A2F">
        <w:t> </w:t>
      </w:r>
      <w:r w:rsidR="00342B79" w:rsidRPr="00254A2F">
        <w:t>4(4) explains when a device complies with New Zealand labelling legislation.</w:t>
      </w:r>
    </w:p>
    <w:p w14:paraId="6ACD9F96" w14:textId="222A9518" w:rsidR="00342B79" w:rsidRPr="00467093" w:rsidRDefault="00287170" w:rsidP="00287170">
      <w:pPr>
        <w:pStyle w:val="notetext"/>
        <w:rPr>
          <w:i/>
        </w:rPr>
      </w:pPr>
      <w:r w:rsidRPr="00254A2F">
        <w:t>Note 2:</w:t>
      </w:r>
      <w:r w:rsidRPr="00254A2F">
        <w:tab/>
      </w:r>
      <w:r w:rsidR="00342B79" w:rsidRPr="00254A2F">
        <w:t xml:space="preserve">A device that is imported into Australia and complies with the New Zealand labelling legislation must also comply with the </w:t>
      </w:r>
      <w:r w:rsidR="00B40B11" w:rsidRPr="00467093">
        <w:rPr>
          <w:i/>
        </w:rPr>
        <w:t>Radiocommunications (Compliance Labelling—Electromagnetic Radiation) Notice 20</w:t>
      </w:r>
      <w:r w:rsidR="00240952">
        <w:rPr>
          <w:i/>
        </w:rPr>
        <w:t>14</w:t>
      </w:r>
      <w:r w:rsidR="00342B79" w:rsidRPr="00467093">
        <w:t>.</w:t>
      </w:r>
    </w:p>
    <w:p w14:paraId="6ACD9F97" w14:textId="77777777" w:rsidR="00342B79" w:rsidRPr="00254A2F" w:rsidRDefault="00342B79" w:rsidP="00287170">
      <w:pPr>
        <w:pStyle w:val="ActHead5"/>
      </w:pPr>
      <w:bookmarkStart w:id="48" w:name="_Toc368055279"/>
      <w:proofErr w:type="gramStart"/>
      <w:r w:rsidRPr="00467093">
        <w:rPr>
          <w:rStyle w:val="CharSectno"/>
        </w:rPr>
        <w:t>27</w:t>
      </w:r>
      <w:r w:rsidR="008D742E" w:rsidRPr="00467093">
        <w:rPr>
          <w:rStyle w:val="CharSectno"/>
        </w:rPr>
        <w:t xml:space="preserve"> </w:t>
      </w:r>
      <w:r w:rsidR="00A45C90" w:rsidRPr="00467093">
        <w:rPr>
          <w:rStyle w:val="CharSectno"/>
        </w:rPr>
        <w:t xml:space="preserve"> </w:t>
      </w:r>
      <w:r w:rsidRPr="00467093">
        <w:t>Application</w:t>
      </w:r>
      <w:proofErr w:type="gramEnd"/>
      <w:r w:rsidRPr="00467093">
        <w:t xml:space="preserve"> of </w:t>
      </w:r>
      <w:r w:rsidR="00287170" w:rsidRPr="00467093">
        <w:t>Part</w:t>
      </w:r>
      <w:r w:rsidR="00254A2F" w:rsidRPr="00467093">
        <w:t> </w:t>
      </w:r>
      <w:r w:rsidRPr="00467093">
        <w:t>5</w:t>
      </w:r>
      <w:bookmarkEnd w:id="48"/>
    </w:p>
    <w:p w14:paraId="6ACD9F98" w14:textId="77777777" w:rsidR="00342B79" w:rsidRPr="00254A2F" w:rsidRDefault="00342B79" w:rsidP="00287170">
      <w:pPr>
        <w:pStyle w:val="subsection"/>
      </w:pPr>
      <w:r w:rsidRPr="00254A2F">
        <w:tab/>
      </w:r>
      <w:r w:rsidRPr="00254A2F">
        <w:tab/>
        <w:t xml:space="preserve">This </w:t>
      </w:r>
      <w:r w:rsidR="00287170" w:rsidRPr="00254A2F">
        <w:t>Part</w:t>
      </w:r>
      <w:r w:rsidR="00C73F2F">
        <w:t xml:space="preserve"> </w:t>
      </w:r>
      <w:r w:rsidRPr="00254A2F">
        <w:t>applies to a device that is imported into Australia from New Zealand.</w:t>
      </w:r>
    </w:p>
    <w:p w14:paraId="6ACD9F99" w14:textId="77777777" w:rsidR="00342B79" w:rsidRPr="00254A2F" w:rsidRDefault="00342B79" w:rsidP="00287170">
      <w:pPr>
        <w:pStyle w:val="ActHead5"/>
      </w:pPr>
      <w:bookmarkStart w:id="49" w:name="_Toc368055280"/>
      <w:proofErr w:type="gramStart"/>
      <w:r w:rsidRPr="00254A2F">
        <w:rPr>
          <w:rStyle w:val="CharSectno"/>
        </w:rPr>
        <w:t>28</w:t>
      </w:r>
      <w:r w:rsidR="008D742E">
        <w:rPr>
          <w:rStyle w:val="CharSectno"/>
        </w:rPr>
        <w:t xml:space="preserve"> </w:t>
      </w:r>
      <w:r w:rsidR="00A45C90">
        <w:rPr>
          <w:rStyle w:val="CharSectno"/>
        </w:rPr>
        <w:t xml:space="preserve"> </w:t>
      </w:r>
      <w:r w:rsidRPr="00254A2F">
        <w:t>Importer</w:t>
      </w:r>
      <w:proofErr w:type="gramEnd"/>
      <w:r w:rsidRPr="00254A2F">
        <w:t xml:space="preserve"> taken to have labelled device</w:t>
      </w:r>
      <w:bookmarkEnd w:id="49"/>
    </w:p>
    <w:p w14:paraId="6ACD9F9A" w14:textId="77777777" w:rsidR="00342B79" w:rsidRPr="00254A2F" w:rsidRDefault="00342B79" w:rsidP="00287170">
      <w:pPr>
        <w:pStyle w:val="subsection"/>
      </w:pPr>
      <w:r w:rsidRPr="00254A2F">
        <w:tab/>
      </w:r>
      <w:r w:rsidRPr="00254A2F">
        <w:tab/>
        <w:t xml:space="preserve">For this Part, the importer of a device is taken to have labelled the device under </w:t>
      </w:r>
      <w:r w:rsidR="00287170" w:rsidRPr="00254A2F">
        <w:t>Part</w:t>
      </w:r>
      <w:r w:rsidR="00254A2F">
        <w:t> </w:t>
      </w:r>
      <w:r w:rsidRPr="00254A2F">
        <w:t>2.</w:t>
      </w:r>
    </w:p>
    <w:p w14:paraId="6ACD9F9B" w14:textId="77777777" w:rsidR="00342B79" w:rsidRPr="00254A2F" w:rsidRDefault="00342B79" w:rsidP="00287170">
      <w:pPr>
        <w:pStyle w:val="ActHead5"/>
      </w:pPr>
      <w:bookmarkStart w:id="50" w:name="_Toc368055281"/>
      <w:proofErr w:type="gramStart"/>
      <w:r w:rsidRPr="00254A2F">
        <w:rPr>
          <w:rStyle w:val="CharSectno"/>
        </w:rPr>
        <w:t>29</w:t>
      </w:r>
      <w:r w:rsidR="008D742E">
        <w:rPr>
          <w:rStyle w:val="CharSectno"/>
        </w:rPr>
        <w:t xml:space="preserve"> </w:t>
      </w:r>
      <w:r w:rsidR="00A45C90">
        <w:rPr>
          <w:rStyle w:val="CharSectno"/>
        </w:rPr>
        <w:t xml:space="preserve"> </w:t>
      </w:r>
      <w:r w:rsidRPr="00254A2F">
        <w:t>Provision</w:t>
      </w:r>
      <w:proofErr w:type="gramEnd"/>
      <w:r w:rsidRPr="00254A2F">
        <w:t xml:space="preserve"> of information to authorised officer</w:t>
      </w:r>
      <w:bookmarkEnd w:id="50"/>
    </w:p>
    <w:p w14:paraId="6ACD9F9C" w14:textId="77777777" w:rsidR="00342B79" w:rsidRPr="00254A2F" w:rsidRDefault="00342B79" w:rsidP="00287170">
      <w:pPr>
        <w:pStyle w:val="subsection"/>
      </w:pPr>
      <w:r w:rsidRPr="00254A2F">
        <w:tab/>
        <w:t>(1)</w:t>
      </w:r>
      <w:r w:rsidRPr="00254A2F">
        <w:tab/>
        <w:t>An authorised officer may, in writing, require the importer of a device to give to the officer specified New Zealand compliance records for the device.</w:t>
      </w:r>
    </w:p>
    <w:p w14:paraId="6ACD9F9D" w14:textId="77777777" w:rsidR="00342B79" w:rsidRPr="00254A2F" w:rsidRDefault="00342B79" w:rsidP="00287170">
      <w:pPr>
        <w:pStyle w:val="subsection"/>
      </w:pPr>
      <w:r w:rsidRPr="00254A2F">
        <w:tab/>
        <w:t>(2)</w:t>
      </w:r>
      <w:r w:rsidRPr="00254A2F">
        <w:tab/>
        <w:t>If the request is for a specified record, the importer must produce the record within 10 working days after the day specified in the request.</w:t>
      </w:r>
    </w:p>
    <w:p w14:paraId="6ACD9F9E" w14:textId="77777777" w:rsidR="00342B79" w:rsidRPr="00254A2F" w:rsidRDefault="00342B79" w:rsidP="00287170">
      <w:pPr>
        <w:pStyle w:val="subsection"/>
      </w:pPr>
      <w:r w:rsidRPr="00254A2F">
        <w:tab/>
        <w:t>(3)</w:t>
      </w:r>
      <w:r w:rsidRPr="00254A2F">
        <w:tab/>
        <w:t>If the request is for a specified circuit diagram or manual for the device, the importer must produce the document within 30 working days after the day specified in the request.</w:t>
      </w:r>
    </w:p>
    <w:p w14:paraId="6ACD9F9F" w14:textId="77777777" w:rsidR="00342B79" w:rsidRPr="00254A2F" w:rsidRDefault="00342B79" w:rsidP="00287170">
      <w:pPr>
        <w:pStyle w:val="subsection"/>
      </w:pPr>
      <w:r w:rsidRPr="00254A2F">
        <w:tab/>
        <w:t>(4)</w:t>
      </w:r>
      <w:r w:rsidRPr="00254A2F">
        <w:tab/>
        <w:t>After receiving the information from the importer, the authorised officer must give the importer a receipt for the information supplied.</w:t>
      </w:r>
    </w:p>
    <w:p w14:paraId="6ACD9FA0" w14:textId="77777777" w:rsidR="00342B79" w:rsidRPr="00254A2F" w:rsidRDefault="00342B79" w:rsidP="00287170">
      <w:pPr>
        <w:pStyle w:val="subsection"/>
      </w:pPr>
      <w:r w:rsidRPr="00254A2F">
        <w:tab/>
        <w:t>(5)</w:t>
      </w:r>
      <w:r w:rsidRPr="00254A2F">
        <w:tab/>
        <w:t>The authorised officer must return the records to the importer as soon as practicable and, in any case, within 60 days after receiving the document.</w:t>
      </w:r>
    </w:p>
    <w:p w14:paraId="6ACD9FA1" w14:textId="77777777" w:rsidR="00342B79" w:rsidRPr="00254A2F" w:rsidRDefault="00342B79" w:rsidP="00287170">
      <w:pPr>
        <w:pStyle w:val="subsection"/>
      </w:pPr>
      <w:r w:rsidRPr="00254A2F">
        <w:tab/>
        <w:t>(6)</w:t>
      </w:r>
      <w:r w:rsidRPr="00254A2F">
        <w:tab/>
        <w:t>If an authorised officer believes that records provided under this section by the importer do not provide sufficient evidence that the device complies with New Zealand labelling legislation, the officer may, in writing, require the importer to give to the officer a test report from an accredited testing body showing that the device either complies or does not comply with an applicable standard.</w:t>
      </w:r>
    </w:p>
    <w:p w14:paraId="6ACD9FA2" w14:textId="77777777" w:rsidR="00342B79" w:rsidRPr="00254A2F" w:rsidRDefault="00342B79" w:rsidP="0005088A">
      <w:pPr>
        <w:pStyle w:val="subsection"/>
        <w:keepNext/>
      </w:pPr>
      <w:r w:rsidRPr="00254A2F">
        <w:tab/>
        <w:t>(7)</w:t>
      </w:r>
      <w:r w:rsidRPr="00254A2F">
        <w:tab/>
        <w:t>In this section:</w:t>
      </w:r>
    </w:p>
    <w:p w14:paraId="6ACD9FA3" w14:textId="5DCC434E" w:rsidR="00342B79" w:rsidRPr="00254A2F" w:rsidRDefault="00342B79" w:rsidP="00287170">
      <w:pPr>
        <w:pStyle w:val="Definition"/>
      </w:pPr>
      <w:r w:rsidRPr="00366501">
        <w:rPr>
          <w:b/>
          <w:bCs/>
          <w:i/>
          <w:iCs/>
        </w:rPr>
        <w:t>New Zealand compliance records</w:t>
      </w:r>
      <w:r w:rsidRPr="00366501">
        <w:t xml:space="preserve"> means the documents mentioned in </w:t>
      </w:r>
      <w:r w:rsidR="003F524A" w:rsidRPr="00366501">
        <w:t xml:space="preserve">section 4 </w:t>
      </w:r>
      <w:r w:rsidRPr="00366501">
        <w:t>of the New Zealand Compliance Notice for level of conformity 1, 2 or 3.</w:t>
      </w:r>
    </w:p>
    <w:p w14:paraId="6ACD9FA4" w14:textId="77777777" w:rsidR="00342B79" w:rsidRPr="00254A2F" w:rsidRDefault="00342B79" w:rsidP="00287170">
      <w:pPr>
        <w:pStyle w:val="ActHead5"/>
      </w:pPr>
      <w:bookmarkStart w:id="51" w:name="_Toc368055282"/>
      <w:proofErr w:type="gramStart"/>
      <w:r w:rsidRPr="00254A2F">
        <w:rPr>
          <w:rStyle w:val="CharSectno"/>
        </w:rPr>
        <w:lastRenderedPageBreak/>
        <w:t>30</w:t>
      </w:r>
      <w:r w:rsidR="008D742E">
        <w:rPr>
          <w:rStyle w:val="CharSectno"/>
        </w:rPr>
        <w:t xml:space="preserve"> </w:t>
      </w:r>
      <w:r w:rsidR="00A45C90">
        <w:rPr>
          <w:rStyle w:val="CharSectno"/>
        </w:rPr>
        <w:t xml:space="preserve"> </w:t>
      </w:r>
      <w:r w:rsidRPr="00254A2F">
        <w:t>Testing</w:t>
      </w:r>
      <w:proofErr w:type="gramEnd"/>
      <w:r w:rsidRPr="00254A2F">
        <w:t xml:space="preserve"> of items by testing body</w:t>
      </w:r>
      <w:bookmarkEnd w:id="51"/>
    </w:p>
    <w:p w14:paraId="6ACD9FA5" w14:textId="618B8399" w:rsidR="00342B79" w:rsidRPr="00254A2F" w:rsidRDefault="00342B79" w:rsidP="00287170">
      <w:pPr>
        <w:pStyle w:val="subsection"/>
      </w:pPr>
      <w:r w:rsidRPr="00254A2F">
        <w:tab/>
        <w:t>(1)</w:t>
      </w:r>
      <w:r w:rsidRPr="00254A2F">
        <w:tab/>
        <w:t xml:space="preserve">An authorised officer may, in writing, require the importer of a device to give up to 3 samples of the device </w:t>
      </w:r>
      <w:r w:rsidR="00240952">
        <w:t xml:space="preserve">to </w:t>
      </w:r>
      <w:r w:rsidRPr="00254A2F">
        <w:t>an accredited testing body specified by the officer, for testing whether the device complies with an applicable standard.</w:t>
      </w:r>
    </w:p>
    <w:p w14:paraId="6ACD9FA6" w14:textId="77777777" w:rsidR="00342B79" w:rsidRPr="00254A2F" w:rsidRDefault="00342B79" w:rsidP="00287170">
      <w:pPr>
        <w:pStyle w:val="subsection"/>
      </w:pPr>
      <w:r w:rsidRPr="00254A2F">
        <w:tab/>
        <w:t>(2)</w:t>
      </w:r>
      <w:r w:rsidRPr="00254A2F">
        <w:tab/>
        <w:t>The importer must comply with the request within 10 working days after the day specified in the request.</w:t>
      </w:r>
    </w:p>
    <w:p w14:paraId="6ACD9FA7" w14:textId="77777777" w:rsidR="00342B79" w:rsidRPr="00254A2F" w:rsidRDefault="00342B79" w:rsidP="00287170">
      <w:pPr>
        <w:pStyle w:val="subsection"/>
      </w:pPr>
      <w:r w:rsidRPr="00254A2F">
        <w:tab/>
        <w:t>(3)</w:t>
      </w:r>
      <w:r w:rsidRPr="00254A2F">
        <w:tab/>
        <w:t>The importer must attempt to obtain from the body a receipt for the samples, specifying that the samples have been received and the date when the samples were received.</w:t>
      </w:r>
    </w:p>
    <w:p w14:paraId="6ACD9FA8" w14:textId="77777777" w:rsidR="00342B79" w:rsidRPr="00254A2F" w:rsidRDefault="00342B79" w:rsidP="00287170">
      <w:pPr>
        <w:pStyle w:val="subsection"/>
      </w:pPr>
      <w:r w:rsidRPr="00254A2F">
        <w:tab/>
        <w:t>(4)</w:t>
      </w:r>
      <w:r w:rsidRPr="00254A2F">
        <w:tab/>
        <w:t xml:space="preserve">On receiving a request from </w:t>
      </w:r>
      <w:r w:rsidR="003444DF">
        <w:t xml:space="preserve">the </w:t>
      </w:r>
      <w:r w:rsidR="004B7A34" w:rsidRPr="00254A2F">
        <w:t>ACMA</w:t>
      </w:r>
      <w:r w:rsidRPr="00254A2F">
        <w:t>, the importer must:</w:t>
      </w:r>
    </w:p>
    <w:p w14:paraId="6ACD9FA9" w14:textId="77777777" w:rsidR="00342B79" w:rsidRPr="00254A2F" w:rsidRDefault="00342B79" w:rsidP="00287170">
      <w:pPr>
        <w:pStyle w:val="paragraph"/>
      </w:pPr>
      <w:r w:rsidRPr="00254A2F">
        <w:tab/>
        <w:t>(a)</w:t>
      </w:r>
      <w:r w:rsidRPr="00254A2F">
        <w:tab/>
      </w:r>
      <w:proofErr w:type="gramStart"/>
      <w:r w:rsidRPr="00254A2F">
        <w:t>give</w:t>
      </w:r>
      <w:proofErr w:type="gramEnd"/>
      <w:r w:rsidRPr="00254A2F">
        <w:t xml:space="preserve"> the receipt to </w:t>
      </w:r>
      <w:r w:rsidR="003444DF">
        <w:t xml:space="preserve">the </w:t>
      </w:r>
      <w:r w:rsidR="004B7A34" w:rsidRPr="00254A2F">
        <w:t>ACMA</w:t>
      </w:r>
      <w:r w:rsidRPr="00254A2F">
        <w:t>; or</w:t>
      </w:r>
    </w:p>
    <w:p w14:paraId="6ACD9FAA" w14:textId="77777777" w:rsidR="00342B79" w:rsidRPr="00254A2F" w:rsidRDefault="00342B79" w:rsidP="00287170">
      <w:pPr>
        <w:pStyle w:val="paragraph"/>
      </w:pPr>
      <w:r w:rsidRPr="00254A2F">
        <w:tab/>
        <w:t>(b)</w:t>
      </w:r>
      <w:r w:rsidRPr="00254A2F">
        <w:tab/>
      </w:r>
      <w:proofErr w:type="gramStart"/>
      <w:r w:rsidRPr="00254A2F">
        <w:t>if</w:t>
      </w:r>
      <w:proofErr w:type="gramEnd"/>
      <w:r w:rsidRPr="00254A2F">
        <w:t xml:space="preserve"> the importer has been unable to obtain a receipt, satisfy </w:t>
      </w:r>
      <w:r w:rsidR="003444DF">
        <w:t xml:space="preserve">the </w:t>
      </w:r>
      <w:r w:rsidR="004B7A34" w:rsidRPr="00254A2F">
        <w:t>ACMA</w:t>
      </w:r>
      <w:r w:rsidRPr="00254A2F">
        <w:t xml:space="preserve"> that the supplier made reasonable attempts to obtain a receipt.</w:t>
      </w:r>
    </w:p>
    <w:p w14:paraId="6ACD9FAB" w14:textId="77777777" w:rsidR="003444DF" w:rsidRDefault="00342B79" w:rsidP="003444DF">
      <w:pPr>
        <w:pStyle w:val="subsection"/>
      </w:pPr>
      <w:r w:rsidRPr="00254A2F">
        <w:tab/>
        <w:t>(5)</w:t>
      </w:r>
      <w:r w:rsidRPr="00254A2F">
        <w:tab/>
      </w:r>
      <w:r w:rsidR="003444DF" w:rsidRPr="003444DF">
        <w:t xml:space="preserve"> </w:t>
      </w:r>
      <w:r w:rsidR="003444DF" w:rsidRPr="00254A2F">
        <w:t xml:space="preserve">In this section, </w:t>
      </w:r>
      <w:r w:rsidR="003444DF" w:rsidRPr="00254A2F">
        <w:rPr>
          <w:b/>
          <w:bCs/>
          <w:i/>
          <w:iCs/>
        </w:rPr>
        <w:t>device</w:t>
      </w:r>
      <w:r w:rsidR="003444DF" w:rsidRPr="00254A2F">
        <w:t xml:space="preserve"> includes a variant of the device.</w:t>
      </w:r>
    </w:p>
    <w:p w14:paraId="6ACD9FAC" w14:textId="77777777" w:rsidR="00342B79" w:rsidRPr="00254A2F" w:rsidRDefault="00342B79" w:rsidP="00287170">
      <w:pPr>
        <w:pStyle w:val="subsection"/>
      </w:pPr>
    </w:p>
    <w:p w14:paraId="6ACD9FAD" w14:textId="77777777" w:rsidR="00342B79" w:rsidRDefault="00342B79" w:rsidP="00287170">
      <w:pPr>
        <w:pStyle w:val="subsection"/>
      </w:pPr>
      <w:r w:rsidRPr="00254A2F">
        <w:tab/>
      </w:r>
    </w:p>
    <w:p w14:paraId="6ACD9FAE" w14:textId="77777777" w:rsidR="00EF48DA" w:rsidRPr="004F34D7" w:rsidRDefault="00EF48DA" w:rsidP="00D14D4E">
      <w:pPr>
        <w:sectPr w:rsidR="00EF48DA" w:rsidRPr="004F34D7" w:rsidSect="00A3471C">
          <w:headerReference w:type="default" r:id="rId24"/>
          <w:footerReference w:type="default" r:id="rId25"/>
          <w:type w:val="continuous"/>
          <w:pgSz w:w="11907" w:h="16839" w:code="9"/>
          <w:pgMar w:top="2312" w:right="1797" w:bottom="1440" w:left="1797" w:header="720" w:footer="709" w:gutter="0"/>
          <w:pgNumType w:start="1"/>
          <w:cols w:space="708"/>
          <w:docGrid w:linePitch="360"/>
        </w:sectPr>
      </w:pPr>
      <w:bookmarkStart w:id="52" w:name="OPCSB_BodyPrincipleA4"/>
    </w:p>
    <w:bookmarkEnd w:id="52"/>
    <w:p w14:paraId="6ACD9FAF" w14:textId="77777777" w:rsidR="003724A6" w:rsidRDefault="003724A6" w:rsidP="00287170">
      <w:pPr>
        <w:pStyle w:val="subsection"/>
      </w:pPr>
    </w:p>
    <w:p w14:paraId="6ACD9FB0" w14:textId="46799DAC" w:rsidR="00342B79" w:rsidRPr="00254A2F" w:rsidRDefault="00287170" w:rsidP="00162B56">
      <w:pPr>
        <w:pStyle w:val="ActHead1"/>
        <w:pageBreakBefore/>
      </w:pPr>
      <w:bookmarkStart w:id="53" w:name="_Toc368055283"/>
      <w:r w:rsidRPr="00C25AB4">
        <w:rPr>
          <w:rStyle w:val="CharAmSchNo"/>
          <w:rFonts w:ascii="Arial" w:hAnsi="Arial"/>
          <w:noProof/>
          <w:kern w:val="0"/>
          <w:sz w:val="32"/>
          <w:szCs w:val="24"/>
          <w:lang w:eastAsia="en-US"/>
        </w:rPr>
        <w:lastRenderedPageBreak/>
        <w:t>Schedule</w:t>
      </w:r>
      <w:r w:rsidR="00254A2F" w:rsidRPr="00C25AB4">
        <w:rPr>
          <w:rStyle w:val="CharAmSchNo"/>
          <w:rFonts w:ascii="Arial" w:hAnsi="Arial"/>
          <w:noProof/>
          <w:kern w:val="0"/>
          <w:sz w:val="32"/>
          <w:szCs w:val="24"/>
          <w:lang w:eastAsia="en-US"/>
        </w:rPr>
        <w:t> </w:t>
      </w:r>
      <w:r w:rsidR="00342B79" w:rsidRPr="00C25AB4">
        <w:rPr>
          <w:rStyle w:val="CharAmSchNo"/>
          <w:rFonts w:ascii="Arial" w:hAnsi="Arial"/>
          <w:noProof/>
          <w:kern w:val="0"/>
          <w:sz w:val="32"/>
          <w:szCs w:val="24"/>
          <w:lang w:eastAsia="en-US"/>
        </w:rPr>
        <w:t>1</w:t>
      </w:r>
      <w:r w:rsidR="00C25AB4">
        <w:rPr>
          <w:rStyle w:val="CharChapNo"/>
        </w:rPr>
        <w:tab/>
      </w:r>
      <w:r w:rsidR="00342B79" w:rsidRPr="00C25AB4">
        <w:rPr>
          <w:rStyle w:val="CharAmSchText"/>
          <w:rFonts w:ascii="Arial" w:hAnsi="Arial"/>
          <w:noProof/>
          <w:kern w:val="0"/>
          <w:sz w:val="32"/>
          <w:szCs w:val="24"/>
          <w:lang w:eastAsia="en-US"/>
        </w:rPr>
        <w:t>Compliance marks</w:t>
      </w:r>
      <w:bookmarkEnd w:id="53"/>
    </w:p>
    <w:p w14:paraId="6ACD9FB1" w14:textId="72FB0EC5" w:rsidR="00342B79" w:rsidRPr="00254A2F" w:rsidRDefault="00C25AB4" w:rsidP="00287170">
      <w:pPr>
        <w:pStyle w:val="notemargin"/>
      </w:pPr>
      <w:r>
        <w:tab/>
      </w:r>
      <w:r>
        <w:tab/>
      </w:r>
      <w:r>
        <w:tab/>
      </w:r>
      <w:r>
        <w:tab/>
      </w:r>
      <w:r w:rsidR="00342B79" w:rsidRPr="00254A2F">
        <w:t>(</w:t>
      </w:r>
      <w:proofErr w:type="gramStart"/>
      <w:r w:rsidR="00342B79" w:rsidRPr="00254A2F">
        <w:t>subsection</w:t>
      </w:r>
      <w:proofErr w:type="gramEnd"/>
      <w:r w:rsidR="00254A2F">
        <w:t> </w:t>
      </w:r>
      <w:r w:rsidR="00342B79" w:rsidRPr="00254A2F">
        <w:t xml:space="preserve">4(1), definitions of </w:t>
      </w:r>
      <w:r w:rsidR="00342B79" w:rsidRPr="00254A2F">
        <w:rPr>
          <w:b/>
          <w:i/>
        </w:rPr>
        <w:t>C</w:t>
      </w:r>
      <w:r w:rsidR="00254A2F">
        <w:rPr>
          <w:b/>
          <w:i/>
        </w:rPr>
        <w:noBreakHyphen/>
      </w:r>
      <w:r w:rsidR="00342B79" w:rsidRPr="00254A2F">
        <w:rPr>
          <w:b/>
          <w:i/>
        </w:rPr>
        <w:t>Tick mark</w:t>
      </w:r>
      <w:r w:rsidR="00342B79" w:rsidRPr="00254A2F">
        <w:t xml:space="preserve"> and </w:t>
      </w:r>
      <w:r w:rsidR="00342B79" w:rsidRPr="00254A2F">
        <w:rPr>
          <w:b/>
          <w:i/>
        </w:rPr>
        <w:t>RCM</w:t>
      </w:r>
      <w:r w:rsidR="00342B79" w:rsidRPr="00254A2F">
        <w:t>)</w:t>
      </w:r>
    </w:p>
    <w:p w14:paraId="6ACD9FB2" w14:textId="77777777" w:rsidR="00342B79" w:rsidRPr="00254A2F" w:rsidRDefault="00287170" w:rsidP="00287170">
      <w:pPr>
        <w:pStyle w:val="ActHead2"/>
      </w:pPr>
      <w:bookmarkStart w:id="54" w:name="_Toc368055284"/>
      <w:r w:rsidRPr="00C25AB4">
        <w:rPr>
          <w:rStyle w:val="CharSchPTNo"/>
          <w:rFonts w:ascii="Arial" w:hAnsi="Arial"/>
          <w:noProof/>
          <w:kern w:val="0"/>
          <w:sz w:val="28"/>
          <w:szCs w:val="24"/>
          <w:lang w:eastAsia="en-US"/>
        </w:rPr>
        <w:t>Part</w:t>
      </w:r>
      <w:r w:rsidR="00254A2F" w:rsidRPr="00C25AB4">
        <w:rPr>
          <w:rStyle w:val="CharSchPTNo"/>
          <w:rFonts w:ascii="Arial" w:hAnsi="Arial"/>
          <w:noProof/>
          <w:kern w:val="0"/>
          <w:sz w:val="28"/>
          <w:szCs w:val="24"/>
          <w:lang w:eastAsia="en-US"/>
        </w:rPr>
        <w:t> </w:t>
      </w:r>
      <w:r w:rsidR="00342B79" w:rsidRPr="00C25AB4">
        <w:rPr>
          <w:rStyle w:val="CharSchPTNo"/>
          <w:rFonts w:ascii="Arial" w:hAnsi="Arial"/>
          <w:noProof/>
          <w:kern w:val="0"/>
          <w:sz w:val="28"/>
          <w:szCs w:val="24"/>
          <w:lang w:eastAsia="en-US"/>
        </w:rPr>
        <w:t>1</w:t>
      </w:r>
      <w:r w:rsidRPr="00254A2F">
        <w:t>—</w:t>
      </w:r>
      <w:r w:rsidR="00342B79" w:rsidRPr="00C25AB4">
        <w:rPr>
          <w:rStyle w:val="CharSchPTText"/>
          <w:rFonts w:ascii="Arial" w:hAnsi="Arial"/>
          <w:noProof/>
          <w:kern w:val="0"/>
          <w:sz w:val="28"/>
          <w:szCs w:val="24"/>
          <w:lang w:eastAsia="en-US"/>
        </w:rPr>
        <w:t>C</w:t>
      </w:r>
      <w:r w:rsidR="00254A2F" w:rsidRPr="00C25AB4">
        <w:rPr>
          <w:rStyle w:val="CharSchPTText"/>
          <w:rFonts w:ascii="Arial" w:hAnsi="Arial"/>
          <w:noProof/>
          <w:kern w:val="0"/>
          <w:sz w:val="28"/>
          <w:szCs w:val="24"/>
          <w:lang w:eastAsia="en-US"/>
        </w:rPr>
        <w:noBreakHyphen/>
      </w:r>
      <w:r w:rsidR="00342B79" w:rsidRPr="00C25AB4">
        <w:rPr>
          <w:rStyle w:val="CharSchPTText"/>
          <w:rFonts w:ascii="Arial" w:hAnsi="Arial"/>
          <w:noProof/>
          <w:kern w:val="0"/>
          <w:sz w:val="28"/>
          <w:szCs w:val="24"/>
          <w:lang w:eastAsia="en-US"/>
        </w:rPr>
        <w:t>Tick mark</w:t>
      </w:r>
      <w:bookmarkEnd w:id="54"/>
    </w:p>
    <w:p w14:paraId="6ACD9FB3" w14:textId="77777777" w:rsidR="00342B79" w:rsidRPr="00254A2F" w:rsidRDefault="00342B79" w:rsidP="00287170">
      <w:pPr>
        <w:pStyle w:val="subsection"/>
      </w:pPr>
    </w:p>
    <w:p w14:paraId="6ACD9FB4" w14:textId="3A6973D8" w:rsidR="00342B79" w:rsidRPr="00254A2F" w:rsidRDefault="00F57DFE" w:rsidP="00342B79">
      <w:pPr>
        <w:keepNext/>
        <w:jc w:val="center"/>
        <w:rPr>
          <w:sz w:val="16"/>
          <w:szCs w:val="16"/>
        </w:rPr>
      </w:pPr>
      <w:r>
        <w:rPr>
          <w:noProof/>
          <w:sz w:val="20"/>
          <w:lang w:eastAsia="en-AU"/>
        </w:rPr>
        <w:drawing>
          <wp:inline distT="0" distB="0" distL="0" distR="0" wp14:anchorId="6ACDA003" wp14:editId="10187C6A">
            <wp:extent cx="1752600" cy="1752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14:paraId="6ACD9FB5" w14:textId="77777777" w:rsidR="00342B79" w:rsidRPr="00254A2F" w:rsidRDefault="00342B79" w:rsidP="00342B79">
      <w:pPr>
        <w:rPr>
          <w:szCs w:val="22"/>
        </w:rPr>
      </w:pPr>
    </w:p>
    <w:p w14:paraId="6ACD9FB6" w14:textId="77777777" w:rsidR="00DE4E9D" w:rsidRPr="00254A2F" w:rsidRDefault="00DE4E9D" w:rsidP="00DE4E9D">
      <w:pPr>
        <w:pStyle w:val="notetext"/>
      </w:pPr>
      <w:r w:rsidRPr="00254A2F">
        <w:t>Note</w:t>
      </w:r>
      <w:r w:rsidR="00D11563">
        <w:t>:</w:t>
      </w:r>
      <w:r w:rsidRPr="00254A2F">
        <w:tab/>
        <w:t>The C</w:t>
      </w:r>
      <w:r w:rsidR="00254A2F">
        <w:noBreakHyphen/>
      </w:r>
      <w:r w:rsidRPr="00254A2F">
        <w:t>Tick mark is a protected symbol for section</w:t>
      </w:r>
      <w:r w:rsidR="00254A2F">
        <w:t> </w:t>
      </w:r>
      <w:r w:rsidRPr="00254A2F">
        <w:t>188A of the Act.</w:t>
      </w:r>
    </w:p>
    <w:p w14:paraId="0EBD3414" w14:textId="77777777" w:rsidR="00C25AB4" w:rsidRDefault="00C25AB4" w:rsidP="00C25AB4">
      <w:pPr>
        <w:pStyle w:val="ActHead2"/>
        <w:keepNext w:val="0"/>
        <w:keepLines w:val="0"/>
        <w:rPr>
          <w:rStyle w:val="CharPartNo"/>
        </w:rPr>
      </w:pPr>
      <w:bookmarkStart w:id="55" w:name="_Toc368055285"/>
    </w:p>
    <w:p w14:paraId="6ACD9FB8" w14:textId="77777777" w:rsidR="00342B79" w:rsidRPr="00254A2F" w:rsidRDefault="00287170" w:rsidP="00C25AB4">
      <w:pPr>
        <w:pStyle w:val="ActHead2"/>
        <w:keepNext w:val="0"/>
        <w:keepLines w:val="0"/>
      </w:pPr>
      <w:r w:rsidRPr="00254A2F">
        <w:rPr>
          <w:rStyle w:val="CharPartNo"/>
        </w:rPr>
        <w:t>Part</w:t>
      </w:r>
      <w:r w:rsidR="00254A2F">
        <w:rPr>
          <w:rStyle w:val="CharPartNo"/>
        </w:rPr>
        <w:t> </w:t>
      </w:r>
      <w:r w:rsidR="00342B79" w:rsidRPr="00254A2F">
        <w:rPr>
          <w:rStyle w:val="CharPartNo"/>
        </w:rPr>
        <w:t>2</w:t>
      </w:r>
      <w:r w:rsidRPr="00254A2F">
        <w:t>—</w:t>
      </w:r>
      <w:r w:rsidR="00342B79" w:rsidRPr="00254A2F">
        <w:rPr>
          <w:rStyle w:val="CharPartText"/>
        </w:rPr>
        <w:t>RCM</w:t>
      </w:r>
      <w:bookmarkEnd w:id="55"/>
    </w:p>
    <w:p w14:paraId="6ACD9FB9" w14:textId="77777777" w:rsidR="00342B79" w:rsidRPr="00254A2F" w:rsidRDefault="00342B79" w:rsidP="00342B79"/>
    <w:p w14:paraId="6ACD9FBA" w14:textId="735E9377" w:rsidR="00342B79" w:rsidRPr="00254A2F" w:rsidRDefault="00F57DFE" w:rsidP="00342B79">
      <w:pPr>
        <w:jc w:val="center"/>
      </w:pPr>
      <w:r>
        <w:rPr>
          <w:noProof/>
          <w:sz w:val="20"/>
          <w:lang w:eastAsia="en-AU"/>
        </w:rPr>
        <w:drawing>
          <wp:inline distT="0" distB="0" distL="0" distR="0" wp14:anchorId="6ACDA004" wp14:editId="3207E164">
            <wp:extent cx="2695575" cy="197167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5575" cy="1971675"/>
                    </a:xfrm>
                    <a:prstGeom prst="rect">
                      <a:avLst/>
                    </a:prstGeom>
                    <a:noFill/>
                    <a:ln>
                      <a:noFill/>
                    </a:ln>
                  </pic:spPr>
                </pic:pic>
              </a:graphicData>
            </a:graphic>
          </wp:inline>
        </w:drawing>
      </w:r>
    </w:p>
    <w:p w14:paraId="6ACD9FBB" w14:textId="77777777" w:rsidR="00342B79" w:rsidRPr="00254A2F" w:rsidRDefault="00342B79" w:rsidP="00342B79"/>
    <w:p w14:paraId="6ACD9FBC" w14:textId="77777777" w:rsidR="00DE4E9D" w:rsidRPr="00254A2F" w:rsidRDefault="00DE4E9D" w:rsidP="00DE4E9D">
      <w:pPr>
        <w:pStyle w:val="notetext"/>
      </w:pPr>
      <w:r w:rsidRPr="00254A2F">
        <w:t>Note</w:t>
      </w:r>
      <w:r w:rsidR="00D11563">
        <w:t>:</w:t>
      </w:r>
      <w:r w:rsidRPr="00254A2F">
        <w:tab/>
        <w:t>The RCM is a protected symbol for section</w:t>
      </w:r>
      <w:r w:rsidR="00254A2F">
        <w:t> </w:t>
      </w:r>
      <w:r w:rsidRPr="00254A2F">
        <w:t>188A of the Act.</w:t>
      </w:r>
    </w:p>
    <w:p w14:paraId="6ACD9FBD" w14:textId="42702271" w:rsidR="00342B79" w:rsidRPr="00C25AB4" w:rsidRDefault="00287170" w:rsidP="00C25AB4">
      <w:pPr>
        <w:pStyle w:val="ActHead1"/>
        <w:pageBreakBefore/>
        <w:ind w:left="1985" w:hanging="1985"/>
        <w:rPr>
          <w:rStyle w:val="CharAmSchText"/>
          <w:rFonts w:ascii="Arial" w:hAnsi="Arial"/>
          <w:noProof/>
          <w:kern w:val="0"/>
          <w:sz w:val="32"/>
          <w:szCs w:val="24"/>
          <w:lang w:eastAsia="en-US"/>
        </w:rPr>
      </w:pPr>
      <w:bookmarkStart w:id="56" w:name="_Toc368055286"/>
      <w:r w:rsidRPr="00C25AB4">
        <w:rPr>
          <w:rStyle w:val="CharAmSchNo"/>
          <w:rFonts w:ascii="Arial" w:hAnsi="Arial"/>
          <w:noProof/>
          <w:kern w:val="0"/>
          <w:sz w:val="32"/>
          <w:szCs w:val="24"/>
          <w:lang w:eastAsia="en-US"/>
        </w:rPr>
        <w:lastRenderedPageBreak/>
        <w:t>Schedule</w:t>
      </w:r>
      <w:r w:rsidR="00254A2F" w:rsidRPr="00C25AB4">
        <w:rPr>
          <w:rStyle w:val="CharAmSchNo"/>
          <w:rFonts w:ascii="Arial" w:hAnsi="Arial"/>
          <w:noProof/>
          <w:kern w:val="0"/>
          <w:sz w:val="32"/>
          <w:szCs w:val="24"/>
          <w:lang w:eastAsia="en-US"/>
        </w:rPr>
        <w:t> </w:t>
      </w:r>
      <w:r w:rsidR="00DE4E9D" w:rsidRPr="00C25AB4">
        <w:rPr>
          <w:rStyle w:val="CharAmSchNo"/>
          <w:rFonts w:ascii="Arial" w:hAnsi="Arial"/>
          <w:noProof/>
          <w:kern w:val="0"/>
          <w:sz w:val="32"/>
          <w:szCs w:val="24"/>
          <w:lang w:eastAsia="en-US"/>
        </w:rPr>
        <w:t>2</w:t>
      </w:r>
      <w:r w:rsidR="00C25AB4">
        <w:rPr>
          <w:rStyle w:val="CharAmSchNo"/>
          <w:rFonts w:ascii="Arial" w:hAnsi="Arial"/>
          <w:noProof/>
          <w:kern w:val="0"/>
          <w:sz w:val="32"/>
          <w:szCs w:val="24"/>
          <w:lang w:eastAsia="en-US"/>
        </w:rPr>
        <w:tab/>
      </w:r>
      <w:r w:rsidR="00342B79" w:rsidRPr="00C25AB4">
        <w:rPr>
          <w:rStyle w:val="CharAmSchText"/>
          <w:rFonts w:ascii="Arial" w:hAnsi="Arial"/>
          <w:noProof/>
          <w:kern w:val="0"/>
          <w:sz w:val="32"/>
          <w:szCs w:val="24"/>
          <w:lang w:eastAsia="en-US"/>
        </w:rPr>
        <w:t>Applicable standards and compliance levels</w:t>
      </w:r>
      <w:bookmarkEnd w:id="56"/>
    </w:p>
    <w:p w14:paraId="6ACD9FBE" w14:textId="7BEC36B7" w:rsidR="00342B79" w:rsidRPr="00254A2F" w:rsidRDefault="00C25AB4" w:rsidP="00C25AB4">
      <w:pPr>
        <w:pStyle w:val="notemargin"/>
        <w:tabs>
          <w:tab w:val="left" w:pos="1985"/>
        </w:tabs>
      </w:pPr>
      <w:r>
        <w:tab/>
      </w:r>
      <w:r>
        <w:tab/>
      </w:r>
      <w:r w:rsidR="00342B79" w:rsidRPr="00254A2F">
        <w:t>(</w:t>
      </w:r>
      <w:proofErr w:type="gramStart"/>
      <w:r w:rsidR="00342B79" w:rsidRPr="00254A2F">
        <w:t>subsection</w:t>
      </w:r>
      <w:proofErr w:type="gramEnd"/>
      <w:r w:rsidR="00254A2F">
        <w:t> </w:t>
      </w:r>
      <w:r w:rsidR="00342B79" w:rsidRPr="00254A2F">
        <w:t xml:space="preserve">4(1), definition of </w:t>
      </w:r>
      <w:r w:rsidR="00342B79" w:rsidRPr="00254A2F">
        <w:rPr>
          <w:b/>
          <w:bCs/>
          <w:i/>
          <w:iCs/>
        </w:rPr>
        <w:t xml:space="preserve">applicable </w:t>
      </w:r>
      <w:r w:rsidR="00342B79" w:rsidRPr="00366501">
        <w:rPr>
          <w:b/>
          <w:bCs/>
          <w:i/>
          <w:iCs/>
        </w:rPr>
        <w:t>standard</w:t>
      </w:r>
      <w:r w:rsidR="00927E92" w:rsidRPr="00366501">
        <w:rPr>
          <w:bCs/>
          <w:iCs/>
        </w:rPr>
        <w:t>; subsection 12(1)</w:t>
      </w:r>
      <w:r w:rsidR="00342B79" w:rsidRPr="00366501">
        <w:t>)</w:t>
      </w:r>
    </w:p>
    <w:p w14:paraId="6ACD9FBF" w14:textId="77777777" w:rsidR="007F0341" w:rsidRPr="00254A2F" w:rsidRDefault="007F0341">
      <w:pPr>
        <w:pStyle w:val="Header"/>
      </w:pPr>
    </w:p>
    <w:p w14:paraId="6ACD9FC0" w14:textId="77777777" w:rsidR="00287170" w:rsidRPr="00254A2F" w:rsidRDefault="00287170" w:rsidP="00287170">
      <w:pPr>
        <w:pStyle w:val="Tabletext"/>
      </w:pPr>
    </w:p>
    <w:tbl>
      <w:tblPr>
        <w:tblW w:w="83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8"/>
        <w:gridCol w:w="6480"/>
        <w:gridCol w:w="1260"/>
      </w:tblGrid>
      <w:tr w:rsidR="00342B79" w:rsidRPr="009E7603" w14:paraId="6ACD9FC4" w14:textId="77777777" w:rsidTr="00287170">
        <w:trPr>
          <w:tblHeader/>
        </w:trPr>
        <w:tc>
          <w:tcPr>
            <w:tcW w:w="648" w:type="dxa"/>
            <w:tcBorders>
              <w:top w:val="single" w:sz="12" w:space="0" w:color="auto"/>
              <w:bottom w:val="single" w:sz="12" w:space="0" w:color="auto"/>
            </w:tcBorders>
            <w:shd w:val="clear" w:color="auto" w:fill="auto"/>
          </w:tcPr>
          <w:p w14:paraId="6ACD9FC1" w14:textId="77777777" w:rsidR="00342B79" w:rsidRPr="009E7603" w:rsidRDefault="00342B79" w:rsidP="00342B79">
            <w:pPr>
              <w:rPr>
                <w:b/>
                <w:sz w:val="20"/>
              </w:rPr>
            </w:pPr>
            <w:r w:rsidRPr="009E7603">
              <w:rPr>
                <w:b/>
                <w:sz w:val="20"/>
              </w:rPr>
              <w:t>Item</w:t>
            </w:r>
          </w:p>
        </w:tc>
        <w:tc>
          <w:tcPr>
            <w:tcW w:w="6480" w:type="dxa"/>
            <w:tcBorders>
              <w:top w:val="single" w:sz="12" w:space="0" w:color="auto"/>
              <w:bottom w:val="single" w:sz="12" w:space="0" w:color="auto"/>
            </w:tcBorders>
            <w:shd w:val="clear" w:color="auto" w:fill="auto"/>
          </w:tcPr>
          <w:p w14:paraId="6ACD9FC2" w14:textId="77777777" w:rsidR="00342B79" w:rsidRPr="009E7603" w:rsidRDefault="00342B79" w:rsidP="00342B79">
            <w:pPr>
              <w:rPr>
                <w:b/>
                <w:sz w:val="20"/>
              </w:rPr>
            </w:pPr>
            <w:r w:rsidRPr="009E7603">
              <w:rPr>
                <w:b/>
                <w:sz w:val="20"/>
              </w:rPr>
              <w:t>Applicable standard</w:t>
            </w:r>
          </w:p>
        </w:tc>
        <w:tc>
          <w:tcPr>
            <w:tcW w:w="1260" w:type="dxa"/>
            <w:tcBorders>
              <w:top w:val="single" w:sz="12" w:space="0" w:color="auto"/>
              <w:bottom w:val="single" w:sz="12" w:space="0" w:color="auto"/>
            </w:tcBorders>
            <w:shd w:val="clear" w:color="auto" w:fill="auto"/>
          </w:tcPr>
          <w:p w14:paraId="6ACD9FC3" w14:textId="77777777" w:rsidR="00342B79" w:rsidRPr="009E7603" w:rsidRDefault="00342B79" w:rsidP="00342B79">
            <w:pPr>
              <w:rPr>
                <w:b/>
                <w:sz w:val="20"/>
              </w:rPr>
            </w:pPr>
            <w:r w:rsidRPr="009E7603">
              <w:rPr>
                <w:b/>
                <w:sz w:val="20"/>
              </w:rPr>
              <w:t>Compliance Level</w:t>
            </w:r>
          </w:p>
        </w:tc>
      </w:tr>
      <w:tr w:rsidR="00342B79" w:rsidRPr="009E7603" w14:paraId="6ACD9FC8" w14:textId="77777777" w:rsidTr="00287170">
        <w:tc>
          <w:tcPr>
            <w:tcW w:w="648" w:type="dxa"/>
            <w:tcBorders>
              <w:top w:val="single" w:sz="12" w:space="0" w:color="auto"/>
            </w:tcBorders>
            <w:shd w:val="clear" w:color="auto" w:fill="auto"/>
          </w:tcPr>
          <w:p w14:paraId="6ACD9FC5" w14:textId="77777777" w:rsidR="00342B79" w:rsidRPr="00254A2F" w:rsidRDefault="00342B79" w:rsidP="00287170">
            <w:pPr>
              <w:pStyle w:val="Tabletext"/>
            </w:pPr>
            <w:r w:rsidRPr="00254A2F">
              <w:t>1</w:t>
            </w:r>
          </w:p>
        </w:tc>
        <w:tc>
          <w:tcPr>
            <w:tcW w:w="6480" w:type="dxa"/>
            <w:tcBorders>
              <w:top w:val="single" w:sz="12" w:space="0" w:color="auto"/>
            </w:tcBorders>
            <w:shd w:val="clear" w:color="auto" w:fill="auto"/>
          </w:tcPr>
          <w:p w14:paraId="6ACD9FC6" w14:textId="77777777" w:rsidR="00342B79" w:rsidRPr="00EF48DA" w:rsidRDefault="00342B79" w:rsidP="00287170">
            <w:pPr>
              <w:pStyle w:val="Tabletext"/>
              <w:rPr>
                <w:i/>
              </w:rPr>
            </w:pPr>
            <w:r w:rsidRPr="00EF48DA">
              <w:rPr>
                <w:i/>
                <w:szCs w:val="22"/>
              </w:rPr>
              <w:t>Radiocommunications (Devices Used in the Inshore Boating Radio Services Band) Standard 2008</w:t>
            </w:r>
          </w:p>
        </w:tc>
        <w:tc>
          <w:tcPr>
            <w:tcW w:w="1260" w:type="dxa"/>
            <w:tcBorders>
              <w:top w:val="single" w:sz="12" w:space="0" w:color="auto"/>
            </w:tcBorders>
            <w:shd w:val="clear" w:color="auto" w:fill="auto"/>
          </w:tcPr>
          <w:p w14:paraId="6ACD9FC7" w14:textId="77777777" w:rsidR="00342B79" w:rsidRPr="00254A2F" w:rsidRDefault="00446D7F" w:rsidP="00287170">
            <w:pPr>
              <w:pStyle w:val="Tabletext"/>
            </w:pPr>
            <w:r>
              <w:t>2</w:t>
            </w:r>
          </w:p>
        </w:tc>
      </w:tr>
      <w:tr w:rsidR="00342B79" w:rsidRPr="009E7603" w14:paraId="6ACD9FCC" w14:textId="77777777" w:rsidTr="00287170">
        <w:tc>
          <w:tcPr>
            <w:tcW w:w="648" w:type="dxa"/>
            <w:shd w:val="clear" w:color="auto" w:fill="auto"/>
          </w:tcPr>
          <w:p w14:paraId="6ACD9FC9" w14:textId="77777777" w:rsidR="00342B79" w:rsidRPr="00254A2F" w:rsidRDefault="00342B79" w:rsidP="00287170">
            <w:pPr>
              <w:pStyle w:val="Tabletext"/>
            </w:pPr>
            <w:r w:rsidRPr="00254A2F">
              <w:t>2</w:t>
            </w:r>
          </w:p>
        </w:tc>
        <w:tc>
          <w:tcPr>
            <w:tcW w:w="6480" w:type="dxa"/>
            <w:shd w:val="clear" w:color="auto" w:fill="auto"/>
          </w:tcPr>
          <w:p w14:paraId="6ACD9FCA" w14:textId="77777777" w:rsidR="00342B79" w:rsidRPr="00EF48DA" w:rsidRDefault="00342B79" w:rsidP="00287170">
            <w:pPr>
              <w:pStyle w:val="Tabletext"/>
              <w:rPr>
                <w:i/>
              </w:rPr>
            </w:pPr>
            <w:r w:rsidRPr="00EF48DA">
              <w:rPr>
                <w:i/>
                <w:szCs w:val="22"/>
              </w:rPr>
              <w:t xml:space="preserve">Radiocommunications (HF CB and </w:t>
            </w:r>
            <w:proofErr w:type="spellStart"/>
            <w:r w:rsidRPr="00EF48DA">
              <w:rPr>
                <w:i/>
                <w:szCs w:val="22"/>
              </w:rPr>
              <w:t>Handphone</w:t>
            </w:r>
            <w:proofErr w:type="spellEnd"/>
            <w:r w:rsidRPr="00EF48DA">
              <w:rPr>
                <w:i/>
                <w:szCs w:val="22"/>
              </w:rPr>
              <w:t xml:space="preserve"> Equipment) Standard 2008</w:t>
            </w:r>
          </w:p>
        </w:tc>
        <w:tc>
          <w:tcPr>
            <w:tcW w:w="1260" w:type="dxa"/>
            <w:shd w:val="clear" w:color="auto" w:fill="auto"/>
          </w:tcPr>
          <w:p w14:paraId="6ACD9FCB" w14:textId="77777777" w:rsidR="00342B79" w:rsidRPr="00254A2F" w:rsidRDefault="00446D7F" w:rsidP="00287170">
            <w:pPr>
              <w:pStyle w:val="Tabletext"/>
            </w:pPr>
            <w:r>
              <w:t>2</w:t>
            </w:r>
          </w:p>
        </w:tc>
      </w:tr>
      <w:tr w:rsidR="00264B4A" w:rsidRPr="009E7603" w:rsidDel="00264B4A" w14:paraId="6ACD9FD0" w14:textId="77777777" w:rsidTr="00287170">
        <w:tc>
          <w:tcPr>
            <w:tcW w:w="648" w:type="dxa"/>
            <w:shd w:val="clear" w:color="auto" w:fill="auto"/>
          </w:tcPr>
          <w:p w14:paraId="6ACD9FCD" w14:textId="77777777" w:rsidR="00264B4A" w:rsidRPr="00254A2F" w:rsidDel="00264B4A" w:rsidRDefault="00264B4A" w:rsidP="00287170">
            <w:pPr>
              <w:pStyle w:val="Tabletext"/>
            </w:pPr>
            <w:r w:rsidRPr="00254A2F">
              <w:rPr>
                <w:color w:val="000000"/>
              </w:rPr>
              <w:t>3</w:t>
            </w:r>
          </w:p>
        </w:tc>
        <w:tc>
          <w:tcPr>
            <w:tcW w:w="6480" w:type="dxa"/>
            <w:shd w:val="clear" w:color="auto" w:fill="auto"/>
          </w:tcPr>
          <w:p w14:paraId="6ACD9FCE" w14:textId="77777777" w:rsidR="00264B4A" w:rsidRPr="00EF48DA" w:rsidDel="00264B4A" w:rsidRDefault="00264B4A" w:rsidP="00287170">
            <w:pPr>
              <w:pStyle w:val="Tabletext"/>
              <w:rPr>
                <w:i/>
              </w:rPr>
            </w:pPr>
            <w:r w:rsidRPr="00EF48DA">
              <w:rPr>
                <w:i/>
                <w:szCs w:val="22"/>
              </w:rPr>
              <w:t>Radiocommunications (Cordless Telephone) Standard 2008</w:t>
            </w:r>
          </w:p>
        </w:tc>
        <w:tc>
          <w:tcPr>
            <w:tcW w:w="1260" w:type="dxa"/>
            <w:shd w:val="clear" w:color="auto" w:fill="auto"/>
          </w:tcPr>
          <w:p w14:paraId="6ACD9FCF" w14:textId="77777777" w:rsidR="00264B4A" w:rsidRPr="00254A2F" w:rsidDel="00264B4A" w:rsidRDefault="00264B4A" w:rsidP="00287170">
            <w:pPr>
              <w:pStyle w:val="Tabletext"/>
            </w:pPr>
            <w:r w:rsidRPr="00254A2F">
              <w:t>1</w:t>
            </w:r>
          </w:p>
        </w:tc>
      </w:tr>
      <w:tr w:rsidR="00342B79" w:rsidRPr="009E7603" w14:paraId="6ACD9FD4" w14:textId="77777777" w:rsidTr="00287170">
        <w:tc>
          <w:tcPr>
            <w:tcW w:w="648" w:type="dxa"/>
            <w:shd w:val="clear" w:color="auto" w:fill="auto"/>
          </w:tcPr>
          <w:p w14:paraId="6ACD9FD1" w14:textId="77777777" w:rsidR="00342B79" w:rsidRPr="00254A2F" w:rsidRDefault="00342B79" w:rsidP="00287170">
            <w:pPr>
              <w:pStyle w:val="Tabletext"/>
            </w:pPr>
            <w:r w:rsidRPr="00254A2F">
              <w:t>4</w:t>
            </w:r>
          </w:p>
        </w:tc>
        <w:tc>
          <w:tcPr>
            <w:tcW w:w="6480" w:type="dxa"/>
            <w:shd w:val="clear" w:color="auto" w:fill="auto"/>
          </w:tcPr>
          <w:p w14:paraId="6ACD9FD2" w14:textId="77777777" w:rsidR="00342B79" w:rsidRPr="00254A2F" w:rsidRDefault="00342B79" w:rsidP="00287170">
            <w:pPr>
              <w:pStyle w:val="Tabletext"/>
            </w:pPr>
            <w:r w:rsidRPr="00254A2F">
              <w:rPr>
                <w:i/>
                <w:iCs/>
              </w:rPr>
              <w:t>Radiocommunications (118MHz to 137MHz Amplitude Modulated Equipment</w:t>
            </w:r>
            <w:r w:rsidR="00287170" w:rsidRPr="00254A2F">
              <w:rPr>
                <w:i/>
                <w:iCs/>
              </w:rPr>
              <w:t>—</w:t>
            </w:r>
            <w:r w:rsidRPr="00254A2F">
              <w:rPr>
                <w:i/>
                <w:iCs/>
              </w:rPr>
              <w:t xml:space="preserve">Aeronautical Radio Service) Standard </w:t>
            </w:r>
            <w:r w:rsidR="00A0175A" w:rsidRPr="00254A2F">
              <w:rPr>
                <w:i/>
                <w:iCs/>
              </w:rPr>
              <w:t>2012</w:t>
            </w:r>
          </w:p>
        </w:tc>
        <w:tc>
          <w:tcPr>
            <w:tcW w:w="1260" w:type="dxa"/>
            <w:shd w:val="clear" w:color="auto" w:fill="auto"/>
          </w:tcPr>
          <w:p w14:paraId="6ACD9FD3" w14:textId="77777777" w:rsidR="00342B79" w:rsidRPr="00254A2F" w:rsidRDefault="00446D7F" w:rsidP="00287170">
            <w:pPr>
              <w:pStyle w:val="Tabletext"/>
            </w:pPr>
            <w:r>
              <w:t>2</w:t>
            </w:r>
          </w:p>
        </w:tc>
      </w:tr>
      <w:tr w:rsidR="00342B79" w:rsidRPr="009E7603" w14:paraId="6ACD9FD8" w14:textId="77777777" w:rsidTr="00287170">
        <w:tc>
          <w:tcPr>
            <w:tcW w:w="648" w:type="dxa"/>
            <w:shd w:val="clear" w:color="auto" w:fill="auto"/>
          </w:tcPr>
          <w:p w14:paraId="6ACD9FD5" w14:textId="77777777" w:rsidR="00342B79" w:rsidRPr="00254A2F" w:rsidRDefault="00342B79" w:rsidP="00287170">
            <w:pPr>
              <w:pStyle w:val="Tabletext"/>
            </w:pPr>
            <w:r w:rsidRPr="00254A2F">
              <w:t>5</w:t>
            </w:r>
          </w:p>
        </w:tc>
        <w:tc>
          <w:tcPr>
            <w:tcW w:w="6480" w:type="dxa"/>
            <w:shd w:val="clear" w:color="auto" w:fill="auto"/>
          </w:tcPr>
          <w:p w14:paraId="6ACD9FD6" w14:textId="77777777" w:rsidR="00342B79" w:rsidRPr="00254A2F" w:rsidRDefault="00342B79" w:rsidP="006D3782">
            <w:pPr>
              <w:pStyle w:val="Tabletext"/>
            </w:pPr>
            <w:r w:rsidRPr="00254A2F">
              <w:rPr>
                <w:i/>
                <w:iCs/>
              </w:rPr>
              <w:t>Radiocommunications (MF and HF Radiotelephone Equipment</w:t>
            </w:r>
            <w:r w:rsidR="00287170" w:rsidRPr="00254A2F">
              <w:rPr>
                <w:i/>
                <w:iCs/>
              </w:rPr>
              <w:t>—</w:t>
            </w:r>
            <w:r w:rsidRPr="00254A2F">
              <w:rPr>
                <w:i/>
                <w:iCs/>
              </w:rPr>
              <w:t>International Maritime Mobile Service) Standard 20</w:t>
            </w:r>
            <w:r w:rsidR="006D3782">
              <w:rPr>
                <w:i/>
                <w:iCs/>
              </w:rPr>
              <w:t>14</w:t>
            </w:r>
          </w:p>
        </w:tc>
        <w:tc>
          <w:tcPr>
            <w:tcW w:w="1260" w:type="dxa"/>
            <w:shd w:val="clear" w:color="auto" w:fill="auto"/>
          </w:tcPr>
          <w:p w14:paraId="6ACD9FD7" w14:textId="77777777" w:rsidR="00342B79" w:rsidRPr="00254A2F" w:rsidRDefault="00446D7F" w:rsidP="00287170">
            <w:pPr>
              <w:pStyle w:val="Tabletext"/>
            </w:pPr>
            <w:r>
              <w:t>2</w:t>
            </w:r>
          </w:p>
        </w:tc>
      </w:tr>
      <w:tr w:rsidR="00342B79" w:rsidRPr="009E7603" w14:paraId="6ACD9FDC" w14:textId="77777777" w:rsidTr="00287170">
        <w:tc>
          <w:tcPr>
            <w:tcW w:w="648" w:type="dxa"/>
            <w:shd w:val="clear" w:color="auto" w:fill="auto"/>
          </w:tcPr>
          <w:p w14:paraId="6ACD9FD9" w14:textId="77777777" w:rsidR="00342B79" w:rsidRPr="00254A2F" w:rsidRDefault="00342B79" w:rsidP="00287170">
            <w:pPr>
              <w:pStyle w:val="Tabletext"/>
            </w:pPr>
            <w:r w:rsidRPr="00254A2F">
              <w:t>6</w:t>
            </w:r>
          </w:p>
        </w:tc>
        <w:tc>
          <w:tcPr>
            <w:tcW w:w="6480" w:type="dxa"/>
            <w:shd w:val="clear" w:color="auto" w:fill="auto"/>
          </w:tcPr>
          <w:p w14:paraId="6ACD9FDA" w14:textId="77777777" w:rsidR="00342B79" w:rsidRPr="00254A2F" w:rsidRDefault="00342B79" w:rsidP="006D3782">
            <w:pPr>
              <w:pStyle w:val="Tabletext"/>
            </w:pPr>
            <w:r w:rsidRPr="00254A2F">
              <w:rPr>
                <w:i/>
                <w:iCs/>
              </w:rPr>
              <w:t>Radiocommunications (Paging Service Equipment) Standard 20</w:t>
            </w:r>
            <w:r w:rsidR="006D3782">
              <w:rPr>
                <w:i/>
                <w:iCs/>
              </w:rPr>
              <w:t>14</w:t>
            </w:r>
          </w:p>
        </w:tc>
        <w:tc>
          <w:tcPr>
            <w:tcW w:w="1260" w:type="dxa"/>
            <w:shd w:val="clear" w:color="auto" w:fill="auto"/>
          </w:tcPr>
          <w:p w14:paraId="6ACD9FDB" w14:textId="77777777" w:rsidR="00342B79" w:rsidRPr="00254A2F" w:rsidRDefault="00446D7F" w:rsidP="00287170">
            <w:pPr>
              <w:pStyle w:val="Tabletext"/>
            </w:pPr>
            <w:r>
              <w:t>2</w:t>
            </w:r>
          </w:p>
        </w:tc>
      </w:tr>
      <w:tr w:rsidR="00342B79" w:rsidRPr="009E7603" w14:paraId="6ACD9FE0" w14:textId="77777777" w:rsidTr="00287170">
        <w:tc>
          <w:tcPr>
            <w:tcW w:w="648" w:type="dxa"/>
            <w:shd w:val="clear" w:color="auto" w:fill="auto"/>
          </w:tcPr>
          <w:p w14:paraId="6ACD9FDD" w14:textId="77777777" w:rsidR="00342B79" w:rsidRPr="00254A2F" w:rsidRDefault="00342B79" w:rsidP="00287170">
            <w:pPr>
              <w:pStyle w:val="Tabletext"/>
            </w:pPr>
            <w:r w:rsidRPr="00254A2F">
              <w:t>7</w:t>
            </w:r>
          </w:p>
        </w:tc>
        <w:tc>
          <w:tcPr>
            <w:tcW w:w="6480" w:type="dxa"/>
            <w:shd w:val="clear" w:color="auto" w:fill="auto"/>
          </w:tcPr>
          <w:p w14:paraId="6ACD9FDE" w14:textId="77777777" w:rsidR="00342B79" w:rsidRPr="00254A2F" w:rsidRDefault="00342B79" w:rsidP="00287170">
            <w:pPr>
              <w:pStyle w:val="Tabletext"/>
            </w:pPr>
            <w:r w:rsidRPr="00254A2F">
              <w:rPr>
                <w:i/>
                <w:iCs/>
                <w:color w:val="000000"/>
              </w:rPr>
              <w:t>Radiocommunications (121</w:t>
            </w:r>
            <w:r w:rsidRPr="00254A2F">
              <w:rPr>
                <w:iCs/>
                <w:color w:val="000000"/>
              </w:rPr>
              <w:t>.</w:t>
            </w:r>
            <w:r w:rsidRPr="00254A2F">
              <w:rPr>
                <w:i/>
                <w:iCs/>
                <w:color w:val="000000"/>
              </w:rPr>
              <w:t>5 MHz and 243</w:t>
            </w:r>
            <w:r w:rsidRPr="00254A2F">
              <w:rPr>
                <w:iCs/>
                <w:color w:val="000000"/>
              </w:rPr>
              <w:t>.</w:t>
            </w:r>
            <w:r w:rsidRPr="00254A2F">
              <w:rPr>
                <w:i/>
                <w:iCs/>
                <w:color w:val="000000"/>
              </w:rPr>
              <w:t>0 MHz Emergency Position Indicating Radio Beacons) Standard 20</w:t>
            </w:r>
            <w:r w:rsidR="006D3782">
              <w:rPr>
                <w:i/>
                <w:iCs/>
                <w:color w:val="000000"/>
              </w:rPr>
              <w:t>14</w:t>
            </w:r>
          </w:p>
        </w:tc>
        <w:tc>
          <w:tcPr>
            <w:tcW w:w="1260" w:type="dxa"/>
            <w:shd w:val="clear" w:color="auto" w:fill="auto"/>
          </w:tcPr>
          <w:p w14:paraId="6ACD9FDF" w14:textId="77777777" w:rsidR="00342B79" w:rsidRPr="00254A2F" w:rsidRDefault="00446D7F" w:rsidP="00287170">
            <w:pPr>
              <w:pStyle w:val="Tabletext"/>
            </w:pPr>
            <w:r>
              <w:rPr>
                <w:color w:val="000000"/>
              </w:rPr>
              <w:t>2</w:t>
            </w:r>
          </w:p>
        </w:tc>
      </w:tr>
      <w:tr w:rsidR="00342B79" w:rsidRPr="009E7603" w14:paraId="6ACD9FE4" w14:textId="77777777" w:rsidTr="00287170">
        <w:tc>
          <w:tcPr>
            <w:tcW w:w="648" w:type="dxa"/>
            <w:shd w:val="clear" w:color="auto" w:fill="auto"/>
          </w:tcPr>
          <w:p w14:paraId="6ACD9FE1" w14:textId="77777777" w:rsidR="00342B79" w:rsidRPr="00254A2F" w:rsidRDefault="00342B79" w:rsidP="00287170">
            <w:pPr>
              <w:pStyle w:val="Tabletext"/>
            </w:pPr>
            <w:r w:rsidRPr="00254A2F">
              <w:t>8</w:t>
            </w:r>
          </w:p>
        </w:tc>
        <w:tc>
          <w:tcPr>
            <w:tcW w:w="6480" w:type="dxa"/>
            <w:shd w:val="clear" w:color="auto" w:fill="auto"/>
          </w:tcPr>
          <w:p w14:paraId="6ACD9FE2" w14:textId="631166DB" w:rsidR="00342B79" w:rsidRPr="00254A2F" w:rsidRDefault="00342B79" w:rsidP="00287170">
            <w:pPr>
              <w:pStyle w:val="Tabletext"/>
            </w:pPr>
            <w:r w:rsidRPr="00254A2F">
              <w:rPr>
                <w:i/>
                <w:iCs/>
                <w:color w:val="000000"/>
              </w:rPr>
              <w:t xml:space="preserve">Radiocommunications (MF and HF </w:t>
            </w:r>
            <w:r w:rsidR="00CE151E">
              <w:rPr>
                <w:i/>
                <w:iCs/>
                <w:color w:val="000000"/>
              </w:rPr>
              <w:t>E</w:t>
            </w:r>
            <w:r w:rsidRPr="00254A2F">
              <w:rPr>
                <w:i/>
                <w:iCs/>
                <w:color w:val="000000"/>
              </w:rPr>
              <w:t>quipment</w:t>
            </w:r>
            <w:r w:rsidR="00287170" w:rsidRPr="00254A2F">
              <w:rPr>
                <w:i/>
                <w:iCs/>
                <w:color w:val="000000"/>
              </w:rPr>
              <w:t>—</w:t>
            </w:r>
            <w:r w:rsidRPr="00254A2F">
              <w:rPr>
                <w:i/>
                <w:iCs/>
                <w:color w:val="000000"/>
              </w:rPr>
              <w:t>Land Mobile Service) Standard 20</w:t>
            </w:r>
            <w:r w:rsidR="006D3782">
              <w:rPr>
                <w:i/>
                <w:iCs/>
                <w:color w:val="000000"/>
              </w:rPr>
              <w:t>14</w:t>
            </w:r>
          </w:p>
        </w:tc>
        <w:tc>
          <w:tcPr>
            <w:tcW w:w="1260" w:type="dxa"/>
            <w:shd w:val="clear" w:color="auto" w:fill="auto"/>
          </w:tcPr>
          <w:p w14:paraId="6ACD9FE3" w14:textId="77777777" w:rsidR="00342B79" w:rsidRPr="00254A2F" w:rsidRDefault="00446D7F" w:rsidP="00287170">
            <w:pPr>
              <w:pStyle w:val="Tabletext"/>
            </w:pPr>
            <w:r>
              <w:rPr>
                <w:color w:val="000000"/>
              </w:rPr>
              <w:t>2</w:t>
            </w:r>
          </w:p>
        </w:tc>
      </w:tr>
      <w:tr w:rsidR="00342B79" w:rsidRPr="009E7603" w14:paraId="6ACD9FE8" w14:textId="77777777" w:rsidTr="00287170">
        <w:tc>
          <w:tcPr>
            <w:tcW w:w="648" w:type="dxa"/>
            <w:shd w:val="clear" w:color="auto" w:fill="auto"/>
          </w:tcPr>
          <w:p w14:paraId="6ACD9FE5" w14:textId="77777777" w:rsidR="00342B79" w:rsidRPr="00254A2F" w:rsidRDefault="00342B79" w:rsidP="00287170">
            <w:pPr>
              <w:pStyle w:val="Tabletext"/>
            </w:pPr>
            <w:r w:rsidRPr="00254A2F">
              <w:t>10</w:t>
            </w:r>
          </w:p>
        </w:tc>
        <w:tc>
          <w:tcPr>
            <w:tcW w:w="6480" w:type="dxa"/>
            <w:shd w:val="clear" w:color="auto" w:fill="auto"/>
          </w:tcPr>
          <w:p w14:paraId="6ACD9FE6" w14:textId="77777777" w:rsidR="00342B79" w:rsidRPr="00254A2F" w:rsidRDefault="00342B79" w:rsidP="00686296">
            <w:pPr>
              <w:pStyle w:val="Tabletext"/>
              <w:rPr>
                <w:i/>
              </w:rPr>
            </w:pPr>
            <w:r w:rsidRPr="00254A2F">
              <w:rPr>
                <w:i/>
              </w:rPr>
              <w:t>Radiocommunications (Short Range Devices) Standard 20</w:t>
            </w:r>
            <w:r w:rsidR="006D3782">
              <w:rPr>
                <w:i/>
              </w:rPr>
              <w:t>14</w:t>
            </w:r>
          </w:p>
        </w:tc>
        <w:tc>
          <w:tcPr>
            <w:tcW w:w="1260" w:type="dxa"/>
            <w:shd w:val="clear" w:color="auto" w:fill="auto"/>
          </w:tcPr>
          <w:p w14:paraId="6ACD9FE7" w14:textId="77777777" w:rsidR="00342B79" w:rsidRPr="00254A2F" w:rsidRDefault="00342B79" w:rsidP="00287170">
            <w:pPr>
              <w:pStyle w:val="Tabletext"/>
            </w:pPr>
            <w:r w:rsidRPr="00254A2F">
              <w:t>1</w:t>
            </w:r>
          </w:p>
        </w:tc>
      </w:tr>
      <w:tr w:rsidR="00342B79" w:rsidRPr="009E7603" w14:paraId="6ACD9FEC" w14:textId="77777777" w:rsidTr="00287170">
        <w:tc>
          <w:tcPr>
            <w:tcW w:w="648" w:type="dxa"/>
            <w:shd w:val="clear" w:color="auto" w:fill="auto"/>
          </w:tcPr>
          <w:p w14:paraId="6ACD9FE9" w14:textId="77777777" w:rsidR="00342B79" w:rsidRPr="00254A2F" w:rsidRDefault="00342B79" w:rsidP="00287170">
            <w:pPr>
              <w:pStyle w:val="Tabletext"/>
            </w:pPr>
            <w:r w:rsidRPr="00254A2F">
              <w:t>11</w:t>
            </w:r>
          </w:p>
        </w:tc>
        <w:tc>
          <w:tcPr>
            <w:tcW w:w="6480" w:type="dxa"/>
            <w:shd w:val="clear" w:color="auto" w:fill="auto"/>
          </w:tcPr>
          <w:p w14:paraId="6ACD9FEA" w14:textId="77777777" w:rsidR="00342B79" w:rsidRPr="00254A2F" w:rsidRDefault="005D024B" w:rsidP="00686296">
            <w:pPr>
              <w:pStyle w:val="Tabletext"/>
              <w:rPr>
                <w:i/>
              </w:rPr>
            </w:pPr>
            <w:r w:rsidRPr="00254A2F">
              <w:rPr>
                <w:i/>
              </w:rPr>
              <w:t>Radiocommunications (UHF CB Radio Equipment) Standard 2011 (No.</w:t>
            </w:r>
            <w:r w:rsidR="00254A2F">
              <w:rPr>
                <w:i/>
              </w:rPr>
              <w:t> </w:t>
            </w:r>
            <w:r w:rsidRPr="00254A2F">
              <w:rPr>
                <w:i/>
              </w:rPr>
              <w:t>1)</w:t>
            </w:r>
          </w:p>
        </w:tc>
        <w:tc>
          <w:tcPr>
            <w:tcW w:w="1260" w:type="dxa"/>
            <w:shd w:val="clear" w:color="auto" w:fill="auto"/>
          </w:tcPr>
          <w:p w14:paraId="6ACD9FEB" w14:textId="77777777" w:rsidR="00342B79" w:rsidRPr="00254A2F" w:rsidRDefault="00446D7F" w:rsidP="00287170">
            <w:pPr>
              <w:pStyle w:val="Tabletext"/>
            </w:pPr>
            <w:r>
              <w:t>2</w:t>
            </w:r>
          </w:p>
        </w:tc>
      </w:tr>
      <w:tr w:rsidR="00342B79" w:rsidRPr="009E7603" w14:paraId="6ACD9FF0" w14:textId="77777777" w:rsidTr="00287170">
        <w:tc>
          <w:tcPr>
            <w:tcW w:w="648" w:type="dxa"/>
            <w:shd w:val="clear" w:color="auto" w:fill="auto"/>
          </w:tcPr>
          <w:p w14:paraId="6ACD9FED" w14:textId="77777777" w:rsidR="00342B79" w:rsidRPr="00254A2F" w:rsidRDefault="00342B79" w:rsidP="00287170">
            <w:pPr>
              <w:pStyle w:val="Tabletext"/>
            </w:pPr>
            <w:r w:rsidRPr="00254A2F">
              <w:t>12</w:t>
            </w:r>
          </w:p>
        </w:tc>
        <w:tc>
          <w:tcPr>
            <w:tcW w:w="6480" w:type="dxa"/>
            <w:shd w:val="clear" w:color="auto" w:fill="auto"/>
          </w:tcPr>
          <w:p w14:paraId="6ACD9FEE" w14:textId="77777777" w:rsidR="00342B79" w:rsidRPr="00254A2F" w:rsidRDefault="00342B79" w:rsidP="00686296">
            <w:pPr>
              <w:pStyle w:val="Tabletext"/>
              <w:rPr>
                <w:i/>
              </w:rPr>
            </w:pPr>
            <w:r w:rsidRPr="00254A2F">
              <w:rPr>
                <w:i/>
              </w:rPr>
              <w:t>Radiocommunications (VHF Radiotelephone Equipment</w:t>
            </w:r>
            <w:r w:rsidR="00287170" w:rsidRPr="00254A2F">
              <w:rPr>
                <w:i/>
              </w:rPr>
              <w:t>—</w:t>
            </w:r>
            <w:r w:rsidRPr="00254A2F">
              <w:rPr>
                <w:i/>
              </w:rPr>
              <w:t>Maritime Mobile Service) Standard 20</w:t>
            </w:r>
            <w:r w:rsidR="006D3782">
              <w:rPr>
                <w:i/>
              </w:rPr>
              <w:t>14</w:t>
            </w:r>
          </w:p>
        </w:tc>
        <w:tc>
          <w:tcPr>
            <w:tcW w:w="1260" w:type="dxa"/>
            <w:shd w:val="clear" w:color="auto" w:fill="auto"/>
          </w:tcPr>
          <w:p w14:paraId="6ACD9FEF" w14:textId="77777777" w:rsidR="00342B79" w:rsidRPr="00254A2F" w:rsidRDefault="00446D7F" w:rsidP="00287170">
            <w:pPr>
              <w:pStyle w:val="Tabletext"/>
            </w:pPr>
            <w:r>
              <w:t>2</w:t>
            </w:r>
          </w:p>
        </w:tc>
      </w:tr>
      <w:tr w:rsidR="00342B79" w:rsidRPr="009E7603" w14:paraId="6ACD9FF4" w14:textId="77777777" w:rsidTr="00287170">
        <w:tc>
          <w:tcPr>
            <w:tcW w:w="648" w:type="dxa"/>
            <w:shd w:val="clear" w:color="auto" w:fill="auto"/>
          </w:tcPr>
          <w:p w14:paraId="6ACD9FF1" w14:textId="77777777" w:rsidR="00342B79" w:rsidRPr="00254A2F" w:rsidRDefault="00342B79" w:rsidP="00287170">
            <w:pPr>
              <w:pStyle w:val="Tabletext"/>
            </w:pPr>
            <w:r w:rsidRPr="00254A2F">
              <w:rPr>
                <w:color w:val="000000"/>
              </w:rPr>
              <w:t>13</w:t>
            </w:r>
          </w:p>
        </w:tc>
        <w:tc>
          <w:tcPr>
            <w:tcW w:w="6480" w:type="dxa"/>
            <w:shd w:val="clear" w:color="auto" w:fill="auto"/>
          </w:tcPr>
          <w:p w14:paraId="6ACD9FF2" w14:textId="77777777" w:rsidR="00342B79" w:rsidRPr="00254A2F" w:rsidRDefault="00342B79" w:rsidP="00686296">
            <w:pPr>
              <w:pStyle w:val="Tabletext"/>
              <w:rPr>
                <w:i/>
              </w:rPr>
            </w:pPr>
            <w:r w:rsidRPr="00254A2F">
              <w:rPr>
                <w:i/>
              </w:rPr>
              <w:t>Radiocommunications (Analogue Speech (Angle Modulated) Equipment) Standard 20</w:t>
            </w:r>
            <w:r w:rsidR="006D3782">
              <w:rPr>
                <w:i/>
              </w:rPr>
              <w:t>14</w:t>
            </w:r>
          </w:p>
        </w:tc>
        <w:tc>
          <w:tcPr>
            <w:tcW w:w="1260" w:type="dxa"/>
            <w:shd w:val="clear" w:color="auto" w:fill="auto"/>
          </w:tcPr>
          <w:p w14:paraId="6ACD9FF3" w14:textId="77777777" w:rsidR="00342B79" w:rsidRPr="00254A2F" w:rsidRDefault="00446D7F" w:rsidP="00287170">
            <w:pPr>
              <w:pStyle w:val="Tabletext"/>
            </w:pPr>
            <w:r>
              <w:t>2</w:t>
            </w:r>
          </w:p>
        </w:tc>
      </w:tr>
      <w:tr w:rsidR="00342B79" w:rsidRPr="009E7603" w14:paraId="6ACD9FF8" w14:textId="77777777" w:rsidTr="00287170">
        <w:tc>
          <w:tcPr>
            <w:tcW w:w="648" w:type="dxa"/>
            <w:shd w:val="clear" w:color="auto" w:fill="auto"/>
          </w:tcPr>
          <w:p w14:paraId="6ACD9FF5" w14:textId="77777777" w:rsidR="00342B79" w:rsidRPr="00254A2F" w:rsidRDefault="00342B79" w:rsidP="00287170">
            <w:pPr>
              <w:pStyle w:val="Tabletext"/>
            </w:pPr>
            <w:r w:rsidRPr="00254A2F">
              <w:rPr>
                <w:color w:val="000000"/>
              </w:rPr>
              <w:t>14</w:t>
            </w:r>
          </w:p>
        </w:tc>
        <w:tc>
          <w:tcPr>
            <w:tcW w:w="6480" w:type="dxa"/>
            <w:shd w:val="clear" w:color="auto" w:fill="auto"/>
          </w:tcPr>
          <w:p w14:paraId="6ACD9FF6" w14:textId="77777777" w:rsidR="00342B79" w:rsidRPr="00254A2F" w:rsidRDefault="00342B79" w:rsidP="00686296">
            <w:pPr>
              <w:pStyle w:val="Tabletext"/>
              <w:rPr>
                <w:i/>
              </w:rPr>
            </w:pPr>
            <w:r w:rsidRPr="00254A2F">
              <w:rPr>
                <w:i/>
              </w:rPr>
              <w:t>Radiocommunications (406 MHz Satellite Distress Beacons) Standard 20</w:t>
            </w:r>
            <w:r w:rsidR="006D3782">
              <w:rPr>
                <w:i/>
              </w:rPr>
              <w:t>14</w:t>
            </w:r>
          </w:p>
        </w:tc>
        <w:tc>
          <w:tcPr>
            <w:tcW w:w="1260" w:type="dxa"/>
            <w:shd w:val="clear" w:color="auto" w:fill="auto"/>
          </w:tcPr>
          <w:p w14:paraId="6ACD9FF7" w14:textId="77777777" w:rsidR="00342B79" w:rsidRPr="00254A2F" w:rsidRDefault="00446D7F" w:rsidP="00287170">
            <w:pPr>
              <w:pStyle w:val="Tabletext"/>
            </w:pPr>
            <w:r>
              <w:t>2</w:t>
            </w:r>
          </w:p>
        </w:tc>
      </w:tr>
      <w:tr w:rsidR="00342B79" w:rsidRPr="009E7603" w14:paraId="6ACD9FFC" w14:textId="77777777" w:rsidTr="00287170">
        <w:tc>
          <w:tcPr>
            <w:tcW w:w="648" w:type="dxa"/>
            <w:tcBorders>
              <w:bottom w:val="single" w:sz="4" w:space="0" w:color="auto"/>
            </w:tcBorders>
            <w:shd w:val="clear" w:color="auto" w:fill="auto"/>
          </w:tcPr>
          <w:p w14:paraId="6ACD9FF9" w14:textId="77777777" w:rsidR="00342B79" w:rsidRPr="00254A2F" w:rsidRDefault="00342B79" w:rsidP="00287170">
            <w:pPr>
              <w:pStyle w:val="Tabletext"/>
            </w:pPr>
            <w:r w:rsidRPr="00254A2F">
              <w:rPr>
                <w:color w:val="000000"/>
              </w:rPr>
              <w:t>15</w:t>
            </w:r>
          </w:p>
        </w:tc>
        <w:tc>
          <w:tcPr>
            <w:tcW w:w="6480" w:type="dxa"/>
            <w:tcBorders>
              <w:bottom w:val="single" w:sz="4" w:space="0" w:color="auto"/>
            </w:tcBorders>
            <w:shd w:val="clear" w:color="auto" w:fill="auto"/>
          </w:tcPr>
          <w:p w14:paraId="6ACD9FFA" w14:textId="77777777" w:rsidR="00342B79" w:rsidRPr="00254A2F" w:rsidRDefault="00342B79" w:rsidP="00686296">
            <w:pPr>
              <w:pStyle w:val="Tabletext"/>
              <w:rPr>
                <w:i/>
              </w:rPr>
            </w:pPr>
            <w:r w:rsidRPr="00254A2F">
              <w:rPr>
                <w:i/>
              </w:rPr>
              <w:t>Radiocommunications (Digital Cordless Communications Devices</w:t>
            </w:r>
            <w:r w:rsidR="00287170" w:rsidRPr="00254A2F">
              <w:rPr>
                <w:i/>
              </w:rPr>
              <w:t>—</w:t>
            </w:r>
            <w:r w:rsidRPr="00254A2F">
              <w:rPr>
                <w:i/>
              </w:rPr>
              <w:t>DECT Devices) Standard 2007</w:t>
            </w:r>
          </w:p>
        </w:tc>
        <w:tc>
          <w:tcPr>
            <w:tcW w:w="1260" w:type="dxa"/>
            <w:tcBorders>
              <w:bottom w:val="single" w:sz="4" w:space="0" w:color="auto"/>
            </w:tcBorders>
            <w:shd w:val="clear" w:color="auto" w:fill="auto"/>
          </w:tcPr>
          <w:p w14:paraId="6ACD9FFB" w14:textId="77777777" w:rsidR="00342B79" w:rsidRPr="00254A2F" w:rsidRDefault="00342B79" w:rsidP="00287170">
            <w:pPr>
              <w:pStyle w:val="Tabletext"/>
            </w:pPr>
            <w:r w:rsidRPr="00254A2F">
              <w:t>2</w:t>
            </w:r>
          </w:p>
        </w:tc>
      </w:tr>
      <w:tr w:rsidR="00342B79" w:rsidRPr="009E7603" w14:paraId="6ACDA000" w14:textId="77777777" w:rsidTr="00287170">
        <w:tc>
          <w:tcPr>
            <w:tcW w:w="648" w:type="dxa"/>
            <w:tcBorders>
              <w:bottom w:val="single" w:sz="12" w:space="0" w:color="auto"/>
            </w:tcBorders>
            <w:shd w:val="clear" w:color="auto" w:fill="auto"/>
          </w:tcPr>
          <w:p w14:paraId="6ACD9FFD" w14:textId="77777777" w:rsidR="00342B79" w:rsidRPr="00254A2F" w:rsidRDefault="00342B79" w:rsidP="00287170">
            <w:pPr>
              <w:pStyle w:val="Tabletext"/>
            </w:pPr>
            <w:r w:rsidRPr="00254A2F">
              <w:rPr>
                <w:color w:val="000000"/>
              </w:rPr>
              <w:t>16</w:t>
            </w:r>
          </w:p>
        </w:tc>
        <w:tc>
          <w:tcPr>
            <w:tcW w:w="6480" w:type="dxa"/>
            <w:tcBorders>
              <w:bottom w:val="single" w:sz="12" w:space="0" w:color="auto"/>
            </w:tcBorders>
            <w:shd w:val="clear" w:color="auto" w:fill="auto"/>
          </w:tcPr>
          <w:p w14:paraId="6ACD9FFE" w14:textId="77777777" w:rsidR="00342B79" w:rsidRPr="00254A2F" w:rsidRDefault="00342B79" w:rsidP="00686296">
            <w:pPr>
              <w:pStyle w:val="Tabletext"/>
              <w:rPr>
                <w:i/>
              </w:rPr>
            </w:pPr>
            <w:r w:rsidRPr="00254A2F">
              <w:rPr>
                <w:i/>
              </w:rPr>
              <w:t>Radiocommunications (Digital Cordless Communications Devices</w:t>
            </w:r>
            <w:r w:rsidR="00287170" w:rsidRPr="00254A2F">
              <w:rPr>
                <w:i/>
              </w:rPr>
              <w:t>—</w:t>
            </w:r>
            <w:r w:rsidRPr="00254A2F">
              <w:rPr>
                <w:i/>
              </w:rPr>
              <w:t>PHS Devices) Standard 2007</w:t>
            </w:r>
          </w:p>
        </w:tc>
        <w:tc>
          <w:tcPr>
            <w:tcW w:w="1260" w:type="dxa"/>
            <w:tcBorders>
              <w:bottom w:val="single" w:sz="12" w:space="0" w:color="auto"/>
            </w:tcBorders>
            <w:shd w:val="clear" w:color="auto" w:fill="auto"/>
          </w:tcPr>
          <w:p w14:paraId="6ACD9FFF" w14:textId="77777777" w:rsidR="00342B79" w:rsidRPr="00254A2F" w:rsidRDefault="00342B79" w:rsidP="00287170">
            <w:pPr>
              <w:pStyle w:val="Tabletext"/>
            </w:pPr>
            <w:r w:rsidRPr="00254A2F">
              <w:t>2</w:t>
            </w:r>
          </w:p>
        </w:tc>
      </w:tr>
    </w:tbl>
    <w:p w14:paraId="6ACDA001" w14:textId="77777777" w:rsidR="00342B79" w:rsidRPr="00254A2F" w:rsidRDefault="00342B79" w:rsidP="00A158F1"/>
    <w:sectPr w:rsidR="00342B79" w:rsidRPr="00254A2F" w:rsidSect="00A158F1">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809"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EEC20" w14:textId="77777777" w:rsidR="00B51592" w:rsidRDefault="00B51592" w:rsidP="007E2493">
      <w:r>
        <w:separator/>
      </w:r>
    </w:p>
  </w:endnote>
  <w:endnote w:type="continuationSeparator" w:id="0">
    <w:p w14:paraId="456CABFA" w14:textId="77777777" w:rsidR="00B51592" w:rsidRDefault="00B51592" w:rsidP="007E2493">
      <w:r>
        <w:continuationSeparator/>
      </w:r>
    </w:p>
  </w:endnote>
  <w:endnote w:type="continuationNotice" w:id="1">
    <w:p w14:paraId="46881070" w14:textId="77777777" w:rsidR="00B51592" w:rsidRDefault="00B515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974C7" w14:textId="77777777" w:rsidR="00B51592" w:rsidRDefault="00B51592" w:rsidP="00A3471C">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B51592" w:rsidRPr="000E1CC4" w14:paraId="736E1695" w14:textId="77777777" w:rsidTr="00A3471C">
      <w:tc>
        <w:tcPr>
          <w:tcW w:w="1134" w:type="dxa"/>
        </w:tcPr>
        <w:p w14:paraId="6231CE08" w14:textId="77777777" w:rsidR="00B51592" w:rsidRPr="000E1CC4" w:rsidRDefault="00B51592" w:rsidP="00A3471C">
          <w:pPr>
            <w:spacing w:line="240" w:lineRule="exact"/>
            <w:rPr>
              <w:rFonts w:ascii="Arial" w:hAnsi="Arial"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006A15E3">
            <w:rPr>
              <w:rStyle w:val="PageNumber"/>
              <w:rFonts w:cs="Arial"/>
              <w:noProof/>
              <w:szCs w:val="22"/>
            </w:rPr>
            <w:t>18</w:t>
          </w:r>
          <w:r w:rsidRPr="000E1CC4">
            <w:rPr>
              <w:rStyle w:val="PageNumber"/>
              <w:rFonts w:cs="Arial"/>
              <w:szCs w:val="22"/>
            </w:rPr>
            <w:fldChar w:fldCharType="end"/>
          </w:r>
        </w:p>
      </w:tc>
      <w:tc>
        <w:tcPr>
          <w:tcW w:w="6095" w:type="dxa"/>
        </w:tcPr>
        <w:p w14:paraId="2BB9FDA5" w14:textId="25740CF3" w:rsidR="00B51592" w:rsidRPr="00823453" w:rsidRDefault="00B51592" w:rsidP="00A3471C">
          <w:pPr>
            <w:pStyle w:val="FooterCitation"/>
            <w:tabs>
              <w:tab w:val="clear" w:pos="4153"/>
              <w:tab w:val="clear" w:pos="8306"/>
            </w:tabs>
            <w:spacing w:before="0" w:line="240" w:lineRule="auto"/>
            <w:ind w:left="1415" w:hanging="283"/>
            <w:rPr>
              <w:sz w:val="17"/>
              <w:szCs w:val="17"/>
            </w:rPr>
          </w:pPr>
          <w:r w:rsidRPr="00697150">
            <w:rPr>
              <w:sz w:val="17"/>
              <w:szCs w:val="17"/>
            </w:rPr>
            <w:t>Radiocommunications (Compliance Labelling – Devices) Notice 2014</w:t>
          </w:r>
        </w:p>
      </w:tc>
      <w:tc>
        <w:tcPr>
          <w:tcW w:w="1134" w:type="dxa"/>
        </w:tcPr>
        <w:p w14:paraId="19447CA2" w14:textId="77777777" w:rsidR="00B51592" w:rsidRPr="000E1CC4" w:rsidRDefault="00B51592" w:rsidP="00A3471C">
          <w:pPr>
            <w:spacing w:line="240" w:lineRule="exact"/>
            <w:jc w:val="right"/>
            <w:rPr>
              <w:rStyle w:val="PageNumber"/>
            </w:rPr>
          </w:pPr>
        </w:p>
      </w:tc>
    </w:tr>
  </w:tbl>
  <w:p w14:paraId="6ACDA016" w14:textId="77777777" w:rsidR="00B51592" w:rsidRPr="00ED79B6" w:rsidRDefault="00B51592" w:rsidP="00D14D4E">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DA023" w14:textId="77777777" w:rsidR="00B51592" w:rsidRPr="00E33C1C" w:rsidRDefault="00B51592" w:rsidP="00D14D4E">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6263"/>
      <w:gridCol w:w="698"/>
    </w:tblGrid>
    <w:tr w:rsidR="00B51592" w:rsidRPr="009E7603" w14:paraId="6ACDA027" w14:textId="77777777" w:rsidTr="009E7603">
      <w:tc>
        <w:tcPr>
          <w:tcW w:w="1384" w:type="dxa"/>
          <w:tcBorders>
            <w:top w:val="nil"/>
            <w:left w:val="nil"/>
            <w:bottom w:val="nil"/>
            <w:right w:val="nil"/>
          </w:tcBorders>
        </w:tcPr>
        <w:p w14:paraId="6ACDA024" w14:textId="77777777" w:rsidR="00B51592" w:rsidRPr="009E7603" w:rsidRDefault="00B51592" w:rsidP="009E7603">
          <w:pPr>
            <w:spacing w:line="0" w:lineRule="atLeast"/>
            <w:rPr>
              <w:szCs w:val="22"/>
            </w:rPr>
          </w:pPr>
        </w:p>
      </w:tc>
      <w:tc>
        <w:tcPr>
          <w:tcW w:w="6379" w:type="dxa"/>
          <w:tcBorders>
            <w:top w:val="nil"/>
            <w:left w:val="nil"/>
            <w:bottom w:val="nil"/>
            <w:right w:val="nil"/>
          </w:tcBorders>
        </w:tcPr>
        <w:p w14:paraId="6ACDA025" w14:textId="77777777" w:rsidR="00B51592" w:rsidRPr="009E7603" w:rsidRDefault="00B51592" w:rsidP="009E7603">
          <w:pPr>
            <w:spacing w:line="0" w:lineRule="atLeast"/>
            <w:jc w:val="center"/>
            <w:rPr>
              <w:szCs w:val="22"/>
            </w:rPr>
          </w:pPr>
          <w:r w:rsidRPr="009E7603">
            <w:rPr>
              <w:i/>
            </w:rPr>
            <w:t>Radiocommunications (Compliance Labelling – Devices) Notice 2014</w:t>
          </w:r>
        </w:p>
      </w:tc>
      <w:tc>
        <w:tcPr>
          <w:tcW w:w="709" w:type="dxa"/>
          <w:tcBorders>
            <w:top w:val="nil"/>
            <w:left w:val="nil"/>
            <w:bottom w:val="nil"/>
            <w:right w:val="nil"/>
          </w:tcBorders>
        </w:tcPr>
        <w:p w14:paraId="6ACDA026" w14:textId="77777777" w:rsidR="00B51592" w:rsidRPr="009E7603" w:rsidRDefault="00B51592" w:rsidP="009E7603">
          <w:pPr>
            <w:spacing w:line="0" w:lineRule="atLeast"/>
            <w:jc w:val="right"/>
            <w:rPr>
              <w:szCs w:val="22"/>
            </w:rPr>
          </w:pPr>
          <w:r w:rsidRPr="009E7603">
            <w:rPr>
              <w:szCs w:val="22"/>
            </w:rPr>
            <w:fldChar w:fldCharType="begin"/>
          </w:r>
          <w:r w:rsidRPr="009E7603">
            <w:rPr>
              <w:szCs w:val="22"/>
            </w:rPr>
            <w:instrText xml:space="preserve"> PAGE </w:instrText>
          </w:r>
          <w:r w:rsidRPr="009E7603">
            <w:rPr>
              <w:szCs w:val="22"/>
            </w:rPr>
            <w:fldChar w:fldCharType="separate"/>
          </w:r>
          <w:r>
            <w:rPr>
              <w:noProof/>
              <w:szCs w:val="22"/>
            </w:rPr>
            <w:t>1</w:t>
          </w:r>
          <w:r w:rsidRPr="009E7603">
            <w:rPr>
              <w:szCs w:val="22"/>
            </w:rPr>
            <w:fldChar w:fldCharType="end"/>
          </w:r>
        </w:p>
      </w:tc>
    </w:tr>
    <w:tr w:rsidR="00B51592" w:rsidRPr="009E7603" w14:paraId="6ACDA029" w14:textId="77777777" w:rsidTr="009E7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CDA028" w14:textId="77777777" w:rsidR="00B51592" w:rsidRPr="009E7603" w:rsidRDefault="00B51592" w:rsidP="00D14D4E">
          <w:pPr>
            <w:rPr>
              <w:sz w:val="18"/>
            </w:rPr>
          </w:pPr>
        </w:p>
      </w:tc>
    </w:tr>
  </w:tbl>
  <w:p w14:paraId="6ACDA02A" w14:textId="77777777" w:rsidR="00B51592" w:rsidRPr="00ED79B6" w:rsidRDefault="00B51592" w:rsidP="00D14D4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FFE3" w14:textId="77777777" w:rsidR="00B51592" w:rsidRDefault="00B51592" w:rsidP="00A3471C">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B51592" w:rsidRPr="000E1CC4" w14:paraId="1CDA397C" w14:textId="77777777" w:rsidTr="00A3471C">
      <w:tc>
        <w:tcPr>
          <w:tcW w:w="1134" w:type="dxa"/>
        </w:tcPr>
        <w:p w14:paraId="5AE06667" w14:textId="77777777" w:rsidR="00B51592" w:rsidRPr="000E1CC4" w:rsidRDefault="00B51592" w:rsidP="00A3471C">
          <w:pPr>
            <w:spacing w:line="240" w:lineRule="exact"/>
          </w:pPr>
        </w:p>
      </w:tc>
      <w:tc>
        <w:tcPr>
          <w:tcW w:w="6095" w:type="dxa"/>
        </w:tcPr>
        <w:p w14:paraId="6DC56D6F" w14:textId="34C6006E" w:rsidR="00B51592" w:rsidRPr="00FA6AB9" w:rsidRDefault="00B51592" w:rsidP="00A3471C">
          <w:pPr>
            <w:pStyle w:val="FooterCitation"/>
            <w:tabs>
              <w:tab w:val="clear" w:pos="4153"/>
              <w:tab w:val="clear" w:pos="8306"/>
            </w:tabs>
            <w:spacing w:before="0" w:line="240" w:lineRule="auto"/>
            <w:ind w:left="1415" w:hanging="283"/>
            <w:rPr>
              <w:rFonts w:ascii="Times New Roman" w:hAnsi="Times New Roman"/>
              <w:i w:val="0"/>
              <w:sz w:val="17"/>
              <w:szCs w:val="17"/>
            </w:rPr>
          </w:pPr>
          <w:r w:rsidRPr="00697150">
            <w:t>Radiocommunications (Compliance Labelling – Devices) Notice 2014</w:t>
          </w:r>
        </w:p>
      </w:tc>
      <w:tc>
        <w:tcPr>
          <w:tcW w:w="1134" w:type="dxa"/>
        </w:tcPr>
        <w:p w14:paraId="4A042A5E" w14:textId="77777777" w:rsidR="00B51592" w:rsidRPr="000E1CC4" w:rsidRDefault="00B51592" w:rsidP="00A3471C">
          <w:pPr>
            <w:spacing w:line="240" w:lineRule="exact"/>
            <w:jc w:val="right"/>
            <w:rPr>
              <w:rStyle w:val="PageNumber"/>
              <w:rFonts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006A15E3">
            <w:rPr>
              <w:rStyle w:val="PageNumber"/>
              <w:rFonts w:cs="Arial"/>
              <w:noProof/>
              <w:szCs w:val="22"/>
            </w:rPr>
            <w:t>19</w:t>
          </w:r>
          <w:r w:rsidRPr="000E1CC4">
            <w:rPr>
              <w:rStyle w:val="PageNumber"/>
              <w:rFonts w:cs="Arial"/>
              <w:szCs w:val="22"/>
            </w:rPr>
            <w:fldChar w:fldCharType="end"/>
          </w:r>
        </w:p>
      </w:tc>
    </w:tr>
  </w:tbl>
  <w:p w14:paraId="7ADBFBA5" w14:textId="77777777" w:rsidR="00B51592" w:rsidRDefault="00B51592" w:rsidP="00A3471C">
    <w:pPr>
      <w:pStyle w:val="FooterInfo"/>
    </w:pPr>
  </w:p>
  <w:p w14:paraId="6072ABA3" w14:textId="77777777" w:rsidR="00B51592" w:rsidRDefault="00B515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B51592" w:rsidRPr="009E7603" w14:paraId="6ACDA032" w14:textId="77777777" w:rsidTr="00C25AB4">
      <w:tc>
        <w:tcPr>
          <w:tcW w:w="709" w:type="dxa"/>
          <w:tcBorders>
            <w:top w:val="single" w:sz="4" w:space="0" w:color="auto"/>
            <w:left w:val="nil"/>
            <w:bottom w:val="nil"/>
            <w:right w:val="nil"/>
          </w:tcBorders>
        </w:tcPr>
        <w:p w14:paraId="6ACDA02F" w14:textId="77777777" w:rsidR="00B51592" w:rsidRPr="009E7603" w:rsidRDefault="00B51592" w:rsidP="009E7603">
          <w:pPr>
            <w:spacing w:line="0" w:lineRule="atLeast"/>
            <w:rPr>
              <w:sz w:val="18"/>
            </w:rPr>
          </w:pPr>
          <w:r w:rsidRPr="009E7603">
            <w:rPr>
              <w:i/>
              <w:sz w:val="18"/>
            </w:rPr>
            <w:fldChar w:fldCharType="begin"/>
          </w:r>
          <w:r w:rsidRPr="009E7603">
            <w:rPr>
              <w:i/>
              <w:sz w:val="18"/>
            </w:rPr>
            <w:instrText xml:space="preserve"> PAGE </w:instrText>
          </w:r>
          <w:r w:rsidRPr="009E7603">
            <w:rPr>
              <w:i/>
              <w:sz w:val="18"/>
            </w:rPr>
            <w:fldChar w:fldCharType="separate"/>
          </w:r>
          <w:r w:rsidR="006A15E3">
            <w:rPr>
              <w:i/>
              <w:noProof/>
              <w:sz w:val="18"/>
            </w:rPr>
            <w:t>20</w:t>
          </w:r>
          <w:r w:rsidRPr="009E7603">
            <w:rPr>
              <w:i/>
              <w:sz w:val="18"/>
            </w:rPr>
            <w:fldChar w:fldCharType="end"/>
          </w:r>
        </w:p>
      </w:tc>
      <w:tc>
        <w:tcPr>
          <w:tcW w:w="6379" w:type="dxa"/>
          <w:tcBorders>
            <w:top w:val="single" w:sz="4" w:space="0" w:color="auto"/>
            <w:left w:val="nil"/>
            <w:bottom w:val="nil"/>
            <w:right w:val="nil"/>
          </w:tcBorders>
        </w:tcPr>
        <w:p w14:paraId="6ACDA030" w14:textId="77777777" w:rsidR="00B51592" w:rsidRPr="00C25AB4" w:rsidRDefault="00B51592" w:rsidP="009E7603">
          <w:pPr>
            <w:spacing w:line="0" w:lineRule="atLeast"/>
            <w:jc w:val="center"/>
            <w:rPr>
              <w:rFonts w:ascii="Arial" w:hAnsi="Arial" w:cs="Arial"/>
              <w:sz w:val="17"/>
              <w:szCs w:val="17"/>
            </w:rPr>
          </w:pPr>
          <w:r w:rsidRPr="00C25AB4">
            <w:rPr>
              <w:rFonts w:ascii="Arial" w:hAnsi="Arial" w:cs="Arial"/>
              <w:i/>
              <w:sz w:val="17"/>
              <w:szCs w:val="17"/>
            </w:rPr>
            <w:t>Radiocommunications (Compliance Labelling – Devices) Notice 2014</w:t>
          </w:r>
        </w:p>
      </w:tc>
      <w:tc>
        <w:tcPr>
          <w:tcW w:w="1384" w:type="dxa"/>
          <w:tcBorders>
            <w:top w:val="single" w:sz="4" w:space="0" w:color="auto"/>
            <w:left w:val="nil"/>
            <w:bottom w:val="nil"/>
            <w:right w:val="nil"/>
          </w:tcBorders>
        </w:tcPr>
        <w:p w14:paraId="6ACDA031" w14:textId="77777777" w:rsidR="00B51592" w:rsidRPr="009E7603" w:rsidRDefault="00B51592" w:rsidP="009E7603">
          <w:pPr>
            <w:spacing w:line="0" w:lineRule="atLeast"/>
            <w:jc w:val="right"/>
            <w:rPr>
              <w:sz w:val="18"/>
            </w:rPr>
          </w:pPr>
        </w:p>
      </w:tc>
    </w:tr>
    <w:tr w:rsidR="00B51592" w:rsidRPr="009E7603" w14:paraId="6ACDA034" w14:textId="77777777" w:rsidTr="00C25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CDA033" w14:textId="77777777" w:rsidR="00B51592" w:rsidRPr="009E7603" w:rsidRDefault="00B51592" w:rsidP="009E7603">
          <w:pPr>
            <w:jc w:val="right"/>
            <w:rPr>
              <w:sz w:val="18"/>
            </w:rPr>
          </w:pPr>
        </w:p>
      </w:tc>
    </w:tr>
  </w:tbl>
  <w:p w14:paraId="6ACDA035" w14:textId="77777777" w:rsidR="00B51592" w:rsidRPr="00ED79B6" w:rsidRDefault="00B51592" w:rsidP="00A37E21">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6259"/>
      <w:gridCol w:w="701"/>
    </w:tblGrid>
    <w:tr w:rsidR="00B51592" w:rsidRPr="009E7603" w14:paraId="6ACDA03A" w14:textId="77777777" w:rsidTr="00C25AB4">
      <w:tc>
        <w:tcPr>
          <w:tcW w:w="1353" w:type="dxa"/>
          <w:tcBorders>
            <w:top w:val="single" w:sz="4" w:space="0" w:color="auto"/>
            <w:left w:val="nil"/>
            <w:bottom w:val="nil"/>
            <w:right w:val="nil"/>
          </w:tcBorders>
        </w:tcPr>
        <w:p w14:paraId="6ACDA037" w14:textId="77777777" w:rsidR="00B51592" w:rsidRPr="009E7603" w:rsidRDefault="00B51592" w:rsidP="009E7603">
          <w:pPr>
            <w:spacing w:line="0" w:lineRule="atLeast"/>
            <w:rPr>
              <w:sz w:val="18"/>
            </w:rPr>
          </w:pPr>
        </w:p>
      </w:tc>
      <w:tc>
        <w:tcPr>
          <w:tcW w:w="6259" w:type="dxa"/>
          <w:tcBorders>
            <w:top w:val="single" w:sz="4" w:space="0" w:color="auto"/>
            <w:left w:val="nil"/>
            <w:bottom w:val="nil"/>
            <w:right w:val="nil"/>
          </w:tcBorders>
        </w:tcPr>
        <w:p w14:paraId="6ACDA038" w14:textId="77777777" w:rsidR="00B51592" w:rsidRPr="00C25AB4" w:rsidRDefault="00B51592" w:rsidP="009E7603">
          <w:pPr>
            <w:spacing w:line="0" w:lineRule="atLeast"/>
            <w:jc w:val="center"/>
            <w:rPr>
              <w:rFonts w:ascii="Arial" w:hAnsi="Arial" w:cs="Arial"/>
              <w:sz w:val="17"/>
              <w:szCs w:val="17"/>
            </w:rPr>
          </w:pPr>
          <w:r w:rsidRPr="00C25AB4">
            <w:rPr>
              <w:rFonts w:ascii="Arial" w:hAnsi="Arial" w:cs="Arial"/>
              <w:i/>
              <w:sz w:val="17"/>
              <w:szCs w:val="17"/>
            </w:rPr>
            <w:t>Radiocommunications (Compliance Labelling – Devices) Notice 2014</w:t>
          </w:r>
        </w:p>
      </w:tc>
      <w:tc>
        <w:tcPr>
          <w:tcW w:w="701" w:type="dxa"/>
          <w:tcBorders>
            <w:top w:val="single" w:sz="4" w:space="0" w:color="auto"/>
            <w:left w:val="nil"/>
            <w:bottom w:val="nil"/>
            <w:right w:val="nil"/>
          </w:tcBorders>
        </w:tcPr>
        <w:p w14:paraId="6ACDA039" w14:textId="77777777" w:rsidR="00B51592" w:rsidRPr="009E7603" w:rsidRDefault="00B51592" w:rsidP="009E7603">
          <w:pPr>
            <w:spacing w:line="0" w:lineRule="atLeast"/>
            <w:jc w:val="right"/>
            <w:rPr>
              <w:sz w:val="18"/>
            </w:rPr>
          </w:pPr>
          <w:r w:rsidRPr="009E7603">
            <w:rPr>
              <w:i/>
              <w:sz w:val="18"/>
            </w:rPr>
            <w:fldChar w:fldCharType="begin"/>
          </w:r>
          <w:r w:rsidRPr="009E7603">
            <w:rPr>
              <w:i/>
              <w:sz w:val="18"/>
            </w:rPr>
            <w:instrText xml:space="preserve"> PAGE </w:instrText>
          </w:r>
          <w:r w:rsidRPr="009E7603">
            <w:rPr>
              <w:i/>
              <w:sz w:val="18"/>
            </w:rPr>
            <w:fldChar w:fldCharType="separate"/>
          </w:r>
          <w:r w:rsidR="006A15E3">
            <w:rPr>
              <w:i/>
              <w:noProof/>
              <w:sz w:val="18"/>
            </w:rPr>
            <w:t>21</w:t>
          </w:r>
          <w:r w:rsidRPr="009E7603">
            <w:rPr>
              <w:i/>
              <w:sz w:val="18"/>
            </w:rPr>
            <w:fldChar w:fldCharType="end"/>
          </w:r>
        </w:p>
      </w:tc>
    </w:tr>
    <w:tr w:rsidR="00B51592" w:rsidRPr="009E7603" w14:paraId="6ACDA03C" w14:textId="77777777" w:rsidTr="00C25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3"/>
        </w:tcPr>
        <w:p w14:paraId="6ACDA03B" w14:textId="77777777" w:rsidR="00B51592" w:rsidRPr="00C25AB4" w:rsidRDefault="00B51592" w:rsidP="000B2A03">
          <w:pPr>
            <w:rPr>
              <w:rFonts w:ascii="Arial" w:hAnsi="Arial" w:cs="Arial"/>
              <w:sz w:val="17"/>
              <w:szCs w:val="17"/>
            </w:rPr>
          </w:pPr>
        </w:p>
      </w:tc>
    </w:tr>
  </w:tbl>
  <w:p w14:paraId="6ACDA03D" w14:textId="77777777" w:rsidR="00B51592" w:rsidRPr="00ED79B6" w:rsidRDefault="00B51592" w:rsidP="009E1FC6">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DA03F" w14:textId="77777777" w:rsidR="00B51592" w:rsidRPr="00E33C1C" w:rsidRDefault="00B51592" w:rsidP="00A37E21">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6259"/>
      <w:gridCol w:w="701"/>
    </w:tblGrid>
    <w:tr w:rsidR="00B51592" w:rsidRPr="009E7603" w14:paraId="6ACDA043" w14:textId="77777777" w:rsidTr="009E7603">
      <w:tc>
        <w:tcPr>
          <w:tcW w:w="1384" w:type="dxa"/>
          <w:tcBorders>
            <w:top w:val="nil"/>
            <w:left w:val="nil"/>
            <w:bottom w:val="nil"/>
            <w:right w:val="nil"/>
          </w:tcBorders>
        </w:tcPr>
        <w:p w14:paraId="6ACDA040" w14:textId="77777777" w:rsidR="00B51592" w:rsidRPr="009E7603" w:rsidRDefault="00B51592" w:rsidP="009E7603">
          <w:pPr>
            <w:spacing w:line="0" w:lineRule="atLeast"/>
            <w:rPr>
              <w:sz w:val="18"/>
            </w:rPr>
          </w:pPr>
        </w:p>
      </w:tc>
      <w:tc>
        <w:tcPr>
          <w:tcW w:w="6379" w:type="dxa"/>
          <w:tcBorders>
            <w:top w:val="nil"/>
            <w:left w:val="nil"/>
            <w:bottom w:val="nil"/>
            <w:right w:val="nil"/>
          </w:tcBorders>
        </w:tcPr>
        <w:p w14:paraId="6ACDA041" w14:textId="77777777" w:rsidR="00B51592" w:rsidRPr="009E7603" w:rsidRDefault="00B51592" w:rsidP="009E7603">
          <w:pPr>
            <w:spacing w:line="0" w:lineRule="atLeast"/>
            <w:jc w:val="center"/>
            <w:rPr>
              <w:sz w:val="18"/>
            </w:rPr>
          </w:pPr>
          <w:r w:rsidRPr="009E7603">
            <w:rPr>
              <w:i/>
              <w:sz w:val="18"/>
            </w:rPr>
            <w:fldChar w:fldCharType="begin"/>
          </w:r>
          <w:r w:rsidRPr="009E7603">
            <w:rPr>
              <w:i/>
              <w:sz w:val="18"/>
            </w:rPr>
            <w:instrText xml:space="preserve"> DOCPROPERTY ShortT </w:instrText>
          </w:r>
          <w:r w:rsidRPr="009E7603">
            <w:rPr>
              <w:i/>
              <w:sz w:val="18"/>
            </w:rPr>
            <w:fldChar w:fldCharType="separate"/>
          </w:r>
          <w:proofErr w:type="spellStart"/>
          <w:r>
            <w:rPr>
              <w:i/>
              <w:sz w:val="18"/>
            </w:rPr>
            <w:t>Radiocommunications</w:t>
          </w:r>
          <w:proofErr w:type="spellEnd"/>
          <w:r>
            <w:rPr>
              <w:i/>
              <w:sz w:val="18"/>
            </w:rPr>
            <w:t xml:space="preserve"> Devices (Compliance Labelling) Notice 2003</w:t>
          </w:r>
          <w:r w:rsidRPr="009E7603">
            <w:rPr>
              <w:i/>
              <w:sz w:val="18"/>
            </w:rPr>
            <w:fldChar w:fldCharType="end"/>
          </w:r>
        </w:p>
      </w:tc>
      <w:tc>
        <w:tcPr>
          <w:tcW w:w="709" w:type="dxa"/>
          <w:tcBorders>
            <w:top w:val="nil"/>
            <w:left w:val="nil"/>
            <w:bottom w:val="nil"/>
            <w:right w:val="nil"/>
          </w:tcBorders>
        </w:tcPr>
        <w:p w14:paraId="6ACDA042" w14:textId="77777777" w:rsidR="00B51592" w:rsidRPr="009E7603" w:rsidRDefault="00B51592" w:rsidP="009E7603">
          <w:pPr>
            <w:spacing w:line="0" w:lineRule="atLeast"/>
            <w:jc w:val="right"/>
            <w:rPr>
              <w:sz w:val="18"/>
            </w:rPr>
          </w:pPr>
          <w:r w:rsidRPr="009E7603">
            <w:rPr>
              <w:i/>
              <w:sz w:val="18"/>
            </w:rPr>
            <w:fldChar w:fldCharType="begin"/>
          </w:r>
          <w:r w:rsidRPr="009E7603">
            <w:rPr>
              <w:i/>
              <w:sz w:val="18"/>
            </w:rPr>
            <w:instrText xml:space="preserve"> PAGE </w:instrText>
          </w:r>
          <w:r w:rsidRPr="009E7603">
            <w:rPr>
              <w:i/>
              <w:sz w:val="18"/>
            </w:rPr>
            <w:fldChar w:fldCharType="separate"/>
          </w:r>
          <w:r w:rsidRPr="009E7603">
            <w:rPr>
              <w:i/>
              <w:noProof/>
              <w:sz w:val="18"/>
            </w:rPr>
            <w:t>28</w:t>
          </w:r>
          <w:r w:rsidRPr="009E7603">
            <w:rPr>
              <w:i/>
              <w:sz w:val="18"/>
            </w:rPr>
            <w:fldChar w:fldCharType="end"/>
          </w:r>
        </w:p>
      </w:tc>
    </w:tr>
    <w:tr w:rsidR="00B51592" w:rsidRPr="009E7603" w14:paraId="6ACDA045" w14:textId="77777777" w:rsidTr="009E7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CDA044" w14:textId="77777777" w:rsidR="00B51592" w:rsidRPr="009E7603" w:rsidRDefault="00B51592" w:rsidP="000B2A03">
          <w:pPr>
            <w:rPr>
              <w:sz w:val="18"/>
            </w:rPr>
          </w:pPr>
        </w:p>
      </w:tc>
    </w:tr>
  </w:tbl>
  <w:p w14:paraId="6ACDA046" w14:textId="77777777" w:rsidR="00B51592" w:rsidRPr="00ED79B6" w:rsidRDefault="00B51592" w:rsidP="00A37E21">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B8BB1" w14:textId="77777777" w:rsidR="00B51592" w:rsidRDefault="00B51592" w:rsidP="007E2493">
      <w:r>
        <w:separator/>
      </w:r>
    </w:p>
  </w:footnote>
  <w:footnote w:type="continuationSeparator" w:id="0">
    <w:p w14:paraId="16FBE3A8" w14:textId="77777777" w:rsidR="00B51592" w:rsidRDefault="00B51592" w:rsidP="007E2493">
      <w:r>
        <w:continuationSeparator/>
      </w:r>
    </w:p>
  </w:footnote>
  <w:footnote w:type="continuationNotice" w:id="1">
    <w:p w14:paraId="7553F558" w14:textId="77777777" w:rsidR="00B51592" w:rsidRDefault="00B5159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1517"/>
      <w:gridCol w:w="6796"/>
    </w:tblGrid>
    <w:tr w:rsidR="00B51592" w:rsidRPr="00A3471C" w14:paraId="2CC92BC5" w14:textId="77777777" w:rsidTr="00A3471C">
      <w:trPr>
        <w:cantSplit/>
      </w:trPr>
      <w:tc>
        <w:tcPr>
          <w:tcW w:w="1548" w:type="dxa"/>
        </w:tcPr>
        <w:p w14:paraId="07298BD8" w14:textId="77777777" w:rsidR="00B51592" w:rsidRPr="00A3471C" w:rsidRDefault="00B51592" w:rsidP="00A3471C">
          <w:pPr>
            <w:spacing w:before="60" w:line="240" w:lineRule="auto"/>
            <w:rPr>
              <w:rFonts w:ascii="Arial" w:eastAsia="Times New Roman" w:hAnsi="Arial"/>
              <w:noProof/>
              <w:sz w:val="18"/>
              <w:szCs w:val="24"/>
              <w:lang w:eastAsia="en-AU"/>
            </w:rPr>
          </w:pPr>
          <w:r w:rsidRPr="00A3471C">
            <w:rPr>
              <w:rFonts w:ascii="Arial" w:eastAsia="Times New Roman" w:hAnsi="Arial"/>
              <w:noProof/>
              <w:sz w:val="18"/>
              <w:szCs w:val="24"/>
              <w:lang w:eastAsia="en-AU"/>
            </w:rPr>
            <w:fldChar w:fldCharType="begin"/>
          </w:r>
          <w:r w:rsidRPr="00A3471C">
            <w:rPr>
              <w:rFonts w:ascii="Arial" w:eastAsia="Times New Roman" w:hAnsi="Arial"/>
              <w:noProof/>
              <w:sz w:val="18"/>
              <w:szCs w:val="24"/>
              <w:lang w:eastAsia="en-AU"/>
            </w:rPr>
            <w:instrText xml:space="preserve"> STYLEREF  CharPartNo  \* CHARFORMAT </w:instrText>
          </w:r>
          <w:r w:rsidRPr="00A3471C">
            <w:rPr>
              <w:rFonts w:ascii="Arial" w:eastAsia="Times New Roman" w:hAnsi="Arial"/>
              <w:noProof/>
              <w:sz w:val="18"/>
              <w:szCs w:val="24"/>
              <w:lang w:eastAsia="en-AU"/>
            </w:rPr>
            <w:fldChar w:fldCharType="separate"/>
          </w:r>
          <w:r w:rsidR="006A15E3">
            <w:rPr>
              <w:rFonts w:ascii="Arial" w:eastAsia="Times New Roman" w:hAnsi="Arial"/>
              <w:noProof/>
              <w:sz w:val="18"/>
              <w:szCs w:val="24"/>
              <w:lang w:eastAsia="en-AU"/>
            </w:rPr>
            <w:t>Part 5</w:t>
          </w:r>
          <w:r w:rsidRPr="00A3471C">
            <w:rPr>
              <w:rFonts w:ascii="Arial" w:eastAsia="Times New Roman" w:hAnsi="Arial"/>
              <w:noProof/>
              <w:sz w:val="18"/>
              <w:szCs w:val="24"/>
              <w:lang w:eastAsia="en-AU"/>
            </w:rPr>
            <w:fldChar w:fldCharType="end"/>
          </w:r>
        </w:p>
      </w:tc>
      <w:tc>
        <w:tcPr>
          <w:tcW w:w="6980" w:type="dxa"/>
          <w:vAlign w:val="bottom"/>
        </w:tcPr>
        <w:p w14:paraId="5FE69AB0" w14:textId="77777777" w:rsidR="00B51592" w:rsidRPr="00A3471C" w:rsidRDefault="00B51592" w:rsidP="00A3471C">
          <w:pPr>
            <w:spacing w:before="60" w:line="240" w:lineRule="auto"/>
            <w:rPr>
              <w:rFonts w:ascii="Arial" w:eastAsia="Times New Roman" w:hAnsi="Arial"/>
              <w:noProof/>
              <w:sz w:val="18"/>
              <w:szCs w:val="24"/>
              <w:lang w:eastAsia="en-AU"/>
            </w:rPr>
          </w:pPr>
          <w:r w:rsidRPr="00A3471C">
            <w:rPr>
              <w:rFonts w:ascii="Arial" w:eastAsia="Times New Roman" w:hAnsi="Arial"/>
              <w:noProof/>
              <w:sz w:val="18"/>
              <w:szCs w:val="24"/>
              <w:lang w:eastAsia="en-AU"/>
            </w:rPr>
            <w:fldChar w:fldCharType="begin"/>
          </w:r>
          <w:r w:rsidRPr="00A3471C">
            <w:rPr>
              <w:rFonts w:ascii="Arial" w:eastAsia="Times New Roman" w:hAnsi="Arial"/>
              <w:noProof/>
              <w:sz w:val="18"/>
              <w:szCs w:val="24"/>
              <w:lang w:eastAsia="en-AU"/>
            </w:rPr>
            <w:instrText xml:space="preserve"> STYLEREF  CharPartText  \* CHARFORMAT </w:instrText>
          </w:r>
          <w:r w:rsidRPr="00A3471C">
            <w:rPr>
              <w:rFonts w:ascii="Arial" w:eastAsia="Times New Roman" w:hAnsi="Arial"/>
              <w:noProof/>
              <w:sz w:val="18"/>
              <w:szCs w:val="24"/>
              <w:lang w:eastAsia="en-AU"/>
            </w:rPr>
            <w:fldChar w:fldCharType="separate"/>
          </w:r>
          <w:r w:rsidR="006A15E3">
            <w:rPr>
              <w:rFonts w:ascii="Arial" w:eastAsia="Times New Roman" w:hAnsi="Arial"/>
              <w:noProof/>
              <w:sz w:val="18"/>
              <w:szCs w:val="24"/>
              <w:lang w:eastAsia="en-AU"/>
            </w:rPr>
            <w:t>Requirements to be met after compliance label applied—devices imported from New Zealand</w:t>
          </w:r>
          <w:r w:rsidRPr="00A3471C">
            <w:rPr>
              <w:rFonts w:ascii="Arial" w:eastAsia="Times New Roman" w:hAnsi="Arial"/>
              <w:noProof/>
              <w:sz w:val="18"/>
              <w:szCs w:val="24"/>
              <w:lang w:eastAsia="en-AU"/>
            </w:rPr>
            <w:fldChar w:fldCharType="end"/>
          </w:r>
        </w:p>
      </w:tc>
    </w:tr>
    <w:tr w:rsidR="00B51592" w:rsidRPr="00A3471C" w14:paraId="4F8F9CC0" w14:textId="77777777" w:rsidTr="00A3471C">
      <w:trPr>
        <w:cantSplit/>
      </w:trPr>
      <w:tc>
        <w:tcPr>
          <w:tcW w:w="1548" w:type="dxa"/>
        </w:tcPr>
        <w:p w14:paraId="3CA0E6F4" w14:textId="177CB702" w:rsidR="00B51592" w:rsidRPr="00A3471C" w:rsidRDefault="00B51592" w:rsidP="00A3471C">
          <w:pPr>
            <w:spacing w:before="60" w:line="240" w:lineRule="auto"/>
            <w:rPr>
              <w:rFonts w:ascii="Arial" w:eastAsia="Times New Roman" w:hAnsi="Arial"/>
              <w:noProof/>
              <w:sz w:val="18"/>
              <w:szCs w:val="24"/>
              <w:lang w:eastAsia="en-AU"/>
            </w:rPr>
          </w:pPr>
        </w:p>
      </w:tc>
      <w:tc>
        <w:tcPr>
          <w:tcW w:w="6980" w:type="dxa"/>
          <w:vAlign w:val="bottom"/>
        </w:tcPr>
        <w:p w14:paraId="03C8F5F0" w14:textId="75E9700E" w:rsidR="00B51592" w:rsidRPr="00A3471C" w:rsidRDefault="00B51592" w:rsidP="00A3471C">
          <w:pPr>
            <w:spacing w:before="60" w:line="240" w:lineRule="auto"/>
            <w:rPr>
              <w:rFonts w:ascii="Arial" w:eastAsia="Times New Roman" w:hAnsi="Arial"/>
              <w:noProof/>
              <w:sz w:val="18"/>
              <w:szCs w:val="24"/>
              <w:lang w:eastAsia="en-AU"/>
            </w:rPr>
          </w:pPr>
        </w:p>
      </w:tc>
    </w:tr>
    <w:tr w:rsidR="00B51592" w:rsidRPr="00A3471C" w14:paraId="0C78871D" w14:textId="77777777" w:rsidTr="00A3471C">
      <w:trPr>
        <w:cantSplit/>
      </w:trPr>
      <w:tc>
        <w:tcPr>
          <w:tcW w:w="8528" w:type="dxa"/>
          <w:gridSpan w:val="2"/>
          <w:tcBorders>
            <w:bottom w:val="single" w:sz="4" w:space="0" w:color="auto"/>
          </w:tcBorders>
          <w:shd w:val="clear" w:color="auto" w:fill="auto"/>
        </w:tcPr>
        <w:p w14:paraId="537D642A" w14:textId="77777777" w:rsidR="00B51592" w:rsidRPr="00A3471C" w:rsidRDefault="00B51592" w:rsidP="00A3471C">
          <w:pPr>
            <w:spacing w:before="120" w:after="60" w:line="240" w:lineRule="auto"/>
            <w:rPr>
              <w:rFonts w:ascii="Arial" w:eastAsia="Times New Roman" w:hAnsi="Arial"/>
              <w:b/>
              <w:noProof/>
              <w:sz w:val="20"/>
              <w:szCs w:val="24"/>
            </w:rPr>
          </w:pPr>
          <w:r w:rsidRPr="00A3471C">
            <w:rPr>
              <w:rFonts w:ascii="Arial" w:eastAsia="Times New Roman" w:hAnsi="Arial"/>
              <w:b/>
              <w:noProof/>
              <w:sz w:val="20"/>
              <w:szCs w:val="24"/>
            </w:rPr>
            <w:t xml:space="preserve">Section </w:t>
          </w:r>
          <w:r w:rsidRPr="00A3471C">
            <w:rPr>
              <w:rFonts w:ascii="Arial" w:eastAsia="Times New Roman" w:hAnsi="Arial"/>
              <w:b/>
              <w:noProof/>
              <w:sz w:val="20"/>
              <w:szCs w:val="24"/>
            </w:rPr>
            <w:fldChar w:fldCharType="begin"/>
          </w:r>
          <w:r w:rsidRPr="00A3471C">
            <w:rPr>
              <w:rFonts w:ascii="Arial" w:eastAsia="Times New Roman" w:hAnsi="Arial"/>
              <w:b/>
              <w:noProof/>
              <w:sz w:val="20"/>
              <w:szCs w:val="24"/>
            </w:rPr>
            <w:instrText xml:space="preserve"> STYLEREF  CharSectno  \* CHARFORMAT </w:instrText>
          </w:r>
          <w:r w:rsidRPr="00A3471C">
            <w:rPr>
              <w:rFonts w:ascii="Arial" w:eastAsia="Times New Roman" w:hAnsi="Arial"/>
              <w:b/>
              <w:noProof/>
              <w:sz w:val="20"/>
              <w:szCs w:val="24"/>
            </w:rPr>
            <w:fldChar w:fldCharType="separate"/>
          </w:r>
          <w:r w:rsidR="006A15E3">
            <w:rPr>
              <w:rFonts w:ascii="Arial" w:eastAsia="Times New Roman" w:hAnsi="Arial"/>
              <w:b/>
              <w:noProof/>
              <w:sz w:val="20"/>
              <w:szCs w:val="24"/>
            </w:rPr>
            <w:t>26</w:t>
          </w:r>
          <w:r w:rsidRPr="00A3471C">
            <w:rPr>
              <w:rFonts w:ascii="Arial" w:eastAsia="Times New Roman" w:hAnsi="Arial"/>
              <w:b/>
              <w:noProof/>
              <w:sz w:val="20"/>
              <w:szCs w:val="24"/>
            </w:rPr>
            <w:fldChar w:fldCharType="end"/>
          </w:r>
        </w:p>
      </w:tc>
    </w:tr>
  </w:tbl>
  <w:p w14:paraId="06E40D93" w14:textId="77777777" w:rsidR="00B51592" w:rsidRPr="00A3471C" w:rsidRDefault="00B51592" w:rsidP="00A3471C">
    <w:pPr>
      <w:spacing w:line="240" w:lineRule="auto"/>
      <w:rPr>
        <w:rFonts w:eastAsia="Times New Roman"/>
        <w:noProof/>
        <w:sz w:val="24"/>
        <w:szCs w:val="24"/>
        <w:lang w:eastAsia="en-AU"/>
      </w:rPr>
    </w:pPr>
  </w:p>
  <w:p w14:paraId="6ACDA00A" w14:textId="77777777" w:rsidR="00B51592" w:rsidRPr="00A3471C" w:rsidRDefault="00B51592" w:rsidP="00A34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DA01F" w14:textId="77777777" w:rsidR="00B51592" w:rsidRPr="007A1328" w:rsidRDefault="00B51592" w:rsidP="00F904CF">
    <w:pPr>
      <w:jc w:val="right"/>
      <w:rPr>
        <w:sz w:val="20"/>
      </w:rPr>
    </w:pPr>
  </w:p>
  <w:p w14:paraId="6ACDA020" w14:textId="7F737565" w:rsidR="00B51592" w:rsidRDefault="00B51592">
    <w:pPr>
      <w:tabs>
        <w:tab w:val="left" w:pos="4954"/>
      </w:tabs>
      <w:jc w:val="center"/>
      <w:rPr>
        <w:b/>
        <w:sz w:val="24"/>
      </w:rPr>
    </w:pPr>
  </w:p>
  <w:p w14:paraId="6ACDA021" w14:textId="77777777" w:rsidR="00B51592" w:rsidRPr="00EF48DA" w:rsidRDefault="00B51592" w:rsidP="00F904CF">
    <w:pPr>
      <w:pBdr>
        <w:bottom w:val="single" w:sz="6" w:space="1" w:color="auto"/>
      </w:pBdr>
      <w:jc w:val="right"/>
      <w:rPr>
        <w:szCs w:val="22"/>
      </w:rPr>
    </w:pPr>
  </w:p>
  <w:p w14:paraId="6ACDA022" w14:textId="77777777" w:rsidR="00B51592" w:rsidRPr="007A1328" w:rsidRDefault="00B51592" w:rsidP="00D14D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1E0" w:firstRow="1" w:lastRow="1" w:firstColumn="1" w:lastColumn="1" w:noHBand="0" w:noVBand="0"/>
    </w:tblPr>
    <w:tblGrid>
      <w:gridCol w:w="6798"/>
      <w:gridCol w:w="1548"/>
    </w:tblGrid>
    <w:tr w:rsidR="00B51592" w14:paraId="06B2B916" w14:textId="77777777" w:rsidTr="00A3471C">
      <w:trPr>
        <w:cantSplit/>
      </w:trPr>
      <w:tc>
        <w:tcPr>
          <w:tcW w:w="6798" w:type="dxa"/>
          <w:vAlign w:val="bottom"/>
        </w:tcPr>
        <w:p w14:paraId="14975476" w14:textId="77777777" w:rsidR="00B51592" w:rsidRDefault="00B51592" w:rsidP="00A3471C">
          <w:pPr>
            <w:pStyle w:val="HeaderLiteOdd"/>
          </w:pPr>
          <w:r>
            <w:fldChar w:fldCharType="begin"/>
          </w:r>
          <w:r>
            <w:instrText xml:space="preserve"> STYLEREF  CharPartText \l \* CHARFORMAT </w:instrText>
          </w:r>
          <w:r>
            <w:fldChar w:fldCharType="separate"/>
          </w:r>
          <w:r w:rsidR="006A15E3">
            <w:t>Requirements to be met after compliance label applied—devices imported from New Zealand</w:t>
          </w:r>
          <w:r>
            <w:fldChar w:fldCharType="end"/>
          </w:r>
        </w:p>
      </w:tc>
      <w:tc>
        <w:tcPr>
          <w:tcW w:w="1548" w:type="dxa"/>
        </w:tcPr>
        <w:p w14:paraId="0C8FE0E0" w14:textId="77777777" w:rsidR="00B51592" w:rsidRDefault="00B51592" w:rsidP="00A3471C">
          <w:pPr>
            <w:pStyle w:val="HeaderLiteOdd"/>
          </w:pPr>
          <w:r>
            <w:fldChar w:fldCharType="begin"/>
          </w:r>
          <w:r>
            <w:instrText xml:space="preserve"> STYLEREF  CharPartNo \l \* CHARFORMAT </w:instrText>
          </w:r>
          <w:r>
            <w:fldChar w:fldCharType="separate"/>
          </w:r>
          <w:r w:rsidR="006A15E3">
            <w:t>Part 5</w:t>
          </w:r>
          <w:r>
            <w:fldChar w:fldCharType="end"/>
          </w:r>
        </w:p>
      </w:tc>
    </w:tr>
    <w:tr w:rsidR="00B51592" w14:paraId="1A9F5A9C" w14:textId="77777777" w:rsidTr="00A3471C">
      <w:trPr>
        <w:cantSplit/>
      </w:trPr>
      <w:tc>
        <w:tcPr>
          <w:tcW w:w="6798" w:type="dxa"/>
          <w:vAlign w:val="bottom"/>
        </w:tcPr>
        <w:p w14:paraId="11732DF4" w14:textId="3DFBB5E9" w:rsidR="00B51592" w:rsidRDefault="00B51592" w:rsidP="00A3471C">
          <w:pPr>
            <w:pStyle w:val="HeaderLiteOdd"/>
          </w:pPr>
        </w:p>
      </w:tc>
      <w:tc>
        <w:tcPr>
          <w:tcW w:w="1548" w:type="dxa"/>
        </w:tcPr>
        <w:p w14:paraId="0AB69C85" w14:textId="19E9EB7C" w:rsidR="00B51592" w:rsidRDefault="00B51592" w:rsidP="00A3471C">
          <w:pPr>
            <w:pStyle w:val="HeaderLiteOdd"/>
          </w:pPr>
        </w:p>
      </w:tc>
    </w:tr>
    <w:tr w:rsidR="00B51592" w14:paraId="03D53B91" w14:textId="77777777" w:rsidTr="00A3471C">
      <w:trPr>
        <w:cantSplit/>
      </w:trPr>
      <w:tc>
        <w:tcPr>
          <w:tcW w:w="1548" w:type="dxa"/>
          <w:gridSpan w:val="2"/>
          <w:tcBorders>
            <w:bottom w:val="single" w:sz="4" w:space="0" w:color="auto"/>
          </w:tcBorders>
          <w:shd w:val="clear" w:color="auto" w:fill="auto"/>
        </w:tcPr>
        <w:p w14:paraId="6E63C04D" w14:textId="77777777" w:rsidR="00B51592" w:rsidRDefault="00B51592" w:rsidP="00A3471C">
          <w:pPr>
            <w:pStyle w:val="HeaderBoldOdd"/>
          </w:pPr>
          <w:r>
            <w:t xml:space="preserve">Section </w:t>
          </w:r>
          <w:r>
            <w:fldChar w:fldCharType="begin"/>
          </w:r>
          <w:r>
            <w:instrText xml:space="preserve"> STYLEREF \* CHARFORMAT CharSectno </w:instrText>
          </w:r>
          <w:r>
            <w:fldChar w:fldCharType="separate"/>
          </w:r>
          <w:r w:rsidR="006A15E3">
            <w:t>30</w:t>
          </w:r>
          <w:r>
            <w:fldChar w:fldCharType="end"/>
          </w:r>
        </w:p>
      </w:tc>
    </w:tr>
  </w:tbl>
  <w:p w14:paraId="265AEB3D" w14:textId="77777777" w:rsidR="00B51592" w:rsidRDefault="00B51592" w:rsidP="00A3471C"/>
  <w:p w14:paraId="4E25A0D1" w14:textId="77777777" w:rsidR="00B51592" w:rsidRDefault="00B515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B51592" w14:paraId="11DCE15A" w14:textId="77777777" w:rsidTr="001E686D">
      <w:trPr>
        <w:cantSplit/>
      </w:trPr>
      <w:tc>
        <w:tcPr>
          <w:tcW w:w="1546" w:type="dxa"/>
        </w:tcPr>
        <w:p w14:paraId="0A34810A" w14:textId="77777777" w:rsidR="00B51592" w:rsidRDefault="00B51592" w:rsidP="00C25AB4">
          <w:pPr>
            <w:pStyle w:val="HeaderLiteEven"/>
          </w:pPr>
          <w:r>
            <w:fldChar w:fldCharType="begin"/>
          </w:r>
          <w:r>
            <w:instrText xml:space="preserve"> STYLEREF  CharAmSchNo  \* CHARFORMAT </w:instrText>
          </w:r>
          <w:r>
            <w:fldChar w:fldCharType="separate"/>
          </w:r>
          <w:r w:rsidR="006A15E3">
            <w:t>Schedule 1</w:t>
          </w:r>
          <w:r>
            <w:fldChar w:fldCharType="end"/>
          </w:r>
        </w:p>
      </w:tc>
      <w:tc>
        <w:tcPr>
          <w:tcW w:w="6797" w:type="dxa"/>
          <w:vAlign w:val="bottom"/>
        </w:tcPr>
        <w:p w14:paraId="1B471AD3" w14:textId="77777777" w:rsidR="00B51592" w:rsidRDefault="00B51592" w:rsidP="00C25AB4">
          <w:pPr>
            <w:pStyle w:val="HeaderLiteEven"/>
          </w:pPr>
          <w:r>
            <w:fldChar w:fldCharType="begin"/>
          </w:r>
          <w:r>
            <w:instrText xml:space="preserve"> STYLEREF  CharAmSchText  \* CHARFORMAT </w:instrText>
          </w:r>
          <w:r>
            <w:fldChar w:fldCharType="separate"/>
          </w:r>
          <w:r w:rsidR="006A15E3">
            <w:t>Compliance marks</w:t>
          </w:r>
          <w:r>
            <w:fldChar w:fldCharType="end"/>
          </w:r>
        </w:p>
      </w:tc>
    </w:tr>
    <w:tr w:rsidR="00B51592" w14:paraId="622C0752" w14:textId="77777777" w:rsidTr="001E686D">
      <w:trPr>
        <w:cantSplit/>
      </w:trPr>
      <w:tc>
        <w:tcPr>
          <w:tcW w:w="1546" w:type="dxa"/>
          <w:tcBorders>
            <w:bottom w:val="nil"/>
          </w:tcBorders>
        </w:tcPr>
        <w:p w14:paraId="61BE0539" w14:textId="6CCC027D" w:rsidR="00B51592" w:rsidRDefault="00B51592" w:rsidP="00C25AB4">
          <w:pPr>
            <w:pStyle w:val="HeaderLiteEven"/>
          </w:pPr>
        </w:p>
      </w:tc>
      <w:tc>
        <w:tcPr>
          <w:tcW w:w="6797" w:type="dxa"/>
          <w:tcBorders>
            <w:bottom w:val="nil"/>
          </w:tcBorders>
          <w:vAlign w:val="bottom"/>
        </w:tcPr>
        <w:p w14:paraId="51DB3924" w14:textId="69886221" w:rsidR="00B51592" w:rsidRDefault="00B51592" w:rsidP="00C25AB4">
          <w:pPr>
            <w:pStyle w:val="HeaderLiteEven"/>
          </w:pPr>
        </w:p>
      </w:tc>
    </w:tr>
    <w:tr w:rsidR="00B51592" w14:paraId="01FDB112" w14:textId="77777777" w:rsidTr="001E686D">
      <w:trPr>
        <w:cantSplit/>
      </w:trPr>
      <w:tc>
        <w:tcPr>
          <w:tcW w:w="8343" w:type="dxa"/>
          <w:gridSpan w:val="2"/>
          <w:tcBorders>
            <w:bottom w:val="single" w:sz="4" w:space="0" w:color="auto"/>
          </w:tcBorders>
          <w:shd w:val="clear" w:color="auto" w:fill="auto"/>
        </w:tcPr>
        <w:p w14:paraId="4E21CE8C" w14:textId="77777777" w:rsidR="00B51592" w:rsidRDefault="00B51592" w:rsidP="00C25AB4">
          <w:pPr>
            <w:pStyle w:val="HeaderLiteEven"/>
            <w:spacing w:before="120" w:after="60"/>
            <w:ind w:right="-108"/>
          </w:pPr>
        </w:p>
      </w:tc>
    </w:tr>
  </w:tbl>
  <w:p w14:paraId="7C7EBBB4" w14:textId="77777777" w:rsidR="00B51592" w:rsidRDefault="00B51592" w:rsidP="00C25AB4"/>
  <w:p w14:paraId="6ACDA02B" w14:textId="62845818" w:rsidR="00B51592" w:rsidRPr="00C25AB4" w:rsidRDefault="00B51592" w:rsidP="00C25A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Ind w:w="108" w:type="dxa"/>
      <w:tblBorders>
        <w:bottom w:val="single" w:sz="4" w:space="0" w:color="auto"/>
      </w:tblBorders>
      <w:tblLook w:val="01E0" w:firstRow="1" w:lastRow="1" w:firstColumn="1" w:lastColumn="1" w:noHBand="0" w:noVBand="0"/>
    </w:tblPr>
    <w:tblGrid>
      <w:gridCol w:w="6868"/>
      <w:gridCol w:w="1475"/>
      <w:gridCol w:w="71"/>
    </w:tblGrid>
    <w:tr w:rsidR="00B51592" w14:paraId="202243DF" w14:textId="77777777" w:rsidTr="001E686D">
      <w:trPr>
        <w:cantSplit/>
      </w:trPr>
      <w:tc>
        <w:tcPr>
          <w:tcW w:w="6868" w:type="dxa"/>
          <w:vAlign w:val="bottom"/>
        </w:tcPr>
        <w:p w14:paraId="21806804" w14:textId="77777777" w:rsidR="00B51592" w:rsidRDefault="00B51592" w:rsidP="00C25AB4">
          <w:pPr>
            <w:pStyle w:val="HeaderLiteOdd"/>
          </w:pPr>
          <w:r>
            <w:fldChar w:fldCharType="begin"/>
          </w:r>
          <w:r>
            <w:instrText xml:space="preserve"> STYLEREF  CharAmSchText \l   \* CHARFORMAT </w:instrText>
          </w:r>
          <w:r>
            <w:fldChar w:fldCharType="separate"/>
          </w:r>
          <w:r w:rsidR="006A15E3">
            <w:t>Applicable standards and compliance levels</w:t>
          </w:r>
          <w:r w:rsidR="006A15E3">
            <w:cr/>
          </w:r>
          <w:r>
            <w:fldChar w:fldCharType="end"/>
          </w:r>
        </w:p>
      </w:tc>
      <w:tc>
        <w:tcPr>
          <w:tcW w:w="1546" w:type="dxa"/>
          <w:gridSpan w:val="2"/>
        </w:tcPr>
        <w:p w14:paraId="562337D8" w14:textId="77777777" w:rsidR="00B51592" w:rsidRDefault="00B51592" w:rsidP="00C25AB4">
          <w:pPr>
            <w:pStyle w:val="HeaderLiteOdd"/>
          </w:pPr>
          <w:r>
            <w:fldChar w:fldCharType="begin"/>
          </w:r>
          <w:r>
            <w:instrText xml:space="preserve"> STYLEREF  CharAmSchNo \l   \* CHARFORMAT </w:instrText>
          </w:r>
          <w:r>
            <w:fldChar w:fldCharType="separate"/>
          </w:r>
          <w:r w:rsidR="006A15E3">
            <w:t>Schedule 2</w:t>
          </w:r>
          <w:r>
            <w:fldChar w:fldCharType="end"/>
          </w:r>
        </w:p>
      </w:tc>
    </w:tr>
    <w:tr w:rsidR="00B51592" w14:paraId="05EC30F5" w14:textId="77777777" w:rsidTr="001E686D">
      <w:trPr>
        <w:cantSplit/>
      </w:trPr>
      <w:tc>
        <w:tcPr>
          <w:tcW w:w="6868" w:type="dxa"/>
          <w:vAlign w:val="bottom"/>
        </w:tcPr>
        <w:p w14:paraId="5D9272CA" w14:textId="77777777" w:rsidR="00B51592" w:rsidRDefault="00B51592" w:rsidP="00C25AB4">
          <w:pPr>
            <w:pStyle w:val="HeaderLiteOdd"/>
          </w:pPr>
          <w:r>
            <w:fldChar w:fldCharType="begin"/>
          </w:r>
          <w:r>
            <w:instrText xml:space="preserve"> STYLEREF \* CHARFORMAT CharSchPTText </w:instrText>
          </w:r>
          <w:r>
            <w:fldChar w:fldCharType="separate"/>
          </w:r>
          <w:r w:rsidR="006A15E3">
            <w:t>C-Tick mark</w:t>
          </w:r>
          <w:r>
            <w:fldChar w:fldCharType="end"/>
          </w:r>
        </w:p>
      </w:tc>
      <w:tc>
        <w:tcPr>
          <w:tcW w:w="1546" w:type="dxa"/>
          <w:gridSpan w:val="2"/>
        </w:tcPr>
        <w:p w14:paraId="564A92BD" w14:textId="77777777" w:rsidR="00B51592" w:rsidRDefault="00B51592" w:rsidP="00C25AB4">
          <w:pPr>
            <w:pStyle w:val="HeaderLiteOdd"/>
          </w:pPr>
          <w:r>
            <w:fldChar w:fldCharType="begin"/>
          </w:r>
          <w:r>
            <w:instrText xml:space="preserve"> STYLEREF \* CHARFORMAT CharSchPTNo </w:instrText>
          </w:r>
          <w:r>
            <w:fldChar w:fldCharType="separate"/>
          </w:r>
          <w:r w:rsidR="006A15E3">
            <w:t>Part 1</w:t>
          </w:r>
          <w:r>
            <w:fldChar w:fldCharType="end"/>
          </w:r>
        </w:p>
      </w:tc>
    </w:tr>
    <w:tr w:rsidR="00B51592" w14:paraId="29AD3B77" w14:textId="77777777" w:rsidTr="001E686D">
      <w:trPr>
        <w:gridAfter w:val="1"/>
        <w:wAfter w:w="71" w:type="dxa"/>
        <w:cantSplit/>
      </w:trPr>
      <w:tc>
        <w:tcPr>
          <w:tcW w:w="8343" w:type="dxa"/>
          <w:gridSpan w:val="2"/>
          <w:tcBorders>
            <w:bottom w:val="single" w:sz="4" w:space="0" w:color="auto"/>
          </w:tcBorders>
          <w:shd w:val="clear" w:color="auto" w:fill="auto"/>
        </w:tcPr>
        <w:p w14:paraId="511EE7BE" w14:textId="77777777" w:rsidR="00B51592" w:rsidRDefault="00B51592" w:rsidP="00C25AB4">
          <w:pPr>
            <w:pStyle w:val="HeaderBoldOdd"/>
          </w:pPr>
        </w:p>
      </w:tc>
    </w:tr>
  </w:tbl>
  <w:p w14:paraId="75CF1D18" w14:textId="77777777" w:rsidR="00B51592" w:rsidRDefault="00B51592" w:rsidP="00C25AB4"/>
  <w:p w14:paraId="6ACDA02D" w14:textId="77777777" w:rsidR="00B51592" w:rsidRPr="00C25AB4" w:rsidRDefault="00B51592" w:rsidP="00C25AB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DA03E" w14:textId="77777777" w:rsidR="00B51592" w:rsidRPr="007A1328" w:rsidRDefault="00B51592" w:rsidP="000B2A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0C43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7A733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18A05F8"/>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666086"/>
    <w:lvl w:ilvl="0">
      <w:start w:val="1"/>
      <w:numFmt w:val="decimal"/>
      <w:pStyle w:val="ListNumber2"/>
      <w:lvlText w:val="%1."/>
      <w:lvlJc w:val="left"/>
      <w:pPr>
        <w:tabs>
          <w:tab w:val="num" w:pos="643"/>
        </w:tabs>
        <w:ind w:left="643" w:hanging="360"/>
      </w:pPr>
    </w:lvl>
  </w:abstractNum>
  <w:abstractNum w:abstractNumId="4">
    <w:nsid w:val="FFFFFF80"/>
    <w:multiLevelType w:val="singleLevel"/>
    <w:tmpl w:val="FFCE3A1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pStyle w:val="ListNumber"/>
      <w:lvlText w:val="%1."/>
      <w:lvlJc w:val="left"/>
      <w:pPr>
        <w:tabs>
          <w:tab w:val="num" w:pos="360"/>
        </w:tabs>
        <w:ind w:left="360" w:hanging="360"/>
      </w:pPr>
    </w:lvl>
  </w:abstractNum>
  <w:abstractNum w:abstractNumId="9">
    <w:nsid w:val="FFFFFF89"/>
    <w:multiLevelType w:val="singleLevel"/>
    <w:tmpl w:val="5BA2AD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5B5C1E"/>
    <w:multiLevelType w:val="hybridMultilevel"/>
    <w:tmpl w:val="84D8D7B6"/>
    <w:lvl w:ilvl="0" w:tplc="BA1C4230">
      <w:start w:val="1"/>
      <w:numFmt w:val="low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3">
    <w:nsid w:val="0F9B6C3E"/>
    <w:multiLevelType w:val="hybridMultilevel"/>
    <w:tmpl w:val="4AAE4672"/>
    <w:lvl w:ilvl="0" w:tplc="601EF69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4">
    <w:nsid w:val="19214769"/>
    <w:multiLevelType w:val="hybridMultilevel"/>
    <w:tmpl w:val="AD483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184343"/>
    <w:multiLevelType w:val="hybridMultilevel"/>
    <w:tmpl w:val="6B1EDC3A"/>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8">
    <w:nsid w:val="311F3614"/>
    <w:multiLevelType w:val="hybridMultilevel"/>
    <w:tmpl w:val="AC0A868E"/>
    <w:lvl w:ilvl="0" w:tplc="ABEAA1B2">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9">
    <w:nsid w:val="31B35A1E"/>
    <w:multiLevelType w:val="hybridMultilevel"/>
    <w:tmpl w:val="D70EE12A"/>
    <w:lvl w:ilvl="0" w:tplc="FFD89154">
      <w:start w:val="1"/>
      <w:numFmt w:val="upp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DFA697C"/>
    <w:multiLevelType w:val="hybridMultilevel"/>
    <w:tmpl w:val="2D2C7C92"/>
    <w:lvl w:ilvl="0" w:tplc="9B94FE7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3F816787"/>
    <w:multiLevelType w:val="hybridMultilevel"/>
    <w:tmpl w:val="258CDFAA"/>
    <w:lvl w:ilvl="0" w:tplc="A920BE46">
      <w:start w:val="1"/>
      <w:numFmt w:val="lowerLetter"/>
      <w:lvlText w:val="(%1)"/>
      <w:lvlJc w:val="left"/>
      <w:pPr>
        <w:ind w:left="1485" w:hanging="55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4">
    <w:nsid w:val="46706B3C"/>
    <w:multiLevelType w:val="hybridMultilevel"/>
    <w:tmpl w:val="C5DADB64"/>
    <w:lvl w:ilvl="0" w:tplc="9B94FE74">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48079A6"/>
    <w:multiLevelType w:val="hybridMultilevel"/>
    <w:tmpl w:val="AC0A868E"/>
    <w:lvl w:ilvl="0" w:tplc="ABEAA1B2">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6">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AF0444D"/>
    <w:multiLevelType w:val="hybridMultilevel"/>
    <w:tmpl w:val="EF3097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CB51CF3"/>
    <w:multiLevelType w:val="hybridMultilevel"/>
    <w:tmpl w:val="09D698BC"/>
    <w:lvl w:ilvl="0" w:tplc="CFC2ED32">
      <w:start w:val="1"/>
      <w:numFmt w:val="decimal"/>
      <w:lvlText w:val="(%1)"/>
      <w:lvlJc w:val="left"/>
      <w:pPr>
        <w:ind w:left="1140" w:hanging="390"/>
      </w:pPr>
      <w:rPr>
        <w:rFonts w:hint="default"/>
      </w:rPr>
    </w:lvl>
    <w:lvl w:ilvl="1" w:tplc="DBEA4CF2">
      <w:start w:val="1"/>
      <w:numFmt w:val="lowerLetter"/>
      <w:lvlText w:val="(%2)"/>
      <w:lvlJc w:val="left"/>
      <w:pPr>
        <w:ind w:left="1845" w:hanging="375"/>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0">
    <w:nsid w:val="6D7F7984"/>
    <w:multiLevelType w:val="hybridMultilevel"/>
    <w:tmpl w:val="DDE652EC"/>
    <w:lvl w:ilvl="0" w:tplc="27F65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DC332F0"/>
    <w:multiLevelType w:val="hybridMultilevel"/>
    <w:tmpl w:val="D70EE12A"/>
    <w:lvl w:ilvl="0" w:tplc="FFD89154">
      <w:start w:val="1"/>
      <w:numFmt w:val="upp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2">
    <w:nsid w:val="7AFA22C9"/>
    <w:multiLevelType w:val="hybridMultilevel"/>
    <w:tmpl w:val="6F1CF5AC"/>
    <w:lvl w:ilvl="0" w:tplc="BA66520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32"/>
  </w:num>
  <w:num w:numId="16">
    <w:abstractNumId w:val="14"/>
  </w:num>
  <w:num w:numId="17">
    <w:abstractNumId w:val="28"/>
  </w:num>
  <w:num w:numId="18">
    <w:abstractNumId w:val="20"/>
  </w:num>
  <w:num w:numId="19">
    <w:abstractNumId w:val="27"/>
  </w:num>
  <w:num w:numId="20">
    <w:abstractNumId w:val="15"/>
  </w:num>
  <w:num w:numId="21">
    <w:abstractNumId w:val="11"/>
  </w:num>
  <w:num w:numId="22">
    <w:abstractNumId w:val="13"/>
  </w:num>
  <w:num w:numId="23">
    <w:abstractNumId w:val="12"/>
  </w:num>
  <w:num w:numId="24">
    <w:abstractNumId w:val="25"/>
  </w:num>
  <w:num w:numId="25">
    <w:abstractNumId w:val="18"/>
  </w:num>
  <w:num w:numId="26">
    <w:abstractNumId w:val="24"/>
  </w:num>
  <w:num w:numId="27">
    <w:abstractNumId w:val="17"/>
  </w:num>
  <w:num w:numId="28">
    <w:abstractNumId w:val="23"/>
  </w:num>
  <w:num w:numId="29">
    <w:abstractNumId w:val="21"/>
  </w:num>
  <w:num w:numId="30">
    <w:abstractNumId w:val="29"/>
  </w:num>
  <w:num w:numId="31">
    <w:abstractNumId w:val="30"/>
  </w:num>
  <w:num w:numId="32">
    <w:abstractNumId w:val="19"/>
  </w:num>
  <w:num w:numId="33">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evenAndOddHeaders/>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71"/>
    <w:rsid w:val="00003A23"/>
    <w:rsid w:val="00003D87"/>
    <w:rsid w:val="00005092"/>
    <w:rsid w:val="000056EE"/>
    <w:rsid w:val="00011852"/>
    <w:rsid w:val="00013E3A"/>
    <w:rsid w:val="00015021"/>
    <w:rsid w:val="00021676"/>
    <w:rsid w:val="00024697"/>
    <w:rsid w:val="00025551"/>
    <w:rsid w:val="0002669B"/>
    <w:rsid w:val="00027EB9"/>
    <w:rsid w:val="00032756"/>
    <w:rsid w:val="0003498B"/>
    <w:rsid w:val="0005088A"/>
    <w:rsid w:val="0005388B"/>
    <w:rsid w:val="0005680C"/>
    <w:rsid w:val="00063991"/>
    <w:rsid w:val="00063FEE"/>
    <w:rsid w:val="00064B48"/>
    <w:rsid w:val="0006774B"/>
    <w:rsid w:val="00070621"/>
    <w:rsid w:val="00070A26"/>
    <w:rsid w:val="00071E78"/>
    <w:rsid w:val="000759E0"/>
    <w:rsid w:val="000821BA"/>
    <w:rsid w:val="000902B0"/>
    <w:rsid w:val="000A088E"/>
    <w:rsid w:val="000A5E51"/>
    <w:rsid w:val="000A705B"/>
    <w:rsid w:val="000A7AF2"/>
    <w:rsid w:val="000B2A03"/>
    <w:rsid w:val="000B52F3"/>
    <w:rsid w:val="000C0E9A"/>
    <w:rsid w:val="000D44D1"/>
    <w:rsid w:val="000E16F3"/>
    <w:rsid w:val="000E6727"/>
    <w:rsid w:val="00102806"/>
    <w:rsid w:val="001046C0"/>
    <w:rsid w:val="0011294B"/>
    <w:rsid w:val="00114286"/>
    <w:rsid w:val="00117454"/>
    <w:rsid w:val="001241C9"/>
    <w:rsid w:val="00125CE5"/>
    <w:rsid w:val="001265E0"/>
    <w:rsid w:val="00130BC1"/>
    <w:rsid w:val="001312CF"/>
    <w:rsid w:val="0013416B"/>
    <w:rsid w:val="00134D20"/>
    <w:rsid w:val="00137445"/>
    <w:rsid w:val="00137555"/>
    <w:rsid w:val="00137655"/>
    <w:rsid w:val="0014048E"/>
    <w:rsid w:val="001410A9"/>
    <w:rsid w:val="001415D1"/>
    <w:rsid w:val="00141B4E"/>
    <w:rsid w:val="00141CAA"/>
    <w:rsid w:val="00142CB2"/>
    <w:rsid w:val="00145C33"/>
    <w:rsid w:val="0014660D"/>
    <w:rsid w:val="00147077"/>
    <w:rsid w:val="0015004C"/>
    <w:rsid w:val="00150F5C"/>
    <w:rsid w:val="00157C50"/>
    <w:rsid w:val="00160DB0"/>
    <w:rsid w:val="00162B56"/>
    <w:rsid w:val="00165EF5"/>
    <w:rsid w:val="0017099C"/>
    <w:rsid w:val="00175BD2"/>
    <w:rsid w:val="00181E2E"/>
    <w:rsid w:val="00182A39"/>
    <w:rsid w:val="00183AC8"/>
    <w:rsid w:val="00187B15"/>
    <w:rsid w:val="00190752"/>
    <w:rsid w:val="0019199A"/>
    <w:rsid w:val="00193D42"/>
    <w:rsid w:val="00195D7F"/>
    <w:rsid w:val="001A6108"/>
    <w:rsid w:val="001A7D6B"/>
    <w:rsid w:val="001B2225"/>
    <w:rsid w:val="001B4AE0"/>
    <w:rsid w:val="001B503D"/>
    <w:rsid w:val="001B680B"/>
    <w:rsid w:val="001B7538"/>
    <w:rsid w:val="001C1092"/>
    <w:rsid w:val="001C56AC"/>
    <w:rsid w:val="001D09D3"/>
    <w:rsid w:val="001D217A"/>
    <w:rsid w:val="001D49E7"/>
    <w:rsid w:val="001E3B32"/>
    <w:rsid w:val="001E686D"/>
    <w:rsid w:val="001E79E8"/>
    <w:rsid w:val="001F2123"/>
    <w:rsid w:val="001F3D4C"/>
    <w:rsid w:val="002019B4"/>
    <w:rsid w:val="00201AFE"/>
    <w:rsid w:val="00204409"/>
    <w:rsid w:val="002108D2"/>
    <w:rsid w:val="00211F14"/>
    <w:rsid w:val="002125DA"/>
    <w:rsid w:val="00213748"/>
    <w:rsid w:val="00213EC8"/>
    <w:rsid w:val="0021465E"/>
    <w:rsid w:val="00216C3A"/>
    <w:rsid w:val="002172A3"/>
    <w:rsid w:val="00217855"/>
    <w:rsid w:val="00217C64"/>
    <w:rsid w:val="00220EDA"/>
    <w:rsid w:val="00222DA1"/>
    <w:rsid w:val="0022369F"/>
    <w:rsid w:val="00223A7F"/>
    <w:rsid w:val="00224DA4"/>
    <w:rsid w:val="00226381"/>
    <w:rsid w:val="00230B04"/>
    <w:rsid w:val="002336C7"/>
    <w:rsid w:val="00234FDE"/>
    <w:rsid w:val="00240952"/>
    <w:rsid w:val="00243429"/>
    <w:rsid w:val="00251437"/>
    <w:rsid w:val="00251E74"/>
    <w:rsid w:val="00253675"/>
    <w:rsid w:val="00254A2F"/>
    <w:rsid w:val="00254B2F"/>
    <w:rsid w:val="00256425"/>
    <w:rsid w:val="002625FB"/>
    <w:rsid w:val="00263CA6"/>
    <w:rsid w:val="00264B4A"/>
    <w:rsid w:val="0026502E"/>
    <w:rsid w:val="002679A2"/>
    <w:rsid w:val="0027631E"/>
    <w:rsid w:val="00281362"/>
    <w:rsid w:val="00284A2C"/>
    <w:rsid w:val="00284C36"/>
    <w:rsid w:val="00287170"/>
    <w:rsid w:val="002929F2"/>
    <w:rsid w:val="00296625"/>
    <w:rsid w:val="00296E69"/>
    <w:rsid w:val="002A2FD3"/>
    <w:rsid w:val="002A57A4"/>
    <w:rsid w:val="002A7EE0"/>
    <w:rsid w:val="002B0FB1"/>
    <w:rsid w:val="002B4431"/>
    <w:rsid w:val="002C2423"/>
    <w:rsid w:val="002C2F88"/>
    <w:rsid w:val="002C34B3"/>
    <w:rsid w:val="002D009E"/>
    <w:rsid w:val="002D24DD"/>
    <w:rsid w:val="002D3EED"/>
    <w:rsid w:val="002D68AE"/>
    <w:rsid w:val="002D7303"/>
    <w:rsid w:val="002E0C9A"/>
    <w:rsid w:val="0030627F"/>
    <w:rsid w:val="0031054F"/>
    <w:rsid w:val="003117C9"/>
    <w:rsid w:val="00312F61"/>
    <w:rsid w:val="003263DD"/>
    <w:rsid w:val="00331F91"/>
    <w:rsid w:val="003327E3"/>
    <w:rsid w:val="00342B05"/>
    <w:rsid w:val="00342B79"/>
    <w:rsid w:val="00342DD9"/>
    <w:rsid w:val="003444DF"/>
    <w:rsid w:val="00347278"/>
    <w:rsid w:val="00347ABE"/>
    <w:rsid w:val="00352893"/>
    <w:rsid w:val="003535E0"/>
    <w:rsid w:val="00356F0B"/>
    <w:rsid w:val="003570F6"/>
    <w:rsid w:val="00360F57"/>
    <w:rsid w:val="0036259F"/>
    <w:rsid w:val="00366209"/>
    <w:rsid w:val="00366501"/>
    <w:rsid w:val="003724A6"/>
    <w:rsid w:val="00375099"/>
    <w:rsid w:val="00382185"/>
    <w:rsid w:val="0038236C"/>
    <w:rsid w:val="00382EAF"/>
    <w:rsid w:val="00383571"/>
    <w:rsid w:val="00383D0E"/>
    <w:rsid w:val="00384027"/>
    <w:rsid w:val="003843EC"/>
    <w:rsid w:val="003956C4"/>
    <w:rsid w:val="00396732"/>
    <w:rsid w:val="003A0860"/>
    <w:rsid w:val="003A2BF9"/>
    <w:rsid w:val="003A3291"/>
    <w:rsid w:val="003A4A92"/>
    <w:rsid w:val="003C3C69"/>
    <w:rsid w:val="003C700C"/>
    <w:rsid w:val="003C7D9A"/>
    <w:rsid w:val="003D13A0"/>
    <w:rsid w:val="003D20DD"/>
    <w:rsid w:val="003E36FA"/>
    <w:rsid w:val="003F43C5"/>
    <w:rsid w:val="003F524A"/>
    <w:rsid w:val="00400F97"/>
    <w:rsid w:val="00402B0F"/>
    <w:rsid w:val="00403CA6"/>
    <w:rsid w:val="00405625"/>
    <w:rsid w:val="0041077B"/>
    <w:rsid w:val="00411C6B"/>
    <w:rsid w:val="004162D6"/>
    <w:rsid w:val="004174C2"/>
    <w:rsid w:val="00417FF3"/>
    <w:rsid w:val="00420A7B"/>
    <w:rsid w:val="0042286F"/>
    <w:rsid w:val="00422A73"/>
    <w:rsid w:val="004234FB"/>
    <w:rsid w:val="0043600E"/>
    <w:rsid w:val="0043764F"/>
    <w:rsid w:val="00440BE1"/>
    <w:rsid w:val="00442F64"/>
    <w:rsid w:val="00446D7F"/>
    <w:rsid w:val="00447669"/>
    <w:rsid w:val="00454B0F"/>
    <w:rsid w:val="00454D0B"/>
    <w:rsid w:val="0046344B"/>
    <w:rsid w:val="00467093"/>
    <w:rsid w:val="0046714B"/>
    <w:rsid w:val="00471C7B"/>
    <w:rsid w:val="0047221D"/>
    <w:rsid w:val="00473443"/>
    <w:rsid w:val="00482B0A"/>
    <w:rsid w:val="00484DBA"/>
    <w:rsid w:val="004853CC"/>
    <w:rsid w:val="00487822"/>
    <w:rsid w:val="004A071B"/>
    <w:rsid w:val="004A28F1"/>
    <w:rsid w:val="004A4722"/>
    <w:rsid w:val="004B6601"/>
    <w:rsid w:val="004B7A34"/>
    <w:rsid w:val="004C0E42"/>
    <w:rsid w:val="004C2C9E"/>
    <w:rsid w:val="004C4CD2"/>
    <w:rsid w:val="004D2CCB"/>
    <w:rsid w:val="004D7964"/>
    <w:rsid w:val="004E01BE"/>
    <w:rsid w:val="004F12BC"/>
    <w:rsid w:val="004F1BAF"/>
    <w:rsid w:val="004F3A0D"/>
    <w:rsid w:val="004F4139"/>
    <w:rsid w:val="004F4E12"/>
    <w:rsid w:val="004F6457"/>
    <w:rsid w:val="0050017F"/>
    <w:rsid w:val="00505817"/>
    <w:rsid w:val="005149A7"/>
    <w:rsid w:val="00516F09"/>
    <w:rsid w:val="00520179"/>
    <w:rsid w:val="00526A68"/>
    <w:rsid w:val="00530A4B"/>
    <w:rsid w:val="00533AB5"/>
    <w:rsid w:val="00537551"/>
    <w:rsid w:val="00551FD3"/>
    <w:rsid w:val="00552309"/>
    <w:rsid w:val="00564001"/>
    <w:rsid w:val="00564A57"/>
    <w:rsid w:val="0056559F"/>
    <w:rsid w:val="00566BCF"/>
    <w:rsid w:val="00584A71"/>
    <w:rsid w:val="00585138"/>
    <w:rsid w:val="00590B66"/>
    <w:rsid w:val="005944CF"/>
    <w:rsid w:val="00596122"/>
    <w:rsid w:val="0059688F"/>
    <w:rsid w:val="00596F0D"/>
    <w:rsid w:val="005971A1"/>
    <w:rsid w:val="005A0F53"/>
    <w:rsid w:val="005A2A56"/>
    <w:rsid w:val="005A45DD"/>
    <w:rsid w:val="005B0D9A"/>
    <w:rsid w:val="005B5607"/>
    <w:rsid w:val="005B6D02"/>
    <w:rsid w:val="005C00F6"/>
    <w:rsid w:val="005C3646"/>
    <w:rsid w:val="005C4535"/>
    <w:rsid w:val="005C515B"/>
    <w:rsid w:val="005C633A"/>
    <w:rsid w:val="005D024B"/>
    <w:rsid w:val="005D6F22"/>
    <w:rsid w:val="005D7FE4"/>
    <w:rsid w:val="005E5309"/>
    <w:rsid w:val="005F0786"/>
    <w:rsid w:val="005F5365"/>
    <w:rsid w:val="005F5DF2"/>
    <w:rsid w:val="00600168"/>
    <w:rsid w:val="00604B86"/>
    <w:rsid w:val="00606B37"/>
    <w:rsid w:val="00611ED7"/>
    <w:rsid w:val="006128AB"/>
    <w:rsid w:val="006133D2"/>
    <w:rsid w:val="006136E1"/>
    <w:rsid w:val="0061472F"/>
    <w:rsid w:val="0061491C"/>
    <w:rsid w:val="006165B3"/>
    <w:rsid w:val="00617061"/>
    <w:rsid w:val="00623919"/>
    <w:rsid w:val="0062619F"/>
    <w:rsid w:val="00636345"/>
    <w:rsid w:val="00644B8D"/>
    <w:rsid w:val="006503AC"/>
    <w:rsid w:val="006543FD"/>
    <w:rsid w:val="00657047"/>
    <w:rsid w:val="00662CDC"/>
    <w:rsid w:val="00663213"/>
    <w:rsid w:val="00672003"/>
    <w:rsid w:val="00677ADC"/>
    <w:rsid w:val="00680647"/>
    <w:rsid w:val="00680C57"/>
    <w:rsid w:val="00686231"/>
    <w:rsid w:val="00686296"/>
    <w:rsid w:val="00693D62"/>
    <w:rsid w:val="00695CCE"/>
    <w:rsid w:val="00696820"/>
    <w:rsid w:val="00697150"/>
    <w:rsid w:val="006A15E3"/>
    <w:rsid w:val="006A49DF"/>
    <w:rsid w:val="006A57AF"/>
    <w:rsid w:val="006B28EE"/>
    <w:rsid w:val="006C042B"/>
    <w:rsid w:val="006C2F02"/>
    <w:rsid w:val="006C42CE"/>
    <w:rsid w:val="006C4BED"/>
    <w:rsid w:val="006C53D2"/>
    <w:rsid w:val="006D1971"/>
    <w:rsid w:val="006D2B44"/>
    <w:rsid w:val="006D3782"/>
    <w:rsid w:val="006D41A0"/>
    <w:rsid w:val="006D4B7F"/>
    <w:rsid w:val="006D6872"/>
    <w:rsid w:val="006E06EA"/>
    <w:rsid w:val="006E2A32"/>
    <w:rsid w:val="006E69DC"/>
    <w:rsid w:val="006F0312"/>
    <w:rsid w:val="006F3964"/>
    <w:rsid w:val="007037DD"/>
    <w:rsid w:val="00703B38"/>
    <w:rsid w:val="007065BC"/>
    <w:rsid w:val="0070747C"/>
    <w:rsid w:val="00710DC7"/>
    <w:rsid w:val="00717563"/>
    <w:rsid w:val="00722CE7"/>
    <w:rsid w:val="00727504"/>
    <w:rsid w:val="00730DFC"/>
    <w:rsid w:val="00735B24"/>
    <w:rsid w:val="00742BE4"/>
    <w:rsid w:val="00750F54"/>
    <w:rsid w:val="0075789A"/>
    <w:rsid w:val="00761759"/>
    <w:rsid w:val="00771B1D"/>
    <w:rsid w:val="0077249F"/>
    <w:rsid w:val="0077578D"/>
    <w:rsid w:val="00782D9C"/>
    <w:rsid w:val="007853C8"/>
    <w:rsid w:val="00787D5F"/>
    <w:rsid w:val="007A1349"/>
    <w:rsid w:val="007A3567"/>
    <w:rsid w:val="007A56B8"/>
    <w:rsid w:val="007A6CAC"/>
    <w:rsid w:val="007B1F0E"/>
    <w:rsid w:val="007B7813"/>
    <w:rsid w:val="007C0378"/>
    <w:rsid w:val="007C68F4"/>
    <w:rsid w:val="007D101F"/>
    <w:rsid w:val="007D2042"/>
    <w:rsid w:val="007E0165"/>
    <w:rsid w:val="007E1C93"/>
    <w:rsid w:val="007E21C3"/>
    <w:rsid w:val="007E2493"/>
    <w:rsid w:val="007E2AB6"/>
    <w:rsid w:val="007E2D54"/>
    <w:rsid w:val="007E33AC"/>
    <w:rsid w:val="007E4DC1"/>
    <w:rsid w:val="007E73F8"/>
    <w:rsid w:val="007F0341"/>
    <w:rsid w:val="007F3913"/>
    <w:rsid w:val="00802693"/>
    <w:rsid w:val="00802C50"/>
    <w:rsid w:val="0080309D"/>
    <w:rsid w:val="00803E14"/>
    <w:rsid w:val="00804233"/>
    <w:rsid w:val="00806B35"/>
    <w:rsid w:val="00810300"/>
    <w:rsid w:val="00810621"/>
    <w:rsid w:val="008200F1"/>
    <w:rsid w:val="00820E6A"/>
    <w:rsid w:val="00821F9F"/>
    <w:rsid w:val="00827C9C"/>
    <w:rsid w:val="00833F72"/>
    <w:rsid w:val="00841DB7"/>
    <w:rsid w:val="00846D79"/>
    <w:rsid w:val="00851BB2"/>
    <w:rsid w:val="008545ED"/>
    <w:rsid w:val="00855B7C"/>
    <w:rsid w:val="00856AC8"/>
    <w:rsid w:val="00860C2C"/>
    <w:rsid w:val="008621D6"/>
    <w:rsid w:val="00870B97"/>
    <w:rsid w:val="00872B18"/>
    <w:rsid w:val="00876AB9"/>
    <w:rsid w:val="00890A16"/>
    <w:rsid w:val="00891412"/>
    <w:rsid w:val="008949D1"/>
    <w:rsid w:val="008A0372"/>
    <w:rsid w:val="008A0D3A"/>
    <w:rsid w:val="008A483B"/>
    <w:rsid w:val="008A4DA3"/>
    <w:rsid w:val="008A519C"/>
    <w:rsid w:val="008A5870"/>
    <w:rsid w:val="008A6BA1"/>
    <w:rsid w:val="008B284E"/>
    <w:rsid w:val="008B588C"/>
    <w:rsid w:val="008B768D"/>
    <w:rsid w:val="008C374B"/>
    <w:rsid w:val="008D22F1"/>
    <w:rsid w:val="008D417C"/>
    <w:rsid w:val="008D68C0"/>
    <w:rsid w:val="008D742E"/>
    <w:rsid w:val="008E02E5"/>
    <w:rsid w:val="008E1290"/>
    <w:rsid w:val="008E3156"/>
    <w:rsid w:val="008E348B"/>
    <w:rsid w:val="008E4835"/>
    <w:rsid w:val="008E5537"/>
    <w:rsid w:val="008E74ED"/>
    <w:rsid w:val="008F5EC2"/>
    <w:rsid w:val="009051D5"/>
    <w:rsid w:val="009070F5"/>
    <w:rsid w:val="00914CC9"/>
    <w:rsid w:val="00915B19"/>
    <w:rsid w:val="00921C53"/>
    <w:rsid w:val="00923AE9"/>
    <w:rsid w:val="00924A8F"/>
    <w:rsid w:val="00927E92"/>
    <w:rsid w:val="0093033C"/>
    <w:rsid w:val="0093220F"/>
    <w:rsid w:val="009356C5"/>
    <w:rsid w:val="00940ACA"/>
    <w:rsid w:val="00943663"/>
    <w:rsid w:val="00945D59"/>
    <w:rsid w:val="0095142F"/>
    <w:rsid w:val="00953CC5"/>
    <w:rsid w:val="009553F5"/>
    <w:rsid w:val="00962521"/>
    <w:rsid w:val="009625BC"/>
    <w:rsid w:val="0096686E"/>
    <w:rsid w:val="0096767F"/>
    <w:rsid w:val="0097307E"/>
    <w:rsid w:val="00977116"/>
    <w:rsid w:val="00982FFF"/>
    <w:rsid w:val="009830DC"/>
    <w:rsid w:val="00992710"/>
    <w:rsid w:val="009A0DED"/>
    <w:rsid w:val="009A43F4"/>
    <w:rsid w:val="009A571A"/>
    <w:rsid w:val="009A595E"/>
    <w:rsid w:val="009B68AD"/>
    <w:rsid w:val="009B7ABB"/>
    <w:rsid w:val="009C0DE1"/>
    <w:rsid w:val="009C1C01"/>
    <w:rsid w:val="009C27D7"/>
    <w:rsid w:val="009C7B02"/>
    <w:rsid w:val="009C7B2F"/>
    <w:rsid w:val="009D13E9"/>
    <w:rsid w:val="009D17D3"/>
    <w:rsid w:val="009E1FC6"/>
    <w:rsid w:val="009E3171"/>
    <w:rsid w:val="009E49E4"/>
    <w:rsid w:val="009E63A1"/>
    <w:rsid w:val="009E7506"/>
    <w:rsid w:val="009E7603"/>
    <w:rsid w:val="009F47BC"/>
    <w:rsid w:val="00A00812"/>
    <w:rsid w:val="00A0175A"/>
    <w:rsid w:val="00A11D3A"/>
    <w:rsid w:val="00A1281A"/>
    <w:rsid w:val="00A158F1"/>
    <w:rsid w:val="00A208AB"/>
    <w:rsid w:val="00A232BF"/>
    <w:rsid w:val="00A31BE9"/>
    <w:rsid w:val="00A32D0B"/>
    <w:rsid w:val="00A3471C"/>
    <w:rsid w:val="00A37E21"/>
    <w:rsid w:val="00A40923"/>
    <w:rsid w:val="00A453B8"/>
    <w:rsid w:val="00A453C6"/>
    <w:rsid w:val="00A45C90"/>
    <w:rsid w:val="00A45D09"/>
    <w:rsid w:val="00A503BD"/>
    <w:rsid w:val="00A51504"/>
    <w:rsid w:val="00A573F2"/>
    <w:rsid w:val="00A6111E"/>
    <w:rsid w:val="00A64F24"/>
    <w:rsid w:val="00A71E3D"/>
    <w:rsid w:val="00A7238F"/>
    <w:rsid w:val="00A72A46"/>
    <w:rsid w:val="00A742C6"/>
    <w:rsid w:val="00A77BE8"/>
    <w:rsid w:val="00A82D4B"/>
    <w:rsid w:val="00A8527B"/>
    <w:rsid w:val="00A867B2"/>
    <w:rsid w:val="00A87051"/>
    <w:rsid w:val="00A93472"/>
    <w:rsid w:val="00A93484"/>
    <w:rsid w:val="00AA2242"/>
    <w:rsid w:val="00AA2C0E"/>
    <w:rsid w:val="00AA31CC"/>
    <w:rsid w:val="00AA623C"/>
    <w:rsid w:val="00AA6D2E"/>
    <w:rsid w:val="00AB532D"/>
    <w:rsid w:val="00AC7865"/>
    <w:rsid w:val="00AC7A54"/>
    <w:rsid w:val="00AD262E"/>
    <w:rsid w:val="00AD3815"/>
    <w:rsid w:val="00AD4C82"/>
    <w:rsid w:val="00B02301"/>
    <w:rsid w:val="00B10956"/>
    <w:rsid w:val="00B117D1"/>
    <w:rsid w:val="00B11FF4"/>
    <w:rsid w:val="00B16FE0"/>
    <w:rsid w:val="00B265C6"/>
    <w:rsid w:val="00B27130"/>
    <w:rsid w:val="00B32FBB"/>
    <w:rsid w:val="00B40B11"/>
    <w:rsid w:val="00B41A08"/>
    <w:rsid w:val="00B4372D"/>
    <w:rsid w:val="00B440EB"/>
    <w:rsid w:val="00B50B2D"/>
    <w:rsid w:val="00B51592"/>
    <w:rsid w:val="00B564FE"/>
    <w:rsid w:val="00B61BD7"/>
    <w:rsid w:val="00B61FDA"/>
    <w:rsid w:val="00B64D46"/>
    <w:rsid w:val="00B65355"/>
    <w:rsid w:val="00B65B18"/>
    <w:rsid w:val="00B701D5"/>
    <w:rsid w:val="00B7226E"/>
    <w:rsid w:val="00B73ED2"/>
    <w:rsid w:val="00B74AE5"/>
    <w:rsid w:val="00B74BB9"/>
    <w:rsid w:val="00B8004D"/>
    <w:rsid w:val="00B812B8"/>
    <w:rsid w:val="00B82B9D"/>
    <w:rsid w:val="00B82EAA"/>
    <w:rsid w:val="00B8327F"/>
    <w:rsid w:val="00B93121"/>
    <w:rsid w:val="00B940E3"/>
    <w:rsid w:val="00B95F9B"/>
    <w:rsid w:val="00BA46A3"/>
    <w:rsid w:val="00BA549D"/>
    <w:rsid w:val="00BA5A4E"/>
    <w:rsid w:val="00BA61EE"/>
    <w:rsid w:val="00BB5CE5"/>
    <w:rsid w:val="00BC0381"/>
    <w:rsid w:val="00BC053C"/>
    <w:rsid w:val="00BC3624"/>
    <w:rsid w:val="00BC442B"/>
    <w:rsid w:val="00BD2512"/>
    <w:rsid w:val="00BE2947"/>
    <w:rsid w:val="00BE6504"/>
    <w:rsid w:val="00BF0A8D"/>
    <w:rsid w:val="00BF25FA"/>
    <w:rsid w:val="00BF365C"/>
    <w:rsid w:val="00BF4B90"/>
    <w:rsid w:val="00BF4D00"/>
    <w:rsid w:val="00BF59F6"/>
    <w:rsid w:val="00BF7E18"/>
    <w:rsid w:val="00C0005D"/>
    <w:rsid w:val="00C02DBF"/>
    <w:rsid w:val="00C03332"/>
    <w:rsid w:val="00C1383C"/>
    <w:rsid w:val="00C143E8"/>
    <w:rsid w:val="00C144DF"/>
    <w:rsid w:val="00C15633"/>
    <w:rsid w:val="00C2064C"/>
    <w:rsid w:val="00C24ADB"/>
    <w:rsid w:val="00C25519"/>
    <w:rsid w:val="00C25AB4"/>
    <w:rsid w:val="00C305A3"/>
    <w:rsid w:val="00C354E3"/>
    <w:rsid w:val="00C40C1C"/>
    <w:rsid w:val="00C4490B"/>
    <w:rsid w:val="00C4697F"/>
    <w:rsid w:val="00C61F8C"/>
    <w:rsid w:val="00C62CF6"/>
    <w:rsid w:val="00C63448"/>
    <w:rsid w:val="00C63F35"/>
    <w:rsid w:val="00C6649A"/>
    <w:rsid w:val="00C674EF"/>
    <w:rsid w:val="00C67BE1"/>
    <w:rsid w:val="00C7037E"/>
    <w:rsid w:val="00C706A2"/>
    <w:rsid w:val="00C70A1D"/>
    <w:rsid w:val="00C71889"/>
    <w:rsid w:val="00C71A74"/>
    <w:rsid w:val="00C7214E"/>
    <w:rsid w:val="00C73541"/>
    <w:rsid w:val="00C73F2F"/>
    <w:rsid w:val="00C751AD"/>
    <w:rsid w:val="00C7648E"/>
    <w:rsid w:val="00C8165C"/>
    <w:rsid w:val="00C819A4"/>
    <w:rsid w:val="00C82D38"/>
    <w:rsid w:val="00C849ED"/>
    <w:rsid w:val="00C85D0E"/>
    <w:rsid w:val="00C86D30"/>
    <w:rsid w:val="00C92281"/>
    <w:rsid w:val="00C9472B"/>
    <w:rsid w:val="00C95A4E"/>
    <w:rsid w:val="00C97166"/>
    <w:rsid w:val="00CA2195"/>
    <w:rsid w:val="00CA7F6E"/>
    <w:rsid w:val="00CB44AD"/>
    <w:rsid w:val="00CB5EDC"/>
    <w:rsid w:val="00CC03EF"/>
    <w:rsid w:val="00CC4EF4"/>
    <w:rsid w:val="00CC6D55"/>
    <w:rsid w:val="00CC7753"/>
    <w:rsid w:val="00CE04F3"/>
    <w:rsid w:val="00CE151E"/>
    <w:rsid w:val="00CF301F"/>
    <w:rsid w:val="00CF6B79"/>
    <w:rsid w:val="00CF7042"/>
    <w:rsid w:val="00D00741"/>
    <w:rsid w:val="00D02CCC"/>
    <w:rsid w:val="00D053C3"/>
    <w:rsid w:val="00D057DC"/>
    <w:rsid w:val="00D05A7F"/>
    <w:rsid w:val="00D064C9"/>
    <w:rsid w:val="00D06C16"/>
    <w:rsid w:val="00D10555"/>
    <w:rsid w:val="00D108FD"/>
    <w:rsid w:val="00D11563"/>
    <w:rsid w:val="00D14D4E"/>
    <w:rsid w:val="00D155DF"/>
    <w:rsid w:val="00D16752"/>
    <w:rsid w:val="00D1790A"/>
    <w:rsid w:val="00D22684"/>
    <w:rsid w:val="00D238F4"/>
    <w:rsid w:val="00D305D7"/>
    <w:rsid w:val="00D310ED"/>
    <w:rsid w:val="00D340B2"/>
    <w:rsid w:val="00D34188"/>
    <w:rsid w:val="00D341F3"/>
    <w:rsid w:val="00D343F1"/>
    <w:rsid w:val="00D405C2"/>
    <w:rsid w:val="00D4341A"/>
    <w:rsid w:val="00D449AE"/>
    <w:rsid w:val="00D52B91"/>
    <w:rsid w:val="00D5355E"/>
    <w:rsid w:val="00D558BA"/>
    <w:rsid w:val="00D55BBF"/>
    <w:rsid w:val="00D5643B"/>
    <w:rsid w:val="00D62BA7"/>
    <w:rsid w:val="00D62C81"/>
    <w:rsid w:val="00D632AF"/>
    <w:rsid w:val="00D771D4"/>
    <w:rsid w:val="00D779B3"/>
    <w:rsid w:val="00D82673"/>
    <w:rsid w:val="00D861B9"/>
    <w:rsid w:val="00D86301"/>
    <w:rsid w:val="00D9415C"/>
    <w:rsid w:val="00D96401"/>
    <w:rsid w:val="00D96FAA"/>
    <w:rsid w:val="00DA4E8E"/>
    <w:rsid w:val="00DB3C97"/>
    <w:rsid w:val="00DB78AA"/>
    <w:rsid w:val="00DC11E5"/>
    <w:rsid w:val="00DC1628"/>
    <w:rsid w:val="00DC413A"/>
    <w:rsid w:val="00DC46C9"/>
    <w:rsid w:val="00DD0812"/>
    <w:rsid w:val="00DD3616"/>
    <w:rsid w:val="00DE0A50"/>
    <w:rsid w:val="00DE4D4D"/>
    <w:rsid w:val="00DE4E9D"/>
    <w:rsid w:val="00DF4D97"/>
    <w:rsid w:val="00DF6BF7"/>
    <w:rsid w:val="00DF7387"/>
    <w:rsid w:val="00DF7A5E"/>
    <w:rsid w:val="00E01F26"/>
    <w:rsid w:val="00E0273C"/>
    <w:rsid w:val="00E07150"/>
    <w:rsid w:val="00E0718F"/>
    <w:rsid w:val="00E272DE"/>
    <w:rsid w:val="00E35A5C"/>
    <w:rsid w:val="00E371BB"/>
    <w:rsid w:val="00E410E1"/>
    <w:rsid w:val="00E535DB"/>
    <w:rsid w:val="00E55F03"/>
    <w:rsid w:val="00E56B25"/>
    <w:rsid w:val="00E654E4"/>
    <w:rsid w:val="00E67BCF"/>
    <w:rsid w:val="00E72F47"/>
    <w:rsid w:val="00E759B1"/>
    <w:rsid w:val="00E77EFF"/>
    <w:rsid w:val="00E805A6"/>
    <w:rsid w:val="00E822C6"/>
    <w:rsid w:val="00E87923"/>
    <w:rsid w:val="00EA3E08"/>
    <w:rsid w:val="00EA521A"/>
    <w:rsid w:val="00EB160C"/>
    <w:rsid w:val="00EB4EA0"/>
    <w:rsid w:val="00EC6938"/>
    <w:rsid w:val="00EC6D03"/>
    <w:rsid w:val="00ED07E0"/>
    <w:rsid w:val="00ED2990"/>
    <w:rsid w:val="00EE7D3C"/>
    <w:rsid w:val="00EF4628"/>
    <w:rsid w:val="00EF48DA"/>
    <w:rsid w:val="00F04658"/>
    <w:rsid w:val="00F11095"/>
    <w:rsid w:val="00F20215"/>
    <w:rsid w:val="00F22C80"/>
    <w:rsid w:val="00F2474A"/>
    <w:rsid w:val="00F253A0"/>
    <w:rsid w:val="00F25838"/>
    <w:rsid w:val="00F325AA"/>
    <w:rsid w:val="00F437DB"/>
    <w:rsid w:val="00F445A9"/>
    <w:rsid w:val="00F45DD9"/>
    <w:rsid w:val="00F532FC"/>
    <w:rsid w:val="00F57DFE"/>
    <w:rsid w:val="00F63A79"/>
    <w:rsid w:val="00F6482A"/>
    <w:rsid w:val="00F70C6C"/>
    <w:rsid w:val="00F70C83"/>
    <w:rsid w:val="00F70D2F"/>
    <w:rsid w:val="00F72662"/>
    <w:rsid w:val="00F74980"/>
    <w:rsid w:val="00F80638"/>
    <w:rsid w:val="00F80D06"/>
    <w:rsid w:val="00F83E23"/>
    <w:rsid w:val="00F84439"/>
    <w:rsid w:val="00F84B19"/>
    <w:rsid w:val="00F86AD1"/>
    <w:rsid w:val="00F904CF"/>
    <w:rsid w:val="00F95407"/>
    <w:rsid w:val="00FA108D"/>
    <w:rsid w:val="00FA1EC6"/>
    <w:rsid w:val="00FA773F"/>
    <w:rsid w:val="00FA7AD5"/>
    <w:rsid w:val="00FA7CD7"/>
    <w:rsid w:val="00FB2A3E"/>
    <w:rsid w:val="00FB515C"/>
    <w:rsid w:val="00FB68C5"/>
    <w:rsid w:val="00FC1CF1"/>
    <w:rsid w:val="00FD212A"/>
    <w:rsid w:val="00FD494B"/>
    <w:rsid w:val="00FD4B3A"/>
    <w:rsid w:val="00FE2618"/>
    <w:rsid w:val="00FE3FC6"/>
    <w:rsid w:val="00FE6EEA"/>
    <w:rsid w:val="00FF20D1"/>
    <w:rsid w:val="00FF324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ACD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4A2F"/>
    <w:pPr>
      <w:spacing w:line="260" w:lineRule="atLeast"/>
    </w:pPr>
    <w:rPr>
      <w:rFonts w:eastAsia="Calibr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254A2F"/>
    <w:pPr>
      <w:spacing w:before="60" w:line="240" w:lineRule="atLeast"/>
    </w:pPr>
    <w:rPr>
      <w:b/>
      <w:sz w:val="20"/>
    </w:rPr>
  </w:style>
  <w:style w:type="table" w:customStyle="1" w:styleId="TableGrid2">
    <w:name w:val="Table Grid2"/>
    <w:basedOn w:val="TableNormal"/>
    <w:next w:val="TableGrid"/>
    <w:uiPriority w:val="59"/>
    <w:rsid w:val="008C374B"/>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254A2F"/>
    <w:pPr>
      <w:tabs>
        <w:tab w:val="center" w:pos="4153"/>
        <w:tab w:val="right" w:pos="8306"/>
      </w:tabs>
    </w:pPr>
    <w:rPr>
      <w:sz w:val="22"/>
      <w:szCs w:val="24"/>
    </w:rPr>
  </w:style>
  <w:style w:type="table" w:customStyle="1" w:styleId="TableGrid3">
    <w:name w:val="Table Grid3"/>
    <w:basedOn w:val="TableNormal"/>
    <w:next w:val="TableGrid"/>
    <w:uiPriority w:val="59"/>
    <w:rsid w:val="008C374B"/>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254A2F"/>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254A2F"/>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287170"/>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54A2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qFormat/>
    <w:rsid w:val="00254A2F"/>
  </w:style>
  <w:style w:type="character" w:customStyle="1" w:styleId="CharAmSchText">
    <w:name w:val="CharAmSchText"/>
    <w:basedOn w:val="OPCCharBase"/>
    <w:qFormat/>
    <w:rsid w:val="00254A2F"/>
  </w:style>
  <w:style w:type="character" w:customStyle="1" w:styleId="CharChapNo">
    <w:name w:val="CharChapNo"/>
    <w:basedOn w:val="OPCCharBase"/>
    <w:qFormat/>
    <w:rsid w:val="00254A2F"/>
  </w:style>
  <w:style w:type="character" w:customStyle="1" w:styleId="CharChapText">
    <w:name w:val="CharChapText"/>
    <w:basedOn w:val="OPCCharBase"/>
    <w:qFormat/>
    <w:rsid w:val="00254A2F"/>
  </w:style>
  <w:style w:type="character" w:customStyle="1" w:styleId="CharDivNo">
    <w:name w:val="CharDivNo"/>
    <w:basedOn w:val="OPCCharBase"/>
    <w:qFormat/>
    <w:rsid w:val="00254A2F"/>
  </w:style>
  <w:style w:type="character" w:customStyle="1" w:styleId="CharDivText">
    <w:name w:val="CharDivText"/>
    <w:basedOn w:val="OPCCharBase"/>
    <w:qFormat/>
    <w:rsid w:val="00254A2F"/>
  </w:style>
  <w:style w:type="character" w:customStyle="1" w:styleId="CharPartNo">
    <w:name w:val="CharPartNo"/>
    <w:basedOn w:val="OPCCharBase"/>
    <w:qFormat/>
    <w:rsid w:val="00254A2F"/>
  </w:style>
  <w:style w:type="character" w:customStyle="1" w:styleId="CharPartText">
    <w:name w:val="CharPartText"/>
    <w:basedOn w:val="OPCCharBase"/>
    <w:qFormat/>
    <w:rsid w:val="00254A2F"/>
  </w:style>
  <w:style w:type="character" w:customStyle="1" w:styleId="OPCCharBase">
    <w:name w:val="OPCCharBase"/>
    <w:uiPriority w:val="1"/>
    <w:qFormat/>
    <w:rsid w:val="00254A2F"/>
  </w:style>
  <w:style w:type="paragraph" w:customStyle="1" w:styleId="OPCParaBase">
    <w:name w:val="OPCParaBase"/>
    <w:qFormat/>
    <w:rsid w:val="00254A2F"/>
    <w:pPr>
      <w:spacing w:line="260" w:lineRule="atLeast"/>
    </w:pPr>
    <w:rPr>
      <w:sz w:val="22"/>
    </w:rPr>
  </w:style>
  <w:style w:type="character" w:customStyle="1" w:styleId="CharSectno">
    <w:name w:val="CharSectno"/>
    <w:basedOn w:val="OPCCharBase"/>
    <w:qFormat/>
    <w:rsid w:val="00254A2F"/>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254A2F"/>
    <w:pPr>
      <w:spacing w:line="240" w:lineRule="auto"/>
      <w:ind w:left="1134"/>
    </w:pPr>
    <w:rPr>
      <w:sz w:val="20"/>
    </w:rPr>
  </w:style>
  <w:style w:type="paragraph" w:customStyle="1" w:styleId="ShortT">
    <w:name w:val="ShortT"/>
    <w:basedOn w:val="OPCParaBase"/>
    <w:next w:val="Normal"/>
    <w:qFormat/>
    <w:rsid w:val="00254A2F"/>
    <w:pPr>
      <w:spacing w:line="240" w:lineRule="auto"/>
    </w:pPr>
    <w:rPr>
      <w:b/>
      <w:sz w:val="40"/>
    </w:rPr>
  </w:style>
  <w:style w:type="paragraph" w:customStyle="1" w:styleId="Penalty">
    <w:name w:val="Penalty"/>
    <w:basedOn w:val="OPCParaBase"/>
    <w:rsid w:val="00254A2F"/>
    <w:pPr>
      <w:tabs>
        <w:tab w:val="left" w:pos="2977"/>
      </w:tabs>
      <w:spacing w:before="180" w:line="240" w:lineRule="auto"/>
      <w:ind w:left="1985" w:hanging="851"/>
    </w:pPr>
  </w:style>
  <w:style w:type="paragraph" w:customStyle="1" w:styleId="ActHead1">
    <w:name w:val="ActHead 1"/>
    <w:aliases w:val="c"/>
    <w:basedOn w:val="OPCParaBase"/>
    <w:next w:val="Normal"/>
    <w:qFormat/>
    <w:rsid w:val="00254A2F"/>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254A2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54A2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54A2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54A2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54A2F"/>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54A2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254A2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54A2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54A2F"/>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254A2F"/>
    <w:pPr>
      <w:spacing w:line="240" w:lineRule="auto"/>
    </w:pPr>
    <w:rPr>
      <w:sz w:val="20"/>
    </w:rPr>
  </w:style>
  <w:style w:type="paragraph" w:customStyle="1" w:styleId="ActHead2">
    <w:name w:val="ActHead 2"/>
    <w:aliases w:val="p"/>
    <w:basedOn w:val="OPCParaBase"/>
    <w:next w:val="ActHead3"/>
    <w:qFormat/>
    <w:rsid w:val="00254A2F"/>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254A2F"/>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uiPriority w:val="99"/>
    <w:rsid w:val="008A483B"/>
    <w:rPr>
      <w:sz w:val="16"/>
      <w:szCs w:val="16"/>
    </w:rPr>
  </w:style>
  <w:style w:type="paragraph" w:styleId="CommentText">
    <w:name w:val="annotation text"/>
    <w:basedOn w:val="Normal"/>
    <w:link w:val="CommentTextChar"/>
    <w:uiPriority w:val="99"/>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254A2F"/>
    <w:pPr>
      <w:spacing w:before="122" w:line="198" w:lineRule="exact"/>
      <w:ind w:left="1985" w:hanging="851"/>
    </w:pPr>
    <w:rPr>
      <w:sz w:val="18"/>
    </w:rPr>
  </w:style>
  <w:style w:type="paragraph" w:customStyle="1" w:styleId="ActHead3">
    <w:name w:val="ActHead 3"/>
    <w:aliases w:val="d"/>
    <w:basedOn w:val="OPCParaBase"/>
    <w:next w:val="ActHead4"/>
    <w:qFormat/>
    <w:rsid w:val="00254A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4A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54A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4A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4A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4A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4A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4A2F"/>
  </w:style>
  <w:style w:type="paragraph" w:customStyle="1" w:styleId="Blocks">
    <w:name w:val="Blocks"/>
    <w:aliases w:val="bb"/>
    <w:basedOn w:val="OPCParaBase"/>
    <w:qFormat/>
    <w:rsid w:val="00254A2F"/>
    <w:pPr>
      <w:spacing w:line="240" w:lineRule="auto"/>
    </w:pPr>
    <w:rPr>
      <w:sz w:val="24"/>
    </w:rPr>
  </w:style>
  <w:style w:type="paragraph" w:customStyle="1" w:styleId="BoxText">
    <w:name w:val="BoxText"/>
    <w:aliases w:val="bt"/>
    <w:basedOn w:val="OPCParaBase"/>
    <w:qFormat/>
    <w:rsid w:val="00254A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4A2F"/>
    <w:rPr>
      <w:b/>
    </w:rPr>
  </w:style>
  <w:style w:type="paragraph" w:customStyle="1" w:styleId="BoxHeadItalic">
    <w:name w:val="BoxHeadItalic"/>
    <w:aliases w:val="bhi"/>
    <w:basedOn w:val="BoxText"/>
    <w:next w:val="BoxStep"/>
    <w:qFormat/>
    <w:rsid w:val="00254A2F"/>
    <w:rPr>
      <w:i/>
    </w:rPr>
  </w:style>
  <w:style w:type="paragraph" w:customStyle="1" w:styleId="BoxList">
    <w:name w:val="BoxList"/>
    <w:aliases w:val="bl"/>
    <w:basedOn w:val="BoxText"/>
    <w:qFormat/>
    <w:rsid w:val="00254A2F"/>
    <w:pPr>
      <w:ind w:left="1559" w:hanging="425"/>
    </w:pPr>
  </w:style>
  <w:style w:type="paragraph" w:customStyle="1" w:styleId="BoxNote">
    <w:name w:val="BoxNote"/>
    <w:aliases w:val="bn"/>
    <w:basedOn w:val="BoxText"/>
    <w:qFormat/>
    <w:rsid w:val="00254A2F"/>
    <w:pPr>
      <w:tabs>
        <w:tab w:val="left" w:pos="1985"/>
      </w:tabs>
      <w:spacing w:before="122" w:line="198" w:lineRule="exact"/>
      <w:ind w:left="2948" w:hanging="1814"/>
    </w:pPr>
    <w:rPr>
      <w:sz w:val="18"/>
    </w:rPr>
  </w:style>
  <w:style w:type="paragraph" w:customStyle="1" w:styleId="BoxPara">
    <w:name w:val="BoxPara"/>
    <w:aliases w:val="bp"/>
    <w:basedOn w:val="BoxText"/>
    <w:qFormat/>
    <w:rsid w:val="00254A2F"/>
    <w:pPr>
      <w:tabs>
        <w:tab w:val="right" w:pos="2268"/>
      </w:tabs>
      <w:ind w:left="2552" w:hanging="1418"/>
    </w:pPr>
  </w:style>
  <w:style w:type="paragraph" w:customStyle="1" w:styleId="BoxStep">
    <w:name w:val="BoxStep"/>
    <w:aliases w:val="bs"/>
    <w:basedOn w:val="BoxText"/>
    <w:qFormat/>
    <w:rsid w:val="00254A2F"/>
    <w:pPr>
      <w:ind w:left="1985" w:hanging="851"/>
    </w:pPr>
  </w:style>
  <w:style w:type="character" w:customStyle="1" w:styleId="CharAmPartNo">
    <w:name w:val="CharAmPartNo"/>
    <w:basedOn w:val="OPCCharBase"/>
    <w:uiPriority w:val="1"/>
    <w:qFormat/>
    <w:rsid w:val="00254A2F"/>
  </w:style>
  <w:style w:type="character" w:customStyle="1" w:styleId="CharAmPartText">
    <w:name w:val="CharAmPartText"/>
    <w:basedOn w:val="OPCCharBase"/>
    <w:uiPriority w:val="1"/>
    <w:qFormat/>
    <w:rsid w:val="00254A2F"/>
  </w:style>
  <w:style w:type="character" w:customStyle="1" w:styleId="CharBoldItalic">
    <w:name w:val="CharBoldItalic"/>
    <w:basedOn w:val="OPCCharBase"/>
    <w:uiPriority w:val="1"/>
    <w:qFormat/>
    <w:rsid w:val="00254A2F"/>
    <w:rPr>
      <w:b/>
      <w:i/>
    </w:rPr>
  </w:style>
  <w:style w:type="character" w:customStyle="1" w:styleId="CharItalic">
    <w:name w:val="CharItalic"/>
    <w:basedOn w:val="OPCCharBase"/>
    <w:uiPriority w:val="1"/>
    <w:qFormat/>
    <w:rsid w:val="00254A2F"/>
    <w:rPr>
      <w:i/>
    </w:rPr>
  </w:style>
  <w:style w:type="character" w:customStyle="1" w:styleId="CharSubdNo">
    <w:name w:val="CharSubdNo"/>
    <w:basedOn w:val="OPCCharBase"/>
    <w:uiPriority w:val="1"/>
    <w:qFormat/>
    <w:rsid w:val="00254A2F"/>
  </w:style>
  <w:style w:type="character" w:customStyle="1" w:styleId="CharSubdText">
    <w:name w:val="CharSubdText"/>
    <w:basedOn w:val="OPCCharBase"/>
    <w:uiPriority w:val="1"/>
    <w:qFormat/>
    <w:rsid w:val="00254A2F"/>
  </w:style>
  <w:style w:type="paragraph" w:customStyle="1" w:styleId="CTA--">
    <w:name w:val="CTA --"/>
    <w:basedOn w:val="OPCParaBase"/>
    <w:next w:val="Normal"/>
    <w:rsid w:val="00254A2F"/>
    <w:pPr>
      <w:spacing w:before="60" w:line="240" w:lineRule="atLeast"/>
      <w:ind w:left="142" w:hanging="142"/>
    </w:pPr>
    <w:rPr>
      <w:sz w:val="20"/>
    </w:rPr>
  </w:style>
  <w:style w:type="paragraph" w:customStyle="1" w:styleId="CTA-">
    <w:name w:val="CTA -"/>
    <w:basedOn w:val="OPCParaBase"/>
    <w:rsid w:val="00254A2F"/>
    <w:pPr>
      <w:spacing w:before="60" w:line="240" w:lineRule="atLeast"/>
      <w:ind w:left="85" w:hanging="85"/>
    </w:pPr>
    <w:rPr>
      <w:sz w:val="20"/>
    </w:rPr>
  </w:style>
  <w:style w:type="paragraph" w:customStyle="1" w:styleId="CTA---">
    <w:name w:val="CTA ---"/>
    <w:basedOn w:val="OPCParaBase"/>
    <w:next w:val="Normal"/>
    <w:rsid w:val="00254A2F"/>
    <w:pPr>
      <w:spacing w:before="60" w:line="240" w:lineRule="atLeast"/>
      <w:ind w:left="198" w:hanging="198"/>
    </w:pPr>
    <w:rPr>
      <w:sz w:val="20"/>
    </w:rPr>
  </w:style>
  <w:style w:type="paragraph" w:customStyle="1" w:styleId="CTA----">
    <w:name w:val="CTA ----"/>
    <w:basedOn w:val="OPCParaBase"/>
    <w:next w:val="Normal"/>
    <w:rsid w:val="00254A2F"/>
    <w:pPr>
      <w:spacing w:before="60" w:line="240" w:lineRule="atLeast"/>
      <w:ind w:left="255" w:hanging="255"/>
    </w:pPr>
    <w:rPr>
      <w:sz w:val="20"/>
    </w:rPr>
  </w:style>
  <w:style w:type="paragraph" w:customStyle="1" w:styleId="CTA1a">
    <w:name w:val="CTA 1(a)"/>
    <w:basedOn w:val="OPCParaBase"/>
    <w:rsid w:val="00254A2F"/>
    <w:pPr>
      <w:tabs>
        <w:tab w:val="right" w:pos="414"/>
      </w:tabs>
      <w:spacing w:before="40" w:line="240" w:lineRule="atLeast"/>
      <w:ind w:left="675" w:hanging="675"/>
    </w:pPr>
    <w:rPr>
      <w:sz w:val="20"/>
    </w:rPr>
  </w:style>
  <w:style w:type="paragraph" w:customStyle="1" w:styleId="CTA1ai">
    <w:name w:val="CTA 1(a)(i)"/>
    <w:basedOn w:val="OPCParaBase"/>
    <w:rsid w:val="00254A2F"/>
    <w:pPr>
      <w:tabs>
        <w:tab w:val="right" w:pos="1004"/>
      </w:tabs>
      <w:spacing w:before="40" w:line="240" w:lineRule="atLeast"/>
      <w:ind w:left="1253" w:hanging="1253"/>
    </w:pPr>
    <w:rPr>
      <w:sz w:val="20"/>
    </w:rPr>
  </w:style>
  <w:style w:type="paragraph" w:customStyle="1" w:styleId="CTA2a">
    <w:name w:val="CTA 2(a)"/>
    <w:basedOn w:val="OPCParaBase"/>
    <w:rsid w:val="00254A2F"/>
    <w:pPr>
      <w:tabs>
        <w:tab w:val="right" w:pos="482"/>
      </w:tabs>
      <w:spacing w:before="40" w:line="240" w:lineRule="atLeast"/>
      <w:ind w:left="748" w:hanging="748"/>
    </w:pPr>
    <w:rPr>
      <w:sz w:val="20"/>
    </w:rPr>
  </w:style>
  <w:style w:type="paragraph" w:customStyle="1" w:styleId="CTA2ai">
    <w:name w:val="CTA 2(a)(i)"/>
    <w:basedOn w:val="OPCParaBase"/>
    <w:rsid w:val="00254A2F"/>
    <w:pPr>
      <w:tabs>
        <w:tab w:val="right" w:pos="1089"/>
      </w:tabs>
      <w:spacing w:before="40" w:line="240" w:lineRule="atLeast"/>
      <w:ind w:left="1327" w:hanging="1327"/>
    </w:pPr>
    <w:rPr>
      <w:sz w:val="20"/>
    </w:rPr>
  </w:style>
  <w:style w:type="paragraph" w:customStyle="1" w:styleId="CTA3a">
    <w:name w:val="CTA 3(a)"/>
    <w:basedOn w:val="OPCParaBase"/>
    <w:rsid w:val="00254A2F"/>
    <w:pPr>
      <w:tabs>
        <w:tab w:val="right" w:pos="556"/>
      </w:tabs>
      <w:spacing w:before="40" w:line="240" w:lineRule="atLeast"/>
      <w:ind w:left="805" w:hanging="805"/>
    </w:pPr>
    <w:rPr>
      <w:sz w:val="20"/>
    </w:rPr>
  </w:style>
  <w:style w:type="paragraph" w:customStyle="1" w:styleId="CTA3ai">
    <w:name w:val="CTA 3(a)(i)"/>
    <w:basedOn w:val="OPCParaBase"/>
    <w:rsid w:val="00254A2F"/>
    <w:pPr>
      <w:tabs>
        <w:tab w:val="right" w:pos="1140"/>
      </w:tabs>
      <w:spacing w:before="40" w:line="240" w:lineRule="atLeast"/>
      <w:ind w:left="1361" w:hanging="1361"/>
    </w:pPr>
    <w:rPr>
      <w:sz w:val="20"/>
    </w:rPr>
  </w:style>
  <w:style w:type="paragraph" w:customStyle="1" w:styleId="CTA4a">
    <w:name w:val="CTA 4(a)"/>
    <w:basedOn w:val="OPCParaBase"/>
    <w:rsid w:val="00254A2F"/>
    <w:pPr>
      <w:tabs>
        <w:tab w:val="right" w:pos="624"/>
      </w:tabs>
      <w:spacing w:before="40" w:line="240" w:lineRule="atLeast"/>
      <w:ind w:left="873" w:hanging="873"/>
    </w:pPr>
    <w:rPr>
      <w:sz w:val="20"/>
    </w:rPr>
  </w:style>
  <w:style w:type="paragraph" w:customStyle="1" w:styleId="CTA4ai">
    <w:name w:val="CTA 4(a)(i)"/>
    <w:basedOn w:val="OPCParaBase"/>
    <w:rsid w:val="00254A2F"/>
    <w:pPr>
      <w:tabs>
        <w:tab w:val="right" w:pos="1213"/>
      </w:tabs>
      <w:spacing w:before="40" w:line="240" w:lineRule="atLeast"/>
      <w:ind w:left="1452" w:hanging="1452"/>
    </w:pPr>
    <w:rPr>
      <w:sz w:val="20"/>
    </w:rPr>
  </w:style>
  <w:style w:type="paragraph" w:customStyle="1" w:styleId="CTACAPS">
    <w:name w:val="CTA CAPS"/>
    <w:basedOn w:val="OPCParaBase"/>
    <w:rsid w:val="00254A2F"/>
    <w:pPr>
      <w:spacing w:before="60" w:line="240" w:lineRule="atLeast"/>
    </w:pPr>
    <w:rPr>
      <w:sz w:val="20"/>
    </w:rPr>
  </w:style>
  <w:style w:type="paragraph" w:customStyle="1" w:styleId="CTAright">
    <w:name w:val="CTA right"/>
    <w:basedOn w:val="OPCParaBase"/>
    <w:rsid w:val="00254A2F"/>
    <w:pPr>
      <w:spacing w:before="60" w:line="240" w:lineRule="auto"/>
      <w:jc w:val="right"/>
    </w:pPr>
    <w:rPr>
      <w:sz w:val="20"/>
    </w:rPr>
  </w:style>
  <w:style w:type="paragraph" w:customStyle="1" w:styleId="subsection">
    <w:name w:val="subsection"/>
    <w:aliases w:val="ss"/>
    <w:basedOn w:val="OPCParaBase"/>
    <w:rsid w:val="00254A2F"/>
    <w:pPr>
      <w:tabs>
        <w:tab w:val="right" w:pos="1021"/>
      </w:tabs>
      <w:spacing w:before="180" w:line="240" w:lineRule="auto"/>
      <w:ind w:left="1134" w:hanging="1134"/>
    </w:pPr>
  </w:style>
  <w:style w:type="paragraph" w:customStyle="1" w:styleId="Definition">
    <w:name w:val="Definition"/>
    <w:aliases w:val="dd"/>
    <w:basedOn w:val="OPCParaBase"/>
    <w:rsid w:val="00254A2F"/>
    <w:pPr>
      <w:spacing w:before="180" w:line="240" w:lineRule="auto"/>
      <w:ind w:left="1134"/>
    </w:pPr>
  </w:style>
  <w:style w:type="character" w:customStyle="1" w:styleId="HeaderChar">
    <w:name w:val="Header Char"/>
    <w:basedOn w:val="DefaultParagraphFont"/>
    <w:link w:val="Header"/>
    <w:rsid w:val="00254A2F"/>
    <w:rPr>
      <w:sz w:val="16"/>
    </w:rPr>
  </w:style>
  <w:style w:type="paragraph" w:customStyle="1" w:styleId="House">
    <w:name w:val="House"/>
    <w:basedOn w:val="OPCParaBase"/>
    <w:rsid w:val="00254A2F"/>
    <w:pPr>
      <w:spacing w:line="240" w:lineRule="auto"/>
    </w:pPr>
    <w:rPr>
      <w:sz w:val="28"/>
    </w:rPr>
  </w:style>
  <w:style w:type="paragraph" w:customStyle="1" w:styleId="Item">
    <w:name w:val="Item"/>
    <w:aliases w:val="i"/>
    <w:basedOn w:val="OPCParaBase"/>
    <w:next w:val="ItemHead"/>
    <w:rsid w:val="00254A2F"/>
    <w:pPr>
      <w:keepLines/>
      <w:spacing w:before="80" w:line="240" w:lineRule="auto"/>
      <w:ind w:left="709"/>
    </w:pPr>
  </w:style>
  <w:style w:type="paragraph" w:customStyle="1" w:styleId="ItemHead">
    <w:name w:val="ItemHead"/>
    <w:aliases w:val="ih"/>
    <w:basedOn w:val="OPCParaBase"/>
    <w:next w:val="Item"/>
    <w:rsid w:val="00254A2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4A2F"/>
    <w:pPr>
      <w:spacing w:line="240" w:lineRule="auto"/>
    </w:pPr>
    <w:rPr>
      <w:b/>
      <w:sz w:val="32"/>
    </w:rPr>
  </w:style>
  <w:style w:type="paragraph" w:customStyle="1" w:styleId="notedraft">
    <w:name w:val="note(draft)"/>
    <w:aliases w:val="nd"/>
    <w:basedOn w:val="OPCParaBase"/>
    <w:rsid w:val="00254A2F"/>
    <w:pPr>
      <w:spacing w:before="240" w:line="240" w:lineRule="auto"/>
      <w:ind w:left="284" w:hanging="284"/>
    </w:pPr>
    <w:rPr>
      <w:i/>
      <w:sz w:val="24"/>
    </w:rPr>
  </w:style>
  <w:style w:type="paragraph" w:customStyle="1" w:styleId="notemargin">
    <w:name w:val="note(margin)"/>
    <w:aliases w:val="nm"/>
    <w:basedOn w:val="OPCParaBase"/>
    <w:rsid w:val="00254A2F"/>
    <w:pPr>
      <w:tabs>
        <w:tab w:val="left" w:pos="709"/>
      </w:tabs>
      <w:spacing w:before="122" w:line="198" w:lineRule="exact"/>
      <w:ind w:left="709" w:hanging="709"/>
    </w:pPr>
    <w:rPr>
      <w:sz w:val="18"/>
    </w:rPr>
  </w:style>
  <w:style w:type="paragraph" w:customStyle="1" w:styleId="notepara">
    <w:name w:val="note(para)"/>
    <w:aliases w:val="na"/>
    <w:basedOn w:val="OPCParaBase"/>
    <w:rsid w:val="00254A2F"/>
    <w:pPr>
      <w:spacing w:before="40" w:line="198" w:lineRule="exact"/>
      <w:ind w:left="2354" w:hanging="369"/>
    </w:pPr>
    <w:rPr>
      <w:sz w:val="18"/>
    </w:rPr>
  </w:style>
  <w:style w:type="paragraph" w:customStyle="1" w:styleId="noteParlAmend">
    <w:name w:val="note(ParlAmend)"/>
    <w:aliases w:val="npp"/>
    <w:basedOn w:val="OPCParaBase"/>
    <w:next w:val="ParlAmend"/>
    <w:rsid w:val="00254A2F"/>
    <w:pPr>
      <w:spacing w:line="240" w:lineRule="auto"/>
      <w:jc w:val="right"/>
    </w:pPr>
    <w:rPr>
      <w:rFonts w:ascii="Arial" w:hAnsi="Arial"/>
      <w:b/>
      <w:i/>
    </w:rPr>
  </w:style>
  <w:style w:type="paragraph" w:customStyle="1" w:styleId="Page1">
    <w:name w:val="Page1"/>
    <w:basedOn w:val="OPCParaBase"/>
    <w:rsid w:val="00254A2F"/>
    <w:pPr>
      <w:spacing w:before="5600" w:line="240" w:lineRule="auto"/>
    </w:pPr>
    <w:rPr>
      <w:b/>
      <w:sz w:val="32"/>
    </w:rPr>
  </w:style>
  <w:style w:type="paragraph" w:customStyle="1" w:styleId="paragraphsub">
    <w:name w:val="paragraph(sub)"/>
    <w:aliases w:val="aa"/>
    <w:basedOn w:val="OPCParaBase"/>
    <w:rsid w:val="00254A2F"/>
    <w:pPr>
      <w:tabs>
        <w:tab w:val="right" w:pos="1985"/>
      </w:tabs>
      <w:spacing w:before="40" w:line="240" w:lineRule="auto"/>
      <w:ind w:left="2098" w:hanging="2098"/>
    </w:pPr>
  </w:style>
  <w:style w:type="paragraph" w:customStyle="1" w:styleId="paragraphsub-sub">
    <w:name w:val="paragraph(sub-sub)"/>
    <w:aliases w:val="aaa"/>
    <w:basedOn w:val="OPCParaBase"/>
    <w:rsid w:val="00254A2F"/>
    <w:pPr>
      <w:tabs>
        <w:tab w:val="right" w:pos="2722"/>
      </w:tabs>
      <w:spacing w:before="40" w:line="240" w:lineRule="auto"/>
      <w:ind w:left="2835" w:hanging="2835"/>
    </w:pPr>
  </w:style>
  <w:style w:type="paragraph" w:customStyle="1" w:styleId="paragraph">
    <w:name w:val="paragraph"/>
    <w:aliases w:val="a"/>
    <w:basedOn w:val="OPCParaBase"/>
    <w:rsid w:val="00254A2F"/>
    <w:pPr>
      <w:tabs>
        <w:tab w:val="right" w:pos="1531"/>
      </w:tabs>
      <w:spacing w:before="40" w:line="240" w:lineRule="auto"/>
      <w:ind w:left="1644" w:hanging="1644"/>
    </w:pPr>
  </w:style>
  <w:style w:type="paragraph" w:customStyle="1" w:styleId="ParlAmend">
    <w:name w:val="ParlAmend"/>
    <w:aliases w:val="pp"/>
    <w:basedOn w:val="OPCParaBase"/>
    <w:rsid w:val="00254A2F"/>
    <w:pPr>
      <w:spacing w:before="240" w:line="240" w:lineRule="atLeast"/>
      <w:ind w:hanging="567"/>
    </w:pPr>
    <w:rPr>
      <w:sz w:val="24"/>
    </w:rPr>
  </w:style>
  <w:style w:type="paragraph" w:customStyle="1" w:styleId="Portfolio">
    <w:name w:val="Portfolio"/>
    <w:basedOn w:val="OPCParaBase"/>
    <w:rsid w:val="00254A2F"/>
    <w:pPr>
      <w:spacing w:line="240" w:lineRule="auto"/>
    </w:pPr>
    <w:rPr>
      <w:i/>
      <w:sz w:val="20"/>
    </w:rPr>
  </w:style>
  <w:style w:type="paragraph" w:customStyle="1" w:styleId="Preamble">
    <w:name w:val="Preamble"/>
    <w:basedOn w:val="OPCParaBase"/>
    <w:next w:val="Normal"/>
    <w:rsid w:val="00254A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4A2F"/>
    <w:pPr>
      <w:spacing w:line="240" w:lineRule="auto"/>
    </w:pPr>
    <w:rPr>
      <w:i/>
      <w:sz w:val="20"/>
    </w:rPr>
  </w:style>
  <w:style w:type="paragraph" w:customStyle="1" w:styleId="Session">
    <w:name w:val="Session"/>
    <w:basedOn w:val="OPCParaBase"/>
    <w:rsid w:val="00254A2F"/>
    <w:pPr>
      <w:spacing w:line="240" w:lineRule="auto"/>
    </w:pPr>
    <w:rPr>
      <w:sz w:val="28"/>
    </w:rPr>
  </w:style>
  <w:style w:type="paragraph" w:customStyle="1" w:styleId="Sponsor">
    <w:name w:val="Sponsor"/>
    <w:basedOn w:val="OPCParaBase"/>
    <w:rsid w:val="00254A2F"/>
    <w:pPr>
      <w:spacing w:line="240" w:lineRule="auto"/>
    </w:pPr>
    <w:rPr>
      <w:i/>
    </w:rPr>
  </w:style>
  <w:style w:type="paragraph" w:customStyle="1" w:styleId="Subitem">
    <w:name w:val="Subitem"/>
    <w:aliases w:val="iss"/>
    <w:basedOn w:val="OPCParaBase"/>
    <w:rsid w:val="00254A2F"/>
    <w:pPr>
      <w:spacing w:before="180" w:line="240" w:lineRule="auto"/>
      <w:ind w:left="709" w:hanging="709"/>
    </w:pPr>
  </w:style>
  <w:style w:type="paragraph" w:customStyle="1" w:styleId="SubitemHead">
    <w:name w:val="SubitemHead"/>
    <w:aliases w:val="issh"/>
    <w:basedOn w:val="OPCParaBase"/>
    <w:rsid w:val="00254A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4A2F"/>
    <w:pPr>
      <w:spacing w:before="40" w:line="240" w:lineRule="auto"/>
      <w:ind w:left="1134"/>
    </w:pPr>
  </w:style>
  <w:style w:type="paragraph" w:customStyle="1" w:styleId="SubsectionHead">
    <w:name w:val="SubsectionHead"/>
    <w:aliases w:val="ssh"/>
    <w:basedOn w:val="OPCParaBase"/>
    <w:next w:val="subsection"/>
    <w:rsid w:val="00254A2F"/>
    <w:pPr>
      <w:keepNext/>
      <w:keepLines/>
      <w:spacing w:before="240" w:line="240" w:lineRule="auto"/>
      <w:ind w:left="1134"/>
    </w:pPr>
    <w:rPr>
      <w:i/>
    </w:rPr>
  </w:style>
  <w:style w:type="paragraph" w:customStyle="1" w:styleId="Tablea">
    <w:name w:val="Table(a)"/>
    <w:aliases w:val="ta"/>
    <w:basedOn w:val="OPCParaBase"/>
    <w:rsid w:val="00254A2F"/>
    <w:pPr>
      <w:spacing w:before="60" w:line="240" w:lineRule="auto"/>
      <w:ind w:left="284" w:hanging="284"/>
    </w:pPr>
    <w:rPr>
      <w:sz w:val="20"/>
    </w:rPr>
  </w:style>
  <w:style w:type="paragraph" w:customStyle="1" w:styleId="TableAA">
    <w:name w:val="Table(AA)"/>
    <w:aliases w:val="taaa"/>
    <w:basedOn w:val="OPCParaBase"/>
    <w:rsid w:val="00254A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4A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4A2F"/>
    <w:pPr>
      <w:spacing w:before="60" w:line="240" w:lineRule="atLeast"/>
    </w:pPr>
    <w:rPr>
      <w:sz w:val="20"/>
    </w:rPr>
  </w:style>
  <w:style w:type="paragraph" w:customStyle="1" w:styleId="TLPBoxTextnote">
    <w:name w:val="TLPBoxText(note"/>
    <w:aliases w:val="right)"/>
    <w:basedOn w:val="OPCParaBase"/>
    <w:rsid w:val="00254A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4A2F"/>
    <w:pPr>
      <w:numPr>
        <w:numId w:val="1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4A2F"/>
    <w:pPr>
      <w:spacing w:before="122" w:line="198" w:lineRule="exact"/>
      <w:ind w:left="1985" w:hanging="851"/>
      <w:jc w:val="right"/>
    </w:pPr>
    <w:rPr>
      <w:sz w:val="18"/>
    </w:rPr>
  </w:style>
  <w:style w:type="paragraph" w:customStyle="1" w:styleId="TLPTableBullet">
    <w:name w:val="TLPTableBullet"/>
    <w:aliases w:val="ttb"/>
    <w:basedOn w:val="OPCParaBase"/>
    <w:rsid w:val="00254A2F"/>
    <w:pPr>
      <w:spacing w:line="240" w:lineRule="exact"/>
      <w:ind w:left="284" w:hanging="284"/>
    </w:pPr>
    <w:rPr>
      <w:sz w:val="20"/>
    </w:rPr>
  </w:style>
  <w:style w:type="paragraph" w:customStyle="1" w:styleId="TofSectsGroupHeading">
    <w:name w:val="TofSects(GroupHeading)"/>
    <w:basedOn w:val="OPCParaBase"/>
    <w:next w:val="TofSectsSection"/>
    <w:rsid w:val="00254A2F"/>
    <w:pPr>
      <w:keepLines/>
      <w:spacing w:before="240" w:after="120" w:line="240" w:lineRule="auto"/>
      <w:ind w:left="794"/>
    </w:pPr>
    <w:rPr>
      <w:b/>
      <w:kern w:val="28"/>
      <w:sz w:val="20"/>
    </w:rPr>
  </w:style>
  <w:style w:type="paragraph" w:customStyle="1" w:styleId="TofSectsHeading">
    <w:name w:val="TofSects(Heading)"/>
    <w:basedOn w:val="OPCParaBase"/>
    <w:rsid w:val="00254A2F"/>
    <w:pPr>
      <w:spacing w:before="240" w:after="120" w:line="240" w:lineRule="auto"/>
    </w:pPr>
    <w:rPr>
      <w:b/>
      <w:sz w:val="24"/>
    </w:rPr>
  </w:style>
  <w:style w:type="paragraph" w:customStyle="1" w:styleId="TofSectsSection">
    <w:name w:val="TofSects(Section)"/>
    <w:basedOn w:val="OPCParaBase"/>
    <w:rsid w:val="00254A2F"/>
    <w:pPr>
      <w:keepLines/>
      <w:spacing w:before="40" w:line="240" w:lineRule="auto"/>
      <w:ind w:left="1588" w:hanging="794"/>
    </w:pPr>
    <w:rPr>
      <w:kern w:val="28"/>
      <w:sz w:val="18"/>
    </w:rPr>
  </w:style>
  <w:style w:type="paragraph" w:customStyle="1" w:styleId="TofSectsSubdiv">
    <w:name w:val="TofSects(Subdiv)"/>
    <w:basedOn w:val="OPCParaBase"/>
    <w:rsid w:val="00254A2F"/>
    <w:pPr>
      <w:keepLines/>
      <w:spacing w:before="80" w:line="240" w:lineRule="auto"/>
      <w:ind w:left="1588" w:hanging="794"/>
    </w:pPr>
    <w:rPr>
      <w:kern w:val="28"/>
    </w:rPr>
  </w:style>
  <w:style w:type="paragraph" w:customStyle="1" w:styleId="WRStyle">
    <w:name w:val="WR Style"/>
    <w:aliases w:val="WR"/>
    <w:basedOn w:val="OPCParaBase"/>
    <w:rsid w:val="00254A2F"/>
    <w:pPr>
      <w:spacing w:before="240" w:line="240" w:lineRule="auto"/>
      <w:ind w:left="284" w:hanging="284"/>
    </w:pPr>
    <w:rPr>
      <w:b/>
      <w:i/>
      <w:kern w:val="28"/>
      <w:sz w:val="24"/>
    </w:rPr>
  </w:style>
  <w:style w:type="numbering" w:customStyle="1" w:styleId="OPCBodyList">
    <w:name w:val="OPCBodyList"/>
    <w:uiPriority w:val="99"/>
    <w:rsid w:val="00287170"/>
    <w:pPr>
      <w:numPr>
        <w:numId w:val="20"/>
      </w:numPr>
    </w:pPr>
  </w:style>
  <w:style w:type="paragraph" w:customStyle="1" w:styleId="noteToPara">
    <w:name w:val="noteToPara"/>
    <w:aliases w:val="ntp"/>
    <w:basedOn w:val="OPCParaBase"/>
    <w:rsid w:val="00254A2F"/>
    <w:pPr>
      <w:spacing w:before="122" w:line="198" w:lineRule="exact"/>
      <w:ind w:left="2353" w:hanging="709"/>
    </w:pPr>
    <w:rPr>
      <w:sz w:val="18"/>
    </w:rPr>
  </w:style>
  <w:style w:type="character" w:customStyle="1" w:styleId="FooterChar">
    <w:name w:val="Footer Char"/>
    <w:basedOn w:val="DefaultParagraphFont"/>
    <w:link w:val="Footer"/>
    <w:rsid w:val="00254A2F"/>
    <w:rPr>
      <w:sz w:val="22"/>
      <w:szCs w:val="24"/>
      <w:lang w:val="en-AU" w:eastAsia="en-AU" w:bidi="ar-SA"/>
    </w:rPr>
  </w:style>
  <w:style w:type="character" w:customStyle="1" w:styleId="BalloonTextChar">
    <w:name w:val="Balloon Text Char"/>
    <w:basedOn w:val="DefaultParagraphFont"/>
    <w:link w:val="BalloonText"/>
    <w:uiPriority w:val="99"/>
    <w:rsid w:val="00254A2F"/>
    <w:rPr>
      <w:rFonts w:ascii="Tahoma" w:eastAsia="Calibri" w:hAnsi="Tahoma" w:cs="Tahoma"/>
      <w:sz w:val="16"/>
      <w:szCs w:val="16"/>
      <w:lang w:eastAsia="en-US"/>
    </w:rPr>
  </w:style>
  <w:style w:type="table" w:customStyle="1" w:styleId="CFlag">
    <w:name w:val="CFlag"/>
    <w:basedOn w:val="TableNormal"/>
    <w:uiPriority w:val="99"/>
    <w:rsid w:val="00254A2F"/>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ENotesHeading2"/>
    <w:rsid w:val="00254A2F"/>
    <w:pPr>
      <w:spacing w:before="120"/>
      <w:outlineLvl w:val="0"/>
    </w:pPr>
    <w:rPr>
      <w:b/>
      <w:sz w:val="28"/>
      <w:szCs w:val="28"/>
    </w:rPr>
  </w:style>
  <w:style w:type="paragraph" w:customStyle="1" w:styleId="ENotesHeading2">
    <w:name w:val="ENotesHeading 2"/>
    <w:aliases w:val="Enh2"/>
    <w:basedOn w:val="OPCParaBase"/>
    <w:next w:val="ENotesHeading3"/>
    <w:rsid w:val="00254A2F"/>
    <w:pPr>
      <w:spacing w:before="120" w:after="120"/>
      <w:outlineLvl w:val="6"/>
    </w:pPr>
    <w:rPr>
      <w:b/>
      <w:sz w:val="24"/>
      <w:szCs w:val="28"/>
    </w:rPr>
  </w:style>
  <w:style w:type="paragraph" w:customStyle="1" w:styleId="ENotesHeading3">
    <w:name w:val="ENotesHeading 3"/>
    <w:aliases w:val="Enh3"/>
    <w:basedOn w:val="OPCParaBase"/>
    <w:next w:val="Normal"/>
    <w:rsid w:val="00254A2F"/>
    <w:pPr>
      <w:spacing w:before="120" w:line="240" w:lineRule="auto"/>
      <w:outlineLvl w:val="7"/>
    </w:pPr>
    <w:rPr>
      <w:b/>
      <w:szCs w:val="24"/>
    </w:rPr>
  </w:style>
  <w:style w:type="paragraph" w:customStyle="1" w:styleId="ENotesText">
    <w:name w:val="ENotesText"/>
    <w:aliases w:val="Ent"/>
    <w:basedOn w:val="OPCParaBase"/>
    <w:next w:val="Normal"/>
    <w:rsid w:val="00254A2F"/>
    <w:pPr>
      <w:spacing w:before="120"/>
    </w:pPr>
  </w:style>
  <w:style w:type="paragraph" w:customStyle="1" w:styleId="CompiledActNo">
    <w:name w:val="CompiledActNo"/>
    <w:basedOn w:val="OPCParaBase"/>
    <w:next w:val="Normal"/>
    <w:rsid w:val="00254A2F"/>
    <w:rPr>
      <w:b/>
      <w:sz w:val="24"/>
      <w:szCs w:val="24"/>
    </w:rPr>
  </w:style>
  <w:style w:type="paragraph" w:customStyle="1" w:styleId="CompiledMadeUnder">
    <w:name w:val="CompiledMadeUnder"/>
    <w:basedOn w:val="OPCParaBase"/>
    <w:next w:val="Normal"/>
    <w:rsid w:val="00254A2F"/>
    <w:rPr>
      <w:i/>
      <w:sz w:val="24"/>
      <w:szCs w:val="24"/>
    </w:rPr>
  </w:style>
  <w:style w:type="paragraph" w:customStyle="1" w:styleId="Paragraphsub-sub-sub">
    <w:name w:val="Paragraph(sub-sub-sub)"/>
    <w:aliases w:val="aaaa"/>
    <w:basedOn w:val="OPCParaBase"/>
    <w:rsid w:val="00254A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54A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4A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4A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4A2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54A2F"/>
    <w:pPr>
      <w:spacing w:before="60" w:line="240" w:lineRule="auto"/>
    </w:pPr>
    <w:rPr>
      <w:rFonts w:cs="Arial"/>
      <w:sz w:val="20"/>
      <w:szCs w:val="22"/>
    </w:rPr>
  </w:style>
  <w:style w:type="paragraph" w:customStyle="1" w:styleId="InstNo">
    <w:name w:val="InstNo"/>
    <w:basedOn w:val="OPCParaBase"/>
    <w:next w:val="Normal"/>
    <w:rsid w:val="00254A2F"/>
    <w:rPr>
      <w:b/>
      <w:sz w:val="28"/>
      <w:szCs w:val="32"/>
    </w:rPr>
  </w:style>
  <w:style w:type="paragraph" w:customStyle="1" w:styleId="LegislationMadeUnder">
    <w:name w:val="LegislationMadeUnder"/>
    <w:basedOn w:val="OPCParaBase"/>
    <w:next w:val="Normal"/>
    <w:rsid w:val="00254A2F"/>
    <w:rPr>
      <w:i/>
      <w:sz w:val="32"/>
      <w:szCs w:val="32"/>
    </w:rPr>
  </w:style>
  <w:style w:type="paragraph" w:customStyle="1" w:styleId="ActHead10">
    <w:name w:val="ActHead 10"/>
    <w:aliases w:val="sp"/>
    <w:basedOn w:val="OPCParaBase"/>
    <w:next w:val="ActHead3"/>
    <w:rsid w:val="00254A2F"/>
    <w:pPr>
      <w:keepNext/>
      <w:spacing w:before="280" w:line="240" w:lineRule="auto"/>
      <w:outlineLvl w:val="1"/>
    </w:pPr>
    <w:rPr>
      <w:b/>
      <w:sz w:val="32"/>
      <w:szCs w:val="30"/>
    </w:rPr>
  </w:style>
  <w:style w:type="paragraph" w:customStyle="1" w:styleId="SignCoverPageEnd">
    <w:name w:val="SignCoverPageEnd"/>
    <w:basedOn w:val="OPCParaBase"/>
    <w:next w:val="Normal"/>
    <w:rsid w:val="00254A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54A2F"/>
    <w:pPr>
      <w:pBdr>
        <w:top w:val="single" w:sz="4" w:space="1" w:color="auto"/>
      </w:pBdr>
      <w:spacing w:before="360"/>
      <w:ind w:right="397"/>
      <w:jc w:val="both"/>
    </w:pPr>
  </w:style>
  <w:style w:type="paragraph" w:customStyle="1" w:styleId="NotesHeading1">
    <w:name w:val="NotesHeading 1"/>
    <w:basedOn w:val="OPCParaBase"/>
    <w:next w:val="Normal"/>
    <w:rsid w:val="00254A2F"/>
    <w:pPr>
      <w:outlineLvl w:val="0"/>
    </w:pPr>
    <w:rPr>
      <w:b/>
      <w:sz w:val="28"/>
      <w:szCs w:val="28"/>
    </w:rPr>
  </w:style>
  <w:style w:type="paragraph" w:customStyle="1" w:styleId="NotesHeading2">
    <w:name w:val="NotesHeading 2"/>
    <w:basedOn w:val="OPCParaBase"/>
    <w:next w:val="Normal"/>
    <w:rsid w:val="00254A2F"/>
    <w:rPr>
      <w:b/>
      <w:sz w:val="28"/>
      <w:szCs w:val="28"/>
    </w:rPr>
  </w:style>
  <w:style w:type="paragraph" w:customStyle="1" w:styleId="ACMABodyText">
    <w:name w:val="ACMA Body Text"/>
    <w:rsid w:val="00D34188"/>
    <w:pPr>
      <w:suppressAutoHyphens/>
      <w:spacing w:before="80" w:after="120" w:line="280" w:lineRule="atLeast"/>
      <w:ind w:left="992" w:hanging="992"/>
    </w:pPr>
    <w:rPr>
      <w:snapToGrid w:val="0"/>
      <w:sz w:val="24"/>
      <w:lang w:eastAsia="en-US"/>
    </w:rPr>
  </w:style>
  <w:style w:type="paragraph" w:styleId="ListParagraph">
    <w:name w:val="List Paragraph"/>
    <w:basedOn w:val="Normal"/>
    <w:uiPriority w:val="34"/>
    <w:qFormat/>
    <w:rsid w:val="004C2C9E"/>
    <w:pPr>
      <w:spacing w:after="240" w:line="276" w:lineRule="auto"/>
      <w:ind w:left="720" w:hanging="992"/>
      <w:contextualSpacing/>
    </w:pPr>
    <w:rPr>
      <w:rFonts w:ascii="Calibri" w:hAnsi="Calibri"/>
      <w:szCs w:val="22"/>
    </w:rPr>
  </w:style>
  <w:style w:type="character" w:customStyle="1" w:styleId="CommentTextChar">
    <w:name w:val="Comment Text Char"/>
    <w:basedOn w:val="DefaultParagraphFont"/>
    <w:link w:val="CommentText"/>
    <w:uiPriority w:val="99"/>
    <w:rsid w:val="00D238F4"/>
    <w:rPr>
      <w:rFonts w:eastAsia="Calibri" w:cs="Times New Roman"/>
      <w:lang w:eastAsia="en-US"/>
    </w:rPr>
  </w:style>
  <w:style w:type="paragraph" w:customStyle="1" w:styleId="definition0">
    <w:name w:val="definition"/>
    <w:basedOn w:val="Normal"/>
    <w:rsid w:val="00D238F4"/>
    <w:pPr>
      <w:spacing w:before="80" w:line="260" w:lineRule="exact"/>
      <w:ind w:left="964"/>
      <w:jc w:val="both"/>
    </w:pPr>
    <w:rPr>
      <w:rFonts w:eastAsia="Times New Roman"/>
      <w:sz w:val="24"/>
      <w:szCs w:val="24"/>
    </w:rPr>
  </w:style>
  <w:style w:type="paragraph" w:customStyle="1" w:styleId="Note">
    <w:name w:val="Note"/>
    <w:rsid w:val="00C819A4"/>
    <w:pPr>
      <w:spacing w:before="120" w:line="220" w:lineRule="exact"/>
      <w:ind w:left="964"/>
      <w:jc w:val="both"/>
    </w:pPr>
    <w:rPr>
      <w:szCs w:val="24"/>
    </w:rPr>
  </w:style>
  <w:style w:type="paragraph" w:customStyle="1" w:styleId="HeaderLiteOdd">
    <w:name w:val="HeaderLiteOdd"/>
    <w:basedOn w:val="Normal"/>
    <w:rsid w:val="00A3471C"/>
    <w:pPr>
      <w:spacing w:before="60" w:line="240" w:lineRule="auto"/>
      <w:jc w:val="right"/>
    </w:pPr>
    <w:rPr>
      <w:rFonts w:ascii="Arial" w:eastAsia="Times New Roman" w:hAnsi="Arial"/>
      <w:noProof/>
      <w:sz w:val="18"/>
      <w:szCs w:val="24"/>
      <w:lang w:eastAsia="en-AU"/>
    </w:rPr>
  </w:style>
  <w:style w:type="paragraph" w:customStyle="1" w:styleId="HeaderBoldOdd">
    <w:name w:val="HeaderBoldOdd"/>
    <w:basedOn w:val="Normal"/>
    <w:rsid w:val="00A3471C"/>
    <w:pPr>
      <w:spacing w:before="120" w:after="60" w:line="240" w:lineRule="auto"/>
      <w:jc w:val="right"/>
    </w:pPr>
    <w:rPr>
      <w:rFonts w:ascii="Arial" w:eastAsia="Times New Roman" w:hAnsi="Arial"/>
      <w:b/>
      <w:noProof/>
      <w:sz w:val="20"/>
      <w:szCs w:val="24"/>
    </w:rPr>
  </w:style>
  <w:style w:type="paragraph" w:customStyle="1" w:styleId="FooterInfo">
    <w:name w:val="FooterInfo"/>
    <w:basedOn w:val="Normal"/>
    <w:rsid w:val="00A3471C"/>
    <w:pPr>
      <w:spacing w:line="240" w:lineRule="auto"/>
    </w:pPr>
    <w:rPr>
      <w:rFonts w:ascii="Arial" w:eastAsia="Times New Roman" w:hAnsi="Arial"/>
      <w:noProof/>
      <w:sz w:val="12"/>
      <w:szCs w:val="24"/>
    </w:rPr>
  </w:style>
  <w:style w:type="paragraph" w:customStyle="1" w:styleId="FooterCitation">
    <w:name w:val="FooterCitation"/>
    <w:basedOn w:val="Footer"/>
    <w:rsid w:val="00A3471C"/>
    <w:pPr>
      <w:spacing w:before="20" w:line="240" w:lineRule="exact"/>
      <w:jc w:val="center"/>
    </w:pPr>
    <w:rPr>
      <w:rFonts w:ascii="Arial" w:hAnsi="Arial"/>
      <w:i/>
      <w:sz w:val="18"/>
    </w:rPr>
  </w:style>
  <w:style w:type="paragraph" w:customStyle="1" w:styleId="HeaderLiteEven">
    <w:name w:val="HeaderLiteEven"/>
    <w:basedOn w:val="Normal"/>
    <w:rsid w:val="00C25AB4"/>
    <w:pPr>
      <w:spacing w:before="60" w:line="240" w:lineRule="auto"/>
    </w:pPr>
    <w:rPr>
      <w:rFonts w:ascii="Arial" w:eastAsia="Times New Roman" w:hAnsi="Arial"/>
      <w:noProof/>
      <w:sz w:val="18"/>
      <w:szCs w:val="24"/>
      <w:lang w:eastAsia="en-AU"/>
    </w:rPr>
  </w:style>
  <w:style w:type="character" w:customStyle="1" w:styleId="CharSchPTNo">
    <w:name w:val="CharSchPTNo"/>
    <w:basedOn w:val="DefaultParagraphFont"/>
    <w:rsid w:val="00C25AB4"/>
  </w:style>
  <w:style w:type="character" w:customStyle="1" w:styleId="CharSchPTText">
    <w:name w:val="CharSchPTText"/>
    <w:basedOn w:val="DefaultParagraphFont"/>
    <w:rsid w:val="00C2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www.comlaw.gov.au/"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rsm.govt.nz"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rsm.govt.nz/cm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sm.govt.nz"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comlaw.gov.a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rsm.govt.nz/cms" TargetMode="External"/><Relationship Id="rId27" Type="http://schemas.openxmlformats.org/officeDocument/2006/relationships/image" Target="media/image3.wmf"/><Relationship Id="rId30" Type="http://schemas.openxmlformats.org/officeDocument/2006/relationships/footer" Target="foot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E5D9C086F4DB943B670479BA056C6AD" ma:contentTypeVersion="0" ma:contentTypeDescription="Create a new document." ma:contentTypeScope="" ma:versionID="6025f4768459d13b49ec9d25c5a6dc0a">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6db8f3c6-01a1-4322-b043-a3b2a190f7a8">KNAH4PPFC442-2661-69</_dlc_DocId>
    <_dlc_DocIdUrl xmlns="6db8f3c6-01a1-4322-b043-a3b2a190f7a8">
      <Url>http://collaboration/organisation/CID/IRB/TRDS/_layouts/DocIdRedir.aspx?ID=KNAH4PPFC442-2661-69</Url>
      <Description>KNAH4PPFC442-2661-69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0E19-CD84-45D4-AE2D-F1F150E9D6F0}">
  <ds:schemaRefs>
    <ds:schemaRef ds:uri="http://schemas.microsoft.com/sharepoint/v3/contenttype/forms"/>
  </ds:schemaRefs>
</ds:datastoreItem>
</file>

<file path=customXml/itemProps2.xml><?xml version="1.0" encoding="utf-8"?>
<ds:datastoreItem xmlns:ds="http://schemas.openxmlformats.org/officeDocument/2006/customXml" ds:itemID="{62AE6982-51A0-48A1-BB3C-CE8AA6A49B5C}">
  <ds:schemaRefs>
    <ds:schemaRef ds:uri="http://schemas.microsoft.com/sharepoint/events"/>
  </ds:schemaRefs>
</ds:datastoreItem>
</file>

<file path=customXml/itemProps3.xml><?xml version="1.0" encoding="utf-8"?>
<ds:datastoreItem xmlns:ds="http://schemas.openxmlformats.org/officeDocument/2006/customXml" ds:itemID="{315C69F1-3994-4AD6-95D5-3714BEA2C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B95F0-6E5D-4601-A1AE-FD37676F32A8}">
  <ds:schemaRefs>
    <ds:schemaRef ds:uri="http://schemas.microsoft.com/office/2006/metadata/properties"/>
    <ds:schemaRef ds:uri="6db8f3c6-01a1-4322-b043-a3b2a190f7a8"/>
  </ds:schemaRefs>
</ds:datastoreItem>
</file>

<file path=customXml/itemProps5.xml><?xml version="1.0" encoding="utf-8"?>
<ds:datastoreItem xmlns:ds="http://schemas.openxmlformats.org/officeDocument/2006/customXml" ds:itemID="{6B1650A8-6D2E-43E7-A35A-BD02B8112BB4}">
  <ds:schemaRefs>
    <ds:schemaRef ds:uri="http://schemas.openxmlformats.org/officeDocument/2006/bibliography"/>
  </ds:schemaRefs>
</ds:datastoreItem>
</file>

<file path=customXml/itemProps6.xml><?xml version="1.0" encoding="utf-8"?>
<ds:datastoreItem xmlns:ds="http://schemas.openxmlformats.org/officeDocument/2006/customXml" ds:itemID="{61881238-4A04-48B5-9548-89C0A9E4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21</Pages>
  <Words>5784</Words>
  <Characters>29950</Characters>
  <Application>Microsoft Office Word</Application>
  <DocSecurity>0</DocSecurity>
  <PresentationFormat/>
  <Lines>249</Lines>
  <Paragraphs>71</Paragraphs>
  <ScaleCrop>false</ScaleCrop>
  <HeadingPairs>
    <vt:vector size="2" baseType="variant">
      <vt:variant>
        <vt:lpstr>Title</vt:lpstr>
      </vt:variant>
      <vt:variant>
        <vt:i4>1</vt:i4>
      </vt:variant>
    </vt:vector>
  </HeadingPairs>
  <TitlesOfParts>
    <vt:vector size="1" baseType="lpstr">
      <vt:lpstr>2__Radiocommunications_Compliance_Labelling__Devices_FINAL_FOR_CONSULTATION_doc[1]</vt:lpstr>
    </vt:vector>
  </TitlesOfParts>
  <LinksUpToDate>false</LinksUpToDate>
  <CharactersWithSpaces>35663</CharactersWithSpaces>
  <SharedDoc>false</SharedDoc>
  <HyperlinkBase/>
  <HLinks>
    <vt:vector size="24" baseType="variant">
      <vt:variant>
        <vt:i4>6357050</vt:i4>
      </vt:variant>
      <vt:variant>
        <vt:i4>9</vt:i4>
      </vt:variant>
      <vt:variant>
        <vt:i4>0</vt:i4>
      </vt:variant>
      <vt:variant>
        <vt:i4>5</vt:i4>
      </vt:variant>
      <vt:variant>
        <vt:lpwstr>http://www.rsm.govt.nz/cms</vt:lpwstr>
      </vt:variant>
      <vt:variant>
        <vt:lpwstr/>
      </vt:variant>
      <vt:variant>
        <vt:i4>6357050</vt:i4>
      </vt:variant>
      <vt:variant>
        <vt:i4>6</vt:i4>
      </vt:variant>
      <vt:variant>
        <vt:i4>0</vt:i4>
      </vt:variant>
      <vt:variant>
        <vt:i4>5</vt:i4>
      </vt:variant>
      <vt:variant>
        <vt:lpwstr>http://www.rsm.govt.nz/cms</vt:lpwstr>
      </vt:variant>
      <vt:variant>
        <vt:lpwstr/>
      </vt:variant>
      <vt:variant>
        <vt:i4>6160468</vt:i4>
      </vt:variant>
      <vt:variant>
        <vt:i4>3</vt:i4>
      </vt:variant>
      <vt:variant>
        <vt:i4>0</vt:i4>
      </vt:variant>
      <vt:variant>
        <vt:i4>5</vt:i4>
      </vt:variant>
      <vt:variant>
        <vt:lpwstr>http://www.comlaw.gov.au/</vt:lpwstr>
      </vt:variant>
      <vt:variant>
        <vt:lpwstr/>
      </vt: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2__Radiocommunications_Compliance_Labelling__Devices_FINAL_FOR_CONSULTATION_doc[1]</dc:title>
  <dc:subject/>
  <dc:creator/>
  <cp:keywords/>
  <cp:lastModifiedBy/>
  <cp:revision>1</cp:revision>
  <cp:lastPrinted>2013-03-04T01:23:00Z</cp:lastPrinted>
  <dcterms:created xsi:type="dcterms:W3CDTF">2014-09-01T23:02:00Z</dcterms:created>
  <dcterms:modified xsi:type="dcterms:W3CDTF">2014-09-11T05:43:00Z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ShortT">
    <vt:lpwstr>Radiocommunications Devices (Compliance Labelling) Notice 2003</vt:lpwstr>
  </property>
  <property fmtid="{D5CDD505-2E9C-101B-9397-08002B2CF9AE}" pid="7" name="Actno">
    <vt:lpwstr/>
  </property>
  <property fmtid="{D5CDD505-2E9C-101B-9397-08002B2CF9AE}" pid="8" name="Class">
    <vt:lpwstr/>
  </property>
  <property fmtid="{D5CDD505-2E9C-101B-9397-08002B2CF9AE}" pid="9" name="DateMade">
    <vt:lpwstr> </vt:lpwstr>
  </property>
  <property fmtid="{D5CDD505-2E9C-101B-9397-08002B2CF9AE}" pid="10" name="EXCO">
    <vt:lpwstr> </vt:lpwstr>
  </property>
  <property fmtid="{D5CDD505-2E9C-101B-9397-08002B2CF9AE}" pid="11" name="Authority">
    <vt:lpwstr> </vt:lpwstr>
  </property>
  <property fmtid="{D5CDD505-2E9C-101B-9397-08002B2CF9AE}" pid="12" name="Classification">
    <vt:lpwstr>UNCLASSIFIED</vt:lpwstr>
  </property>
  <property fmtid="{D5CDD505-2E9C-101B-9397-08002B2CF9AE}" pid="13" name="Header">
    <vt:lpwstr>Section</vt:lpwstr>
  </property>
  <property fmtid="{D5CDD505-2E9C-101B-9397-08002B2CF9AE}" pid="14" name="ContentTypeId">
    <vt:lpwstr>0x010100DE5D9C086F4DB943B670479BA056C6AD</vt:lpwstr>
  </property>
  <property fmtid="{D5CDD505-2E9C-101B-9397-08002B2CF9AE}" pid="15" name="_dlc_DocIdItemGuid">
    <vt:lpwstr>2707b446-31c3-41e8-b76d-bd909a0b9449</vt:lpwstr>
  </property>
  <property fmtid="{D5CDD505-2E9C-101B-9397-08002B2CF9AE}" pid="16" name="RecordPoint_SubmissionDate">
    <vt:lpwstr/>
  </property>
  <property fmtid="{D5CDD505-2E9C-101B-9397-08002B2CF9AE}" pid="17" name="RecordPoint_SubmissionCompleted">
    <vt:lpwstr>2014-04-02T13:42:25.5832443+11:00</vt:lpwstr>
  </property>
  <property fmtid="{D5CDD505-2E9C-101B-9397-08002B2CF9AE}" pid="18" name="RecordPoint_ActiveItemMoved">
    <vt:lpwstr/>
  </property>
  <property fmtid="{D5CDD505-2E9C-101B-9397-08002B2CF9AE}" pid="19" name="RecordPoint_ActiveItemUniqueId">
    <vt:lpwstr>{b1de5918-02a9-4a9a-8c02-86d61cc852cb}</vt:lpwstr>
  </property>
  <property fmtid="{D5CDD505-2E9C-101B-9397-08002B2CF9AE}" pid="20" name="RecordPoint_RecordFormat">
    <vt:lpwstr/>
  </property>
  <property fmtid="{D5CDD505-2E9C-101B-9397-08002B2CF9AE}" pid="21" name="RecordPoint_ActiveItemWebId">
    <vt:lpwstr>{e61cc4da-a431-400f-9f48-bf2ba12a7e9a}</vt:lpwstr>
  </property>
  <property fmtid="{D5CDD505-2E9C-101B-9397-08002B2CF9AE}" pid="22" name="RecordPoint_WorkflowType">
    <vt:lpwstr>ActiveSubmitStub</vt:lpwstr>
  </property>
  <property fmtid="{D5CDD505-2E9C-101B-9397-08002B2CF9AE}" pid="23" name="RecordPoint_ActiveItemSiteId">
    <vt:lpwstr>{7ba5f3c1-1ab9-4cc3-a7c0-334d2b0aec73}</vt:lpwstr>
  </property>
  <property fmtid="{D5CDD505-2E9C-101B-9397-08002B2CF9AE}" pid="24" name="RecordPoint_ActiveItemListId">
    <vt:lpwstr>{aa02821a-f0b7-4f59-9c9d-33ae55ea486f}</vt:lpwstr>
  </property>
  <property fmtid="{D5CDD505-2E9C-101B-9397-08002B2CF9AE}" pid="25" name="_dlc_DocId">
    <vt:lpwstr>KNAH4PPFC442-2661-47</vt:lpwstr>
  </property>
  <property fmtid="{D5CDD505-2E9C-101B-9397-08002B2CF9AE}" pid="26" name="_dlc_DocIdUrl">
    <vt:lpwstr>http://collaboration/organisation/CID/IRB/TRDS/_layouts/DocIdRedir.aspx?ID=KNAH4PPFC442-2661-47, KNAH4PPFC442-2661-47</vt:lpwstr>
  </property>
</Properties>
</file>