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CB" w:rsidRDefault="00536ACB" w:rsidP="005951FC">
      <w:pPr>
        <w:jc w:val="center"/>
        <w:rPr>
          <w:b/>
        </w:rPr>
      </w:pPr>
    </w:p>
    <w:p w:rsidR="005951FC" w:rsidRPr="005951FC" w:rsidRDefault="005951FC" w:rsidP="005951FC">
      <w:pPr>
        <w:jc w:val="center"/>
        <w:rPr>
          <w:b/>
        </w:rPr>
      </w:pPr>
      <w:r w:rsidRPr="005951FC">
        <w:rPr>
          <w:b/>
        </w:rPr>
        <w:t>Australian Securities and Investments Commission</w:t>
      </w:r>
    </w:p>
    <w:p w:rsidR="005951FC" w:rsidRPr="005951FC" w:rsidRDefault="005951FC" w:rsidP="005951FC">
      <w:pPr>
        <w:jc w:val="center"/>
        <w:rPr>
          <w:b/>
        </w:rPr>
      </w:pPr>
      <w:r w:rsidRPr="005951FC">
        <w:rPr>
          <w:b/>
        </w:rPr>
        <w:t>Corporations Act 2001</w:t>
      </w:r>
      <w:r>
        <w:rPr>
          <w:b/>
        </w:rPr>
        <w:t>—</w:t>
      </w:r>
      <w:r w:rsidR="00384789">
        <w:rPr>
          <w:b/>
        </w:rPr>
        <w:t>Paragraph</w:t>
      </w:r>
      <w:r w:rsidR="0058422D" w:rsidRPr="0058422D">
        <w:rPr>
          <w:b/>
        </w:rPr>
        <w:t xml:space="preserve"> </w:t>
      </w:r>
      <w:r w:rsidRPr="0058422D">
        <w:rPr>
          <w:b/>
        </w:rPr>
        <w:t>926A(2)(</w:t>
      </w:r>
      <w:r w:rsidR="00D54123">
        <w:rPr>
          <w:b/>
        </w:rPr>
        <w:t>c</w:t>
      </w:r>
      <w:r w:rsidRPr="0058422D">
        <w:rPr>
          <w:b/>
        </w:rPr>
        <w:t>)—</w:t>
      </w:r>
      <w:r w:rsidRPr="005951FC">
        <w:rPr>
          <w:b/>
        </w:rPr>
        <w:t>Declaration</w:t>
      </w:r>
    </w:p>
    <w:p w:rsidR="00536ACB" w:rsidRDefault="00536ACB" w:rsidP="005951FC"/>
    <w:p w:rsidR="005951FC" w:rsidRPr="005951FC" w:rsidRDefault="005951FC" w:rsidP="005951FC">
      <w:pPr>
        <w:rPr>
          <w:b/>
        </w:rPr>
      </w:pPr>
      <w:r w:rsidRPr="005951FC">
        <w:rPr>
          <w:b/>
        </w:rPr>
        <w:t>Enabling legislation</w:t>
      </w:r>
    </w:p>
    <w:p w:rsidR="005951FC" w:rsidRDefault="005951FC" w:rsidP="005951FC"/>
    <w:p w:rsidR="005951FC" w:rsidRDefault="00384789" w:rsidP="00384789">
      <w:pPr>
        <w:ind w:left="567" w:hanging="567"/>
      </w:pPr>
      <w:r>
        <w:t>1</w:t>
      </w:r>
      <w:r w:rsidR="005951FC">
        <w:t>.</w:t>
      </w:r>
      <w:r w:rsidR="005951FC">
        <w:tab/>
        <w:t xml:space="preserve">The Australian Securities and Investments Commission makes this instrument under </w:t>
      </w:r>
      <w:r w:rsidR="00EA5383">
        <w:t xml:space="preserve">paragraph </w:t>
      </w:r>
      <w:r w:rsidR="00C8583C">
        <w:t>926A(2)(</w:t>
      </w:r>
      <w:r w:rsidR="00D54123">
        <w:t>c</w:t>
      </w:r>
      <w:r w:rsidR="00C8583C">
        <w:t xml:space="preserve">) </w:t>
      </w:r>
      <w:r w:rsidR="00EA5383">
        <w:t>of</w:t>
      </w:r>
      <w:r w:rsidR="002A0A62">
        <w:t xml:space="preserve"> the</w:t>
      </w:r>
      <w:r w:rsidR="00EA5383">
        <w:t xml:space="preserve"> </w:t>
      </w:r>
      <w:r w:rsidR="005951FC" w:rsidRPr="005951FC">
        <w:rPr>
          <w:i/>
        </w:rPr>
        <w:t>Corporations Act 2001</w:t>
      </w:r>
      <w:r w:rsidR="005951FC">
        <w:t xml:space="preserve"> (the </w:t>
      </w:r>
      <w:r w:rsidR="005951FC" w:rsidRPr="005951FC">
        <w:rPr>
          <w:b/>
          <w:i/>
        </w:rPr>
        <w:t>Act</w:t>
      </w:r>
      <w:r w:rsidR="005951FC">
        <w:t>).</w:t>
      </w:r>
    </w:p>
    <w:p w:rsidR="005951FC" w:rsidRDefault="005951FC" w:rsidP="00384789">
      <w:pPr>
        <w:ind w:left="567" w:hanging="567"/>
      </w:pPr>
    </w:p>
    <w:p w:rsidR="005951FC" w:rsidRPr="005951FC" w:rsidRDefault="005951FC" w:rsidP="005951FC">
      <w:pPr>
        <w:rPr>
          <w:b/>
        </w:rPr>
      </w:pPr>
      <w:r w:rsidRPr="005951FC">
        <w:rPr>
          <w:b/>
        </w:rPr>
        <w:t>Title</w:t>
      </w:r>
    </w:p>
    <w:p w:rsidR="005951FC" w:rsidRPr="005951FC" w:rsidRDefault="005951FC" w:rsidP="005951FC">
      <w:pPr>
        <w:rPr>
          <w:b/>
        </w:rPr>
      </w:pPr>
    </w:p>
    <w:p w:rsidR="005951FC" w:rsidRDefault="005951FC" w:rsidP="00384789">
      <w:pPr>
        <w:ind w:left="567" w:hanging="567"/>
      </w:pPr>
      <w:r>
        <w:t>2.</w:t>
      </w:r>
      <w:r>
        <w:tab/>
        <w:t xml:space="preserve">This instrument is ASIC Class Order </w:t>
      </w:r>
      <w:r w:rsidRPr="00BE3FAE">
        <w:t>[CO 1</w:t>
      </w:r>
      <w:r w:rsidR="00EA5383" w:rsidRPr="00BE3FAE">
        <w:t>4</w:t>
      </w:r>
      <w:r w:rsidRPr="00BE3FAE">
        <w:t>/</w:t>
      </w:r>
      <w:r w:rsidR="00BE3FAE" w:rsidRPr="00A247F9">
        <w:t>923</w:t>
      </w:r>
      <w:r w:rsidRPr="00BE3FAE">
        <w:t>]</w:t>
      </w:r>
      <w:r>
        <w:t>.</w:t>
      </w:r>
    </w:p>
    <w:p w:rsidR="005951FC" w:rsidRDefault="005951FC" w:rsidP="005951FC"/>
    <w:p w:rsidR="005951FC" w:rsidRPr="005951FC" w:rsidRDefault="005951FC" w:rsidP="005951FC">
      <w:pPr>
        <w:rPr>
          <w:b/>
        </w:rPr>
      </w:pPr>
      <w:r w:rsidRPr="005951FC">
        <w:rPr>
          <w:b/>
        </w:rPr>
        <w:t>Commencement</w:t>
      </w:r>
    </w:p>
    <w:p w:rsidR="005951FC" w:rsidRDefault="005951FC" w:rsidP="005951FC"/>
    <w:p w:rsidR="005951FC" w:rsidRPr="00B436ED" w:rsidRDefault="005951FC" w:rsidP="00384789">
      <w:pPr>
        <w:ind w:left="567" w:hanging="567"/>
      </w:pPr>
      <w:r w:rsidRPr="00B436ED">
        <w:t>3.</w:t>
      </w:r>
      <w:r w:rsidRPr="00B436ED">
        <w:tab/>
        <w:t xml:space="preserve">This instrument commences on the </w:t>
      </w:r>
      <w:r w:rsidR="0023514E" w:rsidRPr="00B436ED">
        <w:t>day</w:t>
      </w:r>
      <w:r w:rsidR="00C8583C" w:rsidRPr="00B436ED">
        <w:t xml:space="preserve"> </w:t>
      </w:r>
      <w:r w:rsidRPr="00B436ED">
        <w:t xml:space="preserve">it is registered under the </w:t>
      </w:r>
      <w:r w:rsidRPr="00B436ED">
        <w:rPr>
          <w:i/>
        </w:rPr>
        <w:t>Legislative Instruments Act 2003</w:t>
      </w:r>
      <w:r w:rsidRPr="00B436ED">
        <w:t>.</w:t>
      </w:r>
    </w:p>
    <w:p w:rsidR="005951FC" w:rsidRPr="00B436ED" w:rsidRDefault="005951FC" w:rsidP="005951FC"/>
    <w:p w:rsidR="005951FC" w:rsidRPr="00B436ED" w:rsidRDefault="005951FC" w:rsidP="00384789">
      <w:pPr>
        <w:ind w:left="1134" w:hanging="567"/>
        <w:rPr>
          <w:sz w:val="18"/>
          <w:szCs w:val="18"/>
        </w:rPr>
      </w:pPr>
      <w:r w:rsidRPr="00B436ED">
        <w:rPr>
          <w:sz w:val="18"/>
          <w:szCs w:val="18"/>
        </w:rPr>
        <w:t>Note:</w:t>
      </w:r>
      <w:r w:rsidRPr="00B436ED">
        <w:rPr>
          <w:sz w:val="18"/>
          <w:szCs w:val="18"/>
        </w:rPr>
        <w:tab/>
        <w:t>An instrument is registered when it is recorded on the Federal Register of Legislative Instruments (</w:t>
      </w:r>
      <w:r w:rsidR="00A84968" w:rsidRPr="00B436ED">
        <w:rPr>
          <w:b/>
          <w:i/>
          <w:sz w:val="18"/>
          <w:szCs w:val="18"/>
        </w:rPr>
        <w:t>FRLI</w:t>
      </w:r>
      <w:r w:rsidRPr="00B436ED">
        <w:rPr>
          <w:sz w:val="18"/>
          <w:szCs w:val="18"/>
        </w:rPr>
        <w:t xml:space="preserve">) in electronic form: see </w:t>
      </w:r>
      <w:r w:rsidRPr="00B436ED">
        <w:rPr>
          <w:i/>
          <w:sz w:val="18"/>
          <w:szCs w:val="18"/>
        </w:rPr>
        <w:t>Legislative Instruments Act 2003</w:t>
      </w:r>
      <w:r w:rsidRPr="00B436ED">
        <w:rPr>
          <w:sz w:val="18"/>
          <w:szCs w:val="18"/>
        </w:rPr>
        <w:t>, s</w:t>
      </w:r>
      <w:r w:rsidR="00C60625">
        <w:rPr>
          <w:sz w:val="18"/>
          <w:szCs w:val="18"/>
        </w:rPr>
        <w:t>ection</w:t>
      </w:r>
      <w:r w:rsidRPr="00B436ED">
        <w:rPr>
          <w:sz w:val="18"/>
          <w:szCs w:val="18"/>
        </w:rPr>
        <w:t xml:space="preserve"> 4 (definition of </w:t>
      </w:r>
      <w:r w:rsidRPr="00B436ED">
        <w:rPr>
          <w:b/>
          <w:i/>
          <w:sz w:val="18"/>
          <w:szCs w:val="18"/>
        </w:rPr>
        <w:t>register</w:t>
      </w:r>
      <w:r w:rsidRPr="00B436ED">
        <w:rPr>
          <w:sz w:val="18"/>
          <w:szCs w:val="18"/>
        </w:rPr>
        <w:t xml:space="preserve">).  The FRLI may be accessed at </w:t>
      </w:r>
      <w:hyperlink r:id="rId9" w:history="1">
        <w:r w:rsidRPr="00B436ED">
          <w:rPr>
            <w:rStyle w:val="Hyperlink"/>
            <w:color w:val="000000"/>
            <w:sz w:val="18"/>
            <w:szCs w:val="18"/>
          </w:rPr>
          <w:t>http://www.frli.gov.au/</w:t>
        </w:r>
      </w:hyperlink>
      <w:r w:rsidRPr="00B436ED">
        <w:rPr>
          <w:sz w:val="18"/>
          <w:szCs w:val="18"/>
        </w:rPr>
        <w:t>.</w:t>
      </w:r>
    </w:p>
    <w:p w:rsidR="00C60625" w:rsidRPr="00B436ED" w:rsidRDefault="00C60625" w:rsidP="005951FC"/>
    <w:p w:rsidR="005951FC" w:rsidRPr="00B436ED" w:rsidRDefault="005951FC" w:rsidP="00384789">
      <w:pPr>
        <w:rPr>
          <w:b/>
        </w:rPr>
      </w:pPr>
      <w:r w:rsidRPr="00B436ED">
        <w:rPr>
          <w:b/>
        </w:rPr>
        <w:t>Declaration</w:t>
      </w:r>
    </w:p>
    <w:p w:rsidR="005951FC" w:rsidRPr="00B436ED" w:rsidRDefault="005951FC" w:rsidP="00384789"/>
    <w:p w:rsidR="000A6464" w:rsidRDefault="005951FC" w:rsidP="00384789">
      <w:pPr>
        <w:ind w:left="567" w:hanging="567"/>
      </w:pPr>
      <w:r w:rsidRPr="00B436ED">
        <w:t>4.</w:t>
      </w:r>
      <w:r w:rsidRPr="00B436ED">
        <w:tab/>
      </w:r>
      <w:r w:rsidR="000A6464">
        <w:t>Part 7.6 of the Act (except Divisions 4 and 8) appl</w:t>
      </w:r>
      <w:r w:rsidR="002A0A62">
        <w:t>ies</w:t>
      </w:r>
      <w:r w:rsidR="000A6464">
        <w:t xml:space="preserve"> in relation to all financial services licensees as if Division 3 of that Part were modified or varied by, after section 912F, inserting the following section:</w:t>
      </w:r>
    </w:p>
    <w:p w:rsidR="000A6464" w:rsidRDefault="000A6464" w:rsidP="00384789">
      <w:pPr>
        <w:ind w:left="567" w:hanging="567"/>
      </w:pPr>
    </w:p>
    <w:p w:rsidR="000A6464" w:rsidRDefault="000A6464" w:rsidP="00671BB4">
      <w:pPr>
        <w:ind w:left="567"/>
      </w:pPr>
      <w:r>
        <w:t>“</w:t>
      </w:r>
      <w:r w:rsidRPr="00671BB4">
        <w:rPr>
          <w:b/>
        </w:rPr>
        <w:t>912G</w:t>
      </w:r>
      <w:r w:rsidRPr="00671BB4">
        <w:rPr>
          <w:b/>
        </w:rPr>
        <w:tab/>
        <w:t>Record-keeping: personal advice</w:t>
      </w:r>
    </w:p>
    <w:p w:rsidR="000A6464" w:rsidRDefault="000A6464" w:rsidP="00671BB4">
      <w:pPr>
        <w:ind w:left="567"/>
      </w:pPr>
    </w:p>
    <w:p w:rsidR="003C76E8" w:rsidRDefault="000A6464" w:rsidP="003C76E8">
      <w:pPr>
        <w:ind w:left="1134" w:hanging="567"/>
      </w:pPr>
      <w:r>
        <w:t>(1)</w:t>
      </w:r>
      <w:r>
        <w:tab/>
        <w:t xml:space="preserve">This section applies </w:t>
      </w:r>
      <w:r w:rsidR="00601D00">
        <w:t>in relation to the provision of personal advice to a</w:t>
      </w:r>
      <w:r w:rsidR="008D69DF">
        <w:t xml:space="preserve"> person </w:t>
      </w:r>
      <w:r w:rsidR="00A8369B">
        <w:t xml:space="preserve">(the </w:t>
      </w:r>
      <w:r w:rsidR="00A8369B" w:rsidRPr="00671BB4">
        <w:rPr>
          <w:b/>
          <w:i/>
        </w:rPr>
        <w:t>client</w:t>
      </w:r>
      <w:r w:rsidR="00A8369B">
        <w:t xml:space="preserve">) </w:t>
      </w:r>
      <w:r w:rsidR="008D69DF">
        <w:t xml:space="preserve">as a </w:t>
      </w:r>
      <w:r w:rsidR="00601D00">
        <w:t xml:space="preserve">retail client by a financial services licensee </w:t>
      </w:r>
      <w:r w:rsidR="008D69DF">
        <w:t>(the</w:t>
      </w:r>
      <w:r w:rsidR="00A8369B">
        <w:t> </w:t>
      </w:r>
      <w:r w:rsidR="008D69DF" w:rsidRPr="00671BB4">
        <w:rPr>
          <w:b/>
          <w:i/>
        </w:rPr>
        <w:t>provider</w:t>
      </w:r>
      <w:r w:rsidR="008D69DF">
        <w:t xml:space="preserve">) </w:t>
      </w:r>
      <w:r w:rsidR="00601D00">
        <w:t xml:space="preserve">or a representative </w:t>
      </w:r>
      <w:r w:rsidR="008D69DF">
        <w:t xml:space="preserve">(the </w:t>
      </w:r>
      <w:r w:rsidR="008D69DF" w:rsidRPr="00671BB4">
        <w:rPr>
          <w:b/>
          <w:i/>
        </w:rPr>
        <w:t>provider</w:t>
      </w:r>
      <w:r w:rsidR="008D69DF">
        <w:t xml:space="preserve">) </w:t>
      </w:r>
      <w:r w:rsidR="00601D00">
        <w:t>of a financial services licensee.</w:t>
      </w:r>
    </w:p>
    <w:p w:rsidR="00671BB4" w:rsidRDefault="00671BB4" w:rsidP="003C76E8">
      <w:pPr>
        <w:ind w:left="1134" w:hanging="567"/>
      </w:pPr>
    </w:p>
    <w:p w:rsidR="00E16522" w:rsidRPr="00B436ED" w:rsidRDefault="00601D00" w:rsidP="00671BB4">
      <w:pPr>
        <w:ind w:left="1134" w:hanging="567"/>
      </w:pPr>
      <w:r>
        <w:t>(2)</w:t>
      </w:r>
      <w:r>
        <w:tab/>
        <w:t>T</w:t>
      </w:r>
      <w:r w:rsidR="00EA5383" w:rsidRPr="00B436ED">
        <w:t xml:space="preserve">he </w:t>
      </w:r>
      <w:r w:rsidR="0023514E" w:rsidRPr="00B436ED">
        <w:t xml:space="preserve">financial services </w:t>
      </w:r>
      <w:r w:rsidR="00EA5383" w:rsidRPr="00B436ED">
        <w:t>l</w:t>
      </w:r>
      <w:r w:rsidR="009252EA" w:rsidRPr="00B436ED">
        <w:t xml:space="preserve">icensee must ensure that </w:t>
      </w:r>
      <w:r w:rsidR="00EA5383" w:rsidRPr="00B436ED">
        <w:t xml:space="preserve">records </w:t>
      </w:r>
      <w:r>
        <w:t xml:space="preserve">of the following matters </w:t>
      </w:r>
      <w:r w:rsidR="00C8583C" w:rsidRPr="00B436ED">
        <w:t xml:space="preserve">are </w:t>
      </w:r>
      <w:r>
        <w:t>kept in relation to the provision of the personal advice</w:t>
      </w:r>
      <w:r w:rsidR="00C8583C" w:rsidRPr="00B436ED">
        <w:t>:</w:t>
      </w:r>
    </w:p>
    <w:p w:rsidR="00E16522" w:rsidRPr="00B436ED" w:rsidRDefault="00E16522" w:rsidP="00384789">
      <w:pPr>
        <w:ind w:left="720" w:hanging="720"/>
      </w:pPr>
    </w:p>
    <w:p w:rsidR="006C171E" w:rsidRDefault="00384789" w:rsidP="008D69DF">
      <w:pPr>
        <w:ind w:left="1701" w:hanging="567"/>
      </w:pPr>
      <w:r>
        <w:t>(a)</w:t>
      </w:r>
      <w:r>
        <w:tab/>
      </w:r>
      <w:r w:rsidR="00C8583C" w:rsidRPr="00B436ED">
        <w:t xml:space="preserve">the information relied on and the action taken by the provider that </w:t>
      </w:r>
      <w:r w:rsidR="000E2740">
        <w:t>indicates</w:t>
      </w:r>
      <w:r w:rsidR="005C7F55">
        <w:t xml:space="preserve"> </w:t>
      </w:r>
      <w:r w:rsidR="00C8583C" w:rsidRPr="00B436ED">
        <w:t>the provider has</w:t>
      </w:r>
      <w:r w:rsidR="00733EEF">
        <w:t>,</w:t>
      </w:r>
      <w:r w:rsidR="00733EEF" w:rsidRPr="00733EEF">
        <w:t xml:space="preserve"> </w:t>
      </w:r>
      <w:r w:rsidR="00733EEF">
        <w:t xml:space="preserve">in accordance with </w:t>
      </w:r>
      <w:r w:rsidR="00733EEF" w:rsidRPr="00B436ED">
        <w:t>subsection 961B(1)</w:t>
      </w:r>
      <w:r w:rsidR="00733EEF">
        <w:t xml:space="preserve">, </w:t>
      </w:r>
      <w:r w:rsidR="00C8583C" w:rsidRPr="00B436ED">
        <w:t xml:space="preserve">acted in the best interests </w:t>
      </w:r>
      <w:r w:rsidR="00733EEF" w:rsidRPr="00260B5C">
        <w:t>(the</w:t>
      </w:r>
      <w:r w:rsidR="00733EEF">
        <w:t> </w:t>
      </w:r>
      <w:r w:rsidR="00733EEF" w:rsidRPr="00384789">
        <w:rPr>
          <w:b/>
          <w:i/>
        </w:rPr>
        <w:t>best interests duty</w:t>
      </w:r>
      <w:r w:rsidR="00733EEF">
        <w:t xml:space="preserve">) </w:t>
      </w:r>
      <w:r w:rsidR="00C8583C" w:rsidRPr="00B436ED">
        <w:t xml:space="preserve">of the client </w:t>
      </w:r>
      <w:r w:rsidR="008D69DF">
        <w:t>in relation to the advice</w:t>
      </w:r>
      <w:r w:rsidR="00C8583C" w:rsidRPr="00B436ED">
        <w:t>;</w:t>
      </w:r>
    </w:p>
    <w:p w:rsidR="00384789" w:rsidRPr="00B436ED" w:rsidRDefault="00384789" w:rsidP="008D69DF">
      <w:pPr>
        <w:ind w:left="1701" w:hanging="567"/>
      </w:pPr>
    </w:p>
    <w:p w:rsidR="006C171E" w:rsidRDefault="00384789" w:rsidP="008D69DF">
      <w:pPr>
        <w:ind w:left="1701" w:hanging="567"/>
      </w:pPr>
      <w:r>
        <w:t>(b)</w:t>
      </w:r>
      <w:r>
        <w:tab/>
      </w:r>
      <w:r w:rsidR="00C8583C" w:rsidRPr="00B436ED">
        <w:t>if s</w:t>
      </w:r>
      <w:r w:rsidR="005A12A1" w:rsidRPr="00B436ED">
        <w:t>ub</w:t>
      </w:r>
      <w:r>
        <w:t>s</w:t>
      </w:r>
      <w:r w:rsidR="005A12A1" w:rsidRPr="00B436ED">
        <w:t xml:space="preserve">ection </w:t>
      </w:r>
      <w:r w:rsidR="00C8583C" w:rsidRPr="00B436ED">
        <w:t>961B(2)</w:t>
      </w:r>
      <w:r w:rsidR="005A12A1" w:rsidRPr="00B436ED">
        <w:t xml:space="preserve"> </w:t>
      </w:r>
      <w:r w:rsidR="00C8583C" w:rsidRPr="00B436ED">
        <w:t xml:space="preserve">is being relied on to </w:t>
      </w:r>
      <w:r w:rsidR="00260B5C">
        <w:t>prove</w:t>
      </w:r>
      <w:r w:rsidR="00C8583C" w:rsidRPr="00B436ED">
        <w:t xml:space="preserve"> that </w:t>
      </w:r>
      <w:r w:rsidR="00D54123">
        <w:t xml:space="preserve">the best interests duty </w:t>
      </w:r>
      <w:r w:rsidR="00C8583C" w:rsidRPr="00B436ED">
        <w:t xml:space="preserve">has been </w:t>
      </w:r>
      <w:r w:rsidR="005C7F55">
        <w:t>satisfied—</w:t>
      </w:r>
      <w:r w:rsidR="00C8583C" w:rsidRPr="00B436ED">
        <w:t>the information relied on and the action taken by the provider that satisf</w:t>
      </w:r>
      <w:r w:rsidR="00D02F6B">
        <w:t>ies</w:t>
      </w:r>
      <w:r w:rsidR="00C8583C" w:rsidRPr="00B436ED">
        <w:t xml:space="preserve"> the steps in </w:t>
      </w:r>
      <w:r w:rsidR="00260B5C">
        <w:t xml:space="preserve">that </w:t>
      </w:r>
      <w:r w:rsidR="00C8583C" w:rsidRPr="00B436ED">
        <w:t>s</w:t>
      </w:r>
      <w:r w:rsidR="005A12A1" w:rsidRPr="00B436ED">
        <w:t>ubsection</w:t>
      </w:r>
      <w:r w:rsidR="00C8583C" w:rsidRPr="00B436ED">
        <w:t>;</w:t>
      </w:r>
    </w:p>
    <w:p w:rsidR="00260B5C" w:rsidRDefault="00260B5C" w:rsidP="008D69DF">
      <w:pPr>
        <w:ind w:left="1701" w:hanging="567"/>
      </w:pPr>
    </w:p>
    <w:p w:rsidR="00260B5C" w:rsidRPr="00260B5C" w:rsidRDefault="00260B5C" w:rsidP="00260B5C">
      <w:pPr>
        <w:ind w:left="2268" w:hanging="567"/>
        <w:rPr>
          <w:sz w:val="20"/>
          <w:szCs w:val="20"/>
        </w:rPr>
      </w:pPr>
      <w:r>
        <w:rPr>
          <w:sz w:val="20"/>
          <w:szCs w:val="20"/>
        </w:rPr>
        <w:t>Note:</w:t>
      </w:r>
      <w:r>
        <w:rPr>
          <w:sz w:val="20"/>
          <w:szCs w:val="20"/>
        </w:rPr>
        <w:tab/>
        <w:t>The keeping of records that satisf</w:t>
      </w:r>
      <w:r w:rsidR="00197035">
        <w:rPr>
          <w:sz w:val="20"/>
          <w:szCs w:val="20"/>
        </w:rPr>
        <w:t>y</w:t>
      </w:r>
      <w:r>
        <w:rPr>
          <w:sz w:val="20"/>
          <w:szCs w:val="20"/>
        </w:rPr>
        <w:t xml:space="preserve"> the record-keeping obligation in paragraph (b) will satisfy the record-keeping obligation in paragraph (a).</w:t>
      </w:r>
    </w:p>
    <w:p w:rsidR="00384789" w:rsidRPr="00B436ED" w:rsidRDefault="00384789" w:rsidP="008D69DF">
      <w:pPr>
        <w:ind w:left="1701" w:hanging="567"/>
      </w:pPr>
    </w:p>
    <w:p w:rsidR="006C171E" w:rsidRDefault="00D02F6B" w:rsidP="008D69DF">
      <w:pPr>
        <w:ind w:left="1701" w:hanging="567"/>
      </w:pPr>
      <w:r>
        <w:lastRenderedPageBreak/>
        <w:t>(c)</w:t>
      </w:r>
      <w:r>
        <w:tab/>
      </w:r>
      <w:r w:rsidR="00A8369B">
        <w:t>the advice</w:t>
      </w:r>
      <w:r w:rsidR="000E2740">
        <w:t xml:space="preserve"> given</w:t>
      </w:r>
      <w:r w:rsidR="00A8369B">
        <w:t xml:space="preserve">, including </w:t>
      </w:r>
      <w:r w:rsidR="00C8583C" w:rsidRPr="00B436ED">
        <w:t>the reasons why</w:t>
      </w:r>
      <w:r w:rsidR="00A8369B">
        <w:t xml:space="preserve">, under section 961G, </w:t>
      </w:r>
      <w:r w:rsidR="0022422D">
        <w:t xml:space="preserve">it </w:t>
      </w:r>
      <w:r w:rsidR="00E010BF">
        <w:t xml:space="preserve">would be reasonable to conclude that </w:t>
      </w:r>
      <w:r w:rsidR="005C7F55">
        <w:t xml:space="preserve">the </w:t>
      </w:r>
      <w:r w:rsidR="00C8583C" w:rsidRPr="00B436ED">
        <w:t xml:space="preserve">advice is appropriate </w:t>
      </w:r>
      <w:r w:rsidR="009F6923">
        <w:t xml:space="preserve">to the client, had the provider satisfied the </w:t>
      </w:r>
      <w:r w:rsidR="00197035">
        <w:t xml:space="preserve">best interests </w:t>
      </w:r>
      <w:r w:rsidR="009F6923">
        <w:t>duty</w:t>
      </w:r>
      <w:r w:rsidR="00C8583C" w:rsidRPr="00B436ED">
        <w:t>;</w:t>
      </w:r>
    </w:p>
    <w:p w:rsidR="00384789" w:rsidRPr="00B436ED" w:rsidRDefault="00384789" w:rsidP="008D69DF">
      <w:pPr>
        <w:ind w:left="1701" w:hanging="567"/>
      </w:pPr>
    </w:p>
    <w:p w:rsidR="009F6923" w:rsidRDefault="00384789" w:rsidP="00671BB4">
      <w:pPr>
        <w:ind w:left="1701" w:hanging="567"/>
      </w:pPr>
      <w:r>
        <w:t>(</w:t>
      </w:r>
      <w:r w:rsidR="00A8369B">
        <w:t>d</w:t>
      </w:r>
      <w:r>
        <w:t>)</w:t>
      </w:r>
      <w:r>
        <w:tab/>
      </w:r>
      <w:r w:rsidR="00C8583C" w:rsidRPr="00B436ED">
        <w:t xml:space="preserve">where </w:t>
      </w:r>
      <w:r w:rsidR="002A0A62">
        <w:t>the</w:t>
      </w:r>
      <w:r w:rsidR="00C8583C" w:rsidRPr="00B436ED">
        <w:t xml:space="preserve"> provider knows, or reasonably ought to know, that there is a conflict between the interests of the client and the</w:t>
      </w:r>
      <w:r w:rsidR="006E4885" w:rsidRPr="00B436ED">
        <w:t xml:space="preserve"> interests of</w:t>
      </w:r>
      <w:r w:rsidR="009F6923">
        <w:t xml:space="preserve"> a person mentioned in any of the paragraphs </w:t>
      </w:r>
      <w:r w:rsidR="00937DFF">
        <w:t>in</w:t>
      </w:r>
      <w:r w:rsidR="009F6923">
        <w:t xml:space="preserve"> </w:t>
      </w:r>
      <w:r w:rsidR="00A661F9">
        <w:t>s</w:t>
      </w:r>
      <w:r w:rsidR="009F6923">
        <w:t>ubsection</w:t>
      </w:r>
      <w:r w:rsidR="00A661F9">
        <w:t> </w:t>
      </w:r>
      <w:r w:rsidR="009F6923">
        <w:t>961J(1)—</w:t>
      </w:r>
      <w:r w:rsidR="00A661F9">
        <w:t>t</w:t>
      </w:r>
      <w:r w:rsidR="009F6923" w:rsidRPr="00B436ED">
        <w:t>he information rel</w:t>
      </w:r>
      <w:bookmarkStart w:id="0" w:name="_GoBack"/>
      <w:bookmarkEnd w:id="0"/>
      <w:r w:rsidR="009F6923" w:rsidRPr="00B436ED">
        <w:t xml:space="preserve">ied on and the action taken by the provider to </w:t>
      </w:r>
      <w:r w:rsidR="000E2740">
        <w:t>indicate</w:t>
      </w:r>
      <w:r w:rsidR="00197035">
        <w:t xml:space="preserve"> </w:t>
      </w:r>
      <w:r w:rsidR="009F6923" w:rsidRPr="00B436ED">
        <w:t>that the provider has given priorit</w:t>
      </w:r>
      <w:r w:rsidR="002E3D6D">
        <w:t>y</w:t>
      </w:r>
      <w:r w:rsidR="009F6923" w:rsidRPr="00B436ED">
        <w:t xml:space="preserve"> to the client’s interests when giving the advice</w:t>
      </w:r>
      <w:r w:rsidR="009F6923">
        <w:t>.</w:t>
      </w:r>
    </w:p>
    <w:p w:rsidR="00671BB4" w:rsidRDefault="00671BB4" w:rsidP="00671BB4">
      <w:pPr>
        <w:ind w:left="1701" w:hanging="567"/>
      </w:pPr>
    </w:p>
    <w:p w:rsidR="00254A70" w:rsidRDefault="00E73813" w:rsidP="00671BB4">
      <w:pPr>
        <w:ind w:left="1134" w:hanging="567"/>
        <w:rPr>
          <w:i/>
        </w:rPr>
      </w:pPr>
      <w:r>
        <w:t>(</w:t>
      </w:r>
      <w:r w:rsidR="00DA6BC6">
        <w:t>3</w:t>
      </w:r>
      <w:r>
        <w:t>)</w:t>
      </w:r>
      <w:r>
        <w:tab/>
      </w:r>
      <w:r w:rsidR="002A0A62">
        <w:t>The</w:t>
      </w:r>
      <w:r w:rsidR="004C5097">
        <w:t xml:space="preserve"> </w:t>
      </w:r>
      <w:r w:rsidRPr="00B436ED">
        <w:t xml:space="preserve">financial services licensee must </w:t>
      </w:r>
      <w:r w:rsidR="000E2740">
        <w:t>keep</w:t>
      </w:r>
      <w:r w:rsidR="004C5097">
        <w:t xml:space="preserve"> the records required by this section for 7 years after the day the </w:t>
      </w:r>
      <w:r w:rsidR="000E2740">
        <w:t xml:space="preserve">personal </w:t>
      </w:r>
      <w:r w:rsidR="004C5097">
        <w:t xml:space="preserve">advice was </w:t>
      </w:r>
      <w:r w:rsidR="00254A70">
        <w:t xml:space="preserve">provided </w:t>
      </w:r>
      <w:r w:rsidR="004C5097">
        <w:t>to the client</w:t>
      </w:r>
      <w:r w:rsidR="00254A70">
        <w:t>.</w:t>
      </w:r>
    </w:p>
    <w:p w:rsidR="00254A70" w:rsidRPr="00121DDF" w:rsidRDefault="00254A70" w:rsidP="00671BB4">
      <w:pPr>
        <w:ind w:left="1134" w:hanging="567"/>
      </w:pPr>
    </w:p>
    <w:p w:rsidR="003C76E8" w:rsidRDefault="003C76E8" w:rsidP="00121DDF">
      <w:pPr>
        <w:ind w:left="1134" w:hanging="567"/>
      </w:pPr>
      <w:r>
        <w:t>(4)</w:t>
      </w:r>
      <w:r>
        <w:tab/>
        <w:t>This section does not apply</w:t>
      </w:r>
      <w:r w:rsidR="000E2740">
        <w:t xml:space="preserve"> </w:t>
      </w:r>
      <w:r w:rsidR="00733EEF">
        <w:t>to the provision of personal advice</w:t>
      </w:r>
      <w:r>
        <w:t>:</w:t>
      </w:r>
    </w:p>
    <w:p w:rsidR="003C76E8" w:rsidRDefault="003C76E8" w:rsidP="00121DDF">
      <w:pPr>
        <w:ind w:left="1134" w:hanging="567"/>
      </w:pPr>
    </w:p>
    <w:p w:rsidR="000A11F2" w:rsidRDefault="003C76E8" w:rsidP="00671BB4">
      <w:pPr>
        <w:ind w:left="1701" w:hanging="567"/>
      </w:pPr>
      <w:r>
        <w:t>(a)</w:t>
      </w:r>
      <w:r>
        <w:tab/>
      </w:r>
      <w:r w:rsidR="00733EEF">
        <w:t xml:space="preserve">in </w:t>
      </w:r>
      <w:r w:rsidR="000E2740">
        <w:t xml:space="preserve">the circumstances covered by subsection 961B(3) or </w:t>
      </w:r>
      <w:r w:rsidR="000A11F2">
        <w:t>(4);</w:t>
      </w:r>
      <w:r w:rsidR="00733EEF">
        <w:t xml:space="preserve"> or</w:t>
      </w:r>
    </w:p>
    <w:p w:rsidR="000A11F2" w:rsidRDefault="000A11F2" w:rsidP="00671BB4">
      <w:pPr>
        <w:ind w:left="1701" w:hanging="567"/>
      </w:pPr>
    </w:p>
    <w:p w:rsidR="003C76E8" w:rsidRDefault="003C76E8" w:rsidP="00671BB4">
      <w:pPr>
        <w:ind w:left="1701" w:hanging="567"/>
      </w:pPr>
      <w:r>
        <w:t>(b)</w:t>
      </w:r>
      <w:r>
        <w:tab/>
      </w:r>
      <w:r w:rsidR="00733EEF">
        <w:t xml:space="preserve">in </w:t>
      </w:r>
      <w:r w:rsidR="000A11F2">
        <w:t>the circumstances prescribed by the regulations in which the provider is not required</w:t>
      </w:r>
      <w:r w:rsidR="000A11F2" w:rsidRPr="000A11F2">
        <w:t xml:space="preserve"> </w:t>
      </w:r>
      <w:r w:rsidR="000A11F2">
        <w:t xml:space="preserve">to prove that the provider has taken the steps mentioned in paragraphs 961B(2)(d), (e) </w:t>
      </w:r>
      <w:r w:rsidR="00733EEF">
        <w:t xml:space="preserve">and </w:t>
      </w:r>
      <w:r w:rsidR="000A11F2">
        <w:t>(f) to satisfy the best interests duty.</w:t>
      </w:r>
    </w:p>
    <w:p w:rsidR="003C76E8" w:rsidRDefault="003C76E8" w:rsidP="00121DDF">
      <w:pPr>
        <w:ind w:left="1134" w:hanging="567"/>
      </w:pPr>
    </w:p>
    <w:p w:rsidR="00DA6BC6" w:rsidRDefault="00254A70" w:rsidP="00121DDF">
      <w:pPr>
        <w:ind w:left="1134" w:hanging="567"/>
      </w:pPr>
      <w:r w:rsidRPr="00121DDF">
        <w:t>(</w:t>
      </w:r>
      <w:r w:rsidR="00536ACB">
        <w:t>5</w:t>
      </w:r>
      <w:r w:rsidRPr="00671BB4">
        <w:t>)</w:t>
      </w:r>
      <w:r w:rsidRPr="00671BB4">
        <w:tab/>
      </w:r>
      <w:r w:rsidR="00A9314B">
        <w:t>This section (other than paragraph (2)(d)</w:t>
      </w:r>
      <w:r w:rsidR="00536ACB">
        <w:t xml:space="preserve"> and subsection (3) as it relates to that paragraph</w:t>
      </w:r>
      <w:r w:rsidR="00A9314B">
        <w:t xml:space="preserve">) </w:t>
      </w:r>
      <w:r w:rsidR="00DA6BC6">
        <w:t>does not apply to the provision of personal advice covered by either of the following circumstances:</w:t>
      </w:r>
    </w:p>
    <w:p w:rsidR="00DA6BC6" w:rsidRDefault="00DA6BC6" w:rsidP="00121DDF">
      <w:pPr>
        <w:ind w:left="1134" w:hanging="567"/>
      </w:pPr>
    </w:p>
    <w:p w:rsidR="00DA6BC6" w:rsidRDefault="00DA6BC6" w:rsidP="00121DDF">
      <w:pPr>
        <w:ind w:left="1701" w:hanging="567"/>
      </w:pPr>
      <w:r>
        <w:t>(a)</w:t>
      </w:r>
      <w:r>
        <w:tab/>
      </w:r>
      <w:r w:rsidR="00121DDF">
        <w:t xml:space="preserve">the provision of </w:t>
      </w:r>
      <w:r>
        <w:t>personal advice for which a Statement of Advice is not required to be given to the client;</w:t>
      </w:r>
    </w:p>
    <w:p w:rsidR="00DA6BC6" w:rsidRDefault="00DA6BC6" w:rsidP="00121DDF">
      <w:pPr>
        <w:ind w:left="1701" w:hanging="567"/>
      </w:pPr>
    </w:p>
    <w:p w:rsidR="005F7440" w:rsidRDefault="00DA6BC6" w:rsidP="00121DDF">
      <w:pPr>
        <w:ind w:left="1701" w:hanging="567"/>
      </w:pPr>
      <w:r>
        <w:t>(b)</w:t>
      </w:r>
      <w:r>
        <w:tab/>
      </w:r>
      <w:r w:rsidR="00121DDF">
        <w:t xml:space="preserve">the provision of </w:t>
      </w:r>
      <w:r w:rsidR="005F7440" w:rsidRPr="00B436ED">
        <w:t xml:space="preserve">personal advice for which a record of the advice is kept in accordance with </w:t>
      </w:r>
      <w:r w:rsidR="005F7440">
        <w:t>sub</w:t>
      </w:r>
      <w:r w:rsidR="005F7440" w:rsidRPr="00B436ED">
        <w:t>section 946B(3A)</w:t>
      </w:r>
      <w:r w:rsidR="005F7440">
        <w:t>.”.</w:t>
      </w:r>
    </w:p>
    <w:p w:rsidR="005F7440" w:rsidRDefault="005F7440" w:rsidP="00121DDF">
      <w:pPr>
        <w:ind w:left="1701" w:hanging="567"/>
      </w:pPr>
    </w:p>
    <w:p w:rsidR="00E73813" w:rsidRPr="00121DDF" w:rsidRDefault="005F7440" w:rsidP="002A0A62">
      <w:pPr>
        <w:ind w:left="567" w:hanging="567"/>
        <w:rPr>
          <w:sz w:val="20"/>
          <w:szCs w:val="20"/>
        </w:rPr>
      </w:pPr>
      <w:r w:rsidRPr="00121DDF">
        <w:rPr>
          <w:sz w:val="20"/>
          <w:szCs w:val="20"/>
        </w:rPr>
        <w:t>Note:</w:t>
      </w:r>
      <w:r w:rsidRPr="00121DDF">
        <w:rPr>
          <w:sz w:val="20"/>
          <w:szCs w:val="20"/>
        </w:rPr>
        <w:tab/>
      </w:r>
      <w:r>
        <w:rPr>
          <w:sz w:val="20"/>
          <w:szCs w:val="20"/>
        </w:rPr>
        <w:t xml:space="preserve">Subsection 946B(3A) of the Act is affected by regulation 7.7.09 and 7.7.10AE of the </w:t>
      </w:r>
      <w:r w:rsidRPr="00121DDF">
        <w:rPr>
          <w:i/>
          <w:sz w:val="20"/>
          <w:szCs w:val="20"/>
        </w:rPr>
        <w:t>Corporations Regulations 2001</w:t>
      </w:r>
      <w:r>
        <w:rPr>
          <w:sz w:val="20"/>
          <w:szCs w:val="20"/>
        </w:rPr>
        <w:t>.</w:t>
      </w:r>
    </w:p>
    <w:p w:rsidR="005A12A1" w:rsidRPr="00B436ED" w:rsidRDefault="005A12A1" w:rsidP="005F7440">
      <w:pPr>
        <w:ind w:left="1134" w:hanging="567"/>
      </w:pPr>
    </w:p>
    <w:p w:rsidR="008B2E41" w:rsidRDefault="008B2E41" w:rsidP="00121DDF">
      <w:pPr>
        <w:ind w:left="567" w:hanging="567"/>
      </w:pPr>
      <w:r>
        <w:t>5.</w:t>
      </w:r>
      <w:r>
        <w:tab/>
        <w:t xml:space="preserve">The declaration in paragraph 4 of this instrument applies in relation to the provision of personal advice on or after </w:t>
      </w:r>
      <w:r w:rsidR="00BE3FAE">
        <w:t>23 March 2015</w:t>
      </w:r>
      <w:r>
        <w:t>.</w:t>
      </w:r>
    </w:p>
    <w:p w:rsidR="00C768C1" w:rsidRDefault="00C768C1" w:rsidP="005951FC"/>
    <w:p w:rsidR="00536ACB" w:rsidRDefault="00536ACB">
      <w:r>
        <w:br w:type="page"/>
      </w:r>
    </w:p>
    <w:p w:rsidR="005951FC" w:rsidRPr="009079ED" w:rsidRDefault="005951FC" w:rsidP="002758AE">
      <w:pPr>
        <w:ind w:left="720" w:hanging="720"/>
        <w:rPr>
          <w:b/>
        </w:rPr>
      </w:pPr>
      <w:r w:rsidRPr="009079ED">
        <w:rPr>
          <w:b/>
        </w:rPr>
        <w:lastRenderedPageBreak/>
        <w:t>Interpretation</w:t>
      </w:r>
    </w:p>
    <w:p w:rsidR="00E16522" w:rsidRDefault="00E16522" w:rsidP="005951FC"/>
    <w:p w:rsidR="005951FC" w:rsidRDefault="008B2E41" w:rsidP="00384789">
      <w:pPr>
        <w:ind w:left="567" w:hanging="567"/>
      </w:pPr>
      <w:r>
        <w:t>6</w:t>
      </w:r>
      <w:r w:rsidR="005951FC">
        <w:t>.</w:t>
      </w:r>
      <w:r w:rsidR="005951FC">
        <w:tab/>
        <w:t>In this instrument:</w:t>
      </w:r>
    </w:p>
    <w:p w:rsidR="00A9314B" w:rsidRDefault="00A9314B" w:rsidP="00384789">
      <w:pPr>
        <w:ind w:left="567"/>
      </w:pPr>
    </w:p>
    <w:p w:rsidR="00B436ED" w:rsidRDefault="00B436ED" w:rsidP="00384789">
      <w:pPr>
        <w:ind w:left="567"/>
      </w:pPr>
      <w:r w:rsidRPr="00121DDF">
        <w:rPr>
          <w:b/>
          <w:i/>
        </w:rPr>
        <w:t>personal advice</w:t>
      </w:r>
      <w:r>
        <w:t xml:space="preserve"> has the meaning given by subsection 766B(3) of the Act.</w:t>
      </w:r>
    </w:p>
    <w:p w:rsidR="002B41D1" w:rsidRDefault="002B41D1" w:rsidP="005951FC"/>
    <w:p w:rsidR="00A247F9" w:rsidRDefault="00A247F9" w:rsidP="005951FC"/>
    <w:p w:rsidR="00BE3FAE" w:rsidRDefault="00BE3FAE" w:rsidP="005951FC"/>
    <w:p w:rsidR="005951FC" w:rsidRDefault="005951FC" w:rsidP="005951FC">
      <w:r>
        <w:t>Dated this</w:t>
      </w:r>
      <w:r w:rsidR="00502BE1">
        <w:t xml:space="preserve"> 12</w:t>
      </w:r>
      <w:r w:rsidR="00502BE1" w:rsidRPr="00502BE1">
        <w:rPr>
          <w:vertAlign w:val="superscript"/>
        </w:rPr>
        <w:t>th</w:t>
      </w:r>
      <w:r w:rsidR="00502BE1">
        <w:t xml:space="preserve"> </w:t>
      </w:r>
      <w:r>
        <w:t xml:space="preserve">day of </w:t>
      </w:r>
      <w:r w:rsidR="00BE3FAE">
        <w:t xml:space="preserve">September </w:t>
      </w:r>
      <w:r w:rsidR="00912E3E">
        <w:t>2014</w:t>
      </w:r>
    </w:p>
    <w:p w:rsidR="005951FC" w:rsidRDefault="005951FC" w:rsidP="005951FC"/>
    <w:p w:rsidR="00BE3FAE" w:rsidRDefault="00BE3FAE" w:rsidP="005951FC"/>
    <w:p w:rsidR="00502BE1" w:rsidRDefault="00502BE1" w:rsidP="005951FC"/>
    <w:p w:rsidR="005951FC" w:rsidRDefault="005951FC" w:rsidP="005951FC">
      <w:r>
        <w:t xml:space="preserve">Signed by </w:t>
      </w:r>
      <w:r w:rsidR="00BE3FAE">
        <w:t>Grant Moodie</w:t>
      </w:r>
    </w:p>
    <w:p w:rsidR="00787169" w:rsidRDefault="005951FC" w:rsidP="005951FC">
      <w:r>
        <w:t>as a delegate of the Australian Securities and Investments Commission</w:t>
      </w:r>
    </w:p>
    <w:sectPr w:rsidR="00787169" w:rsidSect="00662181">
      <w:headerReference w:type="default" r:id="rId10"/>
      <w:head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F4A" w:rsidRDefault="00873F4A" w:rsidP="00662181">
      <w:r>
        <w:separator/>
      </w:r>
    </w:p>
  </w:endnote>
  <w:endnote w:type="continuationSeparator" w:id="0">
    <w:p w:rsidR="00873F4A" w:rsidRDefault="00873F4A" w:rsidP="0066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F4A" w:rsidRDefault="00873F4A" w:rsidP="00662181">
      <w:r>
        <w:separator/>
      </w:r>
    </w:p>
  </w:footnote>
  <w:footnote w:type="continuationSeparator" w:id="0">
    <w:p w:rsidR="00873F4A" w:rsidRDefault="00873F4A" w:rsidP="00662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123" w:rsidRDefault="00D54123">
    <w:pPr>
      <w:pStyle w:val="Header"/>
      <w:jc w:val="center"/>
    </w:pPr>
  </w:p>
  <w:p w:rsidR="00662181" w:rsidRDefault="00873F4A">
    <w:pPr>
      <w:pStyle w:val="Header"/>
      <w:jc w:val="center"/>
    </w:pPr>
    <w:sdt>
      <w:sdtPr>
        <w:id w:val="4336719"/>
        <w:docPartObj>
          <w:docPartGallery w:val="Page Numbers (Top of Page)"/>
          <w:docPartUnique/>
        </w:docPartObj>
      </w:sdtPr>
      <w:sdtEndPr/>
      <w:sdtContent>
        <w:r w:rsidR="009B6011">
          <w:fldChar w:fldCharType="begin"/>
        </w:r>
        <w:r w:rsidR="00662181">
          <w:instrText xml:space="preserve"> PAGE   \* MERGEFORMAT </w:instrText>
        </w:r>
        <w:r w:rsidR="009B6011">
          <w:fldChar w:fldCharType="separate"/>
        </w:r>
        <w:r w:rsidR="00A661F9">
          <w:rPr>
            <w:noProof/>
          </w:rPr>
          <w:t>2</w:t>
        </w:r>
        <w:r w:rsidR="009B6011">
          <w:fldChar w:fldCharType="end"/>
        </w:r>
      </w:sdtContent>
    </w:sdt>
  </w:p>
  <w:p w:rsidR="00662181" w:rsidRDefault="006621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81" w:rsidRPr="00D54123" w:rsidRDefault="00662181" w:rsidP="00D54123">
    <w:pPr>
      <w:pStyle w:val="Header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F80"/>
    <w:multiLevelType w:val="hybridMultilevel"/>
    <w:tmpl w:val="27649F60"/>
    <w:lvl w:ilvl="0" w:tplc="AA2038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D4CDE5C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BF2712"/>
    <w:multiLevelType w:val="hybridMultilevel"/>
    <w:tmpl w:val="2DDE2676"/>
    <w:lvl w:ilvl="0" w:tplc="AA2038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FC"/>
    <w:rsid w:val="00011CB7"/>
    <w:rsid w:val="00012264"/>
    <w:rsid w:val="00031EF4"/>
    <w:rsid w:val="000775B2"/>
    <w:rsid w:val="00077F9F"/>
    <w:rsid w:val="00090485"/>
    <w:rsid w:val="000A11F2"/>
    <w:rsid w:val="000A6464"/>
    <w:rsid w:val="000C739C"/>
    <w:rsid w:val="000E2740"/>
    <w:rsid w:val="000F40CD"/>
    <w:rsid w:val="00121DDF"/>
    <w:rsid w:val="001265D7"/>
    <w:rsid w:val="00140C1A"/>
    <w:rsid w:val="0014202E"/>
    <w:rsid w:val="00197035"/>
    <w:rsid w:val="001A7928"/>
    <w:rsid w:val="001F2B9E"/>
    <w:rsid w:val="00206F55"/>
    <w:rsid w:val="00211E02"/>
    <w:rsid w:val="0022422D"/>
    <w:rsid w:val="0023514E"/>
    <w:rsid w:val="00236996"/>
    <w:rsid w:val="0024139F"/>
    <w:rsid w:val="002432B7"/>
    <w:rsid w:val="002446C0"/>
    <w:rsid w:val="00254A70"/>
    <w:rsid w:val="00260B5C"/>
    <w:rsid w:val="0026324E"/>
    <w:rsid w:val="00263307"/>
    <w:rsid w:val="002639CA"/>
    <w:rsid w:val="002704C5"/>
    <w:rsid w:val="002758AE"/>
    <w:rsid w:val="00283785"/>
    <w:rsid w:val="00284551"/>
    <w:rsid w:val="002A0A62"/>
    <w:rsid w:val="002B41D1"/>
    <w:rsid w:val="002D510C"/>
    <w:rsid w:val="002E3D6D"/>
    <w:rsid w:val="002E750C"/>
    <w:rsid w:val="002F65B4"/>
    <w:rsid w:val="00351F58"/>
    <w:rsid w:val="0035245F"/>
    <w:rsid w:val="00384789"/>
    <w:rsid w:val="003A20E8"/>
    <w:rsid w:val="003A2BD6"/>
    <w:rsid w:val="003C458A"/>
    <w:rsid w:val="003C76E8"/>
    <w:rsid w:val="003C7D4D"/>
    <w:rsid w:val="003D5D3C"/>
    <w:rsid w:val="003E1E79"/>
    <w:rsid w:val="00407678"/>
    <w:rsid w:val="00426E9F"/>
    <w:rsid w:val="00431ED6"/>
    <w:rsid w:val="00485F4A"/>
    <w:rsid w:val="004A1425"/>
    <w:rsid w:val="004C250C"/>
    <w:rsid w:val="004C5097"/>
    <w:rsid w:val="004F1E33"/>
    <w:rsid w:val="0050044A"/>
    <w:rsid w:val="00502BE1"/>
    <w:rsid w:val="00536ACB"/>
    <w:rsid w:val="00553968"/>
    <w:rsid w:val="005703A5"/>
    <w:rsid w:val="0058422D"/>
    <w:rsid w:val="005951FC"/>
    <w:rsid w:val="005A12A1"/>
    <w:rsid w:val="005B1780"/>
    <w:rsid w:val="005C7F55"/>
    <w:rsid w:val="005D367B"/>
    <w:rsid w:val="005F7440"/>
    <w:rsid w:val="00601D00"/>
    <w:rsid w:val="00640627"/>
    <w:rsid w:val="00644776"/>
    <w:rsid w:val="00662181"/>
    <w:rsid w:val="00664D72"/>
    <w:rsid w:val="00671BB4"/>
    <w:rsid w:val="006C171E"/>
    <w:rsid w:val="006C48F1"/>
    <w:rsid w:val="006C59E2"/>
    <w:rsid w:val="006E4885"/>
    <w:rsid w:val="007137F0"/>
    <w:rsid w:val="007258B7"/>
    <w:rsid w:val="00733EEF"/>
    <w:rsid w:val="007507B9"/>
    <w:rsid w:val="007733FB"/>
    <w:rsid w:val="00787169"/>
    <w:rsid w:val="007C5204"/>
    <w:rsid w:val="00830DCA"/>
    <w:rsid w:val="00873F4A"/>
    <w:rsid w:val="008A27AC"/>
    <w:rsid w:val="008B2E41"/>
    <w:rsid w:val="008B37B3"/>
    <w:rsid w:val="008B6AE4"/>
    <w:rsid w:val="008C3532"/>
    <w:rsid w:val="008D69DF"/>
    <w:rsid w:val="00903712"/>
    <w:rsid w:val="009079ED"/>
    <w:rsid w:val="00912E3E"/>
    <w:rsid w:val="009252EA"/>
    <w:rsid w:val="00937DFF"/>
    <w:rsid w:val="00977346"/>
    <w:rsid w:val="00987B6A"/>
    <w:rsid w:val="009903DF"/>
    <w:rsid w:val="00995724"/>
    <w:rsid w:val="009A26F6"/>
    <w:rsid w:val="009B6011"/>
    <w:rsid w:val="009C45FC"/>
    <w:rsid w:val="009E0F4C"/>
    <w:rsid w:val="009E55C1"/>
    <w:rsid w:val="009F6923"/>
    <w:rsid w:val="00A15151"/>
    <w:rsid w:val="00A23674"/>
    <w:rsid w:val="00A247F9"/>
    <w:rsid w:val="00A24905"/>
    <w:rsid w:val="00A56EA5"/>
    <w:rsid w:val="00A62EEF"/>
    <w:rsid w:val="00A661F9"/>
    <w:rsid w:val="00A67AF6"/>
    <w:rsid w:val="00A70FE4"/>
    <w:rsid w:val="00A8369B"/>
    <w:rsid w:val="00A84968"/>
    <w:rsid w:val="00A878BB"/>
    <w:rsid w:val="00A9314B"/>
    <w:rsid w:val="00AE1828"/>
    <w:rsid w:val="00AE5B48"/>
    <w:rsid w:val="00B20C7C"/>
    <w:rsid w:val="00B436ED"/>
    <w:rsid w:val="00BB3B17"/>
    <w:rsid w:val="00BC1E1A"/>
    <w:rsid w:val="00BD6596"/>
    <w:rsid w:val="00BE3FAE"/>
    <w:rsid w:val="00BF7DFE"/>
    <w:rsid w:val="00C17DB6"/>
    <w:rsid w:val="00C471C6"/>
    <w:rsid w:val="00C60625"/>
    <w:rsid w:val="00C70649"/>
    <w:rsid w:val="00C768C1"/>
    <w:rsid w:val="00C8583C"/>
    <w:rsid w:val="00C90AFD"/>
    <w:rsid w:val="00CA0BD6"/>
    <w:rsid w:val="00CB4A36"/>
    <w:rsid w:val="00CD16DE"/>
    <w:rsid w:val="00CE72AC"/>
    <w:rsid w:val="00D02F6B"/>
    <w:rsid w:val="00D54123"/>
    <w:rsid w:val="00D8290A"/>
    <w:rsid w:val="00DA6BC6"/>
    <w:rsid w:val="00DD49BE"/>
    <w:rsid w:val="00DD71D1"/>
    <w:rsid w:val="00E010BF"/>
    <w:rsid w:val="00E16522"/>
    <w:rsid w:val="00E467F2"/>
    <w:rsid w:val="00E5353A"/>
    <w:rsid w:val="00E66389"/>
    <w:rsid w:val="00E73813"/>
    <w:rsid w:val="00E76ECE"/>
    <w:rsid w:val="00EA5383"/>
    <w:rsid w:val="00EA7358"/>
    <w:rsid w:val="00EB259B"/>
    <w:rsid w:val="00EB29A2"/>
    <w:rsid w:val="00EC524E"/>
    <w:rsid w:val="00EC7658"/>
    <w:rsid w:val="00ED665E"/>
    <w:rsid w:val="00EF0821"/>
    <w:rsid w:val="00EF28B4"/>
    <w:rsid w:val="00F42999"/>
    <w:rsid w:val="00F83121"/>
    <w:rsid w:val="00F839F3"/>
    <w:rsid w:val="00FB1E30"/>
    <w:rsid w:val="00FC661A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1FC"/>
    <w:rPr>
      <w:color w:val="0000FF"/>
      <w:u w:val="single"/>
    </w:rPr>
  </w:style>
  <w:style w:type="table" w:styleId="TableGrid">
    <w:name w:val="Table Grid"/>
    <w:basedOn w:val="TableNormal"/>
    <w:uiPriority w:val="59"/>
    <w:rsid w:val="0035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7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B6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B6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6A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031EF4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62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18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2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18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85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1FC"/>
    <w:rPr>
      <w:color w:val="0000FF"/>
      <w:u w:val="single"/>
    </w:rPr>
  </w:style>
  <w:style w:type="table" w:styleId="TableGrid">
    <w:name w:val="Table Grid"/>
    <w:basedOn w:val="TableNormal"/>
    <w:uiPriority w:val="59"/>
    <w:rsid w:val="0035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7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B6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B6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6A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031EF4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62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18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2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18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8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828282"/>
                            <w:left w:val="single" w:sz="2" w:space="0" w:color="828282"/>
                            <w:bottom w:val="single" w:sz="2" w:space="0" w:color="828282"/>
                            <w:right w:val="single" w:sz="2" w:space="0" w:color="828282"/>
                          </w:divBdr>
                          <w:divsChild>
                            <w:div w:id="169957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9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9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75068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7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0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1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li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85D0-C227-4F28-B21C-ACE66099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4031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Yen</dc:creator>
  <cp:lastModifiedBy>grant.moodie</cp:lastModifiedBy>
  <cp:revision>20</cp:revision>
  <cp:lastPrinted>2014-05-26T05:22:00Z</cp:lastPrinted>
  <dcterms:created xsi:type="dcterms:W3CDTF">2014-05-23T06:02:00Z</dcterms:created>
  <dcterms:modified xsi:type="dcterms:W3CDTF">2014-09-12T04:34:00Z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A4199233</vt:lpwstr>
  </property>
  <property fmtid="{D5CDD505-2E9C-101B-9397-08002B2CF9AE}" pid="4" name="Objective-Title">
    <vt:lpwstr>Class Order CO 14-923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2014-05-28T01:31:54Z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2014-09-12T05:04:50Z</vt:filetime>
  </property>
  <property fmtid="{D5CDD505-2E9C-101B-9397-08002B2CF9AE}" pid="10" name="Objective-ModificationStamp">
    <vt:filetime>2014-09-12T05:04:50Z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Orders:Class Orders 2014:</vt:lpwstr>
  </property>
  <property fmtid="{D5CDD505-2E9C-101B-9397-08002B2CF9AE}" pid="13" name="Objective-Parent">
    <vt:lpwstr>Class Orders 2014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11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2013 - 007769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