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70" w:rsidRPr="00977D04" w:rsidRDefault="00952ED1" w:rsidP="00515B8E">
      <w:pPr>
        <w:pStyle w:val="Heading1"/>
        <w:spacing w:before="120" w:after="240"/>
        <w:jc w:val="center"/>
        <w:rPr>
          <w:rFonts w:ascii="Times New Roman" w:hAnsi="Times New Roman" w:cs="Times New Roman"/>
          <w:sz w:val="24"/>
          <w:szCs w:val="24"/>
        </w:rPr>
      </w:pPr>
      <w:r w:rsidRPr="00977D04">
        <w:rPr>
          <w:rFonts w:ascii="Times New Roman" w:hAnsi="Times New Roman" w:cs="Times New Roman"/>
          <w:sz w:val="24"/>
          <w:szCs w:val="24"/>
        </w:rPr>
        <w:t>E</w:t>
      </w:r>
      <w:r w:rsidR="00BA0BF3" w:rsidRPr="00977D04">
        <w:rPr>
          <w:rFonts w:ascii="Times New Roman" w:hAnsi="Times New Roman" w:cs="Times New Roman"/>
          <w:sz w:val="24"/>
          <w:szCs w:val="24"/>
        </w:rPr>
        <w:t>XPLANATORY STATEMENT</w:t>
      </w:r>
    </w:p>
    <w:p w:rsidR="006A749C" w:rsidRPr="00977D04" w:rsidRDefault="00474C20">
      <w:pPr>
        <w:jc w:val="center"/>
        <w:rPr>
          <w:b/>
        </w:rPr>
      </w:pPr>
      <w:r w:rsidRPr="00977D04">
        <w:rPr>
          <w:b/>
        </w:rPr>
        <w:t>Issued by the Authority of the Minister for Finance</w:t>
      </w:r>
    </w:p>
    <w:p w:rsidR="006A749C" w:rsidRPr="00977D04" w:rsidRDefault="006A749C">
      <w:pPr>
        <w:jc w:val="center"/>
        <w:rPr>
          <w:b/>
        </w:rPr>
      </w:pPr>
    </w:p>
    <w:p w:rsidR="006A749C" w:rsidRDefault="00474C20">
      <w:pPr>
        <w:jc w:val="center"/>
        <w:rPr>
          <w:i/>
        </w:rPr>
      </w:pPr>
      <w:r w:rsidRPr="00977D04">
        <w:rPr>
          <w:i/>
        </w:rPr>
        <w:t>Public Governance, Performance and Accountability Act 2013</w:t>
      </w:r>
    </w:p>
    <w:p w:rsidR="00596CD4" w:rsidRPr="00977D04" w:rsidRDefault="00596CD4">
      <w:pPr>
        <w:jc w:val="center"/>
        <w:rPr>
          <w:i/>
        </w:rPr>
      </w:pPr>
      <w:r>
        <w:rPr>
          <w:i/>
        </w:rPr>
        <w:t xml:space="preserve">            Public Governance, Performance and Accountability (Consequential and Transitional Provisions) Act 2014</w:t>
      </w:r>
    </w:p>
    <w:p w:rsidR="006A749C" w:rsidRPr="00977D04" w:rsidRDefault="006A749C">
      <w:pPr>
        <w:jc w:val="center"/>
        <w:rPr>
          <w:i/>
        </w:rPr>
      </w:pPr>
    </w:p>
    <w:p w:rsidR="006A749C" w:rsidRPr="00977D04" w:rsidRDefault="00596CD4" w:rsidP="00596CD4">
      <w:pPr>
        <w:jc w:val="center"/>
        <w:rPr>
          <w:i/>
        </w:rPr>
      </w:pPr>
      <w:r>
        <w:rPr>
          <w:i/>
        </w:rPr>
        <w:t>Public Governance, Performance and Accountability Legislation Amendment Rule 2014</w:t>
      </w:r>
    </w:p>
    <w:p w:rsidR="006A749C" w:rsidRPr="00977D04" w:rsidRDefault="006A749C">
      <w:pPr>
        <w:jc w:val="center"/>
        <w:rPr>
          <w:i/>
        </w:rPr>
      </w:pPr>
    </w:p>
    <w:p w:rsidR="003561C5" w:rsidRPr="00596CD4" w:rsidRDefault="003561C5" w:rsidP="003561C5">
      <w:pPr>
        <w:rPr>
          <w:lang w:val="en-AU"/>
        </w:rPr>
      </w:pPr>
      <w:r w:rsidRPr="00977D04">
        <w:rPr>
          <w:lang w:val="en-AU"/>
        </w:rPr>
        <w:t xml:space="preserve">The </w:t>
      </w:r>
      <w:r w:rsidRPr="00977D04">
        <w:rPr>
          <w:i/>
          <w:lang w:val="en-AU"/>
        </w:rPr>
        <w:t>Public Governance, Performance and Accountability Act 2013</w:t>
      </w:r>
      <w:r>
        <w:rPr>
          <w:lang w:val="en-AU"/>
        </w:rPr>
        <w:t xml:space="preserve"> (PGPA Act) sets</w:t>
      </w:r>
      <w:r w:rsidRPr="00977D04">
        <w:rPr>
          <w:lang w:val="en-AU"/>
        </w:rPr>
        <w:t xml:space="preserve"> out a framework for regulating resource management by the Commonwealth and relevant entities. </w:t>
      </w:r>
      <w:r w:rsidRPr="00596CD4">
        <w:t>Section 101 of the PGPA Act provides that the Finance Minister may make rules by legislative instrument to prescribe matters giving effect to the Act.</w:t>
      </w:r>
    </w:p>
    <w:p w:rsidR="003561C5" w:rsidRDefault="003561C5" w:rsidP="003561C5">
      <w:pPr>
        <w:tabs>
          <w:tab w:val="left" w:pos="567"/>
          <w:tab w:val="left" w:pos="1276"/>
        </w:tabs>
      </w:pPr>
    </w:p>
    <w:p w:rsidR="003561C5" w:rsidRDefault="003561C5" w:rsidP="003561C5">
      <w:pPr>
        <w:tabs>
          <w:tab w:val="left" w:pos="567"/>
          <w:tab w:val="left" w:pos="1276"/>
        </w:tabs>
      </w:pPr>
      <w:r w:rsidRPr="00977D04">
        <w:t xml:space="preserve">The </w:t>
      </w:r>
      <w:r w:rsidRPr="00977D04">
        <w:rPr>
          <w:i/>
        </w:rPr>
        <w:t>Public Governance, Performance and Accountability (Consequential and Transitional Provisions) Act 2014</w:t>
      </w:r>
      <w:r w:rsidRPr="00977D04">
        <w:t xml:space="preserve"> </w:t>
      </w:r>
      <w:r>
        <w:t>(CTP Act) amended</w:t>
      </w:r>
      <w:r w:rsidRPr="00977D04">
        <w:t xml:space="preserve"> </w:t>
      </w:r>
      <w:r>
        <w:t xml:space="preserve">242 </w:t>
      </w:r>
      <w:r w:rsidRPr="00977D04">
        <w:t xml:space="preserve">Acts across the Commonwealth to support the implementation of </w:t>
      </w:r>
      <w:r>
        <w:t>PGPA Act</w:t>
      </w:r>
      <w:r w:rsidRPr="00977D04">
        <w:t xml:space="preserve"> and its related rules and instruments.</w:t>
      </w:r>
      <w:r>
        <w:t xml:space="preserve"> Item 6 of Schedule 14 of </w:t>
      </w:r>
      <w:r w:rsidRPr="00977D04">
        <w:t xml:space="preserve">the </w:t>
      </w:r>
      <w:r w:rsidRPr="000C0E45">
        <w:t>CTP Act</w:t>
      </w:r>
      <w:r>
        <w:rPr>
          <w:i/>
        </w:rPr>
        <w:t xml:space="preserve"> </w:t>
      </w:r>
      <w:r w:rsidRPr="00977D04">
        <w:t>provides that the Finance Minister may, by legislative instrument, make rules prescribing matters required or permitted by th</w:t>
      </w:r>
      <w:r>
        <w:t>e CTP</w:t>
      </w:r>
      <w:r w:rsidRPr="00977D04">
        <w:t xml:space="preserve"> Act to be prescribed by the rules, or necessary or convenient to be prescribed for carry</w:t>
      </w:r>
      <w:r>
        <w:t>ing out or giving effect to the CTP Act and the PGPA </w:t>
      </w:r>
      <w:r w:rsidRPr="00977D04">
        <w:t>Act.</w:t>
      </w:r>
    </w:p>
    <w:p w:rsidR="003561C5" w:rsidRDefault="003561C5" w:rsidP="00596CD4">
      <w:pPr>
        <w:rPr>
          <w:lang w:val="en-AU"/>
        </w:rPr>
      </w:pPr>
    </w:p>
    <w:p w:rsidR="00596CD4" w:rsidRPr="004310CB" w:rsidRDefault="00F770B3" w:rsidP="002519C6">
      <w:r w:rsidRPr="001F74A6">
        <w:t xml:space="preserve">The </w:t>
      </w:r>
      <w:r w:rsidR="0025196F" w:rsidRPr="001F74A6">
        <w:rPr>
          <w:i/>
        </w:rPr>
        <w:t>Public Governance,</w:t>
      </w:r>
      <w:r w:rsidR="00596CD4" w:rsidRPr="001F74A6">
        <w:rPr>
          <w:i/>
        </w:rPr>
        <w:t xml:space="preserve"> Performance and Accountability Legislation Amendment Rule</w:t>
      </w:r>
      <w:r w:rsidR="004310CB" w:rsidRPr="001F74A6">
        <w:t xml:space="preserve"> (PGPA Amendment R</w:t>
      </w:r>
      <w:r w:rsidR="00596CD4" w:rsidRPr="001F74A6">
        <w:t>ule) is being made to amend the rules instruments made under t</w:t>
      </w:r>
      <w:r w:rsidR="002519C6">
        <w:t xml:space="preserve">he PGPA Act and the CTP </w:t>
      </w:r>
      <w:r w:rsidR="00596CD4" w:rsidRPr="001F74A6">
        <w:t>Act to support the implementation</w:t>
      </w:r>
      <w:r w:rsidR="00596CD4">
        <w:t xml:space="preserve"> of the PGPA legislative framework. </w:t>
      </w:r>
      <w:r w:rsidR="004310CB">
        <w:t xml:space="preserve">These rules instruments are </w:t>
      </w:r>
      <w:r w:rsidR="004310CB">
        <w:rPr>
          <w:lang w:val="en-AU"/>
        </w:rPr>
        <w:t xml:space="preserve">the </w:t>
      </w:r>
      <w:r w:rsidR="004310CB" w:rsidRPr="004310CB">
        <w:rPr>
          <w:i/>
          <w:lang w:val="en-AU"/>
        </w:rPr>
        <w:t>Public Governance, Performance and Accountability Rule 2014</w:t>
      </w:r>
      <w:r w:rsidR="004310CB">
        <w:rPr>
          <w:lang w:val="en-AU"/>
        </w:rPr>
        <w:t xml:space="preserve"> (PGPA Rule) and </w:t>
      </w:r>
      <w:r w:rsidR="004310CB">
        <w:t xml:space="preserve">the </w:t>
      </w:r>
      <w:r w:rsidR="004310CB" w:rsidRPr="004310CB">
        <w:rPr>
          <w:i/>
          <w:lang w:val="en-AU"/>
        </w:rPr>
        <w:t>Public Governance, Performance and Accountability (Consequential and Transitional Provisions) Rule 2014</w:t>
      </w:r>
      <w:r w:rsidR="004310CB">
        <w:rPr>
          <w:lang w:val="en-AU"/>
        </w:rPr>
        <w:t xml:space="preserve"> (</w:t>
      </w:r>
      <w:r w:rsidR="004E1285">
        <w:rPr>
          <w:lang w:val="en-AU"/>
        </w:rPr>
        <w:t xml:space="preserve">CTP </w:t>
      </w:r>
      <w:r w:rsidR="004310CB">
        <w:rPr>
          <w:lang w:val="en-AU"/>
        </w:rPr>
        <w:t xml:space="preserve">Rule). </w:t>
      </w:r>
    </w:p>
    <w:p w:rsidR="002519C6" w:rsidRDefault="002519C6" w:rsidP="002519C6"/>
    <w:p w:rsidR="006A749C" w:rsidRPr="00977D04" w:rsidRDefault="0025196F">
      <w:pPr>
        <w:spacing w:after="120"/>
      </w:pPr>
      <w:r w:rsidRPr="00977D04">
        <w:t xml:space="preserve">The </w:t>
      </w:r>
      <w:r w:rsidR="00E93916" w:rsidRPr="00977D04">
        <w:t>PGPA</w:t>
      </w:r>
      <w:r w:rsidR="004310CB">
        <w:t xml:space="preserve"> Amendment</w:t>
      </w:r>
      <w:r w:rsidR="00E93916">
        <w:t xml:space="preserve"> </w:t>
      </w:r>
      <w:r w:rsidRPr="00977D04">
        <w:t xml:space="preserve">Rule contains </w:t>
      </w:r>
      <w:r w:rsidR="00281515" w:rsidRPr="00977D04">
        <w:t xml:space="preserve">provisions </w:t>
      </w:r>
      <w:r w:rsidR="00FA2C06" w:rsidRPr="00977D04">
        <w:rPr>
          <w:rFonts w:eastAsia="Times New Roman"/>
          <w:color w:val="000000" w:themeColor="text1"/>
          <w:lang w:val="en-AU" w:bidi="ar-SA"/>
        </w:rPr>
        <w:t xml:space="preserve">that </w:t>
      </w:r>
      <w:r w:rsidR="009C0A93" w:rsidRPr="00977D04">
        <w:rPr>
          <w:rFonts w:eastAsia="Times New Roman"/>
          <w:color w:val="000000" w:themeColor="text1"/>
          <w:lang w:val="en-AU" w:bidi="ar-SA"/>
        </w:rPr>
        <w:t>relate to:</w:t>
      </w:r>
      <w:r w:rsidR="00916010" w:rsidRPr="00977D04">
        <w:rPr>
          <w:rFonts w:eastAsia="Times New Roman"/>
          <w:color w:val="000000" w:themeColor="text1"/>
          <w:lang w:val="en-AU" w:bidi="ar-SA"/>
        </w:rPr>
        <w:t xml:space="preserve"> </w:t>
      </w:r>
    </w:p>
    <w:p w:rsidR="00066013" w:rsidRPr="00EC58D6" w:rsidRDefault="000B332F" w:rsidP="00977D04">
      <w:pPr>
        <w:pStyle w:val="ListParagraph"/>
        <w:numPr>
          <w:ilvl w:val="0"/>
          <w:numId w:val="15"/>
        </w:numPr>
        <w:spacing w:after="120" w:line="276" w:lineRule="auto"/>
        <w:ind w:hanging="363"/>
        <w:contextualSpacing w:val="0"/>
        <w:rPr>
          <w:rFonts w:eastAsia="Calibri"/>
          <w:color w:val="000000" w:themeColor="text1"/>
          <w:lang w:val="en-AU" w:bidi="ar-SA"/>
        </w:rPr>
      </w:pPr>
      <w:r>
        <w:t>Repayments by the Commonwealth</w:t>
      </w:r>
      <w:r w:rsidR="00977D04" w:rsidRPr="00977D04">
        <w:t xml:space="preserve">, </w:t>
      </w:r>
    </w:p>
    <w:p w:rsidR="00066013" w:rsidRPr="008B1CF2" w:rsidRDefault="00562BEB" w:rsidP="00977D04">
      <w:pPr>
        <w:pStyle w:val="ListParagraph"/>
        <w:numPr>
          <w:ilvl w:val="0"/>
          <w:numId w:val="15"/>
        </w:numPr>
        <w:spacing w:after="120" w:line="276" w:lineRule="auto"/>
        <w:ind w:hanging="363"/>
        <w:contextualSpacing w:val="0"/>
        <w:rPr>
          <w:rFonts w:eastAsia="Calibri"/>
          <w:color w:val="000000" w:themeColor="text1"/>
          <w:lang w:val="en-AU" w:bidi="ar-SA"/>
        </w:rPr>
      </w:pPr>
      <w:r>
        <w:t>Specifying a</w:t>
      </w:r>
      <w:r w:rsidR="000B332F">
        <w:t>ccountable authorities for certain corporate Commonwealth entities</w:t>
      </w:r>
      <w:r w:rsidR="00EC58D6">
        <w:t xml:space="preserve">, </w:t>
      </w:r>
    </w:p>
    <w:p w:rsidR="008B1CF2" w:rsidRPr="00066013" w:rsidRDefault="008B1CF2" w:rsidP="00977D04">
      <w:pPr>
        <w:pStyle w:val="ListParagraph"/>
        <w:numPr>
          <w:ilvl w:val="0"/>
          <w:numId w:val="15"/>
        </w:numPr>
        <w:spacing w:after="120" w:line="276" w:lineRule="auto"/>
        <w:ind w:hanging="363"/>
        <w:contextualSpacing w:val="0"/>
        <w:rPr>
          <w:rFonts w:eastAsia="Calibri"/>
          <w:color w:val="000000" w:themeColor="text1"/>
          <w:lang w:val="en-AU" w:bidi="ar-SA"/>
        </w:rPr>
      </w:pPr>
      <w:r>
        <w:t xml:space="preserve">A body corporate to be treated as a non-corporate </w:t>
      </w:r>
      <w:r w:rsidR="003561C5">
        <w:t xml:space="preserve">Commonwealth entity </w:t>
      </w:r>
      <w:r>
        <w:t>for the purposes of the finance law,</w:t>
      </w:r>
      <w:r w:rsidR="002519C6" w:rsidRPr="002519C6">
        <w:rPr>
          <w:rFonts w:eastAsia="Calibri"/>
          <w:color w:val="000000" w:themeColor="text1"/>
          <w:lang w:val="en-AU" w:bidi="ar-SA"/>
        </w:rPr>
        <w:t xml:space="preserve"> </w:t>
      </w:r>
      <w:r w:rsidR="002519C6">
        <w:rPr>
          <w:rFonts w:eastAsia="Calibri"/>
          <w:color w:val="000000" w:themeColor="text1"/>
          <w:lang w:val="en-AU" w:bidi="ar-SA"/>
        </w:rPr>
        <w:t>and</w:t>
      </w:r>
    </w:p>
    <w:p w:rsidR="00977D04" w:rsidRDefault="000B332F" w:rsidP="00977D04">
      <w:pPr>
        <w:pStyle w:val="ListParagraph"/>
        <w:numPr>
          <w:ilvl w:val="0"/>
          <w:numId w:val="15"/>
        </w:numPr>
        <w:spacing w:after="120" w:line="276" w:lineRule="auto"/>
        <w:ind w:hanging="363"/>
        <w:contextualSpacing w:val="0"/>
        <w:rPr>
          <w:rFonts w:eastAsia="Calibri"/>
          <w:color w:val="000000" w:themeColor="text1"/>
          <w:lang w:val="en-AU" w:bidi="ar-SA"/>
        </w:rPr>
      </w:pPr>
      <w:r>
        <w:t>Clarifying the scope of disclosure provisions</w:t>
      </w:r>
      <w:r w:rsidR="002519C6">
        <w:t>.</w:t>
      </w:r>
      <w:r w:rsidR="00EC58D6">
        <w:rPr>
          <w:rFonts w:eastAsia="Calibri"/>
          <w:color w:val="000000" w:themeColor="text1"/>
          <w:lang w:val="en-AU" w:bidi="ar-SA"/>
        </w:rPr>
        <w:t xml:space="preserve"> </w:t>
      </w:r>
    </w:p>
    <w:p w:rsidR="005C5470" w:rsidRPr="00977D04" w:rsidRDefault="00301C10">
      <w:pPr>
        <w:pStyle w:val="ParaNumbering"/>
        <w:rPr>
          <w:szCs w:val="24"/>
        </w:rPr>
      </w:pPr>
      <w:r w:rsidRPr="00977D04">
        <w:rPr>
          <w:szCs w:val="24"/>
        </w:rPr>
        <w:t xml:space="preserve">Details of the </w:t>
      </w:r>
      <w:r w:rsidR="008E74E6" w:rsidRPr="00977D04">
        <w:rPr>
          <w:szCs w:val="24"/>
        </w:rPr>
        <w:t xml:space="preserve">PGPA </w:t>
      </w:r>
      <w:r w:rsidR="004310CB">
        <w:rPr>
          <w:szCs w:val="24"/>
        </w:rPr>
        <w:t xml:space="preserve">Amendment </w:t>
      </w:r>
      <w:r w:rsidR="0004247F" w:rsidRPr="00977D04">
        <w:rPr>
          <w:szCs w:val="24"/>
        </w:rPr>
        <w:t>Rule are</w:t>
      </w:r>
      <w:r w:rsidRPr="00977D04">
        <w:rPr>
          <w:szCs w:val="24"/>
        </w:rPr>
        <w:t xml:space="preserve"> set out at </w:t>
      </w:r>
      <w:r w:rsidRPr="00977D04">
        <w:rPr>
          <w:szCs w:val="24"/>
          <w:u w:val="single"/>
        </w:rPr>
        <w:t>Attachment A</w:t>
      </w:r>
      <w:r w:rsidRPr="00977D04">
        <w:rPr>
          <w:szCs w:val="24"/>
        </w:rPr>
        <w:t>.</w:t>
      </w:r>
      <w:r w:rsidR="00916010" w:rsidRPr="00977D04">
        <w:rPr>
          <w:szCs w:val="24"/>
        </w:rPr>
        <w:t xml:space="preserve"> </w:t>
      </w:r>
      <w:r w:rsidRPr="00977D04">
        <w:rPr>
          <w:szCs w:val="24"/>
        </w:rPr>
        <w:t xml:space="preserve">A </w:t>
      </w:r>
      <w:r w:rsidR="002E307D" w:rsidRPr="00977D04">
        <w:rPr>
          <w:szCs w:val="24"/>
        </w:rPr>
        <w:t>s</w:t>
      </w:r>
      <w:r w:rsidRPr="00977D04">
        <w:rPr>
          <w:szCs w:val="24"/>
        </w:rPr>
        <w:t xml:space="preserve">tatement of </w:t>
      </w:r>
      <w:r w:rsidR="002E307D" w:rsidRPr="00977D04">
        <w:rPr>
          <w:szCs w:val="24"/>
        </w:rPr>
        <w:t>c</w:t>
      </w:r>
      <w:r w:rsidRPr="00977D04">
        <w:rPr>
          <w:szCs w:val="24"/>
        </w:rPr>
        <w:t xml:space="preserve">ompatibility with </w:t>
      </w:r>
      <w:r w:rsidR="002E307D" w:rsidRPr="00977D04">
        <w:rPr>
          <w:szCs w:val="24"/>
        </w:rPr>
        <w:t>h</w:t>
      </w:r>
      <w:r w:rsidRPr="00977D04">
        <w:rPr>
          <w:szCs w:val="24"/>
        </w:rPr>
        <w:t xml:space="preserve">uman </w:t>
      </w:r>
      <w:r w:rsidR="002E307D" w:rsidRPr="00977D04">
        <w:rPr>
          <w:szCs w:val="24"/>
        </w:rPr>
        <w:t>r</w:t>
      </w:r>
      <w:r w:rsidRPr="00977D04">
        <w:rPr>
          <w:szCs w:val="24"/>
        </w:rPr>
        <w:t xml:space="preserve">ights is at </w:t>
      </w:r>
      <w:r w:rsidRPr="00977D04">
        <w:rPr>
          <w:szCs w:val="24"/>
          <w:u w:val="single"/>
        </w:rPr>
        <w:t>Attachment B</w:t>
      </w:r>
      <w:r w:rsidRPr="00977D04">
        <w:rPr>
          <w:szCs w:val="24"/>
        </w:rPr>
        <w:t>.</w:t>
      </w:r>
      <w:r w:rsidR="00916010" w:rsidRPr="00977D04">
        <w:rPr>
          <w:szCs w:val="24"/>
        </w:rPr>
        <w:t xml:space="preserve"> </w:t>
      </w:r>
    </w:p>
    <w:p w:rsidR="005C5470" w:rsidRPr="00977D04" w:rsidRDefault="005C5470">
      <w:pPr>
        <w:pStyle w:val="ParaNumbering"/>
        <w:rPr>
          <w:szCs w:val="24"/>
        </w:rPr>
      </w:pPr>
    </w:p>
    <w:p w:rsidR="005C5470" w:rsidRPr="00977D04" w:rsidRDefault="00301C10">
      <w:pPr>
        <w:pStyle w:val="ParaNumbering"/>
        <w:rPr>
          <w:szCs w:val="24"/>
        </w:rPr>
      </w:pPr>
      <w:r w:rsidRPr="00977D04">
        <w:rPr>
          <w:szCs w:val="24"/>
        </w:rPr>
        <w:t xml:space="preserve">The </w:t>
      </w:r>
      <w:r w:rsidR="007E37F9" w:rsidRPr="00977D04">
        <w:rPr>
          <w:szCs w:val="24"/>
        </w:rPr>
        <w:t>PGPA</w:t>
      </w:r>
      <w:r w:rsidR="004310CB">
        <w:rPr>
          <w:szCs w:val="24"/>
        </w:rPr>
        <w:t xml:space="preserve"> Amendment</w:t>
      </w:r>
      <w:r w:rsidR="007E37F9" w:rsidRPr="00977D04">
        <w:rPr>
          <w:szCs w:val="24"/>
        </w:rPr>
        <w:t xml:space="preserve"> </w:t>
      </w:r>
      <w:r w:rsidRPr="00977D04">
        <w:rPr>
          <w:szCs w:val="24"/>
        </w:rPr>
        <w:t>Rule is a legislative instrument for the purposes of the</w:t>
      </w:r>
      <w:r w:rsidRPr="00977D04">
        <w:rPr>
          <w:i/>
          <w:szCs w:val="24"/>
        </w:rPr>
        <w:t xml:space="preserve"> Legislative Instruments Act 2003.</w:t>
      </w:r>
      <w:r w:rsidR="00916010" w:rsidRPr="00977D04">
        <w:rPr>
          <w:i/>
          <w:szCs w:val="24"/>
        </w:rPr>
        <w:t xml:space="preserve"> </w:t>
      </w:r>
    </w:p>
    <w:p w:rsidR="00301C10" w:rsidRPr="00977D04" w:rsidRDefault="00301C10" w:rsidP="00D976E6"/>
    <w:p w:rsidR="004816AF" w:rsidRDefault="00A53E39" w:rsidP="004816AF">
      <w:pPr>
        <w:pStyle w:val="Heading2"/>
        <w:spacing w:before="0"/>
      </w:pPr>
      <w:r w:rsidRPr="009F3AB5">
        <w:rPr>
          <w:rFonts w:ascii="Times New Roman" w:hAnsi="Times New Roman" w:cs="Times New Roman"/>
          <w:sz w:val="24"/>
          <w:szCs w:val="24"/>
        </w:rPr>
        <w:t>Consultation</w:t>
      </w:r>
    </w:p>
    <w:p w:rsidR="009F3AB5" w:rsidRDefault="00452242" w:rsidP="009F3AB5">
      <w:r>
        <w:rPr>
          <w:lang w:val="en-AU"/>
        </w:rPr>
        <w:t>T</w:t>
      </w:r>
      <w:r w:rsidR="009F3AB5" w:rsidRPr="00FF7787">
        <w:t xml:space="preserve">he Department of Finance consulted stakeholders from across the Commonwealth in the development of the </w:t>
      </w:r>
      <w:r w:rsidR="009F3AB5">
        <w:t>PGPA Rule</w:t>
      </w:r>
      <w:r w:rsidR="009F3AB5" w:rsidRPr="00FF7787">
        <w:t>.</w:t>
      </w:r>
      <w:r w:rsidR="009F3AB5">
        <w:t xml:space="preserve"> </w:t>
      </w:r>
      <w:r w:rsidR="009F3AB5" w:rsidRPr="00FF7787">
        <w:t xml:space="preserve">A project board chaired by the Department of Finance oversaw the development process and five steering committees were constituted to work on </w:t>
      </w:r>
      <w:r w:rsidR="009F3AB5">
        <w:t>specific</w:t>
      </w:r>
      <w:r w:rsidR="009F3AB5" w:rsidRPr="00FF7787">
        <w:t xml:space="preserve"> subjects </w:t>
      </w:r>
      <w:r w:rsidR="009F3AB5">
        <w:t>under</w:t>
      </w:r>
      <w:r w:rsidR="009F3AB5" w:rsidRPr="00FF7787">
        <w:t xml:space="preserve"> the framework.</w:t>
      </w:r>
      <w:r w:rsidR="009F3AB5">
        <w:t xml:space="preserve"> </w:t>
      </w:r>
      <w:r w:rsidR="009F3AB5" w:rsidRPr="00FF7787">
        <w:t xml:space="preserve">Membership of the steering committees was drawn </w:t>
      </w:r>
      <w:r w:rsidR="009F3AB5" w:rsidRPr="00FF7787">
        <w:lastRenderedPageBreak/>
        <w:t xml:space="preserve">from a wide range of </w:t>
      </w:r>
      <w:r w:rsidR="009F3AB5">
        <w:t xml:space="preserve">Commonwealth </w:t>
      </w:r>
      <w:r w:rsidR="009F3AB5" w:rsidRPr="00CC7D02">
        <w:t xml:space="preserve">entities </w:t>
      </w:r>
      <w:r w:rsidR="009F3AB5" w:rsidRPr="00FF7787">
        <w:t>and Commonwealth companies.</w:t>
      </w:r>
      <w:r>
        <w:t xml:space="preserve"> </w:t>
      </w:r>
      <w:r w:rsidR="009F3AB5">
        <w:t>C</w:t>
      </w:r>
      <w:r w:rsidR="009F3AB5" w:rsidRPr="00FF7787">
        <w:t xml:space="preserve">onsultation was also undertaken with key stakeholders in regional and remote communities and in Sydney, Melbourne and Adelaide. </w:t>
      </w:r>
    </w:p>
    <w:p w:rsidR="00C351ED" w:rsidRPr="00C351ED" w:rsidRDefault="00C351ED" w:rsidP="00C351ED">
      <w:pPr>
        <w:pStyle w:val="ParaNumbering"/>
        <w:rPr>
          <w:szCs w:val="24"/>
        </w:rPr>
      </w:pPr>
    </w:p>
    <w:p w:rsidR="004816AF" w:rsidRDefault="00203F10" w:rsidP="00C351ED">
      <w:pPr>
        <w:pStyle w:val="ParaNumbering"/>
        <w:rPr>
          <w:szCs w:val="24"/>
        </w:rPr>
      </w:pPr>
      <w:r w:rsidRPr="00C351ED">
        <w:rPr>
          <w:szCs w:val="24"/>
        </w:rPr>
        <w:t xml:space="preserve">Development of the </w:t>
      </w:r>
      <w:r w:rsidR="004E1285">
        <w:rPr>
          <w:szCs w:val="24"/>
        </w:rPr>
        <w:t xml:space="preserve">CTP </w:t>
      </w:r>
      <w:r w:rsidR="00C13594" w:rsidRPr="00C351ED">
        <w:rPr>
          <w:szCs w:val="24"/>
        </w:rPr>
        <w:t>Rule</w:t>
      </w:r>
      <w:r w:rsidRPr="00C351ED">
        <w:rPr>
          <w:szCs w:val="24"/>
        </w:rPr>
        <w:t xml:space="preserve"> </w:t>
      </w:r>
      <w:r w:rsidR="00C13594" w:rsidRPr="00C351ED">
        <w:rPr>
          <w:szCs w:val="24"/>
        </w:rPr>
        <w:t>has been closely connected with the process of th</w:t>
      </w:r>
      <w:r w:rsidR="004E1285">
        <w:rPr>
          <w:szCs w:val="24"/>
        </w:rPr>
        <w:t xml:space="preserve">e development of the CTP </w:t>
      </w:r>
      <w:r w:rsidR="00C13594" w:rsidRPr="00C351ED">
        <w:rPr>
          <w:szCs w:val="24"/>
        </w:rPr>
        <w:t xml:space="preserve">Act, which </w:t>
      </w:r>
      <w:r w:rsidRPr="00C351ED">
        <w:rPr>
          <w:szCs w:val="24"/>
        </w:rPr>
        <w:t xml:space="preserve">has required consultation with all Commonwealth entities and </w:t>
      </w:r>
      <w:r w:rsidR="00452242" w:rsidRPr="00C351ED">
        <w:rPr>
          <w:szCs w:val="24"/>
        </w:rPr>
        <w:t xml:space="preserve">Commonwealth </w:t>
      </w:r>
      <w:r w:rsidRPr="00C351ED">
        <w:rPr>
          <w:szCs w:val="24"/>
        </w:rPr>
        <w:t xml:space="preserve">companies subject to enabling legislation to ensure understanding of the operation of the legislation and how it impacts on the operation of their organisation.  </w:t>
      </w:r>
    </w:p>
    <w:p w:rsidR="00C351ED" w:rsidRPr="00C351ED" w:rsidRDefault="00C351ED" w:rsidP="00C351ED">
      <w:pPr>
        <w:pStyle w:val="ParaNumbering"/>
        <w:rPr>
          <w:szCs w:val="24"/>
        </w:rPr>
      </w:pPr>
    </w:p>
    <w:p w:rsidR="004816AF" w:rsidRPr="00C351ED" w:rsidRDefault="009F3AB5" w:rsidP="00C351ED">
      <w:pPr>
        <w:pStyle w:val="ParaNumbering"/>
        <w:rPr>
          <w:szCs w:val="24"/>
        </w:rPr>
      </w:pPr>
      <w:r>
        <w:rPr>
          <w:szCs w:val="24"/>
        </w:rPr>
        <w:t>T</w:t>
      </w:r>
      <w:r w:rsidR="00203F10" w:rsidRPr="00C351ED">
        <w:rPr>
          <w:szCs w:val="24"/>
        </w:rPr>
        <w:t>he</w:t>
      </w:r>
      <w:r>
        <w:rPr>
          <w:szCs w:val="24"/>
        </w:rPr>
        <w:t xml:space="preserve"> commencement of substantive provisions of the PGPA Act and associated legislation was accompanied by an extensive programme of training and guidance to assist entities to </w:t>
      </w:r>
      <w:r w:rsidR="00B464B5">
        <w:rPr>
          <w:szCs w:val="24"/>
        </w:rPr>
        <w:t xml:space="preserve">comply with the new framework. Feedback from entities </w:t>
      </w:r>
      <w:r w:rsidR="003E39C3">
        <w:rPr>
          <w:szCs w:val="24"/>
        </w:rPr>
        <w:t xml:space="preserve">during this initial implementation process </w:t>
      </w:r>
      <w:r w:rsidR="00B464B5">
        <w:rPr>
          <w:szCs w:val="24"/>
        </w:rPr>
        <w:t>has led to the development of</w:t>
      </w:r>
      <w:r w:rsidR="00203F10" w:rsidRPr="00C351ED">
        <w:rPr>
          <w:szCs w:val="24"/>
        </w:rPr>
        <w:t xml:space="preserve"> </w:t>
      </w:r>
      <w:r w:rsidR="003E39C3">
        <w:rPr>
          <w:szCs w:val="24"/>
        </w:rPr>
        <w:t xml:space="preserve">further </w:t>
      </w:r>
      <w:r w:rsidR="00203F10" w:rsidRPr="00C351ED">
        <w:rPr>
          <w:szCs w:val="24"/>
        </w:rPr>
        <w:t xml:space="preserve">legislative amendments </w:t>
      </w:r>
      <w:r w:rsidR="00B464B5">
        <w:rPr>
          <w:szCs w:val="24"/>
        </w:rPr>
        <w:t xml:space="preserve">with </w:t>
      </w:r>
      <w:r w:rsidR="00203F10" w:rsidRPr="00C351ED">
        <w:rPr>
          <w:szCs w:val="24"/>
        </w:rPr>
        <w:t>the O</w:t>
      </w:r>
      <w:r w:rsidR="00B464B5">
        <w:rPr>
          <w:szCs w:val="24"/>
        </w:rPr>
        <w:t xml:space="preserve">ffice of Parliamentary Counsel. The </w:t>
      </w:r>
      <w:r w:rsidR="00203F10" w:rsidRPr="00C351ED">
        <w:rPr>
          <w:szCs w:val="24"/>
        </w:rPr>
        <w:t>advice of the Australian Government Solicitor has also been sought to ensure both the efficacy of proposed provisions and the maintenance of existing policy intent.</w:t>
      </w:r>
    </w:p>
    <w:p w:rsidR="004835F5" w:rsidRPr="00C351ED" w:rsidRDefault="004835F5" w:rsidP="00C351ED">
      <w:pPr>
        <w:pStyle w:val="ParaNumbering"/>
        <w:rPr>
          <w:szCs w:val="24"/>
        </w:rPr>
        <w:sectPr w:rsidR="004835F5" w:rsidRPr="00C351ED" w:rsidSect="004835F5">
          <w:headerReference w:type="default" r:id="rId8"/>
          <w:pgSz w:w="11906" w:h="16838"/>
          <w:pgMar w:top="1440" w:right="1440" w:bottom="1440" w:left="1440" w:header="708" w:footer="514" w:gutter="0"/>
          <w:cols w:space="708"/>
          <w:titlePg/>
          <w:docGrid w:linePitch="360"/>
        </w:sectPr>
      </w:pPr>
    </w:p>
    <w:p w:rsidR="006A749C" w:rsidRPr="00977D04" w:rsidRDefault="00474C20">
      <w:pPr>
        <w:rPr>
          <w:b/>
          <w:i/>
          <w:u w:val="single"/>
        </w:rPr>
      </w:pPr>
      <w:r w:rsidRPr="00977D04">
        <w:rPr>
          <w:b/>
          <w:u w:val="single"/>
        </w:rPr>
        <w:lastRenderedPageBreak/>
        <w:t xml:space="preserve">Details of the </w:t>
      </w:r>
      <w:r w:rsidRPr="00977D04">
        <w:rPr>
          <w:b/>
          <w:i/>
          <w:u w:val="single"/>
        </w:rPr>
        <w:t>Public Governance, Performance and Accountability</w:t>
      </w:r>
      <w:r w:rsidR="0096391F">
        <w:rPr>
          <w:b/>
          <w:i/>
          <w:u w:val="single"/>
        </w:rPr>
        <w:t xml:space="preserve"> Legislation Amendment Rule 2014</w:t>
      </w:r>
    </w:p>
    <w:p w:rsidR="0035416D" w:rsidRPr="00977D04" w:rsidRDefault="0035416D" w:rsidP="005C5470">
      <w:pPr>
        <w:pStyle w:val="Heading2"/>
        <w:spacing w:before="0"/>
        <w:rPr>
          <w:rFonts w:ascii="Times New Roman" w:hAnsi="Times New Roman" w:cs="Times New Roman"/>
          <w:sz w:val="24"/>
          <w:szCs w:val="24"/>
        </w:rPr>
      </w:pPr>
    </w:p>
    <w:p w:rsidR="003C0A8B" w:rsidRPr="00984450" w:rsidRDefault="004816AF">
      <w:pPr>
        <w:rPr>
          <w:b/>
          <w:lang w:val="en-AU"/>
        </w:rPr>
      </w:pPr>
      <w:r w:rsidRPr="004816AF">
        <w:rPr>
          <w:b/>
          <w:lang w:val="en-AU"/>
        </w:rPr>
        <w:t xml:space="preserve">Section 1—Name of </w:t>
      </w:r>
      <w:r w:rsidR="00452242">
        <w:rPr>
          <w:b/>
          <w:lang w:val="en-AU"/>
        </w:rPr>
        <w:t>instrument</w:t>
      </w:r>
    </w:p>
    <w:p w:rsidR="003C0A8B" w:rsidRPr="00977D04" w:rsidRDefault="003C0A8B">
      <w:pPr>
        <w:rPr>
          <w:lang w:val="en-AU"/>
        </w:rPr>
      </w:pPr>
    </w:p>
    <w:p w:rsidR="003C0A8B" w:rsidRPr="00977D04" w:rsidRDefault="008F323F">
      <w:pPr>
        <w:rPr>
          <w:lang w:val="en-AU"/>
        </w:rPr>
      </w:pPr>
      <w:r w:rsidRPr="00977D04">
        <w:rPr>
          <w:lang w:val="en-AU"/>
        </w:rPr>
        <w:t xml:space="preserve">This section provides that the title of the </w:t>
      </w:r>
      <w:r w:rsidR="00452242">
        <w:rPr>
          <w:lang w:val="en-AU"/>
        </w:rPr>
        <w:t>instrument</w:t>
      </w:r>
      <w:r w:rsidRPr="00977D04">
        <w:rPr>
          <w:lang w:val="en-AU"/>
        </w:rPr>
        <w:t xml:space="preserve"> is the </w:t>
      </w:r>
      <w:r w:rsidR="004816AF" w:rsidRPr="004816AF">
        <w:rPr>
          <w:i/>
        </w:rPr>
        <w:t xml:space="preserve">Public Governance, </w:t>
      </w:r>
      <w:r w:rsidR="0096391F">
        <w:rPr>
          <w:i/>
        </w:rPr>
        <w:t xml:space="preserve">Performance and Accountability Legislation Amendment </w:t>
      </w:r>
      <w:r w:rsidR="004816AF" w:rsidRPr="004816AF">
        <w:rPr>
          <w:i/>
        </w:rPr>
        <w:t xml:space="preserve">Rule </w:t>
      </w:r>
      <w:r w:rsidR="004816AF" w:rsidRPr="004816AF">
        <w:rPr>
          <w:i/>
          <w:lang w:val="en-AU"/>
        </w:rPr>
        <w:t>2014</w:t>
      </w:r>
      <w:r w:rsidR="0096391F">
        <w:rPr>
          <w:lang w:val="en-AU"/>
        </w:rPr>
        <w:t xml:space="preserve"> (PGPA Amendment Rule)</w:t>
      </w:r>
    </w:p>
    <w:p w:rsidR="003C0A8B" w:rsidRPr="00977D04" w:rsidRDefault="003C0A8B">
      <w:pPr>
        <w:rPr>
          <w:lang w:val="en-AU"/>
        </w:rPr>
      </w:pPr>
    </w:p>
    <w:p w:rsidR="003C0A8B" w:rsidRPr="00984450" w:rsidRDefault="004816AF">
      <w:pPr>
        <w:rPr>
          <w:b/>
          <w:lang w:val="en-AU"/>
        </w:rPr>
      </w:pPr>
      <w:r w:rsidRPr="004816AF">
        <w:rPr>
          <w:b/>
          <w:lang w:val="en-AU"/>
        </w:rPr>
        <w:t xml:space="preserve">Section 2—Commencement </w:t>
      </w:r>
    </w:p>
    <w:p w:rsidR="003C0A8B" w:rsidRPr="00977D04" w:rsidRDefault="003C0A8B">
      <w:pPr>
        <w:rPr>
          <w:lang w:val="en-AU"/>
        </w:rPr>
      </w:pPr>
    </w:p>
    <w:p w:rsidR="003C0A8B" w:rsidRPr="00977D04" w:rsidRDefault="008F323F">
      <w:pPr>
        <w:rPr>
          <w:lang w:val="en-AU"/>
        </w:rPr>
      </w:pPr>
      <w:r w:rsidRPr="00977D04">
        <w:rPr>
          <w:lang w:val="en-AU"/>
        </w:rPr>
        <w:t xml:space="preserve">This section </w:t>
      </w:r>
      <w:r w:rsidR="00F826B8">
        <w:rPr>
          <w:lang w:val="en-AU"/>
        </w:rPr>
        <w:t>provides that t</w:t>
      </w:r>
      <w:r w:rsidR="006A749C" w:rsidRPr="00977D04">
        <w:rPr>
          <w:lang w:val="en-AU"/>
        </w:rPr>
        <w:t xml:space="preserve">he </w:t>
      </w:r>
      <w:r w:rsidR="00452242">
        <w:rPr>
          <w:lang w:val="en-AU"/>
        </w:rPr>
        <w:t>instrument</w:t>
      </w:r>
      <w:r w:rsidR="006A749C" w:rsidRPr="00977D04">
        <w:rPr>
          <w:lang w:val="en-AU"/>
        </w:rPr>
        <w:t xml:space="preserve"> </w:t>
      </w:r>
      <w:r w:rsidR="006A749C" w:rsidRPr="00977D04">
        <w:t xml:space="preserve">commences </w:t>
      </w:r>
      <w:r w:rsidR="0096391F">
        <w:t>on the day after it is registered.</w:t>
      </w:r>
    </w:p>
    <w:p w:rsidR="003C0A8B" w:rsidRPr="00977D04" w:rsidRDefault="003C0A8B">
      <w:pPr>
        <w:rPr>
          <w:lang w:val="en-AU"/>
        </w:rPr>
      </w:pPr>
    </w:p>
    <w:p w:rsidR="003C0A8B" w:rsidRPr="00984450" w:rsidRDefault="004816AF">
      <w:pPr>
        <w:rPr>
          <w:b/>
          <w:i/>
          <w:lang w:val="en-AU"/>
        </w:rPr>
      </w:pPr>
      <w:r w:rsidRPr="004816AF">
        <w:rPr>
          <w:b/>
          <w:lang w:val="en-AU"/>
        </w:rPr>
        <w:t>Section 3—Authority</w:t>
      </w:r>
      <w:r w:rsidRPr="004816AF">
        <w:rPr>
          <w:b/>
          <w:i/>
          <w:lang w:val="en-AU"/>
        </w:rPr>
        <w:t xml:space="preserve"> </w:t>
      </w:r>
    </w:p>
    <w:p w:rsidR="003C0A8B" w:rsidRPr="00977D04" w:rsidRDefault="003C0A8B">
      <w:pPr>
        <w:rPr>
          <w:lang w:val="en-AU"/>
        </w:rPr>
      </w:pPr>
    </w:p>
    <w:p w:rsidR="003C0A8B" w:rsidRPr="00B46CA4" w:rsidRDefault="008F323F">
      <w:pPr>
        <w:rPr>
          <w:lang w:val="en-AU"/>
        </w:rPr>
      </w:pPr>
      <w:r w:rsidRPr="00977D04">
        <w:rPr>
          <w:lang w:val="en-AU"/>
        </w:rPr>
        <w:t xml:space="preserve">This section </w:t>
      </w:r>
      <w:r w:rsidR="001E087F" w:rsidRPr="00977D04">
        <w:rPr>
          <w:lang w:val="en-AU"/>
        </w:rPr>
        <w:t xml:space="preserve">states </w:t>
      </w:r>
      <w:r w:rsidRPr="00977D04">
        <w:rPr>
          <w:lang w:val="en-AU"/>
        </w:rPr>
        <w:t>that the</w:t>
      </w:r>
      <w:r w:rsidR="00F826B8">
        <w:rPr>
          <w:lang w:val="en-AU"/>
        </w:rPr>
        <w:t xml:space="preserve"> </w:t>
      </w:r>
      <w:r w:rsidR="00E00FD6">
        <w:rPr>
          <w:lang w:val="en-AU"/>
        </w:rPr>
        <w:t>instrument</w:t>
      </w:r>
      <w:r w:rsidRPr="00977D04">
        <w:rPr>
          <w:lang w:val="en-AU"/>
        </w:rPr>
        <w:t xml:space="preserve"> is made under the</w:t>
      </w:r>
      <w:r w:rsidR="00E00FD6" w:rsidRPr="00E00FD6">
        <w:rPr>
          <w:i/>
          <w:lang w:val="en-AU"/>
        </w:rPr>
        <w:t xml:space="preserve"> </w:t>
      </w:r>
      <w:r w:rsidR="00E00FD6">
        <w:rPr>
          <w:i/>
          <w:lang w:val="en-AU"/>
        </w:rPr>
        <w:t>Public Governance, Performance and Accountability Act 2013</w:t>
      </w:r>
      <w:r w:rsidR="00E00FD6">
        <w:rPr>
          <w:lang w:val="en-AU"/>
        </w:rPr>
        <w:t xml:space="preserve"> (PGPA Act)</w:t>
      </w:r>
      <w:r w:rsidRPr="00977D04">
        <w:rPr>
          <w:lang w:val="en-AU"/>
        </w:rPr>
        <w:t xml:space="preserve"> </w:t>
      </w:r>
      <w:r w:rsidR="00E00FD6">
        <w:rPr>
          <w:lang w:val="en-AU"/>
        </w:rPr>
        <w:t xml:space="preserve">and the </w:t>
      </w:r>
      <w:r w:rsidR="006A749C" w:rsidRPr="00977D04">
        <w:rPr>
          <w:i/>
        </w:rPr>
        <w:t>Public Governance, Performance and Accountability (Consequential and Transitional Provisions) Act 2014</w:t>
      </w:r>
      <w:r w:rsidR="0096391F">
        <w:rPr>
          <w:lang w:val="en-AU"/>
        </w:rPr>
        <w:t xml:space="preserve"> </w:t>
      </w:r>
      <w:r w:rsidR="004E1285">
        <w:rPr>
          <w:lang w:val="en-AU"/>
        </w:rPr>
        <w:t>(CTP</w:t>
      </w:r>
      <w:r w:rsidR="00B46CA4">
        <w:rPr>
          <w:lang w:val="en-AU"/>
        </w:rPr>
        <w:t xml:space="preserve"> Act)</w:t>
      </w:r>
      <w:r w:rsidR="0000625E">
        <w:rPr>
          <w:lang w:val="en-AU"/>
        </w:rPr>
        <w:t>.</w:t>
      </w:r>
    </w:p>
    <w:p w:rsidR="003C0A8B" w:rsidRPr="00977D04" w:rsidRDefault="003C0A8B">
      <w:pPr>
        <w:rPr>
          <w:lang w:val="en-AU"/>
        </w:rPr>
      </w:pPr>
    </w:p>
    <w:p w:rsidR="003C0A8B" w:rsidRPr="00984450" w:rsidRDefault="0096391F">
      <w:pPr>
        <w:rPr>
          <w:b/>
          <w:i/>
          <w:lang w:val="en-AU"/>
        </w:rPr>
      </w:pPr>
      <w:r>
        <w:rPr>
          <w:b/>
          <w:lang w:val="en-AU"/>
        </w:rPr>
        <w:t>Section 4—Schedules</w:t>
      </w:r>
      <w:r w:rsidR="004816AF" w:rsidRPr="004816AF">
        <w:rPr>
          <w:b/>
          <w:i/>
          <w:lang w:val="en-AU"/>
        </w:rPr>
        <w:t xml:space="preserve"> </w:t>
      </w:r>
    </w:p>
    <w:p w:rsidR="003C0A8B" w:rsidRPr="00977D04" w:rsidRDefault="003C0A8B">
      <w:pPr>
        <w:rPr>
          <w:lang w:val="en-AU"/>
        </w:rPr>
      </w:pPr>
    </w:p>
    <w:p w:rsidR="007F23C3" w:rsidRDefault="00296D46" w:rsidP="0096391F">
      <w:r w:rsidRPr="00977D04">
        <w:rPr>
          <w:lang w:val="en-AU"/>
        </w:rPr>
        <w:t xml:space="preserve">This section </w:t>
      </w:r>
      <w:r w:rsidR="0096391F">
        <w:rPr>
          <w:lang w:val="en-AU"/>
        </w:rPr>
        <w:t xml:space="preserve">provides that </w:t>
      </w:r>
      <w:r w:rsidR="00E00FD6">
        <w:rPr>
          <w:lang w:val="en-AU"/>
        </w:rPr>
        <w:t>each</w:t>
      </w:r>
      <w:r w:rsidR="0096391F">
        <w:rPr>
          <w:lang w:val="en-AU"/>
        </w:rPr>
        <w:t xml:space="preserve"> legislative instrument</w:t>
      </w:r>
      <w:r w:rsidR="00E00FD6">
        <w:rPr>
          <w:lang w:val="en-AU"/>
        </w:rPr>
        <w:t xml:space="preserve"> that is</w:t>
      </w:r>
      <w:r w:rsidR="0096391F">
        <w:rPr>
          <w:lang w:val="en-AU"/>
        </w:rPr>
        <w:t xml:space="preserve"> specified in a Schedule to this </w:t>
      </w:r>
      <w:r w:rsidR="0096391F">
        <w:t xml:space="preserve">PGPA Amendment Rule is amended or repealed as set out. </w:t>
      </w:r>
    </w:p>
    <w:p w:rsidR="007F23C3" w:rsidRDefault="007F23C3">
      <w:pPr>
        <w:rPr>
          <w:lang w:val="en-AU"/>
        </w:rPr>
      </w:pPr>
    </w:p>
    <w:p w:rsidR="00984450" w:rsidRDefault="0096391F">
      <w:pPr>
        <w:rPr>
          <w:b/>
          <w:lang w:val="en-AU"/>
        </w:rPr>
      </w:pPr>
      <w:r>
        <w:rPr>
          <w:b/>
          <w:lang w:val="en-AU"/>
        </w:rPr>
        <w:t>Schedule 1</w:t>
      </w:r>
      <w:r w:rsidRPr="004816AF">
        <w:rPr>
          <w:b/>
          <w:lang w:val="en-AU"/>
        </w:rPr>
        <w:t>—</w:t>
      </w:r>
      <w:r>
        <w:rPr>
          <w:b/>
          <w:lang w:val="en-AU"/>
        </w:rPr>
        <w:t>Amendments</w:t>
      </w:r>
    </w:p>
    <w:p w:rsidR="0096391F" w:rsidRPr="00977D04" w:rsidRDefault="0096391F">
      <w:pPr>
        <w:rPr>
          <w:lang w:val="en-AU"/>
        </w:rPr>
      </w:pPr>
    </w:p>
    <w:p w:rsidR="0096391F" w:rsidRPr="004E1285" w:rsidRDefault="0096391F" w:rsidP="00977D04">
      <w:pPr>
        <w:rPr>
          <w:b/>
        </w:rPr>
      </w:pPr>
      <w:bookmarkStart w:id="0" w:name="_Toc391472743"/>
      <w:r w:rsidRPr="0096391F">
        <w:rPr>
          <w:b/>
          <w:i/>
        </w:rPr>
        <w:t>Public Governance, Performance and Accountability (Consequential and Transitional Provisions) Rule 2014</w:t>
      </w:r>
      <w:r w:rsidR="004E1285">
        <w:rPr>
          <w:b/>
        </w:rPr>
        <w:t xml:space="preserve"> (CTP Rule)</w:t>
      </w:r>
    </w:p>
    <w:p w:rsidR="0096391F" w:rsidRDefault="0096391F" w:rsidP="00977D04">
      <w:pPr>
        <w:rPr>
          <w:b/>
          <w:lang w:val="en-AU"/>
        </w:rPr>
      </w:pPr>
    </w:p>
    <w:p w:rsidR="00977D04" w:rsidRPr="00984450" w:rsidRDefault="0096391F" w:rsidP="00977D04">
      <w:pPr>
        <w:rPr>
          <w:b/>
          <w:lang w:val="en-AU"/>
        </w:rPr>
      </w:pPr>
      <w:r>
        <w:rPr>
          <w:b/>
          <w:lang w:val="en-AU"/>
        </w:rPr>
        <w:t>Item 1</w:t>
      </w:r>
      <w:r w:rsidR="004816AF" w:rsidRPr="004816AF">
        <w:rPr>
          <w:b/>
          <w:lang w:val="en-AU"/>
        </w:rPr>
        <w:t>—</w:t>
      </w:r>
      <w:bookmarkEnd w:id="0"/>
      <w:r w:rsidR="00B46CA4">
        <w:rPr>
          <w:b/>
          <w:lang w:val="en-AU"/>
        </w:rPr>
        <w:t>Subsection</w:t>
      </w:r>
      <w:r>
        <w:rPr>
          <w:b/>
          <w:lang w:val="en-AU"/>
        </w:rPr>
        <w:t xml:space="preserve"> 4(1) (definitions of </w:t>
      </w:r>
      <w:r w:rsidRPr="0096391F">
        <w:rPr>
          <w:b/>
          <w:i/>
          <w:lang w:val="en-AU"/>
        </w:rPr>
        <w:t xml:space="preserve">FMA Act </w:t>
      </w:r>
      <w:r w:rsidRPr="0096391F">
        <w:rPr>
          <w:b/>
          <w:lang w:val="en-AU"/>
        </w:rPr>
        <w:t xml:space="preserve">and </w:t>
      </w:r>
      <w:r w:rsidRPr="0096391F">
        <w:rPr>
          <w:b/>
          <w:i/>
          <w:lang w:val="en-AU"/>
        </w:rPr>
        <w:t>PGPA Act</w:t>
      </w:r>
      <w:r>
        <w:rPr>
          <w:b/>
          <w:lang w:val="en-AU"/>
        </w:rPr>
        <w:t>)</w:t>
      </w:r>
    </w:p>
    <w:p w:rsidR="00984450" w:rsidRPr="00984450" w:rsidRDefault="00984450" w:rsidP="00984450">
      <w:pPr>
        <w:rPr>
          <w:lang w:val="en-AU"/>
        </w:rPr>
      </w:pPr>
    </w:p>
    <w:p w:rsidR="004816AF" w:rsidRPr="00B46CA4" w:rsidRDefault="0096391F" w:rsidP="004816AF">
      <w:pPr>
        <w:pStyle w:val="subsection"/>
        <w:spacing w:before="0"/>
        <w:ind w:left="0" w:firstLine="0"/>
        <w:rPr>
          <w:i/>
          <w:caps/>
          <w:sz w:val="24"/>
          <w:szCs w:val="24"/>
        </w:rPr>
      </w:pPr>
      <w:r>
        <w:rPr>
          <w:sz w:val="24"/>
          <w:szCs w:val="24"/>
        </w:rPr>
        <w:t xml:space="preserve">This item repeals the definitions of </w:t>
      </w:r>
      <w:r w:rsidR="003E39C3">
        <w:rPr>
          <w:sz w:val="24"/>
          <w:szCs w:val="24"/>
        </w:rPr>
        <w:t xml:space="preserve">the </w:t>
      </w:r>
      <w:r w:rsidR="00BA6EFD">
        <w:rPr>
          <w:i/>
          <w:sz w:val="24"/>
          <w:szCs w:val="24"/>
        </w:rPr>
        <w:t>Financia</w:t>
      </w:r>
      <w:r w:rsidR="003E39C3">
        <w:rPr>
          <w:i/>
          <w:sz w:val="24"/>
          <w:szCs w:val="24"/>
        </w:rPr>
        <w:t>l Management and Accountability Act 1997</w:t>
      </w:r>
      <w:r w:rsidR="003E39C3">
        <w:rPr>
          <w:sz w:val="24"/>
          <w:szCs w:val="24"/>
        </w:rPr>
        <w:t xml:space="preserve"> (FMA Act) and the</w:t>
      </w:r>
      <w:r w:rsidR="00B46CA4">
        <w:rPr>
          <w:sz w:val="24"/>
          <w:szCs w:val="24"/>
        </w:rPr>
        <w:t xml:space="preserve"> PGPA Act from the definitions</w:t>
      </w:r>
      <w:r w:rsidR="004E1285">
        <w:rPr>
          <w:sz w:val="24"/>
          <w:szCs w:val="24"/>
        </w:rPr>
        <w:t xml:space="preserve"> section of the CTP Rule as they are already defined in the primary legi</w:t>
      </w:r>
      <w:r w:rsidR="00976674">
        <w:rPr>
          <w:sz w:val="24"/>
          <w:szCs w:val="24"/>
        </w:rPr>
        <w:t xml:space="preserve">slation under which the </w:t>
      </w:r>
      <w:r w:rsidR="00E00FD6">
        <w:rPr>
          <w:sz w:val="24"/>
          <w:szCs w:val="24"/>
        </w:rPr>
        <w:t xml:space="preserve">CTP </w:t>
      </w:r>
      <w:r w:rsidR="00976674">
        <w:rPr>
          <w:sz w:val="24"/>
          <w:szCs w:val="24"/>
        </w:rPr>
        <w:t>Rule is</w:t>
      </w:r>
      <w:r w:rsidR="004E1285">
        <w:rPr>
          <w:sz w:val="24"/>
          <w:szCs w:val="24"/>
        </w:rPr>
        <w:t xml:space="preserve"> made.</w:t>
      </w:r>
    </w:p>
    <w:p w:rsidR="004816AF" w:rsidRDefault="004816AF" w:rsidP="004816AF">
      <w:pPr>
        <w:pStyle w:val="subsection"/>
        <w:spacing w:before="0"/>
        <w:ind w:left="0" w:firstLine="0"/>
        <w:rPr>
          <w:sz w:val="24"/>
          <w:szCs w:val="24"/>
        </w:rPr>
      </w:pPr>
    </w:p>
    <w:p w:rsidR="00977D04" w:rsidRPr="00984450" w:rsidRDefault="00B46CA4" w:rsidP="00977D04">
      <w:pPr>
        <w:rPr>
          <w:b/>
          <w:lang w:val="en-AU"/>
        </w:rPr>
      </w:pPr>
      <w:bookmarkStart w:id="1" w:name="_Toc391472744"/>
      <w:r>
        <w:rPr>
          <w:b/>
          <w:lang w:val="en-AU"/>
        </w:rPr>
        <w:t>Item 2</w:t>
      </w:r>
      <w:r w:rsidR="004816AF" w:rsidRPr="004816AF">
        <w:rPr>
          <w:b/>
          <w:lang w:val="en-AU"/>
        </w:rPr>
        <w:t>—</w:t>
      </w:r>
      <w:bookmarkEnd w:id="1"/>
      <w:r>
        <w:rPr>
          <w:b/>
          <w:lang w:val="en-AU"/>
        </w:rPr>
        <w:t>Subsection 4(1)</w:t>
      </w:r>
    </w:p>
    <w:p w:rsidR="004816AF" w:rsidRDefault="004816AF" w:rsidP="004816AF">
      <w:pPr>
        <w:pStyle w:val="Subitem"/>
        <w:spacing w:before="0"/>
        <w:ind w:left="0" w:firstLine="0"/>
        <w:rPr>
          <w:sz w:val="24"/>
          <w:szCs w:val="24"/>
        </w:rPr>
      </w:pPr>
    </w:p>
    <w:p w:rsidR="004816AF" w:rsidRDefault="00B46CA4" w:rsidP="00B46CA4">
      <w:pPr>
        <w:pStyle w:val="Subitem"/>
        <w:spacing w:before="0"/>
        <w:ind w:left="0" w:firstLine="0"/>
        <w:rPr>
          <w:sz w:val="24"/>
          <w:szCs w:val="24"/>
        </w:rPr>
      </w:pPr>
      <w:r>
        <w:rPr>
          <w:sz w:val="24"/>
          <w:szCs w:val="24"/>
        </w:rPr>
        <w:t xml:space="preserve">This item inserts a definition of ‘PGPA rules’ </w:t>
      </w:r>
      <w:r w:rsidR="004E1285">
        <w:rPr>
          <w:sz w:val="24"/>
          <w:szCs w:val="24"/>
        </w:rPr>
        <w:t>into the CTP Rule</w:t>
      </w:r>
      <w:r>
        <w:rPr>
          <w:sz w:val="24"/>
          <w:szCs w:val="24"/>
        </w:rPr>
        <w:t xml:space="preserve">. </w:t>
      </w:r>
      <w:r w:rsidR="002D004B">
        <w:rPr>
          <w:sz w:val="24"/>
          <w:szCs w:val="24"/>
        </w:rPr>
        <w:t xml:space="preserve"> </w:t>
      </w:r>
    </w:p>
    <w:p w:rsidR="0000625E" w:rsidRDefault="0000625E" w:rsidP="007F23C3">
      <w:pPr>
        <w:rPr>
          <w:b/>
          <w:lang w:val="en-AU"/>
        </w:rPr>
      </w:pPr>
      <w:bookmarkStart w:id="2" w:name="_Toc391472746"/>
    </w:p>
    <w:p w:rsidR="00977D04" w:rsidRPr="00984450" w:rsidRDefault="00B46CA4" w:rsidP="007F23C3">
      <w:pPr>
        <w:rPr>
          <w:b/>
          <w:lang w:val="en-AU"/>
        </w:rPr>
      </w:pPr>
      <w:r>
        <w:rPr>
          <w:b/>
          <w:lang w:val="en-AU"/>
        </w:rPr>
        <w:t>Item 3</w:t>
      </w:r>
      <w:r w:rsidR="004816AF" w:rsidRPr="004816AF">
        <w:rPr>
          <w:b/>
          <w:lang w:val="en-AU"/>
        </w:rPr>
        <w:t>—</w:t>
      </w:r>
      <w:bookmarkEnd w:id="2"/>
      <w:r>
        <w:rPr>
          <w:b/>
          <w:lang w:val="en-AU"/>
        </w:rPr>
        <w:t>Before section 5</w:t>
      </w:r>
    </w:p>
    <w:p w:rsidR="00106AFA" w:rsidRDefault="00106AFA">
      <w:pPr>
        <w:pStyle w:val="notetext"/>
        <w:spacing w:before="0"/>
        <w:ind w:left="0" w:firstLine="0"/>
        <w:rPr>
          <w:sz w:val="24"/>
          <w:szCs w:val="24"/>
        </w:rPr>
      </w:pPr>
    </w:p>
    <w:p w:rsidR="004816AF" w:rsidRDefault="00B46CA4" w:rsidP="004816AF">
      <w:pPr>
        <w:pStyle w:val="notetext"/>
        <w:spacing w:before="0"/>
        <w:ind w:left="0" w:firstLine="0"/>
        <w:rPr>
          <w:sz w:val="24"/>
          <w:szCs w:val="24"/>
        </w:rPr>
      </w:pPr>
      <w:r>
        <w:rPr>
          <w:sz w:val="24"/>
          <w:szCs w:val="24"/>
        </w:rPr>
        <w:t xml:space="preserve">This item creates a new Division </w:t>
      </w:r>
      <w:r w:rsidR="00E00FD6">
        <w:rPr>
          <w:sz w:val="24"/>
          <w:szCs w:val="24"/>
        </w:rPr>
        <w:t xml:space="preserve">1 </w:t>
      </w:r>
      <w:r w:rsidR="004E1285">
        <w:rPr>
          <w:sz w:val="24"/>
          <w:szCs w:val="24"/>
        </w:rPr>
        <w:t xml:space="preserve">in the CTP Rule </w:t>
      </w:r>
      <w:r>
        <w:rPr>
          <w:sz w:val="24"/>
          <w:szCs w:val="24"/>
        </w:rPr>
        <w:t xml:space="preserve">for those </w:t>
      </w:r>
      <w:r w:rsidR="004E1285">
        <w:rPr>
          <w:sz w:val="24"/>
          <w:szCs w:val="24"/>
        </w:rPr>
        <w:t xml:space="preserve">transitional rules created for subitem 6(2) of Schedule 14 </w:t>
      </w:r>
      <w:r w:rsidR="00E00FD6">
        <w:rPr>
          <w:sz w:val="24"/>
          <w:szCs w:val="24"/>
        </w:rPr>
        <w:t>to</w:t>
      </w:r>
      <w:r w:rsidR="004E1285">
        <w:rPr>
          <w:sz w:val="24"/>
          <w:szCs w:val="24"/>
        </w:rPr>
        <w:t xml:space="preserve"> the CTP Act. These are rules that prescribe matters of a transitional nature relating to the operation of the CTP Act and the PGPA Act. </w:t>
      </w:r>
    </w:p>
    <w:p w:rsidR="0000625E" w:rsidRDefault="0000625E" w:rsidP="007F23C3">
      <w:pPr>
        <w:rPr>
          <w:b/>
          <w:lang w:val="en-AU"/>
        </w:rPr>
      </w:pPr>
    </w:p>
    <w:p w:rsidR="00DA6E5D" w:rsidRPr="00984450" w:rsidRDefault="004E1285" w:rsidP="007F23C3">
      <w:pPr>
        <w:rPr>
          <w:b/>
          <w:lang w:val="en-AU"/>
        </w:rPr>
      </w:pPr>
      <w:r>
        <w:rPr>
          <w:b/>
          <w:lang w:val="en-AU"/>
        </w:rPr>
        <w:t>Item 4—Section 5 (heading)</w:t>
      </w:r>
    </w:p>
    <w:p w:rsidR="00106AFA" w:rsidRDefault="00106AFA">
      <w:pPr>
        <w:pStyle w:val="notetext"/>
        <w:spacing w:before="0"/>
        <w:ind w:left="0" w:firstLine="0"/>
        <w:rPr>
          <w:sz w:val="24"/>
          <w:szCs w:val="24"/>
        </w:rPr>
      </w:pPr>
    </w:p>
    <w:p w:rsidR="004816AF" w:rsidRDefault="004E1285" w:rsidP="004816AF">
      <w:pPr>
        <w:pStyle w:val="notetext"/>
        <w:spacing w:before="0"/>
        <w:ind w:left="0" w:firstLine="0"/>
        <w:rPr>
          <w:sz w:val="24"/>
          <w:szCs w:val="24"/>
        </w:rPr>
      </w:pPr>
      <w:r>
        <w:rPr>
          <w:sz w:val="24"/>
          <w:szCs w:val="24"/>
        </w:rPr>
        <w:t xml:space="preserve">This is an </w:t>
      </w:r>
      <w:r w:rsidR="00976674">
        <w:rPr>
          <w:sz w:val="24"/>
          <w:szCs w:val="24"/>
        </w:rPr>
        <w:t>editorial amendment reflecting the creation of a new Division 1 in the CTP Rule.</w:t>
      </w:r>
    </w:p>
    <w:p w:rsidR="004816AF" w:rsidRDefault="004816AF" w:rsidP="004816AF">
      <w:pPr>
        <w:pStyle w:val="notetext"/>
        <w:spacing w:before="0"/>
        <w:ind w:left="0" w:firstLine="0"/>
        <w:rPr>
          <w:sz w:val="24"/>
          <w:szCs w:val="24"/>
        </w:rPr>
      </w:pPr>
    </w:p>
    <w:p w:rsidR="00117851" w:rsidRDefault="00117851" w:rsidP="004816AF">
      <w:pPr>
        <w:pStyle w:val="notetext"/>
        <w:spacing w:before="0"/>
        <w:ind w:left="0" w:firstLine="0"/>
        <w:rPr>
          <w:sz w:val="24"/>
          <w:szCs w:val="24"/>
        </w:rPr>
      </w:pPr>
    </w:p>
    <w:p w:rsidR="00117851" w:rsidRDefault="00117851" w:rsidP="004816AF">
      <w:pPr>
        <w:pStyle w:val="notetext"/>
        <w:spacing w:before="0"/>
        <w:ind w:left="0" w:firstLine="0"/>
        <w:rPr>
          <w:sz w:val="24"/>
          <w:szCs w:val="24"/>
        </w:rPr>
      </w:pPr>
    </w:p>
    <w:p w:rsidR="004816AF" w:rsidRDefault="00976674" w:rsidP="00976674">
      <w:pPr>
        <w:rPr>
          <w:b/>
          <w:lang w:val="en-AU"/>
        </w:rPr>
      </w:pPr>
      <w:r>
        <w:rPr>
          <w:b/>
          <w:lang w:val="en-AU"/>
        </w:rPr>
        <w:t xml:space="preserve">Item 5—Section 5 </w:t>
      </w:r>
    </w:p>
    <w:p w:rsidR="00976674" w:rsidRDefault="00976674" w:rsidP="00976674">
      <w:pPr>
        <w:rPr>
          <w:b/>
          <w:lang w:val="en-AU"/>
        </w:rPr>
      </w:pPr>
    </w:p>
    <w:p w:rsidR="00976674" w:rsidRDefault="00976674" w:rsidP="00976674">
      <w:pPr>
        <w:pStyle w:val="notetext"/>
        <w:spacing w:before="0"/>
        <w:ind w:left="0" w:firstLine="0"/>
        <w:rPr>
          <w:sz w:val="24"/>
          <w:szCs w:val="24"/>
        </w:rPr>
      </w:pPr>
      <w:r>
        <w:rPr>
          <w:sz w:val="24"/>
          <w:szCs w:val="24"/>
        </w:rPr>
        <w:t xml:space="preserve">This is an editorial amendment reflecting the creation of a new Division 1 </w:t>
      </w:r>
      <w:r w:rsidR="00E00FD6">
        <w:rPr>
          <w:sz w:val="24"/>
          <w:szCs w:val="24"/>
        </w:rPr>
        <w:t>in the CTP Rule</w:t>
      </w:r>
      <w:r>
        <w:rPr>
          <w:sz w:val="24"/>
          <w:szCs w:val="24"/>
        </w:rPr>
        <w:t>.</w:t>
      </w:r>
    </w:p>
    <w:p w:rsidR="00976674" w:rsidRDefault="00976674" w:rsidP="00976674">
      <w:pPr>
        <w:rPr>
          <w:lang w:val="en-AU"/>
        </w:rPr>
      </w:pPr>
    </w:p>
    <w:p w:rsidR="00976674" w:rsidRDefault="00976674" w:rsidP="00976674">
      <w:pPr>
        <w:rPr>
          <w:lang w:val="en-AU"/>
        </w:rPr>
      </w:pPr>
      <w:r>
        <w:rPr>
          <w:b/>
          <w:lang w:val="en-AU"/>
        </w:rPr>
        <w:t>Item 6—After section 7</w:t>
      </w:r>
    </w:p>
    <w:p w:rsidR="00976674" w:rsidRDefault="00976674" w:rsidP="00976674">
      <w:pPr>
        <w:rPr>
          <w:lang w:val="en-AU"/>
        </w:rPr>
      </w:pPr>
    </w:p>
    <w:p w:rsidR="00AB7D1D" w:rsidRDefault="00AB7D1D" w:rsidP="00976674">
      <w:pPr>
        <w:rPr>
          <w:i/>
          <w:lang w:val="en-AU"/>
        </w:rPr>
      </w:pPr>
      <w:r>
        <w:rPr>
          <w:i/>
          <w:lang w:val="en-AU"/>
        </w:rPr>
        <w:t>Section 7AA</w:t>
      </w:r>
    </w:p>
    <w:p w:rsidR="00AB7D1D" w:rsidRPr="00AB7D1D" w:rsidRDefault="00AB7D1D" w:rsidP="00976674">
      <w:pPr>
        <w:rPr>
          <w:i/>
          <w:lang w:val="en-AU"/>
        </w:rPr>
      </w:pPr>
    </w:p>
    <w:p w:rsidR="002E136B" w:rsidRDefault="002E136B" w:rsidP="002E136B">
      <w:pPr>
        <w:tabs>
          <w:tab w:val="left" w:pos="426"/>
        </w:tabs>
        <w:spacing w:after="120" w:line="240" w:lineRule="atLeast"/>
      </w:pPr>
      <w:r>
        <w:rPr>
          <w:lang w:val="en-AU"/>
        </w:rPr>
        <w:t xml:space="preserve">This item inserts a new section 7AA </w:t>
      </w:r>
      <w:r w:rsidR="0048100E">
        <w:rPr>
          <w:lang w:val="en-AU"/>
        </w:rPr>
        <w:t xml:space="preserve">in the CTP Rule </w:t>
      </w:r>
      <w:r>
        <w:rPr>
          <w:lang w:val="en-AU"/>
        </w:rPr>
        <w:t>to provide that section 77 of the PGPA Act can be used to appropriate the Consolidated Revenue Fund to make a repayment of an amount received by the Commonwealth before 1 July 2014 as well as on or after 1 July 2014.</w:t>
      </w:r>
    </w:p>
    <w:p w:rsidR="002E136B" w:rsidRDefault="002E136B" w:rsidP="002E136B">
      <w:pPr>
        <w:tabs>
          <w:tab w:val="left" w:pos="426"/>
        </w:tabs>
        <w:spacing w:after="120" w:line="240" w:lineRule="atLeast"/>
      </w:pPr>
      <w:r>
        <w:t xml:space="preserve">The transitional arrangements in </w:t>
      </w:r>
      <w:r w:rsidR="0048100E">
        <w:t xml:space="preserve">the CTP Act </w:t>
      </w:r>
      <w:r>
        <w:t xml:space="preserve">allow for section 28 of the </w:t>
      </w:r>
      <w:r>
        <w:rPr>
          <w:i/>
        </w:rPr>
        <w:t>Financial Management and Accountability Act 1997</w:t>
      </w:r>
      <w:r>
        <w:t xml:space="preserve"> (FMA Act) to be used in relation to repayments of </w:t>
      </w:r>
      <w:r w:rsidRPr="00746709">
        <w:t>amounts received by the Commonwealth before 1</w:t>
      </w:r>
      <w:r>
        <w:t> </w:t>
      </w:r>
      <w:r w:rsidRPr="00746709">
        <w:t>July</w:t>
      </w:r>
      <w:r>
        <w:t> 2014, while s</w:t>
      </w:r>
      <w:r w:rsidRPr="00746709">
        <w:t>ection 77 of the PGPA Act applies to</w:t>
      </w:r>
      <w:r>
        <w:t xml:space="preserve"> repayments of</w:t>
      </w:r>
      <w:r w:rsidRPr="00746709">
        <w:t xml:space="preserve"> amounts received by the Commonwealth </w:t>
      </w:r>
      <w:r>
        <w:t xml:space="preserve">on or </w:t>
      </w:r>
      <w:r w:rsidRPr="00746709">
        <w:t>after 1 July 2014.</w:t>
      </w:r>
      <w:r>
        <w:t xml:space="preserve"> This arrangement </w:t>
      </w:r>
      <w:r w:rsidR="00E00FD6">
        <w:t xml:space="preserve">may present administrative </w:t>
      </w:r>
      <w:r>
        <w:t xml:space="preserve">difficulties </w:t>
      </w:r>
      <w:r w:rsidR="00E00FD6">
        <w:t>and complexity</w:t>
      </w:r>
      <w:r w:rsidR="00EA0CCB">
        <w:t xml:space="preserve">, in particular </w:t>
      </w:r>
      <w:r>
        <w:t xml:space="preserve">where the time between receipt and repayment </w:t>
      </w:r>
      <w:r w:rsidR="00E00FD6">
        <w:t>is significant</w:t>
      </w:r>
      <w:r>
        <w:t xml:space="preserve">. </w:t>
      </w:r>
    </w:p>
    <w:p w:rsidR="002E136B" w:rsidRDefault="00E233F0" w:rsidP="002E136B">
      <w:pPr>
        <w:tabs>
          <w:tab w:val="left" w:pos="426"/>
        </w:tabs>
        <w:spacing w:after="120" w:line="240" w:lineRule="atLeast"/>
      </w:pPr>
      <w:r>
        <w:t xml:space="preserve">This </w:t>
      </w:r>
      <w:r w:rsidR="00191999">
        <w:t xml:space="preserve">section </w:t>
      </w:r>
      <w:r w:rsidR="002E136B">
        <w:t>permit</w:t>
      </w:r>
      <w:r w:rsidR="00191999">
        <w:t>s</w:t>
      </w:r>
      <w:r w:rsidR="002E136B" w:rsidRPr="00746709">
        <w:t xml:space="preserve"> </w:t>
      </w:r>
      <w:r w:rsidR="002E136B">
        <w:t xml:space="preserve">the Commonwealth to rely on either the appropriation in section 28 of the FMA Act or section 77 of the PGPA Act to repay an amount received by the Commonwealth </w:t>
      </w:r>
      <w:r w:rsidR="002E136B" w:rsidRPr="00F83E16">
        <w:t xml:space="preserve">before 1 July 2014. </w:t>
      </w:r>
    </w:p>
    <w:p w:rsidR="00191999" w:rsidRDefault="00191999" w:rsidP="00AB7D1D">
      <w:pPr>
        <w:rPr>
          <w:i/>
          <w:lang w:val="en-AU"/>
        </w:rPr>
      </w:pPr>
      <w:bookmarkStart w:id="3" w:name="_Toc394500675"/>
    </w:p>
    <w:p w:rsidR="00AB7D1D" w:rsidRDefault="00AB7D1D" w:rsidP="00AB7D1D">
      <w:pPr>
        <w:rPr>
          <w:i/>
          <w:lang w:val="en-AU"/>
        </w:rPr>
      </w:pPr>
      <w:r w:rsidRPr="00AB7D1D">
        <w:rPr>
          <w:i/>
          <w:lang w:val="en-AU"/>
        </w:rPr>
        <w:t>Division 2—Rules made for subitem 6(3) of Schedule 14 to the CTP Act</w:t>
      </w:r>
      <w:bookmarkEnd w:id="3"/>
    </w:p>
    <w:p w:rsidR="00AB7D1D" w:rsidRDefault="00AB7D1D" w:rsidP="00AB7D1D">
      <w:pPr>
        <w:rPr>
          <w:lang w:val="en-AU"/>
        </w:rPr>
      </w:pPr>
    </w:p>
    <w:p w:rsidR="00AB7D1D" w:rsidRDefault="00AB7D1D" w:rsidP="00AB7D1D">
      <w:pPr>
        <w:pStyle w:val="notetext"/>
        <w:spacing w:before="0"/>
        <w:ind w:left="0" w:firstLine="0"/>
        <w:rPr>
          <w:sz w:val="24"/>
          <w:szCs w:val="24"/>
        </w:rPr>
      </w:pPr>
      <w:r>
        <w:rPr>
          <w:sz w:val="24"/>
          <w:szCs w:val="24"/>
        </w:rPr>
        <w:t>A new Division 2 is created in the CTP Rule for those transit</w:t>
      </w:r>
      <w:r w:rsidR="006E0413">
        <w:rPr>
          <w:sz w:val="24"/>
          <w:szCs w:val="24"/>
        </w:rPr>
        <w:t>ional rules created for subitem </w:t>
      </w:r>
      <w:r>
        <w:rPr>
          <w:sz w:val="24"/>
          <w:szCs w:val="24"/>
        </w:rPr>
        <w:t xml:space="preserve">6(3) of Schedule 14 of the CTP Act. These are rules that prescribe matters of a transitional nature </w:t>
      </w:r>
      <w:r w:rsidR="001D182C">
        <w:rPr>
          <w:sz w:val="24"/>
          <w:szCs w:val="24"/>
        </w:rPr>
        <w:t xml:space="preserve">for the first reporting period to </w:t>
      </w:r>
      <w:r w:rsidR="00C445FC">
        <w:rPr>
          <w:sz w:val="24"/>
          <w:szCs w:val="24"/>
        </w:rPr>
        <w:t>30 June 2015</w:t>
      </w:r>
      <w:r w:rsidR="001D182C" w:rsidRPr="00C445FC">
        <w:rPr>
          <w:sz w:val="24"/>
          <w:szCs w:val="24"/>
        </w:rPr>
        <w:t>.</w:t>
      </w:r>
    </w:p>
    <w:p w:rsidR="00AB7D1D" w:rsidRPr="00AB7D1D" w:rsidRDefault="00AB7D1D" w:rsidP="00AB7D1D">
      <w:pPr>
        <w:rPr>
          <w:lang w:val="en-AU"/>
        </w:rPr>
      </w:pPr>
    </w:p>
    <w:p w:rsidR="00AB7D1D" w:rsidRPr="00AB7D1D" w:rsidRDefault="00AB7D1D" w:rsidP="00AB7D1D">
      <w:pPr>
        <w:rPr>
          <w:i/>
          <w:lang w:val="en-AU"/>
        </w:rPr>
      </w:pPr>
      <w:bookmarkStart w:id="4" w:name="_Toc394500676"/>
      <w:r>
        <w:rPr>
          <w:i/>
          <w:lang w:val="en-AU"/>
        </w:rPr>
        <w:t xml:space="preserve">Section </w:t>
      </w:r>
      <w:r w:rsidRPr="00AB7D1D">
        <w:rPr>
          <w:i/>
          <w:lang w:val="en-AU"/>
        </w:rPr>
        <w:t xml:space="preserve">7BA  </w:t>
      </w:r>
      <w:bookmarkEnd w:id="4"/>
    </w:p>
    <w:p w:rsidR="00FE6224" w:rsidRDefault="00FE6224" w:rsidP="00FE6224"/>
    <w:p w:rsidR="006E0413" w:rsidRDefault="006E0413" w:rsidP="00FE6224">
      <w:r>
        <w:t>Section 7BA specifies that Division 2 is made for subitem 6(3) of Schedule 14 of the CTP Act.</w:t>
      </w:r>
    </w:p>
    <w:p w:rsidR="00C445FC" w:rsidRDefault="00C445FC" w:rsidP="00FE6224"/>
    <w:p w:rsidR="00FD3642" w:rsidRDefault="00FD3642" w:rsidP="00FD3642">
      <w:r>
        <w:rPr>
          <w:i/>
        </w:rPr>
        <w:t>Section 7BB</w:t>
      </w:r>
    </w:p>
    <w:p w:rsidR="00FD3642" w:rsidRDefault="00FD3642" w:rsidP="00FD3642">
      <w:pPr>
        <w:tabs>
          <w:tab w:val="left" w:pos="426"/>
        </w:tabs>
        <w:spacing w:line="240" w:lineRule="atLeast"/>
        <w:rPr>
          <w:bCs/>
        </w:rPr>
      </w:pPr>
    </w:p>
    <w:p w:rsidR="00FD3642" w:rsidRDefault="00FD3642" w:rsidP="00FD3642">
      <w:pPr>
        <w:tabs>
          <w:tab w:val="left" w:pos="426"/>
        </w:tabs>
        <w:spacing w:after="120" w:line="240" w:lineRule="atLeast"/>
        <w:rPr>
          <w:bCs/>
        </w:rPr>
      </w:pPr>
      <w:r>
        <w:rPr>
          <w:bCs/>
        </w:rPr>
        <w:t>The Clean Energy Regulator (the Regulator) operated under the FMA Act as an agency with body corporate characteristics. It was intended that the Regulator operates as a non-corporate Commonwealth entity under the PGPA Act, but this was not addressed in the transitional legislation and the Regulator defaulted to corporate Commonwealth entity status.</w:t>
      </w:r>
    </w:p>
    <w:p w:rsidR="00FD3642" w:rsidRDefault="00FD3642" w:rsidP="00FD3642">
      <w:pPr>
        <w:tabs>
          <w:tab w:val="left" w:pos="426"/>
        </w:tabs>
        <w:spacing w:line="240" w:lineRule="atLeast"/>
        <w:rPr>
          <w:bCs/>
        </w:rPr>
      </w:pPr>
      <w:r>
        <w:rPr>
          <w:bCs/>
        </w:rPr>
        <w:t xml:space="preserve">Section 7BB </w:t>
      </w:r>
      <w:r w:rsidRPr="00207C29">
        <w:rPr>
          <w:bCs/>
        </w:rPr>
        <w:t xml:space="preserve">has </w:t>
      </w:r>
      <w:r>
        <w:rPr>
          <w:bCs/>
        </w:rPr>
        <w:t xml:space="preserve">the </w:t>
      </w:r>
      <w:r w:rsidRPr="00207C29">
        <w:rPr>
          <w:bCs/>
        </w:rPr>
        <w:t xml:space="preserve">effect as if the prescribed modifications were added at the end of Division 1 of Part 2 of the </w:t>
      </w:r>
      <w:r w:rsidRPr="006714A5">
        <w:rPr>
          <w:bCs/>
          <w:i/>
        </w:rPr>
        <w:t>Clean Energy Regulator Act 2011</w:t>
      </w:r>
      <w:r w:rsidRPr="006714A5">
        <w:rPr>
          <w:bCs/>
        </w:rPr>
        <w:t xml:space="preserve"> </w:t>
      </w:r>
      <w:r>
        <w:rPr>
          <w:bCs/>
        </w:rPr>
        <w:t xml:space="preserve">(CER Act). Section 7BB creates a provision to treat the Regulator as a non-corporate Commonwealth entity for the purposes of the finance law (within the meaning of the PGPA Act), to prescribe it as a listed entity, to prescribe the Chair of the Regulator as its accountable authority, to prescribe certain persons as officials of the Regulator and to confirm the Regulator’s purposes as set out in section 12 </w:t>
      </w:r>
      <w:r>
        <w:rPr>
          <w:bCs/>
        </w:rPr>
        <w:lastRenderedPageBreak/>
        <w:t xml:space="preserve">of the CER Act. Section 7BB provides the intended governance framework for the Regulator reducing administrative complexity. </w:t>
      </w:r>
    </w:p>
    <w:p w:rsidR="00FD3642" w:rsidRDefault="00FD3642" w:rsidP="00FD3642">
      <w:pPr>
        <w:tabs>
          <w:tab w:val="left" w:pos="426"/>
        </w:tabs>
        <w:spacing w:line="240" w:lineRule="atLeast"/>
        <w:rPr>
          <w:bCs/>
        </w:rPr>
      </w:pPr>
    </w:p>
    <w:p w:rsidR="00BB12C2" w:rsidRDefault="00BB12C2" w:rsidP="002E136B">
      <w:pPr>
        <w:tabs>
          <w:tab w:val="left" w:pos="426"/>
        </w:tabs>
        <w:spacing w:after="120" w:line="240" w:lineRule="atLeast"/>
        <w:rPr>
          <w:i/>
        </w:rPr>
      </w:pPr>
    </w:p>
    <w:p w:rsidR="009A3C5A" w:rsidRDefault="006E0413" w:rsidP="002E136B">
      <w:pPr>
        <w:tabs>
          <w:tab w:val="left" w:pos="426"/>
        </w:tabs>
        <w:spacing w:after="120" w:line="240" w:lineRule="atLeast"/>
        <w:rPr>
          <w:i/>
        </w:rPr>
      </w:pPr>
      <w:r w:rsidRPr="008C0D55">
        <w:rPr>
          <w:i/>
        </w:rPr>
        <w:t>Section 7B</w:t>
      </w:r>
      <w:r w:rsidR="00FD3642">
        <w:rPr>
          <w:i/>
        </w:rPr>
        <w:t>C</w:t>
      </w:r>
    </w:p>
    <w:p w:rsidR="002E136B" w:rsidRPr="008C0D55" w:rsidRDefault="002E136B" w:rsidP="002E136B">
      <w:pPr>
        <w:tabs>
          <w:tab w:val="left" w:pos="426"/>
        </w:tabs>
        <w:spacing w:after="120" w:line="240" w:lineRule="atLeast"/>
        <w:rPr>
          <w:bCs/>
        </w:rPr>
      </w:pPr>
      <w:r w:rsidRPr="008C0D55">
        <w:rPr>
          <w:bCs/>
        </w:rPr>
        <w:t>Section 12 of the PGPA Act specifies that the accountable authority of a corporate Commonwealth entity is its governing body unless otherwise prescribed. ‘Governing body’ is defined in section 8 of the Act to mean a board, council or other governing body, or if there is no such body, it refers to all the members of the entity.</w:t>
      </w:r>
    </w:p>
    <w:p w:rsidR="00262235" w:rsidRPr="008C0D55" w:rsidRDefault="00262235" w:rsidP="00262235">
      <w:pPr>
        <w:tabs>
          <w:tab w:val="left" w:pos="426"/>
        </w:tabs>
        <w:spacing w:after="120" w:line="240" w:lineRule="atLeast"/>
        <w:rPr>
          <w:bCs/>
        </w:rPr>
      </w:pPr>
      <w:r w:rsidRPr="008C0D55">
        <w:rPr>
          <w:bCs/>
        </w:rPr>
        <w:t>Prio</w:t>
      </w:r>
      <w:r w:rsidR="000D67F0" w:rsidRPr="008C0D55">
        <w:rPr>
          <w:bCs/>
        </w:rPr>
        <w:t>r to 1 July</w:t>
      </w:r>
      <w:r w:rsidR="00B128A6" w:rsidRPr="008C0D55">
        <w:rPr>
          <w:bCs/>
        </w:rPr>
        <w:t xml:space="preserve"> 2014</w:t>
      </w:r>
      <w:r w:rsidR="000D67F0" w:rsidRPr="008C0D55">
        <w:rPr>
          <w:bCs/>
        </w:rPr>
        <w:t xml:space="preserve"> the Chief Executive</w:t>
      </w:r>
      <w:r w:rsidRPr="008C0D55">
        <w:rPr>
          <w:bCs/>
        </w:rPr>
        <w:t xml:space="preserve"> of the Murray Darling Basin Authority (MDBA) </w:t>
      </w:r>
      <w:r w:rsidR="00B128A6" w:rsidRPr="008C0D55">
        <w:rPr>
          <w:bCs/>
        </w:rPr>
        <w:t>performed</w:t>
      </w:r>
      <w:r w:rsidRPr="008C0D55">
        <w:rPr>
          <w:bCs/>
        </w:rPr>
        <w:t xml:space="preserve"> </w:t>
      </w:r>
      <w:r w:rsidR="00B128A6" w:rsidRPr="008C0D55">
        <w:rPr>
          <w:bCs/>
        </w:rPr>
        <w:t>functions equivalent to the</w:t>
      </w:r>
      <w:r w:rsidRPr="008C0D55">
        <w:rPr>
          <w:bCs/>
        </w:rPr>
        <w:t xml:space="preserve"> accountable authority </w:t>
      </w:r>
      <w:r w:rsidR="00197283" w:rsidRPr="008C0D55">
        <w:rPr>
          <w:bCs/>
        </w:rPr>
        <w:t>for the MDBA</w:t>
      </w:r>
      <w:r w:rsidR="00B128A6" w:rsidRPr="008C0D55">
        <w:rPr>
          <w:bCs/>
        </w:rPr>
        <w:t xml:space="preserve">. The Chief Executive was not prescribed as the accountable authority </w:t>
      </w:r>
      <w:r w:rsidR="0058397C" w:rsidRPr="008C0D55">
        <w:rPr>
          <w:bCs/>
        </w:rPr>
        <w:t>for the purposes of</w:t>
      </w:r>
      <w:r w:rsidR="00EA0CCB" w:rsidRPr="008C0D55">
        <w:rPr>
          <w:bCs/>
        </w:rPr>
        <w:t xml:space="preserve"> the PGPA Act</w:t>
      </w:r>
      <w:r w:rsidRPr="008C0D55">
        <w:rPr>
          <w:bCs/>
        </w:rPr>
        <w:t xml:space="preserve">. As </w:t>
      </w:r>
      <w:r w:rsidR="00B128A6" w:rsidRPr="008C0D55">
        <w:rPr>
          <w:bCs/>
        </w:rPr>
        <w:t>the MDBA is a corporate Commonwealth entity,</w:t>
      </w:r>
      <w:r w:rsidRPr="008C0D55">
        <w:rPr>
          <w:bCs/>
        </w:rPr>
        <w:t xml:space="preserve"> the </w:t>
      </w:r>
      <w:r w:rsidR="00B128A6" w:rsidRPr="008C0D55">
        <w:rPr>
          <w:bCs/>
        </w:rPr>
        <w:t xml:space="preserve">members of the authority therefore became the </w:t>
      </w:r>
      <w:r w:rsidRPr="008C0D55">
        <w:rPr>
          <w:bCs/>
        </w:rPr>
        <w:t xml:space="preserve">accountable authority </w:t>
      </w:r>
      <w:r w:rsidR="00970FA8" w:rsidRPr="008C0D55">
        <w:rPr>
          <w:bCs/>
        </w:rPr>
        <w:t xml:space="preserve">of </w:t>
      </w:r>
      <w:r w:rsidR="000D67F0" w:rsidRPr="008C0D55">
        <w:rPr>
          <w:bCs/>
        </w:rPr>
        <w:t>the MDBA</w:t>
      </w:r>
      <w:r w:rsidRPr="008C0D55">
        <w:rPr>
          <w:bCs/>
        </w:rPr>
        <w:t>.</w:t>
      </w:r>
    </w:p>
    <w:p w:rsidR="00B128A6" w:rsidRPr="008C0D55" w:rsidRDefault="0018527C" w:rsidP="00B128A6">
      <w:pPr>
        <w:tabs>
          <w:tab w:val="left" w:pos="426"/>
        </w:tabs>
        <w:spacing w:after="120" w:line="240" w:lineRule="atLeast"/>
        <w:rPr>
          <w:bCs/>
        </w:rPr>
      </w:pPr>
      <w:r w:rsidRPr="008C0D55">
        <w:rPr>
          <w:bCs/>
        </w:rPr>
        <w:t>S</w:t>
      </w:r>
      <w:r w:rsidR="00EA0CCB" w:rsidRPr="008C0D55">
        <w:rPr>
          <w:bCs/>
        </w:rPr>
        <w:t>ection</w:t>
      </w:r>
      <w:r w:rsidR="00262235" w:rsidRPr="008C0D55">
        <w:rPr>
          <w:bCs/>
        </w:rPr>
        <w:t xml:space="preserve"> </w:t>
      </w:r>
      <w:r w:rsidR="00EA0CCB" w:rsidRPr="008C0D55">
        <w:rPr>
          <w:bCs/>
        </w:rPr>
        <w:t>7B</w:t>
      </w:r>
      <w:r w:rsidR="00FD3642">
        <w:rPr>
          <w:bCs/>
        </w:rPr>
        <w:t>C</w:t>
      </w:r>
      <w:r w:rsidR="00EA0CCB" w:rsidRPr="008C0D55">
        <w:rPr>
          <w:bCs/>
        </w:rPr>
        <w:t xml:space="preserve"> </w:t>
      </w:r>
      <w:r w:rsidR="00AA0DBC" w:rsidRPr="008C0D55">
        <w:rPr>
          <w:bCs/>
        </w:rPr>
        <w:t xml:space="preserve">has the effect as if the prescribed modifications </w:t>
      </w:r>
      <w:r w:rsidR="005D3750">
        <w:rPr>
          <w:bCs/>
        </w:rPr>
        <w:t xml:space="preserve">were added at the end of </w:t>
      </w:r>
      <w:r w:rsidR="00970FA8" w:rsidRPr="008C0D55">
        <w:rPr>
          <w:bCs/>
        </w:rPr>
        <w:t>section 12 of the PGPA Act to prescribe</w:t>
      </w:r>
      <w:r w:rsidR="00262235" w:rsidRPr="008C0D55">
        <w:rPr>
          <w:bCs/>
        </w:rPr>
        <w:t xml:space="preserve"> the Chief Executive </w:t>
      </w:r>
      <w:r w:rsidR="000D67F0" w:rsidRPr="008C0D55">
        <w:rPr>
          <w:bCs/>
        </w:rPr>
        <w:t xml:space="preserve">of the MDBA </w:t>
      </w:r>
      <w:r w:rsidR="00262235" w:rsidRPr="008C0D55">
        <w:rPr>
          <w:bCs/>
        </w:rPr>
        <w:t xml:space="preserve">as </w:t>
      </w:r>
      <w:r w:rsidR="00970FA8" w:rsidRPr="008C0D55">
        <w:rPr>
          <w:bCs/>
        </w:rPr>
        <w:t>its accountable authority</w:t>
      </w:r>
      <w:r w:rsidR="00B128A6" w:rsidRPr="008C0D55">
        <w:rPr>
          <w:bCs/>
        </w:rPr>
        <w:t>.</w:t>
      </w:r>
    </w:p>
    <w:p w:rsidR="000F687D" w:rsidRPr="000F687D" w:rsidRDefault="00FD3642" w:rsidP="000F687D">
      <w:pPr>
        <w:pStyle w:val="ActHead9"/>
        <w:ind w:left="0" w:firstLine="0"/>
        <w:rPr>
          <w:b w:val="0"/>
          <w:i w:val="0"/>
          <w:kern w:val="0"/>
          <w:sz w:val="24"/>
          <w:szCs w:val="24"/>
        </w:rPr>
      </w:pPr>
      <w:r w:rsidRPr="000F687D">
        <w:rPr>
          <w:b w:val="0"/>
          <w:i w:val="0"/>
          <w:sz w:val="24"/>
          <w:szCs w:val="24"/>
        </w:rPr>
        <w:t>It is intended that amendments will be proposed at the next available opportunity in the legislative program to give ongoing effect</w:t>
      </w:r>
      <w:r w:rsidR="00737F7A">
        <w:rPr>
          <w:b w:val="0"/>
          <w:i w:val="0"/>
          <w:sz w:val="24"/>
          <w:szCs w:val="24"/>
        </w:rPr>
        <w:t xml:space="preserve"> </w:t>
      </w:r>
      <w:r w:rsidRPr="000F687D">
        <w:rPr>
          <w:b w:val="0"/>
          <w:i w:val="0"/>
          <w:sz w:val="24"/>
          <w:szCs w:val="24"/>
        </w:rPr>
        <w:t>to sections 7BB and 7BC.</w:t>
      </w:r>
    </w:p>
    <w:p w:rsidR="00117851" w:rsidRPr="00AD7797" w:rsidRDefault="00117851" w:rsidP="008C5E3C">
      <w:pPr>
        <w:pStyle w:val="ActHead9"/>
        <w:rPr>
          <w:i w:val="0"/>
          <w:sz w:val="24"/>
          <w:szCs w:val="24"/>
          <w:lang w:bidi="en-US"/>
        </w:rPr>
      </w:pPr>
      <w:r w:rsidRPr="00AD7797">
        <w:rPr>
          <w:i w:val="0"/>
          <w:sz w:val="24"/>
          <w:szCs w:val="24"/>
          <w:lang w:bidi="en-US"/>
        </w:rPr>
        <w:t>Item 7—Section 8</w:t>
      </w:r>
    </w:p>
    <w:p w:rsidR="00117851" w:rsidRPr="00AD7797" w:rsidRDefault="00117851" w:rsidP="00117851">
      <w:pPr>
        <w:rPr>
          <w:b/>
          <w:lang w:val="en-AU" w:eastAsia="en-AU"/>
        </w:rPr>
      </w:pPr>
    </w:p>
    <w:p w:rsidR="00117851" w:rsidRDefault="00117851" w:rsidP="00117851">
      <w:pPr>
        <w:rPr>
          <w:lang w:val="en-AU" w:eastAsia="en-AU"/>
        </w:rPr>
      </w:pPr>
      <w:r w:rsidRPr="00AD7797">
        <w:rPr>
          <w:lang w:val="en-AU" w:eastAsia="en-AU"/>
        </w:rPr>
        <w:t xml:space="preserve">Item 7 </w:t>
      </w:r>
      <w:r w:rsidR="006F6C87" w:rsidRPr="00AD7797">
        <w:rPr>
          <w:lang w:val="en-AU" w:eastAsia="en-AU"/>
        </w:rPr>
        <w:t>is an editorial amendment</w:t>
      </w:r>
      <w:r w:rsidR="0019709B" w:rsidRPr="00AD7797">
        <w:rPr>
          <w:lang w:val="en-AU" w:eastAsia="en-AU"/>
        </w:rPr>
        <w:t xml:space="preserve"> </w:t>
      </w:r>
      <w:r w:rsidR="00AD7797">
        <w:rPr>
          <w:lang w:val="en-AU" w:eastAsia="en-AU"/>
        </w:rPr>
        <w:t xml:space="preserve">that </w:t>
      </w:r>
      <w:r w:rsidR="0019709B" w:rsidRPr="00AD7797">
        <w:rPr>
          <w:lang w:val="en-AU" w:eastAsia="en-AU"/>
        </w:rPr>
        <w:t>improve</w:t>
      </w:r>
      <w:r w:rsidR="00AD7797">
        <w:rPr>
          <w:lang w:val="en-AU" w:eastAsia="en-AU"/>
        </w:rPr>
        <w:t>s</w:t>
      </w:r>
      <w:r w:rsidR="0019709B" w:rsidRPr="00AD7797">
        <w:rPr>
          <w:lang w:val="en-AU" w:eastAsia="en-AU"/>
        </w:rPr>
        <w:t xml:space="preserve"> clarity</w:t>
      </w:r>
      <w:r w:rsidR="006F6C87" w:rsidRPr="00AD7797">
        <w:rPr>
          <w:lang w:val="en-AU" w:eastAsia="en-AU"/>
        </w:rPr>
        <w:t>.</w:t>
      </w:r>
      <w:r w:rsidR="006F6C87">
        <w:rPr>
          <w:lang w:val="en-AU" w:eastAsia="en-AU"/>
        </w:rPr>
        <w:t xml:space="preserve"> </w:t>
      </w:r>
    </w:p>
    <w:p w:rsidR="00A461E3" w:rsidRPr="00AD7797" w:rsidRDefault="00A461E3" w:rsidP="00A461E3">
      <w:pPr>
        <w:pStyle w:val="ActHead9"/>
        <w:rPr>
          <w:i w:val="0"/>
          <w:sz w:val="24"/>
          <w:szCs w:val="24"/>
          <w:lang w:bidi="en-US"/>
        </w:rPr>
      </w:pPr>
      <w:r w:rsidRPr="00AD7797">
        <w:rPr>
          <w:i w:val="0"/>
          <w:sz w:val="24"/>
          <w:szCs w:val="24"/>
          <w:lang w:bidi="en-US"/>
        </w:rPr>
        <w:t>Item 8—Section 8</w:t>
      </w:r>
    </w:p>
    <w:p w:rsidR="00A461E3" w:rsidRPr="00AD7797" w:rsidRDefault="00A461E3" w:rsidP="00A461E3">
      <w:pPr>
        <w:rPr>
          <w:b/>
          <w:lang w:val="en-AU" w:eastAsia="en-AU"/>
        </w:rPr>
      </w:pPr>
    </w:p>
    <w:p w:rsidR="00A461E3" w:rsidRDefault="00A461E3" w:rsidP="00A461E3">
      <w:pPr>
        <w:rPr>
          <w:lang w:val="en-AU" w:eastAsia="en-AU"/>
        </w:rPr>
      </w:pPr>
      <w:r w:rsidRPr="00AD7797">
        <w:rPr>
          <w:lang w:val="en-AU" w:eastAsia="en-AU"/>
        </w:rPr>
        <w:t xml:space="preserve">Item </w:t>
      </w:r>
      <w:r w:rsidR="006714A5" w:rsidRPr="00AD7797">
        <w:rPr>
          <w:lang w:val="en-AU" w:eastAsia="en-AU"/>
        </w:rPr>
        <w:t>8</w:t>
      </w:r>
      <w:r w:rsidRPr="00AD7797">
        <w:rPr>
          <w:lang w:val="en-AU" w:eastAsia="en-AU"/>
        </w:rPr>
        <w:t xml:space="preserve"> is an editorial amendment </w:t>
      </w:r>
      <w:r w:rsidR="00AD7797" w:rsidRPr="00AD7797">
        <w:rPr>
          <w:lang w:val="en-AU" w:eastAsia="en-AU"/>
        </w:rPr>
        <w:t>that clarifies the commencement date of the section</w:t>
      </w:r>
      <w:r w:rsidRPr="00AD7797">
        <w:rPr>
          <w:lang w:val="en-AU" w:eastAsia="en-AU"/>
        </w:rPr>
        <w:t>.</w:t>
      </w:r>
      <w:r>
        <w:rPr>
          <w:lang w:val="en-AU" w:eastAsia="en-AU"/>
        </w:rPr>
        <w:t xml:space="preserve"> </w:t>
      </w:r>
    </w:p>
    <w:p w:rsidR="008C5E3C" w:rsidRPr="008C5E3C" w:rsidRDefault="008C5E3C" w:rsidP="008C5E3C">
      <w:pPr>
        <w:pStyle w:val="ActHead9"/>
        <w:rPr>
          <w:sz w:val="24"/>
          <w:szCs w:val="24"/>
        </w:rPr>
      </w:pPr>
      <w:r w:rsidRPr="008C5E3C">
        <w:rPr>
          <w:sz w:val="24"/>
          <w:szCs w:val="24"/>
        </w:rPr>
        <w:t>Public Governance, Performance and Accountability Rule 2014</w:t>
      </w:r>
    </w:p>
    <w:p w:rsidR="006E0413" w:rsidRPr="006E0413" w:rsidRDefault="006E0413" w:rsidP="00FE6224"/>
    <w:p w:rsidR="008C5E3C" w:rsidRDefault="008C5E3C" w:rsidP="008C5E3C">
      <w:pPr>
        <w:rPr>
          <w:b/>
          <w:lang w:val="en-AU"/>
        </w:rPr>
      </w:pPr>
      <w:r>
        <w:rPr>
          <w:b/>
        </w:rPr>
        <w:t xml:space="preserve">Item </w:t>
      </w:r>
      <w:r w:rsidR="00A461E3">
        <w:rPr>
          <w:b/>
          <w:lang w:val="en-AU"/>
        </w:rPr>
        <w:t>9</w:t>
      </w:r>
      <w:r>
        <w:rPr>
          <w:b/>
          <w:lang w:val="en-AU"/>
        </w:rPr>
        <w:t>—Paragraphs 16A(1)(a) and 16B(1)(a)</w:t>
      </w:r>
    </w:p>
    <w:p w:rsidR="008C5E3C" w:rsidRDefault="008C5E3C" w:rsidP="008C5E3C">
      <w:pPr>
        <w:rPr>
          <w:lang w:val="en-AU"/>
        </w:rPr>
      </w:pPr>
    </w:p>
    <w:p w:rsidR="00977D04" w:rsidRPr="00977D04" w:rsidRDefault="00AD7797" w:rsidP="00980415">
      <w:pPr>
        <w:tabs>
          <w:tab w:val="left" w:pos="426"/>
        </w:tabs>
        <w:spacing w:after="120" w:line="240" w:lineRule="atLeast"/>
        <w:rPr>
          <w:lang w:val="en-AU"/>
        </w:rPr>
      </w:pPr>
      <w:r>
        <w:rPr>
          <w:bCs/>
        </w:rPr>
        <w:t>Item 9 amends</w:t>
      </w:r>
      <w:r w:rsidR="002E136B">
        <w:rPr>
          <w:bCs/>
        </w:rPr>
        <w:t xml:space="preserve"> </w:t>
      </w:r>
      <w:r>
        <w:rPr>
          <w:bCs/>
        </w:rPr>
        <w:t>paragraphs</w:t>
      </w:r>
      <w:r w:rsidR="002E136B">
        <w:rPr>
          <w:bCs/>
        </w:rPr>
        <w:t xml:space="preserve"> 16A</w:t>
      </w:r>
      <w:r>
        <w:rPr>
          <w:bCs/>
        </w:rPr>
        <w:t>(1)(a)</w:t>
      </w:r>
      <w:r w:rsidR="002E136B">
        <w:rPr>
          <w:bCs/>
        </w:rPr>
        <w:t xml:space="preserve"> and 16B</w:t>
      </w:r>
      <w:r>
        <w:rPr>
          <w:bCs/>
        </w:rPr>
        <w:t>(1)(a)</w:t>
      </w:r>
      <w:r w:rsidR="002E136B">
        <w:rPr>
          <w:bCs/>
        </w:rPr>
        <w:t xml:space="preserve"> of the PGPA Rule to clarify that </w:t>
      </w:r>
      <w:r w:rsidR="00980415">
        <w:rPr>
          <w:bCs/>
        </w:rPr>
        <w:t>sections</w:t>
      </w:r>
      <w:r>
        <w:rPr>
          <w:bCs/>
        </w:rPr>
        <w:t xml:space="preserve"> 16A and 16B</w:t>
      </w:r>
      <w:r w:rsidR="002E136B">
        <w:rPr>
          <w:bCs/>
        </w:rPr>
        <w:t xml:space="preserve"> (which relate to disclosure requirements for officials appointed to bodies under a law) </w:t>
      </w:r>
      <w:r w:rsidR="002E136B" w:rsidRPr="00980415">
        <w:rPr>
          <w:bCs/>
        </w:rPr>
        <w:t>do not apply</w:t>
      </w:r>
      <w:r w:rsidR="002E136B">
        <w:rPr>
          <w:bCs/>
        </w:rPr>
        <w:t xml:space="preserve"> </w:t>
      </w:r>
      <w:r w:rsidR="002E136B" w:rsidRPr="00A605E9">
        <w:rPr>
          <w:b/>
          <w:bCs/>
        </w:rPr>
        <w:t>in addition</w:t>
      </w:r>
      <w:r w:rsidR="002E136B">
        <w:rPr>
          <w:bCs/>
        </w:rPr>
        <w:t xml:space="preserve"> to sections 14 and 15 of the PGPA Rule (which set out separate disclosure of interest requirements for officials who are members of accountable authorities).</w:t>
      </w:r>
    </w:p>
    <w:p w:rsidR="00507E7A" w:rsidRPr="00977D04" w:rsidRDefault="00507E7A" w:rsidP="00D976E6">
      <w:pPr>
        <w:rPr>
          <w:lang w:val="en-AU"/>
        </w:rPr>
      </w:pPr>
      <w:r w:rsidRPr="00977D04">
        <w:rPr>
          <w:lang w:val="en-AU"/>
        </w:rPr>
        <w:t xml:space="preserve"> </w:t>
      </w:r>
    </w:p>
    <w:p w:rsidR="005503F7" w:rsidRPr="00977D04" w:rsidRDefault="005503F7" w:rsidP="00D976E6">
      <w:pPr>
        <w:sectPr w:rsidR="005503F7" w:rsidRPr="00977D04" w:rsidSect="00427E4B">
          <w:headerReference w:type="even" r:id="rId9"/>
          <w:headerReference w:type="default" r:id="rId10"/>
          <w:headerReference w:type="first" r:id="rId11"/>
          <w:footerReference w:type="first" r:id="rId12"/>
          <w:pgSz w:w="11906" w:h="16838"/>
          <w:pgMar w:top="1440" w:right="1440" w:bottom="1440" w:left="1440" w:header="708" w:footer="514" w:gutter="0"/>
          <w:pgNumType w:start="1"/>
          <w:cols w:space="708"/>
          <w:titlePg/>
          <w:docGrid w:linePitch="360"/>
        </w:sectPr>
      </w:pPr>
    </w:p>
    <w:p w:rsidR="00BF1181" w:rsidRPr="00BF1181" w:rsidRDefault="00BF1181" w:rsidP="00BF1181">
      <w:pPr>
        <w:pStyle w:val="Heading2"/>
        <w:jc w:val="right"/>
        <w:rPr>
          <w:rFonts w:ascii="Times New Roman" w:hAnsi="Times New Roman" w:cs="Times New Roman"/>
          <w:sz w:val="24"/>
          <w:szCs w:val="24"/>
          <w:u w:val="single"/>
        </w:rPr>
      </w:pPr>
      <w:r w:rsidRPr="00BF1181">
        <w:rPr>
          <w:rFonts w:ascii="Times New Roman" w:hAnsi="Times New Roman" w:cs="Times New Roman"/>
          <w:sz w:val="24"/>
          <w:szCs w:val="24"/>
          <w:u w:val="single"/>
        </w:rPr>
        <w:t>Attachment B</w:t>
      </w:r>
    </w:p>
    <w:p w:rsidR="006A749C" w:rsidRDefault="00167E2E">
      <w:pPr>
        <w:pStyle w:val="Heading2"/>
        <w:jc w:val="center"/>
        <w:rPr>
          <w:rFonts w:ascii="Times New Roman" w:hAnsi="Times New Roman" w:cs="Times New Roman"/>
          <w:sz w:val="24"/>
          <w:szCs w:val="24"/>
        </w:rPr>
      </w:pPr>
      <w:r w:rsidRPr="00977D04">
        <w:rPr>
          <w:rFonts w:ascii="Times New Roman" w:hAnsi="Times New Roman" w:cs="Times New Roman"/>
          <w:sz w:val="24"/>
          <w:szCs w:val="24"/>
        </w:rPr>
        <w:t xml:space="preserve">Statement of </w:t>
      </w:r>
      <w:r w:rsidR="00D75AD5">
        <w:rPr>
          <w:rFonts w:ascii="Times New Roman" w:hAnsi="Times New Roman" w:cs="Times New Roman"/>
          <w:sz w:val="24"/>
          <w:szCs w:val="24"/>
        </w:rPr>
        <w:t>C</w:t>
      </w:r>
      <w:r w:rsidR="00D75AD5" w:rsidRPr="00977D04">
        <w:rPr>
          <w:rFonts w:ascii="Times New Roman" w:hAnsi="Times New Roman" w:cs="Times New Roman"/>
          <w:sz w:val="24"/>
          <w:szCs w:val="24"/>
        </w:rPr>
        <w:t xml:space="preserve">ompatibility </w:t>
      </w:r>
      <w:r w:rsidRPr="00977D04">
        <w:rPr>
          <w:rFonts w:ascii="Times New Roman" w:hAnsi="Times New Roman" w:cs="Times New Roman"/>
          <w:sz w:val="24"/>
          <w:szCs w:val="24"/>
        </w:rPr>
        <w:t xml:space="preserve">with </w:t>
      </w:r>
      <w:r w:rsidR="00D75AD5">
        <w:rPr>
          <w:rFonts w:ascii="Times New Roman" w:hAnsi="Times New Roman" w:cs="Times New Roman"/>
          <w:sz w:val="24"/>
          <w:szCs w:val="24"/>
        </w:rPr>
        <w:t>H</w:t>
      </w:r>
      <w:r w:rsidR="00D75AD5" w:rsidRPr="00977D04">
        <w:rPr>
          <w:rFonts w:ascii="Times New Roman" w:hAnsi="Times New Roman" w:cs="Times New Roman"/>
          <w:sz w:val="24"/>
          <w:szCs w:val="24"/>
        </w:rPr>
        <w:t xml:space="preserve">uman </w:t>
      </w:r>
      <w:r w:rsidR="00D75AD5">
        <w:rPr>
          <w:rFonts w:ascii="Times New Roman" w:hAnsi="Times New Roman" w:cs="Times New Roman"/>
          <w:sz w:val="24"/>
          <w:szCs w:val="24"/>
        </w:rPr>
        <w:t>R</w:t>
      </w:r>
      <w:r w:rsidR="00D75AD5" w:rsidRPr="00977D04">
        <w:rPr>
          <w:rFonts w:ascii="Times New Roman" w:hAnsi="Times New Roman" w:cs="Times New Roman"/>
          <w:sz w:val="24"/>
          <w:szCs w:val="24"/>
        </w:rPr>
        <w:t>ights</w:t>
      </w:r>
    </w:p>
    <w:p w:rsidR="00A609F2" w:rsidRPr="00A609F2" w:rsidRDefault="00A609F2" w:rsidP="00A609F2"/>
    <w:p w:rsidR="00C445FC" w:rsidRPr="00C445FC" w:rsidRDefault="00C445FC" w:rsidP="00C445FC"/>
    <w:p w:rsidR="003C49CD" w:rsidRDefault="00167E2E" w:rsidP="00D976E6">
      <w:pPr>
        <w:rPr>
          <w:i/>
        </w:rPr>
      </w:pPr>
      <w:r w:rsidRPr="00977D04">
        <w:t xml:space="preserve">Prepared in accordance with Part 3 of the </w:t>
      </w:r>
      <w:r w:rsidRPr="00977D04">
        <w:rPr>
          <w:i/>
        </w:rPr>
        <w:t>Human Rights (Parliamentary Scrutiny) Act 2011</w:t>
      </w:r>
    </w:p>
    <w:p w:rsidR="009C481F" w:rsidRPr="00977D04" w:rsidRDefault="009C481F" w:rsidP="00D976E6"/>
    <w:p w:rsidR="003C49CD" w:rsidRDefault="00474C20" w:rsidP="00D976E6">
      <w:pPr>
        <w:rPr>
          <w:b/>
          <w:i/>
        </w:rPr>
      </w:pPr>
      <w:r w:rsidRPr="00977D04">
        <w:rPr>
          <w:b/>
          <w:i/>
        </w:rPr>
        <w:t xml:space="preserve">Public Governance, Performance and Accountability </w:t>
      </w:r>
      <w:r w:rsidR="000C0E45">
        <w:rPr>
          <w:b/>
          <w:i/>
        </w:rPr>
        <w:t>Legislation Amendment</w:t>
      </w:r>
      <w:r w:rsidR="006A749C" w:rsidRPr="00977D04">
        <w:rPr>
          <w:b/>
          <w:i/>
        </w:rPr>
        <w:t xml:space="preserve"> </w:t>
      </w:r>
      <w:r w:rsidRPr="00977D04">
        <w:rPr>
          <w:b/>
          <w:i/>
        </w:rPr>
        <w:t>Rule 2014</w:t>
      </w:r>
    </w:p>
    <w:p w:rsidR="009C481F" w:rsidRPr="00977D04" w:rsidRDefault="009C481F" w:rsidP="00D976E6"/>
    <w:p w:rsidR="00A609F2" w:rsidRPr="00977D04" w:rsidRDefault="00E00E37" w:rsidP="00D976E6">
      <w:pPr>
        <w:rPr>
          <w:i/>
        </w:rPr>
      </w:pPr>
      <w:r w:rsidRPr="00977D04">
        <w:t xml:space="preserve">The </w:t>
      </w:r>
      <w:r w:rsidRPr="00977D04">
        <w:rPr>
          <w:i/>
        </w:rPr>
        <w:t>Public Governance,</w:t>
      </w:r>
      <w:r w:rsidR="000C0E45">
        <w:rPr>
          <w:i/>
        </w:rPr>
        <w:t xml:space="preserve"> Performance and Accountability Legislation Amendment</w:t>
      </w:r>
      <w:r w:rsidR="006A749C" w:rsidRPr="00977D04">
        <w:rPr>
          <w:i/>
        </w:rPr>
        <w:t xml:space="preserve"> </w:t>
      </w:r>
      <w:r w:rsidRPr="00977D04">
        <w:rPr>
          <w:i/>
        </w:rPr>
        <w:t>Rule 2014</w:t>
      </w:r>
      <w:r w:rsidRPr="00977D04">
        <w:t xml:space="preserve"> </w:t>
      </w:r>
      <w:r w:rsidR="0092738C" w:rsidRPr="00977D04">
        <w:t xml:space="preserve">(PGPA </w:t>
      </w:r>
      <w:r w:rsidR="000C0E45">
        <w:t xml:space="preserve">Amendment </w:t>
      </w:r>
      <w:r w:rsidR="0092738C" w:rsidRPr="00977D04">
        <w:t xml:space="preserve">Rule) </w:t>
      </w:r>
      <w:r w:rsidRPr="00977D04">
        <w:t xml:space="preserve">is compatible with the human rights and freedoms recognised or declared in the international instruments listed in section 3 of the </w:t>
      </w:r>
      <w:r w:rsidRPr="00977D04">
        <w:rPr>
          <w:i/>
        </w:rPr>
        <w:t>Human Rights (Parliamentary Scrutiny) Act 2011.</w:t>
      </w:r>
    </w:p>
    <w:p w:rsidR="009C481F" w:rsidRPr="00977D04" w:rsidRDefault="009C481F" w:rsidP="00D976E6"/>
    <w:p w:rsidR="00E00E37" w:rsidRDefault="00661056" w:rsidP="00D976E6">
      <w:pPr>
        <w:rPr>
          <w:b/>
          <w:lang w:val="en-AU"/>
        </w:rPr>
      </w:pPr>
      <w:r w:rsidRPr="00977D04">
        <w:rPr>
          <w:b/>
          <w:lang w:val="en-AU"/>
        </w:rPr>
        <w:t>Overview</w:t>
      </w:r>
      <w:r w:rsidR="00474C20" w:rsidRPr="00977D04">
        <w:rPr>
          <w:b/>
          <w:lang w:val="en-AU"/>
        </w:rPr>
        <w:t xml:space="preserve"> of the legislative instrument</w:t>
      </w:r>
    </w:p>
    <w:p w:rsidR="00C351ED" w:rsidRPr="00977D04" w:rsidRDefault="00C351ED" w:rsidP="00D976E6">
      <w:pPr>
        <w:rPr>
          <w:b/>
          <w:lang w:val="en-AU"/>
        </w:rPr>
      </w:pPr>
    </w:p>
    <w:p w:rsidR="00A609F2" w:rsidRPr="00596CD4" w:rsidRDefault="00A609F2" w:rsidP="00A609F2">
      <w:pPr>
        <w:rPr>
          <w:lang w:val="en-AU"/>
        </w:rPr>
      </w:pPr>
      <w:r w:rsidRPr="00977D04">
        <w:rPr>
          <w:lang w:val="en-AU"/>
        </w:rPr>
        <w:t xml:space="preserve">The </w:t>
      </w:r>
      <w:r w:rsidRPr="00977D04">
        <w:rPr>
          <w:i/>
          <w:lang w:val="en-AU"/>
        </w:rPr>
        <w:t>Public Governance, Performance and Accountability Act 2013</w:t>
      </w:r>
      <w:r>
        <w:rPr>
          <w:lang w:val="en-AU"/>
        </w:rPr>
        <w:t xml:space="preserve"> (PGPA Act) sets</w:t>
      </w:r>
      <w:r w:rsidRPr="00977D04">
        <w:rPr>
          <w:lang w:val="en-AU"/>
        </w:rPr>
        <w:t xml:space="preserve"> out a framework for regulating resource management by the Commonwealth and relevant entities. </w:t>
      </w:r>
      <w:r w:rsidRPr="00596CD4">
        <w:t>Section 101 of the PGPA Act provides that the Finance Minister may make rules by legislative instrument to prescribe matters giving effect to the Act.</w:t>
      </w:r>
    </w:p>
    <w:p w:rsidR="000C0E45" w:rsidRDefault="000C0E45" w:rsidP="000C0E45">
      <w:pPr>
        <w:tabs>
          <w:tab w:val="left" w:pos="567"/>
          <w:tab w:val="left" w:pos="1276"/>
        </w:tabs>
      </w:pPr>
    </w:p>
    <w:p w:rsidR="004816AF" w:rsidRDefault="000C0E45" w:rsidP="000C0E45">
      <w:pPr>
        <w:tabs>
          <w:tab w:val="left" w:pos="567"/>
          <w:tab w:val="left" w:pos="1276"/>
        </w:tabs>
      </w:pPr>
      <w:r w:rsidRPr="00977D04">
        <w:t xml:space="preserve">The </w:t>
      </w:r>
      <w:r w:rsidRPr="00977D04">
        <w:rPr>
          <w:i/>
        </w:rPr>
        <w:t>Public Governance, Performance and Accountability (Consequential and Transitional Provisions) Act 2014</w:t>
      </w:r>
      <w:r w:rsidRPr="00977D04">
        <w:t xml:space="preserve"> </w:t>
      </w:r>
      <w:r>
        <w:t xml:space="preserve">(CTP Act) </w:t>
      </w:r>
      <w:r w:rsidR="00233481">
        <w:t>amended</w:t>
      </w:r>
      <w:r w:rsidRPr="00977D04">
        <w:t xml:space="preserve"> </w:t>
      </w:r>
      <w:r w:rsidR="00AB5C04">
        <w:t xml:space="preserve">242 </w:t>
      </w:r>
      <w:r w:rsidRPr="00977D04">
        <w:t xml:space="preserve">Acts across the Commonwealth to support the implementation of </w:t>
      </w:r>
      <w:r>
        <w:t>PGPA Act</w:t>
      </w:r>
      <w:r w:rsidRPr="00977D04">
        <w:t xml:space="preserve"> and its related rules and instruments.</w:t>
      </w:r>
      <w:r>
        <w:t xml:space="preserve"> </w:t>
      </w:r>
      <w:r w:rsidR="00297EE9">
        <w:t xml:space="preserve">Item 6 of Schedule 14 of </w:t>
      </w:r>
      <w:r w:rsidR="008C4D2C" w:rsidRPr="00977D04">
        <w:t xml:space="preserve">the </w:t>
      </w:r>
      <w:r w:rsidRPr="000C0E45">
        <w:t>CTP Act</w:t>
      </w:r>
      <w:r>
        <w:rPr>
          <w:i/>
        </w:rPr>
        <w:t xml:space="preserve"> </w:t>
      </w:r>
      <w:r w:rsidR="009C0A93" w:rsidRPr="00977D04">
        <w:t xml:space="preserve">provides that the </w:t>
      </w:r>
      <w:r w:rsidR="008C4D2C" w:rsidRPr="00977D04">
        <w:t>Finance Minister may, by legislative instrument, make rules prescribing matters required or permitted by th</w:t>
      </w:r>
      <w:r w:rsidR="00AB5C04">
        <w:t>e CTP</w:t>
      </w:r>
      <w:r w:rsidR="008C4D2C" w:rsidRPr="00977D04">
        <w:t xml:space="preserve"> Act to be prescribed by the rules, or necessary or convenient to be prescribed for carry</w:t>
      </w:r>
      <w:r w:rsidR="00297EE9">
        <w:t>ing out or giving effect to the CTP Act and the PGPA </w:t>
      </w:r>
      <w:r w:rsidR="008C4D2C" w:rsidRPr="00977D04">
        <w:t>Act.</w:t>
      </w:r>
    </w:p>
    <w:p w:rsidR="004816AF" w:rsidRDefault="004816AF" w:rsidP="004816AF"/>
    <w:p w:rsidR="00A609F2" w:rsidRPr="004310CB" w:rsidRDefault="00A609F2" w:rsidP="00A609F2">
      <w:pPr>
        <w:spacing w:after="120"/>
      </w:pPr>
      <w:r w:rsidRPr="00977D04">
        <w:t xml:space="preserve">The </w:t>
      </w:r>
      <w:r>
        <w:t xml:space="preserve">PGPA Amendment Rule is being made to amend the rules instruments made under these two Acts to support the implementation of the PGPA legislative framework. These rules instruments are </w:t>
      </w:r>
      <w:r>
        <w:rPr>
          <w:lang w:val="en-AU"/>
        </w:rPr>
        <w:t xml:space="preserve">the </w:t>
      </w:r>
      <w:r w:rsidRPr="004310CB">
        <w:rPr>
          <w:i/>
          <w:lang w:val="en-AU"/>
        </w:rPr>
        <w:t>Public Governance, Performance and Accountability Rule 2014</w:t>
      </w:r>
      <w:r>
        <w:rPr>
          <w:lang w:val="en-AU"/>
        </w:rPr>
        <w:t xml:space="preserve"> (PGPA Rule) and </w:t>
      </w:r>
      <w:r>
        <w:t xml:space="preserve">the </w:t>
      </w:r>
      <w:r w:rsidRPr="004310CB">
        <w:rPr>
          <w:i/>
          <w:lang w:val="en-AU"/>
        </w:rPr>
        <w:t>Public Governance, Performance and Accountability (Consequential and Transitional Provisions) Rule 2014</w:t>
      </w:r>
      <w:r>
        <w:rPr>
          <w:lang w:val="en-AU"/>
        </w:rPr>
        <w:t xml:space="preserve"> (CTP Rule). </w:t>
      </w:r>
    </w:p>
    <w:p w:rsidR="00A609F2" w:rsidRPr="00977D04" w:rsidRDefault="00A609F2" w:rsidP="00A609F2">
      <w:pPr>
        <w:spacing w:after="120"/>
      </w:pPr>
      <w:r w:rsidRPr="00977D04">
        <w:t>The PGPA</w:t>
      </w:r>
      <w:r>
        <w:t xml:space="preserve"> Amendment </w:t>
      </w:r>
      <w:r w:rsidRPr="00977D04">
        <w:t xml:space="preserve">Rule contains provisions </w:t>
      </w:r>
      <w:r w:rsidRPr="00977D04">
        <w:rPr>
          <w:rFonts w:eastAsia="Times New Roman"/>
          <w:color w:val="000000" w:themeColor="text1"/>
          <w:lang w:val="en-AU" w:bidi="ar-SA"/>
        </w:rPr>
        <w:t xml:space="preserve">that relate to: </w:t>
      </w:r>
    </w:p>
    <w:p w:rsidR="003561C5" w:rsidRPr="00EC58D6" w:rsidRDefault="003561C5" w:rsidP="003561C5">
      <w:pPr>
        <w:pStyle w:val="ListParagraph"/>
        <w:numPr>
          <w:ilvl w:val="0"/>
          <w:numId w:val="15"/>
        </w:numPr>
        <w:spacing w:after="120" w:line="276" w:lineRule="auto"/>
        <w:ind w:hanging="363"/>
        <w:contextualSpacing w:val="0"/>
        <w:rPr>
          <w:rFonts w:eastAsia="Calibri"/>
          <w:color w:val="000000" w:themeColor="text1"/>
          <w:lang w:val="en-AU" w:bidi="ar-SA"/>
        </w:rPr>
      </w:pPr>
      <w:r>
        <w:t>Repayments by the Commonwealth</w:t>
      </w:r>
      <w:r w:rsidRPr="00977D04">
        <w:t xml:space="preserve">, </w:t>
      </w:r>
    </w:p>
    <w:p w:rsidR="003561C5" w:rsidRPr="008B1CF2" w:rsidRDefault="003561C5" w:rsidP="003561C5">
      <w:pPr>
        <w:pStyle w:val="ListParagraph"/>
        <w:numPr>
          <w:ilvl w:val="0"/>
          <w:numId w:val="15"/>
        </w:numPr>
        <w:spacing w:after="120" w:line="276" w:lineRule="auto"/>
        <w:ind w:hanging="363"/>
        <w:contextualSpacing w:val="0"/>
        <w:rPr>
          <w:rFonts w:eastAsia="Calibri"/>
          <w:color w:val="000000" w:themeColor="text1"/>
          <w:lang w:val="en-AU" w:bidi="ar-SA"/>
        </w:rPr>
      </w:pPr>
      <w:r>
        <w:t xml:space="preserve">Specifying accountable authorities for certain corporate Commonwealth entities, </w:t>
      </w:r>
    </w:p>
    <w:p w:rsidR="003561C5" w:rsidRPr="00066013" w:rsidRDefault="003561C5" w:rsidP="003561C5">
      <w:pPr>
        <w:pStyle w:val="ListParagraph"/>
        <w:numPr>
          <w:ilvl w:val="0"/>
          <w:numId w:val="15"/>
        </w:numPr>
        <w:spacing w:after="120" w:line="276" w:lineRule="auto"/>
        <w:ind w:hanging="363"/>
        <w:contextualSpacing w:val="0"/>
        <w:rPr>
          <w:rFonts w:eastAsia="Calibri"/>
          <w:color w:val="000000" w:themeColor="text1"/>
          <w:lang w:val="en-AU" w:bidi="ar-SA"/>
        </w:rPr>
      </w:pPr>
      <w:r>
        <w:t>A body corporate to be treated as a non-corporate Commonwealth entity for the purposes of the finance law,</w:t>
      </w:r>
      <w:r w:rsidRPr="002519C6">
        <w:rPr>
          <w:rFonts w:eastAsia="Calibri"/>
          <w:color w:val="000000" w:themeColor="text1"/>
          <w:lang w:val="en-AU" w:bidi="ar-SA"/>
        </w:rPr>
        <w:t xml:space="preserve"> </w:t>
      </w:r>
      <w:r>
        <w:rPr>
          <w:rFonts w:eastAsia="Calibri"/>
          <w:color w:val="000000" w:themeColor="text1"/>
          <w:lang w:val="en-AU" w:bidi="ar-SA"/>
        </w:rPr>
        <w:t>and</w:t>
      </w:r>
    </w:p>
    <w:p w:rsidR="003561C5" w:rsidRDefault="003561C5" w:rsidP="003561C5">
      <w:pPr>
        <w:pStyle w:val="ListParagraph"/>
        <w:numPr>
          <w:ilvl w:val="0"/>
          <w:numId w:val="15"/>
        </w:numPr>
        <w:spacing w:after="120" w:line="276" w:lineRule="auto"/>
        <w:ind w:hanging="363"/>
        <w:contextualSpacing w:val="0"/>
        <w:rPr>
          <w:rFonts w:eastAsia="Calibri"/>
          <w:color w:val="000000" w:themeColor="text1"/>
          <w:lang w:val="en-AU" w:bidi="ar-SA"/>
        </w:rPr>
      </w:pPr>
      <w:r>
        <w:t>Clarifying the scope of disclosure provisions.</w:t>
      </w:r>
      <w:r>
        <w:rPr>
          <w:rFonts w:eastAsia="Calibri"/>
          <w:color w:val="000000" w:themeColor="text1"/>
          <w:lang w:val="en-AU" w:bidi="ar-SA"/>
        </w:rPr>
        <w:t xml:space="preserve"> </w:t>
      </w:r>
    </w:p>
    <w:p w:rsidR="00A609F2" w:rsidRPr="00977D04" w:rsidRDefault="00A609F2" w:rsidP="00D75AD5">
      <w:pPr>
        <w:pStyle w:val="ListParagraph"/>
      </w:pPr>
    </w:p>
    <w:p w:rsidR="00BF1181" w:rsidRDefault="00BF1181">
      <w:pPr>
        <w:spacing w:after="200" w:line="276" w:lineRule="auto"/>
        <w:rPr>
          <w:b/>
        </w:rPr>
        <w:sectPr w:rsidR="00BF1181" w:rsidSect="00427E4B">
          <w:headerReference w:type="even" r:id="rId13"/>
          <w:headerReference w:type="default" r:id="rId14"/>
          <w:headerReference w:type="first" r:id="rId15"/>
          <w:pgSz w:w="11906" w:h="16838"/>
          <w:pgMar w:top="1440" w:right="1440" w:bottom="1440" w:left="1440" w:header="708" w:footer="514" w:gutter="0"/>
          <w:pgNumType w:start="1"/>
          <w:cols w:space="708"/>
          <w:docGrid w:linePitch="360"/>
        </w:sectPr>
      </w:pPr>
    </w:p>
    <w:p w:rsidR="00167E2E" w:rsidRPr="00977D04" w:rsidRDefault="00474C20" w:rsidP="00D976E6">
      <w:pPr>
        <w:rPr>
          <w:b/>
        </w:rPr>
      </w:pPr>
      <w:r w:rsidRPr="00977D04">
        <w:rPr>
          <w:b/>
        </w:rPr>
        <w:t>Human rights implications</w:t>
      </w:r>
    </w:p>
    <w:p w:rsidR="009C481F" w:rsidRPr="00977D04" w:rsidRDefault="009C481F" w:rsidP="00D976E6"/>
    <w:p w:rsidR="00167E2E" w:rsidRPr="00977D04" w:rsidRDefault="00167E2E" w:rsidP="00D976E6">
      <w:r w:rsidRPr="00977D04">
        <w:t>Th</w:t>
      </w:r>
      <w:r w:rsidR="005503F7" w:rsidRPr="00977D04">
        <w:t>e</w:t>
      </w:r>
      <w:r w:rsidRPr="00977D04">
        <w:t xml:space="preserve"> </w:t>
      </w:r>
      <w:r w:rsidR="0092738C" w:rsidRPr="00977D04">
        <w:t>l</w:t>
      </w:r>
      <w:r w:rsidRPr="00977D04">
        <w:t xml:space="preserve">egislative </w:t>
      </w:r>
      <w:r w:rsidR="0092738C" w:rsidRPr="00977D04">
        <w:t>i</w:t>
      </w:r>
      <w:r w:rsidRPr="00977D04">
        <w:t>nstrument do</w:t>
      </w:r>
      <w:r w:rsidR="005503F7" w:rsidRPr="00977D04">
        <w:t>es</w:t>
      </w:r>
      <w:r w:rsidRPr="00977D04">
        <w:t xml:space="preserve"> not engage any of the applicable rights or freedoms.</w:t>
      </w:r>
    </w:p>
    <w:p w:rsidR="00A609F2" w:rsidRDefault="00A609F2" w:rsidP="00D976E6">
      <w:pPr>
        <w:rPr>
          <w:b/>
        </w:rPr>
      </w:pPr>
    </w:p>
    <w:p w:rsidR="00167E2E" w:rsidRPr="00977D04" w:rsidRDefault="00474C20" w:rsidP="00D976E6">
      <w:pPr>
        <w:rPr>
          <w:b/>
        </w:rPr>
      </w:pPr>
      <w:r w:rsidRPr="00977D04">
        <w:rPr>
          <w:b/>
        </w:rPr>
        <w:t>Conclusion</w:t>
      </w:r>
    </w:p>
    <w:p w:rsidR="009C481F" w:rsidRPr="00977D04" w:rsidRDefault="009C481F" w:rsidP="00D976E6"/>
    <w:p w:rsidR="00167E2E" w:rsidRPr="00977D04" w:rsidRDefault="00167E2E" w:rsidP="00D976E6">
      <w:r w:rsidRPr="00977D04">
        <w:t>Th</w:t>
      </w:r>
      <w:r w:rsidR="005503F7" w:rsidRPr="00977D04">
        <w:t>e</w:t>
      </w:r>
      <w:r w:rsidRPr="00977D04">
        <w:t xml:space="preserve"> </w:t>
      </w:r>
      <w:r w:rsidR="0092738C" w:rsidRPr="00977D04">
        <w:t>l</w:t>
      </w:r>
      <w:r w:rsidRPr="00977D04">
        <w:t xml:space="preserve">egislative </w:t>
      </w:r>
      <w:r w:rsidR="0092738C" w:rsidRPr="00977D04">
        <w:t>i</w:t>
      </w:r>
      <w:r w:rsidRPr="00977D04">
        <w:t>nstrumen</w:t>
      </w:r>
      <w:r w:rsidR="006A6ED3" w:rsidRPr="00977D04">
        <w:t>t</w:t>
      </w:r>
      <w:r w:rsidR="005503F7" w:rsidRPr="00977D04">
        <w:t xml:space="preserve"> i</w:t>
      </w:r>
      <w:r w:rsidR="006A6ED3" w:rsidRPr="00977D04">
        <w:t>s</w:t>
      </w:r>
      <w:r w:rsidRPr="00977D04">
        <w:t xml:space="preserve"> compatible with human rights as </w:t>
      </w:r>
      <w:r w:rsidR="0092738C" w:rsidRPr="00977D04">
        <w:t xml:space="preserve">it </w:t>
      </w:r>
      <w:r w:rsidR="001C68FE" w:rsidRPr="00977D04">
        <w:t>do</w:t>
      </w:r>
      <w:r w:rsidR="0092738C" w:rsidRPr="00977D04">
        <w:t>es</w:t>
      </w:r>
      <w:r w:rsidR="001C68FE" w:rsidRPr="00977D04">
        <w:t xml:space="preserve"> </w:t>
      </w:r>
      <w:r w:rsidRPr="00977D04">
        <w:t>not raise any human rights issues.</w:t>
      </w:r>
    </w:p>
    <w:p w:rsidR="009C481F" w:rsidRPr="00977D04" w:rsidRDefault="009C481F" w:rsidP="00D976E6"/>
    <w:p w:rsidR="00B328B9" w:rsidRPr="00977D04" w:rsidRDefault="00B328B9" w:rsidP="00D976E6"/>
    <w:p w:rsidR="00661056" w:rsidRPr="00977D04" w:rsidRDefault="00661056" w:rsidP="00661056">
      <w:pPr>
        <w:pStyle w:val="paranumbering0"/>
        <w:spacing w:before="0" w:beforeAutospacing="0" w:after="0" w:afterAutospacing="0"/>
        <w:jc w:val="center"/>
        <w:rPr>
          <w:b/>
        </w:rPr>
      </w:pPr>
      <w:r w:rsidRPr="00977D04">
        <w:rPr>
          <w:b/>
        </w:rPr>
        <w:t>Senator the Hon Mathias Cormann</w:t>
      </w:r>
    </w:p>
    <w:p w:rsidR="00661056" w:rsidRPr="00977D04" w:rsidRDefault="00661056" w:rsidP="00661056">
      <w:pPr>
        <w:pStyle w:val="paranumbering0"/>
        <w:spacing w:before="0" w:beforeAutospacing="0" w:after="0" w:afterAutospacing="0"/>
        <w:jc w:val="center"/>
        <w:rPr>
          <w:b/>
        </w:rPr>
      </w:pPr>
      <w:r w:rsidRPr="00977D04">
        <w:rPr>
          <w:b/>
        </w:rPr>
        <w:t>Minister for Finance</w:t>
      </w:r>
    </w:p>
    <w:p w:rsidR="00BE3437" w:rsidRPr="00977D04" w:rsidRDefault="00BE3437" w:rsidP="00D976E6"/>
    <w:sectPr w:rsidR="00BE3437" w:rsidRPr="00977D04" w:rsidSect="00427E4B">
      <w:headerReference w:type="default" r:id="rId16"/>
      <w:pgSz w:w="11906" w:h="16838"/>
      <w:pgMar w:top="1440" w:right="1440" w:bottom="1440" w:left="1440" w:header="708" w:footer="51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B13" w:rsidRDefault="00053B13" w:rsidP="00D976E6">
      <w:r>
        <w:separator/>
      </w:r>
    </w:p>
    <w:p w:rsidR="00053B13" w:rsidRDefault="00053B13" w:rsidP="00D976E6"/>
  </w:endnote>
  <w:endnote w:type="continuationSeparator" w:id="0">
    <w:p w:rsidR="00053B13" w:rsidRDefault="00053B13" w:rsidP="00D976E6">
      <w:r>
        <w:continuationSeparator/>
      </w:r>
    </w:p>
    <w:p w:rsidR="00053B13" w:rsidRDefault="00053B13" w:rsidP="00D976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216370"/>
      <w:docPartObj>
        <w:docPartGallery w:val="Page Numbers (Bottom of Page)"/>
        <w:docPartUnique/>
      </w:docPartObj>
    </w:sdtPr>
    <w:sdtContent>
      <w:p w:rsidR="00053B13" w:rsidRPr="0092738C" w:rsidRDefault="008C0E13" w:rsidP="00D976E6">
        <w:pPr>
          <w:pStyle w:val="Footer"/>
        </w:pPr>
      </w:p>
    </w:sdtContent>
  </w:sdt>
  <w:p w:rsidR="00053B13" w:rsidRDefault="00053B13" w:rsidP="00D97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B13" w:rsidRDefault="00053B13" w:rsidP="00D976E6">
      <w:r>
        <w:separator/>
      </w:r>
    </w:p>
    <w:p w:rsidR="00053B13" w:rsidRDefault="00053B13" w:rsidP="00D976E6"/>
  </w:footnote>
  <w:footnote w:type="continuationSeparator" w:id="0">
    <w:p w:rsidR="00053B13" w:rsidRDefault="00053B13" w:rsidP="00D976E6">
      <w:r>
        <w:continuationSeparator/>
      </w:r>
    </w:p>
    <w:p w:rsidR="00053B13" w:rsidRDefault="00053B13" w:rsidP="00D976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414669"/>
      <w:docPartObj>
        <w:docPartGallery w:val="Page Numbers (Top of Page)"/>
        <w:docPartUnique/>
      </w:docPartObj>
    </w:sdtPr>
    <w:sdtContent>
      <w:p w:rsidR="00053B13" w:rsidRDefault="008C0E13">
        <w:pPr>
          <w:pStyle w:val="Header"/>
          <w:jc w:val="center"/>
        </w:pPr>
        <w:fldSimple w:instr=" PAGE   \* MERGEFORMAT ">
          <w:r w:rsidR="0084691A">
            <w:rPr>
              <w:noProof/>
            </w:rPr>
            <w:t>2</w:t>
          </w:r>
        </w:fldSimple>
      </w:p>
    </w:sdtContent>
  </w:sdt>
  <w:p w:rsidR="00053B13" w:rsidRDefault="00053B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13" w:rsidRDefault="00053B13" w:rsidP="00D976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414670"/>
      <w:docPartObj>
        <w:docPartGallery w:val="Page Numbers (Top of Page)"/>
        <w:docPartUnique/>
      </w:docPartObj>
    </w:sdtPr>
    <w:sdtContent>
      <w:p w:rsidR="00053B13" w:rsidRDefault="008C0E13">
        <w:pPr>
          <w:pStyle w:val="Header"/>
          <w:jc w:val="center"/>
        </w:pPr>
        <w:fldSimple w:instr=" PAGE   \* MERGEFORMAT ">
          <w:r w:rsidR="0084691A">
            <w:rPr>
              <w:noProof/>
            </w:rPr>
            <w:t>3</w:t>
          </w:r>
        </w:fldSimple>
      </w:p>
    </w:sdtContent>
  </w:sdt>
  <w:p w:rsidR="00053B13" w:rsidRDefault="00053B13" w:rsidP="004816AF">
    <w:pPr>
      <w:pStyle w:val="Header"/>
      <w:jc w:val="center"/>
      <w:rPr>
        <w:b/>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13" w:rsidRDefault="00053B13">
    <w:pPr>
      <w:pStyle w:val="Header"/>
      <w:jc w:val="right"/>
      <w:rPr>
        <w:b/>
        <w:u w:val="single"/>
      </w:rPr>
    </w:pPr>
    <w:r w:rsidRPr="00474C20">
      <w:rPr>
        <w:b/>
        <w:u w:val="single"/>
      </w:rPr>
      <w:t>Attachment 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13" w:rsidRDefault="00053B13" w:rsidP="00D976E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13" w:rsidRPr="00BF1181" w:rsidRDefault="00053B13" w:rsidP="00FF56E6">
    <w:pPr>
      <w:pStyle w:val="Header"/>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13" w:rsidRDefault="00053B13" w:rsidP="00D976E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13" w:rsidRPr="00BF1181" w:rsidRDefault="00053B13" w:rsidP="00FF56E6">
    <w:pPr>
      <w:pStyle w:val="Header"/>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031"/>
    <w:multiLevelType w:val="hybridMultilevel"/>
    <w:tmpl w:val="15FC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CD3AFC"/>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AE497E"/>
    <w:multiLevelType w:val="hybridMultilevel"/>
    <w:tmpl w:val="4B12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04248B"/>
    <w:multiLevelType w:val="hybridMultilevel"/>
    <w:tmpl w:val="3298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0F213D"/>
    <w:multiLevelType w:val="hybridMultilevel"/>
    <w:tmpl w:val="AEE8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1B0648"/>
    <w:multiLevelType w:val="hybridMultilevel"/>
    <w:tmpl w:val="5380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666CDE"/>
    <w:multiLevelType w:val="hybridMultilevel"/>
    <w:tmpl w:val="C21C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11697D"/>
    <w:multiLevelType w:val="hybridMultilevel"/>
    <w:tmpl w:val="376A4044"/>
    <w:lvl w:ilvl="0" w:tplc="ADF8B48A">
      <w:start w:val="1"/>
      <w:numFmt w:val="bullet"/>
      <w:lvlText w:val=""/>
      <w:lvlJc w:val="left"/>
      <w:pPr>
        <w:ind w:left="720" w:hanging="360"/>
      </w:pPr>
      <w:rPr>
        <w:rFonts w:ascii="Symbol" w:hAnsi="Symbol" w:hint="default"/>
      </w:rPr>
    </w:lvl>
    <w:lvl w:ilvl="1" w:tplc="0C09000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
    <w:nsid w:val="22F546B2"/>
    <w:multiLevelType w:val="hybridMultilevel"/>
    <w:tmpl w:val="9D94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6B2655"/>
    <w:multiLevelType w:val="hybridMultilevel"/>
    <w:tmpl w:val="6E2A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1823EE"/>
    <w:multiLevelType w:val="hybridMultilevel"/>
    <w:tmpl w:val="55A406C2"/>
    <w:lvl w:ilvl="0" w:tplc="F176C9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C93026"/>
    <w:multiLevelType w:val="hybridMultilevel"/>
    <w:tmpl w:val="7BC83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4E7879"/>
    <w:multiLevelType w:val="hybridMultilevel"/>
    <w:tmpl w:val="0CE2A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0D2622"/>
    <w:multiLevelType w:val="hybridMultilevel"/>
    <w:tmpl w:val="1C6E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1B3D1C"/>
    <w:multiLevelType w:val="hybridMultilevel"/>
    <w:tmpl w:val="2896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8F1422"/>
    <w:multiLevelType w:val="hybridMultilevel"/>
    <w:tmpl w:val="057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1F6947"/>
    <w:multiLevelType w:val="hybridMultilevel"/>
    <w:tmpl w:val="2E1AFA2E"/>
    <w:lvl w:ilvl="0" w:tplc="0C090001">
      <w:start w:val="1"/>
      <w:numFmt w:val="bullet"/>
      <w:lvlText w:val=""/>
      <w:lvlJc w:val="left"/>
      <w:pPr>
        <w:ind w:left="2718" w:hanging="360"/>
      </w:pPr>
      <w:rPr>
        <w:rFonts w:ascii="Symbol" w:hAnsi="Symbol" w:hint="default"/>
      </w:rPr>
    </w:lvl>
    <w:lvl w:ilvl="1" w:tplc="0C090003">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17">
    <w:nsid w:val="428F39F1"/>
    <w:multiLevelType w:val="hybridMultilevel"/>
    <w:tmpl w:val="0084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6A1B10"/>
    <w:multiLevelType w:val="hybridMultilevel"/>
    <w:tmpl w:val="42088F62"/>
    <w:lvl w:ilvl="0" w:tplc="0C09000F">
      <w:start w:val="1"/>
      <w:numFmt w:val="decimal"/>
      <w:lvlText w:val="%1."/>
      <w:lvlJc w:val="left"/>
      <w:pPr>
        <w:ind w:left="360" w:hanging="360"/>
      </w:pPr>
    </w:lvl>
    <w:lvl w:ilvl="1" w:tplc="07F0C41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CF04FB0"/>
    <w:multiLevelType w:val="hybridMultilevel"/>
    <w:tmpl w:val="8BEE8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2E2032"/>
    <w:multiLevelType w:val="hybridMultilevel"/>
    <w:tmpl w:val="1B2E2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4B5657"/>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112858"/>
    <w:multiLevelType w:val="hybridMultilevel"/>
    <w:tmpl w:val="F38256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5DBA7EFB"/>
    <w:multiLevelType w:val="hybridMultilevel"/>
    <w:tmpl w:val="5B8A3F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E2871E8"/>
    <w:multiLevelType w:val="hybridMultilevel"/>
    <w:tmpl w:val="595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7E32F79"/>
    <w:multiLevelType w:val="hybridMultilevel"/>
    <w:tmpl w:val="E2B02A8A"/>
    <w:lvl w:ilvl="0" w:tplc="5DBA05AA">
      <w:start w:val="1"/>
      <w:numFmt w:val="decimal"/>
      <w:lvlText w:val="%1."/>
      <w:lvlJc w:val="left"/>
      <w:pPr>
        <w:ind w:left="1854" w:hanging="360"/>
      </w:pPr>
      <w:rPr>
        <w:rFonts w:hint="default"/>
        <w:b w:val="0"/>
        <w:i w:val="0"/>
      </w:rPr>
    </w:lvl>
    <w:lvl w:ilvl="1" w:tplc="0C090001">
      <w:start w:val="1"/>
      <w:numFmt w:val="decimal"/>
      <w:lvlText w:val="%2."/>
      <w:lvlJc w:val="left"/>
      <w:pPr>
        <w:tabs>
          <w:tab w:val="num" w:pos="2574"/>
        </w:tabs>
        <w:ind w:left="2574" w:hanging="360"/>
      </w:pPr>
    </w:lvl>
    <w:lvl w:ilvl="2" w:tplc="0C09001B">
      <w:start w:val="1"/>
      <w:numFmt w:val="decimal"/>
      <w:lvlText w:val="%3."/>
      <w:lvlJc w:val="left"/>
      <w:pPr>
        <w:tabs>
          <w:tab w:val="num" w:pos="3294"/>
        </w:tabs>
        <w:ind w:left="3294" w:hanging="360"/>
      </w:pPr>
    </w:lvl>
    <w:lvl w:ilvl="3" w:tplc="0C09000F">
      <w:start w:val="1"/>
      <w:numFmt w:val="decimal"/>
      <w:lvlText w:val="%4."/>
      <w:lvlJc w:val="left"/>
      <w:pPr>
        <w:tabs>
          <w:tab w:val="num" w:pos="4014"/>
        </w:tabs>
        <w:ind w:left="4014" w:hanging="360"/>
      </w:pPr>
    </w:lvl>
    <w:lvl w:ilvl="4" w:tplc="0C090019">
      <w:start w:val="1"/>
      <w:numFmt w:val="decimal"/>
      <w:lvlText w:val="%5."/>
      <w:lvlJc w:val="left"/>
      <w:pPr>
        <w:tabs>
          <w:tab w:val="num" w:pos="4734"/>
        </w:tabs>
        <w:ind w:left="4734" w:hanging="360"/>
      </w:pPr>
    </w:lvl>
    <w:lvl w:ilvl="5" w:tplc="0C09001B">
      <w:start w:val="1"/>
      <w:numFmt w:val="decimal"/>
      <w:lvlText w:val="%6."/>
      <w:lvlJc w:val="left"/>
      <w:pPr>
        <w:tabs>
          <w:tab w:val="num" w:pos="5454"/>
        </w:tabs>
        <w:ind w:left="5454" w:hanging="360"/>
      </w:pPr>
    </w:lvl>
    <w:lvl w:ilvl="6" w:tplc="0C09000F">
      <w:start w:val="1"/>
      <w:numFmt w:val="decimal"/>
      <w:lvlText w:val="%7."/>
      <w:lvlJc w:val="left"/>
      <w:pPr>
        <w:tabs>
          <w:tab w:val="num" w:pos="6174"/>
        </w:tabs>
        <w:ind w:left="6174" w:hanging="360"/>
      </w:pPr>
    </w:lvl>
    <w:lvl w:ilvl="7" w:tplc="0C090019">
      <w:start w:val="1"/>
      <w:numFmt w:val="decimal"/>
      <w:lvlText w:val="%8."/>
      <w:lvlJc w:val="left"/>
      <w:pPr>
        <w:tabs>
          <w:tab w:val="num" w:pos="6894"/>
        </w:tabs>
        <w:ind w:left="6894" w:hanging="360"/>
      </w:pPr>
    </w:lvl>
    <w:lvl w:ilvl="8" w:tplc="0C09001B">
      <w:start w:val="1"/>
      <w:numFmt w:val="decimal"/>
      <w:lvlText w:val="%9."/>
      <w:lvlJc w:val="left"/>
      <w:pPr>
        <w:tabs>
          <w:tab w:val="num" w:pos="7614"/>
        </w:tabs>
        <w:ind w:left="7614" w:hanging="360"/>
      </w:pPr>
    </w:lvl>
  </w:abstractNum>
  <w:abstractNum w:abstractNumId="26">
    <w:nsid w:val="6A7E2E8A"/>
    <w:multiLevelType w:val="hybridMultilevel"/>
    <w:tmpl w:val="4DCCDC9C"/>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AEF0FE8"/>
    <w:multiLevelType w:val="hybridMultilevel"/>
    <w:tmpl w:val="B47C7A96"/>
    <w:lvl w:ilvl="0" w:tplc="0C090001">
      <w:start w:val="1"/>
      <w:numFmt w:val="decimal"/>
      <w:lvlText w:val="%1."/>
      <w:lvlJc w:val="left"/>
      <w:pPr>
        <w:ind w:left="786" w:hanging="360"/>
      </w:pPr>
    </w:lvl>
    <w:lvl w:ilvl="1" w:tplc="0C090003">
      <w:start w:val="1"/>
      <w:numFmt w:val="bullet"/>
      <w:lvlText w:val=""/>
      <w:lvlJc w:val="left"/>
      <w:pPr>
        <w:ind w:left="1440" w:hanging="360"/>
      </w:pPr>
      <w:rPr>
        <w:rFonts w:ascii="Symbol" w:hAnsi="Symbol" w:hint="default"/>
      </w:rPr>
    </w:lvl>
    <w:lvl w:ilvl="2" w:tplc="0C090005">
      <w:numFmt w:val="bullet"/>
      <w:lvlText w:val="•"/>
      <w:lvlJc w:val="left"/>
      <w:pPr>
        <w:ind w:left="2700" w:hanging="720"/>
      </w:pPr>
      <w:rPr>
        <w:rFonts w:ascii="Calibri" w:eastAsiaTheme="minorHAnsi" w:hAnsi="Calibri" w:cstheme="minorBidi"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nsid w:val="7070388C"/>
    <w:multiLevelType w:val="hybridMultilevel"/>
    <w:tmpl w:val="06E24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73704D8D"/>
    <w:multiLevelType w:val="hybridMultilevel"/>
    <w:tmpl w:val="C8E4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B4C7752"/>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D161472"/>
    <w:multiLevelType w:val="hybridMultilevel"/>
    <w:tmpl w:val="41A0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1"/>
  </w:num>
  <w:num w:numId="4">
    <w:abstractNumId w:val="12"/>
  </w:num>
  <w:num w:numId="5">
    <w:abstractNumId w:val="3"/>
  </w:num>
  <w:num w:numId="6">
    <w:abstractNumId w:val="31"/>
  </w:num>
  <w:num w:numId="7">
    <w:abstractNumId w:val="0"/>
  </w:num>
  <w:num w:numId="8">
    <w:abstractNumId w:val="13"/>
  </w:num>
  <w:num w:numId="9">
    <w:abstractNumId w:val="14"/>
  </w:num>
  <w:num w:numId="10">
    <w:abstractNumId w:val="8"/>
  </w:num>
  <w:num w:numId="11">
    <w:abstractNumId w:val="4"/>
  </w:num>
  <w:num w:numId="12">
    <w:abstractNumId w:val="6"/>
  </w:num>
  <w:num w:numId="13">
    <w:abstractNumId w:val="17"/>
  </w:num>
  <w:num w:numId="14">
    <w:abstractNumId w:val="9"/>
  </w:num>
  <w:num w:numId="15">
    <w:abstractNumId w:val="19"/>
  </w:num>
  <w:num w:numId="16">
    <w:abstractNumId w:val="24"/>
  </w:num>
  <w:num w:numId="17">
    <w:abstractNumId w:val="5"/>
  </w:num>
  <w:num w:numId="18">
    <w:abstractNumId w:val="30"/>
  </w:num>
  <w:num w:numId="19">
    <w:abstractNumId w:val="21"/>
  </w:num>
  <w:num w:numId="20">
    <w:abstractNumId w:val="27"/>
  </w:num>
  <w:num w:numId="21">
    <w:abstractNumId w:val="16"/>
  </w:num>
  <w:num w:numId="22">
    <w:abstractNumId w:val="10"/>
  </w:num>
  <w:num w:numId="23">
    <w:abstractNumId w:val="1"/>
  </w:num>
  <w:num w:numId="24">
    <w:abstractNumId w:val="2"/>
  </w:num>
  <w:num w:numId="25">
    <w:abstractNumId w:val="28"/>
  </w:num>
  <w:num w:numId="26">
    <w:abstractNumId w:val="23"/>
  </w:num>
  <w:num w:numId="27">
    <w:abstractNumId w:val="29"/>
  </w:num>
  <w:num w:numId="28">
    <w:abstractNumId w:val="15"/>
  </w:num>
  <w:num w:numId="29">
    <w:abstractNumId w:val="25"/>
  </w:num>
  <w:num w:numId="30">
    <w:abstractNumId w:val="7"/>
  </w:num>
  <w:num w:numId="31">
    <w:abstractNumId w:val="26"/>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452D0D"/>
    <w:rsid w:val="00000A08"/>
    <w:rsid w:val="000034CC"/>
    <w:rsid w:val="000043E7"/>
    <w:rsid w:val="00005815"/>
    <w:rsid w:val="0000625E"/>
    <w:rsid w:val="00007FE2"/>
    <w:rsid w:val="0001085E"/>
    <w:rsid w:val="0001195F"/>
    <w:rsid w:val="00011FEC"/>
    <w:rsid w:val="00012890"/>
    <w:rsid w:val="000128B4"/>
    <w:rsid w:val="0001494F"/>
    <w:rsid w:val="00016A7B"/>
    <w:rsid w:val="00016E00"/>
    <w:rsid w:val="00021B4D"/>
    <w:rsid w:val="00021D8B"/>
    <w:rsid w:val="00021EF2"/>
    <w:rsid w:val="00022030"/>
    <w:rsid w:val="00022317"/>
    <w:rsid w:val="00023434"/>
    <w:rsid w:val="000261AD"/>
    <w:rsid w:val="00026944"/>
    <w:rsid w:val="00026BC5"/>
    <w:rsid w:val="0003418C"/>
    <w:rsid w:val="00034E7B"/>
    <w:rsid w:val="00037239"/>
    <w:rsid w:val="000373C0"/>
    <w:rsid w:val="00037A61"/>
    <w:rsid w:val="00040627"/>
    <w:rsid w:val="0004247F"/>
    <w:rsid w:val="000433F3"/>
    <w:rsid w:val="00044073"/>
    <w:rsid w:val="000465AC"/>
    <w:rsid w:val="00050EC4"/>
    <w:rsid w:val="000512E1"/>
    <w:rsid w:val="00051C48"/>
    <w:rsid w:val="00053B13"/>
    <w:rsid w:val="0005407E"/>
    <w:rsid w:val="000554B7"/>
    <w:rsid w:val="00057D2F"/>
    <w:rsid w:val="0006098E"/>
    <w:rsid w:val="00061B95"/>
    <w:rsid w:val="00063152"/>
    <w:rsid w:val="00064FA4"/>
    <w:rsid w:val="00066013"/>
    <w:rsid w:val="000678F3"/>
    <w:rsid w:val="000717A8"/>
    <w:rsid w:val="000718DC"/>
    <w:rsid w:val="00076A90"/>
    <w:rsid w:val="00076B6F"/>
    <w:rsid w:val="0007737C"/>
    <w:rsid w:val="000801D8"/>
    <w:rsid w:val="00080476"/>
    <w:rsid w:val="00080A2B"/>
    <w:rsid w:val="0008188E"/>
    <w:rsid w:val="00085E21"/>
    <w:rsid w:val="00090136"/>
    <w:rsid w:val="00090756"/>
    <w:rsid w:val="00091186"/>
    <w:rsid w:val="00093909"/>
    <w:rsid w:val="000969F7"/>
    <w:rsid w:val="00097075"/>
    <w:rsid w:val="000A5518"/>
    <w:rsid w:val="000A5D25"/>
    <w:rsid w:val="000A6F15"/>
    <w:rsid w:val="000B09EC"/>
    <w:rsid w:val="000B280B"/>
    <w:rsid w:val="000B332F"/>
    <w:rsid w:val="000B64FC"/>
    <w:rsid w:val="000B693D"/>
    <w:rsid w:val="000B7217"/>
    <w:rsid w:val="000C009F"/>
    <w:rsid w:val="000C0E45"/>
    <w:rsid w:val="000C1985"/>
    <w:rsid w:val="000C2407"/>
    <w:rsid w:val="000D076A"/>
    <w:rsid w:val="000D0AB1"/>
    <w:rsid w:val="000D15D9"/>
    <w:rsid w:val="000D2ED1"/>
    <w:rsid w:val="000D455D"/>
    <w:rsid w:val="000D4F6A"/>
    <w:rsid w:val="000D5C03"/>
    <w:rsid w:val="000D67F0"/>
    <w:rsid w:val="000E0B88"/>
    <w:rsid w:val="000E3A7C"/>
    <w:rsid w:val="000E540D"/>
    <w:rsid w:val="000E54FC"/>
    <w:rsid w:val="000F1205"/>
    <w:rsid w:val="000F1F20"/>
    <w:rsid w:val="000F687D"/>
    <w:rsid w:val="000F6A2C"/>
    <w:rsid w:val="001019A4"/>
    <w:rsid w:val="00103D96"/>
    <w:rsid w:val="00106AFA"/>
    <w:rsid w:val="0011290B"/>
    <w:rsid w:val="00114A68"/>
    <w:rsid w:val="00117851"/>
    <w:rsid w:val="001220A9"/>
    <w:rsid w:val="00125A1D"/>
    <w:rsid w:val="00132DCA"/>
    <w:rsid w:val="00132F9A"/>
    <w:rsid w:val="00134A1D"/>
    <w:rsid w:val="0013538B"/>
    <w:rsid w:val="00135B9F"/>
    <w:rsid w:val="00140166"/>
    <w:rsid w:val="00144068"/>
    <w:rsid w:val="00144EA6"/>
    <w:rsid w:val="00146231"/>
    <w:rsid w:val="00146277"/>
    <w:rsid w:val="0014629D"/>
    <w:rsid w:val="00157EBE"/>
    <w:rsid w:val="001616B6"/>
    <w:rsid w:val="0016392F"/>
    <w:rsid w:val="00163ADB"/>
    <w:rsid w:val="001647FC"/>
    <w:rsid w:val="001677F9"/>
    <w:rsid w:val="00167E2E"/>
    <w:rsid w:val="00170890"/>
    <w:rsid w:val="001709E7"/>
    <w:rsid w:val="00176D5D"/>
    <w:rsid w:val="00177D59"/>
    <w:rsid w:val="00180197"/>
    <w:rsid w:val="0018067C"/>
    <w:rsid w:val="0018527C"/>
    <w:rsid w:val="00185E46"/>
    <w:rsid w:val="001861C4"/>
    <w:rsid w:val="00186FE6"/>
    <w:rsid w:val="00191999"/>
    <w:rsid w:val="00191A27"/>
    <w:rsid w:val="00196919"/>
    <w:rsid w:val="0019709B"/>
    <w:rsid w:val="00197283"/>
    <w:rsid w:val="00197F02"/>
    <w:rsid w:val="001A019D"/>
    <w:rsid w:val="001A06F8"/>
    <w:rsid w:val="001A09DE"/>
    <w:rsid w:val="001A1EBC"/>
    <w:rsid w:val="001A228A"/>
    <w:rsid w:val="001A60F4"/>
    <w:rsid w:val="001A745A"/>
    <w:rsid w:val="001B18DD"/>
    <w:rsid w:val="001B24D6"/>
    <w:rsid w:val="001B2F5D"/>
    <w:rsid w:val="001B7ECD"/>
    <w:rsid w:val="001C0A53"/>
    <w:rsid w:val="001C0D33"/>
    <w:rsid w:val="001C2D98"/>
    <w:rsid w:val="001C3154"/>
    <w:rsid w:val="001C4F31"/>
    <w:rsid w:val="001C57A1"/>
    <w:rsid w:val="001C5E34"/>
    <w:rsid w:val="001C68FE"/>
    <w:rsid w:val="001D182C"/>
    <w:rsid w:val="001D1914"/>
    <w:rsid w:val="001D551C"/>
    <w:rsid w:val="001D638D"/>
    <w:rsid w:val="001D6578"/>
    <w:rsid w:val="001D73B8"/>
    <w:rsid w:val="001D7E5A"/>
    <w:rsid w:val="001E087F"/>
    <w:rsid w:val="001E0982"/>
    <w:rsid w:val="001E1224"/>
    <w:rsid w:val="001E34BC"/>
    <w:rsid w:val="001E40D6"/>
    <w:rsid w:val="001E4CEA"/>
    <w:rsid w:val="001E5E26"/>
    <w:rsid w:val="001E75C1"/>
    <w:rsid w:val="001F07AD"/>
    <w:rsid w:val="001F2529"/>
    <w:rsid w:val="001F400C"/>
    <w:rsid w:val="001F5359"/>
    <w:rsid w:val="001F590C"/>
    <w:rsid w:val="001F687E"/>
    <w:rsid w:val="001F72A9"/>
    <w:rsid w:val="001F74A6"/>
    <w:rsid w:val="002032FC"/>
    <w:rsid w:val="00203F10"/>
    <w:rsid w:val="0020484A"/>
    <w:rsid w:val="00206192"/>
    <w:rsid w:val="00206508"/>
    <w:rsid w:val="00206C2D"/>
    <w:rsid w:val="00207B5F"/>
    <w:rsid w:val="00207C29"/>
    <w:rsid w:val="00210EFB"/>
    <w:rsid w:val="0021459A"/>
    <w:rsid w:val="00216919"/>
    <w:rsid w:val="0021740E"/>
    <w:rsid w:val="00220F02"/>
    <w:rsid w:val="002226FB"/>
    <w:rsid w:val="00222981"/>
    <w:rsid w:val="00222F07"/>
    <w:rsid w:val="00223932"/>
    <w:rsid w:val="0022412F"/>
    <w:rsid w:val="002246AE"/>
    <w:rsid w:val="002265B9"/>
    <w:rsid w:val="002272EA"/>
    <w:rsid w:val="00233481"/>
    <w:rsid w:val="00236791"/>
    <w:rsid w:val="00243BAA"/>
    <w:rsid w:val="00246632"/>
    <w:rsid w:val="00251841"/>
    <w:rsid w:val="0025196F"/>
    <w:rsid w:val="002519C6"/>
    <w:rsid w:val="00257472"/>
    <w:rsid w:val="00260183"/>
    <w:rsid w:val="002609DC"/>
    <w:rsid w:val="00261293"/>
    <w:rsid w:val="002616FA"/>
    <w:rsid w:val="00261B84"/>
    <w:rsid w:val="00262235"/>
    <w:rsid w:val="00266B6D"/>
    <w:rsid w:val="00267D8A"/>
    <w:rsid w:val="002711F5"/>
    <w:rsid w:val="00272007"/>
    <w:rsid w:val="002728D1"/>
    <w:rsid w:val="00274B9C"/>
    <w:rsid w:val="00274CAE"/>
    <w:rsid w:val="002772BE"/>
    <w:rsid w:val="0028025B"/>
    <w:rsid w:val="00281515"/>
    <w:rsid w:val="002818AD"/>
    <w:rsid w:val="002839A5"/>
    <w:rsid w:val="002843D1"/>
    <w:rsid w:val="002853A5"/>
    <w:rsid w:val="0028727F"/>
    <w:rsid w:val="00287772"/>
    <w:rsid w:val="00287F5F"/>
    <w:rsid w:val="002908A1"/>
    <w:rsid w:val="002918CE"/>
    <w:rsid w:val="002934AF"/>
    <w:rsid w:val="0029535F"/>
    <w:rsid w:val="00296D46"/>
    <w:rsid w:val="00297EE9"/>
    <w:rsid w:val="00297FF2"/>
    <w:rsid w:val="002A1A8B"/>
    <w:rsid w:val="002A24AD"/>
    <w:rsid w:val="002A282E"/>
    <w:rsid w:val="002A49B0"/>
    <w:rsid w:val="002A6402"/>
    <w:rsid w:val="002A65CB"/>
    <w:rsid w:val="002A666E"/>
    <w:rsid w:val="002B1949"/>
    <w:rsid w:val="002C0A4C"/>
    <w:rsid w:val="002C1217"/>
    <w:rsid w:val="002C20D1"/>
    <w:rsid w:val="002C21C1"/>
    <w:rsid w:val="002C6606"/>
    <w:rsid w:val="002D004B"/>
    <w:rsid w:val="002D36F0"/>
    <w:rsid w:val="002D51B2"/>
    <w:rsid w:val="002D6258"/>
    <w:rsid w:val="002E01CE"/>
    <w:rsid w:val="002E0D75"/>
    <w:rsid w:val="002E0F3C"/>
    <w:rsid w:val="002E136B"/>
    <w:rsid w:val="002E2701"/>
    <w:rsid w:val="002E307D"/>
    <w:rsid w:val="002F214A"/>
    <w:rsid w:val="002F2EC8"/>
    <w:rsid w:val="002F77DE"/>
    <w:rsid w:val="00301C10"/>
    <w:rsid w:val="00306D19"/>
    <w:rsid w:val="00310587"/>
    <w:rsid w:val="0031099E"/>
    <w:rsid w:val="00312581"/>
    <w:rsid w:val="0031473F"/>
    <w:rsid w:val="00315546"/>
    <w:rsid w:val="00315A11"/>
    <w:rsid w:val="00315E9C"/>
    <w:rsid w:val="00322CAC"/>
    <w:rsid w:val="003233A0"/>
    <w:rsid w:val="0032354D"/>
    <w:rsid w:val="00323A1A"/>
    <w:rsid w:val="00324047"/>
    <w:rsid w:val="00326483"/>
    <w:rsid w:val="0032663B"/>
    <w:rsid w:val="003267C3"/>
    <w:rsid w:val="003313DE"/>
    <w:rsid w:val="00332640"/>
    <w:rsid w:val="003327B3"/>
    <w:rsid w:val="00333469"/>
    <w:rsid w:val="0033754A"/>
    <w:rsid w:val="00342EC7"/>
    <w:rsid w:val="003437FF"/>
    <w:rsid w:val="003458B4"/>
    <w:rsid w:val="00347CC6"/>
    <w:rsid w:val="0035248E"/>
    <w:rsid w:val="003533EA"/>
    <w:rsid w:val="0035416D"/>
    <w:rsid w:val="003549E2"/>
    <w:rsid w:val="003561C5"/>
    <w:rsid w:val="00356CCE"/>
    <w:rsid w:val="00357216"/>
    <w:rsid w:val="00362A63"/>
    <w:rsid w:val="0036443A"/>
    <w:rsid w:val="00365F54"/>
    <w:rsid w:val="003704E8"/>
    <w:rsid w:val="00370F50"/>
    <w:rsid w:val="003804F8"/>
    <w:rsid w:val="0038080A"/>
    <w:rsid w:val="00380B15"/>
    <w:rsid w:val="00382FEA"/>
    <w:rsid w:val="0038485E"/>
    <w:rsid w:val="0038530C"/>
    <w:rsid w:val="003954A0"/>
    <w:rsid w:val="00395C9F"/>
    <w:rsid w:val="00395EB4"/>
    <w:rsid w:val="003A5D56"/>
    <w:rsid w:val="003A5DB3"/>
    <w:rsid w:val="003A657C"/>
    <w:rsid w:val="003A6FF0"/>
    <w:rsid w:val="003B0C6F"/>
    <w:rsid w:val="003B1654"/>
    <w:rsid w:val="003B4161"/>
    <w:rsid w:val="003B611F"/>
    <w:rsid w:val="003B72D5"/>
    <w:rsid w:val="003B738F"/>
    <w:rsid w:val="003C0972"/>
    <w:rsid w:val="003C0A8B"/>
    <w:rsid w:val="003C226F"/>
    <w:rsid w:val="003C2CC2"/>
    <w:rsid w:val="003C3575"/>
    <w:rsid w:val="003C49CD"/>
    <w:rsid w:val="003C4BF6"/>
    <w:rsid w:val="003C6CB8"/>
    <w:rsid w:val="003C6DB3"/>
    <w:rsid w:val="003D21CC"/>
    <w:rsid w:val="003E052E"/>
    <w:rsid w:val="003E179E"/>
    <w:rsid w:val="003E3538"/>
    <w:rsid w:val="003E39C3"/>
    <w:rsid w:val="003E3C8A"/>
    <w:rsid w:val="003F5656"/>
    <w:rsid w:val="004062D7"/>
    <w:rsid w:val="00406CDE"/>
    <w:rsid w:val="00406EB7"/>
    <w:rsid w:val="004111A2"/>
    <w:rsid w:val="00411D73"/>
    <w:rsid w:val="00413BD9"/>
    <w:rsid w:val="00413ED9"/>
    <w:rsid w:val="004146F9"/>
    <w:rsid w:val="00415B3F"/>
    <w:rsid w:val="004165B9"/>
    <w:rsid w:val="00417420"/>
    <w:rsid w:val="0042298C"/>
    <w:rsid w:val="0042359C"/>
    <w:rsid w:val="0042666E"/>
    <w:rsid w:val="00427E4B"/>
    <w:rsid w:val="004310CB"/>
    <w:rsid w:val="00431E77"/>
    <w:rsid w:val="00431F5D"/>
    <w:rsid w:val="00431FB8"/>
    <w:rsid w:val="004342C0"/>
    <w:rsid w:val="00434E5C"/>
    <w:rsid w:val="004367A4"/>
    <w:rsid w:val="004378A0"/>
    <w:rsid w:val="0044131F"/>
    <w:rsid w:val="00443844"/>
    <w:rsid w:val="00446662"/>
    <w:rsid w:val="00446A8A"/>
    <w:rsid w:val="00447E0E"/>
    <w:rsid w:val="00450C7D"/>
    <w:rsid w:val="00451CCE"/>
    <w:rsid w:val="00452242"/>
    <w:rsid w:val="00452D0D"/>
    <w:rsid w:val="00455DF8"/>
    <w:rsid w:val="00461A2C"/>
    <w:rsid w:val="00467BD0"/>
    <w:rsid w:val="00471841"/>
    <w:rsid w:val="004725C6"/>
    <w:rsid w:val="00474C20"/>
    <w:rsid w:val="004766F4"/>
    <w:rsid w:val="004770DC"/>
    <w:rsid w:val="0048100E"/>
    <w:rsid w:val="004816AF"/>
    <w:rsid w:val="004835F5"/>
    <w:rsid w:val="004856FC"/>
    <w:rsid w:val="00487238"/>
    <w:rsid w:val="00495107"/>
    <w:rsid w:val="00496EDF"/>
    <w:rsid w:val="004A039A"/>
    <w:rsid w:val="004A12BF"/>
    <w:rsid w:val="004A1967"/>
    <w:rsid w:val="004A1BDD"/>
    <w:rsid w:val="004A43A6"/>
    <w:rsid w:val="004A5CD4"/>
    <w:rsid w:val="004A6F55"/>
    <w:rsid w:val="004A7B43"/>
    <w:rsid w:val="004B1905"/>
    <w:rsid w:val="004B3ED8"/>
    <w:rsid w:val="004B6092"/>
    <w:rsid w:val="004B798B"/>
    <w:rsid w:val="004C041D"/>
    <w:rsid w:val="004C243D"/>
    <w:rsid w:val="004C474E"/>
    <w:rsid w:val="004C4D35"/>
    <w:rsid w:val="004C54D6"/>
    <w:rsid w:val="004C5940"/>
    <w:rsid w:val="004C5D10"/>
    <w:rsid w:val="004C72F0"/>
    <w:rsid w:val="004D0B37"/>
    <w:rsid w:val="004D102D"/>
    <w:rsid w:val="004D5837"/>
    <w:rsid w:val="004E11C1"/>
    <w:rsid w:val="004E1285"/>
    <w:rsid w:val="004E2F91"/>
    <w:rsid w:val="004E3AC2"/>
    <w:rsid w:val="004F0ADE"/>
    <w:rsid w:val="004F0C0F"/>
    <w:rsid w:val="004F312F"/>
    <w:rsid w:val="004F55AD"/>
    <w:rsid w:val="00503225"/>
    <w:rsid w:val="00503562"/>
    <w:rsid w:val="00504022"/>
    <w:rsid w:val="00505B3D"/>
    <w:rsid w:val="00507E7A"/>
    <w:rsid w:val="00511E7E"/>
    <w:rsid w:val="00514B3D"/>
    <w:rsid w:val="00515980"/>
    <w:rsid w:val="00515B8E"/>
    <w:rsid w:val="005219AA"/>
    <w:rsid w:val="00524376"/>
    <w:rsid w:val="00527EA6"/>
    <w:rsid w:val="00530040"/>
    <w:rsid w:val="0053006C"/>
    <w:rsid w:val="0053458D"/>
    <w:rsid w:val="005354CD"/>
    <w:rsid w:val="005417A4"/>
    <w:rsid w:val="00542D61"/>
    <w:rsid w:val="005503F7"/>
    <w:rsid w:val="00550D2A"/>
    <w:rsid w:val="00551496"/>
    <w:rsid w:val="00552876"/>
    <w:rsid w:val="005532B4"/>
    <w:rsid w:val="005542C1"/>
    <w:rsid w:val="00554901"/>
    <w:rsid w:val="00554BFE"/>
    <w:rsid w:val="0055596F"/>
    <w:rsid w:val="0056043B"/>
    <w:rsid w:val="00562BEB"/>
    <w:rsid w:val="00563C05"/>
    <w:rsid w:val="00563E7F"/>
    <w:rsid w:val="005667AA"/>
    <w:rsid w:val="00567785"/>
    <w:rsid w:val="00567DFD"/>
    <w:rsid w:val="005702E5"/>
    <w:rsid w:val="00572508"/>
    <w:rsid w:val="00573DF1"/>
    <w:rsid w:val="005746B4"/>
    <w:rsid w:val="00577587"/>
    <w:rsid w:val="00581920"/>
    <w:rsid w:val="00582A7D"/>
    <w:rsid w:val="0058397C"/>
    <w:rsid w:val="00584F3E"/>
    <w:rsid w:val="005860DE"/>
    <w:rsid w:val="00590BAA"/>
    <w:rsid w:val="005918B5"/>
    <w:rsid w:val="00594706"/>
    <w:rsid w:val="00594933"/>
    <w:rsid w:val="005956AC"/>
    <w:rsid w:val="00595983"/>
    <w:rsid w:val="00596CD4"/>
    <w:rsid w:val="005972A3"/>
    <w:rsid w:val="005A1339"/>
    <w:rsid w:val="005A21CF"/>
    <w:rsid w:val="005B0034"/>
    <w:rsid w:val="005B01BF"/>
    <w:rsid w:val="005B3CB2"/>
    <w:rsid w:val="005B544C"/>
    <w:rsid w:val="005B7B3F"/>
    <w:rsid w:val="005C31A3"/>
    <w:rsid w:val="005C3715"/>
    <w:rsid w:val="005C5470"/>
    <w:rsid w:val="005C6557"/>
    <w:rsid w:val="005D04AF"/>
    <w:rsid w:val="005D1B5E"/>
    <w:rsid w:val="005D2C2A"/>
    <w:rsid w:val="005D3750"/>
    <w:rsid w:val="005D6969"/>
    <w:rsid w:val="005E10A2"/>
    <w:rsid w:val="005E4FAF"/>
    <w:rsid w:val="005E6A8D"/>
    <w:rsid w:val="005E7912"/>
    <w:rsid w:val="005F23EF"/>
    <w:rsid w:val="005F3DBF"/>
    <w:rsid w:val="005F7A45"/>
    <w:rsid w:val="0060219B"/>
    <w:rsid w:val="006068AF"/>
    <w:rsid w:val="00610B00"/>
    <w:rsid w:val="0061335A"/>
    <w:rsid w:val="00614B21"/>
    <w:rsid w:val="006158C8"/>
    <w:rsid w:val="00616C5D"/>
    <w:rsid w:val="00622157"/>
    <w:rsid w:val="00626265"/>
    <w:rsid w:val="006332BD"/>
    <w:rsid w:val="0063433B"/>
    <w:rsid w:val="00634667"/>
    <w:rsid w:val="00637F44"/>
    <w:rsid w:val="00640FC7"/>
    <w:rsid w:val="006450F3"/>
    <w:rsid w:val="006461B9"/>
    <w:rsid w:val="00646F27"/>
    <w:rsid w:val="00646F88"/>
    <w:rsid w:val="00653702"/>
    <w:rsid w:val="00656E73"/>
    <w:rsid w:val="00657759"/>
    <w:rsid w:val="00657C55"/>
    <w:rsid w:val="00661056"/>
    <w:rsid w:val="00661076"/>
    <w:rsid w:val="006632FE"/>
    <w:rsid w:val="006639E8"/>
    <w:rsid w:val="0066606C"/>
    <w:rsid w:val="006674F1"/>
    <w:rsid w:val="00667DEE"/>
    <w:rsid w:val="00670482"/>
    <w:rsid w:val="006714A5"/>
    <w:rsid w:val="0067186D"/>
    <w:rsid w:val="00672661"/>
    <w:rsid w:val="00672D48"/>
    <w:rsid w:val="00673473"/>
    <w:rsid w:val="00673D80"/>
    <w:rsid w:val="0068160B"/>
    <w:rsid w:val="00687021"/>
    <w:rsid w:val="006915E2"/>
    <w:rsid w:val="006919AB"/>
    <w:rsid w:val="0069366D"/>
    <w:rsid w:val="00693FB0"/>
    <w:rsid w:val="00695A8B"/>
    <w:rsid w:val="00695EA2"/>
    <w:rsid w:val="00697C43"/>
    <w:rsid w:val="00697F48"/>
    <w:rsid w:val="006A07A6"/>
    <w:rsid w:val="006A20A1"/>
    <w:rsid w:val="006A3C08"/>
    <w:rsid w:val="006A417C"/>
    <w:rsid w:val="006A50A9"/>
    <w:rsid w:val="006A642D"/>
    <w:rsid w:val="006A6ED3"/>
    <w:rsid w:val="006A6F84"/>
    <w:rsid w:val="006A749C"/>
    <w:rsid w:val="006B1670"/>
    <w:rsid w:val="006B30DE"/>
    <w:rsid w:val="006B3772"/>
    <w:rsid w:val="006B38D6"/>
    <w:rsid w:val="006B3E56"/>
    <w:rsid w:val="006B7B43"/>
    <w:rsid w:val="006C0FE5"/>
    <w:rsid w:val="006C120B"/>
    <w:rsid w:val="006C7E51"/>
    <w:rsid w:val="006D077B"/>
    <w:rsid w:val="006D2212"/>
    <w:rsid w:val="006D258C"/>
    <w:rsid w:val="006D36F5"/>
    <w:rsid w:val="006D38D2"/>
    <w:rsid w:val="006D46D6"/>
    <w:rsid w:val="006D4BCA"/>
    <w:rsid w:val="006D5003"/>
    <w:rsid w:val="006D5420"/>
    <w:rsid w:val="006E0413"/>
    <w:rsid w:val="006E2791"/>
    <w:rsid w:val="006E43DE"/>
    <w:rsid w:val="006E5D24"/>
    <w:rsid w:val="006F47D9"/>
    <w:rsid w:val="006F6C87"/>
    <w:rsid w:val="006F7B99"/>
    <w:rsid w:val="00700652"/>
    <w:rsid w:val="0070485F"/>
    <w:rsid w:val="00704FFE"/>
    <w:rsid w:val="00712114"/>
    <w:rsid w:val="00714068"/>
    <w:rsid w:val="0071583C"/>
    <w:rsid w:val="0071739C"/>
    <w:rsid w:val="00723465"/>
    <w:rsid w:val="007251D8"/>
    <w:rsid w:val="00727540"/>
    <w:rsid w:val="007314B5"/>
    <w:rsid w:val="007328D3"/>
    <w:rsid w:val="0073452A"/>
    <w:rsid w:val="00737470"/>
    <w:rsid w:val="00737824"/>
    <w:rsid w:val="00737F7A"/>
    <w:rsid w:val="00741A77"/>
    <w:rsid w:val="00742842"/>
    <w:rsid w:val="00742C87"/>
    <w:rsid w:val="00743C7A"/>
    <w:rsid w:val="007466FE"/>
    <w:rsid w:val="007478DD"/>
    <w:rsid w:val="007504F7"/>
    <w:rsid w:val="00750F20"/>
    <w:rsid w:val="00757A24"/>
    <w:rsid w:val="00760C51"/>
    <w:rsid w:val="00760CA3"/>
    <w:rsid w:val="00763F72"/>
    <w:rsid w:val="007643A5"/>
    <w:rsid w:val="00765F0B"/>
    <w:rsid w:val="00767345"/>
    <w:rsid w:val="00770245"/>
    <w:rsid w:val="007714FF"/>
    <w:rsid w:val="0077298B"/>
    <w:rsid w:val="00776833"/>
    <w:rsid w:val="00784041"/>
    <w:rsid w:val="0078464F"/>
    <w:rsid w:val="00786CC5"/>
    <w:rsid w:val="00790DFE"/>
    <w:rsid w:val="00791817"/>
    <w:rsid w:val="00792471"/>
    <w:rsid w:val="00793904"/>
    <w:rsid w:val="00794FCA"/>
    <w:rsid w:val="007A0D3C"/>
    <w:rsid w:val="007A0DA6"/>
    <w:rsid w:val="007A2C4E"/>
    <w:rsid w:val="007A40CE"/>
    <w:rsid w:val="007A5801"/>
    <w:rsid w:val="007A70F1"/>
    <w:rsid w:val="007B011B"/>
    <w:rsid w:val="007B04BD"/>
    <w:rsid w:val="007B05A1"/>
    <w:rsid w:val="007B0A15"/>
    <w:rsid w:val="007B3498"/>
    <w:rsid w:val="007B5455"/>
    <w:rsid w:val="007B54F1"/>
    <w:rsid w:val="007B7C4B"/>
    <w:rsid w:val="007C1962"/>
    <w:rsid w:val="007D1AD7"/>
    <w:rsid w:val="007D5B8F"/>
    <w:rsid w:val="007D5C88"/>
    <w:rsid w:val="007D7A27"/>
    <w:rsid w:val="007E0308"/>
    <w:rsid w:val="007E37F9"/>
    <w:rsid w:val="007E5747"/>
    <w:rsid w:val="007E6382"/>
    <w:rsid w:val="007E7C9D"/>
    <w:rsid w:val="007F12AE"/>
    <w:rsid w:val="007F23C3"/>
    <w:rsid w:val="007F42B1"/>
    <w:rsid w:val="007F4473"/>
    <w:rsid w:val="007F4937"/>
    <w:rsid w:val="007F5EDB"/>
    <w:rsid w:val="008005CE"/>
    <w:rsid w:val="008008C1"/>
    <w:rsid w:val="00802C95"/>
    <w:rsid w:val="008042C5"/>
    <w:rsid w:val="00805160"/>
    <w:rsid w:val="00805A50"/>
    <w:rsid w:val="00806A5C"/>
    <w:rsid w:val="00807264"/>
    <w:rsid w:val="00807B22"/>
    <w:rsid w:val="00812870"/>
    <w:rsid w:val="008141C4"/>
    <w:rsid w:val="008171FB"/>
    <w:rsid w:val="00820BA6"/>
    <w:rsid w:val="0082495E"/>
    <w:rsid w:val="00827DFA"/>
    <w:rsid w:val="008302C6"/>
    <w:rsid w:val="008323B2"/>
    <w:rsid w:val="00833282"/>
    <w:rsid w:val="00840A19"/>
    <w:rsid w:val="008422E2"/>
    <w:rsid w:val="00845110"/>
    <w:rsid w:val="008454FC"/>
    <w:rsid w:val="0084691A"/>
    <w:rsid w:val="00855BE9"/>
    <w:rsid w:val="008569EB"/>
    <w:rsid w:val="00856F7C"/>
    <w:rsid w:val="008576AD"/>
    <w:rsid w:val="00862F91"/>
    <w:rsid w:val="00864A15"/>
    <w:rsid w:val="008668A7"/>
    <w:rsid w:val="00870CE6"/>
    <w:rsid w:val="00872841"/>
    <w:rsid w:val="00875805"/>
    <w:rsid w:val="008765B6"/>
    <w:rsid w:val="00880333"/>
    <w:rsid w:val="008833A8"/>
    <w:rsid w:val="008857DB"/>
    <w:rsid w:val="00886297"/>
    <w:rsid w:val="00891623"/>
    <w:rsid w:val="008940E3"/>
    <w:rsid w:val="008A2D7B"/>
    <w:rsid w:val="008A5901"/>
    <w:rsid w:val="008A610C"/>
    <w:rsid w:val="008B0C66"/>
    <w:rsid w:val="008B1CF2"/>
    <w:rsid w:val="008B229B"/>
    <w:rsid w:val="008B2D4A"/>
    <w:rsid w:val="008B7CF5"/>
    <w:rsid w:val="008C016F"/>
    <w:rsid w:val="008C04FE"/>
    <w:rsid w:val="008C0D55"/>
    <w:rsid w:val="008C0E13"/>
    <w:rsid w:val="008C2DBE"/>
    <w:rsid w:val="008C4D2C"/>
    <w:rsid w:val="008C5E3C"/>
    <w:rsid w:val="008D0485"/>
    <w:rsid w:val="008D1AC7"/>
    <w:rsid w:val="008D22B4"/>
    <w:rsid w:val="008E21FF"/>
    <w:rsid w:val="008E24F3"/>
    <w:rsid w:val="008E74E6"/>
    <w:rsid w:val="008F209C"/>
    <w:rsid w:val="008F2166"/>
    <w:rsid w:val="008F323F"/>
    <w:rsid w:val="008F4F61"/>
    <w:rsid w:val="008F5EC7"/>
    <w:rsid w:val="008F67EE"/>
    <w:rsid w:val="009002E4"/>
    <w:rsid w:val="009015C3"/>
    <w:rsid w:val="00902FEF"/>
    <w:rsid w:val="0090333B"/>
    <w:rsid w:val="0090363A"/>
    <w:rsid w:val="0090543F"/>
    <w:rsid w:val="00906220"/>
    <w:rsid w:val="00916010"/>
    <w:rsid w:val="00916BD3"/>
    <w:rsid w:val="0092041D"/>
    <w:rsid w:val="00921772"/>
    <w:rsid w:val="009221E2"/>
    <w:rsid w:val="009238AC"/>
    <w:rsid w:val="00925B37"/>
    <w:rsid w:val="00925FB7"/>
    <w:rsid w:val="0092738C"/>
    <w:rsid w:val="00930168"/>
    <w:rsid w:val="009321E5"/>
    <w:rsid w:val="00932527"/>
    <w:rsid w:val="009328FC"/>
    <w:rsid w:val="00937AA1"/>
    <w:rsid w:val="009421E1"/>
    <w:rsid w:val="00943E09"/>
    <w:rsid w:val="00944272"/>
    <w:rsid w:val="0094557D"/>
    <w:rsid w:val="00947605"/>
    <w:rsid w:val="00952ED1"/>
    <w:rsid w:val="00952FA3"/>
    <w:rsid w:val="009542CF"/>
    <w:rsid w:val="009556C2"/>
    <w:rsid w:val="00961021"/>
    <w:rsid w:val="0096391F"/>
    <w:rsid w:val="00965A32"/>
    <w:rsid w:val="00970FA8"/>
    <w:rsid w:val="00972689"/>
    <w:rsid w:val="00973426"/>
    <w:rsid w:val="009735BA"/>
    <w:rsid w:val="0097482E"/>
    <w:rsid w:val="00976674"/>
    <w:rsid w:val="00977650"/>
    <w:rsid w:val="0097797C"/>
    <w:rsid w:val="00977D04"/>
    <w:rsid w:val="00980415"/>
    <w:rsid w:val="0098153F"/>
    <w:rsid w:val="0098225E"/>
    <w:rsid w:val="009831BA"/>
    <w:rsid w:val="0098379F"/>
    <w:rsid w:val="00983DFB"/>
    <w:rsid w:val="00984450"/>
    <w:rsid w:val="00986D43"/>
    <w:rsid w:val="009877E2"/>
    <w:rsid w:val="0099057E"/>
    <w:rsid w:val="00990BB2"/>
    <w:rsid w:val="009910AE"/>
    <w:rsid w:val="0099342F"/>
    <w:rsid w:val="009935C5"/>
    <w:rsid w:val="009A1C81"/>
    <w:rsid w:val="009A31BF"/>
    <w:rsid w:val="009A3369"/>
    <w:rsid w:val="009A3C5A"/>
    <w:rsid w:val="009A3D01"/>
    <w:rsid w:val="009B00DD"/>
    <w:rsid w:val="009B1CD2"/>
    <w:rsid w:val="009B41D9"/>
    <w:rsid w:val="009B476F"/>
    <w:rsid w:val="009B5BC0"/>
    <w:rsid w:val="009C0A93"/>
    <w:rsid w:val="009C16CF"/>
    <w:rsid w:val="009C2D4F"/>
    <w:rsid w:val="009C449A"/>
    <w:rsid w:val="009C4556"/>
    <w:rsid w:val="009C481F"/>
    <w:rsid w:val="009C75A8"/>
    <w:rsid w:val="009D1475"/>
    <w:rsid w:val="009D2EC9"/>
    <w:rsid w:val="009D319D"/>
    <w:rsid w:val="009D3A00"/>
    <w:rsid w:val="009E0210"/>
    <w:rsid w:val="009E3017"/>
    <w:rsid w:val="009F00B0"/>
    <w:rsid w:val="009F2A78"/>
    <w:rsid w:val="009F3AB5"/>
    <w:rsid w:val="009F44AA"/>
    <w:rsid w:val="009F4A79"/>
    <w:rsid w:val="009F6A71"/>
    <w:rsid w:val="009F6E07"/>
    <w:rsid w:val="009F7BDA"/>
    <w:rsid w:val="00A0063A"/>
    <w:rsid w:val="00A01C71"/>
    <w:rsid w:val="00A036AC"/>
    <w:rsid w:val="00A0393E"/>
    <w:rsid w:val="00A03A50"/>
    <w:rsid w:val="00A03C3E"/>
    <w:rsid w:val="00A068E4"/>
    <w:rsid w:val="00A07268"/>
    <w:rsid w:val="00A106AB"/>
    <w:rsid w:val="00A113B5"/>
    <w:rsid w:val="00A134EB"/>
    <w:rsid w:val="00A15A5F"/>
    <w:rsid w:val="00A160A6"/>
    <w:rsid w:val="00A201D2"/>
    <w:rsid w:val="00A21DC0"/>
    <w:rsid w:val="00A26E77"/>
    <w:rsid w:val="00A26FA9"/>
    <w:rsid w:val="00A31D84"/>
    <w:rsid w:val="00A34934"/>
    <w:rsid w:val="00A35A63"/>
    <w:rsid w:val="00A37534"/>
    <w:rsid w:val="00A461E3"/>
    <w:rsid w:val="00A507E4"/>
    <w:rsid w:val="00A5154B"/>
    <w:rsid w:val="00A535AE"/>
    <w:rsid w:val="00A53E39"/>
    <w:rsid w:val="00A54EBB"/>
    <w:rsid w:val="00A5559B"/>
    <w:rsid w:val="00A56A24"/>
    <w:rsid w:val="00A601D6"/>
    <w:rsid w:val="00A609F2"/>
    <w:rsid w:val="00A61374"/>
    <w:rsid w:val="00A61470"/>
    <w:rsid w:val="00A63EDE"/>
    <w:rsid w:val="00A669BE"/>
    <w:rsid w:val="00A66CF7"/>
    <w:rsid w:val="00A66D05"/>
    <w:rsid w:val="00A67933"/>
    <w:rsid w:val="00A74C4D"/>
    <w:rsid w:val="00A74EDA"/>
    <w:rsid w:val="00A77863"/>
    <w:rsid w:val="00A812DF"/>
    <w:rsid w:val="00A87B4E"/>
    <w:rsid w:val="00A87C84"/>
    <w:rsid w:val="00A93E8E"/>
    <w:rsid w:val="00A951A2"/>
    <w:rsid w:val="00AA0DBC"/>
    <w:rsid w:val="00AA2057"/>
    <w:rsid w:val="00AA721B"/>
    <w:rsid w:val="00AB095D"/>
    <w:rsid w:val="00AB440B"/>
    <w:rsid w:val="00AB58F2"/>
    <w:rsid w:val="00AB5C04"/>
    <w:rsid w:val="00AB5C8F"/>
    <w:rsid w:val="00AB7D1D"/>
    <w:rsid w:val="00AC24C5"/>
    <w:rsid w:val="00AC574E"/>
    <w:rsid w:val="00AC60B9"/>
    <w:rsid w:val="00AC6670"/>
    <w:rsid w:val="00AD2131"/>
    <w:rsid w:val="00AD45EA"/>
    <w:rsid w:val="00AD7797"/>
    <w:rsid w:val="00AE14FC"/>
    <w:rsid w:val="00AE2D3B"/>
    <w:rsid w:val="00AE55F9"/>
    <w:rsid w:val="00AE6BCD"/>
    <w:rsid w:val="00AF1B33"/>
    <w:rsid w:val="00AF2F58"/>
    <w:rsid w:val="00AF36CB"/>
    <w:rsid w:val="00AF3CF2"/>
    <w:rsid w:val="00AF4566"/>
    <w:rsid w:val="00AF474A"/>
    <w:rsid w:val="00AF6D8D"/>
    <w:rsid w:val="00AF7658"/>
    <w:rsid w:val="00B0140C"/>
    <w:rsid w:val="00B043E9"/>
    <w:rsid w:val="00B0788B"/>
    <w:rsid w:val="00B107AC"/>
    <w:rsid w:val="00B128A6"/>
    <w:rsid w:val="00B1348A"/>
    <w:rsid w:val="00B21A17"/>
    <w:rsid w:val="00B2203F"/>
    <w:rsid w:val="00B224C0"/>
    <w:rsid w:val="00B23DEA"/>
    <w:rsid w:val="00B26533"/>
    <w:rsid w:val="00B26826"/>
    <w:rsid w:val="00B30CE7"/>
    <w:rsid w:val="00B31116"/>
    <w:rsid w:val="00B31308"/>
    <w:rsid w:val="00B31B0C"/>
    <w:rsid w:val="00B31EE3"/>
    <w:rsid w:val="00B3209C"/>
    <w:rsid w:val="00B328B9"/>
    <w:rsid w:val="00B36AF8"/>
    <w:rsid w:val="00B37F9F"/>
    <w:rsid w:val="00B41BDA"/>
    <w:rsid w:val="00B4482B"/>
    <w:rsid w:val="00B464B5"/>
    <w:rsid w:val="00B46CA4"/>
    <w:rsid w:val="00B472AE"/>
    <w:rsid w:val="00B50230"/>
    <w:rsid w:val="00B515B3"/>
    <w:rsid w:val="00B5536C"/>
    <w:rsid w:val="00B60293"/>
    <w:rsid w:val="00B62B01"/>
    <w:rsid w:val="00B668FB"/>
    <w:rsid w:val="00B67849"/>
    <w:rsid w:val="00B71A39"/>
    <w:rsid w:val="00B76B30"/>
    <w:rsid w:val="00B7735C"/>
    <w:rsid w:val="00B77392"/>
    <w:rsid w:val="00B808DC"/>
    <w:rsid w:val="00B81DCF"/>
    <w:rsid w:val="00B82319"/>
    <w:rsid w:val="00B85851"/>
    <w:rsid w:val="00B872EA"/>
    <w:rsid w:val="00B932BD"/>
    <w:rsid w:val="00B96770"/>
    <w:rsid w:val="00B97CF7"/>
    <w:rsid w:val="00BA011E"/>
    <w:rsid w:val="00BA097C"/>
    <w:rsid w:val="00BA0BF3"/>
    <w:rsid w:val="00BA1001"/>
    <w:rsid w:val="00BA1763"/>
    <w:rsid w:val="00BA293D"/>
    <w:rsid w:val="00BA5077"/>
    <w:rsid w:val="00BA6EFD"/>
    <w:rsid w:val="00BA78F7"/>
    <w:rsid w:val="00BB0E7B"/>
    <w:rsid w:val="00BB12C2"/>
    <w:rsid w:val="00BB16BA"/>
    <w:rsid w:val="00BB6960"/>
    <w:rsid w:val="00BC2158"/>
    <w:rsid w:val="00BC2A56"/>
    <w:rsid w:val="00BC4568"/>
    <w:rsid w:val="00BC4CDF"/>
    <w:rsid w:val="00BC75E6"/>
    <w:rsid w:val="00BD0493"/>
    <w:rsid w:val="00BD0539"/>
    <w:rsid w:val="00BD12DC"/>
    <w:rsid w:val="00BD1E94"/>
    <w:rsid w:val="00BD32FD"/>
    <w:rsid w:val="00BD4D4A"/>
    <w:rsid w:val="00BE3437"/>
    <w:rsid w:val="00BE7066"/>
    <w:rsid w:val="00BF036C"/>
    <w:rsid w:val="00BF1181"/>
    <w:rsid w:val="00BF32B9"/>
    <w:rsid w:val="00C10296"/>
    <w:rsid w:val="00C122F3"/>
    <w:rsid w:val="00C1311B"/>
    <w:rsid w:val="00C13594"/>
    <w:rsid w:val="00C135D5"/>
    <w:rsid w:val="00C1421A"/>
    <w:rsid w:val="00C142D8"/>
    <w:rsid w:val="00C17205"/>
    <w:rsid w:val="00C176B4"/>
    <w:rsid w:val="00C200AC"/>
    <w:rsid w:val="00C22C59"/>
    <w:rsid w:val="00C23E8A"/>
    <w:rsid w:val="00C24A3A"/>
    <w:rsid w:val="00C24E0A"/>
    <w:rsid w:val="00C24E61"/>
    <w:rsid w:val="00C30C40"/>
    <w:rsid w:val="00C32450"/>
    <w:rsid w:val="00C351ED"/>
    <w:rsid w:val="00C3782D"/>
    <w:rsid w:val="00C37D30"/>
    <w:rsid w:val="00C413D7"/>
    <w:rsid w:val="00C445FC"/>
    <w:rsid w:val="00C46EF6"/>
    <w:rsid w:val="00C510F2"/>
    <w:rsid w:val="00C52A14"/>
    <w:rsid w:val="00C52B6B"/>
    <w:rsid w:val="00C5484B"/>
    <w:rsid w:val="00C54C9F"/>
    <w:rsid w:val="00C57055"/>
    <w:rsid w:val="00C60565"/>
    <w:rsid w:val="00C61633"/>
    <w:rsid w:val="00C622A5"/>
    <w:rsid w:val="00C62FC6"/>
    <w:rsid w:val="00C65056"/>
    <w:rsid w:val="00C67025"/>
    <w:rsid w:val="00C71E62"/>
    <w:rsid w:val="00C72BCD"/>
    <w:rsid w:val="00C72EC5"/>
    <w:rsid w:val="00C733E5"/>
    <w:rsid w:val="00C761CE"/>
    <w:rsid w:val="00C765A9"/>
    <w:rsid w:val="00C7759D"/>
    <w:rsid w:val="00C77A77"/>
    <w:rsid w:val="00C827CD"/>
    <w:rsid w:val="00C8485D"/>
    <w:rsid w:val="00C857DE"/>
    <w:rsid w:val="00C91892"/>
    <w:rsid w:val="00CA02BB"/>
    <w:rsid w:val="00CA2FAE"/>
    <w:rsid w:val="00CA35E3"/>
    <w:rsid w:val="00CA4984"/>
    <w:rsid w:val="00CA629D"/>
    <w:rsid w:val="00CA7EEE"/>
    <w:rsid w:val="00CB0175"/>
    <w:rsid w:val="00CB1C6A"/>
    <w:rsid w:val="00CB2FD4"/>
    <w:rsid w:val="00CB6F34"/>
    <w:rsid w:val="00CB7846"/>
    <w:rsid w:val="00CC02A2"/>
    <w:rsid w:val="00CC4C4B"/>
    <w:rsid w:val="00CC5033"/>
    <w:rsid w:val="00CC601F"/>
    <w:rsid w:val="00CC7D02"/>
    <w:rsid w:val="00CD268A"/>
    <w:rsid w:val="00CE1C74"/>
    <w:rsid w:val="00CE34DB"/>
    <w:rsid w:val="00CE5699"/>
    <w:rsid w:val="00CE5AE7"/>
    <w:rsid w:val="00CE750C"/>
    <w:rsid w:val="00CE7CE8"/>
    <w:rsid w:val="00CF5055"/>
    <w:rsid w:val="00CF7820"/>
    <w:rsid w:val="00D0194F"/>
    <w:rsid w:val="00D05FB3"/>
    <w:rsid w:val="00D072F1"/>
    <w:rsid w:val="00D077A9"/>
    <w:rsid w:val="00D10316"/>
    <w:rsid w:val="00D14961"/>
    <w:rsid w:val="00D15892"/>
    <w:rsid w:val="00D17345"/>
    <w:rsid w:val="00D1787F"/>
    <w:rsid w:val="00D17999"/>
    <w:rsid w:val="00D2189E"/>
    <w:rsid w:val="00D24861"/>
    <w:rsid w:val="00D35E0C"/>
    <w:rsid w:val="00D3655B"/>
    <w:rsid w:val="00D43942"/>
    <w:rsid w:val="00D43C69"/>
    <w:rsid w:val="00D44C6C"/>
    <w:rsid w:val="00D531F3"/>
    <w:rsid w:val="00D55978"/>
    <w:rsid w:val="00D56F87"/>
    <w:rsid w:val="00D615B4"/>
    <w:rsid w:val="00D61DD7"/>
    <w:rsid w:val="00D62D8C"/>
    <w:rsid w:val="00D64ECC"/>
    <w:rsid w:val="00D65DBE"/>
    <w:rsid w:val="00D66929"/>
    <w:rsid w:val="00D721AD"/>
    <w:rsid w:val="00D73A2C"/>
    <w:rsid w:val="00D7410D"/>
    <w:rsid w:val="00D747DC"/>
    <w:rsid w:val="00D7569F"/>
    <w:rsid w:val="00D75AD5"/>
    <w:rsid w:val="00D76CB0"/>
    <w:rsid w:val="00D83186"/>
    <w:rsid w:val="00D8500C"/>
    <w:rsid w:val="00D865BD"/>
    <w:rsid w:val="00D87FE8"/>
    <w:rsid w:val="00D90DDF"/>
    <w:rsid w:val="00D9282C"/>
    <w:rsid w:val="00D92C1F"/>
    <w:rsid w:val="00D954CF"/>
    <w:rsid w:val="00D95C57"/>
    <w:rsid w:val="00D970BC"/>
    <w:rsid w:val="00D976E6"/>
    <w:rsid w:val="00DA2476"/>
    <w:rsid w:val="00DA4AE0"/>
    <w:rsid w:val="00DA6917"/>
    <w:rsid w:val="00DA6E5D"/>
    <w:rsid w:val="00DA7A40"/>
    <w:rsid w:val="00DA7D04"/>
    <w:rsid w:val="00DA7D55"/>
    <w:rsid w:val="00DB393C"/>
    <w:rsid w:val="00DC0627"/>
    <w:rsid w:val="00DC44A8"/>
    <w:rsid w:val="00DC6867"/>
    <w:rsid w:val="00DC7576"/>
    <w:rsid w:val="00DC7CBC"/>
    <w:rsid w:val="00DD03A4"/>
    <w:rsid w:val="00DD3E47"/>
    <w:rsid w:val="00DD4F80"/>
    <w:rsid w:val="00DD513B"/>
    <w:rsid w:val="00DE1573"/>
    <w:rsid w:val="00DE1752"/>
    <w:rsid w:val="00DE37E4"/>
    <w:rsid w:val="00DE45C0"/>
    <w:rsid w:val="00DE4D9D"/>
    <w:rsid w:val="00DE5AD0"/>
    <w:rsid w:val="00DE7F94"/>
    <w:rsid w:val="00DF0800"/>
    <w:rsid w:val="00DF1BDD"/>
    <w:rsid w:val="00DF2942"/>
    <w:rsid w:val="00DF441E"/>
    <w:rsid w:val="00DF4F3B"/>
    <w:rsid w:val="00DF5AEA"/>
    <w:rsid w:val="00DF72BA"/>
    <w:rsid w:val="00E00144"/>
    <w:rsid w:val="00E00E37"/>
    <w:rsid w:val="00E00FD6"/>
    <w:rsid w:val="00E01AFB"/>
    <w:rsid w:val="00E0251A"/>
    <w:rsid w:val="00E04F1E"/>
    <w:rsid w:val="00E05043"/>
    <w:rsid w:val="00E0539D"/>
    <w:rsid w:val="00E06FED"/>
    <w:rsid w:val="00E079BE"/>
    <w:rsid w:val="00E07A94"/>
    <w:rsid w:val="00E1052A"/>
    <w:rsid w:val="00E10565"/>
    <w:rsid w:val="00E13CAB"/>
    <w:rsid w:val="00E15A6B"/>
    <w:rsid w:val="00E22CAC"/>
    <w:rsid w:val="00E233F0"/>
    <w:rsid w:val="00E23DE5"/>
    <w:rsid w:val="00E23F04"/>
    <w:rsid w:val="00E26BDA"/>
    <w:rsid w:val="00E27103"/>
    <w:rsid w:val="00E27EEF"/>
    <w:rsid w:val="00E30392"/>
    <w:rsid w:val="00E31D0C"/>
    <w:rsid w:val="00E32E37"/>
    <w:rsid w:val="00E3511D"/>
    <w:rsid w:val="00E35F90"/>
    <w:rsid w:val="00E44FC5"/>
    <w:rsid w:val="00E45CC6"/>
    <w:rsid w:val="00E46ACA"/>
    <w:rsid w:val="00E46B72"/>
    <w:rsid w:val="00E47963"/>
    <w:rsid w:val="00E5020D"/>
    <w:rsid w:val="00E512C6"/>
    <w:rsid w:val="00E5134D"/>
    <w:rsid w:val="00E5200E"/>
    <w:rsid w:val="00E52593"/>
    <w:rsid w:val="00E529C6"/>
    <w:rsid w:val="00E5507F"/>
    <w:rsid w:val="00E577BB"/>
    <w:rsid w:val="00E661AC"/>
    <w:rsid w:val="00E677A6"/>
    <w:rsid w:val="00E7012B"/>
    <w:rsid w:val="00E702CA"/>
    <w:rsid w:val="00E71F41"/>
    <w:rsid w:val="00E722D3"/>
    <w:rsid w:val="00E72F6D"/>
    <w:rsid w:val="00E7439B"/>
    <w:rsid w:val="00E77A64"/>
    <w:rsid w:val="00E80978"/>
    <w:rsid w:val="00E817CC"/>
    <w:rsid w:val="00E851CB"/>
    <w:rsid w:val="00E85AEB"/>
    <w:rsid w:val="00E85EB4"/>
    <w:rsid w:val="00E869EE"/>
    <w:rsid w:val="00E93916"/>
    <w:rsid w:val="00E94BCC"/>
    <w:rsid w:val="00E95352"/>
    <w:rsid w:val="00E96A40"/>
    <w:rsid w:val="00E96BA1"/>
    <w:rsid w:val="00E978C4"/>
    <w:rsid w:val="00EA0CCB"/>
    <w:rsid w:val="00EA2575"/>
    <w:rsid w:val="00EA269B"/>
    <w:rsid w:val="00EA56D9"/>
    <w:rsid w:val="00EA75F5"/>
    <w:rsid w:val="00EB3435"/>
    <w:rsid w:val="00EB371B"/>
    <w:rsid w:val="00EB5BE7"/>
    <w:rsid w:val="00EB6FA4"/>
    <w:rsid w:val="00EB7010"/>
    <w:rsid w:val="00EC0CB5"/>
    <w:rsid w:val="00EC3ABF"/>
    <w:rsid w:val="00EC3CBE"/>
    <w:rsid w:val="00EC52D0"/>
    <w:rsid w:val="00EC58D6"/>
    <w:rsid w:val="00ED49E8"/>
    <w:rsid w:val="00ED5767"/>
    <w:rsid w:val="00EE0899"/>
    <w:rsid w:val="00EE26F4"/>
    <w:rsid w:val="00EE37FE"/>
    <w:rsid w:val="00EE3CD0"/>
    <w:rsid w:val="00EE3FFA"/>
    <w:rsid w:val="00EE41EC"/>
    <w:rsid w:val="00EE66A0"/>
    <w:rsid w:val="00EE75F7"/>
    <w:rsid w:val="00EF0821"/>
    <w:rsid w:val="00EF2329"/>
    <w:rsid w:val="00EF6EA2"/>
    <w:rsid w:val="00F016F1"/>
    <w:rsid w:val="00F01D95"/>
    <w:rsid w:val="00F056D1"/>
    <w:rsid w:val="00F06173"/>
    <w:rsid w:val="00F075BE"/>
    <w:rsid w:val="00F11B14"/>
    <w:rsid w:val="00F12AF3"/>
    <w:rsid w:val="00F13281"/>
    <w:rsid w:val="00F13BAE"/>
    <w:rsid w:val="00F22A7A"/>
    <w:rsid w:val="00F2377C"/>
    <w:rsid w:val="00F23E79"/>
    <w:rsid w:val="00F2560A"/>
    <w:rsid w:val="00F2702D"/>
    <w:rsid w:val="00F274A9"/>
    <w:rsid w:val="00F30A3A"/>
    <w:rsid w:val="00F334CA"/>
    <w:rsid w:val="00F34A83"/>
    <w:rsid w:val="00F3586D"/>
    <w:rsid w:val="00F362CD"/>
    <w:rsid w:val="00F37299"/>
    <w:rsid w:val="00F4112E"/>
    <w:rsid w:val="00F411A8"/>
    <w:rsid w:val="00F41398"/>
    <w:rsid w:val="00F430D9"/>
    <w:rsid w:val="00F44D19"/>
    <w:rsid w:val="00F46201"/>
    <w:rsid w:val="00F470B7"/>
    <w:rsid w:val="00F4797F"/>
    <w:rsid w:val="00F529BA"/>
    <w:rsid w:val="00F55794"/>
    <w:rsid w:val="00F56EA9"/>
    <w:rsid w:val="00F60016"/>
    <w:rsid w:val="00F60224"/>
    <w:rsid w:val="00F63555"/>
    <w:rsid w:val="00F71353"/>
    <w:rsid w:val="00F74EDD"/>
    <w:rsid w:val="00F770B3"/>
    <w:rsid w:val="00F80D27"/>
    <w:rsid w:val="00F811C7"/>
    <w:rsid w:val="00F81851"/>
    <w:rsid w:val="00F826B8"/>
    <w:rsid w:val="00F83E96"/>
    <w:rsid w:val="00F84C29"/>
    <w:rsid w:val="00F86B20"/>
    <w:rsid w:val="00F9060C"/>
    <w:rsid w:val="00F90877"/>
    <w:rsid w:val="00F935E6"/>
    <w:rsid w:val="00F93C3D"/>
    <w:rsid w:val="00F95375"/>
    <w:rsid w:val="00F95FE8"/>
    <w:rsid w:val="00F9627C"/>
    <w:rsid w:val="00FA0AFE"/>
    <w:rsid w:val="00FA0E5E"/>
    <w:rsid w:val="00FA1CC7"/>
    <w:rsid w:val="00FA2C06"/>
    <w:rsid w:val="00FA62A1"/>
    <w:rsid w:val="00FA66F3"/>
    <w:rsid w:val="00FA6B79"/>
    <w:rsid w:val="00FB03BF"/>
    <w:rsid w:val="00FB5F28"/>
    <w:rsid w:val="00FB60A4"/>
    <w:rsid w:val="00FB724C"/>
    <w:rsid w:val="00FB778F"/>
    <w:rsid w:val="00FC309B"/>
    <w:rsid w:val="00FC3A9E"/>
    <w:rsid w:val="00FC789C"/>
    <w:rsid w:val="00FC7A7C"/>
    <w:rsid w:val="00FD24F6"/>
    <w:rsid w:val="00FD3642"/>
    <w:rsid w:val="00FD372A"/>
    <w:rsid w:val="00FD3C56"/>
    <w:rsid w:val="00FD4113"/>
    <w:rsid w:val="00FD4A07"/>
    <w:rsid w:val="00FD659B"/>
    <w:rsid w:val="00FD6EC5"/>
    <w:rsid w:val="00FE05F4"/>
    <w:rsid w:val="00FE26A8"/>
    <w:rsid w:val="00FE355B"/>
    <w:rsid w:val="00FE6224"/>
    <w:rsid w:val="00FE6723"/>
    <w:rsid w:val="00FE6737"/>
    <w:rsid w:val="00FF13AE"/>
    <w:rsid w:val="00FF1A86"/>
    <w:rsid w:val="00FF3444"/>
    <w:rsid w:val="00FF37CC"/>
    <w:rsid w:val="00FF56E6"/>
    <w:rsid w:val="00FF77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141C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8141C4"/>
    <w:pPr>
      <w:ind w:left="720"/>
      <w:contextualSpacing/>
    </w:p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style>
  <w:style w:type="paragraph" w:styleId="Quote">
    <w:name w:val="Quote"/>
    <w:basedOn w:val="Normal"/>
    <w:next w:val="Normal"/>
    <w:link w:val="QuoteChar"/>
    <w:uiPriority w:val="29"/>
    <w:qFormat/>
    <w:rsid w:val="008141C4"/>
    <w:pPr>
      <w:spacing w:before="20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 w:type="paragraph" w:customStyle="1" w:styleId="definition">
    <w:name w:val="definition"/>
    <w:basedOn w:val="Normal"/>
    <w:rsid w:val="00D976E6"/>
    <w:pPr>
      <w:spacing w:before="100" w:beforeAutospacing="1" w:after="100" w:afterAutospacing="1"/>
    </w:pPr>
    <w:rPr>
      <w:rFonts w:eastAsia="Times New Roman"/>
      <w:lang w:val="en-AU" w:eastAsia="en-AU" w:bidi="ar-SA"/>
    </w:rPr>
  </w:style>
  <w:style w:type="paragraph" w:customStyle="1" w:styleId="paragraph">
    <w:name w:val="paragraph"/>
    <w:aliases w:val="a"/>
    <w:basedOn w:val="Normal"/>
    <w:link w:val="paragraphChar"/>
    <w:rsid w:val="00D976E6"/>
    <w:pPr>
      <w:spacing w:before="100" w:beforeAutospacing="1" w:after="100" w:afterAutospacing="1"/>
    </w:pPr>
    <w:rPr>
      <w:rFonts w:eastAsia="Times New Roman"/>
      <w:lang w:val="en-AU" w:eastAsia="en-AU" w:bidi="ar-SA"/>
    </w:rPr>
  </w:style>
  <w:style w:type="character" w:customStyle="1" w:styleId="paragraphChar">
    <w:name w:val="paragraph Char"/>
    <w:aliases w:val="a Char"/>
    <w:link w:val="paragraph"/>
    <w:rsid w:val="00EC3ABF"/>
    <w:rPr>
      <w:rFonts w:ascii="Times New Roman" w:eastAsia="Times New Roman" w:hAnsi="Times New Roman" w:cs="Times New Roman"/>
      <w:sz w:val="24"/>
      <w:szCs w:val="24"/>
      <w:lang w:val="en-AU" w:eastAsia="en-AU" w:bidi="ar-SA"/>
    </w:rPr>
  </w:style>
  <w:style w:type="paragraph" w:customStyle="1" w:styleId="paranumbering0">
    <w:name w:val="paranumbering"/>
    <w:basedOn w:val="Normal"/>
    <w:uiPriority w:val="99"/>
    <w:rsid w:val="00661056"/>
    <w:pPr>
      <w:spacing w:before="100" w:beforeAutospacing="1" w:after="100" w:afterAutospacing="1"/>
    </w:pPr>
    <w:rPr>
      <w:rFonts w:eastAsiaTheme="minorHAnsi"/>
      <w:lang w:val="en-AU" w:eastAsia="en-AU" w:bidi="ar-SA"/>
    </w:rPr>
  </w:style>
  <w:style w:type="paragraph" w:customStyle="1" w:styleId="Subitem">
    <w:name w:val="Subitem"/>
    <w:aliases w:val="iss"/>
    <w:basedOn w:val="Normal"/>
    <w:rsid w:val="008C4D2C"/>
    <w:pPr>
      <w:spacing w:before="180"/>
      <w:ind w:left="709" w:hanging="709"/>
    </w:pPr>
    <w:rPr>
      <w:rFonts w:eastAsia="Times New Roman"/>
      <w:sz w:val="22"/>
      <w:szCs w:val="20"/>
      <w:lang w:val="en-AU" w:eastAsia="en-AU" w:bidi="ar-SA"/>
    </w:rPr>
  </w:style>
  <w:style w:type="paragraph" w:customStyle="1" w:styleId="ActHead5">
    <w:name w:val="ActHead 5"/>
    <w:aliases w:val="s"/>
    <w:basedOn w:val="Normal"/>
    <w:next w:val="subsection"/>
    <w:qFormat/>
    <w:rsid w:val="00977D04"/>
    <w:pPr>
      <w:keepNext/>
      <w:keepLines/>
      <w:spacing w:before="280"/>
      <w:ind w:left="1134" w:hanging="1134"/>
      <w:outlineLvl w:val="4"/>
    </w:pPr>
    <w:rPr>
      <w:rFonts w:eastAsia="Times New Roman"/>
      <w:b/>
      <w:kern w:val="28"/>
      <w:szCs w:val="20"/>
      <w:lang w:val="en-AU" w:eastAsia="en-AU" w:bidi="ar-SA"/>
    </w:rPr>
  </w:style>
  <w:style w:type="character" w:customStyle="1" w:styleId="CharDivNo">
    <w:name w:val="CharDivNo"/>
    <w:basedOn w:val="DefaultParagraphFont"/>
    <w:qFormat/>
    <w:rsid w:val="00977D04"/>
  </w:style>
  <w:style w:type="character" w:customStyle="1" w:styleId="CharDivText">
    <w:name w:val="CharDivText"/>
    <w:basedOn w:val="DefaultParagraphFont"/>
    <w:qFormat/>
    <w:rsid w:val="00977D04"/>
  </w:style>
  <w:style w:type="character" w:customStyle="1" w:styleId="CharSectno">
    <w:name w:val="CharSectno"/>
    <w:basedOn w:val="DefaultParagraphFont"/>
    <w:qFormat/>
    <w:rsid w:val="00977D04"/>
  </w:style>
  <w:style w:type="paragraph" w:customStyle="1" w:styleId="subsection">
    <w:name w:val="subsection"/>
    <w:aliases w:val="ss"/>
    <w:basedOn w:val="Normal"/>
    <w:rsid w:val="00977D04"/>
    <w:pPr>
      <w:tabs>
        <w:tab w:val="right" w:pos="1021"/>
      </w:tabs>
      <w:spacing w:before="180"/>
      <w:ind w:left="1134" w:hanging="1134"/>
    </w:pPr>
    <w:rPr>
      <w:rFonts w:eastAsia="Times New Roman"/>
      <w:sz w:val="22"/>
      <w:szCs w:val="20"/>
      <w:lang w:val="en-AU" w:eastAsia="en-AU" w:bidi="ar-SA"/>
    </w:rPr>
  </w:style>
  <w:style w:type="paragraph" w:customStyle="1" w:styleId="notedraft">
    <w:name w:val="note(draft)"/>
    <w:aliases w:val="nd"/>
    <w:basedOn w:val="Normal"/>
    <w:rsid w:val="00977D04"/>
    <w:pPr>
      <w:spacing w:before="240"/>
      <w:ind w:left="284" w:hanging="284"/>
    </w:pPr>
    <w:rPr>
      <w:rFonts w:eastAsia="Times New Roman"/>
      <w:i/>
      <w:szCs w:val="20"/>
      <w:lang w:val="en-AU" w:eastAsia="en-AU" w:bidi="ar-SA"/>
    </w:rPr>
  </w:style>
  <w:style w:type="paragraph" w:customStyle="1" w:styleId="notetext">
    <w:name w:val="note(text)"/>
    <w:aliases w:val="n"/>
    <w:basedOn w:val="Normal"/>
    <w:rsid w:val="00977D04"/>
    <w:pPr>
      <w:spacing w:before="122"/>
      <w:ind w:left="1985" w:hanging="851"/>
    </w:pPr>
    <w:rPr>
      <w:rFonts w:eastAsia="Times New Roman"/>
      <w:sz w:val="18"/>
      <w:szCs w:val="20"/>
      <w:lang w:val="en-AU" w:eastAsia="en-AU" w:bidi="ar-SA"/>
    </w:rPr>
  </w:style>
  <w:style w:type="paragraph" w:customStyle="1" w:styleId="ActHead9">
    <w:name w:val="ActHead 9"/>
    <w:aliases w:val="aat"/>
    <w:basedOn w:val="Normal"/>
    <w:next w:val="Normal"/>
    <w:qFormat/>
    <w:rsid w:val="008C5E3C"/>
    <w:pPr>
      <w:keepNext/>
      <w:keepLines/>
      <w:spacing w:before="280"/>
      <w:ind w:left="1134" w:hanging="1134"/>
      <w:outlineLvl w:val="8"/>
    </w:pPr>
    <w:rPr>
      <w:rFonts w:eastAsia="Times New Roman"/>
      <w:b/>
      <w:i/>
      <w:kern w:val="28"/>
      <w:sz w:val="28"/>
      <w:szCs w:val="20"/>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2F"/>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8141C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41C4"/>
    <w:pPr>
      <w:ind w:left="720"/>
      <w:contextualSpacing/>
    </w:pPr>
  </w:style>
  <w:style w:type="character" w:customStyle="1" w:styleId="ListParagraphChar">
    <w:name w:val="List Paragraph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pPr>
      <w:spacing w:after="0"/>
    </w:pPr>
  </w:style>
  <w:style w:type="paragraph" w:styleId="Quote">
    <w:name w:val="Quote"/>
    <w:basedOn w:val="Normal"/>
    <w:next w:val="Normal"/>
    <w:link w:val="QuoteChar"/>
    <w:uiPriority w:val="29"/>
    <w:qFormat/>
    <w:rsid w:val="008141C4"/>
    <w:pPr>
      <w:spacing w:before="200" w:after="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spacing w:after="0"/>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spacing w:after="0"/>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cs="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s>
</file>

<file path=word/webSettings.xml><?xml version="1.0" encoding="utf-8"?>
<w:webSettings xmlns:r="http://schemas.openxmlformats.org/officeDocument/2006/relationships" xmlns:w="http://schemas.openxmlformats.org/wordprocessingml/2006/main">
  <w:divs>
    <w:div w:id="37554410">
      <w:bodyDiv w:val="1"/>
      <w:marLeft w:val="0"/>
      <w:marRight w:val="0"/>
      <w:marTop w:val="0"/>
      <w:marBottom w:val="0"/>
      <w:divBdr>
        <w:top w:val="none" w:sz="0" w:space="0" w:color="auto"/>
        <w:left w:val="none" w:sz="0" w:space="0" w:color="auto"/>
        <w:bottom w:val="none" w:sz="0" w:space="0" w:color="auto"/>
        <w:right w:val="none" w:sz="0" w:space="0" w:color="auto"/>
      </w:divBdr>
      <w:divsChild>
        <w:div w:id="285357597">
          <w:marLeft w:val="0"/>
          <w:marRight w:val="0"/>
          <w:marTop w:val="0"/>
          <w:marBottom w:val="0"/>
          <w:divBdr>
            <w:top w:val="none" w:sz="0" w:space="0" w:color="auto"/>
            <w:left w:val="none" w:sz="0" w:space="0" w:color="auto"/>
            <w:bottom w:val="none" w:sz="0" w:space="0" w:color="auto"/>
            <w:right w:val="none" w:sz="0" w:space="0" w:color="auto"/>
          </w:divBdr>
          <w:divsChild>
            <w:div w:id="1035928580">
              <w:marLeft w:val="0"/>
              <w:marRight w:val="0"/>
              <w:marTop w:val="0"/>
              <w:marBottom w:val="305"/>
              <w:divBdr>
                <w:top w:val="none" w:sz="0" w:space="0" w:color="auto"/>
                <w:left w:val="none" w:sz="0" w:space="0" w:color="auto"/>
                <w:bottom w:val="none" w:sz="0" w:space="0" w:color="auto"/>
                <w:right w:val="none" w:sz="0" w:space="0" w:color="auto"/>
              </w:divBdr>
              <w:divsChild>
                <w:div w:id="958146925">
                  <w:marLeft w:val="0"/>
                  <w:marRight w:val="0"/>
                  <w:marTop w:val="0"/>
                  <w:marBottom w:val="0"/>
                  <w:divBdr>
                    <w:top w:val="none" w:sz="0" w:space="0" w:color="auto"/>
                    <w:left w:val="none" w:sz="0" w:space="0" w:color="auto"/>
                    <w:bottom w:val="none" w:sz="0" w:space="0" w:color="auto"/>
                    <w:right w:val="none" w:sz="0" w:space="0" w:color="auto"/>
                  </w:divBdr>
                  <w:divsChild>
                    <w:div w:id="1746760763">
                      <w:marLeft w:val="0"/>
                      <w:marRight w:val="0"/>
                      <w:marTop w:val="0"/>
                      <w:marBottom w:val="0"/>
                      <w:divBdr>
                        <w:top w:val="none" w:sz="0" w:space="0" w:color="auto"/>
                        <w:left w:val="single" w:sz="4" w:space="0" w:color="F69C31"/>
                        <w:bottom w:val="none" w:sz="0" w:space="0" w:color="auto"/>
                        <w:right w:val="none" w:sz="0" w:space="0" w:color="auto"/>
                      </w:divBdr>
                      <w:divsChild>
                        <w:div w:id="1974748017">
                          <w:marLeft w:val="0"/>
                          <w:marRight w:val="0"/>
                          <w:marTop w:val="0"/>
                          <w:marBottom w:val="0"/>
                          <w:divBdr>
                            <w:top w:val="none" w:sz="0" w:space="0" w:color="auto"/>
                            <w:left w:val="none" w:sz="0" w:space="0" w:color="auto"/>
                            <w:bottom w:val="none" w:sz="0" w:space="0" w:color="auto"/>
                            <w:right w:val="none" w:sz="0" w:space="0" w:color="auto"/>
                          </w:divBdr>
                          <w:divsChild>
                            <w:div w:id="1759869326">
                              <w:marLeft w:val="0"/>
                              <w:marRight w:val="0"/>
                              <w:marTop w:val="0"/>
                              <w:marBottom w:val="0"/>
                              <w:divBdr>
                                <w:top w:val="none" w:sz="0" w:space="0" w:color="auto"/>
                                <w:left w:val="none" w:sz="0" w:space="0" w:color="auto"/>
                                <w:bottom w:val="none" w:sz="0" w:space="0" w:color="auto"/>
                                <w:right w:val="none" w:sz="0" w:space="0" w:color="auto"/>
                              </w:divBdr>
                              <w:divsChild>
                                <w:div w:id="39369684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138331">
      <w:bodyDiv w:val="1"/>
      <w:marLeft w:val="0"/>
      <w:marRight w:val="0"/>
      <w:marTop w:val="0"/>
      <w:marBottom w:val="0"/>
      <w:divBdr>
        <w:top w:val="none" w:sz="0" w:space="0" w:color="auto"/>
        <w:left w:val="none" w:sz="0" w:space="0" w:color="auto"/>
        <w:bottom w:val="none" w:sz="0" w:space="0" w:color="auto"/>
        <w:right w:val="none" w:sz="0" w:space="0" w:color="auto"/>
      </w:divBdr>
      <w:divsChild>
        <w:div w:id="18898191">
          <w:marLeft w:val="0"/>
          <w:marRight w:val="0"/>
          <w:marTop w:val="0"/>
          <w:marBottom w:val="0"/>
          <w:divBdr>
            <w:top w:val="none" w:sz="0" w:space="0" w:color="auto"/>
            <w:left w:val="none" w:sz="0" w:space="0" w:color="auto"/>
            <w:bottom w:val="none" w:sz="0" w:space="0" w:color="auto"/>
            <w:right w:val="none" w:sz="0" w:space="0" w:color="auto"/>
          </w:divBdr>
          <w:divsChild>
            <w:div w:id="819226441">
              <w:marLeft w:val="0"/>
              <w:marRight w:val="0"/>
              <w:marTop w:val="0"/>
              <w:marBottom w:val="0"/>
              <w:divBdr>
                <w:top w:val="none" w:sz="0" w:space="0" w:color="auto"/>
                <w:left w:val="none" w:sz="0" w:space="0" w:color="auto"/>
                <w:bottom w:val="none" w:sz="0" w:space="0" w:color="auto"/>
                <w:right w:val="none" w:sz="0" w:space="0" w:color="auto"/>
              </w:divBdr>
              <w:divsChild>
                <w:div w:id="1274675728">
                  <w:marLeft w:val="0"/>
                  <w:marRight w:val="0"/>
                  <w:marTop w:val="0"/>
                  <w:marBottom w:val="0"/>
                  <w:divBdr>
                    <w:top w:val="none" w:sz="0" w:space="0" w:color="auto"/>
                    <w:left w:val="none" w:sz="0" w:space="0" w:color="auto"/>
                    <w:bottom w:val="none" w:sz="0" w:space="0" w:color="auto"/>
                    <w:right w:val="none" w:sz="0" w:space="0" w:color="auto"/>
                  </w:divBdr>
                  <w:divsChild>
                    <w:div w:id="867837513">
                      <w:marLeft w:val="0"/>
                      <w:marRight w:val="0"/>
                      <w:marTop w:val="0"/>
                      <w:marBottom w:val="0"/>
                      <w:divBdr>
                        <w:top w:val="none" w:sz="0" w:space="0" w:color="auto"/>
                        <w:left w:val="none" w:sz="0" w:space="0" w:color="auto"/>
                        <w:bottom w:val="none" w:sz="0" w:space="0" w:color="auto"/>
                        <w:right w:val="none" w:sz="0" w:space="0" w:color="auto"/>
                      </w:divBdr>
                      <w:divsChild>
                        <w:div w:id="56823603">
                          <w:marLeft w:val="0"/>
                          <w:marRight w:val="0"/>
                          <w:marTop w:val="0"/>
                          <w:marBottom w:val="0"/>
                          <w:divBdr>
                            <w:top w:val="single" w:sz="4" w:space="0" w:color="828282"/>
                            <w:left w:val="single" w:sz="4" w:space="0" w:color="828282"/>
                            <w:bottom w:val="single" w:sz="4" w:space="0" w:color="828282"/>
                            <w:right w:val="single" w:sz="4" w:space="0" w:color="828282"/>
                          </w:divBdr>
                          <w:divsChild>
                            <w:div w:id="599721157">
                              <w:marLeft w:val="0"/>
                              <w:marRight w:val="0"/>
                              <w:marTop w:val="0"/>
                              <w:marBottom w:val="0"/>
                              <w:divBdr>
                                <w:top w:val="none" w:sz="0" w:space="0" w:color="auto"/>
                                <w:left w:val="none" w:sz="0" w:space="0" w:color="auto"/>
                                <w:bottom w:val="none" w:sz="0" w:space="0" w:color="auto"/>
                                <w:right w:val="none" w:sz="0" w:space="0" w:color="auto"/>
                              </w:divBdr>
                              <w:divsChild>
                                <w:div w:id="866260674">
                                  <w:marLeft w:val="0"/>
                                  <w:marRight w:val="0"/>
                                  <w:marTop w:val="0"/>
                                  <w:marBottom w:val="0"/>
                                  <w:divBdr>
                                    <w:top w:val="none" w:sz="0" w:space="0" w:color="auto"/>
                                    <w:left w:val="none" w:sz="0" w:space="0" w:color="auto"/>
                                    <w:bottom w:val="none" w:sz="0" w:space="0" w:color="auto"/>
                                    <w:right w:val="none" w:sz="0" w:space="0" w:color="auto"/>
                                  </w:divBdr>
                                  <w:divsChild>
                                    <w:div w:id="1595432958">
                                      <w:marLeft w:val="0"/>
                                      <w:marRight w:val="0"/>
                                      <w:marTop w:val="0"/>
                                      <w:marBottom w:val="0"/>
                                      <w:divBdr>
                                        <w:top w:val="none" w:sz="0" w:space="0" w:color="auto"/>
                                        <w:left w:val="none" w:sz="0" w:space="0" w:color="auto"/>
                                        <w:bottom w:val="none" w:sz="0" w:space="0" w:color="auto"/>
                                        <w:right w:val="none" w:sz="0" w:space="0" w:color="auto"/>
                                      </w:divBdr>
                                      <w:divsChild>
                                        <w:div w:id="844127955">
                                          <w:marLeft w:val="0"/>
                                          <w:marRight w:val="0"/>
                                          <w:marTop w:val="0"/>
                                          <w:marBottom w:val="0"/>
                                          <w:divBdr>
                                            <w:top w:val="none" w:sz="0" w:space="0" w:color="auto"/>
                                            <w:left w:val="none" w:sz="0" w:space="0" w:color="auto"/>
                                            <w:bottom w:val="none" w:sz="0" w:space="0" w:color="auto"/>
                                            <w:right w:val="none" w:sz="0" w:space="0" w:color="auto"/>
                                          </w:divBdr>
                                          <w:divsChild>
                                            <w:div w:id="1584072222">
                                              <w:marLeft w:val="0"/>
                                              <w:marRight w:val="0"/>
                                              <w:marTop w:val="0"/>
                                              <w:marBottom w:val="0"/>
                                              <w:divBdr>
                                                <w:top w:val="none" w:sz="0" w:space="0" w:color="auto"/>
                                                <w:left w:val="none" w:sz="0" w:space="0" w:color="auto"/>
                                                <w:bottom w:val="none" w:sz="0" w:space="0" w:color="auto"/>
                                                <w:right w:val="none" w:sz="0" w:space="0" w:color="auto"/>
                                              </w:divBdr>
                                              <w:divsChild>
                                                <w:div w:id="7276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711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273">
          <w:marLeft w:val="0"/>
          <w:marRight w:val="0"/>
          <w:marTop w:val="0"/>
          <w:marBottom w:val="0"/>
          <w:divBdr>
            <w:top w:val="none" w:sz="0" w:space="0" w:color="auto"/>
            <w:left w:val="none" w:sz="0" w:space="0" w:color="auto"/>
            <w:bottom w:val="none" w:sz="0" w:space="0" w:color="auto"/>
            <w:right w:val="none" w:sz="0" w:space="0" w:color="auto"/>
          </w:divBdr>
          <w:divsChild>
            <w:div w:id="1926300902">
              <w:marLeft w:val="0"/>
              <w:marRight w:val="0"/>
              <w:marTop w:val="0"/>
              <w:marBottom w:val="305"/>
              <w:divBdr>
                <w:top w:val="none" w:sz="0" w:space="0" w:color="auto"/>
                <w:left w:val="none" w:sz="0" w:space="0" w:color="auto"/>
                <w:bottom w:val="none" w:sz="0" w:space="0" w:color="auto"/>
                <w:right w:val="none" w:sz="0" w:space="0" w:color="auto"/>
              </w:divBdr>
              <w:divsChild>
                <w:div w:id="820659344">
                  <w:marLeft w:val="0"/>
                  <w:marRight w:val="0"/>
                  <w:marTop w:val="0"/>
                  <w:marBottom w:val="0"/>
                  <w:divBdr>
                    <w:top w:val="none" w:sz="0" w:space="0" w:color="auto"/>
                    <w:left w:val="none" w:sz="0" w:space="0" w:color="auto"/>
                    <w:bottom w:val="none" w:sz="0" w:space="0" w:color="auto"/>
                    <w:right w:val="none" w:sz="0" w:space="0" w:color="auto"/>
                  </w:divBdr>
                  <w:divsChild>
                    <w:div w:id="1914856376">
                      <w:marLeft w:val="0"/>
                      <w:marRight w:val="0"/>
                      <w:marTop w:val="0"/>
                      <w:marBottom w:val="0"/>
                      <w:divBdr>
                        <w:top w:val="none" w:sz="0" w:space="0" w:color="auto"/>
                        <w:left w:val="single" w:sz="4" w:space="0" w:color="F69C31"/>
                        <w:bottom w:val="none" w:sz="0" w:space="0" w:color="auto"/>
                        <w:right w:val="none" w:sz="0" w:space="0" w:color="auto"/>
                      </w:divBdr>
                      <w:divsChild>
                        <w:div w:id="474685505">
                          <w:marLeft w:val="0"/>
                          <w:marRight w:val="0"/>
                          <w:marTop w:val="0"/>
                          <w:marBottom w:val="0"/>
                          <w:divBdr>
                            <w:top w:val="none" w:sz="0" w:space="0" w:color="auto"/>
                            <w:left w:val="none" w:sz="0" w:space="0" w:color="auto"/>
                            <w:bottom w:val="none" w:sz="0" w:space="0" w:color="auto"/>
                            <w:right w:val="none" w:sz="0" w:space="0" w:color="auto"/>
                          </w:divBdr>
                          <w:divsChild>
                            <w:div w:id="1507941149">
                              <w:marLeft w:val="0"/>
                              <w:marRight w:val="0"/>
                              <w:marTop w:val="0"/>
                              <w:marBottom w:val="0"/>
                              <w:divBdr>
                                <w:top w:val="none" w:sz="0" w:space="0" w:color="auto"/>
                                <w:left w:val="none" w:sz="0" w:space="0" w:color="auto"/>
                                <w:bottom w:val="none" w:sz="0" w:space="0" w:color="auto"/>
                                <w:right w:val="none" w:sz="0" w:space="0" w:color="auto"/>
                              </w:divBdr>
                              <w:divsChild>
                                <w:div w:id="1950963113">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073499">
      <w:bodyDiv w:val="1"/>
      <w:marLeft w:val="0"/>
      <w:marRight w:val="0"/>
      <w:marTop w:val="0"/>
      <w:marBottom w:val="0"/>
      <w:divBdr>
        <w:top w:val="none" w:sz="0" w:space="0" w:color="auto"/>
        <w:left w:val="none" w:sz="0" w:space="0" w:color="auto"/>
        <w:bottom w:val="none" w:sz="0" w:space="0" w:color="auto"/>
        <w:right w:val="none" w:sz="0" w:space="0" w:color="auto"/>
      </w:divBdr>
      <w:divsChild>
        <w:div w:id="1931624743">
          <w:marLeft w:val="0"/>
          <w:marRight w:val="0"/>
          <w:marTop w:val="0"/>
          <w:marBottom w:val="0"/>
          <w:divBdr>
            <w:top w:val="none" w:sz="0" w:space="0" w:color="auto"/>
            <w:left w:val="none" w:sz="0" w:space="0" w:color="auto"/>
            <w:bottom w:val="none" w:sz="0" w:space="0" w:color="auto"/>
            <w:right w:val="none" w:sz="0" w:space="0" w:color="auto"/>
          </w:divBdr>
          <w:divsChild>
            <w:div w:id="1454905482">
              <w:marLeft w:val="0"/>
              <w:marRight w:val="0"/>
              <w:marTop w:val="0"/>
              <w:marBottom w:val="0"/>
              <w:divBdr>
                <w:top w:val="none" w:sz="0" w:space="0" w:color="auto"/>
                <w:left w:val="none" w:sz="0" w:space="0" w:color="auto"/>
                <w:bottom w:val="none" w:sz="0" w:space="0" w:color="auto"/>
                <w:right w:val="none" w:sz="0" w:space="0" w:color="auto"/>
              </w:divBdr>
              <w:divsChild>
                <w:div w:id="1034771451">
                  <w:marLeft w:val="10"/>
                  <w:marRight w:val="10"/>
                  <w:marTop w:val="0"/>
                  <w:marBottom w:val="0"/>
                  <w:divBdr>
                    <w:top w:val="single" w:sz="4" w:space="0" w:color="FFFFFF"/>
                    <w:left w:val="single" w:sz="4" w:space="0" w:color="FFFFFF"/>
                    <w:bottom w:val="single" w:sz="4" w:space="8" w:color="FFFFFF"/>
                    <w:right w:val="single" w:sz="4" w:space="0" w:color="FFFFFF"/>
                  </w:divBdr>
                  <w:divsChild>
                    <w:div w:id="1391999525">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197428883">
      <w:bodyDiv w:val="1"/>
      <w:marLeft w:val="0"/>
      <w:marRight w:val="0"/>
      <w:marTop w:val="0"/>
      <w:marBottom w:val="0"/>
      <w:divBdr>
        <w:top w:val="none" w:sz="0" w:space="0" w:color="auto"/>
        <w:left w:val="none" w:sz="0" w:space="0" w:color="auto"/>
        <w:bottom w:val="none" w:sz="0" w:space="0" w:color="auto"/>
        <w:right w:val="none" w:sz="0" w:space="0" w:color="auto"/>
      </w:divBdr>
      <w:divsChild>
        <w:div w:id="892931088">
          <w:marLeft w:val="0"/>
          <w:marRight w:val="0"/>
          <w:marTop w:val="0"/>
          <w:marBottom w:val="0"/>
          <w:divBdr>
            <w:top w:val="none" w:sz="0" w:space="0" w:color="auto"/>
            <w:left w:val="none" w:sz="0" w:space="0" w:color="auto"/>
            <w:bottom w:val="none" w:sz="0" w:space="0" w:color="auto"/>
            <w:right w:val="none" w:sz="0" w:space="0" w:color="auto"/>
          </w:divBdr>
          <w:divsChild>
            <w:div w:id="730344853">
              <w:marLeft w:val="0"/>
              <w:marRight w:val="0"/>
              <w:marTop w:val="0"/>
              <w:marBottom w:val="0"/>
              <w:divBdr>
                <w:top w:val="none" w:sz="0" w:space="0" w:color="auto"/>
                <w:left w:val="none" w:sz="0" w:space="0" w:color="auto"/>
                <w:bottom w:val="none" w:sz="0" w:space="0" w:color="auto"/>
                <w:right w:val="none" w:sz="0" w:space="0" w:color="auto"/>
              </w:divBdr>
              <w:divsChild>
                <w:div w:id="1852068367">
                  <w:marLeft w:val="0"/>
                  <w:marRight w:val="0"/>
                  <w:marTop w:val="0"/>
                  <w:marBottom w:val="0"/>
                  <w:divBdr>
                    <w:top w:val="none" w:sz="0" w:space="0" w:color="auto"/>
                    <w:left w:val="none" w:sz="0" w:space="0" w:color="auto"/>
                    <w:bottom w:val="none" w:sz="0" w:space="0" w:color="auto"/>
                    <w:right w:val="none" w:sz="0" w:space="0" w:color="auto"/>
                  </w:divBdr>
                  <w:divsChild>
                    <w:div w:id="1731613985">
                      <w:marLeft w:val="0"/>
                      <w:marRight w:val="0"/>
                      <w:marTop w:val="0"/>
                      <w:marBottom w:val="0"/>
                      <w:divBdr>
                        <w:top w:val="none" w:sz="0" w:space="0" w:color="auto"/>
                        <w:left w:val="none" w:sz="0" w:space="0" w:color="auto"/>
                        <w:bottom w:val="none" w:sz="0" w:space="0" w:color="auto"/>
                        <w:right w:val="none" w:sz="0" w:space="0" w:color="auto"/>
                      </w:divBdr>
                      <w:divsChild>
                        <w:div w:id="1882940652">
                          <w:marLeft w:val="0"/>
                          <w:marRight w:val="0"/>
                          <w:marTop w:val="0"/>
                          <w:marBottom w:val="0"/>
                          <w:divBdr>
                            <w:top w:val="single" w:sz="6" w:space="0" w:color="828282"/>
                            <w:left w:val="single" w:sz="6" w:space="0" w:color="828282"/>
                            <w:bottom w:val="single" w:sz="6" w:space="0" w:color="828282"/>
                            <w:right w:val="single" w:sz="6" w:space="0" w:color="828282"/>
                          </w:divBdr>
                          <w:divsChild>
                            <w:div w:id="860512799">
                              <w:marLeft w:val="0"/>
                              <w:marRight w:val="0"/>
                              <w:marTop w:val="0"/>
                              <w:marBottom w:val="0"/>
                              <w:divBdr>
                                <w:top w:val="none" w:sz="0" w:space="0" w:color="auto"/>
                                <w:left w:val="none" w:sz="0" w:space="0" w:color="auto"/>
                                <w:bottom w:val="none" w:sz="0" w:space="0" w:color="auto"/>
                                <w:right w:val="none" w:sz="0" w:space="0" w:color="auto"/>
                              </w:divBdr>
                              <w:divsChild>
                                <w:div w:id="260185932">
                                  <w:marLeft w:val="0"/>
                                  <w:marRight w:val="0"/>
                                  <w:marTop w:val="0"/>
                                  <w:marBottom w:val="0"/>
                                  <w:divBdr>
                                    <w:top w:val="none" w:sz="0" w:space="0" w:color="auto"/>
                                    <w:left w:val="none" w:sz="0" w:space="0" w:color="auto"/>
                                    <w:bottom w:val="none" w:sz="0" w:space="0" w:color="auto"/>
                                    <w:right w:val="none" w:sz="0" w:space="0" w:color="auto"/>
                                  </w:divBdr>
                                  <w:divsChild>
                                    <w:div w:id="555049347">
                                      <w:marLeft w:val="0"/>
                                      <w:marRight w:val="0"/>
                                      <w:marTop w:val="0"/>
                                      <w:marBottom w:val="0"/>
                                      <w:divBdr>
                                        <w:top w:val="none" w:sz="0" w:space="0" w:color="auto"/>
                                        <w:left w:val="none" w:sz="0" w:space="0" w:color="auto"/>
                                        <w:bottom w:val="none" w:sz="0" w:space="0" w:color="auto"/>
                                        <w:right w:val="none" w:sz="0" w:space="0" w:color="auto"/>
                                      </w:divBdr>
                                      <w:divsChild>
                                        <w:div w:id="997731018">
                                          <w:marLeft w:val="0"/>
                                          <w:marRight w:val="0"/>
                                          <w:marTop w:val="0"/>
                                          <w:marBottom w:val="0"/>
                                          <w:divBdr>
                                            <w:top w:val="none" w:sz="0" w:space="0" w:color="auto"/>
                                            <w:left w:val="none" w:sz="0" w:space="0" w:color="auto"/>
                                            <w:bottom w:val="none" w:sz="0" w:space="0" w:color="auto"/>
                                            <w:right w:val="none" w:sz="0" w:space="0" w:color="auto"/>
                                          </w:divBdr>
                                          <w:divsChild>
                                            <w:div w:id="574585546">
                                              <w:marLeft w:val="0"/>
                                              <w:marRight w:val="0"/>
                                              <w:marTop w:val="0"/>
                                              <w:marBottom w:val="0"/>
                                              <w:divBdr>
                                                <w:top w:val="none" w:sz="0" w:space="0" w:color="auto"/>
                                                <w:left w:val="none" w:sz="0" w:space="0" w:color="auto"/>
                                                <w:bottom w:val="none" w:sz="0" w:space="0" w:color="auto"/>
                                                <w:right w:val="none" w:sz="0" w:space="0" w:color="auto"/>
                                              </w:divBdr>
                                              <w:divsChild>
                                                <w:div w:id="1815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771355">
      <w:bodyDiv w:val="1"/>
      <w:marLeft w:val="0"/>
      <w:marRight w:val="0"/>
      <w:marTop w:val="0"/>
      <w:marBottom w:val="0"/>
      <w:divBdr>
        <w:top w:val="none" w:sz="0" w:space="0" w:color="auto"/>
        <w:left w:val="none" w:sz="0" w:space="0" w:color="auto"/>
        <w:bottom w:val="none" w:sz="0" w:space="0" w:color="auto"/>
        <w:right w:val="none" w:sz="0" w:space="0" w:color="auto"/>
      </w:divBdr>
      <w:divsChild>
        <w:div w:id="1247378480">
          <w:marLeft w:val="0"/>
          <w:marRight w:val="0"/>
          <w:marTop w:val="0"/>
          <w:marBottom w:val="0"/>
          <w:divBdr>
            <w:top w:val="none" w:sz="0" w:space="0" w:color="auto"/>
            <w:left w:val="none" w:sz="0" w:space="0" w:color="auto"/>
            <w:bottom w:val="none" w:sz="0" w:space="0" w:color="auto"/>
            <w:right w:val="none" w:sz="0" w:space="0" w:color="auto"/>
          </w:divBdr>
          <w:divsChild>
            <w:div w:id="2134399394">
              <w:marLeft w:val="0"/>
              <w:marRight w:val="0"/>
              <w:marTop w:val="0"/>
              <w:marBottom w:val="0"/>
              <w:divBdr>
                <w:top w:val="none" w:sz="0" w:space="0" w:color="auto"/>
                <w:left w:val="none" w:sz="0" w:space="0" w:color="auto"/>
                <w:bottom w:val="none" w:sz="0" w:space="0" w:color="auto"/>
                <w:right w:val="none" w:sz="0" w:space="0" w:color="auto"/>
              </w:divBdr>
              <w:divsChild>
                <w:div w:id="1965231005">
                  <w:marLeft w:val="0"/>
                  <w:marRight w:val="0"/>
                  <w:marTop w:val="0"/>
                  <w:marBottom w:val="0"/>
                  <w:divBdr>
                    <w:top w:val="none" w:sz="0" w:space="0" w:color="auto"/>
                    <w:left w:val="none" w:sz="0" w:space="0" w:color="auto"/>
                    <w:bottom w:val="none" w:sz="0" w:space="0" w:color="auto"/>
                    <w:right w:val="none" w:sz="0" w:space="0" w:color="auto"/>
                  </w:divBdr>
                  <w:divsChild>
                    <w:div w:id="2005011660">
                      <w:marLeft w:val="0"/>
                      <w:marRight w:val="0"/>
                      <w:marTop w:val="0"/>
                      <w:marBottom w:val="0"/>
                      <w:divBdr>
                        <w:top w:val="none" w:sz="0" w:space="0" w:color="auto"/>
                        <w:left w:val="none" w:sz="0" w:space="0" w:color="auto"/>
                        <w:bottom w:val="none" w:sz="0" w:space="0" w:color="auto"/>
                        <w:right w:val="none" w:sz="0" w:space="0" w:color="auto"/>
                      </w:divBdr>
                      <w:divsChild>
                        <w:div w:id="21322771">
                          <w:marLeft w:val="0"/>
                          <w:marRight w:val="0"/>
                          <w:marTop w:val="0"/>
                          <w:marBottom w:val="0"/>
                          <w:divBdr>
                            <w:top w:val="single" w:sz="6" w:space="0" w:color="828282"/>
                            <w:left w:val="single" w:sz="6" w:space="0" w:color="828282"/>
                            <w:bottom w:val="single" w:sz="6" w:space="0" w:color="828282"/>
                            <w:right w:val="single" w:sz="6" w:space="0" w:color="828282"/>
                          </w:divBdr>
                          <w:divsChild>
                            <w:div w:id="2010670924">
                              <w:marLeft w:val="0"/>
                              <w:marRight w:val="0"/>
                              <w:marTop w:val="0"/>
                              <w:marBottom w:val="0"/>
                              <w:divBdr>
                                <w:top w:val="none" w:sz="0" w:space="0" w:color="auto"/>
                                <w:left w:val="none" w:sz="0" w:space="0" w:color="auto"/>
                                <w:bottom w:val="none" w:sz="0" w:space="0" w:color="auto"/>
                                <w:right w:val="none" w:sz="0" w:space="0" w:color="auto"/>
                              </w:divBdr>
                              <w:divsChild>
                                <w:div w:id="133764441">
                                  <w:marLeft w:val="0"/>
                                  <w:marRight w:val="0"/>
                                  <w:marTop w:val="0"/>
                                  <w:marBottom w:val="0"/>
                                  <w:divBdr>
                                    <w:top w:val="none" w:sz="0" w:space="0" w:color="auto"/>
                                    <w:left w:val="none" w:sz="0" w:space="0" w:color="auto"/>
                                    <w:bottom w:val="none" w:sz="0" w:space="0" w:color="auto"/>
                                    <w:right w:val="none" w:sz="0" w:space="0" w:color="auto"/>
                                  </w:divBdr>
                                  <w:divsChild>
                                    <w:div w:id="147357288">
                                      <w:marLeft w:val="0"/>
                                      <w:marRight w:val="0"/>
                                      <w:marTop w:val="0"/>
                                      <w:marBottom w:val="0"/>
                                      <w:divBdr>
                                        <w:top w:val="none" w:sz="0" w:space="0" w:color="auto"/>
                                        <w:left w:val="none" w:sz="0" w:space="0" w:color="auto"/>
                                        <w:bottom w:val="none" w:sz="0" w:space="0" w:color="auto"/>
                                        <w:right w:val="none" w:sz="0" w:space="0" w:color="auto"/>
                                      </w:divBdr>
                                      <w:divsChild>
                                        <w:div w:id="2067874854">
                                          <w:marLeft w:val="0"/>
                                          <w:marRight w:val="0"/>
                                          <w:marTop w:val="0"/>
                                          <w:marBottom w:val="0"/>
                                          <w:divBdr>
                                            <w:top w:val="none" w:sz="0" w:space="0" w:color="auto"/>
                                            <w:left w:val="none" w:sz="0" w:space="0" w:color="auto"/>
                                            <w:bottom w:val="none" w:sz="0" w:space="0" w:color="auto"/>
                                            <w:right w:val="none" w:sz="0" w:space="0" w:color="auto"/>
                                          </w:divBdr>
                                          <w:divsChild>
                                            <w:div w:id="2018918925">
                                              <w:marLeft w:val="0"/>
                                              <w:marRight w:val="0"/>
                                              <w:marTop w:val="0"/>
                                              <w:marBottom w:val="0"/>
                                              <w:divBdr>
                                                <w:top w:val="none" w:sz="0" w:space="0" w:color="auto"/>
                                                <w:left w:val="none" w:sz="0" w:space="0" w:color="auto"/>
                                                <w:bottom w:val="none" w:sz="0" w:space="0" w:color="auto"/>
                                                <w:right w:val="none" w:sz="0" w:space="0" w:color="auto"/>
                                              </w:divBdr>
                                              <w:divsChild>
                                                <w:div w:id="4943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23"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A3393-06E4-44AD-8492-3F88B0D4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smydan</dc:creator>
  <cp:lastModifiedBy>NICMA1</cp:lastModifiedBy>
  <cp:revision>2</cp:revision>
  <cp:lastPrinted>2014-09-08T05:27:00Z</cp:lastPrinted>
  <dcterms:created xsi:type="dcterms:W3CDTF">2014-09-11T05:06:00Z</dcterms:created>
  <dcterms:modified xsi:type="dcterms:W3CDTF">2014-09-11T05:06:00Z</dcterms:modified>
</cp:coreProperties>
</file>