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b w:val="0"/>
          <w:sz w:val="22"/>
          <w:szCs w:val="22"/>
          <w:u w:val="single"/>
        </w:rPr>
        <w:id w:val="962787086"/>
        <w:lock w:val="contentLocked"/>
        <w:placeholder>
          <w:docPart w:val="BCD784F3B4AB4AFA88B77EFB7D32FC0F"/>
        </w:placeholder>
        <w:group/>
      </w:sdtPr>
      <w:sdtEndPr>
        <w:rPr>
          <w:rFonts w:eastAsiaTheme="minorEastAsia"/>
          <w:szCs w:val="24"/>
          <w:u w:val="none"/>
        </w:rPr>
      </w:sdtEndPr>
      <w:sdtContent>
        <w:p w:rsidR="00EE360D" w:rsidRDefault="00E53225">
          <w:pPr>
            <w:pStyle w:val="Title"/>
            <w:rPr>
              <w:rFonts w:ascii="Times New Roman" w:hAnsi="Times New Roman"/>
              <w:u w:val="single"/>
            </w:rPr>
          </w:pPr>
          <w:r>
            <w:rPr>
              <w:rFonts w:ascii="Times New Roman" w:hAnsi="Times New Roman"/>
              <w:u w:val="single"/>
            </w:rPr>
            <w:t>EXPLANATORY STATEMENT</w:t>
          </w:r>
        </w:p>
        <w:p w:rsidR="00EE360D" w:rsidRDefault="0068610F">
          <w:pPr>
            <w:jc w:val="center"/>
            <w:rPr>
              <w:rFonts w:ascii="Times New Roman" w:hAnsi="Times New Roman" w:cs="Times New Roman"/>
              <w:sz w:val="24"/>
            </w:rPr>
          </w:pPr>
        </w:p>
      </w:sdtContent>
    </w:sdt>
    <w:p w:rsidR="00EE360D" w:rsidRDefault="00E53225">
      <w:pPr>
        <w:pStyle w:val="Title"/>
        <w:rPr>
          <w:rFonts w:ascii="Times New Roman" w:hAnsi="Times New Roman"/>
          <w:b w:val="0"/>
          <w:sz w:val="16"/>
          <w:szCs w:val="16"/>
        </w:rPr>
      </w:pPr>
      <w:r>
        <w:rPr>
          <w:rFonts w:ascii="Times New Roman" w:hAnsi="Times New Roman"/>
          <w:u w:val="single"/>
        </w:rPr>
        <w:t>SELECT LEGISLATIVE INSTRUMENT No.</w:t>
      </w:r>
      <w:r w:rsidR="007A3242">
        <w:rPr>
          <w:rFonts w:ascii="Times New Roman" w:hAnsi="Times New Roman"/>
          <w:u w:val="single"/>
        </w:rPr>
        <w:t xml:space="preserve"> 136</w:t>
      </w:r>
      <w:r w:rsidR="0068610F">
        <w:rPr>
          <w:rFonts w:ascii="Times New Roman" w:hAnsi="Times New Roman"/>
          <w:u w:val="single"/>
        </w:rPr>
        <w:t>, 2014</w:t>
      </w:r>
      <w:bookmarkStart w:id="0" w:name="_GoBack"/>
      <w:bookmarkEnd w:id="0"/>
    </w:p>
    <w:p w:rsidR="00EE360D" w:rsidRDefault="00EE360D">
      <w:pPr>
        <w:pStyle w:val="Title"/>
        <w:rPr>
          <w:rFonts w:ascii="Times New Roman" w:hAnsi="Times New Roman"/>
          <w:b w:val="0"/>
          <w:sz w:val="20"/>
          <w:szCs w:val="16"/>
          <w:u w:val="single"/>
        </w:rPr>
      </w:pPr>
    </w:p>
    <w:p w:rsidR="00EE360D" w:rsidRDefault="0068610F">
      <w:pPr>
        <w:jc w:val="center"/>
        <w:rPr>
          <w:rFonts w:ascii="Times New Roman" w:hAnsi="Times New Roman" w:cs="Times New Roman"/>
          <w:sz w:val="24"/>
          <w:u w:val="single"/>
        </w:rPr>
      </w:pPr>
      <w:sdt>
        <w:sdtPr>
          <w:rPr>
            <w:rFonts w:ascii="Times New Roman" w:hAnsi="Times New Roman" w:cs="Times New Roman"/>
            <w:sz w:val="24"/>
            <w:u w:val="single"/>
          </w:rPr>
          <w:id w:val="962787087"/>
          <w:lock w:val="contentLocked"/>
          <w:placeholder>
            <w:docPart w:val="BCD784F3B4AB4AFA88B77EFB7D32FC0F"/>
          </w:placeholder>
          <w:group/>
        </w:sdtPr>
        <w:sdtEndPr/>
        <w:sdtContent>
          <w:r w:rsidR="00E53225">
            <w:rPr>
              <w:rFonts w:ascii="Times New Roman" w:hAnsi="Times New Roman" w:cs="Times New Roman"/>
              <w:sz w:val="24"/>
              <w:u w:val="single"/>
            </w:rPr>
            <w:t>Issued by Authority of the</w:t>
          </w:r>
        </w:sdtContent>
      </w:sdt>
      <w:r w:rsidR="00E53225">
        <w:rPr>
          <w:rFonts w:ascii="Times New Roman" w:hAnsi="Times New Roman" w:cs="Times New Roman"/>
          <w:sz w:val="24"/>
          <w:u w:val="single"/>
        </w:rPr>
        <w:t xml:space="preserve"> Minister for Agriculture </w:t>
      </w:r>
    </w:p>
    <w:p w:rsidR="00EE360D" w:rsidRDefault="00EE360D">
      <w:pPr>
        <w:jc w:val="center"/>
        <w:rPr>
          <w:rFonts w:ascii="Times New Roman" w:hAnsi="Times New Roman" w:cs="Times New Roman"/>
          <w:sz w:val="24"/>
        </w:rPr>
      </w:pPr>
    </w:p>
    <w:p w:rsidR="00EE360D" w:rsidRDefault="00E53225">
      <w:pPr>
        <w:jc w:val="center"/>
        <w:rPr>
          <w:rFonts w:ascii="Times New Roman" w:hAnsi="Times New Roman" w:cs="Times New Roman"/>
          <w:snapToGrid w:val="0"/>
          <w:sz w:val="24"/>
        </w:rPr>
      </w:pPr>
      <w:r>
        <w:rPr>
          <w:rFonts w:ascii="Times New Roman" w:hAnsi="Times New Roman" w:cs="Times New Roman"/>
          <w:i/>
          <w:snapToGrid w:val="0"/>
          <w:sz w:val="24"/>
        </w:rPr>
        <w:t>Competition and Consumer Act 2010</w:t>
      </w:r>
    </w:p>
    <w:p w:rsidR="00EE360D" w:rsidRDefault="00EE360D">
      <w:pPr>
        <w:jc w:val="center"/>
        <w:rPr>
          <w:rFonts w:ascii="Times New Roman" w:hAnsi="Times New Roman" w:cs="Times New Roman"/>
          <w:sz w:val="24"/>
        </w:rPr>
      </w:pPr>
    </w:p>
    <w:p w:rsidR="00EE360D" w:rsidRDefault="00E53225">
      <w:pPr>
        <w:jc w:val="center"/>
        <w:rPr>
          <w:rFonts w:ascii="Times New Roman" w:hAnsi="Times New Roman" w:cs="Times New Roman"/>
          <w:i/>
          <w:sz w:val="24"/>
        </w:rPr>
      </w:pPr>
      <w:r>
        <w:rPr>
          <w:rFonts w:ascii="Times New Roman" w:hAnsi="Times New Roman" w:cs="Times New Roman"/>
          <w:i/>
          <w:sz w:val="24"/>
        </w:rPr>
        <w:t>Competition and Consumer (Industry Code</w:t>
      </w:r>
      <w:r>
        <w:rPr>
          <w:i/>
          <w:noProof/>
        </w:rPr>
        <w:t>—</w:t>
      </w:r>
      <w:r>
        <w:rPr>
          <w:rFonts w:ascii="Times New Roman" w:hAnsi="Times New Roman" w:cs="Times New Roman"/>
          <w:i/>
          <w:sz w:val="24"/>
        </w:rPr>
        <w:t>Port Terminal Access (Bulk Wheat)) Regulation 2014 </w:t>
      </w:r>
    </w:p>
    <w:p w:rsidR="00EE360D" w:rsidRDefault="00EE360D">
      <w:pPr>
        <w:rPr>
          <w:rFonts w:ascii="Times New Roman" w:hAnsi="Times New Roman" w:cs="Times New Roman"/>
          <w:sz w:val="24"/>
        </w:rPr>
      </w:pPr>
    </w:p>
    <w:p w:rsidR="00EE360D" w:rsidRDefault="00E53225">
      <w:pPr>
        <w:tabs>
          <w:tab w:val="left" w:pos="1701"/>
          <w:tab w:val="right" w:pos="9072"/>
        </w:tabs>
        <w:rPr>
          <w:rFonts w:ascii="Times New Roman" w:hAnsi="Times New Roman" w:cs="Times New Roman"/>
          <w:sz w:val="24"/>
        </w:rPr>
      </w:pPr>
      <w:r>
        <w:rPr>
          <w:rFonts w:ascii="Times New Roman" w:hAnsi="Times New Roman" w:cs="Times New Roman"/>
          <w:b/>
          <w:sz w:val="24"/>
        </w:rPr>
        <w:t>Legislative Authority</w:t>
      </w:r>
    </w:p>
    <w:p w:rsidR="00EE360D" w:rsidRDefault="00E53225">
      <w:pPr>
        <w:tabs>
          <w:tab w:val="right" w:pos="9072"/>
        </w:tabs>
        <w:rPr>
          <w:rFonts w:ascii="Times New Roman" w:hAnsi="Times New Roman" w:cs="Times New Roman"/>
          <w:sz w:val="24"/>
        </w:rPr>
      </w:pPr>
      <w:r>
        <w:rPr>
          <w:rFonts w:ascii="Times New Roman" w:hAnsi="Times New Roman" w:cs="Times New Roman"/>
          <w:sz w:val="24"/>
        </w:rPr>
        <w:t xml:space="preserve">Section 51AE of the </w:t>
      </w:r>
      <w:r>
        <w:rPr>
          <w:rFonts w:ascii="Times New Roman" w:hAnsi="Times New Roman" w:cs="Times New Roman"/>
          <w:i/>
          <w:sz w:val="24"/>
        </w:rPr>
        <w:t>Competition and Consumer Act 2010</w:t>
      </w:r>
      <w:r>
        <w:rPr>
          <w:rFonts w:ascii="Times New Roman" w:hAnsi="Times New Roman" w:cs="Times New Roman"/>
          <w:sz w:val="24"/>
        </w:rPr>
        <w:t xml:space="preserve"> (the Act) provides that regulations may prescribe an industry code or specified provisions of an industry code and declare that the industry code to be a mandatory industry code or a voluntary industry code.</w:t>
      </w:r>
    </w:p>
    <w:p w:rsidR="00EE360D" w:rsidRDefault="00EE360D">
      <w:pPr>
        <w:tabs>
          <w:tab w:val="right" w:pos="9072"/>
        </w:tabs>
        <w:rPr>
          <w:rFonts w:ascii="Times New Roman" w:hAnsi="Times New Roman" w:cs="Times New Roman"/>
          <w:sz w:val="24"/>
        </w:rPr>
      </w:pPr>
    </w:p>
    <w:p w:rsidR="00EE360D" w:rsidRDefault="00E53225">
      <w:pPr>
        <w:tabs>
          <w:tab w:val="right" w:pos="9072"/>
        </w:tabs>
        <w:rPr>
          <w:rFonts w:ascii="Times New Roman" w:hAnsi="Times New Roman" w:cs="Times New Roman"/>
          <w:sz w:val="24"/>
        </w:rPr>
      </w:pPr>
      <w:r>
        <w:rPr>
          <w:rFonts w:ascii="Times New Roman" w:hAnsi="Times New Roman" w:cs="Times New Roman"/>
          <w:sz w:val="24"/>
        </w:rPr>
        <w:t>Section 139G of the Act provides that the Governor</w:t>
      </w:r>
      <w:r>
        <w:rPr>
          <w:rFonts w:ascii="Times New Roman" w:hAnsi="Times New Roman" w:cs="Times New Roman"/>
          <w:sz w:val="24"/>
        </w:rPr>
        <w:noBreakHyphen/>
        <w:t xml:space="preserve">General may make regulations prescribing matters required or permitted by the Act to be prescribed for carrying out or giving effect to the Act. </w:t>
      </w:r>
    </w:p>
    <w:p w:rsidR="00EE360D" w:rsidRDefault="00EE360D">
      <w:pPr>
        <w:tabs>
          <w:tab w:val="right" w:pos="9072"/>
        </w:tabs>
        <w:rPr>
          <w:rFonts w:ascii="Times New Roman" w:hAnsi="Times New Roman" w:cs="Times New Roman"/>
          <w:sz w:val="24"/>
        </w:rPr>
      </w:pPr>
    </w:p>
    <w:p w:rsidR="00EE360D" w:rsidRDefault="00E53225">
      <w:pPr>
        <w:tabs>
          <w:tab w:val="right" w:pos="9072"/>
        </w:tabs>
        <w:rPr>
          <w:rFonts w:ascii="Times New Roman" w:hAnsi="Times New Roman" w:cs="Times New Roman"/>
          <w:sz w:val="24"/>
        </w:rPr>
      </w:pPr>
      <w:r>
        <w:rPr>
          <w:rFonts w:ascii="Times New Roman" w:hAnsi="Times New Roman" w:cs="Times New Roman"/>
          <w:sz w:val="24"/>
        </w:rPr>
        <w:t xml:space="preserve">Section 12(1) of the </w:t>
      </w:r>
      <w:r>
        <w:rPr>
          <w:rFonts w:ascii="Times New Roman" w:hAnsi="Times New Roman" w:cs="Times New Roman"/>
          <w:i/>
          <w:sz w:val="24"/>
        </w:rPr>
        <w:t>Wheat Export Marketing Act 2008</w:t>
      </w:r>
      <w:r>
        <w:rPr>
          <w:rFonts w:ascii="Times New Roman" w:hAnsi="Times New Roman" w:cs="Times New Roman"/>
          <w:sz w:val="24"/>
        </w:rPr>
        <w:t xml:space="preserve"> (the Marketing Act) provides for the Minister responsible for administering that Act may approve a code as long as it meets the criteria set out in section 12(2) of that Act. </w:t>
      </w:r>
    </w:p>
    <w:p w:rsidR="00EE360D" w:rsidRDefault="00EE360D">
      <w:pPr>
        <w:tabs>
          <w:tab w:val="left" w:pos="1701"/>
          <w:tab w:val="right" w:pos="9072"/>
        </w:tabs>
        <w:rPr>
          <w:rFonts w:ascii="Times New Roman" w:hAnsi="Times New Roman" w:cs="Times New Roman"/>
          <w:sz w:val="24"/>
        </w:rPr>
      </w:pPr>
    </w:p>
    <w:p w:rsidR="00EE360D" w:rsidRDefault="00E53225">
      <w:pPr>
        <w:tabs>
          <w:tab w:val="left" w:pos="1701"/>
          <w:tab w:val="right" w:pos="9072"/>
        </w:tabs>
        <w:rPr>
          <w:rFonts w:ascii="Times New Roman" w:hAnsi="Times New Roman" w:cs="Times New Roman"/>
          <w:b/>
          <w:sz w:val="24"/>
        </w:rPr>
      </w:pPr>
      <w:r>
        <w:rPr>
          <w:rFonts w:ascii="Times New Roman" w:hAnsi="Times New Roman" w:cs="Times New Roman"/>
          <w:b/>
          <w:sz w:val="24"/>
        </w:rPr>
        <w:t>Purpose</w:t>
      </w:r>
    </w:p>
    <w:p w:rsidR="00EE360D" w:rsidRDefault="00E53225">
      <w:pPr>
        <w:tabs>
          <w:tab w:val="right" w:pos="9072"/>
        </w:tabs>
        <w:rPr>
          <w:rFonts w:ascii="Times New Roman" w:hAnsi="Times New Roman" w:cs="Times New Roman"/>
          <w:sz w:val="24"/>
        </w:rPr>
      </w:pPr>
      <w:r>
        <w:rPr>
          <w:rFonts w:ascii="Times New Roman" w:hAnsi="Times New Roman" w:cs="Times New Roman"/>
          <w:sz w:val="24"/>
        </w:rPr>
        <w:t xml:space="preserve">The purpose of the Regulation </w:t>
      </w:r>
      <w:r w:rsidR="00741E41">
        <w:rPr>
          <w:rFonts w:ascii="Times New Roman" w:hAnsi="Times New Roman" w:cs="Times New Roman"/>
          <w:sz w:val="24"/>
        </w:rPr>
        <w:t>is to</w:t>
      </w:r>
      <w:r>
        <w:rPr>
          <w:rFonts w:ascii="Times New Roman" w:hAnsi="Times New Roman" w:cs="Times New Roman"/>
          <w:sz w:val="24"/>
        </w:rPr>
        <w:t>:</w:t>
      </w:r>
    </w:p>
    <w:p w:rsidR="00EE360D" w:rsidRPr="00E53225" w:rsidRDefault="00E53225" w:rsidP="00E53225">
      <w:pPr>
        <w:pStyle w:val="ListParagraph"/>
        <w:numPr>
          <w:ilvl w:val="0"/>
          <w:numId w:val="19"/>
        </w:numPr>
        <w:tabs>
          <w:tab w:val="right" w:pos="9072"/>
        </w:tabs>
        <w:rPr>
          <w:rFonts w:ascii="Times New Roman" w:hAnsi="Times New Roman" w:cs="Times New Roman"/>
          <w:i/>
          <w:sz w:val="24"/>
        </w:rPr>
      </w:pPr>
      <w:r w:rsidRPr="00E53225">
        <w:rPr>
          <w:rFonts w:ascii="Times New Roman" w:hAnsi="Times New Roman" w:cs="Times New Roman"/>
          <w:sz w:val="24"/>
        </w:rPr>
        <w:t>ensure that exporters of bulk wheat have fair and transparent access to port terminal services and</w:t>
      </w:r>
    </w:p>
    <w:p w:rsidR="00EE360D" w:rsidRPr="00E53225" w:rsidRDefault="00E53225" w:rsidP="00E53225">
      <w:pPr>
        <w:pStyle w:val="ListParagraph"/>
        <w:numPr>
          <w:ilvl w:val="0"/>
          <w:numId w:val="19"/>
        </w:numPr>
        <w:tabs>
          <w:tab w:val="right" w:pos="9072"/>
        </w:tabs>
        <w:rPr>
          <w:rFonts w:ascii="Times New Roman" w:hAnsi="Times New Roman" w:cs="Times New Roman"/>
          <w:i/>
          <w:sz w:val="24"/>
        </w:rPr>
      </w:pPr>
      <w:r w:rsidRPr="00E53225">
        <w:rPr>
          <w:rFonts w:ascii="Times New Roman" w:hAnsi="Times New Roman" w:cs="Times New Roman"/>
          <w:sz w:val="24"/>
        </w:rPr>
        <w:t>trigger the automatic repeal of the Marketing Act.</w:t>
      </w:r>
    </w:p>
    <w:p w:rsidR="00EE360D" w:rsidRDefault="00EE360D">
      <w:pPr>
        <w:tabs>
          <w:tab w:val="right" w:pos="9072"/>
        </w:tabs>
        <w:rPr>
          <w:rFonts w:ascii="Times New Roman" w:hAnsi="Times New Roman" w:cs="Times New Roman"/>
          <w:sz w:val="24"/>
        </w:rPr>
      </w:pPr>
    </w:p>
    <w:p w:rsidR="00E53225" w:rsidRDefault="00E53225">
      <w:pPr>
        <w:tabs>
          <w:tab w:val="right" w:pos="9072"/>
        </w:tabs>
        <w:ind w:hanging="21"/>
        <w:rPr>
          <w:rFonts w:ascii="Times New Roman" w:hAnsi="Times New Roman" w:cs="Times New Roman"/>
          <w:sz w:val="24"/>
        </w:rPr>
      </w:pPr>
      <w:r>
        <w:rPr>
          <w:rFonts w:ascii="Times New Roman" w:hAnsi="Times New Roman" w:cs="Times New Roman"/>
          <w:sz w:val="24"/>
        </w:rPr>
        <w:t>The Regulation introduce</w:t>
      </w:r>
      <w:r w:rsidR="00741E41">
        <w:rPr>
          <w:rFonts w:ascii="Times New Roman" w:hAnsi="Times New Roman" w:cs="Times New Roman"/>
          <w:sz w:val="24"/>
        </w:rPr>
        <w:t>s</w:t>
      </w:r>
      <w:r>
        <w:rPr>
          <w:rFonts w:ascii="Times New Roman" w:hAnsi="Times New Roman" w:cs="Times New Roman"/>
          <w:sz w:val="24"/>
        </w:rPr>
        <w:t xml:space="preserve"> a mandatory industry code of conduct for access to port terminal facilities for bulk wheat exports, as allowed for under section 12(1) of the </w:t>
      </w:r>
      <w:r>
        <w:rPr>
          <w:rFonts w:ascii="Times New Roman" w:hAnsi="Times New Roman" w:cs="Times New Roman"/>
          <w:i/>
          <w:sz w:val="24"/>
        </w:rPr>
        <w:t>Wheat Export Marketing Amendment Act 2012</w:t>
      </w:r>
      <w:r>
        <w:rPr>
          <w:rFonts w:ascii="Times New Roman" w:hAnsi="Times New Roman" w:cs="Times New Roman"/>
          <w:sz w:val="24"/>
        </w:rPr>
        <w:t>. The objectives of the code of conduct, which is a schedule to the Regulation, are to:</w:t>
      </w:r>
    </w:p>
    <w:p w:rsidR="00E53225" w:rsidRDefault="00E53225" w:rsidP="00E53225">
      <w:pPr>
        <w:pStyle w:val="ListParagraph"/>
        <w:numPr>
          <w:ilvl w:val="0"/>
          <w:numId w:val="18"/>
        </w:numPr>
        <w:tabs>
          <w:tab w:val="right" w:pos="9072"/>
        </w:tabs>
        <w:rPr>
          <w:rFonts w:ascii="Times New Roman" w:hAnsi="Times New Roman" w:cs="Times New Roman"/>
          <w:sz w:val="24"/>
        </w:rPr>
      </w:pPr>
      <w:r w:rsidRPr="00E53225">
        <w:rPr>
          <w:rFonts w:ascii="Times New Roman" w:hAnsi="Times New Roman" w:cs="Times New Roman"/>
          <w:sz w:val="24"/>
        </w:rPr>
        <w:t>promote the operation of an efficient and profitable bulk wheat export industry</w:t>
      </w:r>
      <w:r>
        <w:rPr>
          <w:rFonts w:ascii="Times New Roman" w:hAnsi="Times New Roman" w:cs="Times New Roman"/>
          <w:sz w:val="24"/>
        </w:rPr>
        <w:t>;</w:t>
      </w:r>
      <w:r w:rsidRPr="00E53225">
        <w:rPr>
          <w:rFonts w:ascii="Times New Roman" w:hAnsi="Times New Roman" w:cs="Times New Roman"/>
          <w:sz w:val="24"/>
        </w:rPr>
        <w:t xml:space="preserve"> </w:t>
      </w:r>
    </w:p>
    <w:p w:rsidR="00E53225" w:rsidRDefault="00E53225" w:rsidP="00E53225">
      <w:pPr>
        <w:pStyle w:val="ListParagraph"/>
        <w:numPr>
          <w:ilvl w:val="0"/>
          <w:numId w:val="18"/>
        </w:numPr>
        <w:tabs>
          <w:tab w:val="right" w:pos="9072"/>
        </w:tabs>
        <w:rPr>
          <w:rFonts w:ascii="Times New Roman" w:hAnsi="Times New Roman" w:cs="Times New Roman"/>
          <w:sz w:val="24"/>
        </w:rPr>
      </w:pPr>
      <w:r w:rsidRPr="00E53225">
        <w:rPr>
          <w:rFonts w:ascii="Times New Roman" w:hAnsi="Times New Roman" w:cs="Times New Roman"/>
          <w:sz w:val="24"/>
        </w:rPr>
        <w:t>provide a regulatory framework to ensure all bulk wheat exporters have port terminal access</w:t>
      </w:r>
      <w:r>
        <w:rPr>
          <w:rFonts w:ascii="Times New Roman" w:hAnsi="Times New Roman" w:cs="Times New Roman"/>
          <w:sz w:val="24"/>
        </w:rPr>
        <w:t>;</w:t>
      </w:r>
      <w:r w:rsidRPr="00E53225">
        <w:rPr>
          <w:rFonts w:ascii="Times New Roman" w:hAnsi="Times New Roman" w:cs="Times New Roman"/>
          <w:sz w:val="24"/>
        </w:rPr>
        <w:t xml:space="preserve"> and </w:t>
      </w:r>
    </w:p>
    <w:p w:rsidR="00E53225" w:rsidRDefault="00E53225" w:rsidP="00E53225">
      <w:pPr>
        <w:pStyle w:val="ListParagraph"/>
        <w:numPr>
          <w:ilvl w:val="0"/>
          <w:numId w:val="18"/>
        </w:numPr>
        <w:tabs>
          <w:tab w:val="right" w:pos="9072"/>
        </w:tabs>
        <w:rPr>
          <w:rFonts w:ascii="Times New Roman" w:hAnsi="Times New Roman" w:cs="Times New Roman"/>
          <w:sz w:val="24"/>
        </w:rPr>
      </w:pPr>
      <w:r w:rsidRPr="00E53225">
        <w:rPr>
          <w:rFonts w:ascii="Times New Roman" w:hAnsi="Times New Roman" w:cs="Times New Roman"/>
          <w:sz w:val="24"/>
        </w:rPr>
        <w:t>reduce unnecessary regulatory burden on p</w:t>
      </w:r>
      <w:r>
        <w:rPr>
          <w:rFonts w:ascii="Times New Roman" w:hAnsi="Times New Roman" w:cs="Times New Roman"/>
          <w:sz w:val="24"/>
        </w:rPr>
        <w:t>ort terminal service providers.</w:t>
      </w:r>
    </w:p>
    <w:p w:rsidR="00E53225" w:rsidRDefault="00E53225" w:rsidP="00E53225">
      <w:pPr>
        <w:tabs>
          <w:tab w:val="right" w:pos="9072"/>
        </w:tabs>
        <w:rPr>
          <w:rFonts w:ascii="Times New Roman" w:hAnsi="Times New Roman" w:cs="Times New Roman"/>
          <w:sz w:val="24"/>
        </w:rPr>
      </w:pPr>
    </w:p>
    <w:p w:rsidR="00EE360D" w:rsidRPr="00E53225" w:rsidRDefault="00E53225" w:rsidP="00E53225">
      <w:pPr>
        <w:tabs>
          <w:tab w:val="right" w:pos="9072"/>
        </w:tabs>
        <w:rPr>
          <w:rFonts w:ascii="Times New Roman" w:hAnsi="Times New Roman" w:cs="Times New Roman"/>
          <w:sz w:val="24"/>
        </w:rPr>
      </w:pPr>
      <w:r w:rsidRPr="00E53225">
        <w:rPr>
          <w:rFonts w:ascii="Times New Roman" w:hAnsi="Times New Roman" w:cs="Times New Roman"/>
          <w:sz w:val="24"/>
        </w:rPr>
        <w:t>Bulk wheat is defined as wheat to be loaded into a ship for export, but does not include wheat in a container or a bag not capable of holding more than 50 tonnes of wheat.</w:t>
      </w:r>
    </w:p>
    <w:p w:rsidR="00EE360D" w:rsidRDefault="00EE360D">
      <w:pPr>
        <w:tabs>
          <w:tab w:val="right" w:pos="9072"/>
        </w:tabs>
        <w:rPr>
          <w:rFonts w:ascii="Times New Roman" w:hAnsi="Times New Roman" w:cs="Times New Roman"/>
          <w:sz w:val="24"/>
        </w:rPr>
      </w:pPr>
    </w:p>
    <w:p w:rsidR="00EE360D" w:rsidRDefault="00E53225">
      <w:pPr>
        <w:tabs>
          <w:tab w:val="left" w:pos="1701"/>
          <w:tab w:val="right" w:pos="9072"/>
        </w:tabs>
        <w:rPr>
          <w:rFonts w:ascii="Times New Roman" w:hAnsi="Times New Roman" w:cs="Times New Roman"/>
          <w:b/>
          <w:sz w:val="24"/>
        </w:rPr>
      </w:pPr>
      <w:r>
        <w:rPr>
          <w:rFonts w:ascii="Times New Roman" w:hAnsi="Times New Roman" w:cs="Times New Roman"/>
          <w:b/>
          <w:sz w:val="24"/>
        </w:rPr>
        <w:t>Background</w:t>
      </w:r>
    </w:p>
    <w:p w:rsidR="00EE360D" w:rsidRDefault="00E53225">
      <w:pPr>
        <w:tabs>
          <w:tab w:val="right" w:pos="9072"/>
        </w:tabs>
        <w:rPr>
          <w:rFonts w:ascii="Times New Roman" w:hAnsi="Times New Roman" w:cs="Times New Roman"/>
          <w:sz w:val="24"/>
        </w:rPr>
      </w:pPr>
      <w:r>
        <w:rPr>
          <w:rFonts w:ascii="Times New Roman" w:hAnsi="Times New Roman" w:cs="Times New Roman"/>
          <w:sz w:val="24"/>
        </w:rPr>
        <w:t>The Australian wheat industry is heavily export-oriented with about 75 per cent of annual production going to overseas markets. In 2012-13, Australia produced 22.5 million tonnes of wheat, valued at $6.8 billion to the economy.</w:t>
      </w:r>
    </w:p>
    <w:p w:rsidR="00EE360D" w:rsidRDefault="00EE360D">
      <w:pPr>
        <w:tabs>
          <w:tab w:val="right" w:pos="9072"/>
        </w:tabs>
        <w:rPr>
          <w:rFonts w:ascii="Times New Roman" w:hAnsi="Times New Roman" w:cs="Times New Roman"/>
          <w:sz w:val="24"/>
        </w:rPr>
      </w:pPr>
    </w:p>
    <w:p w:rsidR="00EE360D" w:rsidRDefault="00E53225">
      <w:pPr>
        <w:tabs>
          <w:tab w:val="right" w:pos="9072"/>
        </w:tabs>
        <w:rPr>
          <w:rFonts w:ascii="Times New Roman" w:hAnsi="Times New Roman" w:cs="Times New Roman"/>
          <w:sz w:val="24"/>
        </w:rPr>
      </w:pPr>
      <w:r>
        <w:rPr>
          <w:rFonts w:ascii="Times New Roman" w:hAnsi="Times New Roman" w:cs="Times New Roman"/>
          <w:sz w:val="24"/>
        </w:rPr>
        <w:t xml:space="preserve">The Marketing Act removed the previous single-desk marketing arrangements in 2008 and introduced competition for marketing of Australian bulk wheat exports. The current </w:t>
      </w:r>
      <w:r>
        <w:rPr>
          <w:rFonts w:ascii="Times New Roman" w:hAnsi="Times New Roman" w:cs="Times New Roman"/>
          <w:sz w:val="24"/>
        </w:rPr>
        <w:lastRenderedPageBreak/>
        <w:t>regulatory arrangements for bulk wheat export marketing were introduced in 2012 when the</w:t>
      </w:r>
      <w:r>
        <w:rPr>
          <w:rFonts w:ascii="Times New Roman" w:hAnsi="Times New Roman" w:cs="Times New Roman"/>
          <w:i/>
          <w:sz w:val="24"/>
        </w:rPr>
        <w:t xml:space="preserve"> </w:t>
      </w:r>
      <w:r>
        <w:rPr>
          <w:rFonts w:ascii="Times New Roman" w:hAnsi="Times New Roman" w:cs="Times New Roman"/>
          <w:sz w:val="24"/>
        </w:rPr>
        <w:t>Marketing Act was amended.</w:t>
      </w:r>
    </w:p>
    <w:p w:rsidR="00EE360D" w:rsidRDefault="00EE360D">
      <w:pPr>
        <w:tabs>
          <w:tab w:val="right" w:pos="9072"/>
        </w:tabs>
        <w:rPr>
          <w:rFonts w:ascii="Times New Roman" w:hAnsi="Times New Roman" w:cs="Times New Roman"/>
          <w:sz w:val="24"/>
        </w:rPr>
      </w:pPr>
    </w:p>
    <w:p w:rsidR="00EE360D" w:rsidRDefault="00E53225">
      <w:pPr>
        <w:tabs>
          <w:tab w:val="right" w:pos="9072"/>
        </w:tabs>
        <w:rPr>
          <w:rFonts w:ascii="Times New Roman" w:hAnsi="Times New Roman" w:cs="Times New Roman"/>
          <w:sz w:val="24"/>
        </w:rPr>
      </w:pPr>
      <w:r>
        <w:rPr>
          <w:rFonts w:ascii="Times New Roman" w:hAnsi="Times New Roman" w:cs="Times New Roman"/>
          <w:sz w:val="24"/>
        </w:rPr>
        <w:t xml:space="preserve">Since 2008, the industry has benefited from the presence of competition during periods of record wheat production. However, the composition of the industry has evolved and there is now a risk that the benefits of these arrangements no longer justify the costs. Indeed, industry has criticised the current arrangements as being administratively burdensome, inequitable, poorly targeted and restricting Australia’s competitiveness in the global market. </w:t>
      </w:r>
    </w:p>
    <w:p w:rsidR="00EE360D" w:rsidRDefault="00EE360D">
      <w:pPr>
        <w:tabs>
          <w:tab w:val="right" w:pos="9072"/>
        </w:tabs>
        <w:rPr>
          <w:rFonts w:ascii="Times New Roman" w:hAnsi="Times New Roman" w:cs="Times New Roman"/>
          <w:sz w:val="24"/>
        </w:rPr>
      </w:pPr>
    </w:p>
    <w:p w:rsidR="00EE360D" w:rsidRDefault="00E53225">
      <w:pPr>
        <w:rPr>
          <w:rFonts w:ascii="Times New Roman" w:hAnsi="Times New Roman" w:cs="Times New Roman"/>
          <w:sz w:val="24"/>
        </w:rPr>
      </w:pPr>
      <w:r>
        <w:rPr>
          <w:rFonts w:ascii="Times New Roman" w:hAnsi="Times New Roman" w:cs="Times New Roman"/>
          <w:sz w:val="24"/>
        </w:rPr>
        <w:t xml:space="preserve">The arrangements introduced in 2008 were reviewed by the Productivity Commission in 2010 and it found that industry had successfully transitioned to a less regulated environment. The Commission recommended that the Marketing Act be removed in its entirety on 30 September 2014. Many stakeholders expressed concern that the industry was not yet ready to rely on general competition law and argued for a level of industry-specific regulation to remain. </w:t>
      </w:r>
    </w:p>
    <w:p w:rsidR="00EE360D" w:rsidRDefault="00EE360D">
      <w:pPr>
        <w:rPr>
          <w:rFonts w:ascii="Times New Roman" w:hAnsi="Times New Roman" w:cs="Times New Roman"/>
          <w:sz w:val="24"/>
        </w:rPr>
      </w:pPr>
    </w:p>
    <w:p w:rsidR="00EE360D" w:rsidRDefault="00E53225">
      <w:pPr>
        <w:rPr>
          <w:rFonts w:ascii="Times New Roman" w:hAnsi="Times New Roman" w:cs="Times New Roman"/>
          <w:sz w:val="24"/>
        </w:rPr>
      </w:pPr>
      <w:r>
        <w:rPr>
          <w:rFonts w:ascii="Times New Roman" w:hAnsi="Times New Roman" w:cs="Times New Roman"/>
          <w:sz w:val="24"/>
        </w:rPr>
        <w:t>Owners and operators of port terminal facilities control significant bottle-neck infrastructure required for export of bulk wheat. There is concern within industry over behaviours in the supply chain related to potential abuse of market power and monopolistic behaviour, particularly by port terminal operators with associated wheat export businesses. The need for continued regulatory oversight was recognised i</w:t>
      </w:r>
      <w:r w:rsidRPr="00E53225">
        <w:rPr>
          <w:rFonts w:ascii="Times New Roman" w:hAnsi="Times New Roman" w:cs="Times New Roman"/>
          <w:sz w:val="24"/>
        </w:rPr>
        <w:t>n the</w:t>
      </w:r>
      <w:r>
        <w:t xml:space="preserve"> </w:t>
      </w:r>
      <w:r>
        <w:rPr>
          <w:rFonts w:ascii="Times New Roman" w:hAnsi="Times New Roman" w:cs="Times New Roman"/>
          <w:i/>
          <w:sz w:val="24"/>
        </w:rPr>
        <w:t>Wheat Export Marketing Amendment Act 2012</w:t>
      </w:r>
      <w:r>
        <w:t xml:space="preserve"> </w:t>
      </w:r>
      <w:r w:rsidR="00D336FE" w:rsidRPr="00D336FE">
        <w:rPr>
          <w:rFonts w:ascii="Times New Roman" w:hAnsi="Times New Roman" w:cs="Times New Roman"/>
          <w:sz w:val="24"/>
        </w:rPr>
        <w:t xml:space="preserve">which provides that a mandatory code of conduct, if in place by 1 October 2014, will replace the Marketing Act. </w:t>
      </w:r>
    </w:p>
    <w:p w:rsidR="00EE360D" w:rsidRDefault="00EE360D">
      <w:pPr>
        <w:tabs>
          <w:tab w:val="right" w:pos="9072"/>
        </w:tabs>
        <w:rPr>
          <w:rFonts w:ascii="Times New Roman" w:hAnsi="Times New Roman" w:cs="Times New Roman"/>
          <w:sz w:val="24"/>
        </w:rPr>
      </w:pPr>
    </w:p>
    <w:p w:rsidR="00EE360D" w:rsidRDefault="00E53225">
      <w:pPr>
        <w:tabs>
          <w:tab w:val="left" w:pos="1701"/>
          <w:tab w:val="right" w:pos="9072"/>
        </w:tabs>
        <w:rPr>
          <w:rFonts w:ascii="Times New Roman" w:hAnsi="Times New Roman" w:cs="Times New Roman"/>
          <w:b/>
          <w:sz w:val="24"/>
        </w:rPr>
      </w:pPr>
      <w:r>
        <w:rPr>
          <w:rFonts w:ascii="Times New Roman" w:hAnsi="Times New Roman" w:cs="Times New Roman"/>
          <w:b/>
          <w:sz w:val="24"/>
        </w:rPr>
        <w:t>Impact and Effect</w:t>
      </w:r>
    </w:p>
    <w:p w:rsidR="00BB1AD5" w:rsidRDefault="00E53225">
      <w:pPr>
        <w:tabs>
          <w:tab w:val="right" w:pos="9072"/>
        </w:tabs>
        <w:rPr>
          <w:rFonts w:ascii="Times New Roman" w:hAnsi="Times New Roman" w:cs="Times New Roman"/>
          <w:sz w:val="24"/>
        </w:rPr>
      </w:pPr>
      <w:r>
        <w:rPr>
          <w:rFonts w:ascii="Times New Roman" w:hAnsi="Times New Roman" w:cs="Times New Roman"/>
          <w:sz w:val="24"/>
        </w:rPr>
        <w:t xml:space="preserve">The Regulation </w:t>
      </w:r>
      <w:r w:rsidR="00741E41">
        <w:rPr>
          <w:rFonts w:ascii="Times New Roman" w:hAnsi="Times New Roman" w:cs="Times New Roman"/>
          <w:sz w:val="24"/>
        </w:rPr>
        <w:t>applies</w:t>
      </w:r>
      <w:r>
        <w:rPr>
          <w:rFonts w:ascii="Times New Roman" w:hAnsi="Times New Roman" w:cs="Times New Roman"/>
          <w:sz w:val="24"/>
        </w:rPr>
        <w:t xml:space="preserve"> to </w:t>
      </w:r>
      <w:r w:rsidR="00BB1AD5">
        <w:rPr>
          <w:rFonts w:ascii="Times New Roman" w:hAnsi="Times New Roman" w:cs="Times New Roman"/>
          <w:sz w:val="24"/>
        </w:rPr>
        <w:t xml:space="preserve">the providers of services supplied via port facilities capable of handling bulk wheat and exporters that wish to use those services. It </w:t>
      </w:r>
      <w:r w:rsidR="00741E41">
        <w:rPr>
          <w:rFonts w:ascii="Times New Roman" w:hAnsi="Times New Roman" w:cs="Times New Roman"/>
          <w:sz w:val="24"/>
        </w:rPr>
        <w:t>r</w:t>
      </w:r>
      <w:r w:rsidR="00BB1AD5">
        <w:rPr>
          <w:rFonts w:ascii="Times New Roman" w:hAnsi="Times New Roman" w:cs="Times New Roman"/>
          <w:sz w:val="24"/>
        </w:rPr>
        <w:t>egulate</w:t>
      </w:r>
      <w:r w:rsidR="00741E41">
        <w:rPr>
          <w:rFonts w:ascii="Times New Roman" w:hAnsi="Times New Roman" w:cs="Times New Roman"/>
          <w:sz w:val="24"/>
        </w:rPr>
        <w:t>s</w:t>
      </w:r>
      <w:r w:rsidR="00BB1AD5">
        <w:rPr>
          <w:rFonts w:ascii="Times New Roman" w:hAnsi="Times New Roman" w:cs="Times New Roman"/>
          <w:sz w:val="24"/>
        </w:rPr>
        <w:t xml:space="preserve"> the commercial behaviour between port terminal service providers and exporters, and facilitate</w:t>
      </w:r>
      <w:r w:rsidR="00741E41">
        <w:rPr>
          <w:rFonts w:ascii="Times New Roman" w:hAnsi="Times New Roman" w:cs="Times New Roman"/>
          <w:sz w:val="24"/>
        </w:rPr>
        <w:t>s</w:t>
      </w:r>
      <w:r w:rsidR="00BB1AD5">
        <w:rPr>
          <w:rFonts w:ascii="Times New Roman" w:hAnsi="Times New Roman" w:cs="Times New Roman"/>
          <w:sz w:val="24"/>
        </w:rPr>
        <w:t xml:space="preserve"> the ACCC’s role as the regulator (e.g. by requiring certain records to be kept for several years).</w:t>
      </w:r>
    </w:p>
    <w:p w:rsidR="00BB1AD5" w:rsidRDefault="00BB1AD5">
      <w:pPr>
        <w:tabs>
          <w:tab w:val="right" w:pos="9072"/>
        </w:tabs>
        <w:rPr>
          <w:rFonts w:ascii="Times New Roman" w:hAnsi="Times New Roman" w:cs="Times New Roman"/>
          <w:sz w:val="24"/>
        </w:rPr>
      </w:pPr>
    </w:p>
    <w:p w:rsidR="00EE360D" w:rsidRDefault="00BB1AD5">
      <w:pPr>
        <w:tabs>
          <w:tab w:val="right" w:pos="9072"/>
        </w:tabs>
        <w:rPr>
          <w:rFonts w:ascii="Times New Roman" w:hAnsi="Times New Roman" w:cs="Times New Roman"/>
          <w:sz w:val="24"/>
        </w:rPr>
      </w:pPr>
      <w:r>
        <w:rPr>
          <w:rFonts w:ascii="Times New Roman" w:hAnsi="Times New Roman" w:cs="Times New Roman"/>
          <w:sz w:val="24"/>
        </w:rPr>
        <w:t>A</w:t>
      </w:r>
      <w:r w:rsidR="00E53225">
        <w:rPr>
          <w:rFonts w:ascii="Times New Roman" w:hAnsi="Times New Roman" w:cs="Times New Roman"/>
          <w:sz w:val="24"/>
        </w:rPr>
        <w:t xml:space="preserve">pproximately ten </w:t>
      </w:r>
      <w:r>
        <w:rPr>
          <w:rFonts w:ascii="Times New Roman" w:hAnsi="Times New Roman" w:cs="Times New Roman"/>
          <w:sz w:val="24"/>
        </w:rPr>
        <w:t>port terminal service providers are likely to be affected</w:t>
      </w:r>
      <w:r w:rsidR="00741E41">
        <w:rPr>
          <w:rFonts w:ascii="Times New Roman" w:hAnsi="Times New Roman" w:cs="Times New Roman"/>
          <w:sz w:val="24"/>
        </w:rPr>
        <w:t xml:space="preserve"> by the Regulation</w:t>
      </w:r>
      <w:r>
        <w:rPr>
          <w:rFonts w:ascii="Times New Roman" w:hAnsi="Times New Roman" w:cs="Times New Roman"/>
          <w:sz w:val="24"/>
        </w:rPr>
        <w:t xml:space="preserve"> in the first two years</w:t>
      </w:r>
      <w:r w:rsidR="00741E41">
        <w:rPr>
          <w:rFonts w:ascii="Times New Roman" w:hAnsi="Times New Roman" w:cs="Times New Roman"/>
          <w:sz w:val="24"/>
        </w:rPr>
        <w:t xml:space="preserve"> of operation</w:t>
      </w:r>
      <w:r>
        <w:rPr>
          <w:rFonts w:ascii="Times New Roman" w:hAnsi="Times New Roman" w:cs="Times New Roman"/>
          <w:sz w:val="24"/>
        </w:rPr>
        <w:t>.</w:t>
      </w:r>
      <w:r w:rsidR="00E53225">
        <w:rPr>
          <w:rFonts w:ascii="Times New Roman" w:hAnsi="Times New Roman" w:cs="Times New Roman"/>
          <w:sz w:val="24"/>
        </w:rPr>
        <w:t xml:space="preserve"> The financial impact on </w:t>
      </w:r>
      <w:r>
        <w:rPr>
          <w:rFonts w:ascii="Times New Roman" w:hAnsi="Times New Roman" w:cs="Times New Roman"/>
          <w:sz w:val="24"/>
        </w:rPr>
        <w:t xml:space="preserve">these </w:t>
      </w:r>
      <w:r w:rsidR="00E53225">
        <w:rPr>
          <w:rFonts w:ascii="Times New Roman" w:hAnsi="Times New Roman" w:cs="Times New Roman"/>
          <w:sz w:val="24"/>
        </w:rPr>
        <w:t xml:space="preserve">service providers to comply with all the requirements of the Regulation is estimated at less than $340 000 per operator per annum. </w:t>
      </w:r>
      <w:r>
        <w:rPr>
          <w:rFonts w:ascii="Times New Roman" w:hAnsi="Times New Roman" w:cs="Times New Roman"/>
          <w:sz w:val="24"/>
        </w:rPr>
        <w:t>When compared to the existing arrangements t</w:t>
      </w:r>
      <w:r w:rsidR="00E53225">
        <w:rPr>
          <w:rFonts w:ascii="Times New Roman" w:hAnsi="Times New Roman" w:cs="Times New Roman"/>
          <w:sz w:val="24"/>
        </w:rPr>
        <w:t>his is a reduction in regulatory compliance costs of about $260 000 per operator per annum for those service providers that have access under</w:t>
      </w:r>
      <w:r>
        <w:rPr>
          <w:rFonts w:ascii="Times New Roman" w:hAnsi="Times New Roman" w:cs="Times New Roman"/>
          <w:sz w:val="24"/>
        </w:rPr>
        <w:t>takings in place with the ACCC, as required by the Marketing Act</w:t>
      </w:r>
      <w:r w:rsidR="00E53225">
        <w:rPr>
          <w:rFonts w:ascii="Times New Roman" w:hAnsi="Times New Roman" w:cs="Times New Roman"/>
          <w:sz w:val="24"/>
        </w:rPr>
        <w:t xml:space="preserve">. </w:t>
      </w:r>
    </w:p>
    <w:p w:rsidR="00EE360D" w:rsidRDefault="00EE360D">
      <w:pPr>
        <w:tabs>
          <w:tab w:val="right" w:pos="9072"/>
        </w:tabs>
        <w:rPr>
          <w:rFonts w:ascii="Times New Roman" w:hAnsi="Times New Roman" w:cs="Times New Roman"/>
          <w:sz w:val="24"/>
        </w:rPr>
      </w:pPr>
    </w:p>
    <w:p w:rsidR="00EE360D" w:rsidRDefault="00E53225">
      <w:pPr>
        <w:tabs>
          <w:tab w:val="right" w:pos="9072"/>
        </w:tabs>
        <w:rPr>
          <w:rFonts w:ascii="Times New Roman" w:hAnsi="Times New Roman" w:cs="Times New Roman"/>
          <w:sz w:val="24"/>
        </w:rPr>
      </w:pPr>
      <w:r>
        <w:rPr>
          <w:rFonts w:ascii="Times New Roman" w:hAnsi="Times New Roman" w:cs="Times New Roman"/>
          <w:sz w:val="24"/>
        </w:rPr>
        <w:t>Provision</w:t>
      </w:r>
      <w:r w:rsidR="00BB1AD5">
        <w:rPr>
          <w:rFonts w:ascii="Times New Roman" w:hAnsi="Times New Roman" w:cs="Times New Roman"/>
          <w:sz w:val="24"/>
        </w:rPr>
        <w:t>s</w:t>
      </w:r>
      <w:r>
        <w:rPr>
          <w:rFonts w:ascii="Times New Roman" w:hAnsi="Times New Roman" w:cs="Times New Roman"/>
          <w:sz w:val="24"/>
        </w:rPr>
        <w:t xml:space="preserve"> within the Regulation </w:t>
      </w:r>
      <w:r w:rsidR="00BB1AD5">
        <w:rPr>
          <w:rFonts w:ascii="Times New Roman" w:hAnsi="Times New Roman" w:cs="Times New Roman"/>
          <w:sz w:val="24"/>
        </w:rPr>
        <w:t xml:space="preserve">provide </w:t>
      </w:r>
      <w:r>
        <w:rPr>
          <w:rFonts w:ascii="Times New Roman" w:hAnsi="Times New Roman" w:cs="Times New Roman"/>
          <w:sz w:val="24"/>
        </w:rPr>
        <w:t xml:space="preserve">for the </w:t>
      </w:r>
      <w:r w:rsidR="00BB1AD5">
        <w:rPr>
          <w:rFonts w:ascii="Times New Roman" w:hAnsi="Times New Roman" w:cs="Times New Roman"/>
          <w:sz w:val="24"/>
        </w:rPr>
        <w:t xml:space="preserve">Minister for Agriculture and the </w:t>
      </w:r>
      <w:r>
        <w:rPr>
          <w:rFonts w:ascii="Times New Roman" w:hAnsi="Times New Roman" w:cs="Times New Roman"/>
          <w:sz w:val="24"/>
        </w:rPr>
        <w:t xml:space="preserve">ACCC to exempt an operator of port terminal services from Part 3 to Part 6 of the code, provided certain conditions are met. </w:t>
      </w:r>
      <w:r w:rsidR="00B1003E">
        <w:rPr>
          <w:rFonts w:ascii="Times New Roman" w:hAnsi="Times New Roman" w:cs="Times New Roman"/>
          <w:sz w:val="24"/>
        </w:rPr>
        <w:t>An exemption</w:t>
      </w:r>
      <w:r>
        <w:rPr>
          <w:rFonts w:ascii="Times New Roman" w:hAnsi="Times New Roman" w:cs="Times New Roman"/>
          <w:sz w:val="24"/>
        </w:rPr>
        <w:t xml:space="preserve"> would significantly reduce a service provider’s level of compliance requirements to an estimated cost of less than $20 000 per operator per annum. The lower level of compliance consists of publishing policies and </w:t>
      </w:r>
      <w:r w:rsidR="00741E41">
        <w:rPr>
          <w:rFonts w:ascii="Times New Roman" w:hAnsi="Times New Roman" w:cs="Times New Roman"/>
          <w:sz w:val="24"/>
        </w:rPr>
        <w:t xml:space="preserve">procedures for managing demand for services </w:t>
      </w:r>
      <w:r>
        <w:rPr>
          <w:rFonts w:ascii="Times New Roman" w:hAnsi="Times New Roman" w:cs="Times New Roman"/>
          <w:sz w:val="24"/>
        </w:rPr>
        <w:t xml:space="preserve">and listing </w:t>
      </w:r>
      <w:r w:rsidR="00B1003E">
        <w:rPr>
          <w:rFonts w:ascii="Times New Roman" w:hAnsi="Times New Roman" w:cs="Times New Roman"/>
          <w:sz w:val="24"/>
        </w:rPr>
        <w:t xml:space="preserve">information about </w:t>
      </w:r>
      <w:r>
        <w:rPr>
          <w:rFonts w:ascii="Times New Roman" w:hAnsi="Times New Roman" w:cs="Times New Roman"/>
          <w:sz w:val="24"/>
        </w:rPr>
        <w:t xml:space="preserve">ships that are scheduled to load grain at its facility. To ensure orderly implementation, the code will not apply to those service providers that do not have an access undertaking in place immediately before the code takes effect, until 1 October 2015. It is expected that at least </w:t>
      </w:r>
      <w:r w:rsidR="00883D63">
        <w:rPr>
          <w:rFonts w:ascii="Times New Roman" w:hAnsi="Times New Roman" w:cs="Times New Roman"/>
          <w:sz w:val="24"/>
        </w:rPr>
        <w:t xml:space="preserve">five </w:t>
      </w:r>
      <w:r>
        <w:rPr>
          <w:rFonts w:ascii="Times New Roman" w:hAnsi="Times New Roman" w:cs="Times New Roman"/>
          <w:sz w:val="24"/>
        </w:rPr>
        <w:t>op</w:t>
      </w:r>
      <w:r w:rsidR="00741E41">
        <w:rPr>
          <w:rFonts w:ascii="Times New Roman" w:hAnsi="Times New Roman" w:cs="Times New Roman"/>
          <w:sz w:val="24"/>
        </w:rPr>
        <w:t>erators will obtain an</w:t>
      </w:r>
      <w:r>
        <w:rPr>
          <w:rFonts w:ascii="Times New Roman" w:hAnsi="Times New Roman" w:cs="Times New Roman"/>
          <w:sz w:val="24"/>
        </w:rPr>
        <w:t xml:space="preserve"> exemption during the 12-month transitional period provided for under the Regulation, and therefore minimise compliance costs.</w:t>
      </w:r>
    </w:p>
    <w:p w:rsidR="00EE360D" w:rsidRDefault="00EE360D">
      <w:pPr>
        <w:tabs>
          <w:tab w:val="right" w:pos="9072"/>
        </w:tabs>
        <w:rPr>
          <w:rFonts w:ascii="Times New Roman" w:hAnsi="Times New Roman" w:cs="Times New Roman"/>
          <w:sz w:val="24"/>
        </w:rPr>
      </w:pPr>
    </w:p>
    <w:p w:rsidR="00EE360D" w:rsidRDefault="00E53225">
      <w:pPr>
        <w:tabs>
          <w:tab w:val="right" w:pos="9072"/>
        </w:tabs>
        <w:rPr>
          <w:rFonts w:ascii="Times New Roman" w:hAnsi="Times New Roman" w:cs="Times New Roman"/>
          <w:sz w:val="24"/>
        </w:rPr>
      </w:pPr>
      <w:r w:rsidRPr="00741E41">
        <w:rPr>
          <w:rFonts w:ascii="Times New Roman" w:hAnsi="Times New Roman" w:cs="Times New Roman"/>
          <w:sz w:val="24"/>
        </w:rPr>
        <w:lastRenderedPageBreak/>
        <w:t>Total regulatory</w:t>
      </w:r>
      <w:r>
        <w:rPr>
          <w:rFonts w:ascii="Times New Roman" w:hAnsi="Times New Roman" w:cs="Times New Roman"/>
          <w:sz w:val="24"/>
        </w:rPr>
        <w:t xml:space="preserve"> impact of the Regulation on industry, allowing for expected exemptions</w:t>
      </w:r>
      <w:r w:rsidR="00741E41">
        <w:rPr>
          <w:rFonts w:ascii="Times New Roman" w:hAnsi="Times New Roman" w:cs="Times New Roman"/>
          <w:sz w:val="24"/>
        </w:rPr>
        <w:t>, has been estimated at $</w:t>
      </w:r>
      <w:r w:rsidR="00714D8D">
        <w:rPr>
          <w:rFonts w:ascii="Times New Roman" w:hAnsi="Times New Roman" w:cs="Times New Roman"/>
          <w:sz w:val="24"/>
        </w:rPr>
        <w:t>1.8</w:t>
      </w:r>
      <w:r>
        <w:rPr>
          <w:rFonts w:ascii="Times New Roman" w:hAnsi="Times New Roman" w:cs="Times New Roman"/>
          <w:sz w:val="24"/>
        </w:rPr>
        <w:t xml:space="preserve"> million per annum. Compliance </w:t>
      </w:r>
      <w:r w:rsidRPr="00741E41">
        <w:rPr>
          <w:rFonts w:ascii="Times New Roman" w:hAnsi="Times New Roman" w:cs="Times New Roman"/>
          <w:sz w:val="24"/>
        </w:rPr>
        <w:t xml:space="preserve">costs under the existing arrangements total $2.41 million per annum, resulting in a net reduction in regulatory burden of </w:t>
      </w:r>
      <w:r w:rsidR="00296E69">
        <w:rPr>
          <w:rFonts w:ascii="Times New Roman" w:hAnsi="Times New Roman" w:cs="Times New Roman"/>
          <w:sz w:val="24"/>
        </w:rPr>
        <w:t xml:space="preserve">approximately </w:t>
      </w:r>
      <w:r w:rsidRPr="00741E41">
        <w:rPr>
          <w:rFonts w:ascii="Times New Roman" w:hAnsi="Times New Roman" w:cs="Times New Roman"/>
          <w:sz w:val="24"/>
        </w:rPr>
        <w:t>$</w:t>
      </w:r>
      <w:r w:rsidR="00741E41">
        <w:rPr>
          <w:rFonts w:ascii="Times New Roman" w:hAnsi="Times New Roman" w:cs="Times New Roman"/>
          <w:sz w:val="24"/>
        </w:rPr>
        <w:t>0.</w:t>
      </w:r>
      <w:r w:rsidR="00714D8D">
        <w:rPr>
          <w:rFonts w:ascii="Times New Roman" w:hAnsi="Times New Roman" w:cs="Times New Roman"/>
          <w:sz w:val="24"/>
        </w:rPr>
        <w:t>63 </w:t>
      </w:r>
      <w:r w:rsidR="00741E41">
        <w:rPr>
          <w:rFonts w:ascii="Times New Roman" w:hAnsi="Times New Roman" w:cs="Times New Roman"/>
          <w:sz w:val="24"/>
        </w:rPr>
        <w:t>million per annum</w:t>
      </w:r>
      <w:r w:rsidRPr="00741E41">
        <w:rPr>
          <w:rFonts w:ascii="Times New Roman" w:hAnsi="Times New Roman" w:cs="Times New Roman"/>
          <w:sz w:val="24"/>
        </w:rPr>
        <w:t>.</w:t>
      </w:r>
      <w:r>
        <w:t xml:space="preserve"> </w:t>
      </w:r>
    </w:p>
    <w:p w:rsidR="00EE360D" w:rsidRDefault="00EE360D">
      <w:pPr>
        <w:tabs>
          <w:tab w:val="right" w:pos="9072"/>
        </w:tabs>
        <w:rPr>
          <w:rFonts w:ascii="Times New Roman" w:hAnsi="Times New Roman" w:cs="Times New Roman"/>
          <w:sz w:val="24"/>
        </w:rPr>
      </w:pPr>
    </w:p>
    <w:p w:rsidR="00EE360D" w:rsidRDefault="00E53225">
      <w:pPr>
        <w:tabs>
          <w:tab w:val="left" w:pos="1701"/>
          <w:tab w:val="right" w:pos="9072"/>
        </w:tabs>
        <w:rPr>
          <w:rFonts w:ascii="Times New Roman" w:hAnsi="Times New Roman" w:cs="Times New Roman"/>
          <w:sz w:val="24"/>
        </w:rPr>
      </w:pPr>
      <w:r>
        <w:rPr>
          <w:rFonts w:ascii="Times New Roman" w:hAnsi="Times New Roman" w:cs="Times New Roman"/>
          <w:b/>
          <w:sz w:val="24"/>
        </w:rPr>
        <w:t>Consultation</w:t>
      </w:r>
    </w:p>
    <w:p w:rsidR="00EE360D" w:rsidRDefault="00E53225">
      <w:pPr>
        <w:tabs>
          <w:tab w:val="left" w:pos="1701"/>
          <w:tab w:val="right" w:pos="9072"/>
        </w:tabs>
        <w:rPr>
          <w:rFonts w:ascii="Times New Roman" w:hAnsi="Times New Roman" w:cs="Times New Roman"/>
          <w:sz w:val="24"/>
        </w:rPr>
      </w:pPr>
      <w:r>
        <w:rPr>
          <w:rFonts w:ascii="Times New Roman" w:hAnsi="Times New Roman" w:cs="Times New Roman"/>
          <w:sz w:val="24"/>
        </w:rPr>
        <w:t>On 3 June 2014, the Minister for Agriculture released the early-assessment Regulation Impact Statement for public consultation. It was published, along with a draft mandatory code of conduct and consultation paper, at www.daff.gov.au/portcode.</w:t>
      </w:r>
    </w:p>
    <w:p w:rsidR="00EE360D" w:rsidRDefault="00EE360D">
      <w:pPr>
        <w:tabs>
          <w:tab w:val="left" w:pos="1701"/>
          <w:tab w:val="right" w:pos="9072"/>
        </w:tabs>
        <w:rPr>
          <w:rFonts w:ascii="Times New Roman" w:hAnsi="Times New Roman" w:cs="Times New Roman"/>
          <w:sz w:val="24"/>
        </w:rPr>
      </w:pPr>
    </w:p>
    <w:p w:rsidR="00EE360D" w:rsidRDefault="00E53225">
      <w:pPr>
        <w:tabs>
          <w:tab w:val="left" w:pos="1701"/>
          <w:tab w:val="right" w:pos="9072"/>
        </w:tabs>
        <w:rPr>
          <w:rFonts w:ascii="Times New Roman" w:hAnsi="Times New Roman" w:cs="Times New Roman"/>
          <w:sz w:val="24"/>
        </w:rPr>
      </w:pPr>
      <w:r>
        <w:rPr>
          <w:rFonts w:ascii="Times New Roman" w:hAnsi="Times New Roman" w:cs="Times New Roman"/>
          <w:sz w:val="24"/>
        </w:rPr>
        <w:t>An email alert was also sent to more than 60 industry stakeholders, in addition to posts on social media, through the Department’s twitter account. The Minister’s media release was picked up by a number of media outlets and featured in the rural press.</w:t>
      </w:r>
    </w:p>
    <w:p w:rsidR="00EE360D" w:rsidRDefault="00EE360D">
      <w:pPr>
        <w:tabs>
          <w:tab w:val="left" w:pos="1701"/>
          <w:tab w:val="right" w:pos="9072"/>
        </w:tabs>
        <w:rPr>
          <w:rFonts w:ascii="Times New Roman" w:hAnsi="Times New Roman" w:cs="Times New Roman"/>
          <w:sz w:val="24"/>
        </w:rPr>
      </w:pPr>
    </w:p>
    <w:p w:rsidR="00EE360D" w:rsidRDefault="00E53225">
      <w:pPr>
        <w:tabs>
          <w:tab w:val="left" w:pos="1701"/>
          <w:tab w:val="right" w:pos="9072"/>
        </w:tabs>
        <w:rPr>
          <w:rFonts w:ascii="Times New Roman" w:hAnsi="Times New Roman" w:cs="Times New Roman"/>
          <w:sz w:val="24"/>
        </w:rPr>
      </w:pPr>
      <w:r>
        <w:rPr>
          <w:rFonts w:ascii="Times New Roman" w:hAnsi="Times New Roman" w:cs="Times New Roman"/>
          <w:sz w:val="24"/>
        </w:rPr>
        <w:t>From 3 to 24 June 2014, representatives from the Department</w:t>
      </w:r>
      <w:r w:rsidR="00741E41">
        <w:rPr>
          <w:rFonts w:ascii="Times New Roman" w:hAnsi="Times New Roman" w:cs="Times New Roman"/>
          <w:sz w:val="24"/>
        </w:rPr>
        <w:t xml:space="preserve"> of </w:t>
      </w:r>
      <w:r w:rsidR="00883A79">
        <w:rPr>
          <w:rFonts w:ascii="Times New Roman" w:hAnsi="Times New Roman" w:cs="Times New Roman"/>
          <w:sz w:val="24"/>
        </w:rPr>
        <w:t>Agriculture</w:t>
      </w:r>
      <w:r>
        <w:rPr>
          <w:rFonts w:ascii="Times New Roman" w:hAnsi="Times New Roman" w:cs="Times New Roman"/>
          <w:sz w:val="24"/>
        </w:rPr>
        <w:t>, along with the ACCC, held meetings with a broad range of stakeholders across the country. As a result of the high level of industry interest, it met with more than 50 interested stakeholders, including the Code Development Advisory Committee, the Australian Grain Exporters Association and state farming groups. A total of 24 written submissions were received by the closing date of 24 June 2014.</w:t>
      </w:r>
    </w:p>
    <w:p w:rsidR="00EE360D" w:rsidRDefault="00EE360D">
      <w:pPr>
        <w:tabs>
          <w:tab w:val="left" w:pos="1701"/>
          <w:tab w:val="right" w:pos="9072"/>
        </w:tabs>
        <w:rPr>
          <w:rFonts w:ascii="Times New Roman" w:hAnsi="Times New Roman" w:cs="Times New Roman"/>
          <w:sz w:val="24"/>
        </w:rPr>
      </w:pPr>
    </w:p>
    <w:p w:rsidR="00EE360D" w:rsidRDefault="00E53225">
      <w:pPr>
        <w:tabs>
          <w:tab w:val="left" w:pos="1701"/>
          <w:tab w:val="right" w:pos="9072"/>
        </w:tabs>
        <w:rPr>
          <w:rFonts w:ascii="Times New Roman" w:hAnsi="Times New Roman" w:cs="Times New Roman"/>
          <w:sz w:val="24"/>
        </w:rPr>
      </w:pPr>
      <w:r>
        <w:rPr>
          <w:rFonts w:ascii="Times New Roman" w:hAnsi="Times New Roman" w:cs="Times New Roman"/>
          <w:sz w:val="24"/>
        </w:rPr>
        <w:t>The Department also consulted the departments of the Prime Minister and Cabinet</w:t>
      </w:r>
      <w:r w:rsidR="00B43661">
        <w:rPr>
          <w:rFonts w:ascii="Times New Roman" w:hAnsi="Times New Roman" w:cs="Times New Roman"/>
          <w:sz w:val="24"/>
        </w:rPr>
        <w:t xml:space="preserve"> and</w:t>
      </w:r>
      <w:r>
        <w:rPr>
          <w:rFonts w:ascii="Times New Roman" w:hAnsi="Times New Roman" w:cs="Times New Roman"/>
          <w:sz w:val="24"/>
        </w:rPr>
        <w:t xml:space="preserve"> </w:t>
      </w:r>
      <w:r w:rsidR="00B43661">
        <w:rPr>
          <w:rFonts w:ascii="Times New Roman" w:hAnsi="Times New Roman" w:cs="Times New Roman"/>
          <w:sz w:val="24"/>
        </w:rPr>
        <w:t xml:space="preserve">the </w:t>
      </w:r>
      <w:r>
        <w:rPr>
          <w:rFonts w:ascii="Times New Roman" w:hAnsi="Times New Roman" w:cs="Times New Roman"/>
          <w:sz w:val="24"/>
        </w:rPr>
        <w:t>Treasury in preparing the regulation.</w:t>
      </w:r>
    </w:p>
    <w:p w:rsidR="00EE360D" w:rsidRDefault="00EE360D">
      <w:pPr>
        <w:tabs>
          <w:tab w:val="left" w:pos="1701"/>
          <w:tab w:val="right" w:pos="9072"/>
        </w:tabs>
        <w:rPr>
          <w:rFonts w:ascii="Times New Roman" w:hAnsi="Times New Roman" w:cs="Times New Roman"/>
          <w:sz w:val="24"/>
        </w:rPr>
      </w:pPr>
    </w:p>
    <w:p w:rsidR="00EE360D" w:rsidRDefault="00E53225">
      <w:pPr>
        <w:tabs>
          <w:tab w:val="left" w:pos="1701"/>
          <w:tab w:val="right" w:pos="9072"/>
        </w:tabs>
        <w:rPr>
          <w:rFonts w:ascii="Times New Roman" w:hAnsi="Times New Roman" w:cs="Times New Roman"/>
          <w:sz w:val="24"/>
        </w:rPr>
      </w:pPr>
      <w:r>
        <w:rPr>
          <w:rFonts w:ascii="Times New Roman" w:hAnsi="Times New Roman" w:cs="Times New Roman"/>
          <w:sz w:val="24"/>
        </w:rPr>
        <w:t xml:space="preserve">As a result of the consultation, the draft code was modified to better address stakeholder concerns and Australian Government policy objectives. The Regulatory Impact Statement for the mandatory Code of Conduct for Grain Export Terminals was modified accordingly and approved by the Office of Best Practice Regulation (ID 16234). </w:t>
      </w:r>
    </w:p>
    <w:p w:rsidR="00EE360D" w:rsidRDefault="00EE360D">
      <w:pPr>
        <w:tabs>
          <w:tab w:val="right" w:pos="9072"/>
        </w:tabs>
        <w:rPr>
          <w:rFonts w:ascii="Times New Roman" w:hAnsi="Times New Roman" w:cs="Times New Roman"/>
          <w:sz w:val="24"/>
        </w:rPr>
      </w:pPr>
    </w:p>
    <w:p w:rsidR="00EE360D" w:rsidRDefault="00E53225">
      <w:pPr>
        <w:tabs>
          <w:tab w:val="right" w:pos="9072"/>
        </w:tabs>
        <w:rPr>
          <w:rFonts w:ascii="Times New Roman" w:hAnsi="Times New Roman" w:cs="Times New Roman"/>
          <w:sz w:val="24"/>
        </w:rPr>
      </w:pPr>
      <w:r>
        <w:rPr>
          <w:rFonts w:ascii="Times New Roman" w:hAnsi="Times New Roman" w:cs="Times New Roman"/>
          <w:sz w:val="24"/>
        </w:rPr>
        <w:t xml:space="preserve">The Regulation is compatible with the human rights and freedoms recognised or declared under section 3 of the </w:t>
      </w:r>
      <w:r>
        <w:rPr>
          <w:rFonts w:ascii="Times New Roman" w:hAnsi="Times New Roman" w:cs="Times New Roman"/>
          <w:i/>
          <w:sz w:val="24"/>
        </w:rPr>
        <w:t>Human Rights (Parliamentary Scrutiny) Act 2011</w:t>
      </w:r>
      <w:r>
        <w:rPr>
          <w:rFonts w:ascii="Times New Roman" w:hAnsi="Times New Roman" w:cs="Times New Roman"/>
          <w:sz w:val="24"/>
        </w:rPr>
        <w:t>. A full statement of compatibility is set out in Attachment B.</w:t>
      </w:r>
    </w:p>
    <w:p w:rsidR="00EE360D" w:rsidRDefault="00EE360D">
      <w:pPr>
        <w:tabs>
          <w:tab w:val="right" w:pos="9072"/>
        </w:tabs>
        <w:rPr>
          <w:rFonts w:ascii="Times New Roman" w:hAnsi="Times New Roman" w:cs="Times New Roman"/>
          <w:sz w:val="24"/>
        </w:rPr>
      </w:pPr>
    </w:p>
    <w:p w:rsidR="00EE360D" w:rsidRDefault="00E53225">
      <w:pPr>
        <w:tabs>
          <w:tab w:val="left" w:pos="1701"/>
          <w:tab w:val="right" w:pos="9072"/>
        </w:tabs>
        <w:rPr>
          <w:rFonts w:ascii="Times New Roman" w:hAnsi="Times New Roman" w:cs="Times New Roman"/>
          <w:b/>
          <w:sz w:val="24"/>
        </w:rPr>
      </w:pPr>
      <w:r>
        <w:rPr>
          <w:rFonts w:ascii="Times New Roman" w:hAnsi="Times New Roman" w:cs="Times New Roman"/>
          <w:b/>
          <w:sz w:val="24"/>
        </w:rPr>
        <w:t>Details/ Operation</w:t>
      </w:r>
    </w:p>
    <w:p w:rsidR="00EE360D" w:rsidRDefault="00E53225">
      <w:pPr>
        <w:tabs>
          <w:tab w:val="left" w:pos="1701"/>
          <w:tab w:val="right" w:pos="9072"/>
        </w:tabs>
        <w:rPr>
          <w:rFonts w:ascii="Times New Roman" w:hAnsi="Times New Roman" w:cs="Times New Roman"/>
          <w:sz w:val="24"/>
        </w:rPr>
      </w:pPr>
      <w:r>
        <w:rPr>
          <w:rFonts w:ascii="Times New Roman" w:hAnsi="Times New Roman" w:cs="Times New Roman"/>
          <w:sz w:val="24"/>
        </w:rPr>
        <w:t xml:space="preserve">The Regulation will be a legislative instrument for the purposes of the </w:t>
      </w:r>
      <w:r>
        <w:rPr>
          <w:rFonts w:ascii="Times New Roman" w:hAnsi="Times New Roman" w:cs="Times New Roman"/>
          <w:i/>
          <w:sz w:val="24"/>
        </w:rPr>
        <w:t>Legislative Instruments Act 2003</w:t>
      </w:r>
      <w:r>
        <w:rPr>
          <w:rFonts w:ascii="Times New Roman" w:hAnsi="Times New Roman" w:cs="Times New Roman"/>
          <w:sz w:val="24"/>
        </w:rPr>
        <w:t>.</w:t>
      </w:r>
    </w:p>
    <w:p w:rsidR="00EE360D" w:rsidRDefault="00EE360D">
      <w:pPr>
        <w:tabs>
          <w:tab w:val="left" w:pos="1701"/>
          <w:tab w:val="right" w:pos="9072"/>
        </w:tabs>
        <w:rPr>
          <w:rFonts w:ascii="Times New Roman" w:hAnsi="Times New Roman" w:cs="Times New Roman"/>
          <w:sz w:val="24"/>
        </w:rPr>
      </w:pPr>
    </w:p>
    <w:p w:rsidR="00EE360D" w:rsidRDefault="00E53225">
      <w:pPr>
        <w:tabs>
          <w:tab w:val="left" w:pos="1701"/>
          <w:tab w:val="right" w:pos="9072"/>
        </w:tabs>
        <w:rPr>
          <w:rFonts w:ascii="Times New Roman" w:hAnsi="Times New Roman" w:cs="Times New Roman"/>
          <w:sz w:val="24"/>
        </w:rPr>
      </w:pPr>
      <w:r>
        <w:rPr>
          <w:rFonts w:ascii="Times New Roman" w:hAnsi="Times New Roman" w:cs="Times New Roman"/>
          <w:sz w:val="24"/>
        </w:rPr>
        <w:t>The Regulation is to commence on 30 September 2014.</w:t>
      </w:r>
      <w:r>
        <w:rPr>
          <w:rFonts w:ascii="Times New Roman" w:hAnsi="Times New Roman" w:cs="Times New Roman"/>
          <w:sz w:val="24"/>
        </w:rPr>
        <w:br w:type="page"/>
      </w:r>
    </w:p>
    <w:p w:rsidR="00EE360D" w:rsidRDefault="00EE360D">
      <w:pPr>
        <w:rPr>
          <w:rFonts w:ascii="Times New Roman" w:hAnsi="Times New Roman" w:cs="Times New Roman"/>
          <w:sz w:val="24"/>
        </w:rPr>
      </w:pPr>
    </w:p>
    <w:p w:rsidR="00EE360D" w:rsidRDefault="00E53225">
      <w:pPr>
        <w:pStyle w:val="Normal-em"/>
        <w:jc w:val="right"/>
        <w:rPr>
          <w:rFonts w:ascii="Times" w:hAnsi="Times"/>
          <w:b/>
          <w:caps/>
          <w:u w:val="single"/>
        </w:rPr>
      </w:pPr>
      <w:r>
        <w:rPr>
          <w:rFonts w:ascii="Times" w:hAnsi="Times"/>
          <w:b/>
          <w:caps/>
          <w:u w:val="single"/>
        </w:rPr>
        <w:t>Attachment A</w:t>
      </w:r>
    </w:p>
    <w:p w:rsidR="00EE360D" w:rsidRDefault="00EE360D">
      <w:pPr>
        <w:pStyle w:val="Normal-em"/>
        <w:rPr>
          <w:color w:val="auto"/>
          <w:szCs w:val="24"/>
        </w:rPr>
      </w:pPr>
    </w:p>
    <w:p w:rsidR="00EE360D" w:rsidRDefault="00E53225">
      <w:pPr>
        <w:pStyle w:val="Normal-em"/>
        <w:rPr>
          <w:b/>
          <w:iCs/>
          <w:color w:val="auto"/>
          <w:szCs w:val="24"/>
          <w:u w:val="single"/>
        </w:rPr>
      </w:pPr>
      <w:r>
        <w:rPr>
          <w:b/>
          <w:iCs/>
          <w:color w:val="auto"/>
          <w:szCs w:val="24"/>
          <w:u w:val="single"/>
        </w:rPr>
        <w:t>Details of the</w:t>
      </w:r>
      <w:r>
        <w:rPr>
          <w:u w:val="single"/>
        </w:rPr>
        <w:t xml:space="preserve"> </w:t>
      </w:r>
      <w:r>
        <w:rPr>
          <w:b/>
          <w:i/>
          <w:iCs/>
          <w:color w:val="auto"/>
          <w:szCs w:val="24"/>
          <w:u w:val="single"/>
        </w:rPr>
        <w:t>Competition and Consumer (Industry Code—Port Terminal Access (Bulk Wheat)) Regulation 2014</w:t>
      </w:r>
      <w:r>
        <w:rPr>
          <w:b/>
          <w:iCs/>
          <w:color w:val="auto"/>
          <w:szCs w:val="24"/>
          <w:u w:val="single"/>
        </w:rPr>
        <w:t xml:space="preserve"> </w:t>
      </w:r>
    </w:p>
    <w:p w:rsidR="00EE360D" w:rsidRDefault="00EE360D">
      <w:pPr>
        <w:pStyle w:val="Normal-em"/>
        <w:rPr>
          <w:color w:val="auto"/>
          <w:szCs w:val="24"/>
        </w:rPr>
      </w:pPr>
    </w:p>
    <w:p w:rsidR="00EE360D" w:rsidRDefault="00E53225">
      <w:pPr>
        <w:pStyle w:val="Normal-em"/>
        <w:ind w:left="1440" w:hanging="1440"/>
        <w:rPr>
          <w:color w:val="auto"/>
          <w:szCs w:val="24"/>
          <w:u w:val="single"/>
        </w:rPr>
      </w:pPr>
      <w:r>
        <w:rPr>
          <w:color w:val="auto"/>
          <w:szCs w:val="24"/>
          <w:u w:val="single"/>
        </w:rPr>
        <w:t>Section 1 – Name of Regulation</w:t>
      </w:r>
    </w:p>
    <w:p w:rsidR="00EE360D" w:rsidRDefault="00EE360D">
      <w:pPr>
        <w:pStyle w:val="Normal-em"/>
        <w:ind w:left="1440" w:hanging="1440"/>
        <w:rPr>
          <w:b/>
          <w:color w:val="auto"/>
          <w:szCs w:val="24"/>
        </w:rPr>
      </w:pPr>
    </w:p>
    <w:p w:rsidR="00EE360D" w:rsidRDefault="00E53225">
      <w:pPr>
        <w:pStyle w:val="Normal-em"/>
        <w:rPr>
          <w:i/>
          <w:iCs/>
          <w:color w:val="auto"/>
          <w:szCs w:val="24"/>
        </w:rPr>
      </w:pPr>
      <w:r>
        <w:rPr>
          <w:color w:val="auto"/>
          <w:szCs w:val="24"/>
        </w:rPr>
        <w:t>This section provides for the title of the Regulation to be</w:t>
      </w:r>
      <w:r>
        <w:t xml:space="preserve"> </w:t>
      </w:r>
      <w:r>
        <w:rPr>
          <w:i/>
          <w:color w:val="auto"/>
          <w:szCs w:val="24"/>
        </w:rPr>
        <w:t>Competition and Consumer (Industry Code—Port Terminal Access (Bulk Wheat)) Regulation 2014</w:t>
      </w:r>
      <w:r>
        <w:rPr>
          <w:color w:val="auto"/>
          <w:szCs w:val="24"/>
        </w:rPr>
        <w:t xml:space="preserve"> (Code of Conduct).</w:t>
      </w:r>
    </w:p>
    <w:p w:rsidR="00EE360D" w:rsidRDefault="00EE360D">
      <w:pPr>
        <w:pStyle w:val="Normal-em"/>
        <w:rPr>
          <w:color w:val="auto"/>
          <w:szCs w:val="24"/>
        </w:rPr>
      </w:pPr>
    </w:p>
    <w:p w:rsidR="00EE360D" w:rsidRDefault="00E53225">
      <w:pPr>
        <w:pStyle w:val="Normal-em"/>
        <w:rPr>
          <w:color w:val="auto"/>
          <w:szCs w:val="24"/>
          <w:u w:val="single"/>
        </w:rPr>
      </w:pPr>
      <w:r>
        <w:rPr>
          <w:color w:val="auto"/>
          <w:szCs w:val="24"/>
          <w:u w:val="single"/>
        </w:rPr>
        <w:t>Section 2 – Commencement</w:t>
      </w:r>
    </w:p>
    <w:p w:rsidR="00EE360D" w:rsidRDefault="00EE360D">
      <w:pPr>
        <w:pStyle w:val="Normal-em"/>
        <w:rPr>
          <w:color w:val="auto"/>
          <w:szCs w:val="24"/>
        </w:rPr>
      </w:pPr>
    </w:p>
    <w:p w:rsidR="00EE360D" w:rsidRDefault="00E53225">
      <w:pPr>
        <w:pStyle w:val="Normal-em"/>
        <w:rPr>
          <w:color w:val="auto"/>
          <w:szCs w:val="24"/>
          <w:highlight w:val="yellow"/>
        </w:rPr>
      </w:pPr>
      <w:r>
        <w:rPr>
          <w:color w:val="auto"/>
          <w:szCs w:val="24"/>
        </w:rPr>
        <w:t>This section provides for the Regulation to commence on 30 September 2014.</w:t>
      </w:r>
    </w:p>
    <w:p w:rsidR="00EE360D" w:rsidRDefault="00EE360D">
      <w:pPr>
        <w:pStyle w:val="Normal-em"/>
        <w:rPr>
          <w:color w:val="auto"/>
          <w:szCs w:val="24"/>
        </w:rPr>
      </w:pPr>
    </w:p>
    <w:p w:rsidR="00EE360D" w:rsidRDefault="00E53225">
      <w:pPr>
        <w:pStyle w:val="Normal-em"/>
        <w:ind w:left="1440" w:hanging="1440"/>
        <w:rPr>
          <w:color w:val="auto"/>
          <w:szCs w:val="24"/>
          <w:u w:val="single"/>
        </w:rPr>
      </w:pPr>
      <w:r>
        <w:rPr>
          <w:color w:val="auto"/>
          <w:szCs w:val="24"/>
          <w:u w:val="single"/>
        </w:rPr>
        <w:t xml:space="preserve">Section 3 – Authority </w:t>
      </w:r>
    </w:p>
    <w:p w:rsidR="00EE360D" w:rsidRDefault="00EE360D">
      <w:pPr>
        <w:pStyle w:val="Normal-em"/>
        <w:rPr>
          <w:color w:val="auto"/>
          <w:szCs w:val="24"/>
        </w:rPr>
      </w:pPr>
    </w:p>
    <w:p w:rsidR="00EE360D" w:rsidRDefault="00E53225">
      <w:pPr>
        <w:pStyle w:val="Normal-em"/>
        <w:rPr>
          <w:iCs/>
          <w:color w:val="auto"/>
          <w:szCs w:val="24"/>
        </w:rPr>
      </w:pPr>
      <w:r>
        <w:rPr>
          <w:color w:val="auto"/>
          <w:szCs w:val="24"/>
        </w:rPr>
        <w:t>This section notes the legislative authority for making the Regulation as the</w:t>
      </w:r>
      <w:r>
        <w:t xml:space="preserve"> </w:t>
      </w:r>
      <w:r>
        <w:rPr>
          <w:i/>
          <w:color w:val="auto"/>
          <w:szCs w:val="24"/>
        </w:rPr>
        <w:t>Competition and Consumer Act 2010</w:t>
      </w:r>
      <w:r>
        <w:rPr>
          <w:color w:val="auto"/>
          <w:szCs w:val="24"/>
        </w:rPr>
        <w:t>.</w:t>
      </w:r>
    </w:p>
    <w:p w:rsidR="00EE360D" w:rsidRDefault="00EE360D">
      <w:pPr>
        <w:pStyle w:val="Normal-em"/>
        <w:rPr>
          <w:iCs/>
          <w:color w:val="auto"/>
          <w:szCs w:val="24"/>
        </w:rPr>
      </w:pPr>
    </w:p>
    <w:p w:rsidR="00EE360D" w:rsidRDefault="00E53225">
      <w:pPr>
        <w:pStyle w:val="Normal-em"/>
        <w:rPr>
          <w:color w:val="auto"/>
          <w:szCs w:val="24"/>
          <w:u w:val="single"/>
        </w:rPr>
      </w:pPr>
      <w:r>
        <w:rPr>
          <w:color w:val="auto"/>
          <w:szCs w:val="24"/>
          <w:u w:val="single"/>
        </w:rPr>
        <w:t>Section 4 – Code of Conduct</w:t>
      </w:r>
    </w:p>
    <w:p w:rsidR="00EE360D" w:rsidRDefault="00EE360D">
      <w:pPr>
        <w:pStyle w:val="Normal-em"/>
        <w:rPr>
          <w:color w:val="auto"/>
          <w:szCs w:val="24"/>
          <w:u w:val="single"/>
        </w:rPr>
      </w:pPr>
    </w:p>
    <w:p w:rsidR="00EE360D" w:rsidRDefault="00E53225">
      <w:pPr>
        <w:pStyle w:val="Normal-em"/>
        <w:rPr>
          <w:color w:val="auto"/>
          <w:szCs w:val="24"/>
        </w:rPr>
      </w:pPr>
      <w:r>
        <w:rPr>
          <w:color w:val="auto"/>
          <w:szCs w:val="24"/>
        </w:rPr>
        <w:t xml:space="preserve">This section provides for the code set out in Schedule 1 being a prescribed mandatory code for the purposes of </w:t>
      </w:r>
      <w:r>
        <w:t xml:space="preserve">section 51AE of the </w:t>
      </w:r>
      <w:r>
        <w:rPr>
          <w:i/>
        </w:rPr>
        <w:t>Competition and Consumer Act 2010</w:t>
      </w:r>
      <w:r>
        <w:rPr>
          <w:color w:val="auto"/>
          <w:szCs w:val="24"/>
        </w:rPr>
        <w:t>.</w:t>
      </w:r>
    </w:p>
    <w:p w:rsidR="00EE360D" w:rsidRDefault="00EE360D">
      <w:pPr>
        <w:pStyle w:val="Normal-em"/>
        <w:rPr>
          <w:color w:val="auto"/>
          <w:szCs w:val="24"/>
        </w:rPr>
      </w:pPr>
    </w:p>
    <w:p w:rsidR="00EE360D" w:rsidRPr="00741E41" w:rsidRDefault="00E53225">
      <w:pPr>
        <w:pStyle w:val="Normal-em"/>
        <w:rPr>
          <w:color w:val="auto"/>
          <w:szCs w:val="24"/>
          <w:u w:val="single"/>
        </w:rPr>
      </w:pPr>
      <w:r w:rsidRPr="00741E41">
        <w:rPr>
          <w:color w:val="auto"/>
          <w:szCs w:val="24"/>
          <w:u w:val="single"/>
        </w:rPr>
        <w:t>Section 5 – Review of operation of this Regulation</w:t>
      </w:r>
    </w:p>
    <w:p w:rsidR="00EE360D" w:rsidRDefault="00EE360D">
      <w:pPr>
        <w:pStyle w:val="Normal-em"/>
        <w:rPr>
          <w:color w:val="auto"/>
          <w:szCs w:val="24"/>
        </w:rPr>
      </w:pPr>
    </w:p>
    <w:p w:rsidR="00714D8D" w:rsidRDefault="00E53225" w:rsidP="00714D8D">
      <w:pPr>
        <w:pStyle w:val="Normal-em"/>
        <w:rPr>
          <w:color w:val="auto"/>
          <w:szCs w:val="24"/>
        </w:rPr>
      </w:pPr>
      <w:r>
        <w:rPr>
          <w:color w:val="auto"/>
          <w:szCs w:val="24"/>
        </w:rPr>
        <w:t>This section provides for the Minister to cause a review of the operation of the Regulation to begin before the end of the third year of operation of the Regulation.</w:t>
      </w:r>
      <w:r w:rsidR="00714D8D" w:rsidRPr="00714D8D">
        <w:rPr>
          <w:color w:val="auto"/>
          <w:szCs w:val="24"/>
        </w:rPr>
        <w:t xml:space="preserve"> </w:t>
      </w:r>
      <w:r w:rsidR="00714D8D">
        <w:rPr>
          <w:color w:val="auto"/>
          <w:szCs w:val="24"/>
        </w:rPr>
        <w:t>The review must consider a range of specified matters, including whether the code should be repealed or amended.</w:t>
      </w:r>
    </w:p>
    <w:p w:rsidR="00714D8D" w:rsidRDefault="00714D8D" w:rsidP="00714D8D">
      <w:pPr>
        <w:pStyle w:val="Normal-em"/>
        <w:rPr>
          <w:color w:val="auto"/>
          <w:szCs w:val="24"/>
          <w:u w:val="single"/>
        </w:rPr>
      </w:pPr>
    </w:p>
    <w:p w:rsidR="00714D8D" w:rsidRPr="00712543" w:rsidRDefault="00714D8D" w:rsidP="00714D8D">
      <w:pPr>
        <w:pStyle w:val="Normal-em"/>
        <w:rPr>
          <w:color w:val="auto"/>
          <w:szCs w:val="24"/>
          <w:u w:val="single"/>
        </w:rPr>
      </w:pPr>
      <w:r w:rsidRPr="00FD52BE">
        <w:rPr>
          <w:color w:val="auto"/>
          <w:szCs w:val="24"/>
          <w:u w:val="single"/>
        </w:rPr>
        <w:t>Section 6 – Further review of operation of this regulation</w:t>
      </w:r>
    </w:p>
    <w:p w:rsidR="00714D8D" w:rsidRDefault="00714D8D" w:rsidP="00714D8D">
      <w:pPr>
        <w:pStyle w:val="Normal-em"/>
        <w:rPr>
          <w:color w:val="auto"/>
          <w:szCs w:val="24"/>
        </w:rPr>
      </w:pPr>
    </w:p>
    <w:p w:rsidR="00714D8D" w:rsidRDefault="00714D8D" w:rsidP="00714D8D">
      <w:pPr>
        <w:pStyle w:val="Normal-em"/>
        <w:rPr>
          <w:color w:val="auto"/>
          <w:szCs w:val="24"/>
        </w:rPr>
      </w:pPr>
      <w:r>
        <w:rPr>
          <w:color w:val="auto"/>
          <w:szCs w:val="24"/>
        </w:rPr>
        <w:t xml:space="preserve">This section provides for the Minister to cause a further review of the operation of the Regulation should it continue to be in operation for more than six years. The review must begin between the sixth and eighth years of operation of the Regulation. </w:t>
      </w:r>
    </w:p>
    <w:p w:rsidR="00EE360D" w:rsidRDefault="00EE360D">
      <w:pPr>
        <w:pStyle w:val="Normal-em"/>
        <w:rPr>
          <w:color w:val="auto"/>
          <w:szCs w:val="24"/>
        </w:rPr>
      </w:pPr>
    </w:p>
    <w:p w:rsidR="00EE360D" w:rsidRDefault="00E53225">
      <w:pPr>
        <w:pStyle w:val="Normal-em"/>
        <w:rPr>
          <w:color w:val="auto"/>
          <w:szCs w:val="24"/>
          <w:u w:val="single"/>
        </w:rPr>
      </w:pPr>
      <w:r>
        <w:rPr>
          <w:color w:val="auto"/>
          <w:szCs w:val="24"/>
          <w:u w:val="single"/>
        </w:rPr>
        <w:t>Schedule 1 – Port Terminal Access (Bulk Wheat) Code of Conduct</w:t>
      </w:r>
    </w:p>
    <w:p w:rsidR="00EE360D" w:rsidRDefault="00EE360D">
      <w:pPr>
        <w:pStyle w:val="Normal-em"/>
        <w:rPr>
          <w:color w:val="auto"/>
          <w:szCs w:val="24"/>
          <w:u w:val="single"/>
        </w:rPr>
      </w:pPr>
    </w:p>
    <w:p w:rsidR="00EE360D" w:rsidRDefault="00E53225">
      <w:pPr>
        <w:pStyle w:val="Normal-em"/>
        <w:rPr>
          <w:color w:val="auto"/>
          <w:szCs w:val="24"/>
          <w:u w:val="single"/>
        </w:rPr>
      </w:pPr>
      <w:r>
        <w:rPr>
          <w:color w:val="auto"/>
          <w:szCs w:val="24"/>
          <w:u w:val="single"/>
        </w:rPr>
        <w:t>Part 1 – Definitions and Application</w:t>
      </w:r>
    </w:p>
    <w:p w:rsidR="00EE360D" w:rsidRDefault="00EE360D">
      <w:pPr>
        <w:pStyle w:val="Normal-em"/>
        <w:rPr>
          <w:color w:val="auto"/>
          <w:szCs w:val="24"/>
          <w:u w:val="single"/>
        </w:rPr>
      </w:pPr>
    </w:p>
    <w:p w:rsidR="00454BC7" w:rsidRPr="00403AA1" w:rsidRDefault="001969F1">
      <w:pPr>
        <w:pStyle w:val="Normal-em"/>
        <w:rPr>
          <w:color w:val="auto"/>
          <w:szCs w:val="24"/>
        </w:rPr>
      </w:pPr>
      <w:r w:rsidRPr="00403AA1">
        <w:rPr>
          <w:b/>
          <w:color w:val="auto"/>
          <w:szCs w:val="24"/>
        </w:rPr>
        <w:t>Clause 1</w:t>
      </w:r>
      <w:r w:rsidR="00454BC7" w:rsidRPr="00403AA1">
        <w:rPr>
          <w:color w:val="auto"/>
          <w:szCs w:val="24"/>
        </w:rPr>
        <w:t xml:space="preserve"> specifies the name of the mandatory code of conduct to be Port Terminal Access (Bulk Wheat) Code of Conduct</w:t>
      </w:r>
      <w:r w:rsidR="00403AA1">
        <w:rPr>
          <w:color w:val="auto"/>
          <w:szCs w:val="24"/>
        </w:rPr>
        <w:t>.</w:t>
      </w:r>
    </w:p>
    <w:p w:rsidR="00454BC7" w:rsidRDefault="00454BC7">
      <w:pPr>
        <w:pStyle w:val="Normal-em"/>
        <w:rPr>
          <w:color w:val="auto"/>
          <w:szCs w:val="24"/>
          <w:u w:val="single"/>
        </w:rPr>
      </w:pPr>
    </w:p>
    <w:p w:rsidR="00EE360D" w:rsidRDefault="001969F1">
      <w:pPr>
        <w:pStyle w:val="Normal-em"/>
        <w:rPr>
          <w:color w:val="auto"/>
          <w:szCs w:val="24"/>
        </w:rPr>
      </w:pPr>
      <w:r w:rsidRPr="001969F1">
        <w:rPr>
          <w:b/>
          <w:color w:val="auto"/>
          <w:szCs w:val="24"/>
        </w:rPr>
        <w:t>Clause 2</w:t>
      </w:r>
      <w:r w:rsidR="00E53225">
        <w:rPr>
          <w:color w:val="auto"/>
          <w:szCs w:val="24"/>
        </w:rPr>
        <w:t xml:space="preserve"> specifies its purpose, which is to regulate the conduct of port terminal service providers so as to ensure that exporters of bulk wheat have fair and transparent access to port terminal services. </w:t>
      </w:r>
    </w:p>
    <w:p w:rsidR="00EE360D" w:rsidRDefault="00EE360D">
      <w:pPr>
        <w:pStyle w:val="Normal-em"/>
        <w:rPr>
          <w:color w:val="auto"/>
          <w:szCs w:val="24"/>
        </w:rPr>
      </w:pPr>
    </w:p>
    <w:p w:rsidR="00A73A9B" w:rsidRDefault="001969F1">
      <w:pPr>
        <w:pStyle w:val="Normal-em"/>
        <w:rPr>
          <w:color w:val="auto"/>
          <w:szCs w:val="24"/>
        </w:rPr>
      </w:pPr>
      <w:r w:rsidRPr="001969F1">
        <w:rPr>
          <w:b/>
          <w:color w:val="auto"/>
          <w:szCs w:val="24"/>
        </w:rPr>
        <w:lastRenderedPageBreak/>
        <w:t>Clause 3</w:t>
      </w:r>
      <w:r w:rsidR="00E53225">
        <w:rPr>
          <w:color w:val="auto"/>
          <w:szCs w:val="24"/>
        </w:rPr>
        <w:t xml:space="preserve"> specifies the definitions in the Code of Conduct</w:t>
      </w:r>
      <w:r w:rsidR="00A73A9B">
        <w:rPr>
          <w:color w:val="auto"/>
          <w:szCs w:val="24"/>
        </w:rPr>
        <w:t>. Notes are provided on each definition below:</w:t>
      </w:r>
    </w:p>
    <w:p w:rsidR="00A73A9B" w:rsidRDefault="00A73A9B">
      <w:pPr>
        <w:pStyle w:val="Normal-em"/>
        <w:rPr>
          <w:color w:val="auto"/>
          <w:szCs w:val="24"/>
        </w:rPr>
      </w:pPr>
    </w:p>
    <w:p w:rsidR="00A73A9B" w:rsidRDefault="00A73A9B" w:rsidP="00A73A9B">
      <w:pPr>
        <w:pStyle w:val="Normal-em"/>
      </w:pPr>
      <w:r w:rsidRPr="00A73A9B">
        <w:rPr>
          <w:b/>
          <w:i/>
        </w:rPr>
        <w:t>ACCC</w:t>
      </w:r>
      <w:r w:rsidRPr="00A73A9B">
        <w:t xml:space="preserve"> </w:t>
      </w:r>
    </w:p>
    <w:p w:rsidR="00A73A9B" w:rsidRDefault="00A73A9B" w:rsidP="00A73A9B">
      <w:pPr>
        <w:pStyle w:val="Normal-em"/>
      </w:pPr>
      <w:r>
        <w:t xml:space="preserve">This definition provides that </w:t>
      </w:r>
      <w:r w:rsidR="000C4E5E">
        <w:t xml:space="preserve">‘ACCC’ </w:t>
      </w:r>
      <w:r w:rsidRPr="00A73A9B">
        <w:t>means the Australian Competition and Consumer Commission.</w:t>
      </w:r>
    </w:p>
    <w:p w:rsidR="000C4E5E" w:rsidRDefault="000C4E5E" w:rsidP="00A73A9B">
      <w:pPr>
        <w:pStyle w:val="Normal-em"/>
      </w:pPr>
    </w:p>
    <w:p w:rsidR="000C4E5E" w:rsidRDefault="00A73A9B" w:rsidP="00A73A9B">
      <w:pPr>
        <w:pStyle w:val="Normal-em"/>
        <w:rPr>
          <w:b/>
          <w:i/>
        </w:rPr>
      </w:pPr>
      <w:r w:rsidRPr="00A73A9B">
        <w:rPr>
          <w:b/>
          <w:i/>
        </w:rPr>
        <w:t>access agreement</w:t>
      </w:r>
    </w:p>
    <w:p w:rsidR="00A73A9B" w:rsidRPr="00A73A9B" w:rsidRDefault="000C4E5E" w:rsidP="00A73A9B">
      <w:pPr>
        <w:pStyle w:val="Normal-em"/>
      </w:pPr>
      <w:r w:rsidRPr="000C4E5E">
        <w:t xml:space="preserve">This definition provides that </w:t>
      </w:r>
      <w:r>
        <w:t>‘access agreement’</w:t>
      </w:r>
      <w:r w:rsidR="00A73A9B" w:rsidRPr="00A73A9B">
        <w:rPr>
          <w:b/>
          <w:i/>
        </w:rPr>
        <w:t xml:space="preserve"> </w:t>
      </w:r>
      <w:r w:rsidR="00A73A9B" w:rsidRPr="00A73A9B">
        <w:t>means an agreement between a port terminal service provider and an exporter for the supply of a port terminal service.</w:t>
      </w:r>
    </w:p>
    <w:p w:rsidR="00A73A9B" w:rsidRPr="00A73A9B" w:rsidRDefault="000C4E5E" w:rsidP="00A73A9B">
      <w:pPr>
        <w:pStyle w:val="Normal-em"/>
      </w:pPr>
      <w:r>
        <w:t xml:space="preserve"> </w:t>
      </w:r>
    </w:p>
    <w:p w:rsidR="000C4E5E" w:rsidRDefault="00A73A9B" w:rsidP="00A73A9B">
      <w:pPr>
        <w:pStyle w:val="Normal-em"/>
      </w:pPr>
      <w:r w:rsidRPr="00A73A9B">
        <w:rPr>
          <w:b/>
          <w:i/>
        </w:rPr>
        <w:t>Act</w:t>
      </w:r>
      <w:r w:rsidRPr="00A73A9B">
        <w:t xml:space="preserve"> </w:t>
      </w:r>
    </w:p>
    <w:p w:rsidR="00A73A9B" w:rsidRDefault="000C4E5E" w:rsidP="00A73A9B">
      <w:pPr>
        <w:pStyle w:val="Normal-em"/>
      </w:pPr>
      <w:r w:rsidRPr="000C4E5E">
        <w:t xml:space="preserve">This definition provides that </w:t>
      </w:r>
      <w:r>
        <w:t>‘Act’</w:t>
      </w:r>
      <w:r w:rsidRPr="000C4E5E">
        <w:t xml:space="preserve"> </w:t>
      </w:r>
      <w:r w:rsidR="00A73A9B" w:rsidRPr="00A73A9B">
        <w:t xml:space="preserve">means the </w:t>
      </w:r>
      <w:r w:rsidR="00A73A9B" w:rsidRPr="00A73A9B">
        <w:rPr>
          <w:i/>
        </w:rPr>
        <w:t>Competition and Consumer Act 2010</w:t>
      </w:r>
      <w:r w:rsidR="00A73A9B" w:rsidRPr="00A73A9B">
        <w:t>.</w:t>
      </w:r>
    </w:p>
    <w:p w:rsidR="000C4E5E" w:rsidRPr="00A73A9B" w:rsidRDefault="000C4E5E" w:rsidP="00A73A9B">
      <w:pPr>
        <w:pStyle w:val="Normal-em"/>
      </w:pPr>
    </w:p>
    <w:p w:rsidR="000C4E5E" w:rsidRDefault="00A73A9B" w:rsidP="00A73A9B">
      <w:pPr>
        <w:pStyle w:val="Normal-em"/>
      </w:pPr>
      <w:r w:rsidRPr="00A73A9B">
        <w:rPr>
          <w:b/>
          <w:i/>
        </w:rPr>
        <w:t>associated entity</w:t>
      </w:r>
      <w:r w:rsidRPr="00A73A9B">
        <w:t xml:space="preserve"> </w:t>
      </w:r>
    </w:p>
    <w:p w:rsidR="00A73A9B" w:rsidRDefault="000C4E5E" w:rsidP="00A73A9B">
      <w:pPr>
        <w:pStyle w:val="Normal-em"/>
      </w:pPr>
      <w:r w:rsidRPr="000C4E5E">
        <w:t xml:space="preserve">This definition provides that </w:t>
      </w:r>
      <w:r>
        <w:t xml:space="preserve">‘associated entity’ </w:t>
      </w:r>
      <w:r w:rsidR="00A73A9B" w:rsidRPr="00A73A9B">
        <w:t xml:space="preserve">has the meaning given by section 50AAA of the </w:t>
      </w:r>
      <w:r w:rsidR="00A73A9B" w:rsidRPr="00A73A9B">
        <w:rPr>
          <w:i/>
        </w:rPr>
        <w:t>Corporations Act 2001</w:t>
      </w:r>
      <w:r w:rsidR="00A73A9B" w:rsidRPr="00A73A9B">
        <w:t>.</w:t>
      </w:r>
    </w:p>
    <w:p w:rsidR="000C4E5E" w:rsidRPr="00A73A9B" w:rsidRDefault="000C4E5E" w:rsidP="00A73A9B">
      <w:pPr>
        <w:pStyle w:val="Normal-em"/>
      </w:pPr>
    </w:p>
    <w:p w:rsidR="000C4E5E" w:rsidRDefault="00A73A9B" w:rsidP="00A73A9B">
      <w:pPr>
        <w:pStyle w:val="Normal-em"/>
      </w:pPr>
      <w:r w:rsidRPr="00A73A9B">
        <w:rPr>
          <w:b/>
          <w:i/>
        </w:rPr>
        <w:t>bulk wheat</w:t>
      </w:r>
      <w:r w:rsidRPr="00A73A9B">
        <w:t xml:space="preserve"> </w:t>
      </w:r>
    </w:p>
    <w:p w:rsidR="00A73A9B" w:rsidRDefault="000C4E5E" w:rsidP="00A73A9B">
      <w:pPr>
        <w:pStyle w:val="Normal-em"/>
      </w:pPr>
      <w:r w:rsidRPr="000C4E5E">
        <w:t xml:space="preserve">This definition provides that </w:t>
      </w:r>
      <w:r>
        <w:t xml:space="preserve"> ‘bulk wheat’ </w:t>
      </w:r>
      <w:r w:rsidR="00A73A9B" w:rsidRPr="00A73A9B">
        <w:t>means wheat to be loaded onto a ship for export but does not include wheat to be exported in a bag or container that is not capable of holding more than 50 tonnes of wheat.</w:t>
      </w:r>
    </w:p>
    <w:p w:rsidR="000C4E5E" w:rsidRPr="00A73A9B" w:rsidRDefault="000C4E5E" w:rsidP="00A73A9B">
      <w:pPr>
        <w:pStyle w:val="Normal-em"/>
      </w:pPr>
    </w:p>
    <w:p w:rsidR="000C4E5E" w:rsidRDefault="00A73A9B" w:rsidP="00A73A9B">
      <w:pPr>
        <w:pStyle w:val="Normal-em"/>
      </w:pPr>
      <w:r w:rsidRPr="00A73A9B">
        <w:rPr>
          <w:b/>
          <w:i/>
        </w:rPr>
        <w:t>capacity</w:t>
      </w:r>
      <w:r w:rsidRPr="00A73A9B">
        <w:t xml:space="preserve"> </w:t>
      </w:r>
      <w:r w:rsidR="000C4E5E" w:rsidRPr="000C4E5E">
        <w:rPr>
          <w:b/>
          <w:i/>
        </w:rPr>
        <w:t>of a port terminal facility</w:t>
      </w:r>
    </w:p>
    <w:p w:rsidR="00A73A9B" w:rsidRDefault="000C4E5E" w:rsidP="00A73A9B">
      <w:pPr>
        <w:pStyle w:val="Normal-em"/>
      </w:pPr>
      <w:r w:rsidRPr="000C4E5E">
        <w:t xml:space="preserve">This definition provides that </w:t>
      </w:r>
      <w:r>
        <w:t xml:space="preserve">‘capacity of a port terminal facility’ </w:t>
      </w:r>
      <w:r w:rsidR="00A73A9B" w:rsidRPr="00A73A9B">
        <w:t>means the total amount of grain in tonnes that can be loaded onto a ship during a shipping window, as determined by the port terminal service provider that owns or operates the facility.</w:t>
      </w:r>
    </w:p>
    <w:p w:rsidR="000C4E5E" w:rsidRPr="00A73A9B" w:rsidRDefault="000C4E5E" w:rsidP="00A73A9B">
      <w:pPr>
        <w:pStyle w:val="Normal-em"/>
      </w:pPr>
    </w:p>
    <w:p w:rsidR="000C4E5E" w:rsidRDefault="00A73A9B" w:rsidP="00A73A9B">
      <w:pPr>
        <w:pStyle w:val="Normal-em"/>
      </w:pPr>
      <w:r w:rsidRPr="00A73A9B">
        <w:rPr>
          <w:b/>
          <w:i/>
        </w:rPr>
        <w:t>capacity allocation system</w:t>
      </w:r>
      <w:r w:rsidRPr="00A73A9B">
        <w:t xml:space="preserve"> </w:t>
      </w:r>
    </w:p>
    <w:p w:rsidR="00A73A9B" w:rsidRPr="00A73A9B" w:rsidRDefault="000C4E5E" w:rsidP="00A73A9B">
      <w:pPr>
        <w:pStyle w:val="Normal-em"/>
      </w:pPr>
      <w:r w:rsidRPr="000C4E5E">
        <w:t xml:space="preserve">This definition provides that </w:t>
      </w:r>
      <w:r>
        <w:t xml:space="preserve">‘capacity allocation system’ </w:t>
      </w:r>
      <w:r w:rsidR="00A73A9B" w:rsidRPr="00A73A9B">
        <w:t>means a system that a port terminal service provider uses to allocate, to exporters, capacity of a port terminal facility owned or operated by the provider.</w:t>
      </w:r>
    </w:p>
    <w:p w:rsidR="000C4E5E" w:rsidRDefault="000C4E5E" w:rsidP="00A73A9B">
      <w:pPr>
        <w:pStyle w:val="Normal-em"/>
        <w:rPr>
          <w:b/>
          <w:i/>
        </w:rPr>
      </w:pPr>
    </w:p>
    <w:p w:rsidR="000C4E5E" w:rsidRDefault="00A73A9B" w:rsidP="00A73A9B">
      <w:pPr>
        <w:pStyle w:val="Normal-em"/>
        <w:rPr>
          <w:b/>
          <w:i/>
        </w:rPr>
      </w:pPr>
      <w:r w:rsidRPr="00A73A9B">
        <w:rPr>
          <w:b/>
          <w:i/>
        </w:rPr>
        <w:t xml:space="preserve">entity </w:t>
      </w:r>
    </w:p>
    <w:p w:rsidR="00A73A9B" w:rsidRDefault="000C4E5E" w:rsidP="00A73A9B">
      <w:pPr>
        <w:pStyle w:val="Normal-em"/>
      </w:pPr>
      <w:r w:rsidRPr="000C4E5E">
        <w:t xml:space="preserve">This definition provides that </w:t>
      </w:r>
      <w:r>
        <w:t xml:space="preserve">‘entity’ </w:t>
      </w:r>
      <w:r w:rsidR="00A73A9B" w:rsidRPr="00A73A9B">
        <w:t xml:space="preserve">has the meaning given by section 64A of the </w:t>
      </w:r>
      <w:r w:rsidR="00A73A9B" w:rsidRPr="00A73A9B">
        <w:rPr>
          <w:i/>
        </w:rPr>
        <w:t>Corporations Act 2001</w:t>
      </w:r>
      <w:r w:rsidR="00A73A9B" w:rsidRPr="00A73A9B">
        <w:t>.</w:t>
      </w:r>
    </w:p>
    <w:p w:rsidR="000C4E5E" w:rsidRPr="00A73A9B" w:rsidRDefault="000C4E5E" w:rsidP="00A73A9B">
      <w:pPr>
        <w:pStyle w:val="Normal-em"/>
      </w:pPr>
    </w:p>
    <w:p w:rsidR="000C4E5E" w:rsidRDefault="00A73A9B" w:rsidP="00A73A9B">
      <w:pPr>
        <w:pStyle w:val="Normal-em"/>
      </w:pPr>
      <w:r w:rsidRPr="00A73A9B">
        <w:rPr>
          <w:b/>
          <w:i/>
        </w:rPr>
        <w:t>exempt service provider</w:t>
      </w:r>
      <w:r w:rsidRPr="00A73A9B">
        <w:t xml:space="preserve"> </w:t>
      </w:r>
    </w:p>
    <w:p w:rsidR="00A73A9B" w:rsidRDefault="000C4E5E" w:rsidP="00A73A9B">
      <w:pPr>
        <w:pStyle w:val="Normal-em"/>
      </w:pPr>
      <w:r w:rsidRPr="000C4E5E">
        <w:t xml:space="preserve">This definition provides that </w:t>
      </w:r>
      <w:r>
        <w:t xml:space="preserve">‘exempt service provider’ </w:t>
      </w:r>
      <w:r w:rsidR="00A73A9B" w:rsidRPr="00A73A9B">
        <w:t>means a port terminal service provider exempted under clause 5.</w:t>
      </w:r>
    </w:p>
    <w:p w:rsidR="000C4E5E" w:rsidRPr="00A73A9B" w:rsidRDefault="000C4E5E" w:rsidP="00A73A9B">
      <w:pPr>
        <w:pStyle w:val="Normal-em"/>
      </w:pPr>
    </w:p>
    <w:p w:rsidR="000C4E5E" w:rsidRDefault="00A73A9B" w:rsidP="00A73A9B">
      <w:pPr>
        <w:pStyle w:val="Normal-em"/>
      </w:pPr>
      <w:r w:rsidRPr="00A73A9B">
        <w:rPr>
          <w:b/>
          <w:i/>
        </w:rPr>
        <w:t>exporter</w:t>
      </w:r>
      <w:r w:rsidRPr="00A73A9B">
        <w:t xml:space="preserve"> </w:t>
      </w:r>
    </w:p>
    <w:p w:rsidR="00A73A9B" w:rsidRDefault="000C4E5E" w:rsidP="00A73A9B">
      <w:pPr>
        <w:pStyle w:val="Normal-em"/>
      </w:pPr>
      <w:r w:rsidRPr="000C4E5E">
        <w:t xml:space="preserve">This definition provides that </w:t>
      </w:r>
      <w:r>
        <w:t xml:space="preserve">‘exporter’ </w:t>
      </w:r>
      <w:r w:rsidR="00A73A9B" w:rsidRPr="00A73A9B">
        <w:t>means an entity seeking access to, or using, port terminal services for the purpose of exporting bulk wheat.</w:t>
      </w:r>
    </w:p>
    <w:p w:rsidR="000C4E5E" w:rsidRPr="00A73A9B" w:rsidRDefault="000C4E5E" w:rsidP="00A73A9B">
      <w:pPr>
        <w:pStyle w:val="Normal-em"/>
      </w:pPr>
    </w:p>
    <w:p w:rsidR="000C4E5E" w:rsidRDefault="00A73A9B" w:rsidP="00A73A9B">
      <w:pPr>
        <w:pStyle w:val="Normal-em"/>
      </w:pPr>
      <w:r w:rsidRPr="00A73A9B">
        <w:rPr>
          <w:b/>
          <w:i/>
        </w:rPr>
        <w:t>negotiation request</w:t>
      </w:r>
      <w:r w:rsidRPr="00A73A9B">
        <w:t xml:space="preserve"> </w:t>
      </w:r>
    </w:p>
    <w:p w:rsidR="00A73A9B" w:rsidRDefault="000C4E5E" w:rsidP="00A73A9B">
      <w:pPr>
        <w:pStyle w:val="Normal-em"/>
      </w:pPr>
      <w:r w:rsidRPr="000C4E5E">
        <w:t xml:space="preserve">This definition provides that </w:t>
      </w:r>
      <w:r>
        <w:t xml:space="preserve">‘negotiation request’ </w:t>
      </w:r>
      <w:r w:rsidR="00A73A9B" w:rsidRPr="00A73A9B">
        <w:t>has the meaning given by paragraph 11(6)(b).</w:t>
      </w:r>
      <w:r w:rsidR="00883D63">
        <w:t xml:space="preserve"> That is, a request, in writing, from an exporter to a port terminal service provider to commence negotiations on the terms and conditions of access to the port terminal facility.</w:t>
      </w:r>
    </w:p>
    <w:p w:rsidR="000C4E5E" w:rsidRPr="00A73A9B" w:rsidRDefault="000C4E5E" w:rsidP="00A73A9B">
      <w:pPr>
        <w:pStyle w:val="Normal-em"/>
      </w:pPr>
    </w:p>
    <w:p w:rsidR="000C4E5E" w:rsidRDefault="00A73A9B" w:rsidP="00A73A9B">
      <w:pPr>
        <w:pStyle w:val="Normal-em"/>
      </w:pPr>
      <w:r w:rsidRPr="00A73A9B">
        <w:rPr>
          <w:b/>
          <w:i/>
        </w:rPr>
        <w:lastRenderedPageBreak/>
        <w:t>port loading protocol</w:t>
      </w:r>
      <w:r w:rsidRPr="00A73A9B">
        <w:t xml:space="preserve"> </w:t>
      </w:r>
    </w:p>
    <w:p w:rsidR="00A73A9B" w:rsidRPr="00A73A9B" w:rsidRDefault="000C4E5E" w:rsidP="00A73A9B">
      <w:pPr>
        <w:pStyle w:val="Normal-em"/>
      </w:pPr>
      <w:r w:rsidRPr="000C4E5E">
        <w:t xml:space="preserve">This definition provides that </w:t>
      </w:r>
      <w:r>
        <w:t xml:space="preserve">‘port loading protocol’ </w:t>
      </w:r>
      <w:r w:rsidR="00A73A9B" w:rsidRPr="00A73A9B">
        <w:t>means a statement of a port terminal service provider that sets out the port terminal service provider’s policies and procedures for managing demand for its port terminal services.</w:t>
      </w:r>
    </w:p>
    <w:p w:rsidR="00A73A9B" w:rsidRDefault="00A73A9B" w:rsidP="00A73A9B">
      <w:pPr>
        <w:pStyle w:val="Normal-em"/>
      </w:pPr>
    </w:p>
    <w:p w:rsidR="000C4E5E" w:rsidRDefault="00A73A9B" w:rsidP="00A73A9B">
      <w:pPr>
        <w:pStyle w:val="Normal-em"/>
      </w:pPr>
      <w:r w:rsidRPr="00A73A9B">
        <w:rPr>
          <w:b/>
          <w:i/>
        </w:rPr>
        <w:t>port terminal facility</w:t>
      </w:r>
      <w:r w:rsidRPr="00A73A9B">
        <w:t xml:space="preserve"> </w:t>
      </w:r>
    </w:p>
    <w:p w:rsidR="00A73A9B" w:rsidRPr="00A73A9B" w:rsidRDefault="000C4E5E" w:rsidP="00A73A9B">
      <w:pPr>
        <w:pStyle w:val="Normal-em"/>
      </w:pPr>
      <w:r w:rsidRPr="000C4E5E">
        <w:t xml:space="preserve">This definition provides that </w:t>
      </w:r>
      <w:r>
        <w:t xml:space="preserve">‘port terminal facility’ </w:t>
      </w:r>
      <w:r w:rsidR="00A73A9B" w:rsidRPr="00A73A9B">
        <w:t>means a ship loader that is:</w:t>
      </w:r>
    </w:p>
    <w:p w:rsidR="00A73A9B" w:rsidRPr="00A73A9B" w:rsidRDefault="00A73A9B" w:rsidP="00A73A9B">
      <w:pPr>
        <w:pStyle w:val="Normal-em"/>
      </w:pPr>
      <w:r w:rsidRPr="00A73A9B">
        <w:tab/>
        <w:t>(a)</w:t>
      </w:r>
      <w:r w:rsidRPr="00A73A9B">
        <w:tab/>
        <w:t>at a port; and</w:t>
      </w:r>
    </w:p>
    <w:p w:rsidR="00A73A9B" w:rsidRPr="00A73A9B" w:rsidRDefault="00A73A9B" w:rsidP="00A73A9B">
      <w:pPr>
        <w:pStyle w:val="Normal-em"/>
      </w:pPr>
      <w:r w:rsidRPr="00A73A9B">
        <w:tab/>
        <w:t>(b)</w:t>
      </w:r>
      <w:r w:rsidRPr="00A73A9B">
        <w:tab/>
        <w:t>capable of handling bulk wheat;</w:t>
      </w:r>
    </w:p>
    <w:p w:rsidR="00A73A9B" w:rsidRPr="00A73A9B" w:rsidRDefault="00A73A9B" w:rsidP="004D0528">
      <w:pPr>
        <w:pStyle w:val="Normal-em"/>
        <w:ind w:left="720"/>
      </w:pPr>
      <w:r w:rsidRPr="00A73A9B">
        <w:t>and includes any of the following facilities, situated at the port and associated with the ship loader, that are capable of handling bulk wheat:</w:t>
      </w:r>
    </w:p>
    <w:p w:rsidR="00A73A9B" w:rsidRPr="00A73A9B" w:rsidRDefault="00A73A9B" w:rsidP="00A73A9B">
      <w:pPr>
        <w:pStyle w:val="Normal-em"/>
      </w:pPr>
      <w:r w:rsidRPr="00A73A9B">
        <w:tab/>
        <w:t>(c)</w:t>
      </w:r>
      <w:r w:rsidRPr="00A73A9B">
        <w:tab/>
        <w:t>an intake/receival facility;</w:t>
      </w:r>
    </w:p>
    <w:p w:rsidR="00A73A9B" w:rsidRPr="00A73A9B" w:rsidRDefault="00A73A9B" w:rsidP="00A73A9B">
      <w:pPr>
        <w:pStyle w:val="Normal-em"/>
      </w:pPr>
      <w:r w:rsidRPr="00A73A9B">
        <w:tab/>
        <w:t>(d)</w:t>
      </w:r>
      <w:r w:rsidRPr="00A73A9B">
        <w:tab/>
        <w:t>a grain storage facility;</w:t>
      </w:r>
    </w:p>
    <w:p w:rsidR="00A73A9B" w:rsidRPr="00A73A9B" w:rsidRDefault="00A73A9B" w:rsidP="00A73A9B">
      <w:pPr>
        <w:pStyle w:val="Normal-em"/>
      </w:pPr>
      <w:r w:rsidRPr="00A73A9B">
        <w:tab/>
        <w:t>(e)</w:t>
      </w:r>
      <w:r w:rsidRPr="00A73A9B">
        <w:tab/>
        <w:t>a weighing facility;</w:t>
      </w:r>
    </w:p>
    <w:p w:rsidR="00A73A9B" w:rsidRDefault="00A73A9B" w:rsidP="00A73A9B">
      <w:pPr>
        <w:pStyle w:val="Normal-em"/>
      </w:pPr>
      <w:r w:rsidRPr="00A73A9B">
        <w:tab/>
        <w:t>(f)</w:t>
      </w:r>
      <w:r w:rsidRPr="00A73A9B">
        <w:tab/>
        <w:t>a shipping belt.</w:t>
      </w:r>
    </w:p>
    <w:p w:rsidR="000C4E5E" w:rsidRPr="00A73A9B" w:rsidRDefault="000C4E5E" w:rsidP="00A73A9B">
      <w:pPr>
        <w:pStyle w:val="Normal-em"/>
      </w:pPr>
    </w:p>
    <w:p w:rsidR="000C4E5E" w:rsidRDefault="00A73A9B" w:rsidP="00A73A9B">
      <w:pPr>
        <w:pStyle w:val="Normal-em"/>
      </w:pPr>
      <w:r w:rsidRPr="00A73A9B">
        <w:rPr>
          <w:b/>
          <w:i/>
        </w:rPr>
        <w:t>port terminal service</w:t>
      </w:r>
      <w:r w:rsidRPr="00A73A9B">
        <w:t xml:space="preserve"> </w:t>
      </w:r>
    </w:p>
    <w:p w:rsidR="00A73A9B" w:rsidRDefault="000C4E5E" w:rsidP="00A73A9B">
      <w:pPr>
        <w:pStyle w:val="Normal-em"/>
      </w:pPr>
      <w:r w:rsidRPr="000C4E5E">
        <w:t xml:space="preserve">This definition provides that </w:t>
      </w:r>
      <w:r>
        <w:t xml:space="preserve">‘port terminal service’ </w:t>
      </w:r>
      <w:r w:rsidR="00A73A9B" w:rsidRPr="00A73A9B">
        <w:t xml:space="preserve">means a service (within the meaning of Part IIIA of the </w:t>
      </w:r>
      <w:r w:rsidR="00A73A9B" w:rsidRPr="00A73A9B">
        <w:rPr>
          <w:i/>
        </w:rPr>
        <w:t>Competition and Consumer Act 2010</w:t>
      </w:r>
      <w:r w:rsidR="00A73A9B" w:rsidRPr="00A73A9B">
        <w:t>) provided by means of a port terminal facility, and includes the use of a port terminal facility.</w:t>
      </w:r>
    </w:p>
    <w:p w:rsidR="000C4E5E" w:rsidRPr="00A73A9B" w:rsidRDefault="000C4E5E" w:rsidP="00A73A9B">
      <w:pPr>
        <w:pStyle w:val="Normal-em"/>
      </w:pPr>
    </w:p>
    <w:p w:rsidR="004D0528" w:rsidRDefault="00A73A9B" w:rsidP="00A73A9B">
      <w:pPr>
        <w:pStyle w:val="Normal-em"/>
      </w:pPr>
      <w:r w:rsidRPr="00A73A9B">
        <w:rPr>
          <w:b/>
          <w:i/>
        </w:rPr>
        <w:t>port terminal service provider</w:t>
      </w:r>
      <w:r w:rsidRPr="00A73A9B">
        <w:t xml:space="preserve"> </w:t>
      </w:r>
    </w:p>
    <w:p w:rsidR="00A73A9B" w:rsidRDefault="004D0528" w:rsidP="00A73A9B">
      <w:pPr>
        <w:pStyle w:val="Normal-em"/>
      </w:pPr>
      <w:r w:rsidRPr="004D0528">
        <w:t xml:space="preserve">This definition provides that </w:t>
      </w:r>
      <w:r>
        <w:t xml:space="preserve">‘port terminal service provider’ </w:t>
      </w:r>
      <w:r w:rsidR="00A73A9B" w:rsidRPr="00A73A9B">
        <w:t>means the owner or operator of a port terminal facility that is used, or is to be used, to provide a port terminal service.</w:t>
      </w:r>
    </w:p>
    <w:p w:rsidR="004D0528" w:rsidRPr="00A73A9B" w:rsidRDefault="004D0528" w:rsidP="00A73A9B">
      <w:pPr>
        <w:pStyle w:val="Normal-em"/>
      </w:pPr>
    </w:p>
    <w:p w:rsidR="004D0528" w:rsidRDefault="00A73A9B" w:rsidP="00A73A9B">
      <w:pPr>
        <w:pStyle w:val="Normal-em"/>
      </w:pPr>
      <w:r w:rsidRPr="00A73A9B">
        <w:rPr>
          <w:b/>
          <w:i/>
        </w:rPr>
        <w:t>PPS Register</w:t>
      </w:r>
      <w:r w:rsidRPr="00A73A9B">
        <w:t xml:space="preserve"> </w:t>
      </w:r>
    </w:p>
    <w:p w:rsidR="00A73A9B" w:rsidRDefault="004D0528" w:rsidP="00A73A9B">
      <w:pPr>
        <w:pStyle w:val="Normal-em"/>
      </w:pPr>
      <w:r w:rsidRPr="004D0528">
        <w:t xml:space="preserve">This definition provides that </w:t>
      </w:r>
      <w:r>
        <w:t xml:space="preserve">‘PPS Register’ </w:t>
      </w:r>
      <w:r w:rsidR="00A73A9B" w:rsidRPr="00A73A9B">
        <w:t xml:space="preserve">means the Personal Property Securities Register established under section 147 of the </w:t>
      </w:r>
      <w:r w:rsidR="00A73A9B" w:rsidRPr="00A73A9B">
        <w:rPr>
          <w:i/>
        </w:rPr>
        <w:t>Personal Property Securities Act 2009</w:t>
      </w:r>
      <w:r w:rsidR="00A73A9B" w:rsidRPr="00A73A9B">
        <w:t>.</w:t>
      </w:r>
    </w:p>
    <w:p w:rsidR="004D0528" w:rsidRPr="00A73A9B" w:rsidRDefault="004D0528" w:rsidP="00A73A9B">
      <w:pPr>
        <w:pStyle w:val="Normal-em"/>
      </w:pPr>
    </w:p>
    <w:p w:rsidR="004D0528" w:rsidRDefault="00A73A9B" w:rsidP="00A73A9B">
      <w:pPr>
        <w:pStyle w:val="Normal-em"/>
      </w:pPr>
      <w:r w:rsidRPr="00A73A9B">
        <w:rPr>
          <w:b/>
          <w:i/>
        </w:rPr>
        <w:t>reference prices</w:t>
      </w:r>
      <w:r w:rsidRPr="00A73A9B">
        <w:t xml:space="preserve"> </w:t>
      </w:r>
    </w:p>
    <w:p w:rsidR="00A73A9B" w:rsidRDefault="004D0528" w:rsidP="00A73A9B">
      <w:pPr>
        <w:pStyle w:val="Normal-em"/>
      </w:pPr>
      <w:r w:rsidRPr="004D0528">
        <w:t xml:space="preserve">This definition provides that </w:t>
      </w:r>
      <w:r>
        <w:t xml:space="preserve">‘reference prices’ </w:t>
      </w:r>
      <w:r w:rsidR="00A73A9B" w:rsidRPr="00A73A9B">
        <w:t>means the standard prices a port terminal service provider charges for port terminal services on the standard terms at a port where the port terminal service provider owns or operates a port terminal facility.</w:t>
      </w:r>
    </w:p>
    <w:p w:rsidR="004D0528" w:rsidRPr="00A73A9B" w:rsidRDefault="004D0528" w:rsidP="00A73A9B">
      <w:pPr>
        <w:pStyle w:val="Normal-em"/>
      </w:pPr>
    </w:p>
    <w:p w:rsidR="004D0528" w:rsidRDefault="00A73A9B" w:rsidP="00A73A9B">
      <w:pPr>
        <w:pStyle w:val="Normal-em"/>
        <w:rPr>
          <w:b/>
          <w:i/>
        </w:rPr>
      </w:pPr>
      <w:r w:rsidRPr="00A73A9B">
        <w:rPr>
          <w:b/>
          <w:i/>
        </w:rPr>
        <w:t xml:space="preserve">shipping slot </w:t>
      </w:r>
    </w:p>
    <w:p w:rsidR="00A73A9B" w:rsidRDefault="004D0528" w:rsidP="00A73A9B">
      <w:pPr>
        <w:pStyle w:val="Normal-em"/>
      </w:pPr>
      <w:r w:rsidRPr="004D0528">
        <w:t xml:space="preserve">This definition provides that </w:t>
      </w:r>
      <w:r>
        <w:t xml:space="preserve">‘shipping slot’ </w:t>
      </w:r>
      <w:r w:rsidR="00A73A9B" w:rsidRPr="00A73A9B">
        <w:t>means a specific time allocated for the loading of a ship.</w:t>
      </w:r>
    </w:p>
    <w:p w:rsidR="004D0528" w:rsidRPr="00A73A9B" w:rsidRDefault="004D0528" w:rsidP="00A73A9B">
      <w:pPr>
        <w:pStyle w:val="Normal-em"/>
      </w:pPr>
    </w:p>
    <w:p w:rsidR="004D0528" w:rsidRDefault="00A73A9B" w:rsidP="00A73A9B">
      <w:pPr>
        <w:pStyle w:val="Normal-em"/>
      </w:pPr>
      <w:r w:rsidRPr="00A73A9B">
        <w:rPr>
          <w:b/>
          <w:i/>
        </w:rPr>
        <w:t>shipping window</w:t>
      </w:r>
      <w:r w:rsidRPr="00A73A9B">
        <w:t xml:space="preserve"> </w:t>
      </w:r>
    </w:p>
    <w:p w:rsidR="00A73A9B" w:rsidRDefault="004D0528" w:rsidP="00A73A9B">
      <w:pPr>
        <w:pStyle w:val="Normal-em"/>
      </w:pPr>
      <w:r w:rsidRPr="004D0528">
        <w:t xml:space="preserve">This definition provides that </w:t>
      </w:r>
      <w:r>
        <w:t xml:space="preserve">‘shipping window’ </w:t>
      </w:r>
      <w:r w:rsidR="00A73A9B" w:rsidRPr="00A73A9B">
        <w:t>means a period of a week, fortnight or month, as determined by a port terminal service provider, in which shipping slots are allocated to exporters in order to ship bulk wheat.</w:t>
      </w:r>
    </w:p>
    <w:p w:rsidR="004D0528" w:rsidRPr="00A73A9B" w:rsidRDefault="004D0528" w:rsidP="00A73A9B">
      <w:pPr>
        <w:pStyle w:val="Normal-em"/>
      </w:pPr>
    </w:p>
    <w:p w:rsidR="004D0528" w:rsidRDefault="00A73A9B" w:rsidP="00A73A9B">
      <w:pPr>
        <w:pStyle w:val="Normal-em"/>
      </w:pPr>
      <w:r w:rsidRPr="00A73A9B">
        <w:rPr>
          <w:b/>
          <w:i/>
        </w:rPr>
        <w:t>standard terms</w:t>
      </w:r>
      <w:r w:rsidRPr="00A73A9B">
        <w:t xml:space="preserve"> </w:t>
      </w:r>
    </w:p>
    <w:p w:rsidR="00A73A9B" w:rsidRPr="00A73A9B" w:rsidRDefault="004D0528" w:rsidP="00A73A9B">
      <w:pPr>
        <w:pStyle w:val="Normal-em"/>
      </w:pPr>
      <w:r w:rsidRPr="004D0528">
        <w:t xml:space="preserve">This definition provides that </w:t>
      </w:r>
      <w:r>
        <w:t xml:space="preserve">‘standard terms’ </w:t>
      </w:r>
      <w:r w:rsidR="00A73A9B" w:rsidRPr="00A73A9B">
        <w:t>means the standard terms and conditions, developed by a port terminal service provider, on which port terminal services are made available at a port where the port terminal service provider owns or operates a port terminal facility.</w:t>
      </w:r>
    </w:p>
    <w:p w:rsidR="00EE360D" w:rsidRDefault="00EE360D">
      <w:pPr>
        <w:pStyle w:val="Normal-em"/>
        <w:rPr>
          <w:color w:val="auto"/>
          <w:szCs w:val="24"/>
        </w:rPr>
      </w:pPr>
    </w:p>
    <w:p w:rsidR="00EE360D" w:rsidRDefault="00EE360D">
      <w:pPr>
        <w:pStyle w:val="Normal-em"/>
        <w:rPr>
          <w:color w:val="auto"/>
          <w:szCs w:val="24"/>
        </w:rPr>
      </w:pPr>
    </w:p>
    <w:p w:rsidR="00EE360D" w:rsidRDefault="001969F1">
      <w:pPr>
        <w:pStyle w:val="Normal-em"/>
        <w:rPr>
          <w:color w:val="auto"/>
          <w:szCs w:val="24"/>
        </w:rPr>
      </w:pPr>
      <w:r w:rsidRPr="001969F1">
        <w:rPr>
          <w:b/>
          <w:color w:val="auto"/>
          <w:szCs w:val="24"/>
        </w:rPr>
        <w:lastRenderedPageBreak/>
        <w:t>Clause 4</w:t>
      </w:r>
      <w:r w:rsidR="00E53225">
        <w:rPr>
          <w:color w:val="auto"/>
          <w:szCs w:val="24"/>
        </w:rPr>
        <w:t xml:space="preserve"> specifies the general application of the Code of Conduct. It sets out the circumstances when particular parts and clauses do not apply to particular service providers. It also provides that the code does not immediately apply to some service providers. </w:t>
      </w:r>
    </w:p>
    <w:p w:rsidR="00EE360D" w:rsidRDefault="00EE360D">
      <w:pPr>
        <w:pStyle w:val="Normal-em"/>
        <w:rPr>
          <w:color w:val="auto"/>
          <w:szCs w:val="24"/>
        </w:rPr>
      </w:pPr>
    </w:p>
    <w:p w:rsidR="00EE360D" w:rsidRDefault="001969F1">
      <w:pPr>
        <w:pStyle w:val="Normal-em"/>
        <w:rPr>
          <w:color w:val="auto"/>
          <w:szCs w:val="24"/>
        </w:rPr>
      </w:pPr>
      <w:r w:rsidRPr="001969F1">
        <w:rPr>
          <w:b/>
          <w:color w:val="auto"/>
          <w:szCs w:val="24"/>
        </w:rPr>
        <w:t>Clause 5</w:t>
      </w:r>
      <w:r w:rsidR="00E53225">
        <w:rPr>
          <w:color w:val="auto"/>
          <w:szCs w:val="24"/>
        </w:rPr>
        <w:t xml:space="preserve"> specifies </w:t>
      </w:r>
      <w:r w:rsidR="00296E69">
        <w:rPr>
          <w:color w:val="auto"/>
          <w:szCs w:val="24"/>
        </w:rPr>
        <w:t>the factors</w:t>
      </w:r>
      <w:r w:rsidR="00E53225">
        <w:rPr>
          <w:color w:val="auto"/>
          <w:szCs w:val="24"/>
        </w:rPr>
        <w:t xml:space="preserve"> the</w:t>
      </w:r>
      <w:r w:rsidR="00296E69">
        <w:rPr>
          <w:color w:val="auto"/>
          <w:szCs w:val="24"/>
        </w:rPr>
        <w:t xml:space="preserve"> Minister for Agriculture and, separately, the</w:t>
      </w:r>
      <w:r w:rsidR="00E53225">
        <w:rPr>
          <w:color w:val="auto"/>
          <w:szCs w:val="24"/>
        </w:rPr>
        <w:t xml:space="preserve"> Australian Competition and Consumer Commission (ACCC) must consider when determining a port terminal service provider can be classified an exempt service provider. An exempt port terminal service provider must meet the reporting requirements stated in Part 2 of the Regul</w:t>
      </w:r>
      <w:r w:rsidR="00296E69">
        <w:rPr>
          <w:color w:val="auto"/>
          <w:szCs w:val="24"/>
        </w:rPr>
        <w:t>ation but is exempted from the</w:t>
      </w:r>
      <w:r w:rsidR="00E53225">
        <w:rPr>
          <w:color w:val="auto"/>
          <w:szCs w:val="24"/>
        </w:rPr>
        <w:t xml:space="preserve"> requirements in Parts 3 to 6 as set out in Clause 4 (8) of the Regulation. Sub</w:t>
      </w:r>
      <w:r w:rsidR="00296E69">
        <w:rPr>
          <w:color w:val="auto"/>
          <w:szCs w:val="24"/>
        </w:rPr>
        <w:t xml:space="preserve"> </w:t>
      </w:r>
      <w:r w:rsidR="00E53225">
        <w:rPr>
          <w:color w:val="auto"/>
          <w:szCs w:val="24"/>
        </w:rPr>
        <w:t>clause 5 (2) includes a note clarifying the circumstances in which the</w:t>
      </w:r>
      <w:r w:rsidR="00E53225">
        <w:t xml:space="preserve"> ACCC may make such an exemption determination.</w:t>
      </w:r>
    </w:p>
    <w:p w:rsidR="00EE360D" w:rsidRDefault="00EE360D">
      <w:pPr>
        <w:pStyle w:val="Normal-em"/>
        <w:rPr>
          <w:color w:val="auto"/>
          <w:szCs w:val="24"/>
        </w:rPr>
      </w:pPr>
    </w:p>
    <w:p w:rsidR="00EE360D" w:rsidRDefault="00E53225">
      <w:pPr>
        <w:pStyle w:val="Normal-em"/>
        <w:rPr>
          <w:color w:val="auto"/>
          <w:szCs w:val="24"/>
          <w:u w:val="single"/>
        </w:rPr>
      </w:pPr>
      <w:r>
        <w:rPr>
          <w:color w:val="auto"/>
          <w:szCs w:val="24"/>
          <w:u w:val="single"/>
        </w:rPr>
        <w:t>Part 2 – General obligations of port terminal service providers and exporters</w:t>
      </w:r>
    </w:p>
    <w:p w:rsidR="00EE360D" w:rsidRDefault="00EE360D">
      <w:pPr>
        <w:pStyle w:val="Normal-em"/>
        <w:rPr>
          <w:color w:val="auto"/>
          <w:szCs w:val="24"/>
        </w:rPr>
      </w:pPr>
    </w:p>
    <w:p w:rsidR="00EE360D" w:rsidRDefault="001969F1">
      <w:pPr>
        <w:pStyle w:val="Normal-em"/>
        <w:rPr>
          <w:color w:val="auto"/>
          <w:szCs w:val="24"/>
        </w:rPr>
      </w:pPr>
      <w:r w:rsidRPr="001969F1">
        <w:rPr>
          <w:b/>
          <w:color w:val="auto"/>
          <w:szCs w:val="24"/>
        </w:rPr>
        <w:t>Clause 6</w:t>
      </w:r>
      <w:r w:rsidR="00E53225">
        <w:rPr>
          <w:color w:val="auto"/>
          <w:szCs w:val="24"/>
        </w:rPr>
        <w:t xml:space="preserve"> specifies that a port terminal service provider and an exporter must at all times deal with each other in good faith. </w:t>
      </w:r>
    </w:p>
    <w:p w:rsidR="00EE360D" w:rsidRDefault="00EE360D">
      <w:pPr>
        <w:pStyle w:val="Normal-em"/>
        <w:rPr>
          <w:color w:val="auto"/>
          <w:szCs w:val="24"/>
        </w:rPr>
      </w:pPr>
    </w:p>
    <w:p w:rsidR="00EE360D" w:rsidRDefault="001969F1">
      <w:pPr>
        <w:pStyle w:val="Normal-em"/>
        <w:rPr>
          <w:color w:val="auto"/>
          <w:szCs w:val="24"/>
        </w:rPr>
      </w:pPr>
      <w:r w:rsidRPr="001969F1">
        <w:rPr>
          <w:b/>
          <w:color w:val="auto"/>
          <w:szCs w:val="24"/>
        </w:rPr>
        <w:t>Clause 7</w:t>
      </w:r>
      <w:r w:rsidR="00E53225">
        <w:rPr>
          <w:color w:val="auto"/>
          <w:szCs w:val="24"/>
        </w:rPr>
        <w:t xml:space="preserve"> specifies that the port terminal service provider has to publish on its website a port loading statement for each ship scheduled to load grain at the terminal each business day, including the name of the grain exporter and the type and quantity of the grain to be loaded. This information must be also provided to the ACCC.</w:t>
      </w:r>
    </w:p>
    <w:p w:rsidR="00EE360D" w:rsidRDefault="00EE360D">
      <w:pPr>
        <w:pStyle w:val="Normal-em"/>
        <w:rPr>
          <w:color w:val="auto"/>
          <w:szCs w:val="24"/>
        </w:rPr>
      </w:pPr>
    </w:p>
    <w:p w:rsidR="00EE360D" w:rsidRDefault="001969F1">
      <w:pPr>
        <w:pStyle w:val="Normal-em"/>
        <w:rPr>
          <w:color w:val="auto"/>
          <w:szCs w:val="24"/>
        </w:rPr>
      </w:pPr>
      <w:r w:rsidRPr="001969F1">
        <w:rPr>
          <w:b/>
          <w:color w:val="auto"/>
          <w:szCs w:val="24"/>
        </w:rPr>
        <w:t>Clause 8</w:t>
      </w:r>
      <w:r w:rsidR="00E53225">
        <w:rPr>
          <w:color w:val="auto"/>
          <w:szCs w:val="24"/>
        </w:rPr>
        <w:t xml:space="preserve"> specifies that the port terminal service provider must publish on its website its policies and procedures for managing demand of its port terminal services.</w:t>
      </w:r>
    </w:p>
    <w:p w:rsidR="00EE360D" w:rsidRDefault="00EE360D">
      <w:pPr>
        <w:pStyle w:val="Normal-em"/>
        <w:rPr>
          <w:color w:val="auto"/>
          <w:szCs w:val="24"/>
        </w:rPr>
      </w:pPr>
    </w:p>
    <w:p w:rsidR="00EE360D" w:rsidRDefault="001969F1">
      <w:pPr>
        <w:pStyle w:val="Normal-em"/>
        <w:rPr>
          <w:color w:val="auto"/>
          <w:szCs w:val="24"/>
        </w:rPr>
      </w:pPr>
      <w:r w:rsidRPr="001969F1">
        <w:rPr>
          <w:b/>
          <w:color w:val="auto"/>
          <w:szCs w:val="24"/>
        </w:rPr>
        <w:t>Clause 9</w:t>
      </w:r>
      <w:r w:rsidR="00E53225">
        <w:rPr>
          <w:color w:val="auto"/>
          <w:szCs w:val="24"/>
        </w:rPr>
        <w:t xml:space="preserve"> specifies that the port terminal service provider must publish on its website its current standard terms and reference prices for each port terminal facility that it owns or operates. </w:t>
      </w:r>
    </w:p>
    <w:p w:rsidR="00EE360D" w:rsidRDefault="00EE360D">
      <w:pPr>
        <w:pStyle w:val="Normal-em"/>
        <w:rPr>
          <w:color w:val="auto"/>
          <w:szCs w:val="24"/>
        </w:rPr>
      </w:pPr>
    </w:p>
    <w:p w:rsidR="00EE360D" w:rsidRDefault="00E53225">
      <w:pPr>
        <w:pStyle w:val="Normal-em"/>
        <w:rPr>
          <w:color w:val="auto"/>
          <w:szCs w:val="24"/>
          <w:u w:val="single"/>
        </w:rPr>
      </w:pPr>
      <w:r>
        <w:rPr>
          <w:color w:val="auto"/>
          <w:szCs w:val="24"/>
          <w:u w:val="single"/>
        </w:rPr>
        <w:t>Part 3 – Access to port terminal services provided by a port terminal service provider</w:t>
      </w:r>
    </w:p>
    <w:p w:rsidR="00EE360D" w:rsidRDefault="00E53225">
      <w:pPr>
        <w:pStyle w:val="Normal-em"/>
        <w:rPr>
          <w:color w:val="auto"/>
          <w:szCs w:val="24"/>
          <w:u w:val="single"/>
        </w:rPr>
      </w:pPr>
      <w:r>
        <w:rPr>
          <w:color w:val="auto"/>
          <w:szCs w:val="24"/>
          <w:u w:val="single"/>
        </w:rPr>
        <w:t>Division 1 – General matters</w:t>
      </w:r>
    </w:p>
    <w:p w:rsidR="00EE360D" w:rsidRDefault="00EE360D">
      <w:pPr>
        <w:pStyle w:val="Normal-em"/>
        <w:rPr>
          <w:color w:val="auto"/>
          <w:szCs w:val="24"/>
        </w:rPr>
      </w:pPr>
    </w:p>
    <w:p w:rsidR="00EE360D" w:rsidRDefault="001969F1">
      <w:pPr>
        <w:pStyle w:val="Normal-em"/>
        <w:rPr>
          <w:color w:val="auto"/>
          <w:szCs w:val="24"/>
        </w:rPr>
      </w:pPr>
      <w:r w:rsidRPr="001969F1">
        <w:rPr>
          <w:b/>
          <w:color w:val="auto"/>
          <w:szCs w:val="24"/>
        </w:rPr>
        <w:t>Clause 10</w:t>
      </w:r>
      <w:r w:rsidR="00E53225">
        <w:rPr>
          <w:color w:val="auto"/>
          <w:szCs w:val="24"/>
        </w:rPr>
        <w:t xml:space="preserve"> specifies that the port </w:t>
      </w:r>
      <w:r w:rsidR="004F08B1">
        <w:rPr>
          <w:color w:val="auto"/>
          <w:szCs w:val="24"/>
        </w:rPr>
        <w:t xml:space="preserve">terminal </w:t>
      </w:r>
      <w:r w:rsidR="00E53225">
        <w:rPr>
          <w:color w:val="auto"/>
          <w:szCs w:val="24"/>
        </w:rPr>
        <w:t>service provider not discriminate or hinder an exporter’s access to port terminal facilities.</w:t>
      </w:r>
    </w:p>
    <w:p w:rsidR="00EE360D" w:rsidRDefault="00EE360D">
      <w:pPr>
        <w:pStyle w:val="Normal-em"/>
        <w:rPr>
          <w:color w:val="auto"/>
          <w:szCs w:val="24"/>
        </w:rPr>
      </w:pPr>
    </w:p>
    <w:p w:rsidR="00EE360D" w:rsidRDefault="001969F1">
      <w:pPr>
        <w:pStyle w:val="Normal-em"/>
        <w:rPr>
          <w:color w:val="auto"/>
          <w:szCs w:val="24"/>
        </w:rPr>
      </w:pPr>
      <w:r w:rsidRPr="001969F1">
        <w:rPr>
          <w:b/>
          <w:color w:val="auto"/>
          <w:szCs w:val="24"/>
        </w:rPr>
        <w:t>Clause 11</w:t>
      </w:r>
      <w:r w:rsidR="00E53225">
        <w:rPr>
          <w:color w:val="auto"/>
          <w:szCs w:val="24"/>
        </w:rPr>
        <w:t xml:space="preserve"> specifies the conditions an exporter must meet and the circumstance whereby a port terminal service provider must either enter into a port </w:t>
      </w:r>
      <w:r w:rsidR="004F08B1">
        <w:rPr>
          <w:color w:val="auto"/>
          <w:szCs w:val="24"/>
        </w:rPr>
        <w:t xml:space="preserve">services </w:t>
      </w:r>
      <w:r w:rsidR="00E53225">
        <w:rPr>
          <w:color w:val="auto"/>
          <w:szCs w:val="24"/>
        </w:rPr>
        <w:t>access agreement with an exporter or enter into negotiations regarding a</w:t>
      </w:r>
      <w:r w:rsidR="004F08B1">
        <w:rPr>
          <w:color w:val="auto"/>
          <w:szCs w:val="24"/>
        </w:rPr>
        <w:t>n</w:t>
      </w:r>
      <w:r w:rsidR="00E53225">
        <w:rPr>
          <w:color w:val="auto"/>
          <w:szCs w:val="24"/>
        </w:rPr>
        <w:t xml:space="preserve"> access agreement, the conditions in which the exporter has an opportunity to provide additional information to the </w:t>
      </w:r>
      <w:r w:rsidR="004F08B1">
        <w:rPr>
          <w:color w:val="auto"/>
          <w:szCs w:val="24"/>
        </w:rPr>
        <w:t xml:space="preserve">port </w:t>
      </w:r>
      <w:r w:rsidR="00E53225">
        <w:rPr>
          <w:color w:val="auto"/>
          <w:szCs w:val="24"/>
        </w:rPr>
        <w:t>termina</w:t>
      </w:r>
      <w:r w:rsidR="004F08B1">
        <w:rPr>
          <w:color w:val="auto"/>
          <w:szCs w:val="24"/>
        </w:rPr>
        <w:t>l service provider and the time</w:t>
      </w:r>
      <w:r w:rsidR="00E53225">
        <w:rPr>
          <w:color w:val="auto"/>
          <w:szCs w:val="24"/>
        </w:rPr>
        <w:t>frames for negotiating the access agreement.</w:t>
      </w:r>
    </w:p>
    <w:p w:rsidR="00EE360D" w:rsidRDefault="00EE360D">
      <w:pPr>
        <w:pStyle w:val="Normal-em"/>
        <w:rPr>
          <w:color w:val="auto"/>
          <w:szCs w:val="24"/>
        </w:rPr>
      </w:pPr>
    </w:p>
    <w:p w:rsidR="00EE360D" w:rsidRDefault="001969F1">
      <w:pPr>
        <w:pStyle w:val="Normal-em"/>
        <w:rPr>
          <w:color w:val="auto"/>
          <w:szCs w:val="24"/>
        </w:rPr>
      </w:pPr>
      <w:r w:rsidRPr="001969F1">
        <w:rPr>
          <w:b/>
          <w:color w:val="auto"/>
          <w:szCs w:val="24"/>
        </w:rPr>
        <w:t>Clause 12</w:t>
      </w:r>
      <w:r w:rsidR="00E53225">
        <w:rPr>
          <w:color w:val="auto"/>
          <w:szCs w:val="24"/>
        </w:rPr>
        <w:t xml:space="preserve"> specifies the timeframes </w:t>
      </w:r>
      <w:r w:rsidR="004F08B1">
        <w:rPr>
          <w:color w:val="auto"/>
          <w:szCs w:val="24"/>
        </w:rPr>
        <w:t xml:space="preserve">for the port terminal service provider </w:t>
      </w:r>
      <w:r w:rsidR="00E53225">
        <w:rPr>
          <w:color w:val="auto"/>
          <w:szCs w:val="24"/>
        </w:rPr>
        <w:t>when dealing with an incomplete application from an exporter.</w:t>
      </w:r>
    </w:p>
    <w:p w:rsidR="00EE360D" w:rsidRDefault="00EE360D">
      <w:pPr>
        <w:pStyle w:val="Normal-em"/>
        <w:rPr>
          <w:color w:val="auto"/>
          <w:szCs w:val="24"/>
        </w:rPr>
      </w:pPr>
    </w:p>
    <w:p w:rsidR="00EE360D" w:rsidRDefault="001969F1">
      <w:pPr>
        <w:pStyle w:val="Normal-em"/>
        <w:rPr>
          <w:color w:val="auto"/>
          <w:szCs w:val="24"/>
        </w:rPr>
      </w:pPr>
      <w:r w:rsidRPr="001969F1">
        <w:rPr>
          <w:b/>
          <w:color w:val="auto"/>
          <w:szCs w:val="24"/>
        </w:rPr>
        <w:t>Clause 13</w:t>
      </w:r>
      <w:r w:rsidR="00E53225">
        <w:rPr>
          <w:color w:val="auto"/>
          <w:szCs w:val="24"/>
        </w:rPr>
        <w:t xml:space="preserve"> specifies the requirements of an access agreement, including that an access agreement must be based on </w:t>
      </w:r>
      <w:r w:rsidR="00E53225">
        <w:t>standard terms and reference prices, the terms negotiated and agreed by the parties</w:t>
      </w:r>
      <w:r w:rsidR="004F08B1">
        <w:t>,</w:t>
      </w:r>
      <w:r w:rsidR="00E53225">
        <w:rPr>
          <w:color w:val="auto"/>
          <w:szCs w:val="24"/>
        </w:rPr>
        <w:t xml:space="preserve"> or as determined by an arbitrator. </w:t>
      </w:r>
    </w:p>
    <w:p w:rsidR="00EE360D" w:rsidRDefault="00EE360D">
      <w:pPr>
        <w:pStyle w:val="Normal-em"/>
        <w:rPr>
          <w:color w:val="auto"/>
          <w:szCs w:val="24"/>
        </w:rPr>
      </w:pPr>
    </w:p>
    <w:p w:rsidR="00EE360D" w:rsidRDefault="001969F1">
      <w:pPr>
        <w:pStyle w:val="Normal-em"/>
        <w:rPr>
          <w:color w:val="auto"/>
          <w:szCs w:val="24"/>
          <w:u w:val="single"/>
        </w:rPr>
      </w:pPr>
      <w:r w:rsidRPr="001969F1">
        <w:rPr>
          <w:b/>
          <w:color w:val="auto"/>
          <w:szCs w:val="24"/>
        </w:rPr>
        <w:t>Clause 14</w:t>
      </w:r>
      <w:r w:rsidR="00E53225">
        <w:rPr>
          <w:color w:val="auto"/>
          <w:szCs w:val="24"/>
        </w:rPr>
        <w:t xml:space="preserve"> specifies the process of dealing with dis</w:t>
      </w:r>
      <w:r w:rsidR="004F08B1">
        <w:rPr>
          <w:color w:val="auto"/>
          <w:szCs w:val="24"/>
        </w:rPr>
        <w:t xml:space="preserve">putes during negotiations for an </w:t>
      </w:r>
      <w:r w:rsidR="00E53225">
        <w:rPr>
          <w:color w:val="auto"/>
          <w:szCs w:val="24"/>
        </w:rPr>
        <w:t>access agreement.</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15</w:t>
      </w:r>
      <w:r w:rsidR="00E53225">
        <w:rPr>
          <w:rFonts w:ascii="Times New Roman" w:hAnsi="Times New Roman" w:cs="Times New Roman"/>
          <w:sz w:val="24"/>
        </w:rPr>
        <w:t xml:space="preserve"> specifies the arbitration process when negotiating the </w:t>
      </w:r>
      <w:r w:rsidR="004F08B1">
        <w:rPr>
          <w:rFonts w:ascii="Times New Roman" w:hAnsi="Times New Roman" w:cs="Times New Roman"/>
          <w:sz w:val="24"/>
        </w:rPr>
        <w:t xml:space="preserve">future </w:t>
      </w:r>
      <w:r w:rsidR="00E53225">
        <w:rPr>
          <w:rFonts w:ascii="Times New Roman" w:hAnsi="Times New Roman" w:cs="Times New Roman"/>
          <w:sz w:val="24"/>
        </w:rPr>
        <w:t xml:space="preserve">terms of agreements for port access between a port terminal </w:t>
      </w:r>
      <w:r w:rsidR="004F08B1">
        <w:rPr>
          <w:rFonts w:ascii="Times New Roman" w:hAnsi="Times New Roman" w:cs="Times New Roman"/>
          <w:sz w:val="24"/>
        </w:rPr>
        <w:t xml:space="preserve">service </w:t>
      </w:r>
      <w:r w:rsidR="00E53225">
        <w:rPr>
          <w:rFonts w:ascii="Times New Roman" w:hAnsi="Times New Roman" w:cs="Times New Roman"/>
          <w:sz w:val="24"/>
        </w:rPr>
        <w:t xml:space="preserve">provider and an exporter. </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16</w:t>
      </w:r>
      <w:r w:rsidR="00E53225">
        <w:rPr>
          <w:rFonts w:ascii="Times New Roman" w:hAnsi="Times New Roman" w:cs="Times New Roman"/>
          <w:sz w:val="24"/>
        </w:rPr>
        <w:t xml:space="preserve"> specifies the conditions under which the port terminal service provider must provide information, during negotiations, that has been requested by the exporter.</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17</w:t>
      </w:r>
      <w:r w:rsidR="00E53225">
        <w:rPr>
          <w:rFonts w:ascii="Times New Roman" w:hAnsi="Times New Roman" w:cs="Times New Roman"/>
          <w:sz w:val="24"/>
        </w:rPr>
        <w:t xml:space="preserve"> specifies the conditions when negotiations can be taken as concluded. Sub clause </w:t>
      </w:r>
      <w:r w:rsidR="004F08B1">
        <w:rPr>
          <w:rFonts w:ascii="Times New Roman" w:hAnsi="Times New Roman" w:cs="Times New Roman"/>
          <w:sz w:val="24"/>
        </w:rPr>
        <w:t>(</w:t>
      </w:r>
      <w:r w:rsidR="00E53225">
        <w:rPr>
          <w:rFonts w:ascii="Times New Roman" w:hAnsi="Times New Roman" w:cs="Times New Roman"/>
          <w:sz w:val="24"/>
        </w:rPr>
        <w:t>3</w:t>
      </w:r>
      <w:r w:rsidR="004F08B1">
        <w:rPr>
          <w:rFonts w:ascii="Times New Roman" w:hAnsi="Times New Roman" w:cs="Times New Roman"/>
          <w:sz w:val="24"/>
        </w:rPr>
        <w:t>)</w:t>
      </w:r>
      <w:r w:rsidR="00E53225">
        <w:rPr>
          <w:rFonts w:ascii="Times New Roman" w:hAnsi="Times New Roman" w:cs="Times New Roman"/>
          <w:sz w:val="24"/>
        </w:rPr>
        <w:t xml:space="preserve"> allows the bulk wheat exporter t</w:t>
      </w:r>
      <w:r w:rsidR="004F08B1">
        <w:rPr>
          <w:rFonts w:ascii="Times New Roman" w:hAnsi="Times New Roman" w:cs="Times New Roman"/>
          <w:sz w:val="24"/>
        </w:rPr>
        <w:t>o make a new application under C</w:t>
      </w:r>
      <w:r w:rsidR="00E53225">
        <w:rPr>
          <w:rFonts w:ascii="Times New Roman" w:hAnsi="Times New Roman" w:cs="Times New Roman"/>
          <w:sz w:val="24"/>
        </w:rPr>
        <w:t>lause 11 if negotiations with the port terminal service provider ended without the parties entering into an access agreement.</w:t>
      </w:r>
    </w:p>
    <w:p w:rsidR="00EE360D" w:rsidRDefault="00EE360D">
      <w:pPr>
        <w:rPr>
          <w:rFonts w:ascii="Times New Roman" w:hAnsi="Times New Roman" w:cs="Times New Roman"/>
          <w:sz w:val="24"/>
        </w:rPr>
      </w:pPr>
    </w:p>
    <w:p w:rsidR="00EE360D" w:rsidRDefault="00E53225">
      <w:pPr>
        <w:rPr>
          <w:rFonts w:ascii="Times New Roman" w:hAnsi="Times New Roman" w:cs="Times New Roman"/>
          <w:sz w:val="24"/>
          <w:u w:val="single"/>
        </w:rPr>
      </w:pPr>
      <w:r>
        <w:rPr>
          <w:rFonts w:ascii="Times New Roman" w:hAnsi="Times New Roman" w:cs="Times New Roman"/>
          <w:sz w:val="24"/>
          <w:u w:val="single"/>
        </w:rPr>
        <w:t xml:space="preserve">Division 2 </w:t>
      </w:r>
      <w:r>
        <w:rPr>
          <w:u w:val="single"/>
        </w:rPr>
        <w:t>–</w:t>
      </w:r>
      <w:r>
        <w:rPr>
          <w:rFonts w:ascii="Times New Roman" w:hAnsi="Times New Roman" w:cs="Times New Roman"/>
          <w:sz w:val="24"/>
          <w:u w:val="single"/>
        </w:rPr>
        <w:t xml:space="preserve"> Mediation</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18</w:t>
      </w:r>
      <w:r w:rsidR="00E53225">
        <w:rPr>
          <w:rFonts w:ascii="Times New Roman" w:hAnsi="Times New Roman" w:cs="Times New Roman"/>
          <w:sz w:val="24"/>
        </w:rPr>
        <w:t xml:space="preserve"> specifies the rules of mediation to resolve disputes. The rules specify the time and place for mediation, and the use of proxies who are able to enter into an agreement on behalf of the party. The clause also details the requirements for a party to be taken as trying to resolve a dispute </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19</w:t>
      </w:r>
      <w:r w:rsidR="00E53225">
        <w:rPr>
          <w:rFonts w:ascii="Times New Roman" w:hAnsi="Times New Roman" w:cs="Times New Roman"/>
          <w:sz w:val="24"/>
        </w:rPr>
        <w:t xml:space="preserve"> specifies the conditions for terminating mediation between the port terminal </w:t>
      </w:r>
      <w:r w:rsidR="004F08B1">
        <w:rPr>
          <w:rFonts w:ascii="Times New Roman" w:hAnsi="Times New Roman" w:cs="Times New Roman"/>
          <w:sz w:val="24"/>
        </w:rPr>
        <w:t xml:space="preserve">service </w:t>
      </w:r>
      <w:r w:rsidR="00E53225">
        <w:rPr>
          <w:rFonts w:ascii="Times New Roman" w:hAnsi="Times New Roman" w:cs="Times New Roman"/>
          <w:sz w:val="24"/>
        </w:rPr>
        <w:t xml:space="preserve">provider and the exporter. Sub clause </w:t>
      </w:r>
      <w:r w:rsidR="004F08B1">
        <w:rPr>
          <w:rFonts w:ascii="Times New Roman" w:hAnsi="Times New Roman" w:cs="Times New Roman"/>
          <w:sz w:val="24"/>
        </w:rPr>
        <w:t>(</w:t>
      </w:r>
      <w:r w:rsidR="00E53225">
        <w:rPr>
          <w:rFonts w:ascii="Times New Roman" w:hAnsi="Times New Roman" w:cs="Times New Roman"/>
          <w:sz w:val="24"/>
        </w:rPr>
        <w:t>5</w:t>
      </w:r>
      <w:r w:rsidR="004F08B1">
        <w:rPr>
          <w:rFonts w:ascii="Times New Roman" w:hAnsi="Times New Roman" w:cs="Times New Roman"/>
          <w:sz w:val="24"/>
        </w:rPr>
        <w:t>)</w:t>
      </w:r>
      <w:r w:rsidR="00E53225">
        <w:rPr>
          <w:rFonts w:ascii="Times New Roman" w:hAnsi="Times New Roman" w:cs="Times New Roman"/>
          <w:sz w:val="24"/>
        </w:rPr>
        <w:t xml:space="preserve"> requires that the ACCC must be also notified if mediation of a dispute has been terminated.</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 xml:space="preserve">Clause 20 </w:t>
      </w:r>
      <w:r w:rsidR="00E53225">
        <w:rPr>
          <w:rFonts w:ascii="Times New Roman" w:hAnsi="Times New Roman" w:cs="Times New Roman"/>
          <w:sz w:val="24"/>
        </w:rPr>
        <w:t>specifies how the costs of mediation should be shared between the parties.</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21</w:t>
      </w:r>
      <w:r w:rsidR="00E53225">
        <w:rPr>
          <w:rFonts w:ascii="Times New Roman" w:hAnsi="Times New Roman" w:cs="Times New Roman"/>
          <w:sz w:val="24"/>
        </w:rPr>
        <w:t xml:space="preserve"> specifies that the right to take legal proceedings is not affected by the access agreement.</w:t>
      </w:r>
    </w:p>
    <w:p w:rsidR="00EE360D" w:rsidRDefault="00EE360D">
      <w:pPr>
        <w:rPr>
          <w:rFonts w:ascii="Times New Roman" w:hAnsi="Times New Roman" w:cs="Times New Roman"/>
          <w:sz w:val="24"/>
          <w:u w:val="single"/>
        </w:rPr>
      </w:pPr>
    </w:p>
    <w:p w:rsidR="00EE360D" w:rsidRDefault="00E53225">
      <w:pPr>
        <w:rPr>
          <w:rFonts w:ascii="Times New Roman" w:hAnsi="Times New Roman" w:cs="Times New Roman"/>
          <w:sz w:val="24"/>
          <w:u w:val="single"/>
        </w:rPr>
      </w:pPr>
      <w:r>
        <w:rPr>
          <w:rFonts w:ascii="Times New Roman" w:hAnsi="Times New Roman" w:cs="Times New Roman"/>
          <w:sz w:val="24"/>
          <w:u w:val="single"/>
        </w:rPr>
        <w:t>Division 3 – Standard terms and reference prices</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22</w:t>
      </w:r>
      <w:r w:rsidR="00E53225">
        <w:rPr>
          <w:rFonts w:ascii="Times New Roman" w:hAnsi="Times New Roman" w:cs="Times New Roman"/>
          <w:sz w:val="24"/>
        </w:rPr>
        <w:t xml:space="preserve"> specifies that a dispute resolution mechanism must be included in a port terminal service provider’s standard terms. Th</w:t>
      </w:r>
      <w:r w:rsidR="004F08B1">
        <w:rPr>
          <w:rFonts w:ascii="Times New Roman" w:hAnsi="Times New Roman" w:cs="Times New Roman"/>
          <w:sz w:val="24"/>
        </w:rPr>
        <w:t>e clause</w:t>
      </w:r>
      <w:r w:rsidR="00E53225">
        <w:rPr>
          <w:rFonts w:ascii="Times New Roman" w:hAnsi="Times New Roman" w:cs="Times New Roman"/>
          <w:sz w:val="24"/>
        </w:rPr>
        <w:t xml:space="preserve"> provides the parties </w:t>
      </w:r>
      <w:r w:rsidR="004F08B1">
        <w:rPr>
          <w:rFonts w:ascii="Times New Roman" w:hAnsi="Times New Roman" w:cs="Times New Roman"/>
          <w:sz w:val="24"/>
        </w:rPr>
        <w:t xml:space="preserve">with </w:t>
      </w:r>
      <w:r w:rsidR="00E53225">
        <w:rPr>
          <w:rFonts w:ascii="Times New Roman" w:hAnsi="Times New Roman" w:cs="Times New Roman"/>
          <w:sz w:val="24"/>
        </w:rPr>
        <w:t xml:space="preserve">an option to ask the Institute of Arbitrators and Mediators Australia to appoint a mediator if the parties cannot agree about who should be the mediator. </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23</w:t>
      </w:r>
      <w:r w:rsidR="00E53225">
        <w:rPr>
          <w:rFonts w:ascii="Times New Roman" w:hAnsi="Times New Roman" w:cs="Times New Roman"/>
          <w:sz w:val="24"/>
        </w:rPr>
        <w:t xml:space="preserve"> specifies that a port terminal service provider may vary its standard terms and reference prices provided details of the variation are made available on its website at least 20 business days before the variation is due to commence</w:t>
      </w:r>
      <w:r w:rsidR="00883A79">
        <w:rPr>
          <w:rFonts w:ascii="Times New Roman" w:hAnsi="Times New Roman" w:cs="Times New Roman"/>
          <w:sz w:val="24"/>
        </w:rPr>
        <w:t>. The clause provides that the variation would not apply to existing access agreements unless explicitly allowed for in the agreement.</w:t>
      </w:r>
      <w:r w:rsidR="00E53225">
        <w:rPr>
          <w:rFonts w:ascii="Times New Roman" w:hAnsi="Times New Roman" w:cs="Times New Roman"/>
          <w:sz w:val="24"/>
        </w:rPr>
        <w:t xml:space="preserve"> </w:t>
      </w:r>
    </w:p>
    <w:p w:rsidR="00EE360D" w:rsidRDefault="00EE360D">
      <w:pPr>
        <w:rPr>
          <w:rFonts w:ascii="Times New Roman" w:hAnsi="Times New Roman" w:cs="Times New Roman"/>
          <w:sz w:val="24"/>
        </w:rPr>
      </w:pPr>
    </w:p>
    <w:p w:rsidR="00EE360D" w:rsidRDefault="00E53225">
      <w:pPr>
        <w:pStyle w:val="Normal-em"/>
        <w:rPr>
          <w:color w:val="auto"/>
          <w:szCs w:val="24"/>
          <w:u w:val="single"/>
        </w:rPr>
      </w:pPr>
      <w:r>
        <w:rPr>
          <w:color w:val="auto"/>
          <w:szCs w:val="24"/>
          <w:u w:val="single"/>
        </w:rPr>
        <w:t>Part 4 – Port loading protocols of port terminal service providers</w:t>
      </w:r>
    </w:p>
    <w:p w:rsidR="00EE360D" w:rsidRDefault="00E53225">
      <w:pPr>
        <w:rPr>
          <w:rFonts w:ascii="Times New Roman" w:hAnsi="Times New Roman" w:cs="Times New Roman"/>
          <w:sz w:val="24"/>
          <w:u w:val="single"/>
        </w:rPr>
      </w:pPr>
      <w:r>
        <w:rPr>
          <w:rFonts w:ascii="Times New Roman" w:hAnsi="Times New Roman" w:cs="Times New Roman"/>
          <w:sz w:val="24"/>
          <w:u w:val="single"/>
        </w:rPr>
        <w:t>Division 1 – General Requirements</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24</w:t>
      </w:r>
      <w:r w:rsidR="00E53225">
        <w:rPr>
          <w:rFonts w:ascii="Times New Roman" w:hAnsi="Times New Roman" w:cs="Times New Roman"/>
          <w:sz w:val="24"/>
        </w:rPr>
        <w:t xml:space="preserve"> specifies that the port terminal service provider must make available on its website its port loading protocol for each port terminal that it owns or operates.</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25</w:t>
      </w:r>
      <w:r w:rsidR="00E53225">
        <w:rPr>
          <w:rFonts w:ascii="Times New Roman" w:hAnsi="Times New Roman" w:cs="Times New Roman"/>
          <w:sz w:val="24"/>
        </w:rPr>
        <w:t xml:space="preserve"> specifies the port terminal service provider must have a port loading protocol that includes information about the terminal’s capacity allocation system and which must be published on its website. If the system allocates capacity more than six months in advance, the port terminal service provider must also obtain ACCC approv</w:t>
      </w:r>
      <w:r w:rsidR="00883A79">
        <w:rPr>
          <w:rFonts w:ascii="Times New Roman" w:hAnsi="Times New Roman" w:cs="Times New Roman"/>
          <w:sz w:val="24"/>
        </w:rPr>
        <w:t>al of the</w:t>
      </w:r>
      <w:r w:rsidR="00E53225">
        <w:rPr>
          <w:rFonts w:ascii="Times New Roman" w:hAnsi="Times New Roman" w:cs="Times New Roman"/>
          <w:sz w:val="24"/>
        </w:rPr>
        <w:t xml:space="preserve"> capacity allocation </w:t>
      </w:r>
      <w:r w:rsidR="00E53225">
        <w:rPr>
          <w:rFonts w:ascii="Times New Roman" w:hAnsi="Times New Roman" w:cs="Times New Roman"/>
          <w:sz w:val="24"/>
        </w:rPr>
        <w:lastRenderedPageBreak/>
        <w:t>system for that particular terminal. The section also specifies the matters the ACCC must have regard in deciding whether or not to approve a port terminal service provider’s capacity allocation system.</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26</w:t>
      </w:r>
      <w:r w:rsidR="00E53225">
        <w:rPr>
          <w:rFonts w:ascii="Times New Roman" w:hAnsi="Times New Roman" w:cs="Times New Roman"/>
          <w:sz w:val="24"/>
        </w:rPr>
        <w:t xml:space="preserve"> specifies that the port terminal service provider must comply with the port loading protocols and capacity management system for that facility.</w:t>
      </w:r>
    </w:p>
    <w:p w:rsidR="00EE360D" w:rsidRDefault="00EE360D">
      <w:pPr>
        <w:rPr>
          <w:rFonts w:ascii="Times New Roman" w:hAnsi="Times New Roman" w:cs="Times New Roman"/>
          <w:sz w:val="24"/>
        </w:rPr>
      </w:pPr>
    </w:p>
    <w:p w:rsidR="00EE360D" w:rsidRDefault="00E53225">
      <w:pPr>
        <w:rPr>
          <w:rFonts w:ascii="Times New Roman" w:hAnsi="Times New Roman" w:cs="Times New Roman"/>
          <w:sz w:val="24"/>
          <w:u w:val="single"/>
        </w:rPr>
      </w:pPr>
      <w:r>
        <w:rPr>
          <w:rFonts w:ascii="Times New Roman" w:hAnsi="Times New Roman" w:cs="Times New Roman"/>
          <w:sz w:val="24"/>
          <w:u w:val="single"/>
        </w:rPr>
        <w:t>Division 2 – Varying a port loading protocol</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27</w:t>
      </w:r>
      <w:r w:rsidR="00E53225">
        <w:rPr>
          <w:rFonts w:ascii="Times New Roman" w:hAnsi="Times New Roman" w:cs="Times New Roman"/>
          <w:sz w:val="24"/>
        </w:rPr>
        <w:t xml:space="preserve"> specifies the conditions and timeframes under which the port terminal service provider may vary its port loading protocol. The clause separates variations into two categories, variations to approved capacity allocation system and all other miscellaneous variations. Variations to an approved capacity allocation system must be approved by the ACCC. The requirements for all other variations are set out in sub clause (4).</w:t>
      </w:r>
    </w:p>
    <w:p w:rsidR="00EE360D" w:rsidRDefault="00EE360D">
      <w:pPr>
        <w:rPr>
          <w:rFonts w:ascii="Times New Roman" w:hAnsi="Times New Roman" w:cs="Times New Roman"/>
          <w:sz w:val="24"/>
        </w:rPr>
      </w:pPr>
    </w:p>
    <w:p w:rsidR="00EE360D" w:rsidRDefault="00E53225">
      <w:pPr>
        <w:pStyle w:val="Normal-em"/>
        <w:rPr>
          <w:color w:val="auto"/>
          <w:szCs w:val="24"/>
          <w:u w:val="single"/>
        </w:rPr>
      </w:pPr>
      <w:r>
        <w:rPr>
          <w:color w:val="auto"/>
          <w:szCs w:val="24"/>
          <w:u w:val="single"/>
        </w:rPr>
        <w:t>Part 5 – Port terminal service provider to publish certain information</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28</w:t>
      </w:r>
      <w:r w:rsidR="00E53225">
        <w:rPr>
          <w:rFonts w:ascii="Times New Roman" w:hAnsi="Times New Roman" w:cs="Times New Roman"/>
          <w:sz w:val="24"/>
        </w:rPr>
        <w:t xml:space="preserve"> </w:t>
      </w:r>
      <w:r w:rsidR="00883A79">
        <w:rPr>
          <w:rFonts w:ascii="Times New Roman" w:hAnsi="Times New Roman" w:cs="Times New Roman"/>
          <w:sz w:val="24"/>
        </w:rPr>
        <w:t>specifies the conditions under which</w:t>
      </w:r>
      <w:r w:rsidR="00E53225">
        <w:rPr>
          <w:rFonts w:ascii="Times New Roman" w:hAnsi="Times New Roman" w:cs="Times New Roman"/>
          <w:sz w:val="24"/>
        </w:rPr>
        <w:t xml:space="preserve"> the port terminal service provider must report on its website the port terminal’s total expected capacity. The clause sets the initial reporting period to </w:t>
      </w:r>
      <w:r w:rsidR="00883A79">
        <w:rPr>
          <w:rFonts w:ascii="Times New Roman" w:hAnsi="Times New Roman" w:cs="Times New Roman"/>
          <w:sz w:val="24"/>
        </w:rPr>
        <w:t>start from 8 October 2014 to 30 </w:t>
      </w:r>
      <w:r w:rsidR="00E53225">
        <w:rPr>
          <w:rFonts w:ascii="Times New Roman" w:hAnsi="Times New Roman" w:cs="Times New Roman"/>
          <w:sz w:val="24"/>
        </w:rPr>
        <w:t>September 2015. Subsequent reporting periods will commence from 1 October 2015 and are for a period of 12 months. The clause specifies that a port terminal service provider must update this information on its website at least once a week.</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29</w:t>
      </w:r>
      <w:r w:rsidR="00E53225">
        <w:rPr>
          <w:rFonts w:ascii="Times New Roman" w:hAnsi="Times New Roman" w:cs="Times New Roman"/>
          <w:sz w:val="24"/>
        </w:rPr>
        <w:t xml:space="preserve"> specifies that the performance indicators that the port terminal service provider must publish no later than two weeks after the beginning of each month. That is, the port’s monthly allocated capacity and loaded amount, number of demurrage days for each ship, number of ships that failed survey and an explanation if the order for loading ships changes.</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30</w:t>
      </w:r>
      <w:r w:rsidR="00E53225">
        <w:rPr>
          <w:rFonts w:ascii="Times New Roman" w:hAnsi="Times New Roman" w:cs="Times New Roman"/>
          <w:sz w:val="24"/>
        </w:rPr>
        <w:t xml:space="preserve"> specifies that the port terminal service provider publish weekly on its website the total amount of bulk wheat, barley, canola and any other bulk grains held at the port, together with the names of the top three grades of wheat, at the end of the previous week.</w:t>
      </w:r>
    </w:p>
    <w:p w:rsidR="00EE360D" w:rsidRDefault="00EE360D">
      <w:pPr>
        <w:rPr>
          <w:rFonts w:ascii="Times New Roman" w:hAnsi="Times New Roman" w:cs="Times New Roman"/>
          <w:sz w:val="24"/>
        </w:rPr>
      </w:pPr>
    </w:p>
    <w:p w:rsidR="00EE360D" w:rsidRDefault="00E53225">
      <w:pPr>
        <w:pStyle w:val="Normal-em"/>
        <w:rPr>
          <w:color w:val="auto"/>
          <w:szCs w:val="24"/>
          <w:u w:val="single"/>
        </w:rPr>
      </w:pPr>
      <w:r>
        <w:rPr>
          <w:color w:val="auto"/>
          <w:szCs w:val="24"/>
          <w:u w:val="single"/>
        </w:rPr>
        <w:t>Part 6 – Record keeping</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31</w:t>
      </w:r>
      <w:r w:rsidR="00E53225">
        <w:rPr>
          <w:rFonts w:ascii="Times New Roman" w:hAnsi="Times New Roman" w:cs="Times New Roman"/>
          <w:sz w:val="24"/>
        </w:rPr>
        <w:t xml:space="preserve"> specifies that the port terminal service provider retain the access agreements entered into by the provider, and documents evidencing variations made to the agreements, for at least six years.</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32</w:t>
      </w:r>
      <w:r w:rsidR="00E53225">
        <w:rPr>
          <w:rFonts w:ascii="Times New Roman" w:hAnsi="Times New Roman" w:cs="Times New Roman"/>
          <w:sz w:val="24"/>
        </w:rPr>
        <w:t xml:space="preserve"> specifies that both the port terminal service provider and the exporter retain records relating to disputes in relation to the access agreement for at least six years after the dispute is concluded.</w:t>
      </w:r>
    </w:p>
    <w:p w:rsidR="00EE360D" w:rsidRDefault="00EE360D">
      <w:pPr>
        <w:rPr>
          <w:rFonts w:ascii="Times New Roman" w:hAnsi="Times New Roman" w:cs="Times New Roman"/>
          <w:sz w:val="24"/>
        </w:rPr>
      </w:pPr>
    </w:p>
    <w:p w:rsidR="00EE360D" w:rsidRDefault="001969F1">
      <w:pPr>
        <w:rPr>
          <w:rFonts w:ascii="Times New Roman" w:hAnsi="Times New Roman" w:cs="Times New Roman"/>
          <w:sz w:val="24"/>
        </w:rPr>
      </w:pPr>
      <w:r w:rsidRPr="001969F1">
        <w:rPr>
          <w:rFonts w:ascii="Times New Roman" w:hAnsi="Times New Roman" w:cs="Times New Roman"/>
          <w:b/>
          <w:sz w:val="24"/>
        </w:rPr>
        <w:t>Clause 33</w:t>
      </w:r>
      <w:r w:rsidR="00E53225">
        <w:rPr>
          <w:rFonts w:ascii="Times New Roman" w:hAnsi="Times New Roman" w:cs="Times New Roman"/>
          <w:sz w:val="24"/>
        </w:rPr>
        <w:t xml:space="preserve"> specifies the records that the port terminal service provider must create </w:t>
      </w:r>
      <w:r w:rsidR="00E53225" w:rsidRPr="00883A79">
        <w:rPr>
          <w:rFonts w:ascii="Times New Roman" w:hAnsi="Times New Roman" w:cs="Times New Roman"/>
          <w:sz w:val="24"/>
        </w:rPr>
        <w:t xml:space="preserve">in relation to the provider’s port terminal services acquired by an exporter and </w:t>
      </w:r>
      <w:r w:rsidR="00E53225">
        <w:rPr>
          <w:rFonts w:ascii="Times New Roman" w:hAnsi="Times New Roman" w:cs="Times New Roman"/>
          <w:sz w:val="24"/>
        </w:rPr>
        <w:t>maintain for at least six years from the date that the record is created.</w:t>
      </w:r>
    </w:p>
    <w:p w:rsidR="00EE360D" w:rsidRDefault="00EE360D">
      <w:pPr>
        <w:rPr>
          <w:rFonts w:ascii="Times New Roman" w:hAnsi="Times New Roman" w:cs="Times New Roman"/>
          <w:sz w:val="24"/>
        </w:rPr>
      </w:pPr>
    </w:p>
    <w:p w:rsidR="00351507" w:rsidRDefault="00351507">
      <w:pPr>
        <w:rPr>
          <w:rFonts w:ascii="Times New Roman" w:hAnsi="Times New Roman" w:cs="Times New Roman"/>
          <w:sz w:val="24"/>
        </w:rPr>
      </w:pPr>
      <w:r>
        <w:rPr>
          <w:rFonts w:ascii="Times New Roman" w:hAnsi="Times New Roman" w:cs="Times New Roman"/>
          <w:sz w:val="24"/>
        </w:rPr>
        <w:br w:type="page"/>
      </w:r>
    </w:p>
    <w:p w:rsidR="00EE360D" w:rsidRDefault="00EE360D">
      <w:pPr>
        <w:rPr>
          <w:rFonts w:ascii="Times New Roman" w:hAnsi="Times New Roman" w:cs="Times New Roman"/>
          <w:sz w:val="24"/>
        </w:rPr>
      </w:pPr>
    </w:p>
    <w:p w:rsidR="00EE360D" w:rsidRDefault="00EE360D">
      <w:pPr>
        <w:rPr>
          <w:rFonts w:ascii="Times New Roman" w:hAnsi="Times New Roman" w:cs="Times New Roman"/>
          <w:sz w:val="24"/>
        </w:rPr>
      </w:pPr>
    </w:p>
    <w:p w:rsidR="00EE360D" w:rsidRDefault="00E53225">
      <w:pPr>
        <w:jc w:val="right"/>
        <w:rPr>
          <w:rFonts w:ascii="Times New Roman" w:hAnsi="Times New Roman" w:cs="Times New Roman"/>
          <w:b/>
          <w:sz w:val="24"/>
          <w:u w:val="single"/>
        </w:rPr>
      </w:pPr>
      <w:r>
        <w:rPr>
          <w:rFonts w:ascii="Times New Roman" w:hAnsi="Times New Roman" w:cs="Times New Roman"/>
          <w:b/>
          <w:sz w:val="24"/>
          <w:u w:val="single"/>
        </w:rPr>
        <w:t>Attachment B</w:t>
      </w:r>
    </w:p>
    <w:p w:rsidR="00EE360D" w:rsidRDefault="00E5322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EE360D" w:rsidRDefault="00E53225">
      <w:pPr>
        <w:spacing w:before="120" w:after="120"/>
        <w:jc w:val="center"/>
        <w:rPr>
          <w:rFonts w:ascii="Times New Roman" w:hAnsi="Times New Roman"/>
          <w:sz w:val="24"/>
        </w:rPr>
      </w:pPr>
      <w:r>
        <w:rPr>
          <w:rFonts w:ascii="Times New Roman" w:hAnsi="Times New Roman"/>
          <w:i/>
          <w:sz w:val="24"/>
        </w:rPr>
        <w:t>Prepared in accordance with Part 3 of the Human Rights (Parliamentary Scrutiny) Act 2011</w:t>
      </w:r>
    </w:p>
    <w:p w:rsidR="00EE360D" w:rsidRDefault="00EE360D">
      <w:pPr>
        <w:spacing w:before="120" w:after="120"/>
        <w:jc w:val="center"/>
        <w:rPr>
          <w:rFonts w:ascii="Times New Roman" w:hAnsi="Times New Roman"/>
          <w:sz w:val="24"/>
        </w:rPr>
      </w:pPr>
    </w:p>
    <w:p w:rsidR="00EE360D" w:rsidRDefault="00E53225">
      <w:pPr>
        <w:jc w:val="center"/>
        <w:rPr>
          <w:rFonts w:ascii="Times New Roman" w:hAnsi="Times New Roman"/>
          <w:b/>
          <w:i/>
          <w:sz w:val="24"/>
        </w:rPr>
      </w:pPr>
      <w:r>
        <w:rPr>
          <w:rFonts w:ascii="Times New Roman" w:hAnsi="Times New Roman"/>
          <w:b/>
          <w:i/>
          <w:sz w:val="24"/>
        </w:rPr>
        <w:t xml:space="preserve">Competition and Consumer (Industry Code—Port Terminal Access (Bulk Wheat)) Regulation 2014 </w:t>
      </w:r>
    </w:p>
    <w:sdt>
      <w:sdtPr>
        <w:rPr>
          <w:rFonts w:ascii="Times New Roman" w:hAnsi="Times New Roman"/>
          <w:sz w:val="24"/>
        </w:rPr>
        <w:id w:val="962787082"/>
        <w:lock w:val="contentLocked"/>
        <w:placeholder>
          <w:docPart w:val="BCD784F3B4AB4AFA88B77EFB7D32FC0F"/>
        </w:placeholder>
        <w:group/>
      </w:sdtPr>
      <w:sdtEndPr>
        <w:rPr>
          <w:b/>
        </w:rPr>
      </w:sdtEndPr>
      <w:sdtContent>
        <w:p w:rsidR="00EE360D" w:rsidRDefault="00EE360D">
          <w:pPr>
            <w:jc w:val="center"/>
            <w:rPr>
              <w:rFonts w:ascii="Times New Roman" w:hAnsi="Times New Roman"/>
              <w:sz w:val="24"/>
            </w:rPr>
          </w:pPr>
        </w:p>
        <w:p w:rsidR="00EE360D" w:rsidRDefault="00E53225">
          <w:pPr>
            <w:spacing w:before="120" w:after="120"/>
            <w:jc w:val="center"/>
            <w:rPr>
              <w:rFonts w:ascii="Times New Roman" w:hAnsi="Times New Roman"/>
              <w:sz w:val="24"/>
            </w:rPr>
          </w:pPr>
          <w:r>
            <w:rPr>
              <w:rFonts w:ascii="Times New Roman" w:hAnsi="Times New Roman"/>
              <w:sz w:val="24"/>
            </w:rPr>
            <w:t xml:space="preserve">This Legislative Instrument is compatible with the human rights and freedoms recognised or declared in the international instruments listed in section 3 of the </w:t>
          </w:r>
          <w:r>
            <w:rPr>
              <w:rFonts w:ascii="Times New Roman" w:hAnsi="Times New Roman"/>
              <w:i/>
              <w:sz w:val="24"/>
            </w:rPr>
            <w:t>Human Rights (Parliamentary Scrutiny) Act 2011</w:t>
          </w:r>
          <w:r>
            <w:rPr>
              <w:rFonts w:ascii="Times New Roman" w:hAnsi="Times New Roman"/>
              <w:sz w:val="24"/>
            </w:rPr>
            <w:t>.</w:t>
          </w:r>
        </w:p>
        <w:p w:rsidR="00EE360D" w:rsidRDefault="00EE360D">
          <w:pPr>
            <w:rPr>
              <w:rFonts w:ascii="Times New Roman" w:hAnsi="Times New Roman"/>
              <w:sz w:val="24"/>
            </w:rPr>
          </w:pPr>
        </w:p>
        <w:p w:rsidR="00EE360D" w:rsidRDefault="00E53225">
          <w:pPr>
            <w:spacing w:after="120"/>
            <w:jc w:val="both"/>
            <w:rPr>
              <w:rFonts w:ascii="Times New Roman" w:hAnsi="Times New Roman"/>
              <w:b/>
              <w:sz w:val="24"/>
            </w:rPr>
          </w:pPr>
          <w:r>
            <w:rPr>
              <w:rFonts w:ascii="Times New Roman" w:hAnsi="Times New Roman"/>
              <w:b/>
              <w:sz w:val="24"/>
            </w:rPr>
            <w:t>Overview of the Legislative Instrument</w:t>
          </w:r>
        </w:p>
      </w:sdtContent>
    </w:sdt>
    <w:p w:rsidR="00EE360D" w:rsidRDefault="00E53225">
      <w:pPr>
        <w:tabs>
          <w:tab w:val="right" w:pos="9072"/>
        </w:tabs>
        <w:rPr>
          <w:rFonts w:ascii="Times New Roman" w:hAnsi="Times New Roman" w:cs="Times New Roman"/>
          <w:sz w:val="24"/>
        </w:rPr>
      </w:pPr>
      <w:r>
        <w:rPr>
          <w:rFonts w:ascii="Times New Roman" w:hAnsi="Times New Roman"/>
          <w:sz w:val="24"/>
        </w:rPr>
        <w:t xml:space="preserve">The purpose of the Regulation </w:t>
      </w:r>
      <w:r>
        <w:rPr>
          <w:rFonts w:ascii="Times New Roman" w:hAnsi="Times New Roman" w:cs="Times New Roman"/>
          <w:sz w:val="24"/>
        </w:rPr>
        <w:t xml:space="preserve">is to ensure that exporters of bulk wheat have fair and transparent access to port terminal services and to trigger the automatic repeal of the </w:t>
      </w:r>
      <w:r>
        <w:rPr>
          <w:rFonts w:ascii="Times New Roman" w:hAnsi="Times New Roman" w:cs="Times New Roman"/>
          <w:i/>
          <w:sz w:val="24"/>
        </w:rPr>
        <w:t xml:space="preserve">Wheat Export Marketing Act 2008 </w:t>
      </w:r>
      <w:r>
        <w:rPr>
          <w:rFonts w:ascii="Times New Roman" w:hAnsi="Times New Roman" w:cs="Times New Roman"/>
          <w:sz w:val="24"/>
        </w:rPr>
        <w:t xml:space="preserve">(the Marketing Act). The Regulation, and the consequential repeal of the Marketing Act, will provide the necessary protection against potential abuse of market power and responds to increased competition by reducing the regulatory burden, thus supporting competition. </w:t>
      </w:r>
    </w:p>
    <w:sdt>
      <w:sdtPr>
        <w:rPr>
          <w:rFonts w:ascii="Times New Roman" w:hAnsi="Times New Roman"/>
          <w:sz w:val="24"/>
        </w:rPr>
        <w:id w:val="962787081"/>
        <w:lock w:val="contentLocked"/>
        <w:placeholder>
          <w:docPart w:val="BCD784F3B4AB4AFA88B77EFB7D32FC0F"/>
        </w:placeholder>
        <w:group/>
      </w:sdtPr>
      <w:sdtEndPr/>
      <w:sdtContent>
        <w:p w:rsidR="00EE360D" w:rsidRDefault="00EE360D">
          <w:pPr>
            <w:rPr>
              <w:rFonts w:ascii="Times New Roman" w:hAnsi="Times New Roman"/>
              <w:sz w:val="24"/>
            </w:rPr>
          </w:pPr>
        </w:p>
        <w:p w:rsidR="00EE360D" w:rsidRDefault="00E53225">
          <w:pPr>
            <w:spacing w:after="120"/>
            <w:jc w:val="both"/>
            <w:rPr>
              <w:rFonts w:ascii="Times New Roman" w:hAnsi="Times New Roman"/>
              <w:b/>
              <w:sz w:val="24"/>
            </w:rPr>
          </w:pPr>
          <w:r>
            <w:rPr>
              <w:rFonts w:ascii="Times New Roman" w:hAnsi="Times New Roman"/>
              <w:b/>
              <w:sz w:val="24"/>
            </w:rPr>
            <w:t>Human rights implications</w:t>
          </w:r>
        </w:p>
        <w:p w:rsidR="00EE360D" w:rsidRDefault="00E53225">
          <w:pPr>
            <w:rPr>
              <w:rFonts w:ascii="Times New Roman" w:hAnsi="Times New Roman"/>
              <w:sz w:val="24"/>
            </w:rPr>
          </w:pPr>
          <w:r>
            <w:rPr>
              <w:rFonts w:ascii="Times New Roman" w:hAnsi="Times New Roman"/>
              <w:sz w:val="24"/>
            </w:rPr>
            <w:t>This Legislative Instrument does not engage any of the applicable rights or freedoms.</w:t>
          </w:r>
        </w:p>
        <w:p w:rsidR="00EE360D" w:rsidRDefault="00EE360D">
          <w:pPr>
            <w:rPr>
              <w:rFonts w:ascii="Times New Roman" w:hAnsi="Times New Roman"/>
              <w:sz w:val="24"/>
            </w:rPr>
          </w:pPr>
        </w:p>
        <w:p w:rsidR="00EE360D" w:rsidRDefault="00E53225">
          <w:pPr>
            <w:spacing w:after="120"/>
            <w:jc w:val="both"/>
            <w:rPr>
              <w:rFonts w:ascii="Times New Roman" w:hAnsi="Times New Roman"/>
              <w:b/>
              <w:sz w:val="24"/>
            </w:rPr>
          </w:pPr>
          <w:r>
            <w:rPr>
              <w:rFonts w:ascii="Times New Roman" w:hAnsi="Times New Roman"/>
              <w:b/>
              <w:sz w:val="24"/>
            </w:rPr>
            <w:t>Conclusion</w:t>
          </w:r>
        </w:p>
        <w:p w:rsidR="00EE360D" w:rsidRDefault="00E53225">
          <w:pPr>
            <w:rPr>
              <w:rFonts w:ascii="Times New Roman" w:hAnsi="Times New Roman"/>
              <w:sz w:val="24"/>
            </w:rPr>
          </w:pPr>
          <w:r>
            <w:rPr>
              <w:rFonts w:ascii="Times New Roman" w:hAnsi="Times New Roman"/>
              <w:sz w:val="24"/>
            </w:rPr>
            <w:t>This Legislative Instrument is compatible with human rights as it does not raise any human rights issues.</w:t>
          </w:r>
        </w:p>
        <w:p w:rsidR="00EE360D" w:rsidRDefault="00EE360D">
          <w:pPr>
            <w:rPr>
              <w:rFonts w:ascii="Times New Roman" w:hAnsi="Times New Roman"/>
              <w:sz w:val="24"/>
            </w:rPr>
          </w:pPr>
        </w:p>
        <w:p w:rsidR="00EE360D" w:rsidRDefault="0068610F">
          <w:pPr>
            <w:rPr>
              <w:rFonts w:ascii="Times New Roman" w:hAnsi="Times New Roman"/>
              <w:sz w:val="24"/>
            </w:rPr>
          </w:pPr>
        </w:p>
      </w:sdtContent>
    </w:sdt>
    <w:p w:rsidR="00EE360D" w:rsidRDefault="00E53225">
      <w:pPr>
        <w:jc w:val="center"/>
        <w:rPr>
          <w:rFonts w:ascii="Times New Roman" w:hAnsi="Times New Roman"/>
          <w:b/>
          <w:bCs/>
          <w:sz w:val="24"/>
        </w:rPr>
      </w:pPr>
      <w:r>
        <w:rPr>
          <w:rFonts w:ascii="Times New Roman" w:hAnsi="Times New Roman"/>
          <w:b/>
          <w:bCs/>
          <w:sz w:val="24"/>
        </w:rPr>
        <w:t>The Hon. Barnaby Joyce MP</w:t>
      </w:r>
    </w:p>
    <w:p w:rsidR="00EE360D" w:rsidRDefault="00E53225">
      <w:pPr>
        <w:jc w:val="center"/>
        <w:rPr>
          <w:rFonts w:ascii="Times New Roman" w:hAnsi="Times New Roman"/>
          <w:b/>
          <w:bCs/>
          <w:sz w:val="24"/>
        </w:rPr>
      </w:pPr>
      <w:r>
        <w:rPr>
          <w:rFonts w:ascii="Times New Roman" w:hAnsi="Times New Roman"/>
          <w:b/>
          <w:bCs/>
          <w:sz w:val="24"/>
        </w:rPr>
        <w:t>Minister for Agriculture</w:t>
      </w:r>
    </w:p>
    <w:p w:rsidR="00EE360D" w:rsidRDefault="00EE360D">
      <w:pPr>
        <w:jc w:val="center"/>
        <w:rPr>
          <w:rFonts w:ascii="Times New Roman" w:hAnsi="Times New Roman"/>
          <w:b/>
          <w:bCs/>
          <w:sz w:val="24"/>
        </w:rPr>
      </w:pPr>
    </w:p>
    <w:p w:rsidR="00EE360D" w:rsidRDefault="00EE360D">
      <w:pPr>
        <w:jc w:val="center"/>
        <w:rPr>
          <w:rFonts w:ascii="Times New Roman" w:hAnsi="Times New Roman"/>
          <w:b/>
          <w:bCs/>
          <w:sz w:val="24"/>
        </w:rPr>
      </w:pPr>
    </w:p>
    <w:p w:rsidR="00EE360D" w:rsidRDefault="00EE360D">
      <w:pPr>
        <w:jc w:val="center"/>
        <w:rPr>
          <w:rFonts w:ascii="Times New Roman" w:hAnsi="Times New Roman" w:cs="Times New Roman"/>
          <w:sz w:val="24"/>
        </w:rPr>
      </w:pPr>
    </w:p>
    <w:p w:rsidR="00EE360D" w:rsidRDefault="00EE360D">
      <w:pPr>
        <w:rPr>
          <w:rFonts w:ascii="Times New Roman" w:hAnsi="Times New Roman" w:cs="Times New Roman"/>
          <w:lang w:val="en-GB"/>
        </w:rPr>
      </w:pPr>
    </w:p>
    <w:sectPr w:rsidR="00EE360D" w:rsidSect="00EE360D">
      <w:footerReference w:type="default" r:id="rId9"/>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63" w:rsidRDefault="00883D63">
      <w:r>
        <w:separator/>
      </w:r>
    </w:p>
  </w:endnote>
  <w:endnote w:type="continuationSeparator" w:id="0">
    <w:p w:rsidR="00883D63" w:rsidRDefault="0088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68214"/>
      <w:docPartObj>
        <w:docPartGallery w:val="Page Numbers (Bottom of Page)"/>
        <w:docPartUnique/>
      </w:docPartObj>
    </w:sdtPr>
    <w:sdtEndPr>
      <w:rPr>
        <w:rFonts w:ascii="Times New Roman" w:hAnsi="Times New Roman" w:cs="Times New Roman"/>
        <w:sz w:val="22"/>
        <w:szCs w:val="22"/>
      </w:rPr>
    </w:sdtEndPr>
    <w:sdtContent>
      <w:p w:rsidR="00883D63" w:rsidRDefault="00B20C94">
        <w:pPr>
          <w:pStyle w:val="Footer"/>
          <w:jc w:val="center"/>
          <w:rPr>
            <w:rFonts w:ascii="Times New Roman" w:hAnsi="Times New Roman" w:cs="Times New Roman"/>
            <w:sz w:val="22"/>
            <w:szCs w:val="22"/>
          </w:rPr>
        </w:pPr>
        <w:r>
          <w:rPr>
            <w:rFonts w:ascii="Times New Roman" w:hAnsi="Times New Roman" w:cs="Times New Roman"/>
            <w:sz w:val="22"/>
            <w:szCs w:val="22"/>
          </w:rPr>
          <w:fldChar w:fldCharType="begin"/>
        </w:r>
        <w:r w:rsidR="00883D63">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68610F">
          <w:rPr>
            <w:rFonts w:ascii="Times New Roman" w:hAnsi="Times New Roman" w:cs="Times New Roman"/>
            <w:noProof/>
            <w:sz w:val="22"/>
            <w:szCs w:val="22"/>
          </w:rPr>
          <w:t>10</w:t>
        </w:r>
        <w:r>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63" w:rsidRDefault="00883D63">
      <w:r>
        <w:separator/>
      </w:r>
    </w:p>
  </w:footnote>
  <w:footnote w:type="continuationSeparator" w:id="0">
    <w:p w:rsidR="00883D63" w:rsidRDefault="00883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373C67"/>
    <w:multiLevelType w:val="hybridMultilevel"/>
    <w:tmpl w:val="A1328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273610"/>
    <w:multiLevelType w:val="hybridMultilevel"/>
    <w:tmpl w:val="3C8296CE"/>
    <w:lvl w:ilvl="0" w:tplc="DE784FFA">
      <w:start w:val="1"/>
      <w:numFmt w:val="decimal"/>
      <w:lvlText w:val="%1)"/>
      <w:lvlJc w:val="left"/>
      <w:pPr>
        <w:ind w:left="761" w:hanging="360"/>
      </w:pPr>
      <w:rPr>
        <w:i w:val="0"/>
      </w:r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7">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1">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4434967"/>
    <w:multiLevelType w:val="hybridMultilevel"/>
    <w:tmpl w:val="3C8296CE"/>
    <w:lvl w:ilvl="0" w:tplc="DE784FFA">
      <w:start w:val="1"/>
      <w:numFmt w:val="decimal"/>
      <w:lvlText w:val="%1)"/>
      <w:lvlJc w:val="left"/>
      <w:pPr>
        <w:ind w:left="761" w:hanging="360"/>
      </w:pPr>
      <w:rPr>
        <w:i w:val="0"/>
      </w:r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15">
    <w:nsid w:val="5A761E7F"/>
    <w:multiLevelType w:val="hybridMultilevel"/>
    <w:tmpl w:val="3176D0E0"/>
    <w:lvl w:ilvl="0" w:tplc="0C090001">
      <w:start w:val="1"/>
      <w:numFmt w:val="bullet"/>
      <w:lvlText w:val=""/>
      <w:lvlJc w:val="left"/>
      <w:pPr>
        <w:ind w:left="699" w:hanging="360"/>
      </w:pPr>
      <w:rPr>
        <w:rFonts w:ascii="Symbol" w:hAnsi="Symbol" w:hint="default"/>
      </w:rPr>
    </w:lvl>
    <w:lvl w:ilvl="1" w:tplc="0C090003" w:tentative="1">
      <w:start w:val="1"/>
      <w:numFmt w:val="bullet"/>
      <w:lvlText w:val="o"/>
      <w:lvlJc w:val="left"/>
      <w:pPr>
        <w:ind w:left="1419" w:hanging="360"/>
      </w:pPr>
      <w:rPr>
        <w:rFonts w:ascii="Courier New" w:hAnsi="Courier New" w:cs="Courier New" w:hint="default"/>
      </w:rPr>
    </w:lvl>
    <w:lvl w:ilvl="2" w:tplc="0C090005" w:tentative="1">
      <w:start w:val="1"/>
      <w:numFmt w:val="bullet"/>
      <w:lvlText w:val=""/>
      <w:lvlJc w:val="left"/>
      <w:pPr>
        <w:ind w:left="2139" w:hanging="360"/>
      </w:pPr>
      <w:rPr>
        <w:rFonts w:ascii="Wingdings" w:hAnsi="Wingdings" w:hint="default"/>
      </w:rPr>
    </w:lvl>
    <w:lvl w:ilvl="3" w:tplc="0C090001" w:tentative="1">
      <w:start w:val="1"/>
      <w:numFmt w:val="bullet"/>
      <w:lvlText w:val=""/>
      <w:lvlJc w:val="left"/>
      <w:pPr>
        <w:ind w:left="2859" w:hanging="360"/>
      </w:pPr>
      <w:rPr>
        <w:rFonts w:ascii="Symbol" w:hAnsi="Symbol" w:hint="default"/>
      </w:rPr>
    </w:lvl>
    <w:lvl w:ilvl="4" w:tplc="0C090003" w:tentative="1">
      <w:start w:val="1"/>
      <w:numFmt w:val="bullet"/>
      <w:lvlText w:val="o"/>
      <w:lvlJc w:val="left"/>
      <w:pPr>
        <w:ind w:left="3579" w:hanging="360"/>
      </w:pPr>
      <w:rPr>
        <w:rFonts w:ascii="Courier New" w:hAnsi="Courier New" w:cs="Courier New" w:hint="default"/>
      </w:rPr>
    </w:lvl>
    <w:lvl w:ilvl="5" w:tplc="0C090005" w:tentative="1">
      <w:start w:val="1"/>
      <w:numFmt w:val="bullet"/>
      <w:lvlText w:val=""/>
      <w:lvlJc w:val="left"/>
      <w:pPr>
        <w:ind w:left="4299" w:hanging="360"/>
      </w:pPr>
      <w:rPr>
        <w:rFonts w:ascii="Wingdings" w:hAnsi="Wingdings" w:hint="default"/>
      </w:rPr>
    </w:lvl>
    <w:lvl w:ilvl="6" w:tplc="0C090001" w:tentative="1">
      <w:start w:val="1"/>
      <w:numFmt w:val="bullet"/>
      <w:lvlText w:val=""/>
      <w:lvlJc w:val="left"/>
      <w:pPr>
        <w:ind w:left="5019" w:hanging="360"/>
      </w:pPr>
      <w:rPr>
        <w:rFonts w:ascii="Symbol" w:hAnsi="Symbol" w:hint="default"/>
      </w:rPr>
    </w:lvl>
    <w:lvl w:ilvl="7" w:tplc="0C090003" w:tentative="1">
      <w:start w:val="1"/>
      <w:numFmt w:val="bullet"/>
      <w:lvlText w:val="o"/>
      <w:lvlJc w:val="left"/>
      <w:pPr>
        <w:ind w:left="5739" w:hanging="360"/>
      </w:pPr>
      <w:rPr>
        <w:rFonts w:ascii="Courier New" w:hAnsi="Courier New" w:cs="Courier New" w:hint="default"/>
      </w:rPr>
    </w:lvl>
    <w:lvl w:ilvl="8" w:tplc="0C090005" w:tentative="1">
      <w:start w:val="1"/>
      <w:numFmt w:val="bullet"/>
      <w:lvlText w:val=""/>
      <w:lvlJc w:val="left"/>
      <w:pPr>
        <w:ind w:left="6459" w:hanging="360"/>
      </w:pPr>
      <w:rPr>
        <w:rFonts w:ascii="Wingdings" w:hAnsi="Wingdings" w:hint="default"/>
      </w:rPr>
    </w:lvl>
  </w:abstractNum>
  <w:abstractNum w:abstractNumId="16">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9"/>
  </w:num>
  <w:num w:numId="2">
    <w:abstractNumId w:val="17"/>
  </w:num>
  <w:num w:numId="3">
    <w:abstractNumId w:val="11"/>
  </w:num>
  <w:num w:numId="4">
    <w:abstractNumId w:val="3"/>
  </w:num>
  <w:num w:numId="5">
    <w:abstractNumId w:val="1"/>
  </w:num>
  <w:num w:numId="6">
    <w:abstractNumId w:val="8"/>
  </w:num>
  <w:num w:numId="7">
    <w:abstractNumId w:val="2"/>
  </w:num>
  <w:num w:numId="8">
    <w:abstractNumId w:val="4"/>
  </w:num>
  <w:num w:numId="9">
    <w:abstractNumId w:val="7"/>
  </w:num>
  <w:num w:numId="10">
    <w:abstractNumId w:val="13"/>
  </w:num>
  <w:num w:numId="11">
    <w:abstractNumId w:val="16"/>
  </w:num>
  <w:num w:numId="12">
    <w:abstractNumId w:val="10"/>
  </w:num>
  <w:num w:numId="13">
    <w:abstractNumId w:val="10"/>
    <w:lvlOverride w:ilvl="0">
      <w:startOverride w:val="1"/>
    </w:lvlOverride>
  </w:num>
  <w:num w:numId="14">
    <w:abstractNumId w:val="0"/>
  </w:num>
  <w:num w:numId="15">
    <w:abstractNumId w:val="12"/>
  </w:num>
  <w:num w:numId="16">
    <w:abstractNumId w:val="6"/>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1"/>
  <w:activeWritingStyle w:appName="MSWord" w:lang="en-AU"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EE360D"/>
    <w:rsid w:val="00091AF0"/>
    <w:rsid w:val="000C4E5E"/>
    <w:rsid w:val="001969F1"/>
    <w:rsid w:val="00296E69"/>
    <w:rsid w:val="00351507"/>
    <w:rsid w:val="00403AA1"/>
    <w:rsid w:val="00454BC7"/>
    <w:rsid w:val="004D0528"/>
    <w:rsid w:val="004F08B1"/>
    <w:rsid w:val="0050761C"/>
    <w:rsid w:val="00543885"/>
    <w:rsid w:val="005C7E0F"/>
    <w:rsid w:val="005F0BF0"/>
    <w:rsid w:val="006508FF"/>
    <w:rsid w:val="006604F4"/>
    <w:rsid w:val="00667D58"/>
    <w:rsid w:val="0068610F"/>
    <w:rsid w:val="00714D8D"/>
    <w:rsid w:val="00741E41"/>
    <w:rsid w:val="007A00E6"/>
    <w:rsid w:val="007A3242"/>
    <w:rsid w:val="00883A79"/>
    <w:rsid w:val="00883D63"/>
    <w:rsid w:val="00A73A9B"/>
    <w:rsid w:val="00AC2907"/>
    <w:rsid w:val="00AF42F0"/>
    <w:rsid w:val="00B1003E"/>
    <w:rsid w:val="00B20C94"/>
    <w:rsid w:val="00B43661"/>
    <w:rsid w:val="00BB1AD5"/>
    <w:rsid w:val="00C77C2B"/>
    <w:rsid w:val="00D336FE"/>
    <w:rsid w:val="00E53225"/>
    <w:rsid w:val="00EE3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unhideWhenUsed="0" w:qFormat="1"/>
    <w:lsdException w:name="Default Paragraph Font" w:uiPriority="1"/>
    <w:lsdException w:name="Subtitle"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36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E360D"/>
    <w:pPr>
      <w:tabs>
        <w:tab w:val="center" w:pos="4320"/>
        <w:tab w:val="right" w:pos="8640"/>
      </w:tabs>
    </w:pPr>
    <w:rPr>
      <w:sz w:val="19"/>
    </w:rPr>
  </w:style>
  <w:style w:type="character" w:customStyle="1" w:styleId="HeaderChar">
    <w:name w:val="Header Char"/>
    <w:basedOn w:val="DefaultParagraphFont"/>
    <w:link w:val="Header"/>
    <w:uiPriority w:val="99"/>
    <w:semiHidden/>
    <w:rsid w:val="00EE360D"/>
    <w:rPr>
      <w:sz w:val="19"/>
    </w:rPr>
  </w:style>
  <w:style w:type="paragraph" w:styleId="Footer">
    <w:name w:val="footer"/>
    <w:basedOn w:val="Normal"/>
    <w:link w:val="FooterChar"/>
    <w:uiPriority w:val="99"/>
    <w:rsid w:val="00EE360D"/>
    <w:pPr>
      <w:tabs>
        <w:tab w:val="center" w:pos="4320"/>
        <w:tab w:val="right" w:pos="8640"/>
      </w:tabs>
    </w:pPr>
    <w:rPr>
      <w:sz w:val="19"/>
    </w:rPr>
  </w:style>
  <w:style w:type="character" w:customStyle="1" w:styleId="FooterChar">
    <w:name w:val="Footer Char"/>
    <w:basedOn w:val="DefaultParagraphFont"/>
    <w:link w:val="Footer"/>
    <w:uiPriority w:val="99"/>
    <w:rsid w:val="00EE360D"/>
    <w:rPr>
      <w:sz w:val="19"/>
    </w:rPr>
  </w:style>
  <w:style w:type="paragraph" w:styleId="BalloonText">
    <w:name w:val="Balloon Text"/>
    <w:basedOn w:val="Normal"/>
    <w:link w:val="BalloonTextChar"/>
    <w:uiPriority w:val="99"/>
    <w:semiHidden/>
    <w:unhideWhenUsed/>
    <w:rsid w:val="00EE36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E360D"/>
    <w:rPr>
      <w:rFonts w:ascii="Lucida Grande" w:hAnsi="Lucida Grande"/>
      <w:sz w:val="18"/>
      <w:szCs w:val="18"/>
    </w:rPr>
  </w:style>
  <w:style w:type="character" w:styleId="CommentReference">
    <w:name w:val="annotation reference"/>
    <w:basedOn w:val="DefaultParagraphFont"/>
    <w:uiPriority w:val="99"/>
    <w:semiHidden/>
    <w:unhideWhenUsed/>
    <w:rsid w:val="00EE360D"/>
    <w:rPr>
      <w:sz w:val="16"/>
      <w:szCs w:val="16"/>
    </w:rPr>
  </w:style>
  <w:style w:type="paragraph" w:styleId="CommentText">
    <w:name w:val="annotation text"/>
    <w:basedOn w:val="Normal"/>
    <w:link w:val="CommentTextChar"/>
    <w:uiPriority w:val="99"/>
    <w:semiHidden/>
    <w:unhideWhenUsed/>
    <w:rsid w:val="00EE360D"/>
    <w:rPr>
      <w:sz w:val="20"/>
      <w:szCs w:val="20"/>
    </w:rPr>
  </w:style>
  <w:style w:type="character" w:customStyle="1" w:styleId="CommentTextChar">
    <w:name w:val="Comment Text Char"/>
    <w:basedOn w:val="DefaultParagraphFont"/>
    <w:link w:val="CommentText"/>
    <w:uiPriority w:val="99"/>
    <w:semiHidden/>
    <w:rsid w:val="00EE360D"/>
    <w:rPr>
      <w:sz w:val="20"/>
      <w:szCs w:val="20"/>
    </w:rPr>
  </w:style>
  <w:style w:type="paragraph" w:styleId="CommentSubject">
    <w:name w:val="annotation subject"/>
    <w:basedOn w:val="CommentText"/>
    <w:next w:val="CommentText"/>
    <w:link w:val="CommentSubjectChar"/>
    <w:uiPriority w:val="99"/>
    <w:semiHidden/>
    <w:unhideWhenUsed/>
    <w:rsid w:val="00EE360D"/>
    <w:rPr>
      <w:b/>
      <w:bCs/>
    </w:rPr>
  </w:style>
  <w:style w:type="character" w:customStyle="1" w:styleId="CommentSubjectChar">
    <w:name w:val="Comment Subject Char"/>
    <w:basedOn w:val="CommentTextChar"/>
    <w:link w:val="CommentSubject"/>
    <w:uiPriority w:val="99"/>
    <w:semiHidden/>
    <w:rsid w:val="00EE360D"/>
    <w:rPr>
      <w:b/>
      <w:bCs/>
      <w:sz w:val="20"/>
      <w:szCs w:val="20"/>
    </w:rPr>
  </w:style>
  <w:style w:type="paragraph" w:styleId="Revision">
    <w:name w:val="Revision"/>
    <w:hidden/>
    <w:uiPriority w:val="99"/>
    <w:semiHidden/>
    <w:rsid w:val="00EE360D"/>
  </w:style>
  <w:style w:type="table" w:styleId="TableGrid">
    <w:name w:val="Table Grid"/>
    <w:basedOn w:val="TableNormal"/>
    <w:uiPriority w:val="59"/>
    <w:rsid w:val="00EE3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address">
    <w:name w:val="Footer address"/>
    <w:basedOn w:val="Footer"/>
    <w:semiHidden/>
    <w:qFormat/>
    <w:rsid w:val="00EE360D"/>
    <w:rPr>
      <w:rFonts w:asciiTheme="majorHAnsi" w:hAnsiTheme="majorHAnsi"/>
      <w:sz w:val="16"/>
    </w:rPr>
  </w:style>
  <w:style w:type="paragraph" w:customStyle="1" w:styleId="Normal-em">
    <w:name w:val="Normal-em"/>
    <w:basedOn w:val="Normal"/>
    <w:rsid w:val="00EE360D"/>
    <w:rPr>
      <w:rFonts w:ascii="Times New Roman" w:eastAsia="Times New Roman" w:hAnsi="Times New Roman" w:cs="Times New Roman"/>
      <w:color w:val="000000"/>
      <w:sz w:val="24"/>
      <w:szCs w:val="20"/>
    </w:rPr>
  </w:style>
  <w:style w:type="paragraph" w:customStyle="1" w:styleId="HB-Table-dotpoint">
    <w:name w:val="HB - Table - dot point"/>
    <w:basedOn w:val="Normal"/>
    <w:rsid w:val="00EE360D"/>
    <w:pPr>
      <w:numPr>
        <w:numId w:val="1"/>
      </w:numPr>
      <w:tabs>
        <w:tab w:val="clear" w:pos="720"/>
        <w:tab w:val="num" w:pos="567"/>
      </w:tabs>
      <w:spacing w:before="120" w:after="120"/>
      <w:ind w:left="567" w:hanging="425"/>
    </w:pPr>
    <w:rPr>
      <w:rFonts w:ascii="Times New Roman" w:eastAsia="Times New Roman" w:hAnsi="Times New Roman" w:cs="Times New Roman"/>
      <w:sz w:val="24"/>
      <w:szCs w:val="20"/>
      <w:lang w:eastAsia="en-AU"/>
    </w:rPr>
  </w:style>
  <w:style w:type="paragraph" w:customStyle="1" w:styleId="HB-Table-Subpoint">
    <w:name w:val="HB - Table - Subpoint"/>
    <w:basedOn w:val="Normal"/>
    <w:rsid w:val="00EE360D"/>
    <w:pPr>
      <w:numPr>
        <w:numId w:val="2"/>
      </w:numPr>
      <w:tabs>
        <w:tab w:val="clear" w:pos="360"/>
        <w:tab w:val="num" w:pos="993"/>
      </w:tabs>
      <w:spacing w:before="60" w:after="60"/>
      <w:ind w:left="993" w:hanging="426"/>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EE360D"/>
    <w:pPr>
      <w:ind w:left="720"/>
      <w:contextualSpacing/>
    </w:pPr>
  </w:style>
  <w:style w:type="character" w:styleId="Hyperlink">
    <w:name w:val="Hyperlink"/>
    <w:basedOn w:val="DefaultParagraphFont"/>
    <w:uiPriority w:val="99"/>
    <w:unhideWhenUsed/>
    <w:rsid w:val="00EE360D"/>
    <w:rPr>
      <w:color w:val="0000FF" w:themeColor="hyperlink"/>
      <w:u w:val="single"/>
    </w:rPr>
  </w:style>
  <w:style w:type="paragraph" w:customStyle="1" w:styleId="HB-Paragraph-alphpoint">
    <w:name w:val="HB - Paragraph - alph point"/>
    <w:basedOn w:val="Normal"/>
    <w:rsid w:val="00EE360D"/>
    <w:pPr>
      <w:numPr>
        <w:numId w:val="12"/>
      </w:numPr>
      <w:spacing w:before="120"/>
    </w:pPr>
    <w:rPr>
      <w:rFonts w:ascii="Times New Roman" w:eastAsia="Times New Roman" w:hAnsi="Times New Roman" w:cs="Times New Roman"/>
      <w:sz w:val="24"/>
      <w:szCs w:val="20"/>
      <w:lang w:eastAsia="en-AU"/>
    </w:rPr>
  </w:style>
  <w:style w:type="paragraph" w:styleId="Title">
    <w:name w:val="Title"/>
    <w:basedOn w:val="Normal"/>
    <w:link w:val="TitleChar"/>
    <w:qFormat/>
    <w:rsid w:val="00EE360D"/>
    <w:pPr>
      <w:jc w:val="center"/>
    </w:pPr>
    <w:rPr>
      <w:rFonts w:ascii="Arial Rounded MT Bold" w:eastAsia="Times New Roman" w:hAnsi="Arial Rounded MT Bold" w:cs="Times New Roman"/>
      <w:b/>
      <w:sz w:val="24"/>
      <w:szCs w:val="20"/>
    </w:rPr>
  </w:style>
  <w:style w:type="character" w:customStyle="1" w:styleId="TitleChar">
    <w:name w:val="Title Char"/>
    <w:basedOn w:val="DefaultParagraphFont"/>
    <w:link w:val="Title"/>
    <w:rsid w:val="00EE360D"/>
    <w:rPr>
      <w:rFonts w:ascii="Arial Rounded MT Bold" w:eastAsia="Times New Roman" w:hAnsi="Arial Rounded MT Bold"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20ernie\AppData\Local\Microsoft\Windows\Temporary%20Internet%20Files\Content.Outlook\TPDY0ECU\Template%20-%20explanatory%20statement%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784F3B4AB4AFA88B77EFB7D32FC0F"/>
        <w:category>
          <w:name w:val="General"/>
          <w:gallery w:val="placeholder"/>
        </w:category>
        <w:types>
          <w:type w:val="bbPlcHdr"/>
        </w:types>
        <w:behaviors>
          <w:behavior w:val="content"/>
        </w:behaviors>
        <w:guid w:val="{AFB24657-3E5C-4B77-AAD2-B9282CD8381E}"/>
      </w:docPartPr>
      <w:docPartBody>
        <w:p w:rsidR="00F45DB8" w:rsidRDefault="00F45DB8">
          <w:pPr>
            <w:pStyle w:val="BCD784F3B4AB4AFA88B77EFB7D32FC0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45DB8"/>
    <w:rsid w:val="00181D0F"/>
    <w:rsid w:val="005B2FBC"/>
    <w:rsid w:val="00882094"/>
    <w:rsid w:val="00AD4B6E"/>
    <w:rsid w:val="00ED0518"/>
    <w:rsid w:val="00F45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DB8"/>
    <w:rPr>
      <w:color w:val="808080"/>
    </w:rPr>
  </w:style>
  <w:style w:type="paragraph" w:customStyle="1" w:styleId="BCD784F3B4AB4AFA88B77EFB7D32FC0F">
    <w:name w:val="BCD784F3B4AB4AFA88B77EFB7D32FC0F"/>
    <w:rsid w:val="00F45D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3DED-66EF-421A-AABA-73A6106B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explanatory statement 2014.dotx</Template>
  <TotalTime>2</TotalTime>
  <Pages>10</Pages>
  <Words>3223</Words>
  <Characters>20570</Characters>
  <Application>Microsoft Office Word</Application>
  <DocSecurity>0</DocSecurity>
  <Lines>734</Lines>
  <Paragraphs>506</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Geogy p/l Philip</dc:creator>
  <cp:lastModifiedBy>Gibson, Vikki</cp:lastModifiedBy>
  <cp:revision>3</cp:revision>
  <cp:lastPrinted>2014-09-09T00:41:00Z</cp:lastPrinted>
  <dcterms:created xsi:type="dcterms:W3CDTF">2014-09-16T00:16:00Z</dcterms:created>
  <dcterms:modified xsi:type="dcterms:W3CDTF">2014-09-18T03:59:00Z</dcterms:modified>
</cp:coreProperties>
</file>