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1A6F73" w:rsidRDefault="00DA186E" w:rsidP="00715914">
      <w:pPr>
        <w:rPr>
          <w:sz w:val="28"/>
        </w:rPr>
      </w:pPr>
      <w:bookmarkStart w:id="0" w:name="OPCCaretCursor"/>
      <w:bookmarkStart w:id="1" w:name="OPCCaretStart"/>
      <w:bookmarkEnd w:id="0"/>
      <w:bookmarkEnd w:id="1"/>
      <w:r w:rsidRPr="001A6F73">
        <w:rPr>
          <w:noProof/>
          <w:lang w:eastAsia="en-AU"/>
        </w:rPr>
        <w:drawing>
          <wp:inline distT="0" distB="0" distL="0" distR="0" wp14:anchorId="2706FB46" wp14:editId="51E27E7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1A6F73" w:rsidRDefault="00715914" w:rsidP="00715914">
      <w:pPr>
        <w:rPr>
          <w:sz w:val="19"/>
        </w:rPr>
      </w:pPr>
    </w:p>
    <w:p w:rsidR="00715914" w:rsidRPr="001A6F73" w:rsidRDefault="009A67BF" w:rsidP="00715914">
      <w:pPr>
        <w:pStyle w:val="ShortT"/>
      </w:pPr>
      <w:r w:rsidRPr="001A6F73">
        <w:t>Competition and Consumer (Industry Code—Port Terminal Access (Bulk Wheat)) Regulation</w:t>
      </w:r>
      <w:r w:rsidR="001A6F73" w:rsidRPr="001A6F73">
        <w:t> </w:t>
      </w:r>
      <w:r w:rsidRPr="001A6F73">
        <w:t>2014</w:t>
      </w:r>
    </w:p>
    <w:p w:rsidR="00715914" w:rsidRPr="001A6F73" w:rsidRDefault="00715914" w:rsidP="00715914"/>
    <w:p w:rsidR="00715914" w:rsidRPr="001A6F73" w:rsidRDefault="001C5F34" w:rsidP="006475DA">
      <w:pPr>
        <w:pStyle w:val="InstNo"/>
      </w:pPr>
      <w:r w:rsidRPr="001A6F73">
        <w:t>Select Legislative Instrument</w:t>
      </w:r>
      <w:r w:rsidR="008861ED" w:rsidRPr="001A6F73">
        <w:t xml:space="preserve"> </w:t>
      </w:r>
      <w:bookmarkStart w:id="2" w:name="BKCheck15B_1"/>
      <w:bookmarkEnd w:id="2"/>
      <w:r w:rsidR="004744E3" w:rsidRPr="001A6F73">
        <w:fldChar w:fldCharType="begin"/>
      </w:r>
      <w:r w:rsidR="004744E3" w:rsidRPr="001A6F73">
        <w:instrText xml:space="preserve"> DOCPROPERTY  ActNo </w:instrText>
      </w:r>
      <w:r w:rsidR="004744E3" w:rsidRPr="001A6F73">
        <w:fldChar w:fldCharType="separate"/>
      </w:r>
      <w:r w:rsidR="006C236B">
        <w:t>No. 136, 2014</w:t>
      </w:r>
      <w:r w:rsidR="004744E3" w:rsidRPr="001A6F73">
        <w:fldChar w:fldCharType="end"/>
      </w:r>
    </w:p>
    <w:p w:rsidR="00BE48CF" w:rsidRPr="001A6F73" w:rsidRDefault="00BE48CF" w:rsidP="00BE48CF">
      <w:pPr>
        <w:pStyle w:val="SignCoverPageStart"/>
        <w:spacing w:before="240"/>
        <w:rPr>
          <w:szCs w:val="22"/>
        </w:rPr>
      </w:pPr>
      <w:r w:rsidRPr="001A6F73">
        <w:rPr>
          <w:szCs w:val="22"/>
        </w:rPr>
        <w:t xml:space="preserve">I, General the Honourable Sir Peter Cosgrove AK MC (Ret’d), </w:t>
      </w:r>
      <w:r w:rsidR="001A6F73" w:rsidRPr="001A6F73">
        <w:rPr>
          <w:szCs w:val="22"/>
        </w:rPr>
        <w:t>Governor</w:t>
      </w:r>
      <w:r w:rsidR="001A6F73">
        <w:rPr>
          <w:szCs w:val="22"/>
        </w:rPr>
        <w:noBreakHyphen/>
      </w:r>
      <w:r w:rsidR="001A6F73" w:rsidRPr="001A6F73">
        <w:rPr>
          <w:szCs w:val="22"/>
        </w:rPr>
        <w:t>General</w:t>
      </w:r>
      <w:r w:rsidRPr="001A6F73">
        <w:rPr>
          <w:szCs w:val="22"/>
        </w:rPr>
        <w:t xml:space="preserve"> of the Commonwealth of Australia, acting with the advice of the Federal Executive Council, make the following regulation.</w:t>
      </w:r>
    </w:p>
    <w:p w:rsidR="00BE48CF" w:rsidRPr="001A6F73" w:rsidRDefault="00BE48CF" w:rsidP="00BE48CF">
      <w:pPr>
        <w:keepNext/>
        <w:spacing w:before="720" w:line="240" w:lineRule="atLeast"/>
        <w:ind w:right="397"/>
        <w:jc w:val="both"/>
        <w:rPr>
          <w:szCs w:val="22"/>
        </w:rPr>
      </w:pPr>
      <w:r w:rsidRPr="001A6F73">
        <w:rPr>
          <w:szCs w:val="22"/>
        </w:rPr>
        <w:t xml:space="preserve">Dated </w:t>
      </w:r>
      <w:bookmarkStart w:id="3" w:name="BKCheck15B_2"/>
      <w:bookmarkEnd w:id="3"/>
      <w:r w:rsidRPr="001A6F73">
        <w:rPr>
          <w:szCs w:val="22"/>
        </w:rPr>
        <w:fldChar w:fldCharType="begin"/>
      </w:r>
      <w:r w:rsidRPr="001A6F73">
        <w:rPr>
          <w:szCs w:val="22"/>
        </w:rPr>
        <w:instrText xml:space="preserve"> DOCPROPERTY  DateMade </w:instrText>
      </w:r>
      <w:r w:rsidRPr="001A6F73">
        <w:rPr>
          <w:szCs w:val="22"/>
        </w:rPr>
        <w:fldChar w:fldCharType="separate"/>
      </w:r>
      <w:r w:rsidR="006C236B">
        <w:rPr>
          <w:szCs w:val="22"/>
        </w:rPr>
        <w:t>18 September 2014</w:t>
      </w:r>
      <w:r w:rsidRPr="001A6F73">
        <w:rPr>
          <w:szCs w:val="22"/>
        </w:rPr>
        <w:fldChar w:fldCharType="end"/>
      </w:r>
    </w:p>
    <w:p w:rsidR="00BE48CF" w:rsidRPr="001A6F73" w:rsidRDefault="00BE48CF" w:rsidP="00172232">
      <w:pPr>
        <w:keepNext/>
        <w:tabs>
          <w:tab w:val="left" w:pos="3402"/>
        </w:tabs>
        <w:spacing w:before="1080" w:line="300" w:lineRule="atLeast"/>
        <w:ind w:left="397" w:right="397"/>
        <w:jc w:val="right"/>
        <w:rPr>
          <w:szCs w:val="22"/>
        </w:rPr>
      </w:pPr>
      <w:r w:rsidRPr="001A6F73">
        <w:rPr>
          <w:szCs w:val="22"/>
        </w:rPr>
        <w:t>Peter Cosgrove</w:t>
      </w:r>
    </w:p>
    <w:p w:rsidR="00BE48CF" w:rsidRPr="001A6F73" w:rsidRDefault="001A6F73" w:rsidP="00BE48CF">
      <w:pPr>
        <w:keepNext/>
        <w:tabs>
          <w:tab w:val="left" w:pos="3402"/>
        </w:tabs>
        <w:spacing w:line="300" w:lineRule="atLeast"/>
        <w:ind w:left="397" w:right="397"/>
        <w:jc w:val="right"/>
        <w:rPr>
          <w:szCs w:val="22"/>
        </w:rPr>
      </w:pPr>
      <w:r w:rsidRPr="001A6F73">
        <w:rPr>
          <w:szCs w:val="22"/>
        </w:rPr>
        <w:t>Governor</w:t>
      </w:r>
      <w:r>
        <w:rPr>
          <w:szCs w:val="22"/>
        </w:rPr>
        <w:noBreakHyphen/>
      </w:r>
      <w:r w:rsidRPr="001A6F73">
        <w:rPr>
          <w:szCs w:val="22"/>
        </w:rPr>
        <w:t>General</w:t>
      </w:r>
    </w:p>
    <w:p w:rsidR="00BE48CF" w:rsidRPr="001A6F73" w:rsidRDefault="00BE48CF" w:rsidP="00B41963">
      <w:pPr>
        <w:keepNext/>
        <w:tabs>
          <w:tab w:val="left" w:pos="3402"/>
        </w:tabs>
        <w:spacing w:after="1080" w:line="300" w:lineRule="atLeast"/>
        <w:ind w:right="397"/>
        <w:rPr>
          <w:szCs w:val="22"/>
        </w:rPr>
      </w:pPr>
      <w:r w:rsidRPr="001A6F73">
        <w:rPr>
          <w:szCs w:val="22"/>
        </w:rPr>
        <w:t>By His Excellency’s Command</w:t>
      </w:r>
    </w:p>
    <w:p w:rsidR="00B41963" w:rsidRPr="001A6F73" w:rsidRDefault="00BE48CF" w:rsidP="00B41963">
      <w:pPr>
        <w:keepNext/>
        <w:tabs>
          <w:tab w:val="left" w:pos="3402"/>
        </w:tabs>
        <w:spacing w:before="480" w:line="300" w:lineRule="atLeast"/>
        <w:ind w:right="397"/>
        <w:rPr>
          <w:b/>
          <w:i/>
          <w:szCs w:val="22"/>
        </w:rPr>
      </w:pPr>
      <w:r w:rsidRPr="001A6F73">
        <w:rPr>
          <w:szCs w:val="22"/>
        </w:rPr>
        <w:t>Barnaby Joyce</w:t>
      </w:r>
    </w:p>
    <w:p w:rsidR="00724D2C" w:rsidRPr="001A6F73" w:rsidRDefault="00BE48CF" w:rsidP="00BE48CF">
      <w:pPr>
        <w:pStyle w:val="SignCoverPageEnd"/>
        <w:rPr>
          <w:szCs w:val="22"/>
        </w:rPr>
      </w:pPr>
      <w:r w:rsidRPr="001A6F73">
        <w:rPr>
          <w:szCs w:val="22"/>
        </w:rPr>
        <w:t>Minister for Agriculture</w:t>
      </w:r>
    </w:p>
    <w:p w:rsidR="00BE48CF" w:rsidRPr="001A6F73" w:rsidRDefault="00BE48CF" w:rsidP="00BE48CF">
      <w:pPr>
        <w:pStyle w:val="SignCoverPageEnd"/>
        <w:rPr>
          <w:szCs w:val="22"/>
        </w:rPr>
      </w:pPr>
      <w:r w:rsidRPr="001A6F73">
        <w:rPr>
          <w:szCs w:val="22"/>
        </w:rPr>
        <w:t xml:space="preserve">for the </w:t>
      </w:r>
      <w:r w:rsidR="00C71CAB" w:rsidRPr="001A6F73">
        <w:rPr>
          <w:szCs w:val="22"/>
        </w:rPr>
        <w:t>Minister for Small Business</w:t>
      </w:r>
    </w:p>
    <w:p w:rsidR="00BE48CF" w:rsidRPr="001A6F73" w:rsidRDefault="00BE48CF" w:rsidP="00BE48CF"/>
    <w:p w:rsidR="00715914" w:rsidRPr="001A6F73" w:rsidRDefault="00715914" w:rsidP="00C4131D">
      <w:pPr>
        <w:pStyle w:val="Header"/>
        <w:tabs>
          <w:tab w:val="clear" w:pos="4150"/>
          <w:tab w:val="clear" w:pos="8307"/>
        </w:tabs>
      </w:pPr>
      <w:r w:rsidRPr="001A6F73">
        <w:rPr>
          <w:rStyle w:val="CharChapNo"/>
        </w:rPr>
        <w:t xml:space="preserve"> </w:t>
      </w:r>
      <w:r w:rsidRPr="001A6F73">
        <w:rPr>
          <w:rStyle w:val="CharChapText"/>
        </w:rPr>
        <w:t xml:space="preserve"> </w:t>
      </w:r>
    </w:p>
    <w:p w:rsidR="00715914" w:rsidRPr="001A6F73" w:rsidRDefault="00715914" w:rsidP="00C4131D">
      <w:pPr>
        <w:pStyle w:val="Header"/>
        <w:tabs>
          <w:tab w:val="clear" w:pos="4150"/>
          <w:tab w:val="clear" w:pos="8307"/>
        </w:tabs>
      </w:pPr>
      <w:r w:rsidRPr="001A6F73">
        <w:rPr>
          <w:rStyle w:val="CharPartNo"/>
        </w:rPr>
        <w:t xml:space="preserve"> </w:t>
      </w:r>
      <w:r w:rsidRPr="001A6F73">
        <w:rPr>
          <w:rStyle w:val="CharPartText"/>
        </w:rPr>
        <w:t xml:space="preserve"> </w:t>
      </w:r>
    </w:p>
    <w:p w:rsidR="00715914" w:rsidRPr="001A6F73" w:rsidRDefault="00715914" w:rsidP="00C4131D">
      <w:pPr>
        <w:pStyle w:val="Header"/>
        <w:tabs>
          <w:tab w:val="clear" w:pos="4150"/>
          <w:tab w:val="clear" w:pos="8307"/>
        </w:tabs>
      </w:pPr>
      <w:r w:rsidRPr="001A6F73">
        <w:rPr>
          <w:rStyle w:val="CharDivNo"/>
        </w:rPr>
        <w:t xml:space="preserve"> </w:t>
      </w:r>
      <w:r w:rsidRPr="001A6F73">
        <w:rPr>
          <w:rStyle w:val="CharDivText"/>
        </w:rPr>
        <w:t xml:space="preserve"> </w:t>
      </w:r>
    </w:p>
    <w:p w:rsidR="00715914" w:rsidRPr="001A6F73" w:rsidRDefault="00715914" w:rsidP="00715914">
      <w:pPr>
        <w:sectPr w:rsidR="00715914" w:rsidRPr="001A6F73" w:rsidSect="000E584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1A6F73" w:rsidRDefault="00715914" w:rsidP="00B05644">
      <w:pPr>
        <w:rPr>
          <w:sz w:val="36"/>
        </w:rPr>
      </w:pPr>
      <w:r w:rsidRPr="001A6F73">
        <w:rPr>
          <w:sz w:val="36"/>
        </w:rPr>
        <w:lastRenderedPageBreak/>
        <w:t>Contents</w:t>
      </w:r>
    </w:p>
    <w:bookmarkStart w:id="4" w:name="BKCheck15B_3"/>
    <w:bookmarkEnd w:id="4"/>
    <w:p w:rsidR="00E50EB8" w:rsidRPr="001A6F73" w:rsidRDefault="00E50EB8">
      <w:pPr>
        <w:pStyle w:val="TOC5"/>
        <w:rPr>
          <w:rFonts w:asciiTheme="minorHAnsi" w:eastAsiaTheme="minorEastAsia" w:hAnsiTheme="minorHAnsi" w:cstheme="minorBidi"/>
          <w:noProof/>
          <w:kern w:val="0"/>
          <w:sz w:val="22"/>
          <w:szCs w:val="22"/>
        </w:rPr>
      </w:pPr>
      <w:r w:rsidRPr="001A6F73">
        <w:rPr>
          <w:sz w:val="20"/>
        </w:rPr>
        <w:fldChar w:fldCharType="begin"/>
      </w:r>
      <w:r w:rsidRPr="001A6F73">
        <w:rPr>
          <w:sz w:val="20"/>
        </w:rPr>
        <w:instrText xml:space="preserve"> TOC \o "1-9" </w:instrText>
      </w:r>
      <w:r w:rsidRPr="001A6F73">
        <w:rPr>
          <w:sz w:val="20"/>
        </w:rPr>
        <w:fldChar w:fldCharType="separate"/>
      </w:r>
      <w:r w:rsidRPr="001A6F73">
        <w:rPr>
          <w:noProof/>
        </w:rPr>
        <w:t>1</w:t>
      </w:r>
      <w:r w:rsidRPr="001A6F73">
        <w:rPr>
          <w:noProof/>
        </w:rPr>
        <w:tab/>
        <w:t>Name of regulation</w:t>
      </w:r>
      <w:r w:rsidRPr="001A6F73">
        <w:rPr>
          <w:noProof/>
        </w:rPr>
        <w:tab/>
      </w:r>
      <w:r w:rsidRPr="001A6F73">
        <w:rPr>
          <w:noProof/>
        </w:rPr>
        <w:fldChar w:fldCharType="begin"/>
      </w:r>
      <w:r w:rsidRPr="001A6F73">
        <w:rPr>
          <w:noProof/>
        </w:rPr>
        <w:instrText xml:space="preserve"> PAGEREF _Toc397955299 \h </w:instrText>
      </w:r>
      <w:r w:rsidRPr="001A6F73">
        <w:rPr>
          <w:noProof/>
        </w:rPr>
      </w:r>
      <w:r w:rsidRPr="001A6F73">
        <w:rPr>
          <w:noProof/>
        </w:rPr>
        <w:fldChar w:fldCharType="separate"/>
      </w:r>
      <w:r w:rsidR="006C236B">
        <w:rPr>
          <w:noProof/>
        </w:rPr>
        <w:t>1</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2</w:t>
      </w:r>
      <w:r w:rsidRPr="001A6F73">
        <w:rPr>
          <w:noProof/>
        </w:rPr>
        <w:tab/>
        <w:t>Commencement</w:t>
      </w:r>
      <w:r w:rsidRPr="001A6F73">
        <w:rPr>
          <w:noProof/>
        </w:rPr>
        <w:tab/>
      </w:r>
      <w:r w:rsidRPr="001A6F73">
        <w:rPr>
          <w:noProof/>
        </w:rPr>
        <w:fldChar w:fldCharType="begin"/>
      </w:r>
      <w:r w:rsidRPr="001A6F73">
        <w:rPr>
          <w:noProof/>
        </w:rPr>
        <w:instrText xml:space="preserve"> PAGEREF _Toc397955300 \h </w:instrText>
      </w:r>
      <w:r w:rsidRPr="001A6F73">
        <w:rPr>
          <w:noProof/>
        </w:rPr>
      </w:r>
      <w:r w:rsidRPr="001A6F73">
        <w:rPr>
          <w:noProof/>
        </w:rPr>
        <w:fldChar w:fldCharType="separate"/>
      </w:r>
      <w:r w:rsidR="006C236B">
        <w:rPr>
          <w:noProof/>
        </w:rPr>
        <w:t>1</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3</w:t>
      </w:r>
      <w:r w:rsidRPr="001A6F73">
        <w:rPr>
          <w:noProof/>
        </w:rPr>
        <w:tab/>
        <w:t>Authority</w:t>
      </w:r>
      <w:r w:rsidRPr="001A6F73">
        <w:rPr>
          <w:noProof/>
        </w:rPr>
        <w:tab/>
      </w:r>
      <w:r w:rsidRPr="001A6F73">
        <w:rPr>
          <w:noProof/>
        </w:rPr>
        <w:fldChar w:fldCharType="begin"/>
      </w:r>
      <w:r w:rsidRPr="001A6F73">
        <w:rPr>
          <w:noProof/>
        </w:rPr>
        <w:instrText xml:space="preserve"> PAGEREF _Toc397955301 \h </w:instrText>
      </w:r>
      <w:r w:rsidRPr="001A6F73">
        <w:rPr>
          <w:noProof/>
        </w:rPr>
      </w:r>
      <w:r w:rsidRPr="001A6F73">
        <w:rPr>
          <w:noProof/>
        </w:rPr>
        <w:fldChar w:fldCharType="separate"/>
      </w:r>
      <w:r w:rsidR="006C236B">
        <w:rPr>
          <w:noProof/>
        </w:rPr>
        <w:t>1</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4</w:t>
      </w:r>
      <w:r w:rsidRPr="001A6F73">
        <w:rPr>
          <w:noProof/>
        </w:rPr>
        <w:tab/>
        <w:t>Code of conduct</w:t>
      </w:r>
      <w:r w:rsidRPr="001A6F73">
        <w:rPr>
          <w:noProof/>
        </w:rPr>
        <w:tab/>
      </w:r>
      <w:r w:rsidRPr="001A6F73">
        <w:rPr>
          <w:noProof/>
        </w:rPr>
        <w:fldChar w:fldCharType="begin"/>
      </w:r>
      <w:r w:rsidRPr="001A6F73">
        <w:rPr>
          <w:noProof/>
        </w:rPr>
        <w:instrText xml:space="preserve"> PAGEREF _Toc397955302 \h </w:instrText>
      </w:r>
      <w:r w:rsidRPr="001A6F73">
        <w:rPr>
          <w:noProof/>
        </w:rPr>
      </w:r>
      <w:r w:rsidRPr="001A6F73">
        <w:rPr>
          <w:noProof/>
        </w:rPr>
        <w:fldChar w:fldCharType="separate"/>
      </w:r>
      <w:r w:rsidR="006C236B">
        <w:rPr>
          <w:noProof/>
        </w:rPr>
        <w:t>1</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5</w:t>
      </w:r>
      <w:r w:rsidRPr="001A6F73">
        <w:rPr>
          <w:noProof/>
        </w:rPr>
        <w:tab/>
        <w:t>Review of operation of this regulation</w:t>
      </w:r>
      <w:r w:rsidRPr="001A6F73">
        <w:rPr>
          <w:noProof/>
        </w:rPr>
        <w:tab/>
      </w:r>
      <w:r w:rsidRPr="001A6F73">
        <w:rPr>
          <w:noProof/>
        </w:rPr>
        <w:fldChar w:fldCharType="begin"/>
      </w:r>
      <w:r w:rsidRPr="001A6F73">
        <w:rPr>
          <w:noProof/>
        </w:rPr>
        <w:instrText xml:space="preserve"> PAGEREF _Toc397955303 \h </w:instrText>
      </w:r>
      <w:r w:rsidRPr="001A6F73">
        <w:rPr>
          <w:noProof/>
        </w:rPr>
      </w:r>
      <w:r w:rsidRPr="001A6F73">
        <w:rPr>
          <w:noProof/>
        </w:rPr>
        <w:fldChar w:fldCharType="separate"/>
      </w:r>
      <w:r w:rsidR="006C236B">
        <w:rPr>
          <w:noProof/>
        </w:rPr>
        <w:t>1</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6</w:t>
      </w:r>
      <w:r w:rsidRPr="001A6F73">
        <w:rPr>
          <w:noProof/>
        </w:rPr>
        <w:tab/>
        <w:t>Further review of operation of this regulation</w:t>
      </w:r>
      <w:r w:rsidRPr="001A6F73">
        <w:rPr>
          <w:noProof/>
        </w:rPr>
        <w:tab/>
      </w:r>
      <w:r w:rsidRPr="001A6F73">
        <w:rPr>
          <w:noProof/>
        </w:rPr>
        <w:fldChar w:fldCharType="begin"/>
      </w:r>
      <w:r w:rsidRPr="001A6F73">
        <w:rPr>
          <w:noProof/>
        </w:rPr>
        <w:instrText xml:space="preserve"> PAGEREF _Toc397955304 \h </w:instrText>
      </w:r>
      <w:r w:rsidRPr="001A6F73">
        <w:rPr>
          <w:noProof/>
        </w:rPr>
      </w:r>
      <w:r w:rsidRPr="001A6F73">
        <w:rPr>
          <w:noProof/>
        </w:rPr>
        <w:fldChar w:fldCharType="separate"/>
      </w:r>
      <w:r w:rsidR="006C236B">
        <w:rPr>
          <w:noProof/>
        </w:rPr>
        <w:t>3</w:t>
      </w:r>
      <w:r w:rsidRPr="001A6F73">
        <w:rPr>
          <w:noProof/>
        </w:rPr>
        <w:fldChar w:fldCharType="end"/>
      </w:r>
    </w:p>
    <w:p w:rsidR="00E50EB8" w:rsidRPr="001A6F73" w:rsidRDefault="00E50EB8">
      <w:pPr>
        <w:pStyle w:val="TOC1"/>
        <w:rPr>
          <w:rFonts w:asciiTheme="minorHAnsi" w:eastAsiaTheme="minorEastAsia" w:hAnsiTheme="minorHAnsi" w:cstheme="minorBidi"/>
          <w:b w:val="0"/>
          <w:noProof/>
          <w:kern w:val="0"/>
          <w:sz w:val="22"/>
          <w:szCs w:val="22"/>
        </w:rPr>
      </w:pPr>
      <w:r w:rsidRPr="001A6F73">
        <w:rPr>
          <w:noProof/>
        </w:rPr>
        <w:t>Schedule</w:t>
      </w:r>
      <w:r w:rsidR="001A6F73" w:rsidRPr="001A6F73">
        <w:rPr>
          <w:noProof/>
        </w:rPr>
        <w:t> </w:t>
      </w:r>
      <w:r w:rsidRPr="001A6F73">
        <w:rPr>
          <w:noProof/>
        </w:rPr>
        <w:t>1—Port Terminal Access (Bulk Wheat) Code of Conduct</w:t>
      </w:r>
      <w:r w:rsidRPr="001A6F73">
        <w:rPr>
          <w:b w:val="0"/>
          <w:noProof/>
          <w:sz w:val="18"/>
        </w:rPr>
        <w:tab/>
      </w:r>
      <w:r w:rsidRPr="001A6F73">
        <w:rPr>
          <w:b w:val="0"/>
          <w:noProof/>
          <w:sz w:val="18"/>
        </w:rPr>
        <w:fldChar w:fldCharType="begin"/>
      </w:r>
      <w:r w:rsidRPr="001A6F73">
        <w:rPr>
          <w:b w:val="0"/>
          <w:noProof/>
          <w:sz w:val="18"/>
        </w:rPr>
        <w:instrText xml:space="preserve"> PAGEREF _Toc397955305 \h </w:instrText>
      </w:r>
      <w:r w:rsidRPr="001A6F73">
        <w:rPr>
          <w:b w:val="0"/>
          <w:noProof/>
          <w:sz w:val="18"/>
        </w:rPr>
      </w:r>
      <w:r w:rsidRPr="001A6F73">
        <w:rPr>
          <w:b w:val="0"/>
          <w:noProof/>
          <w:sz w:val="18"/>
        </w:rPr>
        <w:fldChar w:fldCharType="separate"/>
      </w:r>
      <w:r w:rsidR="006C236B">
        <w:rPr>
          <w:b w:val="0"/>
          <w:noProof/>
          <w:sz w:val="18"/>
        </w:rPr>
        <w:t>4</w:t>
      </w:r>
      <w:r w:rsidRPr="001A6F73">
        <w:rPr>
          <w:b w:val="0"/>
          <w:noProof/>
          <w:sz w:val="18"/>
        </w:rPr>
        <w:fldChar w:fldCharType="end"/>
      </w:r>
    </w:p>
    <w:p w:rsidR="00E50EB8" w:rsidRPr="001A6F73" w:rsidRDefault="00E50EB8">
      <w:pPr>
        <w:pStyle w:val="TOC2"/>
        <w:rPr>
          <w:rFonts w:asciiTheme="minorHAnsi" w:eastAsiaTheme="minorEastAsia" w:hAnsiTheme="minorHAnsi" w:cstheme="minorBidi"/>
          <w:b w:val="0"/>
          <w:noProof/>
          <w:kern w:val="0"/>
          <w:sz w:val="22"/>
          <w:szCs w:val="22"/>
        </w:rPr>
      </w:pPr>
      <w:r w:rsidRPr="001A6F73">
        <w:rPr>
          <w:noProof/>
        </w:rPr>
        <w:t>Part</w:t>
      </w:r>
      <w:r w:rsidR="001A6F73" w:rsidRPr="001A6F73">
        <w:rPr>
          <w:noProof/>
        </w:rPr>
        <w:t> </w:t>
      </w:r>
      <w:r w:rsidRPr="001A6F73">
        <w:rPr>
          <w:noProof/>
        </w:rPr>
        <w:t>1—Preliminary</w:t>
      </w:r>
      <w:r w:rsidRPr="001A6F73">
        <w:rPr>
          <w:b w:val="0"/>
          <w:noProof/>
          <w:sz w:val="18"/>
        </w:rPr>
        <w:tab/>
      </w:r>
      <w:r w:rsidRPr="001A6F73">
        <w:rPr>
          <w:b w:val="0"/>
          <w:noProof/>
          <w:sz w:val="18"/>
        </w:rPr>
        <w:fldChar w:fldCharType="begin"/>
      </w:r>
      <w:r w:rsidRPr="001A6F73">
        <w:rPr>
          <w:b w:val="0"/>
          <w:noProof/>
          <w:sz w:val="18"/>
        </w:rPr>
        <w:instrText xml:space="preserve"> PAGEREF _Toc397955306 \h </w:instrText>
      </w:r>
      <w:r w:rsidRPr="001A6F73">
        <w:rPr>
          <w:b w:val="0"/>
          <w:noProof/>
          <w:sz w:val="18"/>
        </w:rPr>
      </w:r>
      <w:r w:rsidRPr="001A6F73">
        <w:rPr>
          <w:b w:val="0"/>
          <w:noProof/>
          <w:sz w:val="18"/>
        </w:rPr>
        <w:fldChar w:fldCharType="separate"/>
      </w:r>
      <w:r w:rsidR="006C236B">
        <w:rPr>
          <w:b w:val="0"/>
          <w:noProof/>
          <w:sz w:val="18"/>
        </w:rPr>
        <w:t>4</w:t>
      </w:r>
      <w:r w:rsidRPr="001A6F73">
        <w:rPr>
          <w:b w:val="0"/>
          <w:noProof/>
          <w:sz w:val="18"/>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1</w:t>
      </w:r>
      <w:r w:rsidRPr="001A6F73">
        <w:rPr>
          <w:noProof/>
        </w:rPr>
        <w:tab/>
        <w:t>Name of code</w:t>
      </w:r>
      <w:r w:rsidRPr="001A6F73">
        <w:rPr>
          <w:noProof/>
        </w:rPr>
        <w:tab/>
      </w:r>
      <w:r w:rsidRPr="001A6F73">
        <w:rPr>
          <w:noProof/>
        </w:rPr>
        <w:fldChar w:fldCharType="begin"/>
      </w:r>
      <w:r w:rsidRPr="001A6F73">
        <w:rPr>
          <w:noProof/>
        </w:rPr>
        <w:instrText xml:space="preserve"> PAGEREF _Toc397955307 \h </w:instrText>
      </w:r>
      <w:r w:rsidRPr="001A6F73">
        <w:rPr>
          <w:noProof/>
        </w:rPr>
      </w:r>
      <w:r w:rsidRPr="001A6F73">
        <w:rPr>
          <w:noProof/>
        </w:rPr>
        <w:fldChar w:fldCharType="separate"/>
      </w:r>
      <w:r w:rsidR="006C236B">
        <w:rPr>
          <w:noProof/>
        </w:rPr>
        <w:t>4</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2</w:t>
      </w:r>
      <w:r w:rsidRPr="001A6F73">
        <w:rPr>
          <w:noProof/>
        </w:rPr>
        <w:tab/>
        <w:t>Purpose of code</w:t>
      </w:r>
      <w:r w:rsidRPr="001A6F73">
        <w:rPr>
          <w:noProof/>
        </w:rPr>
        <w:tab/>
      </w:r>
      <w:r w:rsidRPr="001A6F73">
        <w:rPr>
          <w:noProof/>
        </w:rPr>
        <w:fldChar w:fldCharType="begin"/>
      </w:r>
      <w:r w:rsidRPr="001A6F73">
        <w:rPr>
          <w:noProof/>
        </w:rPr>
        <w:instrText xml:space="preserve"> PAGEREF _Toc397955308 \h </w:instrText>
      </w:r>
      <w:r w:rsidRPr="001A6F73">
        <w:rPr>
          <w:noProof/>
        </w:rPr>
      </w:r>
      <w:r w:rsidRPr="001A6F73">
        <w:rPr>
          <w:noProof/>
        </w:rPr>
        <w:fldChar w:fldCharType="separate"/>
      </w:r>
      <w:r w:rsidR="006C236B">
        <w:rPr>
          <w:noProof/>
        </w:rPr>
        <w:t>4</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3</w:t>
      </w:r>
      <w:r w:rsidRPr="001A6F73">
        <w:rPr>
          <w:noProof/>
        </w:rPr>
        <w:tab/>
        <w:t>Definitions</w:t>
      </w:r>
      <w:r w:rsidRPr="001A6F73">
        <w:rPr>
          <w:noProof/>
        </w:rPr>
        <w:tab/>
      </w:r>
      <w:r w:rsidRPr="001A6F73">
        <w:rPr>
          <w:noProof/>
        </w:rPr>
        <w:fldChar w:fldCharType="begin"/>
      </w:r>
      <w:r w:rsidRPr="001A6F73">
        <w:rPr>
          <w:noProof/>
        </w:rPr>
        <w:instrText xml:space="preserve"> PAGEREF _Toc397955309 \h </w:instrText>
      </w:r>
      <w:r w:rsidRPr="001A6F73">
        <w:rPr>
          <w:noProof/>
        </w:rPr>
      </w:r>
      <w:r w:rsidRPr="001A6F73">
        <w:rPr>
          <w:noProof/>
        </w:rPr>
        <w:fldChar w:fldCharType="separate"/>
      </w:r>
      <w:r w:rsidR="006C236B">
        <w:rPr>
          <w:noProof/>
        </w:rPr>
        <w:t>4</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4</w:t>
      </w:r>
      <w:r w:rsidRPr="001A6F73">
        <w:rPr>
          <w:noProof/>
        </w:rPr>
        <w:tab/>
        <w:t>Application of code</w:t>
      </w:r>
      <w:r w:rsidRPr="001A6F73">
        <w:rPr>
          <w:noProof/>
        </w:rPr>
        <w:tab/>
      </w:r>
      <w:r w:rsidRPr="001A6F73">
        <w:rPr>
          <w:noProof/>
        </w:rPr>
        <w:fldChar w:fldCharType="begin"/>
      </w:r>
      <w:r w:rsidRPr="001A6F73">
        <w:rPr>
          <w:noProof/>
        </w:rPr>
        <w:instrText xml:space="preserve"> PAGEREF _Toc397955310 \h </w:instrText>
      </w:r>
      <w:r w:rsidRPr="001A6F73">
        <w:rPr>
          <w:noProof/>
        </w:rPr>
      </w:r>
      <w:r w:rsidRPr="001A6F73">
        <w:rPr>
          <w:noProof/>
        </w:rPr>
        <w:fldChar w:fldCharType="separate"/>
      </w:r>
      <w:r w:rsidR="006C236B">
        <w:rPr>
          <w:noProof/>
        </w:rPr>
        <w:t>6</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5</w:t>
      </w:r>
      <w:r w:rsidRPr="001A6F73">
        <w:rPr>
          <w:noProof/>
        </w:rPr>
        <w:tab/>
        <w:t>Exempt service providers</w:t>
      </w:r>
      <w:r w:rsidRPr="001A6F73">
        <w:rPr>
          <w:noProof/>
        </w:rPr>
        <w:tab/>
      </w:r>
      <w:r w:rsidRPr="001A6F73">
        <w:rPr>
          <w:noProof/>
        </w:rPr>
        <w:fldChar w:fldCharType="begin"/>
      </w:r>
      <w:r w:rsidRPr="001A6F73">
        <w:rPr>
          <w:noProof/>
        </w:rPr>
        <w:instrText xml:space="preserve"> PAGEREF _Toc397955311 \h </w:instrText>
      </w:r>
      <w:r w:rsidRPr="001A6F73">
        <w:rPr>
          <w:noProof/>
        </w:rPr>
      </w:r>
      <w:r w:rsidRPr="001A6F73">
        <w:rPr>
          <w:noProof/>
        </w:rPr>
        <w:fldChar w:fldCharType="separate"/>
      </w:r>
      <w:r w:rsidR="006C236B">
        <w:rPr>
          <w:noProof/>
        </w:rPr>
        <w:t>8</w:t>
      </w:r>
      <w:r w:rsidRPr="001A6F73">
        <w:rPr>
          <w:noProof/>
        </w:rPr>
        <w:fldChar w:fldCharType="end"/>
      </w:r>
    </w:p>
    <w:p w:rsidR="00E50EB8" w:rsidRPr="001A6F73" w:rsidRDefault="00E50EB8">
      <w:pPr>
        <w:pStyle w:val="TOC2"/>
        <w:rPr>
          <w:rFonts w:asciiTheme="minorHAnsi" w:eastAsiaTheme="minorEastAsia" w:hAnsiTheme="minorHAnsi" w:cstheme="minorBidi"/>
          <w:b w:val="0"/>
          <w:noProof/>
          <w:kern w:val="0"/>
          <w:sz w:val="22"/>
          <w:szCs w:val="22"/>
        </w:rPr>
      </w:pPr>
      <w:r w:rsidRPr="001A6F73">
        <w:rPr>
          <w:noProof/>
        </w:rPr>
        <w:t>Part</w:t>
      </w:r>
      <w:r w:rsidR="001A6F73" w:rsidRPr="001A6F73">
        <w:rPr>
          <w:noProof/>
        </w:rPr>
        <w:t> </w:t>
      </w:r>
      <w:r w:rsidRPr="001A6F73">
        <w:rPr>
          <w:noProof/>
        </w:rPr>
        <w:t>2—General obligations of port terminal service providers and exporters</w:t>
      </w:r>
      <w:r w:rsidRPr="001A6F73">
        <w:rPr>
          <w:b w:val="0"/>
          <w:noProof/>
          <w:sz w:val="18"/>
        </w:rPr>
        <w:tab/>
      </w:r>
      <w:r w:rsidRPr="001A6F73">
        <w:rPr>
          <w:b w:val="0"/>
          <w:noProof/>
          <w:sz w:val="18"/>
        </w:rPr>
        <w:fldChar w:fldCharType="begin"/>
      </w:r>
      <w:r w:rsidRPr="001A6F73">
        <w:rPr>
          <w:b w:val="0"/>
          <w:noProof/>
          <w:sz w:val="18"/>
        </w:rPr>
        <w:instrText xml:space="preserve"> PAGEREF _Toc397955312 \h </w:instrText>
      </w:r>
      <w:r w:rsidRPr="001A6F73">
        <w:rPr>
          <w:b w:val="0"/>
          <w:noProof/>
          <w:sz w:val="18"/>
        </w:rPr>
      </w:r>
      <w:r w:rsidRPr="001A6F73">
        <w:rPr>
          <w:b w:val="0"/>
          <w:noProof/>
          <w:sz w:val="18"/>
        </w:rPr>
        <w:fldChar w:fldCharType="separate"/>
      </w:r>
      <w:r w:rsidR="006C236B">
        <w:rPr>
          <w:b w:val="0"/>
          <w:noProof/>
          <w:sz w:val="18"/>
        </w:rPr>
        <w:t>11</w:t>
      </w:r>
      <w:r w:rsidRPr="001A6F73">
        <w:rPr>
          <w:b w:val="0"/>
          <w:noProof/>
          <w:sz w:val="18"/>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6</w:t>
      </w:r>
      <w:r w:rsidRPr="001A6F73">
        <w:rPr>
          <w:noProof/>
        </w:rPr>
        <w:tab/>
        <w:t>Obligation to deal in good faith</w:t>
      </w:r>
      <w:r w:rsidRPr="001A6F73">
        <w:rPr>
          <w:noProof/>
        </w:rPr>
        <w:tab/>
      </w:r>
      <w:r w:rsidRPr="001A6F73">
        <w:rPr>
          <w:noProof/>
        </w:rPr>
        <w:fldChar w:fldCharType="begin"/>
      </w:r>
      <w:r w:rsidRPr="001A6F73">
        <w:rPr>
          <w:noProof/>
        </w:rPr>
        <w:instrText xml:space="preserve"> PAGEREF _Toc397955313 \h </w:instrText>
      </w:r>
      <w:r w:rsidRPr="001A6F73">
        <w:rPr>
          <w:noProof/>
        </w:rPr>
      </w:r>
      <w:r w:rsidRPr="001A6F73">
        <w:rPr>
          <w:noProof/>
        </w:rPr>
        <w:fldChar w:fldCharType="separate"/>
      </w:r>
      <w:r w:rsidR="006C236B">
        <w:rPr>
          <w:noProof/>
        </w:rPr>
        <w:t>11</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7</w:t>
      </w:r>
      <w:r w:rsidRPr="001A6F73">
        <w:rPr>
          <w:noProof/>
        </w:rPr>
        <w:tab/>
        <w:t>Port terminal service provider to publish and make available loading statement</w:t>
      </w:r>
      <w:r w:rsidRPr="001A6F73">
        <w:rPr>
          <w:noProof/>
        </w:rPr>
        <w:tab/>
      </w:r>
      <w:r w:rsidRPr="001A6F73">
        <w:rPr>
          <w:noProof/>
        </w:rPr>
        <w:fldChar w:fldCharType="begin"/>
      </w:r>
      <w:r w:rsidRPr="001A6F73">
        <w:rPr>
          <w:noProof/>
        </w:rPr>
        <w:instrText xml:space="preserve"> PAGEREF _Toc397955314 \h </w:instrText>
      </w:r>
      <w:r w:rsidRPr="001A6F73">
        <w:rPr>
          <w:noProof/>
        </w:rPr>
      </w:r>
      <w:r w:rsidRPr="001A6F73">
        <w:rPr>
          <w:noProof/>
        </w:rPr>
        <w:fldChar w:fldCharType="separate"/>
      </w:r>
      <w:r w:rsidR="006C236B">
        <w:rPr>
          <w:noProof/>
        </w:rPr>
        <w:t>11</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8</w:t>
      </w:r>
      <w:r w:rsidRPr="001A6F73">
        <w:rPr>
          <w:noProof/>
        </w:rPr>
        <w:tab/>
        <w:t>Port terminal service providers to publish policies and procedures for managing demand for port terminal services</w:t>
      </w:r>
      <w:r w:rsidRPr="001A6F73">
        <w:rPr>
          <w:noProof/>
        </w:rPr>
        <w:tab/>
      </w:r>
      <w:r w:rsidRPr="001A6F73">
        <w:rPr>
          <w:noProof/>
        </w:rPr>
        <w:fldChar w:fldCharType="begin"/>
      </w:r>
      <w:r w:rsidRPr="001A6F73">
        <w:rPr>
          <w:noProof/>
        </w:rPr>
        <w:instrText xml:space="preserve"> PAGEREF _Toc397955315 \h </w:instrText>
      </w:r>
      <w:r w:rsidRPr="001A6F73">
        <w:rPr>
          <w:noProof/>
        </w:rPr>
      </w:r>
      <w:r w:rsidRPr="001A6F73">
        <w:rPr>
          <w:noProof/>
        </w:rPr>
        <w:fldChar w:fldCharType="separate"/>
      </w:r>
      <w:r w:rsidR="006C236B">
        <w:rPr>
          <w:noProof/>
        </w:rPr>
        <w:t>12</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9</w:t>
      </w:r>
      <w:r w:rsidRPr="001A6F73">
        <w:rPr>
          <w:noProof/>
        </w:rPr>
        <w:tab/>
        <w:t>Port terminal service providers to have standard terms and reference prices</w:t>
      </w:r>
      <w:r w:rsidRPr="001A6F73">
        <w:rPr>
          <w:noProof/>
        </w:rPr>
        <w:tab/>
      </w:r>
      <w:r w:rsidRPr="001A6F73">
        <w:rPr>
          <w:noProof/>
        </w:rPr>
        <w:fldChar w:fldCharType="begin"/>
      </w:r>
      <w:r w:rsidRPr="001A6F73">
        <w:rPr>
          <w:noProof/>
        </w:rPr>
        <w:instrText xml:space="preserve"> PAGEREF _Toc397955316 \h </w:instrText>
      </w:r>
      <w:r w:rsidRPr="001A6F73">
        <w:rPr>
          <w:noProof/>
        </w:rPr>
      </w:r>
      <w:r w:rsidRPr="001A6F73">
        <w:rPr>
          <w:noProof/>
        </w:rPr>
        <w:fldChar w:fldCharType="separate"/>
      </w:r>
      <w:r w:rsidR="006C236B">
        <w:rPr>
          <w:noProof/>
        </w:rPr>
        <w:t>12</w:t>
      </w:r>
      <w:r w:rsidRPr="001A6F73">
        <w:rPr>
          <w:noProof/>
        </w:rPr>
        <w:fldChar w:fldCharType="end"/>
      </w:r>
    </w:p>
    <w:p w:rsidR="00E50EB8" w:rsidRPr="001A6F73" w:rsidRDefault="00E50EB8">
      <w:pPr>
        <w:pStyle w:val="TOC2"/>
        <w:rPr>
          <w:rFonts w:asciiTheme="minorHAnsi" w:eastAsiaTheme="minorEastAsia" w:hAnsiTheme="minorHAnsi" w:cstheme="minorBidi"/>
          <w:b w:val="0"/>
          <w:noProof/>
          <w:kern w:val="0"/>
          <w:sz w:val="22"/>
          <w:szCs w:val="22"/>
        </w:rPr>
      </w:pPr>
      <w:r w:rsidRPr="001A6F73">
        <w:rPr>
          <w:noProof/>
        </w:rPr>
        <w:t>Part</w:t>
      </w:r>
      <w:r w:rsidR="001A6F73" w:rsidRPr="001A6F73">
        <w:rPr>
          <w:noProof/>
        </w:rPr>
        <w:t> </w:t>
      </w:r>
      <w:r w:rsidRPr="001A6F73">
        <w:rPr>
          <w:noProof/>
        </w:rPr>
        <w:t>3—Access to port terminal services provided by a port terminal service provider</w:t>
      </w:r>
      <w:r w:rsidRPr="001A6F73">
        <w:rPr>
          <w:b w:val="0"/>
          <w:noProof/>
          <w:sz w:val="18"/>
        </w:rPr>
        <w:tab/>
      </w:r>
      <w:r w:rsidRPr="001A6F73">
        <w:rPr>
          <w:b w:val="0"/>
          <w:noProof/>
          <w:sz w:val="18"/>
        </w:rPr>
        <w:fldChar w:fldCharType="begin"/>
      </w:r>
      <w:r w:rsidRPr="001A6F73">
        <w:rPr>
          <w:b w:val="0"/>
          <w:noProof/>
          <w:sz w:val="18"/>
        </w:rPr>
        <w:instrText xml:space="preserve"> PAGEREF _Toc397955317 \h </w:instrText>
      </w:r>
      <w:r w:rsidRPr="001A6F73">
        <w:rPr>
          <w:b w:val="0"/>
          <w:noProof/>
          <w:sz w:val="18"/>
        </w:rPr>
      </w:r>
      <w:r w:rsidRPr="001A6F73">
        <w:rPr>
          <w:b w:val="0"/>
          <w:noProof/>
          <w:sz w:val="18"/>
        </w:rPr>
        <w:fldChar w:fldCharType="separate"/>
      </w:r>
      <w:r w:rsidR="006C236B">
        <w:rPr>
          <w:b w:val="0"/>
          <w:noProof/>
          <w:sz w:val="18"/>
        </w:rPr>
        <w:t>13</w:t>
      </w:r>
      <w:r w:rsidRPr="001A6F73">
        <w:rPr>
          <w:b w:val="0"/>
          <w:noProof/>
          <w:sz w:val="18"/>
        </w:rPr>
        <w:fldChar w:fldCharType="end"/>
      </w:r>
    </w:p>
    <w:p w:rsidR="00E50EB8" w:rsidRPr="001A6F73" w:rsidRDefault="00E50EB8">
      <w:pPr>
        <w:pStyle w:val="TOC3"/>
        <w:rPr>
          <w:rFonts w:asciiTheme="minorHAnsi" w:eastAsiaTheme="minorEastAsia" w:hAnsiTheme="minorHAnsi" w:cstheme="minorBidi"/>
          <w:b w:val="0"/>
          <w:noProof/>
          <w:kern w:val="0"/>
          <w:szCs w:val="22"/>
        </w:rPr>
      </w:pPr>
      <w:r w:rsidRPr="001A6F73">
        <w:rPr>
          <w:noProof/>
        </w:rPr>
        <w:t>Division</w:t>
      </w:r>
      <w:r w:rsidR="001A6F73" w:rsidRPr="001A6F73">
        <w:rPr>
          <w:noProof/>
        </w:rPr>
        <w:t> </w:t>
      </w:r>
      <w:r w:rsidRPr="001A6F73">
        <w:rPr>
          <w:noProof/>
        </w:rPr>
        <w:t>1—General matters</w:t>
      </w:r>
      <w:r w:rsidRPr="001A6F73">
        <w:rPr>
          <w:b w:val="0"/>
          <w:noProof/>
          <w:sz w:val="18"/>
        </w:rPr>
        <w:tab/>
      </w:r>
      <w:r w:rsidRPr="001A6F73">
        <w:rPr>
          <w:b w:val="0"/>
          <w:noProof/>
          <w:sz w:val="18"/>
        </w:rPr>
        <w:fldChar w:fldCharType="begin"/>
      </w:r>
      <w:r w:rsidRPr="001A6F73">
        <w:rPr>
          <w:b w:val="0"/>
          <w:noProof/>
          <w:sz w:val="18"/>
        </w:rPr>
        <w:instrText xml:space="preserve"> PAGEREF _Toc397955318 \h </w:instrText>
      </w:r>
      <w:r w:rsidRPr="001A6F73">
        <w:rPr>
          <w:b w:val="0"/>
          <w:noProof/>
          <w:sz w:val="18"/>
        </w:rPr>
      </w:r>
      <w:r w:rsidRPr="001A6F73">
        <w:rPr>
          <w:b w:val="0"/>
          <w:noProof/>
          <w:sz w:val="18"/>
        </w:rPr>
        <w:fldChar w:fldCharType="separate"/>
      </w:r>
      <w:r w:rsidR="006C236B">
        <w:rPr>
          <w:b w:val="0"/>
          <w:noProof/>
          <w:sz w:val="18"/>
        </w:rPr>
        <w:t>13</w:t>
      </w:r>
      <w:r w:rsidRPr="001A6F73">
        <w:rPr>
          <w:b w:val="0"/>
          <w:noProof/>
          <w:sz w:val="18"/>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10</w:t>
      </w:r>
      <w:r w:rsidRPr="001A6F73">
        <w:rPr>
          <w:noProof/>
        </w:rPr>
        <w:tab/>
        <w:t>Port terminal service provider not to discriminate or hinder exporter’s access to port terminal services</w:t>
      </w:r>
      <w:r w:rsidRPr="001A6F73">
        <w:rPr>
          <w:noProof/>
        </w:rPr>
        <w:tab/>
      </w:r>
      <w:r w:rsidRPr="001A6F73">
        <w:rPr>
          <w:noProof/>
        </w:rPr>
        <w:fldChar w:fldCharType="begin"/>
      </w:r>
      <w:r w:rsidRPr="001A6F73">
        <w:rPr>
          <w:noProof/>
        </w:rPr>
        <w:instrText xml:space="preserve"> PAGEREF _Toc397955319 \h </w:instrText>
      </w:r>
      <w:r w:rsidRPr="001A6F73">
        <w:rPr>
          <w:noProof/>
        </w:rPr>
      </w:r>
      <w:r w:rsidRPr="001A6F73">
        <w:rPr>
          <w:noProof/>
        </w:rPr>
        <w:fldChar w:fldCharType="separate"/>
      </w:r>
      <w:r w:rsidR="006C236B">
        <w:rPr>
          <w:noProof/>
        </w:rPr>
        <w:t>13</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11</w:t>
      </w:r>
      <w:r w:rsidRPr="001A6F73">
        <w:rPr>
          <w:noProof/>
        </w:rPr>
        <w:tab/>
        <w:t>Exporters to have access to port terminal services provided by a port terminal service provider</w:t>
      </w:r>
      <w:r w:rsidRPr="001A6F73">
        <w:rPr>
          <w:noProof/>
        </w:rPr>
        <w:tab/>
      </w:r>
      <w:r w:rsidRPr="001A6F73">
        <w:rPr>
          <w:noProof/>
        </w:rPr>
        <w:fldChar w:fldCharType="begin"/>
      </w:r>
      <w:r w:rsidRPr="001A6F73">
        <w:rPr>
          <w:noProof/>
        </w:rPr>
        <w:instrText xml:space="preserve"> PAGEREF _Toc397955320 \h </w:instrText>
      </w:r>
      <w:r w:rsidRPr="001A6F73">
        <w:rPr>
          <w:noProof/>
        </w:rPr>
      </w:r>
      <w:r w:rsidRPr="001A6F73">
        <w:rPr>
          <w:noProof/>
        </w:rPr>
        <w:fldChar w:fldCharType="separate"/>
      </w:r>
      <w:r w:rsidR="006C236B">
        <w:rPr>
          <w:noProof/>
        </w:rPr>
        <w:t>13</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12</w:t>
      </w:r>
      <w:r w:rsidRPr="001A6F73">
        <w:rPr>
          <w:noProof/>
        </w:rPr>
        <w:tab/>
        <w:t>Dealing with an incomplete application</w:t>
      </w:r>
      <w:r w:rsidRPr="001A6F73">
        <w:rPr>
          <w:noProof/>
        </w:rPr>
        <w:tab/>
      </w:r>
      <w:r w:rsidRPr="001A6F73">
        <w:rPr>
          <w:noProof/>
        </w:rPr>
        <w:fldChar w:fldCharType="begin"/>
      </w:r>
      <w:r w:rsidRPr="001A6F73">
        <w:rPr>
          <w:noProof/>
        </w:rPr>
        <w:instrText xml:space="preserve"> PAGEREF _Toc397955321 \h </w:instrText>
      </w:r>
      <w:r w:rsidRPr="001A6F73">
        <w:rPr>
          <w:noProof/>
        </w:rPr>
      </w:r>
      <w:r w:rsidRPr="001A6F73">
        <w:rPr>
          <w:noProof/>
        </w:rPr>
        <w:fldChar w:fldCharType="separate"/>
      </w:r>
      <w:r w:rsidR="006C236B">
        <w:rPr>
          <w:noProof/>
        </w:rPr>
        <w:t>16</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13</w:t>
      </w:r>
      <w:r w:rsidRPr="001A6F73">
        <w:rPr>
          <w:noProof/>
        </w:rPr>
        <w:tab/>
        <w:t>Terms of an access agreement</w:t>
      </w:r>
      <w:r w:rsidRPr="001A6F73">
        <w:rPr>
          <w:noProof/>
        </w:rPr>
        <w:tab/>
      </w:r>
      <w:r w:rsidRPr="001A6F73">
        <w:rPr>
          <w:noProof/>
        </w:rPr>
        <w:fldChar w:fldCharType="begin"/>
      </w:r>
      <w:r w:rsidRPr="001A6F73">
        <w:rPr>
          <w:noProof/>
        </w:rPr>
        <w:instrText xml:space="preserve"> PAGEREF _Toc397955322 \h </w:instrText>
      </w:r>
      <w:r w:rsidRPr="001A6F73">
        <w:rPr>
          <w:noProof/>
        </w:rPr>
      </w:r>
      <w:r w:rsidRPr="001A6F73">
        <w:rPr>
          <w:noProof/>
        </w:rPr>
        <w:fldChar w:fldCharType="separate"/>
      </w:r>
      <w:r w:rsidR="006C236B">
        <w:rPr>
          <w:noProof/>
        </w:rPr>
        <w:t>16</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14</w:t>
      </w:r>
      <w:r w:rsidRPr="001A6F73">
        <w:rPr>
          <w:noProof/>
        </w:rPr>
        <w:tab/>
        <w:t>Dealing with disputes during negotiations</w:t>
      </w:r>
      <w:r w:rsidRPr="001A6F73">
        <w:rPr>
          <w:noProof/>
        </w:rPr>
        <w:tab/>
      </w:r>
      <w:r w:rsidRPr="001A6F73">
        <w:rPr>
          <w:noProof/>
        </w:rPr>
        <w:fldChar w:fldCharType="begin"/>
      </w:r>
      <w:r w:rsidRPr="001A6F73">
        <w:rPr>
          <w:noProof/>
        </w:rPr>
        <w:instrText xml:space="preserve"> PAGEREF _Toc397955323 \h </w:instrText>
      </w:r>
      <w:r w:rsidRPr="001A6F73">
        <w:rPr>
          <w:noProof/>
        </w:rPr>
      </w:r>
      <w:r w:rsidRPr="001A6F73">
        <w:rPr>
          <w:noProof/>
        </w:rPr>
        <w:fldChar w:fldCharType="separate"/>
      </w:r>
      <w:r w:rsidR="006C236B">
        <w:rPr>
          <w:noProof/>
        </w:rPr>
        <w:t>17</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15</w:t>
      </w:r>
      <w:r w:rsidRPr="001A6F73">
        <w:rPr>
          <w:noProof/>
        </w:rPr>
        <w:tab/>
        <w:t>Arbitration of terms of agreements</w:t>
      </w:r>
      <w:r w:rsidRPr="001A6F73">
        <w:rPr>
          <w:noProof/>
        </w:rPr>
        <w:tab/>
      </w:r>
      <w:r w:rsidRPr="001A6F73">
        <w:rPr>
          <w:noProof/>
        </w:rPr>
        <w:fldChar w:fldCharType="begin"/>
      </w:r>
      <w:r w:rsidRPr="001A6F73">
        <w:rPr>
          <w:noProof/>
        </w:rPr>
        <w:instrText xml:space="preserve"> PAGEREF _Toc397955324 \h </w:instrText>
      </w:r>
      <w:r w:rsidRPr="001A6F73">
        <w:rPr>
          <w:noProof/>
        </w:rPr>
      </w:r>
      <w:r w:rsidRPr="001A6F73">
        <w:rPr>
          <w:noProof/>
        </w:rPr>
        <w:fldChar w:fldCharType="separate"/>
      </w:r>
      <w:r w:rsidR="006C236B">
        <w:rPr>
          <w:noProof/>
        </w:rPr>
        <w:t>18</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16</w:t>
      </w:r>
      <w:r w:rsidRPr="001A6F73">
        <w:rPr>
          <w:noProof/>
        </w:rPr>
        <w:tab/>
        <w:t>Exporter may request information to be provided during negotiations</w:t>
      </w:r>
      <w:r w:rsidRPr="001A6F73">
        <w:rPr>
          <w:noProof/>
        </w:rPr>
        <w:tab/>
      </w:r>
      <w:r w:rsidRPr="001A6F73">
        <w:rPr>
          <w:noProof/>
        </w:rPr>
        <w:fldChar w:fldCharType="begin"/>
      </w:r>
      <w:r w:rsidRPr="001A6F73">
        <w:rPr>
          <w:noProof/>
        </w:rPr>
        <w:instrText xml:space="preserve"> PAGEREF _Toc397955325 \h </w:instrText>
      </w:r>
      <w:r w:rsidRPr="001A6F73">
        <w:rPr>
          <w:noProof/>
        </w:rPr>
      </w:r>
      <w:r w:rsidRPr="001A6F73">
        <w:rPr>
          <w:noProof/>
        </w:rPr>
        <w:fldChar w:fldCharType="separate"/>
      </w:r>
      <w:r w:rsidR="006C236B">
        <w:rPr>
          <w:noProof/>
        </w:rPr>
        <w:t>19</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17</w:t>
      </w:r>
      <w:r w:rsidRPr="001A6F73">
        <w:rPr>
          <w:noProof/>
        </w:rPr>
        <w:tab/>
        <w:t>When negotiations are taken to end</w:t>
      </w:r>
      <w:r w:rsidRPr="001A6F73">
        <w:rPr>
          <w:noProof/>
        </w:rPr>
        <w:tab/>
      </w:r>
      <w:r w:rsidRPr="001A6F73">
        <w:rPr>
          <w:noProof/>
        </w:rPr>
        <w:fldChar w:fldCharType="begin"/>
      </w:r>
      <w:r w:rsidRPr="001A6F73">
        <w:rPr>
          <w:noProof/>
        </w:rPr>
        <w:instrText xml:space="preserve"> PAGEREF _Toc397955326 \h </w:instrText>
      </w:r>
      <w:r w:rsidRPr="001A6F73">
        <w:rPr>
          <w:noProof/>
        </w:rPr>
      </w:r>
      <w:r w:rsidRPr="001A6F73">
        <w:rPr>
          <w:noProof/>
        </w:rPr>
        <w:fldChar w:fldCharType="separate"/>
      </w:r>
      <w:r w:rsidR="006C236B">
        <w:rPr>
          <w:noProof/>
        </w:rPr>
        <w:t>19</w:t>
      </w:r>
      <w:r w:rsidRPr="001A6F73">
        <w:rPr>
          <w:noProof/>
        </w:rPr>
        <w:fldChar w:fldCharType="end"/>
      </w:r>
    </w:p>
    <w:p w:rsidR="00E50EB8" w:rsidRPr="001A6F73" w:rsidRDefault="00E50EB8">
      <w:pPr>
        <w:pStyle w:val="TOC3"/>
        <w:rPr>
          <w:rFonts w:asciiTheme="minorHAnsi" w:eastAsiaTheme="minorEastAsia" w:hAnsiTheme="minorHAnsi" w:cstheme="minorBidi"/>
          <w:b w:val="0"/>
          <w:noProof/>
          <w:kern w:val="0"/>
          <w:szCs w:val="22"/>
        </w:rPr>
      </w:pPr>
      <w:r w:rsidRPr="001A6F73">
        <w:rPr>
          <w:noProof/>
        </w:rPr>
        <w:lastRenderedPageBreak/>
        <w:t>Division</w:t>
      </w:r>
      <w:r w:rsidR="001A6F73" w:rsidRPr="001A6F73">
        <w:rPr>
          <w:noProof/>
        </w:rPr>
        <w:t> </w:t>
      </w:r>
      <w:r w:rsidRPr="001A6F73">
        <w:rPr>
          <w:noProof/>
        </w:rPr>
        <w:t>2—Mediation</w:t>
      </w:r>
      <w:r w:rsidRPr="001A6F73">
        <w:rPr>
          <w:b w:val="0"/>
          <w:noProof/>
          <w:sz w:val="18"/>
        </w:rPr>
        <w:tab/>
      </w:r>
      <w:r w:rsidRPr="001A6F73">
        <w:rPr>
          <w:b w:val="0"/>
          <w:noProof/>
          <w:sz w:val="18"/>
        </w:rPr>
        <w:fldChar w:fldCharType="begin"/>
      </w:r>
      <w:r w:rsidRPr="001A6F73">
        <w:rPr>
          <w:b w:val="0"/>
          <w:noProof/>
          <w:sz w:val="18"/>
        </w:rPr>
        <w:instrText xml:space="preserve"> PAGEREF _Toc397955327 \h </w:instrText>
      </w:r>
      <w:r w:rsidRPr="001A6F73">
        <w:rPr>
          <w:b w:val="0"/>
          <w:noProof/>
          <w:sz w:val="18"/>
        </w:rPr>
      </w:r>
      <w:r w:rsidRPr="001A6F73">
        <w:rPr>
          <w:b w:val="0"/>
          <w:noProof/>
          <w:sz w:val="18"/>
        </w:rPr>
        <w:fldChar w:fldCharType="separate"/>
      </w:r>
      <w:r w:rsidR="006C236B">
        <w:rPr>
          <w:b w:val="0"/>
          <w:noProof/>
          <w:sz w:val="18"/>
        </w:rPr>
        <w:t>21</w:t>
      </w:r>
      <w:r w:rsidRPr="001A6F73">
        <w:rPr>
          <w:b w:val="0"/>
          <w:noProof/>
          <w:sz w:val="18"/>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18</w:t>
      </w:r>
      <w:r w:rsidRPr="001A6F73">
        <w:rPr>
          <w:noProof/>
        </w:rPr>
        <w:tab/>
        <w:t>General rules applicable to mediation</w:t>
      </w:r>
      <w:r w:rsidRPr="001A6F73">
        <w:rPr>
          <w:noProof/>
        </w:rPr>
        <w:tab/>
      </w:r>
      <w:r w:rsidRPr="001A6F73">
        <w:rPr>
          <w:noProof/>
        </w:rPr>
        <w:fldChar w:fldCharType="begin"/>
      </w:r>
      <w:r w:rsidRPr="001A6F73">
        <w:rPr>
          <w:noProof/>
        </w:rPr>
        <w:instrText xml:space="preserve"> PAGEREF _Toc397955328 \h </w:instrText>
      </w:r>
      <w:r w:rsidRPr="001A6F73">
        <w:rPr>
          <w:noProof/>
        </w:rPr>
      </w:r>
      <w:r w:rsidRPr="001A6F73">
        <w:rPr>
          <w:noProof/>
        </w:rPr>
        <w:fldChar w:fldCharType="separate"/>
      </w:r>
      <w:r w:rsidR="006C236B">
        <w:rPr>
          <w:noProof/>
        </w:rPr>
        <w:t>21</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19</w:t>
      </w:r>
      <w:r w:rsidRPr="001A6F73">
        <w:rPr>
          <w:noProof/>
        </w:rPr>
        <w:tab/>
        <w:t>Termination of mediation</w:t>
      </w:r>
      <w:r w:rsidRPr="001A6F73">
        <w:rPr>
          <w:noProof/>
        </w:rPr>
        <w:tab/>
      </w:r>
      <w:r w:rsidRPr="001A6F73">
        <w:rPr>
          <w:noProof/>
        </w:rPr>
        <w:fldChar w:fldCharType="begin"/>
      </w:r>
      <w:r w:rsidRPr="001A6F73">
        <w:rPr>
          <w:noProof/>
        </w:rPr>
        <w:instrText xml:space="preserve"> PAGEREF _Toc397955329 \h </w:instrText>
      </w:r>
      <w:r w:rsidRPr="001A6F73">
        <w:rPr>
          <w:noProof/>
        </w:rPr>
      </w:r>
      <w:r w:rsidRPr="001A6F73">
        <w:rPr>
          <w:noProof/>
        </w:rPr>
        <w:fldChar w:fldCharType="separate"/>
      </w:r>
      <w:r w:rsidR="006C236B">
        <w:rPr>
          <w:noProof/>
        </w:rPr>
        <w:t>21</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20</w:t>
      </w:r>
      <w:r w:rsidRPr="001A6F73">
        <w:rPr>
          <w:noProof/>
        </w:rPr>
        <w:tab/>
        <w:t>Costs of mediation</w:t>
      </w:r>
      <w:r w:rsidRPr="001A6F73">
        <w:rPr>
          <w:noProof/>
        </w:rPr>
        <w:tab/>
      </w:r>
      <w:r w:rsidRPr="001A6F73">
        <w:rPr>
          <w:noProof/>
        </w:rPr>
        <w:fldChar w:fldCharType="begin"/>
      </w:r>
      <w:r w:rsidRPr="001A6F73">
        <w:rPr>
          <w:noProof/>
        </w:rPr>
        <w:instrText xml:space="preserve"> PAGEREF _Toc397955330 \h </w:instrText>
      </w:r>
      <w:r w:rsidRPr="001A6F73">
        <w:rPr>
          <w:noProof/>
        </w:rPr>
      </w:r>
      <w:r w:rsidRPr="001A6F73">
        <w:rPr>
          <w:noProof/>
        </w:rPr>
        <w:fldChar w:fldCharType="separate"/>
      </w:r>
      <w:r w:rsidR="006C236B">
        <w:rPr>
          <w:noProof/>
        </w:rPr>
        <w:t>22</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21</w:t>
      </w:r>
      <w:r w:rsidRPr="001A6F73">
        <w:rPr>
          <w:noProof/>
        </w:rPr>
        <w:tab/>
        <w:t>Right to take legal proceedings not affected</w:t>
      </w:r>
      <w:r w:rsidRPr="001A6F73">
        <w:rPr>
          <w:noProof/>
        </w:rPr>
        <w:tab/>
      </w:r>
      <w:r w:rsidRPr="001A6F73">
        <w:rPr>
          <w:noProof/>
        </w:rPr>
        <w:fldChar w:fldCharType="begin"/>
      </w:r>
      <w:r w:rsidRPr="001A6F73">
        <w:rPr>
          <w:noProof/>
        </w:rPr>
        <w:instrText xml:space="preserve"> PAGEREF _Toc397955331 \h </w:instrText>
      </w:r>
      <w:r w:rsidRPr="001A6F73">
        <w:rPr>
          <w:noProof/>
        </w:rPr>
      </w:r>
      <w:r w:rsidRPr="001A6F73">
        <w:rPr>
          <w:noProof/>
        </w:rPr>
        <w:fldChar w:fldCharType="separate"/>
      </w:r>
      <w:r w:rsidR="006C236B">
        <w:rPr>
          <w:noProof/>
        </w:rPr>
        <w:t>22</w:t>
      </w:r>
      <w:r w:rsidRPr="001A6F73">
        <w:rPr>
          <w:noProof/>
        </w:rPr>
        <w:fldChar w:fldCharType="end"/>
      </w:r>
    </w:p>
    <w:p w:rsidR="00E50EB8" w:rsidRPr="001A6F73" w:rsidRDefault="00E50EB8">
      <w:pPr>
        <w:pStyle w:val="TOC3"/>
        <w:rPr>
          <w:rFonts w:asciiTheme="minorHAnsi" w:eastAsiaTheme="minorEastAsia" w:hAnsiTheme="minorHAnsi" w:cstheme="minorBidi"/>
          <w:b w:val="0"/>
          <w:noProof/>
          <w:kern w:val="0"/>
          <w:szCs w:val="22"/>
        </w:rPr>
      </w:pPr>
      <w:r w:rsidRPr="001A6F73">
        <w:rPr>
          <w:noProof/>
        </w:rPr>
        <w:t>Division</w:t>
      </w:r>
      <w:r w:rsidR="001A6F73" w:rsidRPr="001A6F73">
        <w:rPr>
          <w:noProof/>
        </w:rPr>
        <w:t> </w:t>
      </w:r>
      <w:r w:rsidRPr="001A6F73">
        <w:rPr>
          <w:noProof/>
        </w:rPr>
        <w:t>3—Standard terms and reference prices</w:t>
      </w:r>
      <w:r w:rsidRPr="001A6F73">
        <w:rPr>
          <w:b w:val="0"/>
          <w:noProof/>
          <w:sz w:val="18"/>
        </w:rPr>
        <w:tab/>
      </w:r>
      <w:r w:rsidRPr="001A6F73">
        <w:rPr>
          <w:b w:val="0"/>
          <w:noProof/>
          <w:sz w:val="18"/>
        </w:rPr>
        <w:fldChar w:fldCharType="begin"/>
      </w:r>
      <w:r w:rsidRPr="001A6F73">
        <w:rPr>
          <w:b w:val="0"/>
          <w:noProof/>
          <w:sz w:val="18"/>
        </w:rPr>
        <w:instrText xml:space="preserve"> PAGEREF _Toc397955332 \h </w:instrText>
      </w:r>
      <w:r w:rsidRPr="001A6F73">
        <w:rPr>
          <w:b w:val="0"/>
          <w:noProof/>
          <w:sz w:val="18"/>
        </w:rPr>
      </w:r>
      <w:r w:rsidRPr="001A6F73">
        <w:rPr>
          <w:b w:val="0"/>
          <w:noProof/>
          <w:sz w:val="18"/>
        </w:rPr>
        <w:fldChar w:fldCharType="separate"/>
      </w:r>
      <w:r w:rsidR="006C236B">
        <w:rPr>
          <w:b w:val="0"/>
          <w:noProof/>
          <w:sz w:val="18"/>
        </w:rPr>
        <w:t>23</w:t>
      </w:r>
      <w:r w:rsidRPr="001A6F73">
        <w:rPr>
          <w:b w:val="0"/>
          <w:noProof/>
          <w:sz w:val="18"/>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22</w:t>
      </w:r>
      <w:r w:rsidRPr="001A6F73">
        <w:rPr>
          <w:noProof/>
        </w:rPr>
        <w:tab/>
        <w:t>Standard terms to include dispute resolution mechanism</w:t>
      </w:r>
      <w:r w:rsidRPr="001A6F73">
        <w:rPr>
          <w:noProof/>
        </w:rPr>
        <w:tab/>
      </w:r>
      <w:r w:rsidRPr="001A6F73">
        <w:rPr>
          <w:noProof/>
        </w:rPr>
        <w:fldChar w:fldCharType="begin"/>
      </w:r>
      <w:r w:rsidRPr="001A6F73">
        <w:rPr>
          <w:noProof/>
        </w:rPr>
        <w:instrText xml:space="preserve"> PAGEREF _Toc397955333 \h </w:instrText>
      </w:r>
      <w:r w:rsidRPr="001A6F73">
        <w:rPr>
          <w:noProof/>
        </w:rPr>
      </w:r>
      <w:r w:rsidRPr="001A6F73">
        <w:rPr>
          <w:noProof/>
        </w:rPr>
        <w:fldChar w:fldCharType="separate"/>
      </w:r>
      <w:r w:rsidR="006C236B">
        <w:rPr>
          <w:noProof/>
        </w:rPr>
        <w:t>23</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23</w:t>
      </w:r>
      <w:r w:rsidRPr="001A6F73">
        <w:rPr>
          <w:noProof/>
        </w:rPr>
        <w:tab/>
        <w:t>Variation of standard terms and reference prices</w:t>
      </w:r>
      <w:r w:rsidRPr="001A6F73">
        <w:rPr>
          <w:noProof/>
        </w:rPr>
        <w:tab/>
      </w:r>
      <w:r w:rsidRPr="001A6F73">
        <w:rPr>
          <w:noProof/>
        </w:rPr>
        <w:fldChar w:fldCharType="begin"/>
      </w:r>
      <w:r w:rsidRPr="001A6F73">
        <w:rPr>
          <w:noProof/>
        </w:rPr>
        <w:instrText xml:space="preserve"> PAGEREF _Toc397955334 \h </w:instrText>
      </w:r>
      <w:r w:rsidRPr="001A6F73">
        <w:rPr>
          <w:noProof/>
        </w:rPr>
      </w:r>
      <w:r w:rsidRPr="001A6F73">
        <w:rPr>
          <w:noProof/>
        </w:rPr>
        <w:fldChar w:fldCharType="separate"/>
      </w:r>
      <w:r w:rsidR="006C236B">
        <w:rPr>
          <w:noProof/>
        </w:rPr>
        <w:t>23</w:t>
      </w:r>
      <w:r w:rsidRPr="001A6F73">
        <w:rPr>
          <w:noProof/>
        </w:rPr>
        <w:fldChar w:fldCharType="end"/>
      </w:r>
    </w:p>
    <w:p w:rsidR="00E50EB8" w:rsidRPr="001A6F73" w:rsidRDefault="00E50EB8">
      <w:pPr>
        <w:pStyle w:val="TOC2"/>
        <w:rPr>
          <w:rFonts w:asciiTheme="minorHAnsi" w:eastAsiaTheme="minorEastAsia" w:hAnsiTheme="minorHAnsi" w:cstheme="minorBidi"/>
          <w:b w:val="0"/>
          <w:noProof/>
          <w:kern w:val="0"/>
          <w:sz w:val="22"/>
          <w:szCs w:val="22"/>
        </w:rPr>
      </w:pPr>
      <w:r w:rsidRPr="001A6F73">
        <w:rPr>
          <w:noProof/>
        </w:rPr>
        <w:t>Part</w:t>
      </w:r>
      <w:r w:rsidR="001A6F73" w:rsidRPr="001A6F73">
        <w:rPr>
          <w:noProof/>
        </w:rPr>
        <w:t> </w:t>
      </w:r>
      <w:r w:rsidRPr="001A6F73">
        <w:rPr>
          <w:noProof/>
        </w:rPr>
        <w:t>4—Port loading protocols of port terminal service providers</w:t>
      </w:r>
      <w:r w:rsidRPr="001A6F73">
        <w:rPr>
          <w:b w:val="0"/>
          <w:noProof/>
          <w:sz w:val="18"/>
        </w:rPr>
        <w:tab/>
      </w:r>
      <w:r w:rsidRPr="001A6F73">
        <w:rPr>
          <w:b w:val="0"/>
          <w:noProof/>
          <w:sz w:val="18"/>
        </w:rPr>
        <w:fldChar w:fldCharType="begin"/>
      </w:r>
      <w:r w:rsidRPr="001A6F73">
        <w:rPr>
          <w:b w:val="0"/>
          <w:noProof/>
          <w:sz w:val="18"/>
        </w:rPr>
        <w:instrText xml:space="preserve"> PAGEREF _Toc397955335 \h </w:instrText>
      </w:r>
      <w:r w:rsidRPr="001A6F73">
        <w:rPr>
          <w:b w:val="0"/>
          <w:noProof/>
          <w:sz w:val="18"/>
        </w:rPr>
      </w:r>
      <w:r w:rsidRPr="001A6F73">
        <w:rPr>
          <w:b w:val="0"/>
          <w:noProof/>
          <w:sz w:val="18"/>
        </w:rPr>
        <w:fldChar w:fldCharType="separate"/>
      </w:r>
      <w:r w:rsidR="006C236B">
        <w:rPr>
          <w:b w:val="0"/>
          <w:noProof/>
          <w:sz w:val="18"/>
        </w:rPr>
        <w:t>24</w:t>
      </w:r>
      <w:r w:rsidRPr="001A6F73">
        <w:rPr>
          <w:b w:val="0"/>
          <w:noProof/>
          <w:sz w:val="18"/>
        </w:rPr>
        <w:fldChar w:fldCharType="end"/>
      </w:r>
    </w:p>
    <w:p w:rsidR="00E50EB8" w:rsidRPr="001A6F73" w:rsidRDefault="00E50EB8">
      <w:pPr>
        <w:pStyle w:val="TOC3"/>
        <w:rPr>
          <w:rFonts w:asciiTheme="minorHAnsi" w:eastAsiaTheme="minorEastAsia" w:hAnsiTheme="minorHAnsi" w:cstheme="minorBidi"/>
          <w:b w:val="0"/>
          <w:noProof/>
          <w:kern w:val="0"/>
          <w:szCs w:val="22"/>
        </w:rPr>
      </w:pPr>
      <w:r w:rsidRPr="001A6F73">
        <w:rPr>
          <w:noProof/>
        </w:rPr>
        <w:t>Division</w:t>
      </w:r>
      <w:r w:rsidR="001A6F73" w:rsidRPr="001A6F73">
        <w:rPr>
          <w:noProof/>
        </w:rPr>
        <w:t> </w:t>
      </w:r>
      <w:r w:rsidRPr="001A6F73">
        <w:rPr>
          <w:noProof/>
        </w:rPr>
        <w:t>1—General requirements</w:t>
      </w:r>
      <w:r w:rsidRPr="001A6F73">
        <w:rPr>
          <w:b w:val="0"/>
          <w:noProof/>
          <w:sz w:val="18"/>
        </w:rPr>
        <w:tab/>
      </w:r>
      <w:r w:rsidRPr="001A6F73">
        <w:rPr>
          <w:b w:val="0"/>
          <w:noProof/>
          <w:sz w:val="18"/>
        </w:rPr>
        <w:fldChar w:fldCharType="begin"/>
      </w:r>
      <w:r w:rsidRPr="001A6F73">
        <w:rPr>
          <w:b w:val="0"/>
          <w:noProof/>
          <w:sz w:val="18"/>
        </w:rPr>
        <w:instrText xml:space="preserve"> PAGEREF _Toc397955336 \h </w:instrText>
      </w:r>
      <w:r w:rsidRPr="001A6F73">
        <w:rPr>
          <w:b w:val="0"/>
          <w:noProof/>
          <w:sz w:val="18"/>
        </w:rPr>
      </w:r>
      <w:r w:rsidRPr="001A6F73">
        <w:rPr>
          <w:b w:val="0"/>
          <w:noProof/>
          <w:sz w:val="18"/>
        </w:rPr>
        <w:fldChar w:fldCharType="separate"/>
      </w:r>
      <w:r w:rsidR="006C236B">
        <w:rPr>
          <w:b w:val="0"/>
          <w:noProof/>
          <w:sz w:val="18"/>
        </w:rPr>
        <w:t>24</w:t>
      </w:r>
      <w:r w:rsidRPr="001A6F73">
        <w:rPr>
          <w:b w:val="0"/>
          <w:noProof/>
          <w:sz w:val="18"/>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24</w:t>
      </w:r>
      <w:r w:rsidRPr="001A6F73">
        <w:rPr>
          <w:noProof/>
        </w:rPr>
        <w:tab/>
        <w:t>Port terminal service provider to have a port loading protocol</w:t>
      </w:r>
      <w:r w:rsidRPr="001A6F73">
        <w:rPr>
          <w:noProof/>
        </w:rPr>
        <w:tab/>
      </w:r>
      <w:r w:rsidRPr="001A6F73">
        <w:rPr>
          <w:noProof/>
        </w:rPr>
        <w:fldChar w:fldCharType="begin"/>
      </w:r>
      <w:r w:rsidRPr="001A6F73">
        <w:rPr>
          <w:noProof/>
        </w:rPr>
        <w:instrText xml:space="preserve"> PAGEREF _Toc397955337 \h </w:instrText>
      </w:r>
      <w:r w:rsidRPr="001A6F73">
        <w:rPr>
          <w:noProof/>
        </w:rPr>
      </w:r>
      <w:r w:rsidRPr="001A6F73">
        <w:rPr>
          <w:noProof/>
        </w:rPr>
        <w:fldChar w:fldCharType="separate"/>
      </w:r>
      <w:r w:rsidR="006C236B">
        <w:rPr>
          <w:noProof/>
        </w:rPr>
        <w:t>24</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25</w:t>
      </w:r>
      <w:r w:rsidRPr="001A6F73">
        <w:rPr>
          <w:noProof/>
        </w:rPr>
        <w:tab/>
        <w:t>Port loading protocol to include capacity allocation system</w:t>
      </w:r>
      <w:r w:rsidRPr="001A6F73">
        <w:rPr>
          <w:noProof/>
        </w:rPr>
        <w:tab/>
      </w:r>
      <w:r w:rsidRPr="001A6F73">
        <w:rPr>
          <w:noProof/>
        </w:rPr>
        <w:fldChar w:fldCharType="begin"/>
      </w:r>
      <w:r w:rsidRPr="001A6F73">
        <w:rPr>
          <w:noProof/>
        </w:rPr>
        <w:instrText xml:space="preserve"> PAGEREF _Toc397955338 \h </w:instrText>
      </w:r>
      <w:r w:rsidRPr="001A6F73">
        <w:rPr>
          <w:noProof/>
        </w:rPr>
      </w:r>
      <w:r w:rsidRPr="001A6F73">
        <w:rPr>
          <w:noProof/>
        </w:rPr>
        <w:fldChar w:fldCharType="separate"/>
      </w:r>
      <w:r w:rsidR="006C236B">
        <w:rPr>
          <w:noProof/>
        </w:rPr>
        <w:t>24</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26</w:t>
      </w:r>
      <w:r w:rsidRPr="001A6F73">
        <w:rPr>
          <w:noProof/>
        </w:rPr>
        <w:tab/>
        <w:t>Complying with port loading protocols and capacity management system</w:t>
      </w:r>
      <w:r w:rsidRPr="001A6F73">
        <w:rPr>
          <w:noProof/>
        </w:rPr>
        <w:tab/>
      </w:r>
      <w:r w:rsidRPr="001A6F73">
        <w:rPr>
          <w:noProof/>
        </w:rPr>
        <w:fldChar w:fldCharType="begin"/>
      </w:r>
      <w:r w:rsidRPr="001A6F73">
        <w:rPr>
          <w:noProof/>
        </w:rPr>
        <w:instrText xml:space="preserve"> PAGEREF _Toc397955339 \h </w:instrText>
      </w:r>
      <w:r w:rsidRPr="001A6F73">
        <w:rPr>
          <w:noProof/>
        </w:rPr>
      </w:r>
      <w:r w:rsidRPr="001A6F73">
        <w:rPr>
          <w:noProof/>
        </w:rPr>
        <w:fldChar w:fldCharType="separate"/>
      </w:r>
      <w:r w:rsidR="006C236B">
        <w:rPr>
          <w:noProof/>
        </w:rPr>
        <w:t>26</w:t>
      </w:r>
      <w:r w:rsidRPr="001A6F73">
        <w:rPr>
          <w:noProof/>
        </w:rPr>
        <w:fldChar w:fldCharType="end"/>
      </w:r>
    </w:p>
    <w:p w:rsidR="00E50EB8" w:rsidRPr="001A6F73" w:rsidRDefault="00E50EB8">
      <w:pPr>
        <w:pStyle w:val="TOC3"/>
        <w:rPr>
          <w:rFonts w:asciiTheme="minorHAnsi" w:eastAsiaTheme="minorEastAsia" w:hAnsiTheme="minorHAnsi" w:cstheme="minorBidi"/>
          <w:b w:val="0"/>
          <w:noProof/>
          <w:kern w:val="0"/>
          <w:szCs w:val="22"/>
        </w:rPr>
      </w:pPr>
      <w:r w:rsidRPr="001A6F73">
        <w:rPr>
          <w:noProof/>
        </w:rPr>
        <w:t>Division</w:t>
      </w:r>
      <w:r w:rsidR="001A6F73" w:rsidRPr="001A6F73">
        <w:rPr>
          <w:noProof/>
        </w:rPr>
        <w:t> </w:t>
      </w:r>
      <w:r w:rsidRPr="001A6F73">
        <w:rPr>
          <w:noProof/>
        </w:rPr>
        <w:t>2—Varying a port loading protocol</w:t>
      </w:r>
      <w:r w:rsidRPr="001A6F73">
        <w:rPr>
          <w:b w:val="0"/>
          <w:noProof/>
          <w:sz w:val="18"/>
        </w:rPr>
        <w:tab/>
      </w:r>
      <w:r w:rsidRPr="001A6F73">
        <w:rPr>
          <w:b w:val="0"/>
          <w:noProof/>
          <w:sz w:val="18"/>
        </w:rPr>
        <w:fldChar w:fldCharType="begin"/>
      </w:r>
      <w:r w:rsidRPr="001A6F73">
        <w:rPr>
          <w:b w:val="0"/>
          <w:noProof/>
          <w:sz w:val="18"/>
        </w:rPr>
        <w:instrText xml:space="preserve"> PAGEREF _Toc397955340 \h </w:instrText>
      </w:r>
      <w:r w:rsidRPr="001A6F73">
        <w:rPr>
          <w:b w:val="0"/>
          <w:noProof/>
          <w:sz w:val="18"/>
        </w:rPr>
      </w:r>
      <w:r w:rsidRPr="001A6F73">
        <w:rPr>
          <w:b w:val="0"/>
          <w:noProof/>
          <w:sz w:val="18"/>
        </w:rPr>
        <w:fldChar w:fldCharType="separate"/>
      </w:r>
      <w:r w:rsidR="006C236B">
        <w:rPr>
          <w:b w:val="0"/>
          <w:noProof/>
          <w:sz w:val="18"/>
        </w:rPr>
        <w:t>27</w:t>
      </w:r>
      <w:r w:rsidRPr="001A6F73">
        <w:rPr>
          <w:b w:val="0"/>
          <w:noProof/>
          <w:sz w:val="18"/>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27</w:t>
      </w:r>
      <w:r w:rsidRPr="001A6F73">
        <w:rPr>
          <w:noProof/>
        </w:rPr>
        <w:tab/>
        <w:t>Varying a port loading protocol</w:t>
      </w:r>
      <w:r w:rsidRPr="001A6F73">
        <w:rPr>
          <w:noProof/>
        </w:rPr>
        <w:tab/>
      </w:r>
      <w:r w:rsidRPr="001A6F73">
        <w:rPr>
          <w:noProof/>
        </w:rPr>
        <w:fldChar w:fldCharType="begin"/>
      </w:r>
      <w:r w:rsidRPr="001A6F73">
        <w:rPr>
          <w:noProof/>
        </w:rPr>
        <w:instrText xml:space="preserve"> PAGEREF _Toc397955341 \h </w:instrText>
      </w:r>
      <w:r w:rsidRPr="001A6F73">
        <w:rPr>
          <w:noProof/>
        </w:rPr>
      </w:r>
      <w:r w:rsidRPr="001A6F73">
        <w:rPr>
          <w:noProof/>
        </w:rPr>
        <w:fldChar w:fldCharType="separate"/>
      </w:r>
      <w:r w:rsidR="006C236B">
        <w:rPr>
          <w:noProof/>
        </w:rPr>
        <w:t>27</w:t>
      </w:r>
      <w:r w:rsidRPr="001A6F73">
        <w:rPr>
          <w:noProof/>
        </w:rPr>
        <w:fldChar w:fldCharType="end"/>
      </w:r>
    </w:p>
    <w:p w:rsidR="00E50EB8" w:rsidRPr="001A6F73" w:rsidRDefault="00E50EB8">
      <w:pPr>
        <w:pStyle w:val="TOC2"/>
        <w:rPr>
          <w:rFonts w:asciiTheme="minorHAnsi" w:eastAsiaTheme="minorEastAsia" w:hAnsiTheme="minorHAnsi" w:cstheme="minorBidi"/>
          <w:b w:val="0"/>
          <w:noProof/>
          <w:kern w:val="0"/>
          <w:sz w:val="22"/>
          <w:szCs w:val="22"/>
        </w:rPr>
      </w:pPr>
      <w:r w:rsidRPr="001A6F73">
        <w:rPr>
          <w:noProof/>
        </w:rPr>
        <w:t>Part</w:t>
      </w:r>
      <w:r w:rsidR="001A6F73" w:rsidRPr="001A6F73">
        <w:rPr>
          <w:noProof/>
        </w:rPr>
        <w:t> </w:t>
      </w:r>
      <w:r w:rsidRPr="001A6F73">
        <w:rPr>
          <w:noProof/>
        </w:rPr>
        <w:t>5—Port terminal service provider to publish certain information</w:t>
      </w:r>
      <w:r w:rsidRPr="001A6F73">
        <w:rPr>
          <w:b w:val="0"/>
          <w:noProof/>
          <w:sz w:val="18"/>
        </w:rPr>
        <w:tab/>
      </w:r>
      <w:r w:rsidRPr="001A6F73">
        <w:rPr>
          <w:b w:val="0"/>
          <w:noProof/>
          <w:sz w:val="18"/>
        </w:rPr>
        <w:fldChar w:fldCharType="begin"/>
      </w:r>
      <w:r w:rsidRPr="001A6F73">
        <w:rPr>
          <w:b w:val="0"/>
          <w:noProof/>
          <w:sz w:val="18"/>
        </w:rPr>
        <w:instrText xml:space="preserve"> PAGEREF _Toc397955342 \h </w:instrText>
      </w:r>
      <w:r w:rsidRPr="001A6F73">
        <w:rPr>
          <w:b w:val="0"/>
          <w:noProof/>
          <w:sz w:val="18"/>
        </w:rPr>
      </w:r>
      <w:r w:rsidRPr="001A6F73">
        <w:rPr>
          <w:b w:val="0"/>
          <w:noProof/>
          <w:sz w:val="18"/>
        </w:rPr>
        <w:fldChar w:fldCharType="separate"/>
      </w:r>
      <w:r w:rsidR="006C236B">
        <w:rPr>
          <w:b w:val="0"/>
          <w:noProof/>
          <w:sz w:val="18"/>
        </w:rPr>
        <w:t>29</w:t>
      </w:r>
      <w:r w:rsidRPr="001A6F73">
        <w:rPr>
          <w:b w:val="0"/>
          <w:noProof/>
          <w:sz w:val="18"/>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28</w:t>
      </w:r>
      <w:r w:rsidRPr="001A6F73">
        <w:rPr>
          <w:noProof/>
        </w:rPr>
        <w:tab/>
        <w:t>Port terminal service provider to publish expected capacity</w:t>
      </w:r>
      <w:r w:rsidRPr="001A6F73">
        <w:rPr>
          <w:noProof/>
        </w:rPr>
        <w:tab/>
      </w:r>
      <w:r w:rsidRPr="001A6F73">
        <w:rPr>
          <w:noProof/>
        </w:rPr>
        <w:fldChar w:fldCharType="begin"/>
      </w:r>
      <w:r w:rsidRPr="001A6F73">
        <w:rPr>
          <w:noProof/>
        </w:rPr>
        <w:instrText xml:space="preserve"> PAGEREF _Toc397955343 \h </w:instrText>
      </w:r>
      <w:r w:rsidRPr="001A6F73">
        <w:rPr>
          <w:noProof/>
        </w:rPr>
      </w:r>
      <w:r w:rsidRPr="001A6F73">
        <w:rPr>
          <w:noProof/>
        </w:rPr>
        <w:fldChar w:fldCharType="separate"/>
      </w:r>
      <w:r w:rsidR="006C236B">
        <w:rPr>
          <w:noProof/>
        </w:rPr>
        <w:t>29</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29</w:t>
      </w:r>
      <w:r w:rsidRPr="001A6F73">
        <w:rPr>
          <w:noProof/>
        </w:rPr>
        <w:tab/>
        <w:t>Port terminal service provider to publish performance indicators</w:t>
      </w:r>
      <w:r w:rsidRPr="001A6F73">
        <w:rPr>
          <w:noProof/>
        </w:rPr>
        <w:tab/>
      </w:r>
      <w:r w:rsidRPr="001A6F73">
        <w:rPr>
          <w:noProof/>
        </w:rPr>
        <w:fldChar w:fldCharType="begin"/>
      </w:r>
      <w:r w:rsidRPr="001A6F73">
        <w:rPr>
          <w:noProof/>
        </w:rPr>
        <w:instrText xml:space="preserve"> PAGEREF _Toc397955344 \h </w:instrText>
      </w:r>
      <w:r w:rsidRPr="001A6F73">
        <w:rPr>
          <w:noProof/>
        </w:rPr>
      </w:r>
      <w:r w:rsidRPr="001A6F73">
        <w:rPr>
          <w:noProof/>
        </w:rPr>
        <w:fldChar w:fldCharType="separate"/>
      </w:r>
      <w:r w:rsidR="006C236B">
        <w:rPr>
          <w:noProof/>
        </w:rPr>
        <w:t>29</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30</w:t>
      </w:r>
      <w:r w:rsidRPr="001A6F73">
        <w:rPr>
          <w:noProof/>
        </w:rPr>
        <w:tab/>
        <w:t>Port terminal service provider to publish stock information</w:t>
      </w:r>
      <w:r w:rsidRPr="001A6F73">
        <w:rPr>
          <w:noProof/>
        </w:rPr>
        <w:tab/>
      </w:r>
      <w:r w:rsidRPr="001A6F73">
        <w:rPr>
          <w:noProof/>
        </w:rPr>
        <w:fldChar w:fldCharType="begin"/>
      </w:r>
      <w:r w:rsidRPr="001A6F73">
        <w:rPr>
          <w:noProof/>
        </w:rPr>
        <w:instrText xml:space="preserve"> PAGEREF _Toc397955345 \h </w:instrText>
      </w:r>
      <w:r w:rsidRPr="001A6F73">
        <w:rPr>
          <w:noProof/>
        </w:rPr>
      </w:r>
      <w:r w:rsidRPr="001A6F73">
        <w:rPr>
          <w:noProof/>
        </w:rPr>
        <w:fldChar w:fldCharType="separate"/>
      </w:r>
      <w:r w:rsidR="006C236B">
        <w:rPr>
          <w:noProof/>
        </w:rPr>
        <w:t>30</w:t>
      </w:r>
      <w:r w:rsidRPr="001A6F73">
        <w:rPr>
          <w:noProof/>
        </w:rPr>
        <w:fldChar w:fldCharType="end"/>
      </w:r>
    </w:p>
    <w:p w:rsidR="00E50EB8" w:rsidRPr="001A6F73" w:rsidRDefault="00E50EB8">
      <w:pPr>
        <w:pStyle w:val="TOC2"/>
        <w:rPr>
          <w:rFonts w:asciiTheme="minorHAnsi" w:eastAsiaTheme="minorEastAsia" w:hAnsiTheme="minorHAnsi" w:cstheme="minorBidi"/>
          <w:b w:val="0"/>
          <w:noProof/>
          <w:kern w:val="0"/>
          <w:sz w:val="22"/>
          <w:szCs w:val="22"/>
        </w:rPr>
      </w:pPr>
      <w:r w:rsidRPr="001A6F73">
        <w:rPr>
          <w:noProof/>
        </w:rPr>
        <w:t>Part</w:t>
      </w:r>
      <w:r w:rsidR="001A6F73" w:rsidRPr="001A6F73">
        <w:rPr>
          <w:noProof/>
        </w:rPr>
        <w:t> </w:t>
      </w:r>
      <w:r w:rsidRPr="001A6F73">
        <w:rPr>
          <w:noProof/>
        </w:rPr>
        <w:t>6—Record keeping</w:t>
      </w:r>
      <w:r w:rsidRPr="001A6F73">
        <w:rPr>
          <w:b w:val="0"/>
          <w:noProof/>
          <w:sz w:val="18"/>
        </w:rPr>
        <w:tab/>
      </w:r>
      <w:r w:rsidRPr="001A6F73">
        <w:rPr>
          <w:b w:val="0"/>
          <w:noProof/>
          <w:sz w:val="18"/>
        </w:rPr>
        <w:fldChar w:fldCharType="begin"/>
      </w:r>
      <w:r w:rsidRPr="001A6F73">
        <w:rPr>
          <w:b w:val="0"/>
          <w:noProof/>
          <w:sz w:val="18"/>
        </w:rPr>
        <w:instrText xml:space="preserve"> PAGEREF _Toc397955346 \h </w:instrText>
      </w:r>
      <w:r w:rsidRPr="001A6F73">
        <w:rPr>
          <w:b w:val="0"/>
          <w:noProof/>
          <w:sz w:val="18"/>
        </w:rPr>
      </w:r>
      <w:r w:rsidRPr="001A6F73">
        <w:rPr>
          <w:b w:val="0"/>
          <w:noProof/>
          <w:sz w:val="18"/>
        </w:rPr>
        <w:fldChar w:fldCharType="separate"/>
      </w:r>
      <w:r w:rsidR="006C236B">
        <w:rPr>
          <w:b w:val="0"/>
          <w:noProof/>
          <w:sz w:val="18"/>
        </w:rPr>
        <w:t>31</w:t>
      </w:r>
      <w:r w:rsidRPr="001A6F73">
        <w:rPr>
          <w:b w:val="0"/>
          <w:noProof/>
          <w:sz w:val="18"/>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31</w:t>
      </w:r>
      <w:r w:rsidRPr="001A6F73">
        <w:rPr>
          <w:noProof/>
        </w:rPr>
        <w:tab/>
        <w:t>Port terminal service providers to retain access agreements and variations to those agreements</w:t>
      </w:r>
      <w:r w:rsidRPr="001A6F73">
        <w:rPr>
          <w:noProof/>
        </w:rPr>
        <w:tab/>
      </w:r>
      <w:r w:rsidRPr="001A6F73">
        <w:rPr>
          <w:noProof/>
        </w:rPr>
        <w:fldChar w:fldCharType="begin"/>
      </w:r>
      <w:r w:rsidRPr="001A6F73">
        <w:rPr>
          <w:noProof/>
        </w:rPr>
        <w:instrText xml:space="preserve"> PAGEREF _Toc397955347 \h </w:instrText>
      </w:r>
      <w:r w:rsidRPr="001A6F73">
        <w:rPr>
          <w:noProof/>
        </w:rPr>
      </w:r>
      <w:r w:rsidRPr="001A6F73">
        <w:rPr>
          <w:noProof/>
        </w:rPr>
        <w:fldChar w:fldCharType="separate"/>
      </w:r>
      <w:r w:rsidR="006C236B">
        <w:rPr>
          <w:noProof/>
        </w:rPr>
        <w:t>31</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32</w:t>
      </w:r>
      <w:r w:rsidRPr="001A6F73">
        <w:rPr>
          <w:noProof/>
        </w:rPr>
        <w:tab/>
        <w:t>Records about disputes in relation to an access agreement</w:t>
      </w:r>
      <w:r w:rsidRPr="001A6F73">
        <w:rPr>
          <w:noProof/>
        </w:rPr>
        <w:tab/>
      </w:r>
      <w:r w:rsidRPr="001A6F73">
        <w:rPr>
          <w:noProof/>
        </w:rPr>
        <w:fldChar w:fldCharType="begin"/>
      </w:r>
      <w:r w:rsidRPr="001A6F73">
        <w:rPr>
          <w:noProof/>
        </w:rPr>
        <w:instrText xml:space="preserve"> PAGEREF _Toc397955348 \h </w:instrText>
      </w:r>
      <w:r w:rsidRPr="001A6F73">
        <w:rPr>
          <w:noProof/>
        </w:rPr>
      </w:r>
      <w:r w:rsidRPr="001A6F73">
        <w:rPr>
          <w:noProof/>
        </w:rPr>
        <w:fldChar w:fldCharType="separate"/>
      </w:r>
      <w:r w:rsidR="006C236B">
        <w:rPr>
          <w:noProof/>
        </w:rPr>
        <w:t>31</w:t>
      </w:r>
      <w:r w:rsidRPr="001A6F73">
        <w:rPr>
          <w:noProof/>
        </w:rPr>
        <w:fldChar w:fldCharType="end"/>
      </w:r>
    </w:p>
    <w:p w:rsidR="00E50EB8" w:rsidRPr="001A6F73" w:rsidRDefault="00E50EB8">
      <w:pPr>
        <w:pStyle w:val="TOC5"/>
        <w:rPr>
          <w:rFonts w:asciiTheme="minorHAnsi" w:eastAsiaTheme="minorEastAsia" w:hAnsiTheme="minorHAnsi" w:cstheme="minorBidi"/>
          <w:noProof/>
          <w:kern w:val="0"/>
          <w:sz w:val="22"/>
          <w:szCs w:val="22"/>
        </w:rPr>
      </w:pPr>
      <w:r w:rsidRPr="001A6F73">
        <w:rPr>
          <w:noProof/>
        </w:rPr>
        <w:t>33</w:t>
      </w:r>
      <w:r w:rsidRPr="001A6F73">
        <w:rPr>
          <w:noProof/>
        </w:rPr>
        <w:tab/>
        <w:t>Records on port terminal services acquired by an exporter</w:t>
      </w:r>
      <w:r w:rsidRPr="001A6F73">
        <w:rPr>
          <w:noProof/>
        </w:rPr>
        <w:tab/>
      </w:r>
      <w:r w:rsidRPr="001A6F73">
        <w:rPr>
          <w:noProof/>
        </w:rPr>
        <w:fldChar w:fldCharType="begin"/>
      </w:r>
      <w:r w:rsidRPr="001A6F73">
        <w:rPr>
          <w:noProof/>
        </w:rPr>
        <w:instrText xml:space="preserve"> PAGEREF _Toc397955349 \h </w:instrText>
      </w:r>
      <w:r w:rsidRPr="001A6F73">
        <w:rPr>
          <w:noProof/>
        </w:rPr>
      </w:r>
      <w:r w:rsidRPr="001A6F73">
        <w:rPr>
          <w:noProof/>
        </w:rPr>
        <w:fldChar w:fldCharType="separate"/>
      </w:r>
      <w:r w:rsidR="006C236B">
        <w:rPr>
          <w:noProof/>
        </w:rPr>
        <w:t>31</w:t>
      </w:r>
      <w:r w:rsidRPr="001A6F73">
        <w:rPr>
          <w:noProof/>
        </w:rPr>
        <w:fldChar w:fldCharType="end"/>
      </w:r>
    </w:p>
    <w:p w:rsidR="00A802BC" w:rsidRPr="001A6F73" w:rsidRDefault="00E50EB8" w:rsidP="00B05644">
      <w:pPr>
        <w:rPr>
          <w:sz w:val="20"/>
        </w:rPr>
      </w:pPr>
      <w:r w:rsidRPr="001A6F73">
        <w:rPr>
          <w:sz w:val="20"/>
        </w:rPr>
        <w:fldChar w:fldCharType="end"/>
      </w:r>
    </w:p>
    <w:p w:rsidR="00715914" w:rsidRPr="001A6F73" w:rsidRDefault="00715914" w:rsidP="00715914">
      <w:pPr>
        <w:sectPr w:rsidR="00715914" w:rsidRPr="001A6F73" w:rsidSect="000E5840">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p>
    <w:p w:rsidR="00715914" w:rsidRPr="001A6F73" w:rsidRDefault="00715914" w:rsidP="00C4131D">
      <w:pPr>
        <w:pStyle w:val="ActHead5"/>
      </w:pPr>
      <w:bookmarkStart w:id="5" w:name="_Toc397955299"/>
      <w:r w:rsidRPr="001A6F73">
        <w:rPr>
          <w:rStyle w:val="CharSectno"/>
        </w:rPr>
        <w:lastRenderedPageBreak/>
        <w:t>1</w:t>
      </w:r>
      <w:r w:rsidRPr="001A6F73">
        <w:t xml:space="preserve">  </w:t>
      </w:r>
      <w:r w:rsidR="00CE493D" w:rsidRPr="001A6F73">
        <w:t xml:space="preserve">Name of </w:t>
      </w:r>
      <w:r w:rsidR="009A67BF" w:rsidRPr="001A6F73">
        <w:t>regulation</w:t>
      </w:r>
      <w:bookmarkEnd w:id="5"/>
    </w:p>
    <w:p w:rsidR="00715914" w:rsidRPr="001A6F73" w:rsidRDefault="00715914" w:rsidP="00715914">
      <w:pPr>
        <w:pStyle w:val="subsection"/>
      </w:pPr>
      <w:r w:rsidRPr="001A6F73">
        <w:tab/>
      </w:r>
      <w:r w:rsidRPr="001A6F73">
        <w:tab/>
        <w:t xml:space="preserve">This </w:t>
      </w:r>
      <w:r w:rsidR="009A67BF" w:rsidRPr="001A6F73">
        <w:t>regulation</w:t>
      </w:r>
      <w:r w:rsidRPr="001A6F73">
        <w:t xml:space="preserve"> </w:t>
      </w:r>
      <w:r w:rsidR="00CE493D" w:rsidRPr="001A6F73">
        <w:t xml:space="preserve">is the </w:t>
      </w:r>
      <w:bookmarkStart w:id="6" w:name="BKCheck15B_4"/>
      <w:bookmarkEnd w:id="6"/>
      <w:r w:rsidR="00CE038B" w:rsidRPr="001A6F73">
        <w:rPr>
          <w:i/>
        </w:rPr>
        <w:fldChar w:fldCharType="begin"/>
      </w:r>
      <w:r w:rsidR="00CE038B" w:rsidRPr="001A6F73">
        <w:rPr>
          <w:i/>
        </w:rPr>
        <w:instrText xml:space="preserve"> STYLEREF  ShortT </w:instrText>
      </w:r>
      <w:r w:rsidR="00CE038B" w:rsidRPr="001A6F73">
        <w:rPr>
          <w:i/>
        </w:rPr>
        <w:fldChar w:fldCharType="separate"/>
      </w:r>
      <w:r w:rsidR="006C236B">
        <w:rPr>
          <w:i/>
          <w:noProof/>
        </w:rPr>
        <w:t>Competition and Consumer (Industry Code—Port Terminal Access (Bulk Wheat)) Regulation 2014</w:t>
      </w:r>
      <w:r w:rsidR="00CE038B" w:rsidRPr="001A6F73">
        <w:rPr>
          <w:i/>
        </w:rPr>
        <w:fldChar w:fldCharType="end"/>
      </w:r>
      <w:r w:rsidRPr="001A6F73">
        <w:t>.</w:t>
      </w:r>
    </w:p>
    <w:p w:rsidR="00715914" w:rsidRPr="001A6F73" w:rsidRDefault="00715914" w:rsidP="00C4131D">
      <w:pPr>
        <w:pStyle w:val="ActHead5"/>
      </w:pPr>
      <w:bookmarkStart w:id="7" w:name="_Toc397955300"/>
      <w:r w:rsidRPr="001A6F73">
        <w:rPr>
          <w:rStyle w:val="CharSectno"/>
        </w:rPr>
        <w:t>2</w:t>
      </w:r>
      <w:r w:rsidRPr="001A6F73">
        <w:t xml:space="preserve">  Commencement</w:t>
      </w:r>
      <w:bookmarkEnd w:id="7"/>
    </w:p>
    <w:p w:rsidR="007E163D" w:rsidRPr="001A6F73" w:rsidRDefault="00617D59" w:rsidP="00617D59">
      <w:pPr>
        <w:pStyle w:val="subsection"/>
      </w:pPr>
      <w:bookmarkStart w:id="8" w:name="_GoBack"/>
      <w:r w:rsidRPr="001A6F73">
        <w:tab/>
      </w:r>
      <w:r w:rsidRPr="001A6F73">
        <w:tab/>
      </w:r>
      <w:r w:rsidR="00CE493D" w:rsidRPr="001A6F73">
        <w:t xml:space="preserve">This </w:t>
      </w:r>
      <w:r w:rsidR="009A67BF" w:rsidRPr="001A6F73">
        <w:t>regulation</w:t>
      </w:r>
      <w:r w:rsidR="00CE493D" w:rsidRPr="001A6F73">
        <w:t xml:space="preserve"> commences on</w:t>
      </w:r>
      <w:r w:rsidR="009A67BF" w:rsidRPr="001A6F73">
        <w:t xml:space="preserve"> 30</w:t>
      </w:r>
      <w:r w:rsidR="001A6F73" w:rsidRPr="001A6F73">
        <w:t> </w:t>
      </w:r>
      <w:r w:rsidR="009A67BF" w:rsidRPr="001A6F73">
        <w:t>September 2014</w:t>
      </w:r>
      <w:r w:rsidR="000019A2" w:rsidRPr="001A6F73">
        <w:t>.</w:t>
      </w:r>
      <w:bookmarkEnd w:id="8"/>
    </w:p>
    <w:p w:rsidR="00CE493D" w:rsidRPr="001A6F73" w:rsidRDefault="00E85C54" w:rsidP="00C4131D">
      <w:pPr>
        <w:pStyle w:val="ActHead5"/>
      </w:pPr>
      <w:bookmarkStart w:id="9" w:name="_Toc397955301"/>
      <w:r w:rsidRPr="001A6F73">
        <w:rPr>
          <w:rStyle w:val="CharSectno"/>
        </w:rPr>
        <w:t>3</w:t>
      </w:r>
      <w:r w:rsidRPr="001A6F73">
        <w:t xml:space="preserve">  Authority</w:t>
      </w:r>
      <w:bookmarkEnd w:id="9"/>
    </w:p>
    <w:p w:rsidR="007A6816" w:rsidRPr="001A6F73" w:rsidRDefault="00E85C54" w:rsidP="00E85C54">
      <w:pPr>
        <w:pStyle w:val="subsection"/>
      </w:pPr>
      <w:r w:rsidRPr="001A6F73">
        <w:tab/>
      </w:r>
      <w:r w:rsidRPr="001A6F73">
        <w:tab/>
        <w:t xml:space="preserve">This </w:t>
      </w:r>
      <w:r w:rsidR="009A67BF" w:rsidRPr="001A6F73">
        <w:t>regulation</w:t>
      </w:r>
      <w:r w:rsidRPr="001A6F73">
        <w:t xml:space="preserve"> is made under </w:t>
      </w:r>
      <w:r w:rsidR="009A67BF" w:rsidRPr="001A6F73">
        <w:t>section</w:t>
      </w:r>
      <w:r w:rsidR="001A6F73" w:rsidRPr="001A6F73">
        <w:t> </w:t>
      </w:r>
      <w:r w:rsidR="009A67BF" w:rsidRPr="001A6F73">
        <w:t xml:space="preserve">51AE of </w:t>
      </w:r>
      <w:r w:rsidR="001B39BC" w:rsidRPr="001A6F73">
        <w:t xml:space="preserve">the </w:t>
      </w:r>
      <w:r w:rsidR="009A67BF" w:rsidRPr="001A6F73">
        <w:rPr>
          <w:i/>
        </w:rPr>
        <w:t>Competition and Consumer Act 2010</w:t>
      </w:r>
      <w:r w:rsidR="00EC01C1" w:rsidRPr="001A6F73">
        <w:t>.</w:t>
      </w:r>
    </w:p>
    <w:p w:rsidR="00BD07D8" w:rsidRPr="001A6F73" w:rsidRDefault="00BD07D8" w:rsidP="00C4131D">
      <w:pPr>
        <w:pStyle w:val="ActHead5"/>
      </w:pPr>
      <w:bookmarkStart w:id="10" w:name="_Toc397955302"/>
      <w:r w:rsidRPr="001A6F73">
        <w:rPr>
          <w:rStyle w:val="CharSectno"/>
        </w:rPr>
        <w:t>4</w:t>
      </w:r>
      <w:r w:rsidRPr="001A6F73">
        <w:t xml:space="preserve">  Code of conduct</w:t>
      </w:r>
      <w:bookmarkEnd w:id="10"/>
    </w:p>
    <w:p w:rsidR="00BD07D8" w:rsidRPr="001A6F73" w:rsidRDefault="00BD07D8" w:rsidP="00BD07D8">
      <w:pPr>
        <w:pStyle w:val="subsection"/>
      </w:pPr>
      <w:r w:rsidRPr="001A6F73">
        <w:tab/>
      </w:r>
      <w:r w:rsidRPr="001A6F73">
        <w:tab/>
        <w:t>For section</w:t>
      </w:r>
      <w:r w:rsidR="001A6F73" w:rsidRPr="001A6F73">
        <w:t> </w:t>
      </w:r>
      <w:r w:rsidRPr="001A6F73">
        <w:t>51A</w:t>
      </w:r>
      <w:r w:rsidR="00443D5A" w:rsidRPr="001A6F73">
        <w:t>E</w:t>
      </w:r>
      <w:r w:rsidRPr="001A6F73">
        <w:t xml:space="preserve"> of the </w:t>
      </w:r>
      <w:r w:rsidRPr="001A6F73">
        <w:rPr>
          <w:i/>
        </w:rPr>
        <w:t>Competition and Consumer Act 2010</w:t>
      </w:r>
      <w:r w:rsidRPr="001A6F73">
        <w:t>, the code set out in Schedule</w:t>
      </w:r>
      <w:r w:rsidR="001A6F73" w:rsidRPr="001A6F73">
        <w:t> </w:t>
      </w:r>
      <w:r w:rsidRPr="001A6F73">
        <w:t>1:</w:t>
      </w:r>
    </w:p>
    <w:p w:rsidR="00BD07D8" w:rsidRPr="001A6F73" w:rsidRDefault="00BD07D8" w:rsidP="00BD07D8">
      <w:pPr>
        <w:pStyle w:val="paragraph"/>
      </w:pPr>
      <w:r w:rsidRPr="001A6F73">
        <w:tab/>
        <w:t>(a)</w:t>
      </w:r>
      <w:r w:rsidRPr="001A6F73">
        <w:tab/>
        <w:t>is prescribed; and</w:t>
      </w:r>
    </w:p>
    <w:p w:rsidR="00BD07D8" w:rsidRPr="001A6F73" w:rsidRDefault="00BD07D8" w:rsidP="00BD07D8">
      <w:pPr>
        <w:pStyle w:val="paragraph"/>
      </w:pPr>
      <w:r w:rsidRPr="001A6F73">
        <w:tab/>
        <w:t>(b)</w:t>
      </w:r>
      <w:r w:rsidRPr="001A6F73">
        <w:tab/>
        <w:t>is a mandatory code of conduct.</w:t>
      </w:r>
    </w:p>
    <w:p w:rsidR="007F6C13" w:rsidRPr="001A6F73" w:rsidRDefault="007F6C13" w:rsidP="007F6C13">
      <w:pPr>
        <w:pStyle w:val="ActHead5"/>
      </w:pPr>
      <w:bookmarkStart w:id="11" w:name="_Toc397955303"/>
      <w:r w:rsidRPr="001A6F73">
        <w:rPr>
          <w:rStyle w:val="CharSectno"/>
        </w:rPr>
        <w:t>5</w:t>
      </w:r>
      <w:r w:rsidRPr="001A6F73">
        <w:t xml:space="preserve">  Review of operation of this regulation</w:t>
      </w:r>
      <w:bookmarkEnd w:id="11"/>
    </w:p>
    <w:p w:rsidR="007F6C13" w:rsidRPr="001A6F73" w:rsidRDefault="007F6C13" w:rsidP="007F6C13">
      <w:pPr>
        <w:pStyle w:val="subsection"/>
      </w:pPr>
      <w:r w:rsidRPr="001A6F73">
        <w:tab/>
        <w:t>(1)</w:t>
      </w:r>
      <w:r w:rsidRPr="001A6F73">
        <w:tab/>
        <w:t>The Minister administering section</w:t>
      </w:r>
      <w:r w:rsidR="001A6F73" w:rsidRPr="001A6F73">
        <w:t> </w:t>
      </w:r>
      <w:r w:rsidRPr="001A6F73">
        <w:t xml:space="preserve">1 of the </w:t>
      </w:r>
      <w:r w:rsidRPr="001A6F73">
        <w:rPr>
          <w:i/>
        </w:rPr>
        <w:t>Farm Household Support Act 2014</w:t>
      </w:r>
      <w:r w:rsidRPr="001A6F73">
        <w:t xml:space="preserve"> must cause a review of the operation of this regulation to be undertaken.</w:t>
      </w:r>
    </w:p>
    <w:p w:rsidR="007F6C13" w:rsidRPr="001A6F73" w:rsidRDefault="007F6C13" w:rsidP="007F6C13">
      <w:pPr>
        <w:pStyle w:val="subsection"/>
      </w:pPr>
      <w:r w:rsidRPr="001A6F73">
        <w:tab/>
        <w:t>(2)</w:t>
      </w:r>
      <w:r w:rsidRPr="001A6F73">
        <w:tab/>
        <w:t>The review must start before the end of the period of 3 years after the commencement of this section.</w:t>
      </w:r>
    </w:p>
    <w:p w:rsidR="007F6C13" w:rsidRPr="001A6F73" w:rsidRDefault="007F6C13" w:rsidP="0022616E">
      <w:pPr>
        <w:pStyle w:val="subsection"/>
      </w:pPr>
      <w:r w:rsidRPr="001A6F73">
        <w:tab/>
        <w:t>(3)</w:t>
      </w:r>
      <w:r w:rsidRPr="001A6F73">
        <w:tab/>
        <w:t>The review must identify opportunities to ensure well</w:t>
      </w:r>
      <w:r w:rsidR="001A6F73">
        <w:noBreakHyphen/>
      </w:r>
      <w:r w:rsidRPr="001A6F73">
        <w:t>managed deregulation to free and open competition in the Australian wheat export market, while maintaining Australia’s international reputation for quality and reliability. In particular, the review must consider</w:t>
      </w:r>
      <w:r w:rsidR="0022616E" w:rsidRPr="001A6F73">
        <w:t xml:space="preserve"> </w:t>
      </w:r>
      <w:r w:rsidRPr="001A6F73">
        <w:t>whether there are appropriate alternative mechanisms to achieve this outcome</w:t>
      </w:r>
      <w:r w:rsidR="0022616E" w:rsidRPr="001A6F73">
        <w:t>.</w:t>
      </w:r>
    </w:p>
    <w:p w:rsidR="007F6C13" w:rsidRPr="001A6F73" w:rsidRDefault="007F6C13" w:rsidP="007F6C13">
      <w:pPr>
        <w:pStyle w:val="subsection"/>
      </w:pPr>
      <w:r w:rsidRPr="001A6F73">
        <w:tab/>
        <w:t>(4)</w:t>
      </w:r>
      <w:r w:rsidRPr="001A6F73">
        <w:tab/>
        <w:t>In conducting the review, consideration must be given to</w:t>
      </w:r>
      <w:r w:rsidR="008F02D9" w:rsidRPr="001A6F73">
        <w:t xml:space="preserve"> the following</w:t>
      </w:r>
      <w:r w:rsidRPr="001A6F73">
        <w:t>:</w:t>
      </w:r>
    </w:p>
    <w:p w:rsidR="007F6C13" w:rsidRPr="001A6F73" w:rsidRDefault="007F6C13" w:rsidP="007F6C13">
      <w:pPr>
        <w:pStyle w:val="paragraph"/>
      </w:pPr>
      <w:r w:rsidRPr="001A6F73">
        <w:lastRenderedPageBreak/>
        <w:tab/>
        <w:t>(a)</w:t>
      </w:r>
      <w:r w:rsidRPr="001A6F73">
        <w:tab/>
        <w:t>whether the code should be repealed and the timing of any such repeal</w:t>
      </w:r>
      <w:r w:rsidR="008F02D9" w:rsidRPr="001A6F73">
        <w:t>;</w:t>
      </w:r>
    </w:p>
    <w:p w:rsidR="007F6C13" w:rsidRPr="001A6F73" w:rsidRDefault="007F6C13" w:rsidP="007F6C13">
      <w:pPr>
        <w:pStyle w:val="paragraph"/>
      </w:pPr>
      <w:r w:rsidRPr="001A6F73">
        <w:tab/>
        <w:t>(b)</w:t>
      </w:r>
      <w:r w:rsidRPr="001A6F73">
        <w:tab/>
        <w:t>whether the code should be amended and the timing of any such amendment;</w:t>
      </w:r>
    </w:p>
    <w:p w:rsidR="00620412" w:rsidRPr="001A6F73" w:rsidRDefault="007F6C13" w:rsidP="00620412">
      <w:pPr>
        <w:pStyle w:val="paragraph"/>
      </w:pPr>
      <w:r w:rsidRPr="001A6F73">
        <w:tab/>
        <w:t>(c)</w:t>
      </w:r>
      <w:r w:rsidRPr="001A6F73">
        <w:tab/>
        <w:t xml:space="preserve">the ongoing appropriateness of the </w:t>
      </w:r>
      <w:r w:rsidR="00E87C33" w:rsidRPr="001A6F73">
        <w:t xml:space="preserve">power to exempt </w:t>
      </w:r>
      <w:r w:rsidRPr="001A6F73">
        <w:t xml:space="preserve">cooperatives </w:t>
      </w:r>
      <w:r w:rsidR="00E87C33" w:rsidRPr="001A6F73">
        <w:t>under sub</w:t>
      </w:r>
      <w:r w:rsidRPr="001A6F73">
        <w:t>clause</w:t>
      </w:r>
      <w:r w:rsidR="001A6F73" w:rsidRPr="001A6F73">
        <w:t> </w:t>
      </w:r>
      <w:r w:rsidRPr="001A6F73">
        <w:t>5(1) of the code;</w:t>
      </w:r>
    </w:p>
    <w:p w:rsidR="00620412" w:rsidRPr="001A6F73" w:rsidRDefault="00620412" w:rsidP="00620412">
      <w:pPr>
        <w:pStyle w:val="paragraph"/>
      </w:pPr>
      <w:r w:rsidRPr="001A6F73">
        <w:tab/>
        <w:t>(d)</w:t>
      </w:r>
      <w:r w:rsidRPr="001A6F73">
        <w:tab/>
        <w:t>the effectiveness of, and level of competition existing under</w:t>
      </w:r>
      <w:r w:rsidR="00002F88" w:rsidRPr="001A6F73">
        <w:t>,</w:t>
      </w:r>
      <w:r w:rsidRPr="001A6F73">
        <w:t xml:space="preserve"> current arrangements for the transport, storage and distribution of wheat in contributing to a sustainable supply chain from farm gate to export load port;</w:t>
      </w:r>
    </w:p>
    <w:p w:rsidR="00620412" w:rsidRPr="001A6F73" w:rsidRDefault="00620412" w:rsidP="00620412">
      <w:pPr>
        <w:pStyle w:val="paragraph"/>
      </w:pPr>
      <w:r w:rsidRPr="001A6F73">
        <w:tab/>
        <w:t>(e)</w:t>
      </w:r>
      <w:r w:rsidRPr="001A6F73">
        <w:tab/>
        <w:t>the availability and transparency of relevant market information to participants in the export supply chain;</w:t>
      </w:r>
    </w:p>
    <w:p w:rsidR="00620412" w:rsidRPr="001A6F73" w:rsidRDefault="00620412" w:rsidP="00620412">
      <w:pPr>
        <w:pStyle w:val="paragraph"/>
      </w:pPr>
      <w:r w:rsidRPr="001A6F73">
        <w:tab/>
        <w:t>(f)</w:t>
      </w:r>
      <w:r w:rsidRPr="001A6F73">
        <w:tab/>
        <w:t>the promotion of the economically efficient operation of, use of and investment in port terminal facilities;</w:t>
      </w:r>
    </w:p>
    <w:p w:rsidR="00620412" w:rsidRPr="001A6F73" w:rsidRDefault="00620412" w:rsidP="007F6C13">
      <w:pPr>
        <w:pStyle w:val="paragraph"/>
      </w:pPr>
      <w:r w:rsidRPr="001A6F73">
        <w:tab/>
        <w:t>(g)</w:t>
      </w:r>
      <w:r w:rsidRPr="001A6F73">
        <w:tab/>
        <w:t>the promotion of competition in upstream and downstream markets;</w:t>
      </w:r>
    </w:p>
    <w:p w:rsidR="00062005" w:rsidRPr="001A6F73" w:rsidRDefault="007F6C13" w:rsidP="00062005">
      <w:pPr>
        <w:pStyle w:val="paragraph"/>
      </w:pPr>
      <w:r w:rsidRPr="001A6F73">
        <w:tab/>
        <w:t>(</w:t>
      </w:r>
      <w:r w:rsidR="00620412" w:rsidRPr="001A6F73">
        <w:t>h</w:t>
      </w:r>
      <w:r w:rsidRPr="001A6F73">
        <w:t>)</w:t>
      </w:r>
      <w:r w:rsidRPr="001A6F73">
        <w:tab/>
        <w:t xml:space="preserve">the ongoing appropriateness of all port service providers </w:t>
      </w:r>
      <w:r w:rsidR="007B370D" w:rsidRPr="001A6F73">
        <w:t>making available</w:t>
      </w:r>
      <w:r w:rsidRPr="001A6F73">
        <w:t xml:space="preserve"> a port loading statement each business day under clause</w:t>
      </w:r>
      <w:r w:rsidR="001A6F73" w:rsidRPr="001A6F73">
        <w:t> </w:t>
      </w:r>
      <w:r w:rsidRPr="001A6F73">
        <w:t>7 of the code;</w:t>
      </w:r>
    </w:p>
    <w:p w:rsidR="00062005" w:rsidRPr="001A6F73" w:rsidRDefault="00062005" w:rsidP="00062005">
      <w:pPr>
        <w:pStyle w:val="paragraph"/>
      </w:pPr>
      <w:r w:rsidRPr="001A6F73">
        <w:tab/>
      </w:r>
      <w:r w:rsidR="00620412" w:rsidRPr="001A6F73">
        <w:t>(i</w:t>
      </w:r>
      <w:r w:rsidR="00965E3C" w:rsidRPr="001A6F73">
        <w:t>)</w:t>
      </w:r>
      <w:r w:rsidR="00965E3C" w:rsidRPr="001A6F73">
        <w:tab/>
      </w:r>
      <w:r w:rsidR="007F6C13" w:rsidRPr="001A6F73">
        <w:t>the ongoing appropriateness of the additional regula</w:t>
      </w:r>
      <w:r w:rsidR="00E87C33" w:rsidRPr="001A6F73">
        <w:t>tory requirements under Parts</w:t>
      </w:r>
      <w:r w:rsidR="001A6F73" w:rsidRPr="001A6F73">
        <w:t> </w:t>
      </w:r>
      <w:r w:rsidR="00E87C33" w:rsidRPr="001A6F73">
        <w:t xml:space="preserve">3 to </w:t>
      </w:r>
      <w:r w:rsidR="007F6C13" w:rsidRPr="001A6F73">
        <w:t>6 of the code;</w:t>
      </w:r>
    </w:p>
    <w:p w:rsidR="007F6C13" w:rsidRPr="001A6F73" w:rsidRDefault="00062005" w:rsidP="00062005">
      <w:pPr>
        <w:pStyle w:val="paragraph"/>
      </w:pPr>
      <w:r w:rsidRPr="001A6F73">
        <w:tab/>
      </w:r>
      <w:r w:rsidR="00620412" w:rsidRPr="001A6F73">
        <w:t>(j</w:t>
      </w:r>
      <w:r w:rsidR="00965E3C" w:rsidRPr="001A6F73">
        <w:t>)</w:t>
      </w:r>
      <w:r w:rsidR="00965E3C" w:rsidRPr="001A6F73">
        <w:tab/>
      </w:r>
      <w:r w:rsidR="007F6C13" w:rsidRPr="001A6F73">
        <w:t xml:space="preserve">whether there is ongoing justification to continue the operation of the code </w:t>
      </w:r>
      <w:r w:rsidR="00622FF1" w:rsidRPr="001A6F73">
        <w:t>over and above what is provided</w:t>
      </w:r>
      <w:r w:rsidR="007F6C13" w:rsidRPr="001A6F73">
        <w:t xml:space="preserve"> under Part</w:t>
      </w:r>
      <w:r w:rsidR="001A6F73" w:rsidRPr="001A6F73">
        <w:t> </w:t>
      </w:r>
      <w:r w:rsidR="007F6C13" w:rsidRPr="001A6F73">
        <w:t xml:space="preserve">IIIA of the </w:t>
      </w:r>
      <w:r w:rsidR="007F6C13" w:rsidRPr="001A6F73">
        <w:rPr>
          <w:i/>
        </w:rPr>
        <w:t>Competition and Consumer Act 2010</w:t>
      </w:r>
      <w:r w:rsidR="007F6C13" w:rsidRPr="001A6F73">
        <w:t>;</w:t>
      </w:r>
    </w:p>
    <w:p w:rsidR="007F6C13" w:rsidRPr="001A6F73" w:rsidRDefault="007F6C13" w:rsidP="007F6C13">
      <w:pPr>
        <w:pStyle w:val="paragraph"/>
      </w:pPr>
      <w:r w:rsidRPr="001A6F73">
        <w:tab/>
        <w:t>(</w:t>
      </w:r>
      <w:r w:rsidR="00620412" w:rsidRPr="001A6F73">
        <w:t>k</w:t>
      </w:r>
      <w:r w:rsidRPr="001A6F73">
        <w:t>)</w:t>
      </w:r>
      <w:r w:rsidRPr="001A6F73">
        <w:tab/>
        <w:t>any other relevant matters.</w:t>
      </w:r>
    </w:p>
    <w:p w:rsidR="00062005" w:rsidRPr="001A6F73" w:rsidRDefault="007F6C13" w:rsidP="00062005">
      <w:pPr>
        <w:pStyle w:val="subsection"/>
      </w:pPr>
      <w:r w:rsidRPr="001A6F73">
        <w:tab/>
        <w:t>(5)</w:t>
      </w:r>
      <w:r w:rsidRPr="001A6F73">
        <w:tab/>
        <w:t xml:space="preserve">In conducting the review, the following </w:t>
      </w:r>
      <w:r w:rsidR="00965E3C" w:rsidRPr="001A6F73">
        <w:t>matter</w:t>
      </w:r>
      <w:r w:rsidRPr="001A6F73">
        <w:t>s must be taken into account:</w:t>
      </w:r>
    </w:p>
    <w:p w:rsidR="00062005" w:rsidRPr="001A6F73" w:rsidRDefault="00062005" w:rsidP="00062005">
      <w:pPr>
        <w:pStyle w:val="paragraph"/>
      </w:pPr>
      <w:r w:rsidRPr="001A6F73">
        <w:tab/>
      </w:r>
      <w:r w:rsidR="00965E3C" w:rsidRPr="001A6F73">
        <w:t>(a)</w:t>
      </w:r>
      <w:r w:rsidR="00965E3C" w:rsidRPr="001A6F73">
        <w:tab/>
      </w:r>
      <w:r w:rsidR="007F6C13" w:rsidRPr="001A6F73">
        <w:t>the use of and access to port terminal facilities (within the meaning of the code) during the 4 years preceding the commencement of the review;</w:t>
      </w:r>
    </w:p>
    <w:p w:rsidR="00062005" w:rsidRPr="001A6F73" w:rsidRDefault="00062005" w:rsidP="00062005">
      <w:pPr>
        <w:pStyle w:val="paragraph"/>
      </w:pPr>
      <w:r w:rsidRPr="001A6F73">
        <w:tab/>
      </w:r>
      <w:r w:rsidR="00965E3C" w:rsidRPr="001A6F73">
        <w:t>(b)</w:t>
      </w:r>
      <w:r w:rsidR="00965E3C" w:rsidRPr="001A6F73">
        <w:tab/>
      </w:r>
      <w:r w:rsidR="007F6C13" w:rsidRPr="001A6F73">
        <w:t>any changes to market conditions in the wheat export supply chain, including economic trends that may have impacted on the operation</w:t>
      </w:r>
      <w:r w:rsidR="00CE3630" w:rsidRPr="001A6F73">
        <w:t xml:space="preserve"> of the wheat export market;</w:t>
      </w:r>
    </w:p>
    <w:p w:rsidR="007F6C13" w:rsidRPr="001A6F73" w:rsidRDefault="00062005" w:rsidP="00062005">
      <w:pPr>
        <w:pStyle w:val="paragraph"/>
      </w:pPr>
      <w:r w:rsidRPr="001A6F73">
        <w:tab/>
      </w:r>
      <w:r w:rsidR="00965E3C" w:rsidRPr="001A6F73">
        <w:t>(c)</w:t>
      </w:r>
      <w:r w:rsidR="00965E3C" w:rsidRPr="001A6F73">
        <w:tab/>
      </w:r>
      <w:r w:rsidR="007F6C13" w:rsidRPr="001A6F73">
        <w:t>the legitimate interest of all relevant stakeholders</w:t>
      </w:r>
      <w:r w:rsidR="00965E3C" w:rsidRPr="001A6F73">
        <w:t>.</w:t>
      </w:r>
    </w:p>
    <w:p w:rsidR="007F6C13" w:rsidRPr="001A6F73" w:rsidRDefault="007F6C13" w:rsidP="007F6C13">
      <w:pPr>
        <w:pStyle w:val="ActHead5"/>
      </w:pPr>
      <w:bookmarkStart w:id="12" w:name="_Toc397955304"/>
      <w:r w:rsidRPr="001A6F73">
        <w:rPr>
          <w:rStyle w:val="CharSectno"/>
        </w:rPr>
        <w:lastRenderedPageBreak/>
        <w:t>6</w:t>
      </w:r>
      <w:r w:rsidRPr="001A6F73">
        <w:t xml:space="preserve">  Further review of operation of this regulation</w:t>
      </w:r>
      <w:bookmarkEnd w:id="12"/>
    </w:p>
    <w:p w:rsidR="007F6C13" w:rsidRPr="001A6F73" w:rsidRDefault="007F6C13" w:rsidP="007F6C13">
      <w:pPr>
        <w:pStyle w:val="subsection"/>
      </w:pPr>
      <w:r w:rsidRPr="001A6F73">
        <w:tab/>
        <w:t>(1)</w:t>
      </w:r>
      <w:r w:rsidRPr="001A6F73">
        <w:tab/>
      </w:r>
      <w:r w:rsidR="004C5052" w:rsidRPr="001A6F73">
        <w:t xml:space="preserve">If this regulation continues in operation for </w:t>
      </w:r>
      <w:r w:rsidR="00D90979" w:rsidRPr="001A6F73">
        <w:t xml:space="preserve">6 years or more </w:t>
      </w:r>
      <w:r w:rsidR="004C5052" w:rsidRPr="001A6F73">
        <w:t>after the commencement of this section, the Minister administering section</w:t>
      </w:r>
      <w:r w:rsidR="001A6F73" w:rsidRPr="001A6F73">
        <w:t> </w:t>
      </w:r>
      <w:r w:rsidR="004C5052" w:rsidRPr="001A6F73">
        <w:t xml:space="preserve">1 of the </w:t>
      </w:r>
      <w:r w:rsidR="004C5052" w:rsidRPr="001A6F73">
        <w:rPr>
          <w:i/>
          <w:iCs/>
        </w:rPr>
        <w:t>Farm Household Support Act 2014</w:t>
      </w:r>
      <w:r w:rsidR="004C5052" w:rsidRPr="001A6F73">
        <w:t xml:space="preserve"> must cause a further review of the operation of this regulation to be undertaken.</w:t>
      </w:r>
    </w:p>
    <w:p w:rsidR="007F6C13" w:rsidRPr="001A6F73" w:rsidRDefault="007F6C13" w:rsidP="007F6C13">
      <w:pPr>
        <w:pStyle w:val="subsection"/>
      </w:pPr>
      <w:r w:rsidRPr="001A6F73">
        <w:tab/>
        <w:t>(2)</w:t>
      </w:r>
      <w:r w:rsidRPr="001A6F73">
        <w:tab/>
        <w:t xml:space="preserve">The review must start </w:t>
      </w:r>
      <w:r w:rsidR="00965E3C" w:rsidRPr="001A6F73">
        <w:t>not earlier</w:t>
      </w:r>
      <w:r w:rsidRPr="001A6F73">
        <w:t xml:space="preserve"> than 6 years and</w:t>
      </w:r>
      <w:r w:rsidR="00965E3C" w:rsidRPr="001A6F73">
        <w:t xml:space="preserve"> not later </w:t>
      </w:r>
      <w:r w:rsidRPr="001A6F73">
        <w:t>than 8 years after the commencement of this section.</w:t>
      </w:r>
    </w:p>
    <w:p w:rsidR="007F6C13" w:rsidRPr="001A6F73" w:rsidRDefault="007F6C13" w:rsidP="007F6C13">
      <w:pPr>
        <w:pStyle w:val="subsection"/>
      </w:pPr>
      <w:r w:rsidRPr="001A6F73">
        <w:tab/>
        <w:t>(3)</w:t>
      </w:r>
      <w:r w:rsidRPr="001A6F73">
        <w:tab/>
        <w:t>The review must take into account</w:t>
      </w:r>
      <w:r w:rsidR="008F4A41" w:rsidRPr="001A6F73">
        <w:t xml:space="preserve"> the matters set out in sub</w:t>
      </w:r>
      <w:r w:rsidRPr="001A6F73">
        <w:t>clauses</w:t>
      </w:r>
      <w:r w:rsidR="001A6F73" w:rsidRPr="001A6F73">
        <w:t> </w:t>
      </w:r>
      <w:r w:rsidRPr="001A6F73">
        <w:t>5(3),</w:t>
      </w:r>
      <w:r w:rsidR="008F4A41" w:rsidRPr="001A6F73">
        <w:t xml:space="preserve"> </w:t>
      </w:r>
      <w:r w:rsidRPr="001A6F73">
        <w:t>(4)</w:t>
      </w:r>
      <w:r w:rsidR="008F4A41" w:rsidRPr="001A6F73">
        <w:t xml:space="preserve"> and </w:t>
      </w:r>
      <w:r w:rsidRPr="001A6F73">
        <w:t>(5).</w:t>
      </w:r>
    </w:p>
    <w:p w:rsidR="007A140B" w:rsidRPr="001A6F73" w:rsidRDefault="007A140B" w:rsidP="003A27EB">
      <w:pPr>
        <w:sectPr w:rsidR="007A140B" w:rsidRPr="001A6F73" w:rsidSect="000E584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13" w:name="OPCSB_BodyPrincipleB5"/>
    </w:p>
    <w:p w:rsidR="007A3DA1" w:rsidRPr="001A6F73" w:rsidRDefault="007A3DA1" w:rsidP="00CA0B5D">
      <w:pPr>
        <w:pStyle w:val="ActHead1"/>
      </w:pPr>
      <w:bookmarkStart w:id="14" w:name="_Toc397955305"/>
      <w:bookmarkEnd w:id="13"/>
      <w:r w:rsidRPr="001A6F73">
        <w:rPr>
          <w:rStyle w:val="CharChapNo"/>
        </w:rPr>
        <w:lastRenderedPageBreak/>
        <w:t>Schedule</w:t>
      </w:r>
      <w:r w:rsidR="001A6F73" w:rsidRPr="001A6F73">
        <w:rPr>
          <w:rStyle w:val="CharChapNo"/>
        </w:rPr>
        <w:t> </w:t>
      </w:r>
      <w:r w:rsidRPr="001A6F73">
        <w:rPr>
          <w:rStyle w:val="CharChapNo"/>
        </w:rPr>
        <w:t>1</w:t>
      </w:r>
      <w:r w:rsidRPr="001A6F73">
        <w:t>—</w:t>
      </w:r>
      <w:r w:rsidRPr="001A6F73">
        <w:rPr>
          <w:rStyle w:val="CharChapText"/>
        </w:rPr>
        <w:t>Port Terminal Access (Bulk Wheat) Code of Conduct</w:t>
      </w:r>
      <w:bookmarkEnd w:id="14"/>
    </w:p>
    <w:p w:rsidR="007A3DA1" w:rsidRPr="001A6F73" w:rsidRDefault="007A3DA1" w:rsidP="007A3DA1">
      <w:pPr>
        <w:pStyle w:val="notemargin"/>
      </w:pPr>
      <w:r w:rsidRPr="001A6F73">
        <w:t>Note:</w:t>
      </w:r>
      <w:r w:rsidRPr="001A6F73">
        <w:tab/>
        <w:t>See section</w:t>
      </w:r>
      <w:r w:rsidR="001A6F73" w:rsidRPr="001A6F73">
        <w:t> </w:t>
      </w:r>
      <w:r w:rsidRPr="001A6F73">
        <w:t>4.</w:t>
      </w:r>
    </w:p>
    <w:p w:rsidR="007A3DA1" w:rsidRPr="001A6F73" w:rsidRDefault="007A3DA1" w:rsidP="00C4131D">
      <w:pPr>
        <w:pStyle w:val="ActHead2"/>
      </w:pPr>
      <w:bookmarkStart w:id="15" w:name="_Toc397955306"/>
      <w:r w:rsidRPr="001A6F73">
        <w:rPr>
          <w:rStyle w:val="CharPartNo"/>
        </w:rPr>
        <w:t>Part</w:t>
      </w:r>
      <w:r w:rsidR="001A6F73" w:rsidRPr="001A6F73">
        <w:rPr>
          <w:rStyle w:val="CharPartNo"/>
        </w:rPr>
        <w:t> </w:t>
      </w:r>
      <w:r w:rsidRPr="001A6F73">
        <w:rPr>
          <w:rStyle w:val="CharPartNo"/>
        </w:rPr>
        <w:t>1</w:t>
      </w:r>
      <w:r w:rsidRPr="001A6F73">
        <w:t>—</w:t>
      </w:r>
      <w:r w:rsidR="00627906" w:rsidRPr="001A6F73">
        <w:rPr>
          <w:rStyle w:val="CharPartText"/>
        </w:rPr>
        <w:t>Preliminary</w:t>
      </w:r>
      <w:bookmarkEnd w:id="15"/>
    </w:p>
    <w:p w:rsidR="007A3DA1" w:rsidRPr="001A6F73" w:rsidRDefault="007A3DA1" w:rsidP="00C4131D">
      <w:pPr>
        <w:pStyle w:val="Header"/>
      </w:pPr>
      <w:r w:rsidRPr="001A6F73">
        <w:rPr>
          <w:rStyle w:val="CharDivNo"/>
        </w:rPr>
        <w:t xml:space="preserve"> </w:t>
      </w:r>
      <w:r w:rsidRPr="001A6F73">
        <w:rPr>
          <w:rStyle w:val="CharDivText"/>
        </w:rPr>
        <w:t xml:space="preserve"> </w:t>
      </w:r>
    </w:p>
    <w:p w:rsidR="007A3DA1" w:rsidRPr="001A6F73" w:rsidRDefault="00EB6DDB" w:rsidP="00C4131D">
      <w:pPr>
        <w:pStyle w:val="ActHead5"/>
      </w:pPr>
      <w:bookmarkStart w:id="16" w:name="_Toc397955307"/>
      <w:r w:rsidRPr="001A6F73">
        <w:rPr>
          <w:rStyle w:val="CharSectno"/>
        </w:rPr>
        <w:t>1</w:t>
      </w:r>
      <w:r w:rsidR="007A3DA1" w:rsidRPr="001A6F73">
        <w:t xml:space="preserve">  Name of code</w:t>
      </w:r>
      <w:bookmarkEnd w:id="16"/>
    </w:p>
    <w:p w:rsidR="007A3DA1" w:rsidRPr="001A6F73" w:rsidRDefault="007A3DA1" w:rsidP="007A3DA1">
      <w:pPr>
        <w:pStyle w:val="subsection"/>
      </w:pPr>
      <w:r w:rsidRPr="001A6F73">
        <w:tab/>
      </w:r>
      <w:r w:rsidRPr="001A6F73">
        <w:tab/>
        <w:t xml:space="preserve">This code is the </w:t>
      </w:r>
      <w:r w:rsidRPr="001A6F73">
        <w:rPr>
          <w:i/>
        </w:rPr>
        <w:t>Port Terminal Access (Bulk Wheat) Code of Conduct</w:t>
      </w:r>
      <w:r w:rsidRPr="001A6F73">
        <w:t>.</w:t>
      </w:r>
    </w:p>
    <w:p w:rsidR="007A3DA1" w:rsidRPr="001A6F73" w:rsidRDefault="00EB6DDB" w:rsidP="00C4131D">
      <w:pPr>
        <w:pStyle w:val="ActHead5"/>
      </w:pPr>
      <w:bookmarkStart w:id="17" w:name="_Toc397955308"/>
      <w:r w:rsidRPr="001A6F73">
        <w:rPr>
          <w:rStyle w:val="CharSectno"/>
        </w:rPr>
        <w:t>2</w:t>
      </w:r>
      <w:r w:rsidR="007A3DA1" w:rsidRPr="001A6F73">
        <w:t xml:space="preserve">  Purpose of code</w:t>
      </w:r>
      <w:bookmarkEnd w:id="17"/>
    </w:p>
    <w:p w:rsidR="007A3DA1" w:rsidRPr="001A6F73" w:rsidRDefault="007A3DA1" w:rsidP="007A3DA1">
      <w:pPr>
        <w:pStyle w:val="subsection"/>
      </w:pPr>
      <w:r w:rsidRPr="001A6F73">
        <w:tab/>
      </w:r>
      <w:r w:rsidRPr="001A6F73">
        <w:tab/>
        <w:t xml:space="preserve">The purpose of this code is to regulate the conduct of </w:t>
      </w:r>
      <w:r w:rsidR="00EE638C" w:rsidRPr="001A6F73">
        <w:t xml:space="preserve">port terminal </w:t>
      </w:r>
      <w:r w:rsidR="001A3DED" w:rsidRPr="001A6F73">
        <w:t>service provider</w:t>
      </w:r>
      <w:r w:rsidRPr="001A6F73">
        <w:t>s to ensure that exporters of bulk wheat have fair and transparent access to port terminal services.</w:t>
      </w:r>
    </w:p>
    <w:p w:rsidR="007A3DA1" w:rsidRPr="001A6F73" w:rsidRDefault="00EB6DDB" w:rsidP="00C4131D">
      <w:pPr>
        <w:pStyle w:val="ActHead5"/>
      </w:pPr>
      <w:bookmarkStart w:id="18" w:name="_Toc397955309"/>
      <w:r w:rsidRPr="001A6F73">
        <w:rPr>
          <w:rStyle w:val="CharSectno"/>
        </w:rPr>
        <w:t>3</w:t>
      </w:r>
      <w:r w:rsidR="007A3DA1" w:rsidRPr="001A6F73">
        <w:t xml:space="preserve">  Definitions</w:t>
      </w:r>
      <w:bookmarkEnd w:id="18"/>
    </w:p>
    <w:p w:rsidR="007A3DA1" w:rsidRPr="001A6F73" w:rsidRDefault="007A3DA1" w:rsidP="007A3DA1">
      <w:pPr>
        <w:pStyle w:val="subsection"/>
      </w:pPr>
      <w:r w:rsidRPr="001A6F73">
        <w:tab/>
      </w:r>
      <w:r w:rsidRPr="001A6F73">
        <w:tab/>
        <w:t>In this code:</w:t>
      </w:r>
    </w:p>
    <w:p w:rsidR="007A3DA1" w:rsidRPr="001A6F73" w:rsidRDefault="007A3DA1" w:rsidP="007A3DA1">
      <w:pPr>
        <w:pStyle w:val="Definition"/>
      </w:pPr>
      <w:r w:rsidRPr="001A6F73">
        <w:rPr>
          <w:b/>
          <w:i/>
        </w:rPr>
        <w:t>ACCC</w:t>
      </w:r>
      <w:r w:rsidRPr="001A6F73">
        <w:t xml:space="preserve"> means the Australian Competition and Consumer Commission.</w:t>
      </w:r>
    </w:p>
    <w:p w:rsidR="007A3DA1" w:rsidRPr="001A6F73" w:rsidRDefault="007A3DA1" w:rsidP="007A3DA1">
      <w:pPr>
        <w:pStyle w:val="Definition"/>
      </w:pPr>
      <w:r w:rsidRPr="001A6F73">
        <w:rPr>
          <w:b/>
          <w:i/>
        </w:rPr>
        <w:t xml:space="preserve">access agreement </w:t>
      </w:r>
      <w:r w:rsidRPr="001A6F73">
        <w:t xml:space="preserve">means an agreement between a </w:t>
      </w:r>
      <w:r w:rsidR="00FF12AE" w:rsidRPr="001A6F73">
        <w:t xml:space="preserve">port terminal service </w:t>
      </w:r>
      <w:r w:rsidR="001A3DED" w:rsidRPr="001A6F73">
        <w:t>provider</w:t>
      </w:r>
      <w:r w:rsidRPr="001A6F73">
        <w:t xml:space="preserve"> and an exporter</w:t>
      </w:r>
      <w:r w:rsidR="00A11072" w:rsidRPr="001A6F73">
        <w:t xml:space="preserve"> for the supply of a port terminal service</w:t>
      </w:r>
      <w:r w:rsidRPr="001A6F73">
        <w:t>.</w:t>
      </w:r>
    </w:p>
    <w:p w:rsidR="00044E85" w:rsidRPr="001A6F73" w:rsidRDefault="00044E85" w:rsidP="00044E85">
      <w:pPr>
        <w:pStyle w:val="notetext"/>
      </w:pPr>
      <w:r w:rsidRPr="001A6F73">
        <w:t>Note:</w:t>
      </w:r>
      <w:r w:rsidRPr="001A6F73">
        <w:tab/>
        <w:t>For requirements relating to access agreements, see Part</w:t>
      </w:r>
      <w:r w:rsidR="001A6F73" w:rsidRPr="001A6F73">
        <w:t> </w:t>
      </w:r>
      <w:r w:rsidRPr="001A6F73">
        <w:t>3</w:t>
      </w:r>
      <w:r w:rsidR="00965E3C" w:rsidRPr="001A6F73">
        <w:t xml:space="preserve"> of this c</w:t>
      </w:r>
      <w:r w:rsidR="0081321A" w:rsidRPr="001A6F73">
        <w:t>ode</w:t>
      </w:r>
      <w:r w:rsidRPr="001A6F73">
        <w:t>.</w:t>
      </w:r>
    </w:p>
    <w:p w:rsidR="007A3DA1" w:rsidRPr="001A6F73" w:rsidRDefault="007A3DA1" w:rsidP="007A3DA1">
      <w:pPr>
        <w:pStyle w:val="Definition"/>
      </w:pPr>
      <w:r w:rsidRPr="001A6F73">
        <w:rPr>
          <w:b/>
          <w:i/>
        </w:rPr>
        <w:t>Act</w:t>
      </w:r>
      <w:r w:rsidRPr="001A6F73">
        <w:t xml:space="preserve"> means the </w:t>
      </w:r>
      <w:r w:rsidRPr="001A6F73">
        <w:rPr>
          <w:i/>
        </w:rPr>
        <w:t>Competition and Consumer Act 2010</w:t>
      </w:r>
      <w:r w:rsidRPr="001A6F73">
        <w:t>.</w:t>
      </w:r>
    </w:p>
    <w:p w:rsidR="009A5D6D" w:rsidRPr="001A6F73" w:rsidRDefault="009A5D6D" w:rsidP="007A3DA1">
      <w:pPr>
        <w:pStyle w:val="Definition"/>
      </w:pPr>
      <w:r w:rsidRPr="001A6F73">
        <w:rPr>
          <w:b/>
          <w:i/>
        </w:rPr>
        <w:t>associated entity</w:t>
      </w:r>
      <w:r w:rsidRPr="001A6F73">
        <w:t xml:space="preserve"> has the meaning given by section</w:t>
      </w:r>
      <w:r w:rsidR="001A6F73" w:rsidRPr="001A6F73">
        <w:t> </w:t>
      </w:r>
      <w:r w:rsidRPr="001A6F73">
        <w:t xml:space="preserve">50AAA of the </w:t>
      </w:r>
      <w:r w:rsidRPr="001A6F73">
        <w:rPr>
          <w:i/>
        </w:rPr>
        <w:t>Corporations Act 2001</w:t>
      </w:r>
      <w:r w:rsidRPr="001A6F73">
        <w:t>.</w:t>
      </w:r>
    </w:p>
    <w:p w:rsidR="00BE48CF" w:rsidRPr="001A6F73" w:rsidRDefault="007A3DA1" w:rsidP="00BE48CF">
      <w:pPr>
        <w:pStyle w:val="Definition"/>
      </w:pPr>
      <w:r w:rsidRPr="001A6F73">
        <w:rPr>
          <w:b/>
          <w:i/>
        </w:rPr>
        <w:t>bulk wheat</w:t>
      </w:r>
      <w:r w:rsidRPr="001A6F73">
        <w:t xml:space="preserve"> means wheat </w:t>
      </w:r>
      <w:r w:rsidR="008722BB" w:rsidRPr="001A6F73">
        <w:t xml:space="preserve">to be loaded onto a ship </w:t>
      </w:r>
      <w:r w:rsidR="00464546" w:rsidRPr="001A6F73">
        <w:t xml:space="preserve">for export </w:t>
      </w:r>
      <w:r w:rsidR="008722BB" w:rsidRPr="001A6F73">
        <w:t xml:space="preserve">but </w:t>
      </w:r>
      <w:r w:rsidRPr="001A6F73">
        <w:t>does not include</w:t>
      </w:r>
      <w:r w:rsidR="00BE48CF" w:rsidRPr="001A6F73">
        <w:t xml:space="preserve"> w</w:t>
      </w:r>
      <w:r w:rsidRPr="001A6F73">
        <w:t>heat</w:t>
      </w:r>
      <w:r w:rsidR="008722BB" w:rsidRPr="001A6F73">
        <w:t xml:space="preserve"> </w:t>
      </w:r>
      <w:r w:rsidR="00407279" w:rsidRPr="001A6F73">
        <w:t xml:space="preserve">to be </w:t>
      </w:r>
      <w:r w:rsidR="008722BB" w:rsidRPr="001A6F73">
        <w:t xml:space="preserve">exported </w:t>
      </w:r>
      <w:r w:rsidRPr="001A6F73">
        <w:t>in a bag or container that</w:t>
      </w:r>
      <w:r w:rsidR="00A11072" w:rsidRPr="001A6F73">
        <w:t xml:space="preserve"> is not capable of holding more than 50 tonnes of wheat</w:t>
      </w:r>
      <w:r w:rsidR="00BE48CF" w:rsidRPr="001A6F73">
        <w:t>.</w:t>
      </w:r>
    </w:p>
    <w:p w:rsidR="0037371A" w:rsidRPr="001A6F73" w:rsidRDefault="007A3DA1" w:rsidP="004C528C">
      <w:pPr>
        <w:pStyle w:val="Definition"/>
      </w:pPr>
      <w:r w:rsidRPr="001A6F73">
        <w:rPr>
          <w:b/>
          <w:i/>
        </w:rPr>
        <w:lastRenderedPageBreak/>
        <w:t>capacity</w:t>
      </w:r>
      <w:r w:rsidRPr="001A6F73">
        <w:t xml:space="preserve"> </w:t>
      </w:r>
      <w:r w:rsidR="004C528C" w:rsidRPr="001A6F73">
        <w:t xml:space="preserve">of a port terminal facility means the total amount of grain in tonnes that can be </w:t>
      </w:r>
      <w:r w:rsidR="0037371A" w:rsidRPr="001A6F73">
        <w:t>loaded onto a ship during a shipping window</w:t>
      </w:r>
      <w:r w:rsidR="004C528C" w:rsidRPr="001A6F73">
        <w:t xml:space="preserve">, </w:t>
      </w:r>
      <w:r w:rsidR="0037371A" w:rsidRPr="001A6F73">
        <w:t xml:space="preserve">as determined by </w:t>
      </w:r>
      <w:r w:rsidR="008E0774" w:rsidRPr="001A6F73">
        <w:t>the</w:t>
      </w:r>
      <w:r w:rsidR="001A3DED" w:rsidRPr="001A6F73">
        <w:t xml:space="preserve"> </w:t>
      </w:r>
      <w:r w:rsidR="00FF12AE" w:rsidRPr="001A6F73">
        <w:t>port terminal service provider</w:t>
      </w:r>
      <w:r w:rsidR="00EE1B24" w:rsidRPr="001A6F73">
        <w:t xml:space="preserve"> that owns or operates the facility.</w:t>
      </w:r>
    </w:p>
    <w:p w:rsidR="007A3DA1" w:rsidRPr="001A6F73" w:rsidRDefault="007A3DA1" w:rsidP="007A3DA1">
      <w:pPr>
        <w:pStyle w:val="Definition"/>
      </w:pPr>
      <w:r w:rsidRPr="001A6F73">
        <w:rPr>
          <w:b/>
          <w:i/>
        </w:rPr>
        <w:t>capacity allocation system</w:t>
      </w:r>
      <w:r w:rsidRPr="001A6F73">
        <w:t xml:space="preserve"> means a system that a </w:t>
      </w:r>
      <w:r w:rsidR="00FF12AE" w:rsidRPr="001A6F73">
        <w:t>port terminal service provider</w:t>
      </w:r>
      <w:r w:rsidRPr="001A6F73">
        <w:t xml:space="preserve"> uses to</w:t>
      </w:r>
      <w:r w:rsidR="003646B7" w:rsidRPr="001A6F73">
        <w:t xml:space="preserve"> allocate</w:t>
      </w:r>
      <w:r w:rsidR="00724D2C" w:rsidRPr="001A6F73">
        <w:t>, to exporters,</w:t>
      </w:r>
      <w:r w:rsidR="00EE1B24" w:rsidRPr="001A6F73">
        <w:t xml:space="preserve"> </w:t>
      </w:r>
      <w:r w:rsidR="0057357A" w:rsidRPr="001A6F73">
        <w:t xml:space="preserve">capacity </w:t>
      </w:r>
      <w:r w:rsidR="00EE1B24" w:rsidRPr="001A6F73">
        <w:t>of a port terminal facility owned or operated by the provider</w:t>
      </w:r>
      <w:r w:rsidRPr="001A6F73">
        <w:t>.</w:t>
      </w:r>
    </w:p>
    <w:p w:rsidR="003646B7" w:rsidRPr="001A6F73" w:rsidRDefault="003646B7" w:rsidP="003646B7">
      <w:pPr>
        <w:pStyle w:val="notetext"/>
      </w:pPr>
      <w:r w:rsidRPr="001A6F73">
        <w:t>Note:</w:t>
      </w:r>
      <w:r w:rsidRPr="001A6F73">
        <w:tab/>
      </w:r>
      <w:r w:rsidR="003E3083" w:rsidRPr="001A6F73">
        <w:t>For requirements relating to capacity allocation system</w:t>
      </w:r>
      <w:r w:rsidR="00D668FC" w:rsidRPr="001A6F73">
        <w:t>s</w:t>
      </w:r>
      <w:r w:rsidR="003E3083" w:rsidRPr="001A6F73">
        <w:t xml:space="preserve">, see </w:t>
      </w:r>
      <w:r w:rsidRPr="001A6F73">
        <w:t>Part</w:t>
      </w:r>
      <w:r w:rsidR="001A6F73" w:rsidRPr="001A6F73">
        <w:t> </w:t>
      </w:r>
      <w:r w:rsidRPr="001A6F73">
        <w:t>4</w:t>
      </w:r>
      <w:r w:rsidR="00724D2C" w:rsidRPr="001A6F73">
        <w:t xml:space="preserve"> of this code</w:t>
      </w:r>
      <w:r w:rsidRPr="001A6F73">
        <w:t>.</w:t>
      </w:r>
    </w:p>
    <w:p w:rsidR="00A11072" w:rsidRPr="001A6F73" w:rsidRDefault="00A11072" w:rsidP="007A3DA1">
      <w:pPr>
        <w:pStyle w:val="Definition"/>
      </w:pPr>
      <w:r w:rsidRPr="001A6F73">
        <w:rPr>
          <w:b/>
          <w:i/>
        </w:rPr>
        <w:t xml:space="preserve">entity </w:t>
      </w:r>
      <w:r w:rsidR="00D717D4" w:rsidRPr="001A6F73">
        <w:t>has the meaning given by section</w:t>
      </w:r>
      <w:r w:rsidR="001A6F73" w:rsidRPr="001A6F73">
        <w:t> </w:t>
      </w:r>
      <w:r w:rsidR="00D717D4" w:rsidRPr="001A6F73">
        <w:t>64A</w:t>
      </w:r>
      <w:r w:rsidR="00F47BE4" w:rsidRPr="001A6F73">
        <w:t xml:space="preserve"> </w:t>
      </w:r>
      <w:r w:rsidR="00D717D4" w:rsidRPr="001A6F73">
        <w:t xml:space="preserve">of the </w:t>
      </w:r>
      <w:r w:rsidR="00D717D4" w:rsidRPr="001A6F73">
        <w:rPr>
          <w:i/>
        </w:rPr>
        <w:t>Corporations Act 2001</w:t>
      </w:r>
      <w:r w:rsidR="00D717D4" w:rsidRPr="001A6F73">
        <w:t>.</w:t>
      </w:r>
    </w:p>
    <w:p w:rsidR="0087792E" w:rsidRPr="001A6F73" w:rsidRDefault="0087792E" w:rsidP="007A3DA1">
      <w:pPr>
        <w:pStyle w:val="Definition"/>
      </w:pPr>
      <w:r w:rsidRPr="001A6F73">
        <w:rPr>
          <w:b/>
          <w:i/>
        </w:rPr>
        <w:t>exempt service provider</w:t>
      </w:r>
      <w:r w:rsidRPr="001A6F73">
        <w:t xml:space="preserve"> means a port terminal service provider exempted under </w:t>
      </w:r>
      <w:r w:rsidR="00C0184C" w:rsidRPr="001A6F73">
        <w:t>clause</w:t>
      </w:r>
      <w:r w:rsidR="001A6F73" w:rsidRPr="001A6F73">
        <w:t> </w:t>
      </w:r>
      <w:r w:rsidR="00EB6DDB" w:rsidRPr="001A6F73">
        <w:t>5</w:t>
      </w:r>
      <w:r w:rsidRPr="001A6F73">
        <w:t>.</w:t>
      </w:r>
    </w:p>
    <w:p w:rsidR="008A2CD2" w:rsidRPr="001A6F73" w:rsidRDefault="007A3DA1" w:rsidP="00041D4A">
      <w:pPr>
        <w:pStyle w:val="Definition"/>
      </w:pPr>
      <w:r w:rsidRPr="001A6F73">
        <w:rPr>
          <w:b/>
          <w:i/>
        </w:rPr>
        <w:t>exporter</w:t>
      </w:r>
      <w:r w:rsidRPr="001A6F73">
        <w:t xml:space="preserve"> means a</w:t>
      </w:r>
      <w:r w:rsidR="00A11072" w:rsidRPr="001A6F73">
        <w:t xml:space="preserve">n </w:t>
      </w:r>
      <w:r w:rsidRPr="001A6F73">
        <w:t>entity</w:t>
      </w:r>
      <w:r w:rsidR="003E3083" w:rsidRPr="001A6F73">
        <w:t xml:space="preserve"> </w:t>
      </w:r>
      <w:r w:rsidR="00F47BE4" w:rsidRPr="001A6F73">
        <w:t>seeking access to</w:t>
      </w:r>
      <w:r w:rsidR="00BE48CF" w:rsidRPr="001A6F73">
        <w:t>, or using,</w:t>
      </w:r>
      <w:r w:rsidRPr="001A6F73">
        <w:t xml:space="preserve"> port terminal service</w:t>
      </w:r>
      <w:r w:rsidR="00F47BE4" w:rsidRPr="001A6F73">
        <w:t>s</w:t>
      </w:r>
      <w:r w:rsidR="003E3083" w:rsidRPr="001A6F73">
        <w:t xml:space="preserve"> for the </w:t>
      </w:r>
      <w:r w:rsidR="00A11072" w:rsidRPr="001A6F73">
        <w:t>purpose</w:t>
      </w:r>
      <w:r w:rsidR="002B556A" w:rsidRPr="001A6F73">
        <w:t xml:space="preserve"> of </w:t>
      </w:r>
      <w:r w:rsidR="003E3083" w:rsidRPr="001A6F73">
        <w:t>export</w:t>
      </w:r>
      <w:r w:rsidR="002B556A" w:rsidRPr="001A6F73">
        <w:t>ing</w:t>
      </w:r>
      <w:r w:rsidR="003E3083" w:rsidRPr="001A6F73">
        <w:t xml:space="preserve"> bulk wheat</w:t>
      </w:r>
      <w:r w:rsidR="004579F3" w:rsidRPr="001A6F73">
        <w:t>.</w:t>
      </w:r>
    </w:p>
    <w:p w:rsidR="00041D4A" w:rsidRPr="001A6F73" w:rsidRDefault="00041D4A" w:rsidP="00041D4A">
      <w:pPr>
        <w:pStyle w:val="Definition"/>
      </w:pPr>
      <w:r w:rsidRPr="001A6F73">
        <w:rPr>
          <w:b/>
          <w:i/>
        </w:rPr>
        <w:t>negotiation request</w:t>
      </w:r>
      <w:r w:rsidRPr="001A6F73">
        <w:t xml:space="preserve"> has the meaning given by paragraph</w:t>
      </w:r>
      <w:r w:rsidR="001A6F73" w:rsidRPr="001A6F73">
        <w:t> </w:t>
      </w:r>
      <w:r w:rsidR="00AE58C8" w:rsidRPr="001A6F73">
        <w:t>11</w:t>
      </w:r>
      <w:r w:rsidRPr="001A6F73">
        <w:t>(6)(b).</w:t>
      </w:r>
    </w:p>
    <w:p w:rsidR="009900E3" w:rsidRPr="001A6F73" w:rsidRDefault="007A3DA1" w:rsidP="00670639">
      <w:pPr>
        <w:pStyle w:val="Definition"/>
      </w:pPr>
      <w:r w:rsidRPr="001A6F73">
        <w:rPr>
          <w:b/>
          <w:i/>
        </w:rPr>
        <w:t>port loading protocol</w:t>
      </w:r>
      <w:r w:rsidRPr="001A6F73">
        <w:t xml:space="preserve"> </w:t>
      </w:r>
      <w:r w:rsidR="00D668FC" w:rsidRPr="001A6F73">
        <w:t>means</w:t>
      </w:r>
      <w:r w:rsidR="009900E3" w:rsidRPr="001A6F73">
        <w:t xml:space="preserve"> a statement of a </w:t>
      </w:r>
      <w:r w:rsidR="00FF12AE" w:rsidRPr="001A6F73">
        <w:t>port terminal service provider</w:t>
      </w:r>
      <w:r w:rsidR="00670639" w:rsidRPr="001A6F73">
        <w:t xml:space="preserve"> that </w:t>
      </w:r>
      <w:r w:rsidR="009900E3" w:rsidRPr="001A6F73">
        <w:t>sets out the</w:t>
      </w:r>
      <w:r w:rsidR="008E0774" w:rsidRPr="001A6F73">
        <w:t xml:space="preserve"> </w:t>
      </w:r>
      <w:r w:rsidR="00FF12AE" w:rsidRPr="001A6F73">
        <w:t>port terminal service provider</w:t>
      </w:r>
      <w:r w:rsidR="009900E3" w:rsidRPr="001A6F73">
        <w:t>’s policies and procedures for managing demand for its port terminal services</w:t>
      </w:r>
      <w:r w:rsidR="00670639" w:rsidRPr="001A6F73">
        <w:t>.</w:t>
      </w:r>
    </w:p>
    <w:p w:rsidR="00D668FC" w:rsidRPr="001A6F73" w:rsidRDefault="001E15E5" w:rsidP="001E15E5">
      <w:pPr>
        <w:pStyle w:val="notetext"/>
      </w:pPr>
      <w:r w:rsidRPr="001A6F73">
        <w:t>Note:</w:t>
      </w:r>
      <w:r w:rsidRPr="001A6F73">
        <w:tab/>
        <w:t>For requirements relating to port loading protocols, see Part</w:t>
      </w:r>
      <w:r w:rsidR="001A6F73" w:rsidRPr="001A6F73">
        <w:t> </w:t>
      </w:r>
      <w:r w:rsidRPr="001A6F73">
        <w:t>4</w:t>
      </w:r>
      <w:r w:rsidR="00724D2C" w:rsidRPr="001A6F73">
        <w:t xml:space="preserve"> of this code</w:t>
      </w:r>
      <w:r w:rsidRPr="001A6F73">
        <w:t>.</w:t>
      </w:r>
    </w:p>
    <w:p w:rsidR="007A3DA1" w:rsidRPr="001A6F73" w:rsidRDefault="007A3DA1" w:rsidP="007A3DA1">
      <w:pPr>
        <w:pStyle w:val="Definition"/>
      </w:pPr>
      <w:r w:rsidRPr="001A6F73">
        <w:rPr>
          <w:b/>
          <w:i/>
        </w:rPr>
        <w:t>port terminal facility</w:t>
      </w:r>
      <w:r w:rsidRPr="001A6F73">
        <w:t xml:space="preserve"> means a ship loader</w:t>
      </w:r>
      <w:r w:rsidR="00BE48CF" w:rsidRPr="001A6F73">
        <w:t xml:space="preserve"> </w:t>
      </w:r>
      <w:r w:rsidRPr="001A6F73">
        <w:t>that</w:t>
      </w:r>
      <w:r w:rsidR="00BE48CF" w:rsidRPr="001A6F73">
        <w:t xml:space="preserve"> is</w:t>
      </w:r>
      <w:r w:rsidRPr="001A6F73">
        <w:t>:</w:t>
      </w:r>
    </w:p>
    <w:p w:rsidR="007A3DA1" w:rsidRPr="001A6F73" w:rsidRDefault="007A3DA1" w:rsidP="007A3DA1">
      <w:pPr>
        <w:pStyle w:val="paragraph"/>
      </w:pPr>
      <w:r w:rsidRPr="001A6F73">
        <w:tab/>
        <w:t>(a)</w:t>
      </w:r>
      <w:r w:rsidRPr="001A6F73">
        <w:tab/>
        <w:t>at a port; and</w:t>
      </w:r>
    </w:p>
    <w:p w:rsidR="00BE48CF" w:rsidRPr="001A6F73" w:rsidRDefault="007A3DA1" w:rsidP="007A3DA1">
      <w:pPr>
        <w:pStyle w:val="paragraph"/>
      </w:pPr>
      <w:r w:rsidRPr="001A6F73">
        <w:tab/>
        <w:t>(b)</w:t>
      </w:r>
      <w:r w:rsidRPr="001A6F73">
        <w:tab/>
        <w:t xml:space="preserve">capable of handling </w:t>
      </w:r>
      <w:r w:rsidR="001E15E5" w:rsidRPr="001A6F73">
        <w:t>bulk wheat</w:t>
      </w:r>
      <w:r w:rsidRPr="001A6F73">
        <w:t>;</w:t>
      </w:r>
    </w:p>
    <w:p w:rsidR="007A3DA1" w:rsidRPr="001A6F73" w:rsidRDefault="007A3DA1" w:rsidP="007A3DA1">
      <w:pPr>
        <w:pStyle w:val="subsection2"/>
        <w:keepNext/>
        <w:keepLines/>
      </w:pPr>
      <w:r w:rsidRPr="001A6F73">
        <w:t>and includes any of the following facilities</w:t>
      </w:r>
      <w:r w:rsidR="00882530" w:rsidRPr="001A6F73">
        <w:t>,</w:t>
      </w:r>
      <w:r w:rsidR="001E15E5" w:rsidRPr="001A6F73">
        <w:t xml:space="preserve"> situated at the port and associated with the ship loader</w:t>
      </w:r>
      <w:r w:rsidR="00882530" w:rsidRPr="001A6F73">
        <w:t>,</w:t>
      </w:r>
      <w:r w:rsidR="00117AFE" w:rsidRPr="001A6F73">
        <w:t xml:space="preserve"> that are capable of handling bulk wheat</w:t>
      </w:r>
      <w:r w:rsidRPr="001A6F73">
        <w:t>:</w:t>
      </w:r>
    </w:p>
    <w:p w:rsidR="007A3DA1" w:rsidRPr="001A6F73" w:rsidRDefault="007A3DA1" w:rsidP="00BE48CF">
      <w:pPr>
        <w:pStyle w:val="paragraph"/>
      </w:pPr>
      <w:r w:rsidRPr="001A6F73">
        <w:tab/>
        <w:t>(</w:t>
      </w:r>
      <w:r w:rsidR="00C77015" w:rsidRPr="001A6F73">
        <w:t>c</w:t>
      </w:r>
      <w:r w:rsidRPr="001A6F73">
        <w:t>)</w:t>
      </w:r>
      <w:r w:rsidRPr="001A6F73">
        <w:tab/>
        <w:t>an intake/receival facility;</w:t>
      </w:r>
    </w:p>
    <w:p w:rsidR="007A3DA1" w:rsidRPr="001A6F73" w:rsidRDefault="00C77015" w:rsidP="00BE48CF">
      <w:pPr>
        <w:pStyle w:val="paragraph"/>
      </w:pPr>
      <w:r w:rsidRPr="001A6F73">
        <w:tab/>
        <w:t>(d</w:t>
      </w:r>
      <w:r w:rsidR="007A3DA1" w:rsidRPr="001A6F73">
        <w:t>)</w:t>
      </w:r>
      <w:r w:rsidR="007A3DA1" w:rsidRPr="001A6F73">
        <w:tab/>
        <w:t>a grain storage facility;</w:t>
      </w:r>
    </w:p>
    <w:p w:rsidR="007A3DA1" w:rsidRPr="001A6F73" w:rsidRDefault="00C77015" w:rsidP="00BE48CF">
      <w:pPr>
        <w:pStyle w:val="paragraph"/>
      </w:pPr>
      <w:r w:rsidRPr="001A6F73">
        <w:tab/>
        <w:t>(e</w:t>
      </w:r>
      <w:r w:rsidR="007A3DA1" w:rsidRPr="001A6F73">
        <w:t>)</w:t>
      </w:r>
      <w:r w:rsidR="007A3DA1" w:rsidRPr="001A6F73">
        <w:tab/>
        <w:t>a weighing facility;</w:t>
      </w:r>
    </w:p>
    <w:p w:rsidR="00117AFE" w:rsidRPr="001A6F73" w:rsidRDefault="00C77015" w:rsidP="00117AFE">
      <w:pPr>
        <w:pStyle w:val="paragraph"/>
      </w:pPr>
      <w:r w:rsidRPr="001A6F73">
        <w:tab/>
        <w:t>(f</w:t>
      </w:r>
      <w:r w:rsidR="00117AFE" w:rsidRPr="001A6F73">
        <w:t>)</w:t>
      </w:r>
      <w:r w:rsidR="00117AFE" w:rsidRPr="001A6F73">
        <w:tab/>
        <w:t>a shipping belt.</w:t>
      </w:r>
    </w:p>
    <w:p w:rsidR="007A3DA1" w:rsidRPr="001A6F73" w:rsidRDefault="007A3DA1" w:rsidP="007A3DA1">
      <w:pPr>
        <w:pStyle w:val="Definition"/>
      </w:pPr>
      <w:r w:rsidRPr="001A6F73">
        <w:rPr>
          <w:b/>
          <w:i/>
        </w:rPr>
        <w:t>port terminal service</w:t>
      </w:r>
      <w:r w:rsidRPr="001A6F73">
        <w:t xml:space="preserve"> means a service (within the meaning of Part</w:t>
      </w:r>
      <w:r w:rsidR="001A6F73" w:rsidRPr="001A6F73">
        <w:t> </w:t>
      </w:r>
      <w:r w:rsidRPr="001A6F73">
        <w:t xml:space="preserve">IIIA of the </w:t>
      </w:r>
      <w:r w:rsidRPr="001A6F73">
        <w:rPr>
          <w:i/>
        </w:rPr>
        <w:t>Competition and Consumer Act 2010</w:t>
      </w:r>
      <w:r w:rsidRPr="001A6F73">
        <w:t xml:space="preserve">) provided by </w:t>
      </w:r>
      <w:r w:rsidRPr="001A6F73">
        <w:lastRenderedPageBreak/>
        <w:t>means of a port terminal facility, and includes the use of a port terminal facility.</w:t>
      </w:r>
    </w:p>
    <w:p w:rsidR="001A3DED" w:rsidRPr="001A6F73" w:rsidRDefault="001A3DED" w:rsidP="007A3DA1">
      <w:pPr>
        <w:pStyle w:val="Definition"/>
      </w:pPr>
      <w:r w:rsidRPr="001A6F73">
        <w:rPr>
          <w:b/>
          <w:i/>
        </w:rPr>
        <w:t>port terminal service provider</w:t>
      </w:r>
      <w:r w:rsidRPr="001A6F73">
        <w:t xml:space="preserve"> means the owner or operator of a port terminal facility that is used, or is to be used, to provide a port terminal service.</w:t>
      </w:r>
    </w:p>
    <w:p w:rsidR="007A3DA1" w:rsidRPr="001A6F73" w:rsidRDefault="007A3DA1" w:rsidP="007A3DA1">
      <w:pPr>
        <w:pStyle w:val="Definition"/>
      </w:pPr>
      <w:r w:rsidRPr="001A6F73">
        <w:rPr>
          <w:b/>
          <w:i/>
        </w:rPr>
        <w:t>PPS Register</w:t>
      </w:r>
      <w:r w:rsidRPr="001A6F73">
        <w:t xml:space="preserve"> means the Personal Property Securities Register established under section</w:t>
      </w:r>
      <w:r w:rsidR="001A6F73" w:rsidRPr="001A6F73">
        <w:t> </w:t>
      </w:r>
      <w:r w:rsidRPr="001A6F73">
        <w:t xml:space="preserve">147 of the </w:t>
      </w:r>
      <w:r w:rsidRPr="001A6F73">
        <w:rPr>
          <w:i/>
        </w:rPr>
        <w:t>Personal Property Securities Act 2009</w:t>
      </w:r>
      <w:r w:rsidRPr="001A6F73">
        <w:t>.</w:t>
      </w:r>
    </w:p>
    <w:p w:rsidR="007A3DA1" w:rsidRPr="001A6F73" w:rsidRDefault="007A3DA1" w:rsidP="007A3DA1">
      <w:pPr>
        <w:pStyle w:val="Definition"/>
      </w:pPr>
      <w:r w:rsidRPr="001A6F73">
        <w:rPr>
          <w:b/>
          <w:i/>
        </w:rPr>
        <w:t>reference prices</w:t>
      </w:r>
      <w:r w:rsidRPr="001A6F73">
        <w:t xml:space="preserve"> means the standard prices a </w:t>
      </w:r>
      <w:r w:rsidR="00FF12AE" w:rsidRPr="001A6F73">
        <w:t>port terminal service provider</w:t>
      </w:r>
      <w:r w:rsidRPr="001A6F73">
        <w:t xml:space="preserve"> charges for port terminal services on the standard terms at a port </w:t>
      </w:r>
      <w:r w:rsidR="00AE4ECE" w:rsidRPr="001A6F73">
        <w:t>where the</w:t>
      </w:r>
      <w:r w:rsidR="001A3DED" w:rsidRPr="001A6F73">
        <w:t xml:space="preserve"> </w:t>
      </w:r>
      <w:r w:rsidR="00FF12AE" w:rsidRPr="001A6F73">
        <w:t>port terminal service provider</w:t>
      </w:r>
      <w:r w:rsidR="00AE4ECE" w:rsidRPr="001A6F73">
        <w:t xml:space="preserve"> owns or operates a port terminal facility</w:t>
      </w:r>
      <w:r w:rsidR="00837AF3" w:rsidRPr="001A6F73">
        <w:t>.</w:t>
      </w:r>
    </w:p>
    <w:p w:rsidR="007A3DA1" w:rsidRPr="001A6F73" w:rsidRDefault="007A3DA1" w:rsidP="007A3DA1">
      <w:pPr>
        <w:pStyle w:val="Definition"/>
      </w:pPr>
      <w:r w:rsidRPr="001A6F73">
        <w:rPr>
          <w:b/>
          <w:i/>
        </w:rPr>
        <w:t xml:space="preserve">shipping slot </w:t>
      </w:r>
      <w:r w:rsidRPr="001A6F73">
        <w:t>means a specific time allocated for the loading of a ship.</w:t>
      </w:r>
    </w:p>
    <w:p w:rsidR="007A3DA1" w:rsidRPr="001A6F73" w:rsidRDefault="007A3DA1" w:rsidP="007A3DA1">
      <w:pPr>
        <w:pStyle w:val="Definition"/>
      </w:pPr>
      <w:r w:rsidRPr="001A6F73">
        <w:rPr>
          <w:b/>
          <w:i/>
        </w:rPr>
        <w:t>shipping window</w:t>
      </w:r>
      <w:r w:rsidRPr="001A6F73">
        <w:t xml:space="preserve"> means a period</w:t>
      </w:r>
      <w:r w:rsidR="00C667B2" w:rsidRPr="001A6F73">
        <w:t xml:space="preserve"> of a </w:t>
      </w:r>
      <w:r w:rsidRPr="001A6F73">
        <w:t xml:space="preserve">week, fortnight or month, </w:t>
      </w:r>
      <w:r w:rsidR="00C667B2" w:rsidRPr="001A6F73">
        <w:t xml:space="preserve">as </w:t>
      </w:r>
      <w:r w:rsidRPr="001A6F73">
        <w:t xml:space="preserve">determined by </w:t>
      </w:r>
      <w:r w:rsidR="00C667B2" w:rsidRPr="001A6F73">
        <w:t>a</w:t>
      </w:r>
      <w:r w:rsidRPr="001A6F73">
        <w:t xml:space="preserve"> </w:t>
      </w:r>
      <w:r w:rsidR="00FF12AE" w:rsidRPr="001A6F73">
        <w:t>port terminal service provider</w:t>
      </w:r>
      <w:r w:rsidR="00C667B2" w:rsidRPr="001A6F73">
        <w:t>,</w:t>
      </w:r>
      <w:r w:rsidR="003A348C" w:rsidRPr="001A6F73">
        <w:t xml:space="preserve"> in which </w:t>
      </w:r>
      <w:r w:rsidRPr="001A6F73">
        <w:t>shipping slots are allocated to exporters in order to ship bulk wheat.</w:t>
      </w:r>
    </w:p>
    <w:p w:rsidR="00984B2D" w:rsidRPr="001A6F73" w:rsidRDefault="007A3DA1" w:rsidP="007A3DA1">
      <w:pPr>
        <w:pStyle w:val="Definition"/>
      </w:pPr>
      <w:r w:rsidRPr="001A6F73">
        <w:rPr>
          <w:b/>
          <w:i/>
        </w:rPr>
        <w:t>standard terms</w:t>
      </w:r>
      <w:r w:rsidRPr="001A6F73">
        <w:t xml:space="preserve"> means the standard terms and conditions</w:t>
      </w:r>
      <w:r w:rsidR="00C667B2" w:rsidRPr="001A6F73">
        <w:t>,</w:t>
      </w:r>
      <w:r w:rsidRPr="001A6F73">
        <w:t xml:space="preserve"> developed by a </w:t>
      </w:r>
      <w:r w:rsidR="00FF12AE" w:rsidRPr="001A6F73">
        <w:t>port terminal service provider</w:t>
      </w:r>
      <w:r w:rsidR="00C667B2" w:rsidRPr="001A6F73">
        <w:t>,</w:t>
      </w:r>
      <w:r w:rsidRPr="001A6F73">
        <w:t xml:space="preserve"> </w:t>
      </w:r>
      <w:r w:rsidR="003A348C" w:rsidRPr="001A6F73">
        <w:t xml:space="preserve">on which </w:t>
      </w:r>
      <w:r w:rsidRPr="001A6F73">
        <w:t xml:space="preserve">port terminal services are </w:t>
      </w:r>
      <w:r w:rsidR="00C667B2" w:rsidRPr="001A6F73">
        <w:t>made available</w:t>
      </w:r>
      <w:r w:rsidR="00984B2D" w:rsidRPr="001A6F73">
        <w:t xml:space="preserve"> at a port where </w:t>
      </w:r>
      <w:r w:rsidR="00837AF3" w:rsidRPr="001A6F73">
        <w:t>the</w:t>
      </w:r>
      <w:r w:rsidR="00984B2D" w:rsidRPr="001A6F73">
        <w:t xml:space="preserve"> </w:t>
      </w:r>
      <w:r w:rsidR="00FF12AE" w:rsidRPr="001A6F73">
        <w:t>port terminal service provider</w:t>
      </w:r>
      <w:r w:rsidR="00984B2D" w:rsidRPr="001A6F73">
        <w:t xml:space="preserve"> owns or operates a port terminal facility.</w:t>
      </w:r>
    </w:p>
    <w:p w:rsidR="007A3DA1" w:rsidRPr="001A6F73" w:rsidRDefault="00EB6DDB" w:rsidP="00C4131D">
      <w:pPr>
        <w:pStyle w:val="ActHead5"/>
      </w:pPr>
      <w:bookmarkStart w:id="19" w:name="_Toc397955310"/>
      <w:r w:rsidRPr="001A6F73">
        <w:rPr>
          <w:rStyle w:val="CharSectno"/>
        </w:rPr>
        <w:t>4</w:t>
      </w:r>
      <w:r w:rsidR="007A3DA1" w:rsidRPr="001A6F73">
        <w:t xml:space="preserve">  Application of code</w:t>
      </w:r>
      <w:bookmarkEnd w:id="19"/>
    </w:p>
    <w:p w:rsidR="005E2354" w:rsidRPr="001A6F73" w:rsidRDefault="00D65460" w:rsidP="00682888">
      <w:pPr>
        <w:pStyle w:val="SubsectionHead"/>
      </w:pPr>
      <w:r w:rsidRPr="001A6F73">
        <w:t xml:space="preserve">Application of </w:t>
      </w:r>
      <w:r w:rsidR="00A43FF8" w:rsidRPr="001A6F73">
        <w:t xml:space="preserve">certain parts </w:t>
      </w:r>
      <w:r w:rsidR="007866ED" w:rsidRPr="001A6F73">
        <w:t xml:space="preserve">and </w:t>
      </w:r>
      <w:r w:rsidR="00A43FF8" w:rsidRPr="001A6F73">
        <w:t>clauses</w:t>
      </w:r>
    </w:p>
    <w:p w:rsidR="00D02EC5" w:rsidRPr="001A6F73" w:rsidRDefault="00CD1F67" w:rsidP="001024A5">
      <w:pPr>
        <w:pStyle w:val="subsection"/>
      </w:pPr>
      <w:r w:rsidRPr="001A6F73">
        <w:tab/>
        <w:t>(</w:t>
      </w:r>
      <w:r w:rsidR="00A43FF8" w:rsidRPr="001A6F73">
        <w:t>1</w:t>
      </w:r>
      <w:r w:rsidRPr="001A6F73">
        <w:t>)</w:t>
      </w:r>
      <w:r w:rsidRPr="001A6F73">
        <w:tab/>
      </w:r>
      <w:r w:rsidR="00D02EC5" w:rsidRPr="001A6F73">
        <w:t>Part</w:t>
      </w:r>
      <w:r w:rsidR="001A6F73" w:rsidRPr="001A6F73">
        <w:t> </w:t>
      </w:r>
      <w:r w:rsidR="00367B1A" w:rsidRPr="001A6F73">
        <w:t>3</w:t>
      </w:r>
      <w:r w:rsidR="00724D2C" w:rsidRPr="001A6F73">
        <w:t xml:space="preserve"> of this</w:t>
      </w:r>
      <w:r w:rsidR="002E3C1D" w:rsidRPr="001A6F73">
        <w:t xml:space="preserve"> code applies</w:t>
      </w:r>
      <w:r w:rsidR="00D02EC5" w:rsidRPr="001A6F73">
        <w:t xml:space="preserve"> to</w:t>
      </w:r>
      <w:r w:rsidR="00BC4AAD" w:rsidRPr="001A6F73">
        <w:t xml:space="preserve"> the following</w:t>
      </w:r>
      <w:r w:rsidR="00D02EC5" w:rsidRPr="001A6F73">
        <w:t>:</w:t>
      </w:r>
    </w:p>
    <w:p w:rsidR="00D3268B" w:rsidRPr="001A6F73" w:rsidRDefault="0042573E" w:rsidP="00D3268B">
      <w:pPr>
        <w:pStyle w:val="paragraph"/>
      </w:pPr>
      <w:r w:rsidRPr="001A6F73">
        <w:tab/>
        <w:t>(a)</w:t>
      </w:r>
      <w:r w:rsidRPr="001A6F73">
        <w:tab/>
        <w:t xml:space="preserve">an application, and matters relating to the application, </w:t>
      </w:r>
      <w:r w:rsidR="00D3268B" w:rsidRPr="001A6F73">
        <w:t>made on or after 30</w:t>
      </w:r>
      <w:r w:rsidR="001A6F73" w:rsidRPr="001A6F73">
        <w:t> </w:t>
      </w:r>
      <w:r w:rsidR="00D3268B" w:rsidRPr="001A6F73">
        <w:t xml:space="preserve">September 2014 by an exporter to a </w:t>
      </w:r>
      <w:r w:rsidR="00FF12AE" w:rsidRPr="001A6F73">
        <w:t>port terminal service provider</w:t>
      </w:r>
      <w:r w:rsidR="00D3268B" w:rsidRPr="001A6F73">
        <w:t xml:space="preserve"> to enter into</w:t>
      </w:r>
      <w:r w:rsidRPr="001A6F73">
        <w:t>, renew or extend</w:t>
      </w:r>
      <w:r w:rsidR="00D3268B" w:rsidRPr="001A6F73">
        <w:t xml:space="preserve"> an access agreement;</w:t>
      </w:r>
    </w:p>
    <w:p w:rsidR="00D02EC5" w:rsidRPr="001A6F73" w:rsidRDefault="0042573E" w:rsidP="00D02EC5">
      <w:pPr>
        <w:pStyle w:val="paragraph"/>
      </w:pPr>
      <w:r w:rsidRPr="001A6F73">
        <w:tab/>
        <w:t>(b</w:t>
      </w:r>
      <w:r w:rsidR="00D02EC5" w:rsidRPr="001A6F73">
        <w:t>)</w:t>
      </w:r>
      <w:r w:rsidR="00D02EC5" w:rsidRPr="001A6F73">
        <w:tab/>
        <w:t xml:space="preserve">an access agreement </w:t>
      </w:r>
      <w:r w:rsidR="00993127" w:rsidRPr="001A6F73">
        <w:t xml:space="preserve">that is </w:t>
      </w:r>
      <w:r w:rsidR="00D02EC5" w:rsidRPr="001A6F73">
        <w:t>entered into on or after 30</w:t>
      </w:r>
      <w:r w:rsidR="001A6F73" w:rsidRPr="001A6F73">
        <w:t> </w:t>
      </w:r>
      <w:r w:rsidR="00BC4AAD" w:rsidRPr="001A6F73">
        <w:t>September 2014;</w:t>
      </w:r>
    </w:p>
    <w:p w:rsidR="00A62066" w:rsidRPr="001A6F73" w:rsidRDefault="0042573E" w:rsidP="005067BF">
      <w:pPr>
        <w:pStyle w:val="paragraph"/>
      </w:pPr>
      <w:r w:rsidRPr="001A6F73">
        <w:lastRenderedPageBreak/>
        <w:tab/>
        <w:t>(c</w:t>
      </w:r>
      <w:r w:rsidR="00D02EC5" w:rsidRPr="001A6F73">
        <w:t>)</w:t>
      </w:r>
      <w:r w:rsidR="00D02EC5" w:rsidRPr="001A6F73">
        <w:tab/>
        <w:t xml:space="preserve">an access agreement </w:t>
      </w:r>
      <w:r w:rsidR="00993127" w:rsidRPr="001A6F73">
        <w:t xml:space="preserve">that was </w:t>
      </w:r>
      <w:r w:rsidR="00D02EC5" w:rsidRPr="001A6F73">
        <w:t>entered into before 30</w:t>
      </w:r>
      <w:r w:rsidR="001A6F73" w:rsidRPr="001A6F73">
        <w:t> </w:t>
      </w:r>
      <w:r w:rsidR="009F6CFD" w:rsidRPr="001A6F73">
        <w:t>September 2014</w:t>
      </w:r>
      <w:r w:rsidR="00993127" w:rsidRPr="001A6F73">
        <w:t xml:space="preserve"> </w:t>
      </w:r>
      <w:r w:rsidR="00BC4AAD" w:rsidRPr="001A6F73">
        <w:t xml:space="preserve">and </w:t>
      </w:r>
      <w:r w:rsidR="00993127" w:rsidRPr="001A6F73">
        <w:t xml:space="preserve">that </w:t>
      </w:r>
      <w:r w:rsidR="00D02EC5" w:rsidRPr="001A6F73">
        <w:t>is renewed or extended on or after 30</w:t>
      </w:r>
      <w:r w:rsidR="001A6F73" w:rsidRPr="001A6F73">
        <w:t> </w:t>
      </w:r>
      <w:r w:rsidR="00D02EC5" w:rsidRPr="001A6F73">
        <w:t>September 2014</w:t>
      </w:r>
      <w:r w:rsidR="00993127" w:rsidRPr="001A6F73">
        <w:t>.</w:t>
      </w:r>
    </w:p>
    <w:p w:rsidR="007F35D2" w:rsidRPr="001A6F73" w:rsidRDefault="00A62066" w:rsidP="00BC4AAD">
      <w:pPr>
        <w:pStyle w:val="subsection"/>
      </w:pPr>
      <w:r w:rsidRPr="001A6F73">
        <w:tab/>
      </w:r>
      <w:r w:rsidR="00950AF8" w:rsidRPr="001A6F73">
        <w:t>(</w:t>
      </w:r>
      <w:r w:rsidR="00A43FF8" w:rsidRPr="001A6F73">
        <w:t>2</w:t>
      </w:r>
      <w:r w:rsidR="00950AF8" w:rsidRPr="001A6F73">
        <w:t>)</w:t>
      </w:r>
      <w:r w:rsidR="00950AF8" w:rsidRPr="001A6F73">
        <w:tab/>
      </w:r>
      <w:r w:rsidR="000F07B3" w:rsidRPr="001A6F73">
        <w:t>Clause</w:t>
      </w:r>
      <w:r w:rsidR="001A6F73" w:rsidRPr="001A6F73">
        <w:t> </w:t>
      </w:r>
      <w:r w:rsidR="000F07B3" w:rsidRPr="001A6F73">
        <w:t xml:space="preserve">31 </w:t>
      </w:r>
      <w:r w:rsidR="00950AF8" w:rsidRPr="001A6F73">
        <w:t xml:space="preserve">of this code </w:t>
      </w:r>
      <w:r w:rsidR="005D1F2C" w:rsidRPr="001A6F73">
        <w:t>(record</w:t>
      </w:r>
      <w:r w:rsidR="001A6F73">
        <w:noBreakHyphen/>
      </w:r>
      <w:r w:rsidR="005D1F2C" w:rsidRPr="001A6F73">
        <w:t>keeping in relation to</w:t>
      </w:r>
      <w:r w:rsidR="007F35D2" w:rsidRPr="001A6F73">
        <w:t xml:space="preserve"> access</w:t>
      </w:r>
      <w:r w:rsidR="005D1F2C" w:rsidRPr="001A6F73">
        <w:t xml:space="preserve"> agreements) </w:t>
      </w:r>
      <w:r w:rsidR="00950AF8" w:rsidRPr="001A6F73">
        <w:t>applies to</w:t>
      </w:r>
      <w:r w:rsidR="007F35D2" w:rsidRPr="001A6F73">
        <w:t xml:space="preserve"> the following access agreements:</w:t>
      </w:r>
    </w:p>
    <w:p w:rsidR="007F35D2" w:rsidRPr="001A6F73" w:rsidRDefault="007F35D2" w:rsidP="007F35D2">
      <w:pPr>
        <w:pStyle w:val="paragraph"/>
      </w:pPr>
      <w:r w:rsidRPr="001A6F73">
        <w:tab/>
        <w:t>(a)</w:t>
      </w:r>
      <w:r w:rsidRPr="001A6F73">
        <w:tab/>
        <w:t xml:space="preserve">an access agreement referred to in </w:t>
      </w:r>
      <w:r w:rsidR="001A6F73" w:rsidRPr="001A6F73">
        <w:t>subclause (</w:t>
      </w:r>
      <w:r w:rsidRPr="001A6F73">
        <w:t>1);</w:t>
      </w:r>
    </w:p>
    <w:p w:rsidR="00950AF8" w:rsidRPr="001A6F73" w:rsidRDefault="007F35D2" w:rsidP="007F35D2">
      <w:pPr>
        <w:pStyle w:val="paragraph"/>
      </w:pPr>
      <w:r w:rsidRPr="001A6F73">
        <w:tab/>
        <w:t>(b)</w:t>
      </w:r>
      <w:r w:rsidRPr="001A6F73">
        <w:tab/>
      </w:r>
      <w:r w:rsidR="00950AF8" w:rsidRPr="001A6F73">
        <w:t>an access agreement that was entered into before 30</w:t>
      </w:r>
      <w:r w:rsidR="001A6F73" w:rsidRPr="001A6F73">
        <w:t> </w:t>
      </w:r>
      <w:r w:rsidR="00950AF8" w:rsidRPr="001A6F73">
        <w:t>September 2014 that is varied on or after 30</w:t>
      </w:r>
      <w:r w:rsidR="001A6F73" w:rsidRPr="001A6F73">
        <w:t> </w:t>
      </w:r>
      <w:r w:rsidR="00950AF8" w:rsidRPr="001A6F73">
        <w:t>September 2014.</w:t>
      </w:r>
    </w:p>
    <w:p w:rsidR="009E557F" w:rsidRPr="001A6F73" w:rsidRDefault="00950AF8" w:rsidP="00BC4AAD">
      <w:pPr>
        <w:pStyle w:val="subsection"/>
      </w:pPr>
      <w:r w:rsidRPr="001A6F73">
        <w:tab/>
        <w:t>(</w:t>
      </w:r>
      <w:r w:rsidR="00A43FF8" w:rsidRPr="001A6F73">
        <w:t>3</w:t>
      </w:r>
      <w:r w:rsidR="009E557F" w:rsidRPr="001A6F73">
        <w:t>)</w:t>
      </w:r>
      <w:r w:rsidR="009E557F" w:rsidRPr="001A6F73">
        <w:tab/>
        <w:t>Clause</w:t>
      </w:r>
      <w:r w:rsidR="001A6F73" w:rsidRPr="001A6F73">
        <w:t> </w:t>
      </w:r>
      <w:r w:rsidR="00EB6DDB" w:rsidRPr="001A6F73">
        <w:t>32</w:t>
      </w:r>
      <w:r w:rsidR="00724D2C" w:rsidRPr="001A6F73">
        <w:t xml:space="preserve"> of this</w:t>
      </w:r>
      <w:r w:rsidR="009E557F" w:rsidRPr="001A6F73">
        <w:t xml:space="preserve"> code (record</w:t>
      </w:r>
      <w:r w:rsidR="001A6F73">
        <w:noBreakHyphen/>
      </w:r>
      <w:r w:rsidR="009E557F" w:rsidRPr="001A6F73">
        <w:t xml:space="preserve">keeping in relation to disputes) applies to disputes about access agreements referred to in </w:t>
      </w:r>
      <w:r w:rsidR="001A6F73" w:rsidRPr="001A6F73">
        <w:t>subclause (</w:t>
      </w:r>
      <w:r w:rsidR="009E557F" w:rsidRPr="001A6F73">
        <w:t>1).</w:t>
      </w:r>
    </w:p>
    <w:p w:rsidR="00FE46E9" w:rsidRPr="001A6F73" w:rsidRDefault="005D1F2C" w:rsidP="00FE46E9">
      <w:pPr>
        <w:pStyle w:val="subsection"/>
      </w:pPr>
      <w:r w:rsidRPr="001A6F73">
        <w:tab/>
      </w:r>
      <w:r w:rsidR="00A43FF8" w:rsidRPr="001A6F73">
        <w:t>(4</w:t>
      </w:r>
      <w:r w:rsidRPr="001A6F73">
        <w:t>)</w:t>
      </w:r>
      <w:r w:rsidRPr="001A6F73">
        <w:tab/>
        <w:t>Clause</w:t>
      </w:r>
      <w:r w:rsidR="001A6F73" w:rsidRPr="001A6F73">
        <w:t> </w:t>
      </w:r>
      <w:r w:rsidRPr="001A6F73">
        <w:t>33 of this code (record</w:t>
      </w:r>
      <w:r w:rsidR="001A6F73">
        <w:noBreakHyphen/>
      </w:r>
      <w:r w:rsidRPr="001A6F73">
        <w:t>keeping in relation to port terminal services acquired by an exporter) applies to</w:t>
      </w:r>
      <w:r w:rsidR="00D65460" w:rsidRPr="001A6F73">
        <w:t xml:space="preserve"> a port terminal service acquired by an exporter on or after 30</w:t>
      </w:r>
      <w:r w:rsidR="001A6F73" w:rsidRPr="001A6F73">
        <w:t> </w:t>
      </w:r>
      <w:r w:rsidR="00D65460" w:rsidRPr="001A6F73">
        <w:t>September 2014</w:t>
      </w:r>
      <w:r w:rsidR="00C03C8C" w:rsidRPr="001A6F73">
        <w:t xml:space="preserve"> in accordance with the terms of</w:t>
      </w:r>
      <w:r w:rsidR="00FE46E9" w:rsidRPr="001A6F73">
        <w:t xml:space="preserve"> an access agreement referred to in </w:t>
      </w:r>
      <w:r w:rsidR="001A6F73" w:rsidRPr="001A6F73">
        <w:t>subclause (</w:t>
      </w:r>
      <w:r w:rsidR="00FE46E9" w:rsidRPr="001A6F73">
        <w:t xml:space="preserve">1) or </w:t>
      </w:r>
      <w:r w:rsidR="001A6F73" w:rsidRPr="001A6F73">
        <w:t>paragraph (</w:t>
      </w:r>
      <w:r w:rsidR="00FE46E9" w:rsidRPr="001A6F73">
        <w:t>2)(b).</w:t>
      </w:r>
    </w:p>
    <w:p w:rsidR="00A43FF8" w:rsidRPr="001A6F73" w:rsidRDefault="00A43FF8" w:rsidP="00BC4AAD">
      <w:pPr>
        <w:pStyle w:val="subsection"/>
      </w:pPr>
      <w:r w:rsidRPr="001A6F73">
        <w:tab/>
        <w:t>(5)</w:t>
      </w:r>
      <w:r w:rsidRPr="001A6F73">
        <w:tab/>
        <w:t>For the purposes of applying Part</w:t>
      </w:r>
      <w:r w:rsidR="001A6F73" w:rsidRPr="001A6F73">
        <w:t> </w:t>
      </w:r>
      <w:r w:rsidRPr="001A6F73">
        <w:t>3 of this code to the renewal or extension of an access agreement, references in that Part to an application to enter into an access agreement or negotiations about the terms of an access agreement are to be read as references to an application to renew or extend an access agreement, or an application to enter into negotiations about the terms on which an access agreement is renewed or extended, as the case requires.</w:t>
      </w:r>
    </w:p>
    <w:p w:rsidR="00A43FF8" w:rsidRPr="001A6F73" w:rsidRDefault="00A43FF8" w:rsidP="00A43FF8">
      <w:pPr>
        <w:pStyle w:val="SubsectionHead"/>
      </w:pPr>
      <w:r w:rsidRPr="001A6F73">
        <w:t>Port terminal service providers to which the code or parts of the code do not immediately apply</w:t>
      </w:r>
    </w:p>
    <w:p w:rsidR="00A43FF8" w:rsidRPr="001A6F73" w:rsidRDefault="00A43FF8" w:rsidP="00A43FF8">
      <w:pPr>
        <w:pStyle w:val="subsection"/>
      </w:pPr>
      <w:r w:rsidRPr="001A6F73">
        <w:tab/>
        <w:t>(6)</w:t>
      </w:r>
      <w:r w:rsidRPr="001A6F73">
        <w:tab/>
        <w:t xml:space="preserve">This code does not apply to a port terminal service provider </w:t>
      </w:r>
      <w:r w:rsidR="00B73F1C" w:rsidRPr="001A6F73">
        <w:t>in respect of po</w:t>
      </w:r>
      <w:r w:rsidR="001F2201" w:rsidRPr="001A6F73">
        <w:t xml:space="preserve">rt terminal services provided </w:t>
      </w:r>
      <w:r w:rsidR="00D75F84" w:rsidRPr="001A6F73">
        <w:t>by means of</w:t>
      </w:r>
      <w:r w:rsidR="00B73F1C" w:rsidRPr="001A6F73">
        <w:t xml:space="preserve"> a particular port </w:t>
      </w:r>
      <w:r w:rsidR="001F2201" w:rsidRPr="001A6F73">
        <w:t xml:space="preserve">terminal service facility </w:t>
      </w:r>
      <w:r w:rsidRPr="001A6F73">
        <w:t>until 1</w:t>
      </w:r>
      <w:r w:rsidR="001A6F73" w:rsidRPr="001A6F73">
        <w:t> </w:t>
      </w:r>
      <w:r w:rsidRPr="001A6F73">
        <w:t>October 2015 if, immediately before 30</w:t>
      </w:r>
      <w:r w:rsidR="001A6F73" w:rsidRPr="001A6F73">
        <w:t> </w:t>
      </w:r>
      <w:r w:rsidRPr="001A6F73">
        <w:t>September 2014:</w:t>
      </w:r>
    </w:p>
    <w:p w:rsidR="00A43FF8" w:rsidRPr="001A6F73" w:rsidRDefault="00A43FF8" w:rsidP="00A43FF8">
      <w:pPr>
        <w:pStyle w:val="paragraph"/>
      </w:pPr>
      <w:r w:rsidRPr="001A6F73">
        <w:tab/>
        <w:t>(a)</w:t>
      </w:r>
      <w:r w:rsidRPr="001A6F73">
        <w:tab/>
        <w:t>the port terminal service provider was providing</w:t>
      </w:r>
      <w:r w:rsidR="00D75F26" w:rsidRPr="001A6F73">
        <w:t>, or intended to provide,</w:t>
      </w:r>
      <w:r w:rsidR="00B73F1C" w:rsidRPr="001A6F73">
        <w:t xml:space="preserve"> </w:t>
      </w:r>
      <w:r w:rsidR="00651722" w:rsidRPr="001A6F73">
        <w:t>those services by means of that facility</w:t>
      </w:r>
      <w:r w:rsidRPr="001A6F73">
        <w:t>; and</w:t>
      </w:r>
    </w:p>
    <w:p w:rsidR="00A43FF8" w:rsidRPr="001A6F73" w:rsidRDefault="00A43FF8" w:rsidP="00A43FF8">
      <w:pPr>
        <w:pStyle w:val="paragraph"/>
      </w:pPr>
      <w:r w:rsidRPr="001A6F73">
        <w:tab/>
        <w:t>(b)</w:t>
      </w:r>
      <w:r w:rsidRPr="001A6F73">
        <w:tab/>
        <w:t>there was no undertaking given by the provider</w:t>
      </w:r>
      <w:r w:rsidR="0081321A" w:rsidRPr="001A6F73">
        <w:t>,</w:t>
      </w:r>
      <w:r w:rsidRPr="001A6F73">
        <w:t xml:space="preserve"> and accepted by the ACCC</w:t>
      </w:r>
      <w:r w:rsidR="0081321A" w:rsidRPr="001A6F73">
        <w:t>,</w:t>
      </w:r>
      <w:r w:rsidRPr="001A6F73">
        <w:t xml:space="preserve"> in force in relation to those services</w:t>
      </w:r>
      <w:r w:rsidR="00375C10" w:rsidRPr="001A6F73">
        <w:t xml:space="preserve"> provided by means of that facility</w:t>
      </w:r>
      <w:r w:rsidRPr="001A6F73">
        <w:t>.</w:t>
      </w:r>
    </w:p>
    <w:p w:rsidR="00D75F84" w:rsidRPr="001A6F73" w:rsidRDefault="00C94F8A" w:rsidP="00D75F84">
      <w:pPr>
        <w:pStyle w:val="subsection"/>
      </w:pPr>
      <w:r w:rsidRPr="001A6F73">
        <w:lastRenderedPageBreak/>
        <w:tab/>
        <w:t>(7</w:t>
      </w:r>
      <w:r w:rsidR="00D75F84" w:rsidRPr="001A6F73">
        <w:t>)</w:t>
      </w:r>
      <w:r w:rsidR="00D75F84" w:rsidRPr="001A6F73">
        <w:tab/>
      </w:r>
      <w:r w:rsidR="006A492A" w:rsidRPr="001A6F73">
        <w:t>To the extent that</w:t>
      </w:r>
      <w:r w:rsidR="00D75F84" w:rsidRPr="001A6F73">
        <w:t>, because of</w:t>
      </w:r>
      <w:r w:rsidR="00262125" w:rsidRPr="001A6F73">
        <w:t xml:space="preserve"> the operation of </w:t>
      </w:r>
      <w:r w:rsidR="001A6F73" w:rsidRPr="001A6F73">
        <w:t>subclause (</w:t>
      </w:r>
      <w:r w:rsidR="00262125" w:rsidRPr="001A6F73">
        <w:t>6)</w:t>
      </w:r>
      <w:r w:rsidR="004A0132" w:rsidRPr="001A6F73">
        <w:t xml:space="preserve">, </w:t>
      </w:r>
      <w:r w:rsidR="00D75F84" w:rsidRPr="001A6F73">
        <w:t xml:space="preserve">this code </w:t>
      </w:r>
      <w:r w:rsidR="006A492A" w:rsidRPr="001A6F73">
        <w:t>starts</w:t>
      </w:r>
      <w:r w:rsidR="00D75F84" w:rsidRPr="001A6F73">
        <w:t xml:space="preserve"> to apply to a port terminal service provider</w:t>
      </w:r>
      <w:r w:rsidR="006A492A" w:rsidRPr="001A6F73">
        <w:t xml:space="preserve"> on </w:t>
      </w:r>
      <w:r w:rsidR="0040464A" w:rsidRPr="001A6F73">
        <w:t>1</w:t>
      </w:r>
      <w:r w:rsidR="001A6F73" w:rsidRPr="001A6F73">
        <w:t> </w:t>
      </w:r>
      <w:r w:rsidR="0040464A" w:rsidRPr="001A6F73">
        <w:t>October</w:t>
      </w:r>
      <w:r w:rsidR="006A492A" w:rsidRPr="001A6F73">
        <w:t xml:space="preserve"> </w:t>
      </w:r>
      <w:r w:rsidR="0040464A" w:rsidRPr="001A6F73">
        <w:t>2015</w:t>
      </w:r>
      <w:r w:rsidR="006A492A" w:rsidRPr="001A6F73">
        <w:t xml:space="preserve">, references in </w:t>
      </w:r>
      <w:r w:rsidR="001A6F73" w:rsidRPr="001A6F73">
        <w:t>subclauses (</w:t>
      </w:r>
      <w:r w:rsidR="006A492A" w:rsidRPr="001A6F73">
        <w:t>1), (2) and (4) to 30</w:t>
      </w:r>
      <w:r w:rsidR="001A6F73" w:rsidRPr="001A6F73">
        <w:t> </w:t>
      </w:r>
      <w:r w:rsidR="006A492A" w:rsidRPr="001A6F73">
        <w:t xml:space="preserve">September 2014 are taken to be references to </w:t>
      </w:r>
      <w:r w:rsidR="00504AE2" w:rsidRPr="001A6F73">
        <w:t>1</w:t>
      </w:r>
      <w:r w:rsidR="001A6F73" w:rsidRPr="001A6F73">
        <w:t> </w:t>
      </w:r>
      <w:r w:rsidR="00504AE2" w:rsidRPr="001A6F73">
        <w:t>October 2015</w:t>
      </w:r>
      <w:r w:rsidR="006A492A" w:rsidRPr="001A6F73">
        <w:t>.</w:t>
      </w:r>
    </w:p>
    <w:p w:rsidR="00C94F8A" w:rsidRPr="001A6F73" w:rsidRDefault="00D75F26" w:rsidP="00D75F84">
      <w:pPr>
        <w:pStyle w:val="subsection"/>
      </w:pPr>
      <w:r w:rsidRPr="001A6F73">
        <w:tab/>
        <w:t>(8)</w:t>
      </w:r>
      <w:r w:rsidRPr="001A6F73">
        <w:tab/>
        <w:t>If a determination</w:t>
      </w:r>
      <w:r w:rsidR="003B1EA5" w:rsidRPr="001A6F73">
        <w:t xml:space="preserve"> under </w:t>
      </w:r>
      <w:r w:rsidR="00C94F8A" w:rsidRPr="001A6F73">
        <w:t>clause</w:t>
      </w:r>
      <w:r w:rsidR="001A6F73" w:rsidRPr="001A6F73">
        <w:t> </w:t>
      </w:r>
      <w:r w:rsidR="00C94F8A" w:rsidRPr="001A6F73">
        <w:t>5</w:t>
      </w:r>
      <w:r w:rsidR="001838C6" w:rsidRPr="001A6F73">
        <w:t xml:space="preserve"> </w:t>
      </w:r>
      <w:r w:rsidR="00C94F8A" w:rsidRPr="001A6F73">
        <w:t>that a port terminal service provider is an exempt service provider of port terminal services provided by means of a specified port terminal facility</w:t>
      </w:r>
      <w:r w:rsidRPr="001A6F73">
        <w:t xml:space="preserve"> is in force</w:t>
      </w:r>
      <w:r w:rsidR="00C94F8A" w:rsidRPr="001A6F73">
        <w:t>, Parts</w:t>
      </w:r>
      <w:r w:rsidR="001A6F73" w:rsidRPr="001A6F73">
        <w:t> </w:t>
      </w:r>
      <w:r w:rsidR="00C94F8A" w:rsidRPr="001A6F73">
        <w:t>3 to 6 of this code do not apply to the provider in relation to the port terminal services provided by means of the sp</w:t>
      </w:r>
      <w:r w:rsidR="00675368" w:rsidRPr="001A6F73">
        <w:t>ecified port terminal facility.</w:t>
      </w:r>
    </w:p>
    <w:p w:rsidR="002178BC" w:rsidRPr="001A6F73" w:rsidRDefault="002178BC" w:rsidP="002178BC">
      <w:pPr>
        <w:pStyle w:val="ActHead5"/>
      </w:pPr>
      <w:bookmarkStart w:id="20" w:name="_Toc397955311"/>
      <w:r w:rsidRPr="001A6F73">
        <w:rPr>
          <w:rStyle w:val="CharSectno"/>
        </w:rPr>
        <w:t>5</w:t>
      </w:r>
      <w:r w:rsidRPr="001A6F73">
        <w:t xml:space="preserve">  Exempt service providers</w:t>
      </w:r>
      <w:bookmarkEnd w:id="20"/>
    </w:p>
    <w:p w:rsidR="002178BC" w:rsidRPr="001A6F73" w:rsidRDefault="002178BC" w:rsidP="002178BC">
      <w:pPr>
        <w:pStyle w:val="subsection"/>
      </w:pPr>
      <w:r w:rsidRPr="001A6F73">
        <w:tab/>
        <w:t>(1)</w:t>
      </w:r>
      <w:r w:rsidRPr="001A6F73">
        <w:tab/>
        <w:t xml:space="preserve">The </w:t>
      </w:r>
      <w:r w:rsidR="00B10070" w:rsidRPr="001A6F73">
        <w:t>Minister administering section</w:t>
      </w:r>
      <w:r w:rsidR="001A6F73" w:rsidRPr="001A6F73">
        <w:t> </w:t>
      </w:r>
      <w:r w:rsidR="00B10070" w:rsidRPr="001A6F73">
        <w:t xml:space="preserve">1 of the </w:t>
      </w:r>
      <w:r w:rsidR="00B10070" w:rsidRPr="001A6F73">
        <w:rPr>
          <w:i/>
        </w:rPr>
        <w:t>Farm Household Support Act 2014</w:t>
      </w:r>
      <w:r w:rsidRPr="001A6F73">
        <w:t xml:space="preserve"> </w:t>
      </w:r>
      <w:r w:rsidR="00B10070" w:rsidRPr="001A6F73">
        <w:t xml:space="preserve">(the </w:t>
      </w:r>
      <w:r w:rsidR="00B10070" w:rsidRPr="001A6F73">
        <w:rPr>
          <w:b/>
          <w:i/>
        </w:rPr>
        <w:t>relevant Minister</w:t>
      </w:r>
      <w:r w:rsidR="00B10070" w:rsidRPr="001A6F73">
        <w:t xml:space="preserve">) </w:t>
      </w:r>
      <w:r w:rsidRPr="001A6F73">
        <w:t xml:space="preserve">may, in writing, determine that a port terminal service provider is an exempt service provider of port terminal services provided by means of a specified port terminal facility if the </w:t>
      </w:r>
      <w:r w:rsidR="00B10070" w:rsidRPr="001A6F73">
        <w:t>relevant Minister</w:t>
      </w:r>
      <w:r w:rsidRPr="001A6F73">
        <w:t xml:space="preserve"> is satisfied that the provider is a cooperative that has:</w:t>
      </w:r>
    </w:p>
    <w:p w:rsidR="002178BC" w:rsidRPr="001A6F73" w:rsidRDefault="002178BC" w:rsidP="002178BC">
      <w:pPr>
        <w:pStyle w:val="paragraph"/>
      </w:pPr>
      <w:r w:rsidRPr="001A6F73">
        <w:tab/>
        <w:t>(a)</w:t>
      </w:r>
      <w:r w:rsidRPr="001A6F73">
        <w:tab/>
        <w:t>grain</w:t>
      </w:r>
      <w:r w:rsidR="001A6F73">
        <w:noBreakHyphen/>
      </w:r>
      <w:r w:rsidRPr="001A6F73">
        <w:t>producer members who represent at least a two</w:t>
      </w:r>
      <w:r w:rsidR="001A6F73">
        <w:noBreakHyphen/>
      </w:r>
      <w:r w:rsidRPr="001A6F73">
        <w:t>thirds majority of grain</w:t>
      </w:r>
      <w:r w:rsidR="001A6F73">
        <w:noBreakHyphen/>
      </w:r>
      <w:r w:rsidRPr="001A6F73">
        <w:t>producers within the grain catchment area for the port concerned; and</w:t>
      </w:r>
    </w:p>
    <w:p w:rsidR="002178BC" w:rsidRPr="001A6F73" w:rsidRDefault="002178BC" w:rsidP="002178BC">
      <w:pPr>
        <w:pStyle w:val="paragraph"/>
      </w:pPr>
      <w:r w:rsidRPr="001A6F73">
        <w:tab/>
        <w:t>(b)</w:t>
      </w:r>
      <w:r w:rsidRPr="001A6F73">
        <w:tab/>
        <w:t>sound governance arrangements that ensure the business functions efficiently and that allow its members to influence the management decisions of the cooperative.</w:t>
      </w:r>
    </w:p>
    <w:p w:rsidR="002178BC" w:rsidRPr="001A6F73" w:rsidRDefault="002178BC" w:rsidP="002178BC">
      <w:pPr>
        <w:pStyle w:val="subsection"/>
      </w:pPr>
      <w:r w:rsidRPr="001A6F73">
        <w:tab/>
        <w:t>(2)</w:t>
      </w:r>
      <w:r w:rsidRPr="001A6F73">
        <w:tab/>
        <w:t>The ACCC may, in writing, determine that a port terminal service provider is an exempt service provider of port terminal services provided by means of a specified port terminal facility.</w:t>
      </w:r>
    </w:p>
    <w:p w:rsidR="002178BC" w:rsidRPr="001A6F73" w:rsidRDefault="002178BC" w:rsidP="002178BC">
      <w:pPr>
        <w:pStyle w:val="notetext"/>
      </w:pPr>
      <w:r w:rsidRPr="001A6F73">
        <w:t>Note:</w:t>
      </w:r>
      <w:r w:rsidRPr="001A6F73">
        <w:tab/>
        <w:t>The ACCC may, at a particular time, make a determination in respect of a port terminal service provider even if the code does not apply to the provider at that time because of the operation of subclause</w:t>
      </w:r>
      <w:r w:rsidR="001A6F73" w:rsidRPr="001A6F73">
        <w:t> </w:t>
      </w:r>
      <w:r w:rsidRPr="001A6F73">
        <w:t>4(6).</w:t>
      </w:r>
    </w:p>
    <w:p w:rsidR="002178BC" w:rsidRPr="001A6F73" w:rsidRDefault="002178BC" w:rsidP="002178BC">
      <w:pPr>
        <w:pStyle w:val="subsection"/>
      </w:pPr>
      <w:r w:rsidRPr="001A6F73">
        <w:tab/>
        <w:t>(3)</w:t>
      </w:r>
      <w:r w:rsidRPr="001A6F73">
        <w:tab/>
        <w:t xml:space="preserve">In making a determination under </w:t>
      </w:r>
      <w:r w:rsidR="001A6F73" w:rsidRPr="001A6F73">
        <w:t>subclause (</w:t>
      </w:r>
      <w:r w:rsidRPr="001A6F73">
        <w:t>2), the ACCC must have regard to the following matters:</w:t>
      </w:r>
    </w:p>
    <w:p w:rsidR="002178BC" w:rsidRPr="001A6F73" w:rsidRDefault="002178BC" w:rsidP="002178BC">
      <w:pPr>
        <w:pStyle w:val="paragraph"/>
      </w:pPr>
      <w:r w:rsidRPr="001A6F73">
        <w:tab/>
        <w:t>(a)</w:t>
      </w:r>
      <w:r w:rsidRPr="001A6F73">
        <w:tab/>
        <w:t>the legitimate business interests of the port terminal service provider;</w:t>
      </w:r>
    </w:p>
    <w:p w:rsidR="002178BC" w:rsidRPr="001A6F73" w:rsidRDefault="002178BC" w:rsidP="002178BC">
      <w:pPr>
        <w:pStyle w:val="paragraph"/>
      </w:pPr>
      <w:r w:rsidRPr="001A6F73">
        <w:tab/>
        <w:t>(b)</w:t>
      </w:r>
      <w:r w:rsidRPr="001A6F73">
        <w:tab/>
        <w:t>the public interest, including the public interest in having competition in markets;</w:t>
      </w:r>
    </w:p>
    <w:p w:rsidR="002178BC" w:rsidRPr="001A6F73" w:rsidRDefault="002178BC" w:rsidP="002178BC">
      <w:pPr>
        <w:pStyle w:val="paragraph"/>
      </w:pPr>
      <w:r w:rsidRPr="001A6F73">
        <w:lastRenderedPageBreak/>
        <w:tab/>
        <w:t>(c)</w:t>
      </w:r>
      <w:r w:rsidRPr="001A6F73">
        <w:tab/>
        <w:t>the interests of exporters who may require access to port terminal services;</w:t>
      </w:r>
    </w:p>
    <w:p w:rsidR="002178BC" w:rsidRPr="001A6F73" w:rsidRDefault="002178BC" w:rsidP="002178BC">
      <w:pPr>
        <w:pStyle w:val="paragraph"/>
      </w:pPr>
      <w:r w:rsidRPr="001A6F73">
        <w:tab/>
        <w:t>(d)</w:t>
      </w:r>
      <w:r w:rsidRPr="001A6F73">
        <w:tab/>
        <w:t>the likelihood that exporters of bulk wheat will have fair and transparent access to port terminal services;</w:t>
      </w:r>
    </w:p>
    <w:p w:rsidR="002178BC" w:rsidRPr="001A6F73" w:rsidRDefault="002178BC" w:rsidP="002178BC">
      <w:pPr>
        <w:pStyle w:val="paragraph"/>
      </w:pPr>
      <w:r w:rsidRPr="001A6F73">
        <w:tab/>
        <w:t>(e)</w:t>
      </w:r>
      <w:r w:rsidRPr="001A6F73">
        <w:tab/>
        <w:t>the promotion of the economically efficient operation and use of the port terminal facility;</w:t>
      </w:r>
    </w:p>
    <w:p w:rsidR="002178BC" w:rsidRPr="001A6F73" w:rsidRDefault="002178BC" w:rsidP="002178BC">
      <w:pPr>
        <w:pStyle w:val="paragraph"/>
      </w:pPr>
      <w:r w:rsidRPr="001A6F73">
        <w:tab/>
        <w:t>(f)</w:t>
      </w:r>
      <w:r w:rsidRPr="001A6F73">
        <w:tab/>
        <w:t>the promotion of efficient investment in port terminal facilities;</w:t>
      </w:r>
    </w:p>
    <w:p w:rsidR="002178BC" w:rsidRPr="001A6F73" w:rsidRDefault="002178BC" w:rsidP="002178BC">
      <w:pPr>
        <w:pStyle w:val="paragraph"/>
      </w:pPr>
      <w:r w:rsidRPr="001A6F73">
        <w:tab/>
        <w:t>(g)</w:t>
      </w:r>
      <w:r w:rsidRPr="001A6F73">
        <w:tab/>
        <w:t>the promotion of competition in upstream and downstream markets;</w:t>
      </w:r>
    </w:p>
    <w:p w:rsidR="002178BC" w:rsidRPr="001A6F73" w:rsidRDefault="002178BC" w:rsidP="002178BC">
      <w:pPr>
        <w:pStyle w:val="paragraph"/>
      </w:pPr>
      <w:r w:rsidRPr="001A6F73">
        <w:tab/>
        <w:t>(h)</w:t>
      </w:r>
      <w:r w:rsidRPr="001A6F73">
        <w:tab/>
        <w:t>whether the port terminal service provider is an exporter or an associated entity of an exporter;</w:t>
      </w:r>
    </w:p>
    <w:p w:rsidR="002178BC" w:rsidRPr="001A6F73" w:rsidRDefault="002178BC" w:rsidP="002178BC">
      <w:pPr>
        <w:pStyle w:val="paragraph"/>
      </w:pPr>
      <w:r w:rsidRPr="001A6F73">
        <w:tab/>
        <w:t>(i)</w:t>
      </w:r>
      <w:r w:rsidRPr="001A6F73">
        <w:tab/>
        <w:t>whether there is already an exempt service provider within the grain catchment area for the port concerned;</w:t>
      </w:r>
    </w:p>
    <w:p w:rsidR="002178BC" w:rsidRPr="001A6F73" w:rsidRDefault="002178BC" w:rsidP="002178BC">
      <w:pPr>
        <w:pStyle w:val="paragraph"/>
      </w:pPr>
      <w:r w:rsidRPr="001A6F73">
        <w:tab/>
        <w:t>(j)</w:t>
      </w:r>
      <w:r w:rsidRPr="001A6F73">
        <w:tab/>
        <w:t>any other matters the ACCC considers relevant.</w:t>
      </w:r>
    </w:p>
    <w:p w:rsidR="00032FE9" w:rsidRPr="001A6F73" w:rsidRDefault="00032FE9" w:rsidP="00032FE9">
      <w:pPr>
        <w:pStyle w:val="subsection"/>
      </w:pPr>
      <w:r w:rsidRPr="001A6F73">
        <w:tab/>
        <w:t>(</w:t>
      </w:r>
      <w:r w:rsidR="00C351E0" w:rsidRPr="001A6F73">
        <w:t>4</w:t>
      </w:r>
      <w:r w:rsidRPr="001A6F73">
        <w:t>)</w:t>
      </w:r>
      <w:r w:rsidRPr="001A6F73">
        <w:tab/>
        <w:t xml:space="preserve">If the relevant Minister receives statements from one or more groups of grain producers that they are disadvantaged by a determination made under </w:t>
      </w:r>
      <w:r w:rsidR="001A6F73" w:rsidRPr="001A6F73">
        <w:t>subclause (</w:t>
      </w:r>
      <w:r w:rsidRPr="001A6F73">
        <w:t xml:space="preserve">1), the </w:t>
      </w:r>
      <w:r w:rsidR="00C351E0" w:rsidRPr="001A6F73">
        <w:t xml:space="preserve">relevant </w:t>
      </w:r>
      <w:r w:rsidRPr="001A6F73">
        <w:t xml:space="preserve">Minister may undertake a period of public consultation to consider whether </w:t>
      </w:r>
      <w:r w:rsidR="003D4087" w:rsidRPr="001A6F73">
        <w:t xml:space="preserve">or not </w:t>
      </w:r>
      <w:r w:rsidR="00C351E0" w:rsidRPr="001A6F73">
        <w:t xml:space="preserve">the continuation in force of the determination </w:t>
      </w:r>
      <w:r w:rsidR="002158F9" w:rsidRPr="001A6F73">
        <w:t>would be</w:t>
      </w:r>
      <w:r w:rsidR="00C351E0" w:rsidRPr="001A6F73">
        <w:t xml:space="preserve"> </w:t>
      </w:r>
      <w:r w:rsidRPr="001A6F73">
        <w:t>in the interests of the grain producers within the grain catchment area for the port</w:t>
      </w:r>
      <w:r w:rsidR="00C351E0" w:rsidRPr="001A6F73">
        <w:t xml:space="preserve"> concerned</w:t>
      </w:r>
      <w:r w:rsidRPr="001A6F73">
        <w:t>.</w:t>
      </w:r>
    </w:p>
    <w:p w:rsidR="00454E84" w:rsidRPr="001A6F73" w:rsidRDefault="00C351E0" w:rsidP="00032FE9">
      <w:pPr>
        <w:pStyle w:val="subsection"/>
      </w:pPr>
      <w:r w:rsidRPr="001A6F73">
        <w:tab/>
        <w:t>(5</w:t>
      </w:r>
      <w:r w:rsidR="00B10070" w:rsidRPr="001A6F73">
        <w:t>)</w:t>
      </w:r>
      <w:r w:rsidR="00B10070" w:rsidRPr="001A6F73">
        <w:tab/>
        <w:t xml:space="preserve">The relevant Minister may revoke a determination made under </w:t>
      </w:r>
      <w:r w:rsidR="001A6F73" w:rsidRPr="001A6F73">
        <w:t>subclause (</w:t>
      </w:r>
      <w:r w:rsidR="00B10070" w:rsidRPr="001A6F73">
        <w:t>1)</w:t>
      </w:r>
      <w:r w:rsidR="00454E84" w:rsidRPr="001A6F73">
        <w:t xml:space="preserve"> </w:t>
      </w:r>
      <w:r w:rsidR="00623F2D" w:rsidRPr="001A6F73">
        <w:t>if</w:t>
      </w:r>
      <w:r w:rsidR="00454E84" w:rsidRPr="001A6F73">
        <w:t>:</w:t>
      </w:r>
    </w:p>
    <w:p w:rsidR="00B10070" w:rsidRPr="001A6F73" w:rsidRDefault="00454E84" w:rsidP="00454E84">
      <w:pPr>
        <w:pStyle w:val="paragraph"/>
      </w:pPr>
      <w:r w:rsidRPr="001A6F73">
        <w:tab/>
        <w:t>(a)</w:t>
      </w:r>
      <w:r w:rsidRPr="001A6F73">
        <w:tab/>
      </w:r>
      <w:r w:rsidR="00B10070" w:rsidRPr="001A6F73">
        <w:t xml:space="preserve">the relevant Minister is no longer satisfied of a matter mentioned in </w:t>
      </w:r>
      <w:r w:rsidR="001A6F73" w:rsidRPr="001A6F73">
        <w:t>paragraph (</w:t>
      </w:r>
      <w:r w:rsidRPr="001A6F73">
        <w:t>1)(a) or (b); or</w:t>
      </w:r>
    </w:p>
    <w:p w:rsidR="00454E84" w:rsidRPr="001A6F73" w:rsidRDefault="00454E84" w:rsidP="005C5E69">
      <w:pPr>
        <w:pStyle w:val="paragraph"/>
      </w:pPr>
      <w:r w:rsidRPr="001A6F73">
        <w:tab/>
        <w:t>(b)</w:t>
      </w:r>
      <w:r w:rsidRPr="001A6F73">
        <w:tab/>
        <w:t xml:space="preserve">the </w:t>
      </w:r>
      <w:r w:rsidR="00C351E0" w:rsidRPr="001A6F73">
        <w:t xml:space="preserve">relevant </w:t>
      </w:r>
      <w:r w:rsidRPr="001A6F73">
        <w:t xml:space="preserve">Minister is satisfied, based on a public consultation undertaken under </w:t>
      </w:r>
      <w:r w:rsidR="001A6F73" w:rsidRPr="001A6F73">
        <w:t>subclause (</w:t>
      </w:r>
      <w:r w:rsidR="005C5E69" w:rsidRPr="001A6F73">
        <w:t>4</w:t>
      </w:r>
      <w:r w:rsidRPr="001A6F73">
        <w:t>)</w:t>
      </w:r>
      <w:r w:rsidR="00C351E0" w:rsidRPr="001A6F73">
        <w:t>, that the continuation in force of the determination</w:t>
      </w:r>
      <w:r w:rsidR="002158F9" w:rsidRPr="001A6F73">
        <w:t xml:space="preserve"> would not be </w:t>
      </w:r>
      <w:r w:rsidR="00C351E0" w:rsidRPr="001A6F73">
        <w:t>in the interests of the grain producers within the grain catchment area for the port concerned</w:t>
      </w:r>
      <w:r w:rsidR="005C5E69" w:rsidRPr="001A6F73">
        <w:t>.</w:t>
      </w:r>
    </w:p>
    <w:p w:rsidR="002178BC" w:rsidRPr="001A6F73" w:rsidRDefault="002178BC" w:rsidP="00B10070">
      <w:pPr>
        <w:pStyle w:val="subsection"/>
      </w:pPr>
      <w:r w:rsidRPr="001A6F73">
        <w:tab/>
        <w:t>(</w:t>
      </w:r>
      <w:r w:rsidR="00916FE6" w:rsidRPr="001A6F73">
        <w:t>6</w:t>
      </w:r>
      <w:r w:rsidRPr="001A6F73">
        <w:t>)</w:t>
      </w:r>
      <w:r w:rsidRPr="001A6F73">
        <w:tab/>
        <w:t xml:space="preserve">The ACCC may revoke a determination made under </w:t>
      </w:r>
      <w:r w:rsidR="001A6F73" w:rsidRPr="001A6F73">
        <w:t>subclause (</w:t>
      </w:r>
      <w:r w:rsidR="00B10070" w:rsidRPr="001A6F73">
        <w:t xml:space="preserve">2) </w:t>
      </w:r>
      <w:r w:rsidRPr="001A6F73">
        <w:t>if</w:t>
      </w:r>
      <w:r w:rsidR="00B10070" w:rsidRPr="001A6F73">
        <w:t xml:space="preserve">, </w:t>
      </w:r>
      <w:r w:rsidRPr="001A6F73">
        <w:t xml:space="preserve">after having regard to the matters mentioned in </w:t>
      </w:r>
      <w:r w:rsidR="001A6F73" w:rsidRPr="001A6F73">
        <w:t>paragraphs (</w:t>
      </w:r>
      <w:r w:rsidRPr="001A6F73">
        <w:t>3)(a) to (j), the ACCC is satisfied that the reasons for granting the exemption no longer apply.</w:t>
      </w:r>
    </w:p>
    <w:p w:rsidR="002178BC" w:rsidRPr="001A6F73" w:rsidRDefault="002178BC" w:rsidP="002178BC">
      <w:pPr>
        <w:pStyle w:val="subsection"/>
      </w:pPr>
      <w:r w:rsidRPr="001A6F73">
        <w:lastRenderedPageBreak/>
        <w:tab/>
        <w:t>(</w:t>
      </w:r>
      <w:r w:rsidR="00916FE6" w:rsidRPr="001A6F73">
        <w:t>7</w:t>
      </w:r>
      <w:r w:rsidRPr="001A6F73">
        <w:t>)</w:t>
      </w:r>
      <w:r w:rsidRPr="001A6F73">
        <w:tab/>
        <w:t>If the ACCC</w:t>
      </w:r>
      <w:r w:rsidR="00B10070" w:rsidRPr="001A6F73">
        <w:t xml:space="preserve"> or the relevant Minister</w:t>
      </w:r>
      <w:r w:rsidRPr="001A6F73">
        <w:t xml:space="preserve"> revokes a determination, the ACCC</w:t>
      </w:r>
      <w:r w:rsidR="00B10070" w:rsidRPr="001A6F73">
        <w:t xml:space="preserve"> or the relevant Minister, as the case requires,</w:t>
      </w:r>
      <w:r w:rsidRPr="001A6F73">
        <w:t xml:space="preserve"> must give the port terminal service provider concerned a written notice stating that the </w:t>
      </w:r>
      <w:r w:rsidR="00B10070" w:rsidRPr="001A6F73">
        <w:t>determination is</w:t>
      </w:r>
      <w:r w:rsidRPr="001A6F73">
        <w:t xml:space="preserve"> revoked with effect from the end of the period of 3 months beginning on the date of the notice.</w:t>
      </w:r>
    </w:p>
    <w:p w:rsidR="002178BC" w:rsidRPr="001A6F73" w:rsidRDefault="002178BC" w:rsidP="002178BC">
      <w:pPr>
        <w:pStyle w:val="subsection"/>
      </w:pPr>
      <w:r w:rsidRPr="001A6F73">
        <w:tab/>
        <w:t>(</w:t>
      </w:r>
      <w:r w:rsidR="00916FE6" w:rsidRPr="001A6F73">
        <w:t>8</w:t>
      </w:r>
      <w:r w:rsidRPr="001A6F73">
        <w:t>)</w:t>
      </w:r>
      <w:r w:rsidRPr="001A6F73">
        <w:tab/>
        <w:t xml:space="preserve">A port terminal service provider must, within 10 business days of a determination relating to the provider being made, or being given a notice under </w:t>
      </w:r>
      <w:r w:rsidR="001A6F73" w:rsidRPr="001A6F73">
        <w:t>subclause (</w:t>
      </w:r>
      <w:r w:rsidR="001C2CE5" w:rsidRPr="001A6F73">
        <w:t>7</w:t>
      </w:r>
      <w:r w:rsidRPr="001A6F73">
        <w:t>), advise the public of the determination or the notice on its website.</w:t>
      </w:r>
    </w:p>
    <w:p w:rsidR="002178BC" w:rsidRPr="001A6F73" w:rsidRDefault="002178BC" w:rsidP="002178BC">
      <w:pPr>
        <w:pStyle w:val="subsection"/>
      </w:pPr>
      <w:r w:rsidRPr="001A6F73">
        <w:tab/>
        <w:t>(</w:t>
      </w:r>
      <w:r w:rsidR="00916FE6" w:rsidRPr="001A6F73">
        <w:t>9</w:t>
      </w:r>
      <w:r w:rsidRPr="001A6F73">
        <w:t>)</w:t>
      </w:r>
      <w:r w:rsidRPr="001A6F73">
        <w:tab/>
        <w:t xml:space="preserve">The ACCC must, as soon as practicable after the commencement of this code, publish on its website guidelines relating to its process for making </w:t>
      </w:r>
      <w:r w:rsidR="00B10070" w:rsidRPr="001A6F73">
        <w:t xml:space="preserve">determinations under </w:t>
      </w:r>
      <w:r w:rsidR="001A6F73" w:rsidRPr="001A6F73">
        <w:t>subclause (</w:t>
      </w:r>
      <w:r w:rsidR="005E3B58" w:rsidRPr="001A6F73">
        <w:t>2</w:t>
      </w:r>
      <w:r w:rsidR="00B10070" w:rsidRPr="001A6F73">
        <w:t>)</w:t>
      </w:r>
      <w:r w:rsidR="005E3B58" w:rsidRPr="001A6F73">
        <w:t xml:space="preserve"> and revoking determinations under </w:t>
      </w:r>
      <w:r w:rsidR="001A6F73" w:rsidRPr="001A6F73">
        <w:t>subclause (</w:t>
      </w:r>
      <w:r w:rsidR="001C2CE5" w:rsidRPr="001A6F73">
        <w:t>6</w:t>
      </w:r>
      <w:r w:rsidR="005E3B58" w:rsidRPr="001A6F73">
        <w:t>)</w:t>
      </w:r>
      <w:r w:rsidRPr="001A6F73">
        <w:t>.</w:t>
      </w:r>
    </w:p>
    <w:p w:rsidR="00443D5A" w:rsidRPr="001A6F73" w:rsidRDefault="00627906" w:rsidP="00C4131D">
      <w:pPr>
        <w:pStyle w:val="ActHead2"/>
        <w:pageBreakBefore/>
      </w:pPr>
      <w:bookmarkStart w:id="21" w:name="_Toc397955312"/>
      <w:r w:rsidRPr="001A6F73">
        <w:rPr>
          <w:rStyle w:val="CharPartNo"/>
        </w:rPr>
        <w:lastRenderedPageBreak/>
        <w:t>Part</w:t>
      </w:r>
      <w:r w:rsidR="001A6F73" w:rsidRPr="001A6F73">
        <w:rPr>
          <w:rStyle w:val="CharPartNo"/>
        </w:rPr>
        <w:t> </w:t>
      </w:r>
      <w:r w:rsidR="00DA26A9" w:rsidRPr="001A6F73">
        <w:rPr>
          <w:rStyle w:val="CharPartNo"/>
        </w:rPr>
        <w:t>2</w:t>
      </w:r>
      <w:r w:rsidR="00443D5A" w:rsidRPr="001A6F73">
        <w:t>—</w:t>
      </w:r>
      <w:r w:rsidR="00443D5A" w:rsidRPr="001A6F73">
        <w:rPr>
          <w:rStyle w:val="CharPartText"/>
        </w:rPr>
        <w:t>General obligations</w:t>
      </w:r>
      <w:r w:rsidR="00DF39D7" w:rsidRPr="001A6F73">
        <w:rPr>
          <w:rStyle w:val="CharPartText"/>
        </w:rPr>
        <w:t xml:space="preserve"> of port terminal service providers and exporters</w:t>
      </w:r>
      <w:bookmarkEnd w:id="21"/>
    </w:p>
    <w:p w:rsidR="008F61C8" w:rsidRPr="001A6F73" w:rsidRDefault="008F61C8" w:rsidP="00C4131D">
      <w:pPr>
        <w:pStyle w:val="Header"/>
      </w:pPr>
      <w:r w:rsidRPr="001A6F73">
        <w:rPr>
          <w:rStyle w:val="CharDivNo"/>
        </w:rPr>
        <w:t xml:space="preserve"> </w:t>
      </w:r>
      <w:r w:rsidRPr="001A6F73">
        <w:rPr>
          <w:rStyle w:val="CharDivText"/>
        </w:rPr>
        <w:t xml:space="preserve"> </w:t>
      </w:r>
    </w:p>
    <w:p w:rsidR="008F61C8" w:rsidRPr="001A6F73" w:rsidRDefault="00EB6DDB" w:rsidP="00C4131D">
      <w:pPr>
        <w:pStyle w:val="ActHead5"/>
      </w:pPr>
      <w:bookmarkStart w:id="22" w:name="_Toc397955313"/>
      <w:r w:rsidRPr="001A6F73">
        <w:rPr>
          <w:rStyle w:val="CharSectno"/>
        </w:rPr>
        <w:t>6</w:t>
      </w:r>
      <w:r w:rsidR="008F61C8" w:rsidRPr="001A6F73">
        <w:t xml:space="preserve">  Obligation to deal in good faith</w:t>
      </w:r>
      <w:bookmarkEnd w:id="22"/>
    </w:p>
    <w:p w:rsidR="008F61C8" w:rsidRPr="001A6F73" w:rsidRDefault="008F61C8" w:rsidP="008F61C8">
      <w:pPr>
        <w:pStyle w:val="subsection"/>
      </w:pPr>
      <w:r w:rsidRPr="001A6F73">
        <w:tab/>
      </w:r>
      <w:r w:rsidRPr="001A6F73">
        <w:tab/>
        <w:t>A port terminal service provider and an exporter must at all times deal with each other in good faith.</w:t>
      </w:r>
    </w:p>
    <w:p w:rsidR="008F61C8" w:rsidRPr="001A6F73" w:rsidRDefault="00EB6DDB" w:rsidP="00C4131D">
      <w:pPr>
        <w:pStyle w:val="ActHead5"/>
      </w:pPr>
      <w:bookmarkStart w:id="23" w:name="_Toc397955314"/>
      <w:r w:rsidRPr="001A6F73">
        <w:rPr>
          <w:rStyle w:val="CharSectno"/>
        </w:rPr>
        <w:t>7</w:t>
      </w:r>
      <w:r w:rsidR="008F61C8" w:rsidRPr="001A6F73">
        <w:t xml:space="preserve">  Port terminal service provider to publish and make available loading statement</w:t>
      </w:r>
      <w:bookmarkEnd w:id="23"/>
    </w:p>
    <w:p w:rsidR="00151EDE" w:rsidRPr="001A6F73" w:rsidRDefault="008F61C8" w:rsidP="00151EDE">
      <w:pPr>
        <w:pStyle w:val="subsection"/>
      </w:pPr>
      <w:r w:rsidRPr="001A6F73">
        <w:tab/>
        <w:t>(1)</w:t>
      </w:r>
      <w:r w:rsidRPr="001A6F73">
        <w:tab/>
        <w:t xml:space="preserve">A port terminal service provider must on each business day make available to the public on its website a statement (a </w:t>
      </w:r>
      <w:r w:rsidRPr="001A6F73">
        <w:rPr>
          <w:b/>
          <w:i/>
        </w:rPr>
        <w:t>port loading statement</w:t>
      </w:r>
      <w:r w:rsidRPr="001A6F73">
        <w:t xml:space="preserve">) that lists </w:t>
      </w:r>
      <w:r w:rsidR="00513E0F" w:rsidRPr="001A6F73">
        <w:t xml:space="preserve">a unique slot reference number for </w:t>
      </w:r>
      <w:r w:rsidRPr="001A6F73">
        <w:t xml:space="preserve">each ship scheduled to load grain using </w:t>
      </w:r>
      <w:r w:rsidR="00151EDE" w:rsidRPr="001A6F73">
        <w:t>a port terminal service provided at a port terminal facility owned or operated by the port terminal service provider.</w:t>
      </w:r>
    </w:p>
    <w:p w:rsidR="008F61C8" w:rsidRPr="001A6F73" w:rsidRDefault="008F61C8" w:rsidP="008F61C8">
      <w:pPr>
        <w:pStyle w:val="subsection"/>
      </w:pPr>
      <w:r w:rsidRPr="001A6F73">
        <w:tab/>
        <w:t>(2)</w:t>
      </w:r>
      <w:r w:rsidRPr="001A6F73">
        <w:tab/>
        <w:t>The port loading statement must include the following information for each listed ship:</w:t>
      </w:r>
    </w:p>
    <w:p w:rsidR="008F61C8" w:rsidRPr="001A6F73" w:rsidRDefault="008F61C8" w:rsidP="008F61C8">
      <w:pPr>
        <w:pStyle w:val="paragraph"/>
      </w:pPr>
      <w:r w:rsidRPr="001A6F73">
        <w:tab/>
        <w:t>(a)</w:t>
      </w:r>
      <w:r w:rsidRPr="001A6F73">
        <w:tab/>
        <w:t>if the port terminal service provider knows the name of the ship—the ship’s name;</w:t>
      </w:r>
    </w:p>
    <w:p w:rsidR="008F61C8" w:rsidRPr="001A6F73" w:rsidRDefault="008F61C8" w:rsidP="008F61C8">
      <w:pPr>
        <w:pStyle w:val="paragraph"/>
      </w:pPr>
      <w:r w:rsidRPr="001A6F73">
        <w:tab/>
        <w:t>(b)</w:t>
      </w:r>
      <w:r w:rsidRPr="001A6F73">
        <w:tab/>
        <w:t>the time when the ship is nominated to load grain using the port terminal service;</w:t>
      </w:r>
    </w:p>
    <w:p w:rsidR="008F61C8" w:rsidRPr="001A6F73" w:rsidRDefault="008F61C8" w:rsidP="008F61C8">
      <w:pPr>
        <w:pStyle w:val="paragraph"/>
      </w:pPr>
      <w:r w:rsidRPr="001A6F73">
        <w:tab/>
        <w:t>(c)</w:t>
      </w:r>
      <w:r w:rsidRPr="001A6F73">
        <w:tab/>
        <w:t>the time when the ship is accepted as a ship scheduled to load grain using the port terminal service;</w:t>
      </w:r>
    </w:p>
    <w:p w:rsidR="008F61C8" w:rsidRPr="001A6F73" w:rsidRDefault="008F61C8" w:rsidP="008F61C8">
      <w:pPr>
        <w:pStyle w:val="paragraph"/>
      </w:pPr>
      <w:r w:rsidRPr="001A6F73">
        <w:tab/>
        <w:t>(d)</w:t>
      </w:r>
      <w:r w:rsidRPr="001A6F73">
        <w:tab/>
        <w:t>the estimated time when the ship is to arrive at the port terminal facility through which the port terminal service is to be provided;</w:t>
      </w:r>
    </w:p>
    <w:p w:rsidR="008F61C8" w:rsidRPr="001A6F73" w:rsidRDefault="008F61C8" w:rsidP="008F61C8">
      <w:pPr>
        <w:pStyle w:val="paragraph"/>
      </w:pPr>
      <w:r w:rsidRPr="001A6F73">
        <w:tab/>
        <w:t>(e)</w:t>
      </w:r>
      <w:r w:rsidRPr="001A6F73">
        <w:tab/>
        <w:t>the estimated time when grain is to start being loaded onto the ship;</w:t>
      </w:r>
    </w:p>
    <w:p w:rsidR="008F61C8" w:rsidRPr="001A6F73" w:rsidRDefault="008F61C8" w:rsidP="008F61C8">
      <w:pPr>
        <w:pStyle w:val="paragraph"/>
      </w:pPr>
      <w:r w:rsidRPr="001A6F73">
        <w:tab/>
        <w:t>(f)</w:t>
      </w:r>
      <w:r w:rsidRPr="001A6F73">
        <w:tab/>
        <w:t>the estimated time when the ship is to leave the port terminal facility through which the port terminal service is being provided;</w:t>
      </w:r>
    </w:p>
    <w:p w:rsidR="008F61C8" w:rsidRPr="001A6F73" w:rsidRDefault="008F61C8" w:rsidP="008F61C8">
      <w:pPr>
        <w:pStyle w:val="paragraph"/>
      </w:pPr>
      <w:r w:rsidRPr="001A6F73">
        <w:tab/>
        <w:t>(g)</w:t>
      </w:r>
      <w:r w:rsidRPr="001A6F73">
        <w:tab/>
        <w:t>the name of the exporter of the grain;</w:t>
      </w:r>
    </w:p>
    <w:p w:rsidR="008F61C8" w:rsidRPr="001A6F73" w:rsidRDefault="008F61C8" w:rsidP="008F61C8">
      <w:pPr>
        <w:pStyle w:val="paragraph"/>
      </w:pPr>
      <w:r w:rsidRPr="001A6F73">
        <w:lastRenderedPageBreak/>
        <w:tab/>
        <w:t>(h)</w:t>
      </w:r>
      <w:r w:rsidRPr="001A6F73">
        <w:tab/>
        <w:t>the quantity of grain to be loaded onto the ship using the port terminal service;</w:t>
      </w:r>
    </w:p>
    <w:p w:rsidR="008F61C8" w:rsidRPr="001A6F73" w:rsidRDefault="008F61C8" w:rsidP="008F61C8">
      <w:pPr>
        <w:pStyle w:val="paragraph"/>
      </w:pPr>
      <w:r w:rsidRPr="001A6F73">
        <w:tab/>
        <w:t>(i)</w:t>
      </w:r>
      <w:r w:rsidRPr="001A6F73">
        <w:tab/>
        <w:t>the type of grain to be loaded onto the ship using the port terminal service;</w:t>
      </w:r>
    </w:p>
    <w:p w:rsidR="008F61C8" w:rsidRPr="001A6F73" w:rsidRDefault="008F61C8" w:rsidP="008F61C8">
      <w:pPr>
        <w:pStyle w:val="paragraph"/>
      </w:pPr>
      <w:r w:rsidRPr="001A6F73">
        <w:tab/>
        <w:t>(j)</w:t>
      </w:r>
      <w:r w:rsidRPr="001A6F73">
        <w:tab/>
        <w:t>if the grain has started to be loaded onto the ship, but the loading has not been completed—that fact;</w:t>
      </w:r>
    </w:p>
    <w:p w:rsidR="008F61C8" w:rsidRPr="001A6F73" w:rsidRDefault="008F61C8" w:rsidP="008F61C8">
      <w:pPr>
        <w:pStyle w:val="paragraph"/>
      </w:pPr>
      <w:r w:rsidRPr="001A6F73">
        <w:tab/>
        <w:t>(k)</w:t>
      </w:r>
      <w:r w:rsidRPr="001A6F73">
        <w:tab/>
        <w:t>if the loading of grain has been completed—the time when the loading was completed.</w:t>
      </w:r>
    </w:p>
    <w:p w:rsidR="008F61C8" w:rsidRPr="001A6F73" w:rsidRDefault="00B53914" w:rsidP="008F61C8">
      <w:pPr>
        <w:pStyle w:val="subsection"/>
      </w:pPr>
      <w:r w:rsidRPr="001A6F73">
        <w:tab/>
        <w:t>(3</w:t>
      </w:r>
      <w:r w:rsidR="008F61C8" w:rsidRPr="001A6F73">
        <w:t>)</w:t>
      </w:r>
      <w:r w:rsidR="008F61C8" w:rsidRPr="001A6F73">
        <w:tab/>
        <w:t>A port terminal service provider must provide the ACCC with the most current port loading statement for each business day.</w:t>
      </w:r>
    </w:p>
    <w:p w:rsidR="008F61C8" w:rsidRPr="001A6F73" w:rsidRDefault="00B53914" w:rsidP="008F61C8">
      <w:pPr>
        <w:pStyle w:val="subsection"/>
      </w:pPr>
      <w:r w:rsidRPr="001A6F73">
        <w:tab/>
        <w:t>(4</w:t>
      </w:r>
      <w:r w:rsidR="008F61C8" w:rsidRPr="001A6F73">
        <w:t>)</w:t>
      </w:r>
      <w:r w:rsidR="008F61C8" w:rsidRPr="001A6F73">
        <w:tab/>
        <w:t>The port loading statement must be provided to the ACCC in the form and manner required by the ACCC.</w:t>
      </w:r>
    </w:p>
    <w:p w:rsidR="002A3932" w:rsidRPr="001A6F73" w:rsidRDefault="00EB6DDB" w:rsidP="00C4131D">
      <w:pPr>
        <w:pStyle w:val="ActHead5"/>
      </w:pPr>
      <w:bookmarkStart w:id="24" w:name="_Toc397955315"/>
      <w:r w:rsidRPr="001A6F73">
        <w:rPr>
          <w:rStyle w:val="CharSectno"/>
        </w:rPr>
        <w:t>8</w:t>
      </w:r>
      <w:r w:rsidR="002A3932" w:rsidRPr="001A6F73">
        <w:t xml:space="preserve">  </w:t>
      </w:r>
      <w:r w:rsidR="00513E0F" w:rsidRPr="001A6F73">
        <w:t>P</w:t>
      </w:r>
      <w:r w:rsidR="002A3932" w:rsidRPr="001A6F73">
        <w:t>ort terminal service providers to publish policies and procedures for managing demand for port terminal services</w:t>
      </w:r>
      <w:bookmarkEnd w:id="24"/>
    </w:p>
    <w:p w:rsidR="002A3932" w:rsidRPr="001A6F73" w:rsidRDefault="002A3932" w:rsidP="002A3932">
      <w:pPr>
        <w:pStyle w:val="subsection"/>
      </w:pPr>
      <w:r w:rsidRPr="001A6F73">
        <w:tab/>
        <w:t>(1)</w:t>
      </w:r>
      <w:r w:rsidRPr="001A6F73">
        <w:tab/>
        <w:t>A</w:t>
      </w:r>
      <w:r w:rsidR="00513E0F" w:rsidRPr="001A6F73">
        <w:t xml:space="preserve"> </w:t>
      </w:r>
      <w:r w:rsidRPr="001A6F73">
        <w:t>port terminal service provider must</w:t>
      </w:r>
      <w:r w:rsidR="00163F76" w:rsidRPr="001A6F73">
        <w:t xml:space="preserve"> </w:t>
      </w:r>
      <w:r w:rsidRPr="001A6F73">
        <w:t>publish on its website a statement setting out the provider’s policies and procedures for managing demand for the provider’s port terminal services</w:t>
      </w:r>
      <w:r w:rsidR="002817C7" w:rsidRPr="001A6F73">
        <w:t xml:space="preserve"> at each port terminal </w:t>
      </w:r>
      <w:r w:rsidR="0062787E" w:rsidRPr="001A6F73">
        <w:t xml:space="preserve">facility that the </w:t>
      </w:r>
      <w:r w:rsidR="002817C7" w:rsidRPr="001A6F73">
        <w:t>provider owns or operates</w:t>
      </w:r>
      <w:r w:rsidRPr="001A6F73">
        <w:t>.</w:t>
      </w:r>
    </w:p>
    <w:p w:rsidR="002A3932" w:rsidRPr="001A6F73" w:rsidRDefault="002A3932" w:rsidP="002A3932">
      <w:pPr>
        <w:pStyle w:val="subsection"/>
      </w:pPr>
      <w:r w:rsidRPr="001A6F73">
        <w:tab/>
        <w:t>(2)</w:t>
      </w:r>
      <w:r w:rsidRPr="001A6F73">
        <w:tab/>
        <w:t xml:space="preserve">The statement must include the port terminal service provider’s policies and procedures relating to the nomination and acceptance </w:t>
      </w:r>
      <w:r w:rsidR="00AA191B" w:rsidRPr="001A6F73">
        <w:t xml:space="preserve">of ships to be loaded using </w:t>
      </w:r>
      <w:r w:rsidR="002817C7" w:rsidRPr="001A6F73">
        <w:t>those</w:t>
      </w:r>
      <w:r w:rsidRPr="001A6F73">
        <w:t xml:space="preserve"> port terminal services.</w:t>
      </w:r>
    </w:p>
    <w:p w:rsidR="00A31FDE" w:rsidRPr="001A6F73" w:rsidRDefault="00EE510E" w:rsidP="00C4131D">
      <w:pPr>
        <w:pStyle w:val="ActHead5"/>
      </w:pPr>
      <w:bookmarkStart w:id="25" w:name="_Toc397955316"/>
      <w:r w:rsidRPr="001A6F73">
        <w:rPr>
          <w:rStyle w:val="CharSectno"/>
        </w:rPr>
        <w:t>9</w:t>
      </w:r>
      <w:r w:rsidR="00A31FDE" w:rsidRPr="001A6F73">
        <w:t xml:space="preserve">  Port terminal service provider</w:t>
      </w:r>
      <w:r w:rsidR="009A5D6D" w:rsidRPr="001A6F73">
        <w:t>s</w:t>
      </w:r>
      <w:r w:rsidR="00A31FDE" w:rsidRPr="001A6F73">
        <w:t xml:space="preserve"> to have standard terms and reference prices</w:t>
      </w:r>
      <w:bookmarkEnd w:id="25"/>
    </w:p>
    <w:p w:rsidR="00A31FDE" w:rsidRPr="001A6F73" w:rsidRDefault="00A31FDE" w:rsidP="00A31FDE">
      <w:pPr>
        <w:pStyle w:val="subsection"/>
      </w:pPr>
      <w:r w:rsidRPr="001A6F73">
        <w:tab/>
        <w:t>(1)</w:t>
      </w:r>
      <w:r w:rsidRPr="001A6F73">
        <w:tab/>
        <w:t xml:space="preserve">A port terminal service provider must make available to the public on its website its </w:t>
      </w:r>
      <w:r w:rsidR="00211848" w:rsidRPr="001A6F73">
        <w:t xml:space="preserve">current </w:t>
      </w:r>
      <w:r w:rsidRPr="001A6F73">
        <w:t>standard terms and reference prices</w:t>
      </w:r>
      <w:r w:rsidR="00997CE0" w:rsidRPr="001A6F73">
        <w:t xml:space="preserve"> for each port terminal facility</w:t>
      </w:r>
      <w:r w:rsidR="00C82205" w:rsidRPr="001A6F73">
        <w:t xml:space="preserve"> that it owns or operates</w:t>
      </w:r>
      <w:r w:rsidRPr="001A6F73">
        <w:t>.</w:t>
      </w:r>
    </w:p>
    <w:p w:rsidR="00A31FDE" w:rsidRPr="001A6F73" w:rsidRDefault="00A31FDE" w:rsidP="00A31FDE">
      <w:pPr>
        <w:pStyle w:val="subsection"/>
      </w:pPr>
      <w:r w:rsidRPr="001A6F73">
        <w:tab/>
        <w:t>(2)</w:t>
      </w:r>
      <w:r w:rsidRPr="001A6F73">
        <w:tab/>
        <w:t xml:space="preserve">A </w:t>
      </w:r>
      <w:r w:rsidR="00FF12AE" w:rsidRPr="001A6F73">
        <w:t>port terminal service provider</w:t>
      </w:r>
      <w:r w:rsidRPr="001A6F73">
        <w:t xml:space="preserve">’s standard terms and reference prices </w:t>
      </w:r>
      <w:r w:rsidR="00511BD0" w:rsidRPr="001A6F73">
        <w:t xml:space="preserve">for a port terminal facility </w:t>
      </w:r>
      <w:r w:rsidRPr="001A6F73">
        <w:t>may include different standard terms and reference prices for different seasons or periods of time.</w:t>
      </w:r>
    </w:p>
    <w:p w:rsidR="005E68F1" w:rsidRPr="001A6F73" w:rsidRDefault="005E68F1" w:rsidP="005E68F1">
      <w:pPr>
        <w:pStyle w:val="notetext"/>
      </w:pPr>
      <w:r w:rsidRPr="001A6F73">
        <w:t>Note:</w:t>
      </w:r>
      <w:r w:rsidRPr="001A6F73">
        <w:tab/>
        <w:t>For additional requirements relating to standard terms and reference prices for</w:t>
      </w:r>
      <w:r w:rsidR="00C82205" w:rsidRPr="001A6F73">
        <w:t xml:space="preserve"> </w:t>
      </w:r>
      <w:r w:rsidR="004F738B" w:rsidRPr="001A6F73">
        <w:t xml:space="preserve">a </w:t>
      </w:r>
      <w:r w:rsidR="00C82205" w:rsidRPr="001A6F73">
        <w:t xml:space="preserve">port terminal </w:t>
      </w:r>
      <w:r w:rsidRPr="001A6F73">
        <w:t xml:space="preserve">service providers who are not </w:t>
      </w:r>
      <w:r w:rsidR="004F738B" w:rsidRPr="001A6F73">
        <w:t xml:space="preserve">an </w:t>
      </w:r>
      <w:r w:rsidRPr="001A6F73">
        <w:t>exempt service provider, see Division</w:t>
      </w:r>
      <w:r w:rsidR="001A6F73" w:rsidRPr="001A6F73">
        <w:t> </w:t>
      </w:r>
      <w:r w:rsidRPr="001A6F73">
        <w:t>3 of Part</w:t>
      </w:r>
      <w:r w:rsidR="001A6F73" w:rsidRPr="001A6F73">
        <w:t> </w:t>
      </w:r>
      <w:r w:rsidRPr="001A6F73">
        <w:t>3.</w:t>
      </w:r>
    </w:p>
    <w:p w:rsidR="007A3DA1" w:rsidRPr="001A6F73" w:rsidRDefault="007A3DA1" w:rsidP="00C4131D">
      <w:pPr>
        <w:pStyle w:val="ActHead2"/>
        <w:pageBreakBefore/>
      </w:pPr>
      <w:bookmarkStart w:id="26" w:name="_Toc397955317"/>
      <w:r w:rsidRPr="001A6F73">
        <w:rPr>
          <w:rStyle w:val="CharPartNo"/>
        </w:rPr>
        <w:lastRenderedPageBreak/>
        <w:t>Part</w:t>
      </w:r>
      <w:r w:rsidR="001A6F73" w:rsidRPr="001A6F73">
        <w:rPr>
          <w:rStyle w:val="CharPartNo"/>
        </w:rPr>
        <w:t> </w:t>
      </w:r>
      <w:r w:rsidR="00DA26A9" w:rsidRPr="001A6F73">
        <w:rPr>
          <w:rStyle w:val="CharPartNo"/>
        </w:rPr>
        <w:t>3</w:t>
      </w:r>
      <w:r w:rsidRPr="001A6F73">
        <w:t>—</w:t>
      </w:r>
      <w:r w:rsidRPr="001A6F73">
        <w:rPr>
          <w:rStyle w:val="CharPartText"/>
        </w:rPr>
        <w:t>Access to port terminal services</w:t>
      </w:r>
      <w:r w:rsidR="00CF352D" w:rsidRPr="001A6F73">
        <w:rPr>
          <w:rStyle w:val="CharPartText"/>
        </w:rPr>
        <w:t xml:space="preserve"> provided by </w:t>
      </w:r>
      <w:r w:rsidR="00BB5C48" w:rsidRPr="001A6F73">
        <w:rPr>
          <w:rStyle w:val="CharPartText"/>
        </w:rPr>
        <w:t>a</w:t>
      </w:r>
      <w:r w:rsidR="00FF12AE" w:rsidRPr="001A6F73">
        <w:rPr>
          <w:rStyle w:val="CharPartText"/>
        </w:rPr>
        <w:t xml:space="preserve"> port terminal</w:t>
      </w:r>
      <w:r w:rsidR="004C070F" w:rsidRPr="001A6F73">
        <w:rPr>
          <w:rStyle w:val="CharPartText"/>
        </w:rPr>
        <w:t xml:space="preserve"> </w:t>
      </w:r>
      <w:r w:rsidR="00CF352D" w:rsidRPr="001A6F73">
        <w:rPr>
          <w:rStyle w:val="CharPartText"/>
        </w:rPr>
        <w:t>service provider</w:t>
      </w:r>
      <w:bookmarkEnd w:id="26"/>
    </w:p>
    <w:p w:rsidR="007A3DA1" w:rsidRPr="001A6F73" w:rsidRDefault="0087792E" w:rsidP="00C4131D">
      <w:pPr>
        <w:pStyle w:val="ActHead3"/>
      </w:pPr>
      <w:bookmarkStart w:id="27" w:name="_Toc397955318"/>
      <w:r w:rsidRPr="001A6F73">
        <w:rPr>
          <w:rStyle w:val="CharDivNo"/>
        </w:rPr>
        <w:t>Division</w:t>
      </w:r>
      <w:r w:rsidR="001A6F73" w:rsidRPr="001A6F73">
        <w:rPr>
          <w:rStyle w:val="CharDivNo"/>
        </w:rPr>
        <w:t> </w:t>
      </w:r>
      <w:r w:rsidRPr="001A6F73">
        <w:rPr>
          <w:rStyle w:val="CharDivNo"/>
        </w:rPr>
        <w:t>1</w:t>
      </w:r>
      <w:r w:rsidRPr="001A6F73">
        <w:t>—</w:t>
      </w:r>
      <w:r w:rsidRPr="001A6F73">
        <w:rPr>
          <w:rStyle w:val="CharDivText"/>
        </w:rPr>
        <w:t>General matters</w:t>
      </w:r>
      <w:bookmarkEnd w:id="27"/>
    </w:p>
    <w:p w:rsidR="00B53914" w:rsidRPr="001A6F73" w:rsidRDefault="00EE510E" w:rsidP="00C4131D">
      <w:pPr>
        <w:pStyle w:val="ActHead5"/>
      </w:pPr>
      <w:bookmarkStart w:id="28" w:name="_Toc397955319"/>
      <w:r w:rsidRPr="001A6F73">
        <w:rPr>
          <w:rStyle w:val="CharSectno"/>
        </w:rPr>
        <w:t>10</w:t>
      </w:r>
      <w:r w:rsidR="00B53914" w:rsidRPr="001A6F73">
        <w:t xml:space="preserve">  </w:t>
      </w:r>
      <w:r w:rsidR="00FF12AE" w:rsidRPr="001A6F73">
        <w:t>Port terminal service provider</w:t>
      </w:r>
      <w:r w:rsidR="00B53914" w:rsidRPr="001A6F73">
        <w:t xml:space="preserve"> not to discriminate or hinder exporter’s access to port terminal services</w:t>
      </w:r>
      <w:bookmarkEnd w:id="28"/>
    </w:p>
    <w:p w:rsidR="00B53914" w:rsidRPr="001A6F73" w:rsidRDefault="00B53914" w:rsidP="00B53914">
      <w:pPr>
        <w:pStyle w:val="subsection"/>
      </w:pPr>
      <w:r w:rsidRPr="001A6F73">
        <w:tab/>
        <w:t>(1)</w:t>
      </w:r>
      <w:r w:rsidRPr="001A6F73">
        <w:tab/>
        <w:t xml:space="preserve">In providing a port terminal service to an exporter (the </w:t>
      </w:r>
      <w:r w:rsidRPr="001A6F73">
        <w:rPr>
          <w:b/>
          <w:i/>
        </w:rPr>
        <w:t>first exporter</w:t>
      </w:r>
      <w:r w:rsidRPr="001A6F73">
        <w:t xml:space="preserve">), a </w:t>
      </w:r>
      <w:r w:rsidR="00FF12AE" w:rsidRPr="001A6F73">
        <w:t>port terminal service provider</w:t>
      </w:r>
      <w:r w:rsidRPr="001A6F73">
        <w:t xml:space="preserve"> must not discriminate in favour of itself, or an exporter of which it is an associated entity, except to the extent that the cost of providing the same port terminal service to the first exporter is higher.</w:t>
      </w:r>
    </w:p>
    <w:p w:rsidR="00B53914" w:rsidRPr="001A6F73" w:rsidRDefault="00B53914" w:rsidP="00B53914">
      <w:pPr>
        <w:pStyle w:val="subsection"/>
      </w:pPr>
      <w:r w:rsidRPr="001A6F73">
        <w:tab/>
        <w:t>(2)</w:t>
      </w:r>
      <w:r w:rsidRPr="001A6F73">
        <w:tab/>
        <w:t xml:space="preserve">A </w:t>
      </w:r>
      <w:r w:rsidR="00FF12AE" w:rsidRPr="001A6F73">
        <w:t>port terminal service provider</w:t>
      </w:r>
      <w:r w:rsidRPr="001A6F73">
        <w:t xml:space="preserve"> must not engage in conduct for the purpose of preventing or hindering an exporter’s access to port terminal services.</w:t>
      </w:r>
    </w:p>
    <w:p w:rsidR="00B53914" w:rsidRPr="001A6F73" w:rsidRDefault="00B53914" w:rsidP="00B53914">
      <w:pPr>
        <w:pStyle w:val="subsection"/>
      </w:pPr>
      <w:r w:rsidRPr="001A6F73">
        <w:tab/>
        <w:t>(3)</w:t>
      </w:r>
      <w:r w:rsidRPr="001A6F73">
        <w:tab/>
        <w:t>For the purpose</w:t>
      </w:r>
      <w:r w:rsidR="00974D6C" w:rsidRPr="001A6F73">
        <w:t>s</w:t>
      </w:r>
      <w:r w:rsidRPr="001A6F73">
        <w:t xml:space="preserve"> of </w:t>
      </w:r>
      <w:r w:rsidR="001A6F73" w:rsidRPr="001A6F73">
        <w:t>subclause (</w:t>
      </w:r>
      <w:r w:rsidRPr="001A6F73">
        <w:t>2), the withdrawa</w:t>
      </w:r>
      <w:r w:rsidR="00974D6C" w:rsidRPr="001A6F73">
        <w:t>l or suspension of services by a</w:t>
      </w:r>
      <w:r w:rsidRPr="001A6F73">
        <w:t xml:space="preserve"> </w:t>
      </w:r>
      <w:r w:rsidR="00FF12AE" w:rsidRPr="001A6F73">
        <w:t>port terminal service provider</w:t>
      </w:r>
      <w:r w:rsidRPr="001A6F73">
        <w:t xml:space="preserve"> in accordance with the terms of an access agreement </w:t>
      </w:r>
      <w:r w:rsidR="00F314DB" w:rsidRPr="001A6F73">
        <w:t xml:space="preserve">with </w:t>
      </w:r>
      <w:r w:rsidR="00974D6C" w:rsidRPr="001A6F73">
        <w:t>an</w:t>
      </w:r>
      <w:r w:rsidR="00F314DB" w:rsidRPr="001A6F73">
        <w:t xml:space="preserve"> exporter is not regarded as hindering that</w:t>
      </w:r>
      <w:r w:rsidRPr="001A6F73">
        <w:t xml:space="preserve"> exporter’s access to port terminal services.</w:t>
      </w:r>
    </w:p>
    <w:p w:rsidR="007A3DA1" w:rsidRPr="001A6F73" w:rsidRDefault="00EE510E" w:rsidP="00C4131D">
      <w:pPr>
        <w:pStyle w:val="ActHead5"/>
      </w:pPr>
      <w:bookmarkStart w:id="29" w:name="_Toc397955320"/>
      <w:r w:rsidRPr="001A6F73">
        <w:rPr>
          <w:rStyle w:val="CharSectno"/>
        </w:rPr>
        <w:t>11</w:t>
      </w:r>
      <w:r w:rsidR="007A3DA1" w:rsidRPr="001A6F73">
        <w:t xml:space="preserve">  Exporters to have access to port terminal services</w:t>
      </w:r>
      <w:r w:rsidR="00CF352D" w:rsidRPr="001A6F73">
        <w:t xml:space="preserve"> provided by a</w:t>
      </w:r>
      <w:r w:rsidR="00874992" w:rsidRPr="001A6F73">
        <w:t xml:space="preserve"> </w:t>
      </w:r>
      <w:r w:rsidR="00FF12AE" w:rsidRPr="001A6F73">
        <w:t>port terminal service provider</w:t>
      </w:r>
      <w:bookmarkEnd w:id="29"/>
    </w:p>
    <w:p w:rsidR="007A3DA1" w:rsidRPr="001A6F73" w:rsidRDefault="007A3DA1" w:rsidP="007A3DA1">
      <w:pPr>
        <w:pStyle w:val="SubsectionHead"/>
      </w:pPr>
      <w:r w:rsidRPr="001A6F73">
        <w:t>Access to port terminal services to be provided under</w:t>
      </w:r>
      <w:r w:rsidR="003566D6" w:rsidRPr="001A6F73">
        <w:t xml:space="preserve"> an</w:t>
      </w:r>
      <w:r w:rsidRPr="001A6F73">
        <w:t xml:space="preserve"> access agreement</w:t>
      </w:r>
    </w:p>
    <w:p w:rsidR="00DC1084" w:rsidRPr="001A6F73" w:rsidRDefault="007A3DA1" w:rsidP="001A3DED">
      <w:pPr>
        <w:pStyle w:val="subsection"/>
      </w:pPr>
      <w:r w:rsidRPr="001A6F73">
        <w:tab/>
        <w:t>(1)</w:t>
      </w:r>
      <w:r w:rsidRPr="001A6F73">
        <w:tab/>
        <w:t>A</w:t>
      </w:r>
      <w:r w:rsidR="004C070F" w:rsidRPr="001A6F73">
        <w:t xml:space="preserve"> </w:t>
      </w:r>
      <w:r w:rsidR="00FF12AE" w:rsidRPr="001A6F73">
        <w:t>port terminal service provider</w:t>
      </w:r>
      <w:r w:rsidR="00CF352D" w:rsidRPr="001A6F73">
        <w:t xml:space="preserve"> </w:t>
      </w:r>
      <w:r w:rsidR="001A3DED" w:rsidRPr="001A6F73">
        <w:t>mu</w:t>
      </w:r>
      <w:r w:rsidRPr="001A6F73">
        <w:t xml:space="preserve">st </w:t>
      </w:r>
      <w:r w:rsidR="004D33C1" w:rsidRPr="001A6F73">
        <w:t>enter</w:t>
      </w:r>
      <w:r w:rsidR="00DC1084" w:rsidRPr="001A6F73">
        <w:t xml:space="preserve"> into an access agreement</w:t>
      </w:r>
      <w:r w:rsidR="00143D58" w:rsidRPr="001A6F73">
        <w:t xml:space="preserve"> </w:t>
      </w:r>
      <w:r w:rsidR="00DB3EF1" w:rsidRPr="001A6F73">
        <w:t>or enter into negotiations about the terms of an access agreement with an exporter</w:t>
      </w:r>
      <w:r w:rsidR="00575018" w:rsidRPr="001A6F73">
        <w:t xml:space="preserve"> </w:t>
      </w:r>
      <w:r w:rsidR="00DB3EF1" w:rsidRPr="001A6F73">
        <w:t>if:</w:t>
      </w:r>
    </w:p>
    <w:p w:rsidR="007A3DA1" w:rsidRPr="001A6F73" w:rsidRDefault="007A3DA1" w:rsidP="007A3DA1">
      <w:pPr>
        <w:pStyle w:val="paragraph"/>
      </w:pPr>
      <w:r w:rsidRPr="001A6F73">
        <w:tab/>
        <w:t>(a)</w:t>
      </w:r>
      <w:r w:rsidRPr="001A6F73">
        <w:tab/>
      </w:r>
      <w:r w:rsidR="00407668" w:rsidRPr="001A6F73">
        <w:t xml:space="preserve">the </w:t>
      </w:r>
      <w:r w:rsidRPr="001A6F73">
        <w:t>exporter has applied to</w:t>
      </w:r>
      <w:r w:rsidR="00407668" w:rsidRPr="001A6F73">
        <w:t xml:space="preserve"> the</w:t>
      </w:r>
      <w:r w:rsidR="004C070F" w:rsidRPr="001A6F73">
        <w:t xml:space="preserve"> </w:t>
      </w:r>
      <w:r w:rsidR="00FF12AE" w:rsidRPr="001A6F73">
        <w:t>port terminal service provider</w:t>
      </w:r>
      <w:r w:rsidRPr="001A6F73">
        <w:t xml:space="preserve"> to enter </w:t>
      </w:r>
      <w:r w:rsidR="00296DA3" w:rsidRPr="001A6F73">
        <w:t xml:space="preserve">into </w:t>
      </w:r>
      <w:r w:rsidRPr="001A6F73">
        <w:t>an access agreement; and</w:t>
      </w:r>
    </w:p>
    <w:p w:rsidR="00365C5C" w:rsidRPr="001A6F73" w:rsidRDefault="00365C5C" w:rsidP="007A3DA1">
      <w:pPr>
        <w:pStyle w:val="paragraph"/>
      </w:pPr>
      <w:r w:rsidRPr="001A6F73">
        <w:tab/>
        <w:t>(b)</w:t>
      </w:r>
      <w:r w:rsidRPr="001A6F73">
        <w:tab/>
        <w:t xml:space="preserve">the </w:t>
      </w:r>
      <w:r w:rsidR="00475303" w:rsidRPr="001A6F73">
        <w:t>po</w:t>
      </w:r>
      <w:r w:rsidR="00D9753A" w:rsidRPr="001A6F73">
        <w:t>rt terminal service provider is</w:t>
      </w:r>
      <w:r w:rsidR="00377D72" w:rsidRPr="001A6F73">
        <w:t xml:space="preserve"> </w:t>
      </w:r>
      <w:r w:rsidR="00475303" w:rsidRPr="001A6F73">
        <w:t xml:space="preserve">satisfied on reasonable grounds that the </w:t>
      </w:r>
      <w:r w:rsidRPr="001A6F73">
        <w:t>exporter’s application is complete</w:t>
      </w:r>
      <w:r w:rsidR="002505F1" w:rsidRPr="001A6F73">
        <w:t xml:space="preserve"> (see clause</w:t>
      </w:r>
      <w:r w:rsidR="001A6F73" w:rsidRPr="001A6F73">
        <w:t> </w:t>
      </w:r>
      <w:r w:rsidR="002505F1" w:rsidRPr="001A6F73">
        <w:t>12)</w:t>
      </w:r>
      <w:r w:rsidRPr="001A6F73">
        <w:t>; and</w:t>
      </w:r>
    </w:p>
    <w:p w:rsidR="007A3DA1" w:rsidRPr="001A6F73" w:rsidRDefault="00365C5C" w:rsidP="007A3DA1">
      <w:pPr>
        <w:pStyle w:val="paragraph"/>
      </w:pPr>
      <w:r w:rsidRPr="001A6F73">
        <w:lastRenderedPageBreak/>
        <w:tab/>
        <w:t>(c</w:t>
      </w:r>
      <w:r w:rsidR="007A3DA1" w:rsidRPr="001A6F73">
        <w:t>)</w:t>
      </w:r>
      <w:r w:rsidR="007A3DA1" w:rsidRPr="001A6F73">
        <w:tab/>
        <w:t>the</w:t>
      </w:r>
      <w:r w:rsidR="00874992" w:rsidRPr="001A6F73">
        <w:t xml:space="preserve"> </w:t>
      </w:r>
      <w:r w:rsidR="00FF12AE" w:rsidRPr="001A6F73">
        <w:t>port terminal service provider</w:t>
      </w:r>
      <w:r w:rsidR="00AB4544" w:rsidRPr="001A6F73">
        <w:t xml:space="preserve"> is satisfied </w:t>
      </w:r>
      <w:r w:rsidR="0042573E" w:rsidRPr="001A6F73">
        <w:t xml:space="preserve">on </w:t>
      </w:r>
      <w:r w:rsidR="00AB4544" w:rsidRPr="001A6F73">
        <w:t>reasonable grounds that</w:t>
      </w:r>
      <w:r w:rsidR="007A3DA1" w:rsidRPr="001A6F73">
        <w:t>:</w:t>
      </w:r>
    </w:p>
    <w:p w:rsidR="007A3DA1" w:rsidRPr="001A6F73" w:rsidRDefault="007A3DA1" w:rsidP="007A3DA1">
      <w:pPr>
        <w:pStyle w:val="paragraphsub"/>
      </w:pPr>
      <w:r w:rsidRPr="001A6F73">
        <w:tab/>
        <w:t>(i)</w:t>
      </w:r>
      <w:r w:rsidRPr="001A6F73">
        <w:tab/>
        <w:t>the exporter is solvent;</w:t>
      </w:r>
      <w:r w:rsidR="00DB3EF1" w:rsidRPr="001A6F73">
        <w:t xml:space="preserve"> and</w:t>
      </w:r>
    </w:p>
    <w:p w:rsidR="007A3DA1" w:rsidRPr="001A6F73" w:rsidRDefault="007A3DA1" w:rsidP="007A3DA1">
      <w:pPr>
        <w:pStyle w:val="paragraphsub"/>
      </w:pPr>
      <w:r w:rsidRPr="001A6F73">
        <w:tab/>
        <w:t>(ii)</w:t>
      </w:r>
      <w:r w:rsidRPr="001A6F73">
        <w:tab/>
        <w:t xml:space="preserve">the exporter has established </w:t>
      </w:r>
      <w:r w:rsidR="00DB3EF1" w:rsidRPr="001A6F73">
        <w:t>the identit</w:t>
      </w:r>
      <w:r w:rsidR="00407668" w:rsidRPr="001A6F73">
        <w:t>y of its</w:t>
      </w:r>
      <w:r w:rsidRPr="001A6F73">
        <w:t xml:space="preserve"> legal owners; and</w:t>
      </w:r>
    </w:p>
    <w:p w:rsidR="007A3DA1" w:rsidRPr="001A6F73" w:rsidRDefault="00407668" w:rsidP="007A3DA1">
      <w:pPr>
        <w:pStyle w:val="paragraphsub"/>
      </w:pPr>
      <w:r w:rsidRPr="001A6F73">
        <w:tab/>
        <w:t>(iii)</w:t>
      </w:r>
      <w:r w:rsidRPr="001A6F73">
        <w:tab/>
        <w:t>the exporter</w:t>
      </w:r>
      <w:r w:rsidR="009A5D6D" w:rsidRPr="001A6F73">
        <w:t xml:space="preserve"> </w:t>
      </w:r>
      <w:r w:rsidRPr="001A6F73">
        <w:t>is able to</w:t>
      </w:r>
      <w:r w:rsidR="007A3DA1" w:rsidRPr="001A6F73">
        <w:t xml:space="preserve"> meet actual or potential liabilities under an access agreement</w:t>
      </w:r>
      <w:r w:rsidR="00D3268B" w:rsidRPr="001A6F73">
        <w:t xml:space="preserve"> with the </w:t>
      </w:r>
      <w:r w:rsidR="00FF12AE" w:rsidRPr="001A6F73">
        <w:t>port terminal service provider</w:t>
      </w:r>
      <w:r w:rsidR="007A3DA1" w:rsidRPr="001A6F73">
        <w:t>; and</w:t>
      </w:r>
    </w:p>
    <w:p w:rsidR="007A3DA1" w:rsidRPr="001A6F73" w:rsidRDefault="007A3DA1" w:rsidP="007A3DA1">
      <w:pPr>
        <w:pStyle w:val="paragraphsub"/>
      </w:pPr>
      <w:r w:rsidRPr="001A6F73">
        <w:tab/>
        <w:t>(iv)</w:t>
      </w:r>
      <w:r w:rsidRPr="001A6F73">
        <w:tab/>
        <w:t xml:space="preserve">the exporter is not currently in </w:t>
      </w:r>
      <w:r w:rsidR="00407668" w:rsidRPr="001A6F73">
        <w:t xml:space="preserve">breach of </w:t>
      </w:r>
      <w:r w:rsidRPr="001A6F73">
        <w:t xml:space="preserve">an access agreement </w:t>
      </w:r>
      <w:r w:rsidR="00874992" w:rsidRPr="001A6F73">
        <w:t>with the</w:t>
      </w:r>
      <w:r w:rsidR="00AB4544" w:rsidRPr="001A6F73">
        <w:t xml:space="preserve"> </w:t>
      </w:r>
      <w:r w:rsidR="00FF12AE" w:rsidRPr="001A6F73">
        <w:t>port terminal service provider</w:t>
      </w:r>
      <w:r w:rsidR="00AB4544" w:rsidRPr="001A6F73">
        <w:t xml:space="preserve"> </w:t>
      </w:r>
      <w:r w:rsidRPr="001A6F73">
        <w:t xml:space="preserve">because of financial </w:t>
      </w:r>
      <w:r w:rsidR="002B556A" w:rsidRPr="001A6F73">
        <w:t>problems</w:t>
      </w:r>
      <w:r w:rsidRPr="001A6F73">
        <w:t>; and</w:t>
      </w:r>
    </w:p>
    <w:p w:rsidR="002505F1" w:rsidRPr="001A6F73" w:rsidRDefault="007A3DA1" w:rsidP="002505F1">
      <w:pPr>
        <w:pStyle w:val="paragraphsub"/>
      </w:pPr>
      <w:r w:rsidRPr="001A6F73">
        <w:tab/>
        <w:t>(v)</w:t>
      </w:r>
      <w:r w:rsidRPr="001A6F73">
        <w:tab/>
        <w:t xml:space="preserve">the exporter has not been in </w:t>
      </w:r>
      <w:r w:rsidR="00407668" w:rsidRPr="001A6F73">
        <w:t xml:space="preserve">breach of </w:t>
      </w:r>
      <w:r w:rsidRPr="001A6F73">
        <w:t xml:space="preserve">an access agreement </w:t>
      </w:r>
      <w:r w:rsidR="00AB4544" w:rsidRPr="001A6F73">
        <w:t xml:space="preserve">with the </w:t>
      </w:r>
      <w:r w:rsidR="00FF12AE" w:rsidRPr="001A6F73">
        <w:t>port terminal service provider</w:t>
      </w:r>
      <w:r w:rsidR="00AB4544" w:rsidRPr="001A6F73">
        <w:t xml:space="preserve"> </w:t>
      </w:r>
      <w:r w:rsidRPr="001A6F73">
        <w:t xml:space="preserve">because of financial </w:t>
      </w:r>
      <w:r w:rsidR="002B556A" w:rsidRPr="001A6F73">
        <w:t>problems</w:t>
      </w:r>
      <w:r w:rsidRPr="001A6F73">
        <w:t xml:space="preserve"> during the 2 years immediately before the exporter applied under </w:t>
      </w:r>
      <w:r w:rsidR="001A6F73" w:rsidRPr="001A6F73">
        <w:t>paragraph (</w:t>
      </w:r>
      <w:r w:rsidRPr="001A6F73">
        <w:t>a).</w:t>
      </w:r>
    </w:p>
    <w:p w:rsidR="007A3DA1" w:rsidRPr="001A6F73" w:rsidRDefault="00407668" w:rsidP="00C840DE">
      <w:pPr>
        <w:pStyle w:val="subsection"/>
      </w:pPr>
      <w:r w:rsidRPr="001A6F73">
        <w:tab/>
        <w:t>(2)</w:t>
      </w:r>
      <w:r w:rsidRPr="001A6F73">
        <w:tab/>
        <w:t xml:space="preserve">In satisfying itself for the purposes of </w:t>
      </w:r>
      <w:r w:rsidR="001A6F73" w:rsidRPr="001A6F73">
        <w:t>paragraph (</w:t>
      </w:r>
      <w:r w:rsidRPr="001A6F73">
        <w:t>1)(</w:t>
      </w:r>
      <w:r w:rsidR="003E3BC6" w:rsidRPr="001A6F73">
        <w:t>c</w:t>
      </w:r>
      <w:r w:rsidRPr="001A6F73">
        <w:t>), the</w:t>
      </w:r>
      <w:r w:rsidR="00874992" w:rsidRPr="001A6F73">
        <w:t xml:space="preserve"> </w:t>
      </w:r>
      <w:r w:rsidR="00FF12AE" w:rsidRPr="001A6F73">
        <w:t>port terminal service provider</w:t>
      </w:r>
      <w:r w:rsidRPr="001A6F73">
        <w:t xml:space="preserve"> may:</w:t>
      </w:r>
    </w:p>
    <w:p w:rsidR="007A3DA1" w:rsidRPr="001A6F73" w:rsidRDefault="007A3DA1" w:rsidP="007A3DA1">
      <w:pPr>
        <w:pStyle w:val="paragraph"/>
      </w:pPr>
      <w:r w:rsidRPr="001A6F73">
        <w:t xml:space="preserve"> </w:t>
      </w:r>
      <w:r w:rsidRPr="001A6F73">
        <w:tab/>
        <w:t>(a)</w:t>
      </w:r>
      <w:r w:rsidRPr="001A6F73">
        <w:tab/>
      </w:r>
      <w:r w:rsidR="00407668" w:rsidRPr="001A6F73">
        <w:t xml:space="preserve">have regard to the </w:t>
      </w:r>
      <w:r w:rsidRPr="001A6F73">
        <w:t xml:space="preserve">exporter’s previous credit history with the </w:t>
      </w:r>
      <w:r w:rsidR="001A3DED" w:rsidRPr="001A6F73">
        <w:t>provider</w:t>
      </w:r>
      <w:r w:rsidRPr="001A6F73">
        <w:t>; and</w:t>
      </w:r>
    </w:p>
    <w:p w:rsidR="007A3DA1" w:rsidRPr="001A6F73" w:rsidRDefault="007A3DA1" w:rsidP="007A3DA1">
      <w:pPr>
        <w:pStyle w:val="paragraph"/>
      </w:pPr>
      <w:r w:rsidRPr="001A6F73">
        <w:tab/>
        <w:t>(b)</w:t>
      </w:r>
      <w:r w:rsidRPr="001A6F73">
        <w:tab/>
        <w:t xml:space="preserve">request the exporter to consent to the </w:t>
      </w:r>
      <w:r w:rsidR="001A3DED" w:rsidRPr="001A6F73">
        <w:t>provider</w:t>
      </w:r>
      <w:r w:rsidRPr="001A6F73">
        <w:t xml:space="preserve"> engaging a credit reporting agency to undertake a credit review of the exporter, including a search of the PPS Register; and</w:t>
      </w:r>
    </w:p>
    <w:p w:rsidR="007A3DA1" w:rsidRPr="001A6F73" w:rsidRDefault="007A3DA1" w:rsidP="007A3DA1">
      <w:pPr>
        <w:pStyle w:val="paragraph"/>
      </w:pPr>
      <w:r w:rsidRPr="001A6F73">
        <w:tab/>
        <w:t>(c)</w:t>
      </w:r>
      <w:r w:rsidRPr="001A6F73">
        <w:tab/>
        <w:t>request the exporter to provide:</w:t>
      </w:r>
    </w:p>
    <w:p w:rsidR="007A3DA1" w:rsidRPr="001A6F73" w:rsidRDefault="007A3DA1" w:rsidP="007A3DA1">
      <w:pPr>
        <w:pStyle w:val="paragraphsub"/>
      </w:pPr>
      <w:r w:rsidRPr="001A6F73">
        <w:tab/>
        <w:t>(i)</w:t>
      </w:r>
      <w:r w:rsidRPr="001A6F73">
        <w:tab/>
        <w:t>details of the exporter’s credit rating; and</w:t>
      </w:r>
    </w:p>
    <w:p w:rsidR="007A3DA1" w:rsidRPr="001A6F73" w:rsidRDefault="007A3DA1" w:rsidP="007A3DA1">
      <w:pPr>
        <w:pStyle w:val="paragraphsub"/>
      </w:pPr>
      <w:r w:rsidRPr="001A6F73">
        <w:tab/>
        <w:t>(ii)</w:t>
      </w:r>
      <w:r w:rsidRPr="001A6F73">
        <w:tab/>
        <w:t>the exporter’s most recent financial statements; and</w:t>
      </w:r>
    </w:p>
    <w:p w:rsidR="005E437D" w:rsidRPr="001A6F73" w:rsidRDefault="007A3DA1" w:rsidP="005E437D">
      <w:pPr>
        <w:pStyle w:val="paragraphsub"/>
      </w:pPr>
      <w:r w:rsidRPr="001A6F73">
        <w:tab/>
        <w:t>(iii)</w:t>
      </w:r>
      <w:r w:rsidRPr="001A6F73">
        <w:tab/>
        <w:t>references from commercial trade referees.</w:t>
      </w:r>
    </w:p>
    <w:p w:rsidR="007A3DA1" w:rsidRPr="001A6F73" w:rsidRDefault="007A3DA1" w:rsidP="007A3DA1">
      <w:pPr>
        <w:pStyle w:val="SubsectionHead"/>
      </w:pPr>
      <w:r w:rsidRPr="001A6F73">
        <w:t>When</w:t>
      </w:r>
      <w:r w:rsidR="004C070F" w:rsidRPr="001A6F73">
        <w:t xml:space="preserve"> </w:t>
      </w:r>
      <w:r w:rsidR="00FF12AE" w:rsidRPr="001A6F73">
        <w:t>port terminal service provider</w:t>
      </w:r>
      <w:r w:rsidRPr="001A6F73">
        <w:t xml:space="preserve"> is not satisfied of matters mentioned in </w:t>
      </w:r>
      <w:r w:rsidR="001A6F73" w:rsidRPr="001A6F73">
        <w:t>paragraph (</w:t>
      </w:r>
      <w:r w:rsidRPr="001A6F73">
        <w:t>1)(</w:t>
      </w:r>
      <w:r w:rsidR="00365C5C" w:rsidRPr="001A6F73">
        <w:t>c</w:t>
      </w:r>
      <w:r w:rsidRPr="001A6F73">
        <w:t>)</w:t>
      </w:r>
    </w:p>
    <w:p w:rsidR="007D10EA" w:rsidRPr="001A6F73" w:rsidRDefault="007A3DA1" w:rsidP="007A3DA1">
      <w:pPr>
        <w:pStyle w:val="subsection"/>
      </w:pPr>
      <w:r w:rsidRPr="001A6F73">
        <w:tab/>
        <w:t>(3)</w:t>
      </w:r>
      <w:r w:rsidRPr="001A6F73">
        <w:tab/>
        <w:t>If a</w:t>
      </w:r>
      <w:r w:rsidR="004C070F" w:rsidRPr="001A6F73">
        <w:t xml:space="preserve"> </w:t>
      </w:r>
      <w:r w:rsidR="00FF12AE" w:rsidRPr="001A6F73">
        <w:t>port terminal service provider</w:t>
      </w:r>
      <w:r w:rsidRPr="001A6F73">
        <w:t xml:space="preserve"> is not satisfied </w:t>
      </w:r>
      <w:r w:rsidR="0042573E" w:rsidRPr="001A6F73">
        <w:t xml:space="preserve">on reasonable grounds </w:t>
      </w:r>
      <w:r w:rsidRPr="001A6F73">
        <w:t xml:space="preserve">of the matters mentioned in </w:t>
      </w:r>
      <w:r w:rsidR="001A6F73" w:rsidRPr="001A6F73">
        <w:t>paragraph (</w:t>
      </w:r>
      <w:r w:rsidRPr="001A6F73">
        <w:t>1)(</w:t>
      </w:r>
      <w:r w:rsidR="00365C5C" w:rsidRPr="001A6F73">
        <w:t>c</w:t>
      </w:r>
      <w:r w:rsidRPr="001A6F73">
        <w:t xml:space="preserve">), the </w:t>
      </w:r>
      <w:r w:rsidR="001A3DED" w:rsidRPr="001A6F73">
        <w:t>provider</w:t>
      </w:r>
      <w:r w:rsidRPr="001A6F73">
        <w:t xml:space="preserve"> must</w:t>
      </w:r>
      <w:r w:rsidR="007D10EA" w:rsidRPr="001A6F73">
        <w:t>:</w:t>
      </w:r>
    </w:p>
    <w:p w:rsidR="007D10EA" w:rsidRPr="001A6F73" w:rsidRDefault="007D10EA" w:rsidP="007D10EA">
      <w:pPr>
        <w:pStyle w:val="paragraph"/>
      </w:pPr>
      <w:r w:rsidRPr="001A6F73">
        <w:tab/>
        <w:t>(a)</w:t>
      </w:r>
      <w:r w:rsidRPr="001A6F73">
        <w:tab/>
        <w:t>notify the exporter, in writing, of the reasons within 5 business days of:</w:t>
      </w:r>
    </w:p>
    <w:p w:rsidR="007D10EA" w:rsidRPr="001A6F73" w:rsidRDefault="007D10EA" w:rsidP="007D10EA">
      <w:pPr>
        <w:pStyle w:val="paragraphsub"/>
      </w:pPr>
      <w:r w:rsidRPr="001A6F73">
        <w:lastRenderedPageBreak/>
        <w:tab/>
        <w:t>(i)</w:t>
      </w:r>
      <w:r w:rsidRPr="001A6F73">
        <w:tab/>
        <w:t>if clause</w:t>
      </w:r>
      <w:r w:rsidR="001A6F73" w:rsidRPr="001A6F73">
        <w:t> </w:t>
      </w:r>
      <w:r w:rsidRPr="001A6F73">
        <w:t>12 applied to the exporter’s application—th</w:t>
      </w:r>
      <w:r w:rsidR="00365C5C" w:rsidRPr="001A6F73">
        <w:t xml:space="preserve">e day the exporter was notified </w:t>
      </w:r>
      <w:r w:rsidR="00F53D5A" w:rsidRPr="001A6F73">
        <w:t xml:space="preserve">by the port terminal service provider </w:t>
      </w:r>
      <w:r w:rsidRPr="001A6F73">
        <w:t>that the information provided was sufficient; or</w:t>
      </w:r>
    </w:p>
    <w:p w:rsidR="007D10EA" w:rsidRPr="001A6F73" w:rsidRDefault="007D10EA" w:rsidP="007D10EA">
      <w:pPr>
        <w:pStyle w:val="paragraphsub"/>
      </w:pPr>
      <w:r w:rsidRPr="001A6F73">
        <w:tab/>
        <w:t>(ii)</w:t>
      </w:r>
      <w:r w:rsidRPr="001A6F73">
        <w:tab/>
      </w:r>
      <w:r w:rsidR="00F53D5A" w:rsidRPr="001A6F73">
        <w:t>in all other cases—</w:t>
      </w:r>
      <w:r w:rsidRPr="001A6F73">
        <w:t>the day the exporter applied to the port terminal service provider to enter into an access agreement; and</w:t>
      </w:r>
    </w:p>
    <w:p w:rsidR="007D10EA" w:rsidRPr="001A6F73" w:rsidRDefault="007D10EA" w:rsidP="007A3DA1">
      <w:pPr>
        <w:pStyle w:val="paragraph"/>
      </w:pPr>
      <w:r w:rsidRPr="001A6F73">
        <w:tab/>
        <w:t>(b)</w:t>
      </w:r>
      <w:r w:rsidRPr="001A6F73">
        <w:tab/>
        <w:t>give the exporter an opportunity to provide additional information.</w:t>
      </w:r>
    </w:p>
    <w:p w:rsidR="007A3DA1" w:rsidRPr="001A6F73" w:rsidRDefault="007A3DA1" w:rsidP="007A3DA1">
      <w:pPr>
        <w:pStyle w:val="subsection"/>
      </w:pPr>
      <w:r w:rsidRPr="001A6F73">
        <w:tab/>
        <w:t>(4)</w:t>
      </w:r>
      <w:r w:rsidRPr="001A6F73">
        <w:tab/>
        <w:t xml:space="preserve">An exporter </w:t>
      </w:r>
      <w:r w:rsidR="00407668" w:rsidRPr="001A6F73">
        <w:t xml:space="preserve">that is </w:t>
      </w:r>
      <w:r w:rsidRPr="001A6F73">
        <w:t xml:space="preserve">given an opportunity to provide additional information under </w:t>
      </w:r>
      <w:r w:rsidR="001A6F73" w:rsidRPr="001A6F73">
        <w:t>paragraph (</w:t>
      </w:r>
      <w:r w:rsidRPr="001A6F73">
        <w:t>3)(b)</w:t>
      </w:r>
      <w:r w:rsidR="002B556A" w:rsidRPr="001A6F73">
        <w:t>,</w:t>
      </w:r>
      <w:r w:rsidRPr="001A6F73">
        <w:t xml:space="preserve"> must provide the information within:</w:t>
      </w:r>
    </w:p>
    <w:p w:rsidR="007A3DA1" w:rsidRPr="001A6F73" w:rsidRDefault="007A3DA1" w:rsidP="007A3DA1">
      <w:pPr>
        <w:pStyle w:val="paragraph"/>
      </w:pPr>
      <w:r w:rsidRPr="001A6F73">
        <w:tab/>
        <w:t>(a)</w:t>
      </w:r>
      <w:r w:rsidRPr="001A6F73">
        <w:tab/>
        <w:t>7 business days</w:t>
      </w:r>
      <w:r w:rsidR="00F53D5A" w:rsidRPr="001A6F73">
        <w:t xml:space="preserve"> after the exporter is notified</w:t>
      </w:r>
      <w:r w:rsidRPr="001A6F73">
        <w:t>; or</w:t>
      </w:r>
    </w:p>
    <w:p w:rsidR="007A3DA1" w:rsidRPr="001A6F73" w:rsidRDefault="007A3DA1" w:rsidP="007A3DA1">
      <w:pPr>
        <w:pStyle w:val="paragraph"/>
      </w:pPr>
      <w:r w:rsidRPr="001A6F73">
        <w:tab/>
        <w:t>(b)</w:t>
      </w:r>
      <w:r w:rsidRPr="001A6F73">
        <w:tab/>
      </w:r>
      <w:r w:rsidR="00407668" w:rsidRPr="001A6F73">
        <w:t>such greater number of days as is agreed by the</w:t>
      </w:r>
      <w:r w:rsidR="004C070F" w:rsidRPr="001A6F73">
        <w:t xml:space="preserve"> </w:t>
      </w:r>
      <w:r w:rsidR="00FF12AE" w:rsidRPr="001A6F73">
        <w:t>port terminal service provider</w:t>
      </w:r>
      <w:r w:rsidRPr="001A6F73">
        <w:t>.</w:t>
      </w:r>
    </w:p>
    <w:p w:rsidR="00056B06" w:rsidRPr="001A6F73" w:rsidRDefault="00056B06" w:rsidP="00056B06">
      <w:pPr>
        <w:pStyle w:val="subsection"/>
      </w:pPr>
      <w:r w:rsidRPr="001A6F73">
        <w:tab/>
        <w:t>(</w:t>
      </w:r>
      <w:r w:rsidR="00962C46" w:rsidRPr="001A6F73">
        <w:t>5</w:t>
      </w:r>
      <w:r w:rsidRPr="001A6F73">
        <w:t>)</w:t>
      </w:r>
      <w:r w:rsidRPr="001A6F73">
        <w:tab/>
        <w:t>If:</w:t>
      </w:r>
    </w:p>
    <w:p w:rsidR="00056B06" w:rsidRPr="001A6F73" w:rsidRDefault="00085B0B" w:rsidP="00056B06">
      <w:pPr>
        <w:pStyle w:val="paragraph"/>
      </w:pPr>
      <w:r w:rsidRPr="001A6F73">
        <w:tab/>
        <w:t>(a)</w:t>
      </w:r>
      <w:r w:rsidRPr="001A6F73">
        <w:tab/>
      </w:r>
      <w:r w:rsidR="00175607" w:rsidRPr="001A6F73">
        <w:t>an</w:t>
      </w:r>
      <w:r w:rsidR="00985790" w:rsidRPr="001A6F73">
        <w:t xml:space="preserve"> </w:t>
      </w:r>
      <w:r w:rsidR="00056B06" w:rsidRPr="001A6F73">
        <w:t>exporter</w:t>
      </w:r>
      <w:r w:rsidR="00175607" w:rsidRPr="001A6F73">
        <w:t xml:space="preserve"> is given</w:t>
      </w:r>
      <w:r w:rsidR="00056B06" w:rsidRPr="001A6F73">
        <w:t xml:space="preserve"> an opportunity to provide additional information under </w:t>
      </w:r>
      <w:r w:rsidR="001A6F73" w:rsidRPr="001A6F73">
        <w:t>paragraph (</w:t>
      </w:r>
      <w:r w:rsidR="00056B06" w:rsidRPr="001A6F73">
        <w:t>3)(b); and</w:t>
      </w:r>
    </w:p>
    <w:p w:rsidR="00056B06" w:rsidRPr="001A6F73" w:rsidRDefault="00056B06" w:rsidP="00056B06">
      <w:pPr>
        <w:pStyle w:val="paragraph"/>
      </w:pPr>
      <w:r w:rsidRPr="001A6F73">
        <w:tab/>
        <w:t>(b)</w:t>
      </w:r>
      <w:r w:rsidRPr="001A6F73">
        <w:tab/>
        <w:t xml:space="preserve">the exporter provides the information within the period required under </w:t>
      </w:r>
      <w:r w:rsidR="001A6F73" w:rsidRPr="001A6F73">
        <w:t>subclause (</w:t>
      </w:r>
      <w:r w:rsidRPr="001A6F73">
        <w:t>4);</w:t>
      </w:r>
    </w:p>
    <w:p w:rsidR="00056B06" w:rsidRPr="001A6F73" w:rsidRDefault="00175607" w:rsidP="00056B06">
      <w:pPr>
        <w:pStyle w:val="subsection2"/>
      </w:pPr>
      <w:r w:rsidRPr="001A6F73">
        <w:t>t</w:t>
      </w:r>
      <w:r w:rsidR="00056B06" w:rsidRPr="001A6F73">
        <w:t>he</w:t>
      </w:r>
      <w:r w:rsidRPr="001A6F73">
        <w:t xml:space="preserve"> </w:t>
      </w:r>
      <w:r w:rsidR="00FF12AE" w:rsidRPr="001A6F73">
        <w:t>port terminal service provider</w:t>
      </w:r>
      <w:r w:rsidR="00056B06" w:rsidRPr="001A6F73">
        <w:t xml:space="preserve"> must make</w:t>
      </w:r>
      <w:r w:rsidR="005E437D" w:rsidRPr="001A6F73">
        <w:t xml:space="preserve"> a decision</w:t>
      </w:r>
      <w:r w:rsidR="00056B06" w:rsidRPr="001A6F73">
        <w:t xml:space="preserve"> as to whether the provider is satisfied on reasonable grounds of the matt</w:t>
      </w:r>
      <w:r w:rsidR="00D73025" w:rsidRPr="001A6F73">
        <w:t xml:space="preserve">ers mentioned in </w:t>
      </w:r>
      <w:r w:rsidR="001A6F73" w:rsidRPr="001A6F73">
        <w:t>paragraph (</w:t>
      </w:r>
      <w:r w:rsidR="00D73025" w:rsidRPr="001A6F73">
        <w:t>1)(c</w:t>
      </w:r>
      <w:r w:rsidR="00056B06" w:rsidRPr="001A6F73">
        <w:t xml:space="preserve">) </w:t>
      </w:r>
      <w:r w:rsidR="005E437D" w:rsidRPr="001A6F73">
        <w:t xml:space="preserve">within 5 </w:t>
      </w:r>
      <w:r w:rsidR="00056B06" w:rsidRPr="001A6F73">
        <w:t xml:space="preserve">business </w:t>
      </w:r>
      <w:r w:rsidR="005E437D" w:rsidRPr="001A6F73">
        <w:t>days of</w:t>
      </w:r>
      <w:r w:rsidR="00056B06" w:rsidRPr="001A6F73">
        <w:t xml:space="preserve"> the information being provided.</w:t>
      </w:r>
    </w:p>
    <w:p w:rsidR="005E437D" w:rsidRPr="001A6F73" w:rsidRDefault="00BE4456" w:rsidP="00056B06">
      <w:pPr>
        <w:pStyle w:val="notetext"/>
      </w:pPr>
      <w:r w:rsidRPr="001A6F73">
        <w:t xml:space="preserve">Note: </w:t>
      </w:r>
      <w:r w:rsidRPr="001A6F73">
        <w:tab/>
        <w:t>A dispute about a decision under this subclause may be dealt with under clause</w:t>
      </w:r>
      <w:r w:rsidR="001A6F73" w:rsidRPr="001A6F73">
        <w:t> </w:t>
      </w:r>
      <w:r w:rsidR="00EB6DDB" w:rsidRPr="001A6F73">
        <w:t>1</w:t>
      </w:r>
      <w:r w:rsidR="00AE58C8" w:rsidRPr="001A6F73">
        <w:t>4</w:t>
      </w:r>
      <w:r w:rsidRPr="001A6F73">
        <w:t>.</w:t>
      </w:r>
    </w:p>
    <w:p w:rsidR="007A3DA1" w:rsidRPr="001A6F73" w:rsidRDefault="007A3DA1" w:rsidP="00BE4456">
      <w:pPr>
        <w:pStyle w:val="SubsectionHead"/>
      </w:pPr>
      <w:r w:rsidRPr="001A6F73">
        <w:t>When</w:t>
      </w:r>
      <w:r w:rsidR="001A3DED" w:rsidRPr="001A6F73">
        <w:t xml:space="preserve"> </w:t>
      </w:r>
      <w:r w:rsidR="00FF12AE" w:rsidRPr="001A6F73">
        <w:t>port terminal service provider</w:t>
      </w:r>
      <w:r w:rsidRPr="001A6F73">
        <w:t xml:space="preserve"> is satisfied of matters mentioned in </w:t>
      </w:r>
      <w:r w:rsidR="001A6F73" w:rsidRPr="001A6F73">
        <w:t>paragraph (</w:t>
      </w:r>
      <w:r w:rsidR="00365C5C" w:rsidRPr="001A6F73">
        <w:t>1)(c</w:t>
      </w:r>
      <w:r w:rsidRPr="001A6F73">
        <w:t>)</w:t>
      </w:r>
    </w:p>
    <w:p w:rsidR="003566D6" w:rsidRPr="001A6F73" w:rsidRDefault="00407668" w:rsidP="007A3DA1">
      <w:pPr>
        <w:pStyle w:val="subsection"/>
      </w:pPr>
      <w:r w:rsidRPr="001A6F73">
        <w:tab/>
        <w:t>(</w:t>
      </w:r>
      <w:r w:rsidR="00962C46" w:rsidRPr="001A6F73">
        <w:t>6</w:t>
      </w:r>
      <w:r w:rsidRPr="001A6F73">
        <w:t>)</w:t>
      </w:r>
      <w:r w:rsidRPr="001A6F73">
        <w:tab/>
      </w:r>
      <w:r w:rsidR="00CE3C94" w:rsidRPr="001A6F73">
        <w:t xml:space="preserve">A </w:t>
      </w:r>
      <w:r w:rsidR="00FF12AE" w:rsidRPr="001A6F73">
        <w:t>port terminal service provider</w:t>
      </w:r>
      <w:r w:rsidR="007A3DA1" w:rsidRPr="001A6F73">
        <w:t xml:space="preserve"> satisfied </w:t>
      </w:r>
      <w:r w:rsidR="0042573E" w:rsidRPr="001A6F73">
        <w:t xml:space="preserve">on reasonable grounds </w:t>
      </w:r>
      <w:r w:rsidR="007A3DA1" w:rsidRPr="001A6F73">
        <w:t xml:space="preserve">of the matters mentioned in </w:t>
      </w:r>
      <w:r w:rsidR="001A6F73" w:rsidRPr="001A6F73">
        <w:t>paragraph (</w:t>
      </w:r>
      <w:r w:rsidR="00365C5C" w:rsidRPr="001A6F73">
        <w:t>1)(c</w:t>
      </w:r>
      <w:r w:rsidR="007A3DA1" w:rsidRPr="001A6F73">
        <w:t>) must</w:t>
      </w:r>
      <w:r w:rsidR="003566D6" w:rsidRPr="001A6F73">
        <w:t>:</w:t>
      </w:r>
    </w:p>
    <w:p w:rsidR="003566D6" w:rsidRPr="001A6F73" w:rsidRDefault="003566D6" w:rsidP="003566D6">
      <w:pPr>
        <w:pStyle w:val="paragraph"/>
      </w:pPr>
      <w:r w:rsidRPr="001A6F73">
        <w:tab/>
        <w:t>(a)</w:t>
      </w:r>
      <w:r w:rsidRPr="001A6F73">
        <w:tab/>
        <w:t>offer to enter into an access agreement with the exporter on the standard terms and reference prices</w:t>
      </w:r>
      <w:r w:rsidR="001D01C2" w:rsidRPr="001A6F73">
        <w:t>; and</w:t>
      </w:r>
    </w:p>
    <w:p w:rsidR="003566D6" w:rsidRPr="001A6F73" w:rsidRDefault="003566D6" w:rsidP="003566D6">
      <w:pPr>
        <w:pStyle w:val="paragraph"/>
      </w:pPr>
      <w:r w:rsidRPr="001A6F73">
        <w:tab/>
        <w:t>(b)</w:t>
      </w:r>
      <w:r w:rsidRPr="001A6F73">
        <w:tab/>
        <w:t>if</w:t>
      </w:r>
      <w:r w:rsidR="001D01C2" w:rsidRPr="001A6F73">
        <w:t>, after the offer is made</w:t>
      </w:r>
      <w:r w:rsidR="00C350BE" w:rsidRPr="001A6F73">
        <w:t>,</w:t>
      </w:r>
      <w:r w:rsidRPr="001A6F73">
        <w:t xml:space="preserve"> the exporter makes a request (a </w:t>
      </w:r>
      <w:r w:rsidRPr="001A6F73">
        <w:rPr>
          <w:b/>
          <w:i/>
        </w:rPr>
        <w:t>negotiation request</w:t>
      </w:r>
      <w:r w:rsidRPr="001A6F73">
        <w:t>) in writing—enter into negotiations with the exporter about the terms of an access agreement.</w:t>
      </w:r>
    </w:p>
    <w:p w:rsidR="003566D6" w:rsidRPr="001A6F73" w:rsidRDefault="003566D6" w:rsidP="003566D6">
      <w:pPr>
        <w:pStyle w:val="subsection"/>
      </w:pPr>
      <w:r w:rsidRPr="001A6F73">
        <w:lastRenderedPageBreak/>
        <w:tab/>
        <w:t>(7)</w:t>
      </w:r>
      <w:r w:rsidRPr="001A6F73">
        <w:tab/>
      </w:r>
      <w:r w:rsidR="00E40E4C" w:rsidRPr="001A6F73">
        <w:t xml:space="preserve">The offer mentioned in </w:t>
      </w:r>
      <w:r w:rsidR="001A6F73" w:rsidRPr="001A6F73">
        <w:t>paragraph (</w:t>
      </w:r>
      <w:r w:rsidR="00E40E4C" w:rsidRPr="001A6F73">
        <w:t>6)(a) must be made</w:t>
      </w:r>
      <w:r w:rsidR="00657115" w:rsidRPr="001A6F73">
        <w:t xml:space="preserve"> by the port terminal service provider</w:t>
      </w:r>
      <w:r w:rsidR="00E40E4C" w:rsidRPr="001A6F73">
        <w:t>:</w:t>
      </w:r>
    </w:p>
    <w:p w:rsidR="00966FB9" w:rsidRPr="001A6F73" w:rsidRDefault="00366B1A" w:rsidP="00366B1A">
      <w:pPr>
        <w:pStyle w:val="paragraph"/>
      </w:pPr>
      <w:r w:rsidRPr="001A6F73">
        <w:tab/>
        <w:t>(a)</w:t>
      </w:r>
      <w:r w:rsidRPr="001A6F73">
        <w:tab/>
      </w:r>
      <w:r w:rsidR="00AF01CE" w:rsidRPr="001A6F73">
        <w:t xml:space="preserve">if the port terminal service provider made a decision under </w:t>
      </w:r>
      <w:r w:rsidR="001A6F73" w:rsidRPr="001A6F73">
        <w:t>subclause (</w:t>
      </w:r>
      <w:r w:rsidR="00AF01CE" w:rsidRPr="001A6F73">
        <w:t>5)</w:t>
      </w:r>
      <w:r w:rsidR="001D01C2" w:rsidRPr="001A6F73">
        <w:t xml:space="preserve"> (additional information)</w:t>
      </w:r>
      <w:r w:rsidR="00735FB8" w:rsidRPr="001A6F73">
        <w:t>—</w:t>
      </w:r>
      <w:r w:rsidR="00D42D48" w:rsidRPr="001A6F73">
        <w:t xml:space="preserve">on </w:t>
      </w:r>
      <w:r w:rsidR="00735FB8" w:rsidRPr="001A6F73">
        <w:t>the day the decision was made;</w:t>
      </w:r>
      <w:r w:rsidR="00A354F8" w:rsidRPr="001A6F73">
        <w:t xml:space="preserve"> or</w:t>
      </w:r>
    </w:p>
    <w:p w:rsidR="00AF01CE" w:rsidRPr="001A6F73" w:rsidRDefault="00AF01CE" w:rsidP="00366B1A">
      <w:pPr>
        <w:pStyle w:val="paragraph"/>
      </w:pPr>
      <w:r w:rsidRPr="001A6F73">
        <w:tab/>
        <w:t>(b)</w:t>
      </w:r>
      <w:r w:rsidRPr="001A6F73">
        <w:tab/>
        <w:t>in all other cases—within 5 business days of:</w:t>
      </w:r>
    </w:p>
    <w:p w:rsidR="00366B1A" w:rsidRPr="001A6F73" w:rsidRDefault="00366B1A" w:rsidP="00366B1A">
      <w:pPr>
        <w:pStyle w:val="paragraphsub"/>
      </w:pPr>
      <w:r w:rsidRPr="001A6F73">
        <w:t xml:space="preserve"> </w:t>
      </w:r>
      <w:r w:rsidRPr="001A6F73">
        <w:tab/>
        <w:t>(i)</w:t>
      </w:r>
      <w:r w:rsidRPr="001A6F73">
        <w:tab/>
      </w:r>
      <w:r w:rsidR="00CA002D" w:rsidRPr="001A6F73">
        <w:t>if clause</w:t>
      </w:r>
      <w:r w:rsidR="001A6F73" w:rsidRPr="001A6F73">
        <w:t> </w:t>
      </w:r>
      <w:r w:rsidR="00CA002D" w:rsidRPr="001A6F73">
        <w:t xml:space="preserve">12 </w:t>
      </w:r>
      <w:r w:rsidR="001D01C2" w:rsidRPr="001A6F73">
        <w:t xml:space="preserve">(incomplete applications) </w:t>
      </w:r>
      <w:r w:rsidR="00CA002D" w:rsidRPr="001A6F73">
        <w:t>applied to the exporter’s application</w:t>
      </w:r>
      <w:r w:rsidR="00F37659" w:rsidRPr="001A6F73">
        <w:t>—</w:t>
      </w:r>
      <w:r w:rsidR="00F53D5A" w:rsidRPr="001A6F73">
        <w:t>the day the exporter was notified by the port terminal service provider that the information provided was sufficient</w:t>
      </w:r>
      <w:r w:rsidR="00CA002D" w:rsidRPr="001A6F73">
        <w:t>; or</w:t>
      </w:r>
    </w:p>
    <w:p w:rsidR="00CA002D" w:rsidRPr="001A6F73" w:rsidRDefault="00CA002D" w:rsidP="00366B1A">
      <w:pPr>
        <w:pStyle w:val="paragraphsub"/>
      </w:pPr>
      <w:r w:rsidRPr="001A6F73">
        <w:tab/>
        <w:t>(ii)</w:t>
      </w:r>
      <w:r w:rsidRPr="001A6F73">
        <w:tab/>
      </w:r>
      <w:r w:rsidR="001D01C2" w:rsidRPr="001A6F73">
        <w:t>otherwise—</w:t>
      </w:r>
      <w:r w:rsidRPr="001A6F73">
        <w:t>the day the exporter applied to the port terminal service provider to enter into an access agreement.</w:t>
      </w:r>
    </w:p>
    <w:p w:rsidR="006760FF" w:rsidRPr="001A6F73" w:rsidRDefault="00573147" w:rsidP="0013666F">
      <w:pPr>
        <w:pStyle w:val="subsection"/>
      </w:pPr>
      <w:r w:rsidRPr="001A6F73">
        <w:tab/>
        <w:t>(8)</w:t>
      </w:r>
      <w:r w:rsidRPr="001A6F73">
        <w:tab/>
        <w:t xml:space="preserve">The day on which negotiations must be entered with the exporter under </w:t>
      </w:r>
      <w:r w:rsidR="001A6F73" w:rsidRPr="001A6F73">
        <w:t>paragraph (</w:t>
      </w:r>
      <w:r w:rsidRPr="001A6F73">
        <w:t xml:space="preserve">6)(b) </w:t>
      </w:r>
      <w:r w:rsidR="0056782D" w:rsidRPr="001A6F73">
        <w:t>is</w:t>
      </w:r>
      <w:r w:rsidR="0013666F" w:rsidRPr="001A6F73">
        <w:t xml:space="preserve"> the day the negotiation request is received</w:t>
      </w:r>
      <w:r w:rsidR="0056782D" w:rsidRPr="001A6F73">
        <w:t xml:space="preserve"> by the port terminal service provider</w:t>
      </w:r>
      <w:r w:rsidR="0013666F" w:rsidRPr="001A6F73">
        <w:t>.</w:t>
      </w:r>
    </w:p>
    <w:p w:rsidR="007A3DA1" w:rsidRPr="001A6F73" w:rsidRDefault="00EB6DDB" w:rsidP="00C4131D">
      <w:pPr>
        <w:pStyle w:val="ActHead5"/>
      </w:pPr>
      <w:bookmarkStart w:id="30" w:name="_Toc397955321"/>
      <w:r w:rsidRPr="001A6F73">
        <w:rPr>
          <w:rStyle w:val="CharSectno"/>
        </w:rPr>
        <w:t>1</w:t>
      </w:r>
      <w:r w:rsidR="00EE510E" w:rsidRPr="001A6F73">
        <w:rPr>
          <w:rStyle w:val="CharSectno"/>
        </w:rPr>
        <w:t>2</w:t>
      </w:r>
      <w:r w:rsidR="007A3DA1" w:rsidRPr="001A6F73">
        <w:t xml:space="preserve">  </w:t>
      </w:r>
      <w:r w:rsidR="007B15F1" w:rsidRPr="001A6F73">
        <w:t xml:space="preserve">Dealing with </w:t>
      </w:r>
      <w:r w:rsidR="009E01F5" w:rsidRPr="001A6F73">
        <w:t xml:space="preserve">an </w:t>
      </w:r>
      <w:r w:rsidR="007B15F1" w:rsidRPr="001A6F73">
        <w:t>incomplete application</w:t>
      </w:r>
      <w:bookmarkEnd w:id="30"/>
    </w:p>
    <w:p w:rsidR="00C840DE" w:rsidRPr="001A6F73" w:rsidRDefault="00C840DE" w:rsidP="00C840DE">
      <w:pPr>
        <w:pStyle w:val="subsection"/>
      </w:pPr>
      <w:r w:rsidRPr="001A6F73">
        <w:tab/>
      </w:r>
      <w:r w:rsidRPr="001A6F73">
        <w:tab/>
        <w:t>If an exporter has applied to a port terminal service provider under paragraph</w:t>
      </w:r>
      <w:r w:rsidR="001A6F73" w:rsidRPr="001A6F73">
        <w:t> </w:t>
      </w:r>
      <w:r w:rsidRPr="001A6F73">
        <w:t xml:space="preserve">11(1)(a) and the port terminal service provider </w:t>
      </w:r>
      <w:r w:rsidR="00FD1CD0" w:rsidRPr="001A6F73">
        <w:t xml:space="preserve">is </w:t>
      </w:r>
      <w:r w:rsidR="00F954CE" w:rsidRPr="001A6F73">
        <w:t xml:space="preserve">not </w:t>
      </w:r>
      <w:r w:rsidR="00FD1CD0" w:rsidRPr="001A6F73">
        <w:t xml:space="preserve">satisfied on reasonable grounds </w:t>
      </w:r>
      <w:r w:rsidR="00C350BE" w:rsidRPr="001A6F73">
        <w:t xml:space="preserve">that </w:t>
      </w:r>
      <w:r w:rsidRPr="001A6F73">
        <w:t>the exporter’s application is complete, the provider must:</w:t>
      </w:r>
    </w:p>
    <w:p w:rsidR="00C840DE" w:rsidRPr="001A6F73" w:rsidRDefault="00C840DE" w:rsidP="00C840DE">
      <w:pPr>
        <w:pStyle w:val="paragraph"/>
      </w:pPr>
      <w:r w:rsidRPr="001A6F73">
        <w:tab/>
        <w:t>(a)</w:t>
      </w:r>
      <w:r w:rsidRPr="001A6F73">
        <w:tab/>
        <w:t>within 5 business days after receipt of the application, notify the exporter, in writing, of the additional information required to be provided by the exporter; and</w:t>
      </w:r>
    </w:p>
    <w:p w:rsidR="00C840DE" w:rsidRPr="001A6F73" w:rsidRDefault="00C840DE" w:rsidP="00FD1CD0">
      <w:pPr>
        <w:pStyle w:val="paragraph"/>
      </w:pPr>
      <w:r w:rsidRPr="001A6F73">
        <w:tab/>
        <w:t>(b)</w:t>
      </w:r>
      <w:r w:rsidRPr="001A6F73">
        <w:tab/>
        <w:t>if additional information is provided by the exporter—within 3 business days after receipt of the additional information, notify the exporter, in writing, whether the information provided is sufficient.</w:t>
      </w:r>
    </w:p>
    <w:p w:rsidR="00277381" w:rsidRPr="001A6F73" w:rsidRDefault="00EB6DDB" w:rsidP="00C4131D">
      <w:pPr>
        <w:pStyle w:val="ActHead5"/>
      </w:pPr>
      <w:bookmarkStart w:id="31" w:name="_Toc397955322"/>
      <w:r w:rsidRPr="001A6F73">
        <w:rPr>
          <w:rStyle w:val="CharSectno"/>
        </w:rPr>
        <w:t>1</w:t>
      </w:r>
      <w:r w:rsidR="00EE510E" w:rsidRPr="001A6F73">
        <w:rPr>
          <w:rStyle w:val="CharSectno"/>
        </w:rPr>
        <w:t>3</w:t>
      </w:r>
      <w:r w:rsidR="00277381" w:rsidRPr="001A6F73">
        <w:t xml:space="preserve">  Terms of an access agreement</w:t>
      </w:r>
      <w:bookmarkEnd w:id="31"/>
    </w:p>
    <w:p w:rsidR="00277381" w:rsidRPr="001A6F73" w:rsidRDefault="00277381" w:rsidP="00277381">
      <w:pPr>
        <w:pStyle w:val="subsection"/>
      </w:pPr>
      <w:r w:rsidRPr="001A6F73">
        <w:tab/>
        <w:t>(1)</w:t>
      </w:r>
      <w:r w:rsidRPr="001A6F73">
        <w:tab/>
        <w:t xml:space="preserve">The terms of an access agreement between a </w:t>
      </w:r>
      <w:r w:rsidR="00FF12AE" w:rsidRPr="001A6F73">
        <w:t>port terminal service provider</w:t>
      </w:r>
      <w:r w:rsidRPr="001A6F73">
        <w:t xml:space="preserve"> and an exporter (the </w:t>
      </w:r>
      <w:r w:rsidRPr="001A6F73">
        <w:rPr>
          <w:b/>
          <w:i/>
        </w:rPr>
        <w:t>parties</w:t>
      </w:r>
      <w:r w:rsidRPr="001A6F73">
        <w:t>) must:</w:t>
      </w:r>
    </w:p>
    <w:p w:rsidR="00277381" w:rsidRPr="001A6F73" w:rsidRDefault="00277381" w:rsidP="00277381">
      <w:pPr>
        <w:pStyle w:val="paragraph"/>
      </w:pPr>
      <w:r w:rsidRPr="001A6F73">
        <w:tab/>
        <w:t>(a)</w:t>
      </w:r>
      <w:r w:rsidRPr="001A6F73">
        <w:tab/>
        <w:t>be either:</w:t>
      </w:r>
    </w:p>
    <w:p w:rsidR="00277381" w:rsidRPr="001A6F73" w:rsidRDefault="00277381" w:rsidP="00277381">
      <w:pPr>
        <w:pStyle w:val="paragraphsub"/>
      </w:pPr>
      <w:r w:rsidRPr="001A6F73">
        <w:tab/>
        <w:t>(i)</w:t>
      </w:r>
      <w:r w:rsidRPr="001A6F73">
        <w:tab/>
        <w:t>the standard terms and reference prices or the terms negotiated and agreed by the parties; or</w:t>
      </w:r>
    </w:p>
    <w:p w:rsidR="00277381" w:rsidRPr="001A6F73" w:rsidRDefault="00277381" w:rsidP="00277381">
      <w:pPr>
        <w:pStyle w:val="paragraphsub"/>
      </w:pPr>
      <w:r w:rsidRPr="001A6F73">
        <w:lastRenderedPageBreak/>
        <w:tab/>
        <w:t>(ii)</w:t>
      </w:r>
      <w:r w:rsidRPr="001A6F73">
        <w:tab/>
        <w:t>the terms determined by an arbitrator under clause</w:t>
      </w:r>
      <w:r w:rsidR="001A6F73" w:rsidRPr="001A6F73">
        <w:t> </w:t>
      </w:r>
      <w:r w:rsidR="00EB6DDB" w:rsidRPr="001A6F73">
        <w:t>1</w:t>
      </w:r>
      <w:r w:rsidR="003651EA" w:rsidRPr="001A6F73">
        <w:t>5</w:t>
      </w:r>
      <w:r w:rsidRPr="001A6F73">
        <w:t>; and</w:t>
      </w:r>
    </w:p>
    <w:p w:rsidR="00277381" w:rsidRPr="001A6F73" w:rsidRDefault="00277381" w:rsidP="00277381">
      <w:pPr>
        <w:pStyle w:val="paragraph"/>
      </w:pPr>
      <w:r w:rsidRPr="001A6F73">
        <w:tab/>
        <w:t>(b)</w:t>
      </w:r>
      <w:r w:rsidRPr="001A6F73">
        <w:tab/>
        <w:t>provide that the access agreement incorporates the provider’s port loading protocols as in force from time to time (see Part</w:t>
      </w:r>
      <w:r w:rsidR="001A6F73" w:rsidRPr="001A6F73">
        <w:t> </w:t>
      </w:r>
      <w:r w:rsidRPr="001A6F73">
        <w:t>4 of this code).</w:t>
      </w:r>
    </w:p>
    <w:p w:rsidR="00277381" w:rsidRPr="001A6F73" w:rsidRDefault="00277381" w:rsidP="00277381">
      <w:pPr>
        <w:pStyle w:val="subsection"/>
      </w:pPr>
      <w:r w:rsidRPr="001A6F73">
        <w:tab/>
        <w:t>(2)</w:t>
      </w:r>
      <w:r w:rsidRPr="001A6F73">
        <w:tab/>
        <w:t>The terms of an access agreement must not purport to restrict a party from disclosing information to the ACCC.</w:t>
      </w:r>
    </w:p>
    <w:p w:rsidR="00277381" w:rsidRPr="001A6F73" w:rsidRDefault="00277381" w:rsidP="00277381">
      <w:pPr>
        <w:pStyle w:val="subsection"/>
      </w:pPr>
      <w:r w:rsidRPr="001A6F73">
        <w:tab/>
        <w:t>(3)</w:t>
      </w:r>
      <w:r w:rsidRPr="001A6F73">
        <w:tab/>
        <w:t>An access agreement may require a party to the agreement to retain records in addition to those mentioned in Part</w:t>
      </w:r>
      <w:r w:rsidR="001A6F73" w:rsidRPr="001A6F73">
        <w:t> </w:t>
      </w:r>
      <w:r w:rsidRPr="001A6F73">
        <w:t>6 of this code.</w:t>
      </w:r>
    </w:p>
    <w:p w:rsidR="00277381" w:rsidRPr="001A6F73" w:rsidRDefault="00EB6DDB" w:rsidP="00C4131D">
      <w:pPr>
        <w:pStyle w:val="ActHead5"/>
      </w:pPr>
      <w:bookmarkStart w:id="32" w:name="_Toc397955323"/>
      <w:r w:rsidRPr="001A6F73">
        <w:rPr>
          <w:rStyle w:val="CharSectno"/>
        </w:rPr>
        <w:t>1</w:t>
      </w:r>
      <w:r w:rsidR="00EE510E" w:rsidRPr="001A6F73">
        <w:rPr>
          <w:rStyle w:val="CharSectno"/>
        </w:rPr>
        <w:t>4</w:t>
      </w:r>
      <w:r w:rsidR="00277381" w:rsidRPr="001A6F73">
        <w:t xml:space="preserve">  Dealing with disputes during negotiations</w:t>
      </w:r>
      <w:bookmarkEnd w:id="32"/>
    </w:p>
    <w:p w:rsidR="00522CA1" w:rsidRPr="001A6F73" w:rsidRDefault="00277381" w:rsidP="00277381">
      <w:pPr>
        <w:pStyle w:val="subsection"/>
      </w:pPr>
      <w:r w:rsidRPr="001A6F73">
        <w:tab/>
        <w:t>(1)</w:t>
      </w:r>
      <w:r w:rsidRPr="001A6F73">
        <w:tab/>
        <w:t>A party negotiating an access agreement may request, in writing, the other party to resolve a dispute about</w:t>
      </w:r>
      <w:r w:rsidR="00A84439" w:rsidRPr="001A6F73">
        <w:t xml:space="preserve"> one or more of the following</w:t>
      </w:r>
      <w:r w:rsidR="00522CA1" w:rsidRPr="001A6F73">
        <w:t>:</w:t>
      </w:r>
    </w:p>
    <w:p w:rsidR="00522CA1" w:rsidRPr="001A6F73" w:rsidRDefault="00522CA1" w:rsidP="00522CA1">
      <w:pPr>
        <w:pStyle w:val="paragraph"/>
      </w:pPr>
      <w:r w:rsidRPr="001A6F73">
        <w:tab/>
        <w:t>(a)</w:t>
      </w:r>
      <w:r w:rsidRPr="001A6F73">
        <w:tab/>
        <w:t xml:space="preserve">a decision </w:t>
      </w:r>
      <w:r w:rsidR="003651EA" w:rsidRPr="001A6F73">
        <w:t xml:space="preserve">made </w:t>
      </w:r>
      <w:r w:rsidRPr="001A6F73">
        <w:t>und</w:t>
      </w:r>
      <w:r w:rsidR="00513E0F" w:rsidRPr="001A6F73">
        <w:t>er subclause</w:t>
      </w:r>
      <w:r w:rsidR="001A6F73" w:rsidRPr="001A6F73">
        <w:t> </w:t>
      </w:r>
      <w:r w:rsidR="00513E0F" w:rsidRPr="001A6F73">
        <w:t>1</w:t>
      </w:r>
      <w:r w:rsidR="00A635F3" w:rsidRPr="001A6F73">
        <w:t>1</w:t>
      </w:r>
      <w:r w:rsidR="00513E0F" w:rsidRPr="001A6F73">
        <w:t>(5);</w:t>
      </w:r>
    </w:p>
    <w:p w:rsidR="00A84439" w:rsidRPr="001A6F73" w:rsidRDefault="00A84439" w:rsidP="00522CA1">
      <w:pPr>
        <w:pStyle w:val="paragraph"/>
      </w:pPr>
      <w:r w:rsidRPr="001A6F73">
        <w:tab/>
        <w:t>(b)</w:t>
      </w:r>
      <w:r w:rsidRPr="001A6F73">
        <w:tab/>
        <w:t>a decision made under clause</w:t>
      </w:r>
      <w:r w:rsidR="001A6F73" w:rsidRPr="001A6F73">
        <w:t> </w:t>
      </w:r>
      <w:r w:rsidRPr="001A6F73">
        <w:t>12;</w:t>
      </w:r>
    </w:p>
    <w:p w:rsidR="00277381" w:rsidRPr="001A6F73" w:rsidRDefault="00965E3C" w:rsidP="00522CA1">
      <w:pPr>
        <w:pStyle w:val="paragraph"/>
      </w:pPr>
      <w:r w:rsidRPr="001A6F73">
        <w:tab/>
        <w:t>(c</w:t>
      </w:r>
      <w:r w:rsidR="00522CA1" w:rsidRPr="001A6F73">
        <w:t>)</w:t>
      </w:r>
      <w:r w:rsidR="00522CA1" w:rsidRPr="001A6F73">
        <w:tab/>
      </w:r>
      <w:r w:rsidR="00513E0F" w:rsidRPr="001A6F73">
        <w:t>the proposed terms of the access</w:t>
      </w:r>
      <w:r w:rsidR="00277381" w:rsidRPr="001A6F73">
        <w:t xml:space="preserve"> agreement.</w:t>
      </w:r>
    </w:p>
    <w:p w:rsidR="00277381" w:rsidRPr="001A6F73" w:rsidRDefault="00277381" w:rsidP="00277381">
      <w:pPr>
        <w:pStyle w:val="subsection"/>
      </w:pPr>
      <w:r w:rsidRPr="001A6F73">
        <w:tab/>
        <w:t>(2)</w:t>
      </w:r>
      <w:r w:rsidRPr="001A6F73">
        <w:tab/>
        <w:t>The request must be made before the negotiations end under clause</w:t>
      </w:r>
      <w:r w:rsidR="001A6F73" w:rsidRPr="001A6F73">
        <w:t> </w:t>
      </w:r>
      <w:r w:rsidR="003651EA" w:rsidRPr="001A6F73">
        <w:t>17</w:t>
      </w:r>
      <w:r w:rsidRPr="001A6F73">
        <w:t>.</w:t>
      </w:r>
    </w:p>
    <w:p w:rsidR="00277381" w:rsidRPr="001A6F73" w:rsidRDefault="00277381" w:rsidP="00277381">
      <w:pPr>
        <w:pStyle w:val="subsection"/>
      </w:pPr>
      <w:r w:rsidRPr="001A6F73">
        <w:tab/>
        <w:t>(3)</w:t>
      </w:r>
      <w:r w:rsidRPr="001A6F73">
        <w:tab/>
        <w:t xml:space="preserve">Within </w:t>
      </w:r>
      <w:r w:rsidR="00C4305C" w:rsidRPr="001A6F73">
        <w:t>5</w:t>
      </w:r>
      <w:r w:rsidRPr="001A6F73">
        <w:t xml:space="preserve"> </w:t>
      </w:r>
      <w:r w:rsidR="00C4305C" w:rsidRPr="001A6F73">
        <w:t xml:space="preserve">business </w:t>
      </w:r>
      <w:r w:rsidRPr="001A6F73">
        <w:t>days after receiving the request, senior representatives from each party must meet and use reasonable endeavours to resolve the dispute.</w:t>
      </w:r>
    </w:p>
    <w:p w:rsidR="00277381" w:rsidRPr="001A6F73" w:rsidRDefault="00277381" w:rsidP="00277381">
      <w:pPr>
        <w:pStyle w:val="subsection"/>
      </w:pPr>
      <w:r w:rsidRPr="001A6F73">
        <w:tab/>
        <w:t>(4)</w:t>
      </w:r>
      <w:r w:rsidRPr="001A6F73">
        <w:tab/>
        <w:t>If the dispute is not resolved, the parties may mutually agree to undertake mediation.</w:t>
      </w:r>
    </w:p>
    <w:p w:rsidR="00277381" w:rsidRPr="001A6F73" w:rsidRDefault="00277381" w:rsidP="00277381">
      <w:pPr>
        <w:pStyle w:val="subsection"/>
      </w:pPr>
      <w:r w:rsidRPr="001A6F73">
        <w:tab/>
        <w:t>(5)</w:t>
      </w:r>
      <w:r w:rsidRPr="001A6F73">
        <w:tab/>
        <w:t xml:space="preserve">If mediation is required under </w:t>
      </w:r>
      <w:r w:rsidR="001A6F73" w:rsidRPr="001A6F73">
        <w:t>subclause (</w:t>
      </w:r>
      <w:r w:rsidRPr="001A6F73">
        <w:t xml:space="preserve">4), the party that requested resolution of the dispute under </w:t>
      </w:r>
      <w:r w:rsidR="001A6F73" w:rsidRPr="001A6F73">
        <w:t>subclause (</w:t>
      </w:r>
      <w:r w:rsidRPr="001A6F73">
        <w:t xml:space="preserve">1) (the </w:t>
      </w:r>
      <w:r w:rsidRPr="001A6F73">
        <w:rPr>
          <w:b/>
          <w:i/>
        </w:rPr>
        <w:t>first party</w:t>
      </w:r>
      <w:r w:rsidRPr="001A6F73">
        <w:t>) must tell the other party in writing:</w:t>
      </w:r>
    </w:p>
    <w:p w:rsidR="00277381" w:rsidRPr="001A6F73" w:rsidRDefault="00277381" w:rsidP="00277381">
      <w:pPr>
        <w:pStyle w:val="paragraph"/>
      </w:pPr>
      <w:r w:rsidRPr="001A6F73">
        <w:tab/>
        <w:t>(a)</w:t>
      </w:r>
      <w:r w:rsidRPr="001A6F73">
        <w:tab/>
        <w:t>the nature of the dispute; and</w:t>
      </w:r>
    </w:p>
    <w:p w:rsidR="00277381" w:rsidRPr="001A6F73" w:rsidRDefault="00277381" w:rsidP="00277381">
      <w:pPr>
        <w:pStyle w:val="paragraph"/>
      </w:pPr>
      <w:r w:rsidRPr="001A6F73">
        <w:tab/>
        <w:t>(b)</w:t>
      </w:r>
      <w:r w:rsidRPr="001A6F73">
        <w:tab/>
        <w:t>what outcome the first party wants; and</w:t>
      </w:r>
    </w:p>
    <w:p w:rsidR="00277381" w:rsidRPr="001A6F73" w:rsidRDefault="00277381" w:rsidP="00277381">
      <w:pPr>
        <w:pStyle w:val="paragraph"/>
      </w:pPr>
      <w:r w:rsidRPr="001A6F73">
        <w:tab/>
        <w:t>(c)</w:t>
      </w:r>
      <w:r w:rsidRPr="001A6F73">
        <w:tab/>
        <w:t>what action the first party thinks will settle the dispute.</w:t>
      </w:r>
    </w:p>
    <w:p w:rsidR="00277381" w:rsidRPr="001A6F73" w:rsidRDefault="00277381" w:rsidP="00277381">
      <w:pPr>
        <w:pStyle w:val="subsection"/>
      </w:pPr>
      <w:r w:rsidRPr="001A6F73">
        <w:tab/>
        <w:t>(6)</w:t>
      </w:r>
      <w:r w:rsidRPr="001A6F73">
        <w:tab/>
        <w:t xml:space="preserve">Either party may ask </w:t>
      </w:r>
      <w:r w:rsidR="00DF55E9" w:rsidRPr="001A6F73">
        <w:t xml:space="preserve">the Institute of Arbitrators </w:t>
      </w:r>
      <w:r w:rsidR="001954C6" w:rsidRPr="001A6F73">
        <w:t>&amp;</w:t>
      </w:r>
      <w:r w:rsidR="00DF55E9" w:rsidRPr="001A6F73">
        <w:t xml:space="preserve"> Mediators Australia</w:t>
      </w:r>
      <w:r w:rsidRPr="001A6F73">
        <w:t xml:space="preserve"> to appoint a mediator. Any mediation is subject to Division</w:t>
      </w:r>
      <w:r w:rsidR="001A6F73" w:rsidRPr="001A6F73">
        <w:t> </w:t>
      </w:r>
      <w:r w:rsidRPr="001A6F73">
        <w:t>2 of this Part.</w:t>
      </w:r>
    </w:p>
    <w:p w:rsidR="00FB5AC2" w:rsidRPr="001A6F73" w:rsidRDefault="00880B44" w:rsidP="00FB5AC2">
      <w:pPr>
        <w:pStyle w:val="subsection"/>
      </w:pPr>
      <w:r w:rsidRPr="001A6F73">
        <w:lastRenderedPageBreak/>
        <w:tab/>
        <w:t>(7)</w:t>
      </w:r>
      <w:r w:rsidRPr="001A6F73">
        <w:tab/>
        <w:t>In conducting mediation, t</w:t>
      </w:r>
      <w:r w:rsidR="00FB5AC2" w:rsidRPr="001A6F73">
        <w:t xml:space="preserve">he mediator must take into account written representations made by a person, if the mediator considers that </w:t>
      </w:r>
      <w:r w:rsidR="00D93BB4" w:rsidRPr="001A6F73">
        <w:t xml:space="preserve">the </w:t>
      </w:r>
      <w:r w:rsidR="00FB5AC2" w:rsidRPr="001A6F73">
        <w:t xml:space="preserve">person has a sufficient interest in the terms of the </w:t>
      </w:r>
      <w:r w:rsidRPr="001A6F73">
        <w:t xml:space="preserve">access </w:t>
      </w:r>
      <w:r w:rsidR="00FB5AC2" w:rsidRPr="001A6F73">
        <w:t>agreement</w:t>
      </w:r>
      <w:r w:rsidRPr="001A6F73">
        <w:t xml:space="preserve"> concerned</w:t>
      </w:r>
      <w:r w:rsidR="00D93BB4" w:rsidRPr="001A6F73">
        <w:t>.</w:t>
      </w:r>
    </w:p>
    <w:p w:rsidR="00277381" w:rsidRPr="001A6F73" w:rsidRDefault="00EE510E" w:rsidP="00C4131D">
      <w:pPr>
        <w:pStyle w:val="ActHead5"/>
      </w:pPr>
      <w:bookmarkStart w:id="33" w:name="_Toc397955324"/>
      <w:r w:rsidRPr="001A6F73">
        <w:rPr>
          <w:rStyle w:val="CharSectno"/>
        </w:rPr>
        <w:t>15</w:t>
      </w:r>
      <w:r w:rsidR="00277381" w:rsidRPr="001A6F73">
        <w:t xml:space="preserve">  Arbitration of terms of agreements</w:t>
      </w:r>
      <w:bookmarkEnd w:id="33"/>
    </w:p>
    <w:p w:rsidR="00F143A9" w:rsidRPr="001A6F73" w:rsidRDefault="00277381" w:rsidP="00277381">
      <w:pPr>
        <w:pStyle w:val="subsection"/>
      </w:pPr>
      <w:r w:rsidRPr="001A6F73">
        <w:tab/>
        <w:t>(1)</w:t>
      </w:r>
      <w:r w:rsidRPr="001A6F73">
        <w:tab/>
      </w:r>
      <w:r w:rsidR="00F143A9" w:rsidRPr="001A6F73">
        <w:t>A party negotiating an access agreement may</w:t>
      </w:r>
      <w:r w:rsidR="00C4305C" w:rsidRPr="001A6F73">
        <w:t>, by notice</w:t>
      </w:r>
      <w:r w:rsidR="000261AE" w:rsidRPr="001A6F73">
        <w:t xml:space="preserve"> in writing </w:t>
      </w:r>
      <w:r w:rsidR="00C4305C" w:rsidRPr="001A6F73">
        <w:t xml:space="preserve">to the other party, </w:t>
      </w:r>
      <w:r w:rsidR="000261AE" w:rsidRPr="001A6F73">
        <w:t xml:space="preserve">refer the terms of the </w:t>
      </w:r>
      <w:r w:rsidR="00F143A9" w:rsidRPr="001A6F73">
        <w:t xml:space="preserve">agreement </w:t>
      </w:r>
      <w:r w:rsidR="000261AE" w:rsidRPr="001A6F73">
        <w:t xml:space="preserve">to be </w:t>
      </w:r>
      <w:r w:rsidR="00F143A9" w:rsidRPr="001A6F73">
        <w:t>determined by an independent arbitrat</w:t>
      </w:r>
      <w:r w:rsidR="00044108" w:rsidRPr="001A6F73">
        <w:t>o</w:t>
      </w:r>
      <w:r w:rsidR="00B87B52" w:rsidRPr="001A6F73">
        <w:t>r appointed by the parties</w:t>
      </w:r>
      <w:r w:rsidR="00F143A9" w:rsidRPr="001A6F73">
        <w:t>.</w:t>
      </w:r>
    </w:p>
    <w:p w:rsidR="00F143A9" w:rsidRPr="001A6F73" w:rsidRDefault="00F143A9" w:rsidP="00277381">
      <w:pPr>
        <w:pStyle w:val="subsection"/>
      </w:pPr>
      <w:r w:rsidRPr="001A6F73">
        <w:tab/>
        <w:t>(2)</w:t>
      </w:r>
      <w:r w:rsidRPr="001A6F73">
        <w:tab/>
      </w:r>
      <w:r w:rsidR="00AE09E9" w:rsidRPr="001A6F73">
        <w:t>I</w:t>
      </w:r>
      <w:r w:rsidR="00B87B52" w:rsidRPr="001A6F73">
        <w:t xml:space="preserve">f a </w:t>
      </w:r>
      <w:r w:rsidR="000261AE" w:rsidRPr="001A6F73">
        <w:t>notice</w:t>
      </w:r>
      <w:r w:rsidR="00B87B52" w:rsidRPr="001A6F73">
        <w:t xml:space="preserve"> is </w:t>
      </w:r>
      <w:r w:rsidR="000261AE" w:rsidRPr="001A6F73">
        <w:t xml:space="preserve">given to the other party </w:t>
      </w:r>
      <w:r w:rsidR="00B87B52" w:rsidRPr="001A6F73">
        <w:t xml:space="preserve">under </w:t>
      </w:r>
      <w:r w:rsidR="001A6F73" w:rsidRPr="001A6F73">
        <w:t>subclause (</w:t>
      </w:r>
      <w:r w:rsidR="000261AE" w:rsidRPr="001A6F73">
        <w:t>1), the party that gave the notice</w:t>
      </w:r>
      <w:r w:rsidR="00B87B52" w:rsidRPr="001A6F73">
        <w:t xml:space="preserve"> (the </w:t>
      </w:r>
      <w:r w:rsidR="00B87B52" w:rsidRPr="001A6F73">
        <w:rPr>
          <w:b/>
          <w:i/>
        </w:rPr>
        <w:t>first party</w:t>
      </w:r>
      <w:r w:rsidR="00B87B52" w:rsidRPr="001A6F73">
        <w:t>) must notify</w:t>
      </w:r>
      <w:r w:rsidR="000261AE" w:rsidRPr="001A6F73">
        <w:t xml:space="preserve"> </w:t>
      </w:r>
      <w:r w:rsidR="00B87B52" w:rsidRPr="001A6F73">
        <w:t xml:space="preserve">the ACCC, in writing, of the following matters when the </w:t>
      </w:r>
      <w:r w:rsidR="000261AE" w:rsidRPr="001A6F73">
        <w:t>notice is given</w:t>
      </w:r>
      <w:r w:rsidR="00B87B52" w:rsidRPr="001A6F73">
        <w:t>:</w:t>
      </w:r>
    </w:p>
    <w:p w:rsidR="00F143A9" w:rsidRPr="001A6F73" w:rsidRDefault="00F143A9" w:rsidP="00F143A9">
      <w:pPr>
        <w:pStyle w:val="paragraph"/>
      </w:pPr>
      <w:r w:rsidRPr="001A6F73">
        <w:tab/>
        <w:t>(a)</w:t>
      </w:r>
      <w:r w:rsidRPr="001A6F73">
        <w:tab/>
        <w:t xml:space="preserve">the </w:t>
      </w:r>
      <w:r w:rsidR="00CA5A7B" w:rsidRPr="001A6F73">
        <w:t xml:space="preserve">first party’s </w:t>
      </w:r>
      <w:r w:rsidRPr="001A6F73">
        <w:t>intention to proceed to arbitration;</w:t>
      </w:r>
    </w:p>
    <w:p w:rsidR="00F143A9" w:rsidRPr="001A6F73" w:rsidRDefault="00F143A9" w:rsidP="00F143A9">
      <w:pPr>
        <w:pStyle w:val="paragraph"/>
      </w:pPr>
      <w:r w:rsidRPr="001A6F73">
        <w:tab/>
        <w:t>(b)</w:t>
      </w:r>
      <w:r w:rsidRPr="001A6F73">
        <w:tab/>
      </w:r>
      <w:r w:rsidR="00823E7C" w:rsidRPr="001A6F73">
        <w:t>the nature of any dispute between the parties;</w:t>
      </w:r>
    </w:p>
    <w:p w:rsidR="00823E7C" w:rsidRPr="001A6F73" w:rsidRDefault="00823E7C" w:rsidP="00823E7C">
      <w:pPr>
        <w:pStyle w:val="paragraph"/>
      </w:pPr>
      <w:r w:rsidRPr="001A6F73">
        <w:tab/>
        <w:t>(</w:t>
      </w:r>
      <w:r w:rsidR="00151EDE" w:rsidRPr="001A6F73">
        <w:t>c</w:t>
      </w:r>
      <w:r w:rsidRPr="001A6F73">
        <w:t>)</w:t>
      </w:r>
      <w:r w:rsidRPr="001A6F73">
        <w:tab/>
        <w:t>whether the parties have agreed on the appointment of an arbitrator.</w:t>
      </w:r>
    </w:p>
    <w:p w:rsidR="00AE09E9" w:rsidRPr="001A6F73" w:rsidRDefault="00277381" w:rsidP="00AE09E9">
      <w:pPr>
        <w:pStyle w:val="subsection"/>
      </w:pPr>
      <w:r w:rsidRPr="001A6F73">
        <w:tab/>
        <w:t>(</w:t>
      </w:r>
      <w:r w:rsidR="00823E7C" w:rsidRPr="001A6F73">
        <w:t>3</w:t>
      </w:r>
      <w:r w:rsidRPr="001A6F73">
        <w:t>)</w:t>
      </w:r>
      <w:r w:rsidRPr="001A6F73">
        <w:tab/>
        <w:t>If the parties fail to agree on the appointment of an arbitrator</w:t>
      </w:r>
      <w:r w:rsidR="00823E7C" w:rsidRPr="001A6F73">
        <w:t xml:space="preserve"> within 15 business days after the </w:t>
      </w:r>
      <w:r w:rsidR="000261AE" w:rsidRPr="001A6F73">
        <w:t>notice is given</w:t>
      </w:r>
      <w:r w:rsidR="00823E7C" w:rsidRPr="001A6F73">
        <w:t>,</w:t>
      </w:r>
      <w:r w:rsidR="0019758C" w:rsidRPr="001A6F73">
        <w:t xml:space="preserve"> </w:t>
      </w:r>
      <w:r w:rsidRPr="001A6F73">
        <w:t>the</w:t>
      </w:r>
      <w:r w:rsidR="00AE09E9" w:rsidRPr="001A6F73">
        <w:t xml:space="preserve"> first party must request the Institute of Arbitrators &amp; Mediators Australia to appoint an independent arbitrator.</w:t>
      </w:r>
    </w:p>
    <w:p w:rsidR="00277381" w:rsidRPr="001A6F73" w:rsidRDefault="00277381" w:rsidP="00277381">
      <w:pPr>
        <w:pStyle w:val="subsection"/>
      </w:pPr>
      <w:r w:rsidRPr="001A6F73">
        <w:tab/>
        <w:t>(</w:t>
      </w:r>
      <w:r w:rsidR="0019758C" w:rsidRPr="001A6F73">
        <w:t>4</w:t>
      </w:r>
      <w:r w:rsidRPr="001A6F73">
        <w:t>)</w:t>
      </w:r>
      <w:r w:rsidRPr="001A6F73">
        <w:tab/>
        <w:t>The arbitrator must determine the terms of the access agreement and notify the parties of the terms.</w:t>
      </w:r>
      <w:r w:rsidR="00D93BB4" w:rsidRPr="001A6F73">
        <w:t xml:space="preserve"> The port terminal service provider </w:t>
      </w:r>
      <w:r w:rsidR="002353FE" w:rsidRPr="001A6F73">
        <w:t xml:space="preserve">concerned </w:t>
      </w:r>
      <w:r w:rsidR="00D93BB4" w:rsidRPr="001A6F73">
        <w:t xml:space="preserve">must offer to enter into an access agreement with the exporter </w:t>
      </w:r>
      <w:r w:rsidR="002353FE" w:rsidRPr="001A6F73">
        <w:t xml:space="preserve">concerned </w:t>
      </w:r>
      <w:r w:rsidR="00D93BB4" w:rsidRPr="001A6F73">
        <w:t>on the terms determined by the arbitrator within 3 business days of being notified of the terms.</w:t>
      </w:r>
    </w:p>
    <w:p w:rsidR="00D93BB4" w:rsidRPr="001A6F73" w:rsidRDefault="00D93BB4" w:rsidP="00D93BB4">
      <w:pPr>
        <w:pStyle w:val="subsection"/>
      </w:pPr>
      <w:r w:rsidRPr="001A6F73">
        <w:tab/>
        <w:t>(5)</w:t>
      </w:r>
      <w:r w:rsidRPr="001A6F73">
        <w:tab/>
        <w:t>In determining the terms of the access agreement, the arbitrator must take into account written representations made by a person, if the arbitrator considers that the person has a sufficient interest in the terms of the agreement.</w:t>
      </w:r>
    </w:p>
    <w:p w:rsidR="009A52E2" w:rsidRPr="001A6F73" w:rsidRDefault="00277381" w:rsidP="00277381">
      <w:pPr>
        <w:pStyle w:val="subsection"/>
      </w:pPr>
      <w:r w:rsidRPr="001A6F73">
        <w:tab/>
      </w:r>
      <w:r w:rsidR="0019758C" w:rsidRPr="001A6F73">
        <w:t>(</w:t>
      </w:r>
      <w:r w:rsidR="000F2AA9" w:rsidRPr="001A6F73">
        <w:t>6</w:t>
      </w:r>
      <w:r w:rsidRPr="001A6F73">
        <w:t>)</w:t>
      </w:r>
      <w:r w:rsidRPr="001A6F73">
        <w:tab/>
        <w:t>The parties to arbitration under this clause</w:t>
      </w:r>
      <w:r w:rsidR="009A52E2" w:rsidRPr="001A6F73">
        <w:t>:</w:t>
      </w:r>
    </w:p>
    <w:p w:rsidR="009A52E2" w:rsidRPr="001A6F73" w:rsidRDefault="009A52E2" w:rsidP="009A52E2">
      <w:pPr>
        <w:pStyle w:val="paragraph"/>
      </w:pPr>
      <w:r w:rsidRPr="001A6F73">
        <w:tab/>
        <w:t>(a)</w:t>
      </w:r>
      <w:r w:rsidRPr="001A6F73">
        <w:tab/>
      </w:r>
      <w:r w:rsidR="007872A9" w:rsidRPr="001A6F73">
        <w:t>must bear</w:t>
      </w:r>
      <w:r w:rsidRPr="001A6F73">
        <w:t xml:space="preserve"> their own costs of attending the arbitration; and</w:t>
      </w:r>
    </w:p>
    <w:p w:rsidR="009A52E2" w:rsidRPr="001A6F73" w:rsidRDefault="009A52E2" w:rsidP="009A52E2">
      <w:pPr>
        <w:pStyle w:val="paragraph"/>
      </w:pPr>
      <w:r w:rsidRPr="001A6F73">
        <w:tab/>
        <w:t>(b)</w:t>
      </w:r>
      <w:r w:rsidRPr="001A6F73">
        <w:tab/>
      </w:r>
      <w:r w:rsidR="00EB1F65" w:rsidRPr="001A6F73">
        <w:t>are</w:t>
      </w:r>
      <w:r w:rsidRPr="001A6F73">
        <w:t xml:space="preserve"> equally liable for the following costs of arbitration unless they agree otherwise:</w:t>
      </w:r>
    </w:p>
    <w:p w:rsidR="009A52E2" w:rsidRPr="001A6F73" w:rsidRDefault="009A52E2" w:rsidP="009A52E2">
      <w:pPr>
        <w:pStyle w:val="paragraphsub"/>
      </w:pPr>
      <w:r w:rsidRPr="001A6F73">
        <w:tab/>
        <w:t>(i)</w:t>
      </w:r>
      <w:r w:rsidRPr="001A6F73">
        <w:tab/>
        <w:t>the cost of the arbitrator;</w:t>
      </w:r>
    </w:p>
    <w:p w:rsidR="009A52E2" w:rsidRPr="001A6F73" w:rsidRDefault="009A52E2" w:rsidP="009A52E2">
      <w:pPr>
        <w:pStyle w:val="paragraphsub"/>
      </w:pPr>
      <w:r w:rsidRPr="001A6F73">
        <w:lastRenderedPageBreak/>
        <w:tab/>
        <w:t>(ii)</w:t>
      </w:r>
      <w:r w:rsidRPr="001A6F73">
        <w:tab/>
        <w:t>the cost of room hire;</w:t>
      </w:r>
    </w:p>
    <w:p w:rsidR="00520E12" w:rsidRPr="001A6F73" w:rsidRDefault="009A52E2" w:rsidP="00520E12">
      <w:pPr>
        <w:pStyle w:val="paragraphsub"/>
      </w:pPr>
      <w:r w:rsidRPr="001A6F73">
        <w:tab/>
        <w:t>(iii)</w:t>
      </w:r>
      <w:r w:rsidRPr="001A6F73">
        <w:tab/>
        <w:t>the cost of any additional input (including expert reports) agreed by both parties to be necessary to the conduct of the arbitration</w:t>
      </w:r>
      <w:r w:rsidR="00520E12" w:rsidRPr="001A6F73">
        <w:t>; and</w:t>
      </w:r>
    </w:p>
    <w:p w:rsidR="00520E12" w:rsidRPr="001A6F73" w:rsidRDefault="00520E12" w:rsidP="00520E12">
      <w:pPr>
        <w:pStyle w:val="paragraph"/>
      </w:pPr>
      <w:r w:rsidRPr="001A6F73">
        <w:tab/>
        <w:t>(c)</w:t>
      </w:r>
      <w:r w:rsidRPr="001A6F73">
        <w:tab/>
        <w:t>are liable for any other costs determined by the arbitrator.</w:t>
      </w:r>
    </w:p>
    <w:p w:rsidR="00277381" w:rsidRPr="001A6F73" w:rsidRDefault="00EE510E" w:rsidP="00C4131D">
      <w:pPr>
        <w:pStyle w:val="ActHead5"/>
      </w:pPr>
      <w:bookmarkStart w:id="34" w:name="_Toc397955325"/>
      <w:r w:rsidRPr="001A6F73">
        <w:rPr>
          <w:rStyle w:val="CharSectno"/>
        </w:rPr>
        <w:t>16</w:t>
      </w:r>
      <w:r w:rsidR="00277381" w:rsidRPr="001A6F73">
        <w:t xml:space="preserve">  Exporter may request information to be provided during negotiations</w:t>
      </w:r>
      <w:bookmarkEnd w:id="34"/>
    </w:p>
    <w:p w:rsidR="00277381" w:rsidRPr="001A6F73" w:rsidRDefault="00277381" w:rsidP="00277381">
      <w:pPr>
        <w:pStyle w:val="subsection"/>
      </w:pPr>
      <w:r w:rsidRPr="001A6F73">
        <w:tab/>
        <w:t>(1)</w:t>
      </w:r>
      <w:r w:rsidRPr="001A6F73">
        <w:tab/>
        <w:t xml:space="preserve">An exporter may request a </w:t>
      </w:r>
      <w:r w:rsidR="00FF12AE" w:rsidRPr="001A6F73">
        <w:t>port terminal service provider</w:t>
      </w:r>
      <w:r w:rsidRPr="001A6F73">
        <w:t xml:space="preserve"> to provide information held by the provider for the purpose of negotiating the terms of an access agreement.</w:t>
      </w:r>
    </w:p>
    <w:p w:rsidR="00277381" w:rsidRPr="001A6F73" w:rsidRDefault="00277381" w:rsidP="00277381">
      <w:pPr>
        <w:pStyle w:val="subsection"/>
      </w:pPr>
      <w:r w:rsidRPr="001A6F73">
        <w:tab/>
        <w:t>(2)</w:t>
      </w:r>
      <w:r w:rsidRPr="001A6F73">
        <w:tab/>
        <w:t xml:space="preserve">The </w:t>
      </w:r>
      <w:r w:rsidR="00FF12AE" w:rsidRPr="001A6F73">
        <w:t>port terminal service provider</w:t>
      </w:r>
      <w:r w:rsidRPr="001A6F73">
        <w:t xml:space="preserve"> must comply with a request mentioned in </w:t>
      </w:r>
      <w:r w:rsidR="001A6F73" w:rsidRPr="001A6F73">
        <w:t>subclause (</w:t>
      </w:r>
      <w:r w:rsidRPr="001A6F73">
        <w:t xml:space="preserve">1), </w:t>
      </w:r>
      <w:r w:rsidRPr="001A6F73">
        <w:rPr>
          <w:bCs/>
        </w:rPr>
        <w:t>within 20 business days</w:t>
      </w:r>
      <w:r w:rsidRPr="001A6F73">
        <w:t xml:space="preserve"> of receiving the request, if:</w:t>
      </w:r>
    </w:p>
    <w:p w:rsidR="00277381" w:rsidRPr="001A6F73" w:rsidRDefault="00277381" w:rsidP="00277381">
      <w:pPr>
        <w:pStyle w:val="paragraph"/>
      </w:pPr>
      <w:r w:rsidRPr="001A6F73">
        <w:tab/>
        <w:t>(a)</w:t>
      </w:r>
      <w:r w:rsidRPr="001A6F73">
        <w:tab/>
        <w:t>the information requested is not confidential or commercially sensitive, as determined by the provider; and</w:t>
      </w:r>
    </w:p>
    <w:p w:rsidR="00277381" w:rsidRPr="001A6F73" w:rsidRDefault="00277381" w:rsidP="00277381">
      <w:pPr>
        <w:pStyle w:val="paragraph"/>
      </w:pPr>
      <w:r w:rsidRPr="001A6F73">
        <w:tab/>
        <w:t>(b)</w:t>
      </w:r>
      <w:r w:rsidRPr="001A6F73">
        <w:tab/>
        <w:t>the information does not relate to another exporter; and</w:t>
      </w:r>
    </w:p>
    <w:p w:rsidR="00277381" w:rsidRPr="001A6F73" w:rsidRDefault="00277381" w:rsidP="00277381">
      <w:pPr>
        <w:pStyle w:val="paragraph"/>
      </w:pPr>
      <w:r w:rsidRPr="001A6F73">
        <w:tab/>
        <w:t>(c)</w:t>
      </w:r>
      <w:r w:rsidRPr="001A6F73">
        <w:tab/>
        <w:t>providing the information would not be unduly onerous for the provider having regard to the following:</w:t>
      </w:r>
    </w:p>
    <w:p w:rsidR="00277381" w:rsidRPr="001A6F73" w:rsidRDefault="00277381" w:rsidP="00277381">
      <w:pPr>
        <w:pStyle w:val="paragraphsub"/>
      </w:pPr>
      <w:r w:rsidRPr="001A6F73">
        <w:tab/>
        <w:t>(i)</w:t>
      </w:r>
      <w:r w:rsidRPr="001A6F73">
        <w:tab/>
        <w:t>the operational, commercial and logistical information that an exporter may require to use a port terminal facility;</w:t>
      </w:r>
    </w:p>
    <w:p w:rsidR="00277381" w:rsidRPr="001A6F73" w:rsidRDefault="00277381" w:rsidP="00277381">
      <w:pPr>
        <w:pStyle w:val="paragraphsub"/>
      </w:pPr>
      <w:r w:rsidRPr="001A6F73">
        <w:tab/>
        <w:t>(ii)</w:t>
      </w:r>
      <w:r w:rsidRPr="001A6F73">
        <w:tab/>
        <w:t>whether the provider has access to and control of the information and whether a third party would need to be engaged to gather, collate or present the information;</w:t>
      </w:r>
    </w:p>
    <w:p w:rsidR="00277381" w:rsidRPr="001A6F73" w:rsidRDefault="00277381" w:rsidP="00277381">
      <w:pPr>
        <w:pStyle w:val="paragraphsub"/>
      </w:pPr>
      <w:r w:rsidRPr="001A6F73">
        <w:tab/>
        <w:t>(iii)</w:t>
      </w:r>
      <w:r w:rsidRPr="001A6F73">
        <w:tab/>
        <w:t>the staffing, technical and financial capability of the provider to obtain and provide the information;</w:t>
      </w:r>
    </w:p>
    <w:p w:rsidR="00277381" w:rsidRPr="001A6F73" w:rsidRDefault="00277381" w:rsidP="00277381">
      <w:pPr>
        <w:pStyle w:val="paragraphsub"/>
      </w:pPr>
      <w:r w:rsidRPr="001A6F73">
        <w:tab/>
        <w:t>(iv)</w:t>
      </w:r>
      <w:r w:rsidRPr="001A6F73">
        <w:tab/>
        <w:t>the volume of information and time</w:t>
      </w:r>
      <w:r w:rsidR="001A6F73">
        <w:noBreakHyphen/>
      </w:r>
      <w:r w:rsidRPr="001A6F73">
        <w:t>frame within which it is requested.</w:t>
      </w:r>
    </w:p>
    <w:p w:rsidR="00277381" w:rsidRPr="001A6F73" w:rsidRDefault="00EE510E" w:rsidP="00C4131D">
      <w:pPr>
        <w:pStyle w:val="ActHead5"/>
      </w:pPr>
      <w:bookmarkStart w:id="35" w:name="_Toc397955326"/>
      <w:r w:rsidRPr="001A6F73">
        <w:rPr>
          <w:rStyle w:val="CharSectno"/>
        </w:rPr>
        <w:t>17</w:t>
      </w:r>
      <w:r w:rsidR="00277381" w:rsidRPr="001A6F73">
        <w:t xml:space="preserve">  When negotiations are taken to end</w:t>
      </w:r>
      <w:bookmarkEnd w:id="35"/>
    </w:p>
    <w:p w:rsidR="00277381" w:rsidRPr="001A6F73" w:rsidRDefault="00277381" w:rsidP="00277381">
      <w:pPr>
        <w:pStyle w:val="subsection"/>
      </w:pPr>
      <w:r w:rsidRPr="001A6F73">
        <w:tab/>
        <w:t>(1)</w:t>
      </w:r>
      <w:r w:rsidRPr="001A6F73">
        <w:tab/>
        <w:t xml:space="preserve">Negotiations between an exporter and a </w:t>
      </w:r>
      <w:r w:rsidR="00FF12AE" w:rsidRPr="001A6F73">
        <w:t>port terminal service provider</w:t>
      </w:r>
      <w:r w:rsidRPr="001A6F73">
        <w:t xml:space="preserve"> end </w:t>
      </w:r>
      <w:r w:rsidR="00D70EFE" w:rsidRPr="001A6F73">
        <w:t>on</w:t>
      </w:r>
      <w:r w:rsidR="00D37C5C" w:rsidRPr="001A6F73">
        <w:t xml:space="preserve"> the earliest of the following days</w:t>
      </w:r>
      <w:r w:rsidRPr="001A6F73">
        <w:t>:</w:t>
      </w:r>
    </w:p>
    <w:p w:rsidR="00522CA1" w:rsidRPr="001A6F73" w:rsidRDefault="00277381" w:rsidP="00277381">
      <w:pPr>
        <w:pStyle w:val="paragraph"/>
      </w:pPr>
      <w:r w:rsidRPr="001A6F73">
        <w:tab/>
        <w:t>(a)</w:t>
      </w:r>
      <w:r w:rsidRPr="001A6F73">
        <w:tab/>
        <w:t>the day the exporter and provider enter</w:t>
      </w:r>
      <w:r w:rsidR="00522CA1" w:rsidRPr="001A6F73">
        <w:t xml:space="preserve"> </w:t>
      </w:r>
      <w:r w:rsidRPr="001A6F73">
        <w:t>into an access agreement;</w:t>
      </w:r>
    </w:p>
    <w:p w:rsidR="00277381" w:rsidRPr="001A6F73" w:rsidRDefault="00522CA1" w:rsidP="00277381">
      <w:pPr>
        <w:pStyle w:val="paragraph"/>
      </w:pPr>
      <w:r w:rsidRPr="001A6F73">
        <w:lastRenderedPageBreak/>
        <w:tab/>
        <w:t>(b</w:t>
      </w:r>
      <w:r w:rsidR="00277381" w:rsidRPr="001A6F73">
        <w:t>)</w:t>
      </w:r>
      <w:r w:rsidR="00277381" w:rsidRPr="001A6F73">
        <w:tab/>
        <w:t>the day the exporter provides written notification to the provider that it no longer wishes to enter into an access agreement;</w:t>
      </w:r>
    </w:p>
    <w:p w:rsidR="00D37C5C" w:rsidRPr="001A6F73" w:rsidRDefault="00D37C5C" w:rsidP="00277381">
      <w:pPr>
        <w:pStyle w:val="paragraph"/>
      </w:pPr>
      <w:r w:rsidRPr="001A6F73">
        <w:tab/>
        <w:t>(c)</w:t>
      </w:r>
      <w:r w:rsidRPr="001A6F73">
        <w:tab/>
        <w:t>the day that is 60 business days after the negotiation request concerned was made, or such later day as is agreed by the exporter and the provider.</w:t>
      </w:r>
    </w:p>
    <w:p w:rsidR="00D37C5C" w:rsidRPr="001A6F73" w:rsidRDefault="00D37C5C" w:rsidP="00D37C5C">
      <w:pPr>
        <w:pStyle w:val="subsection"/>
      </w:pPr>
      <w:r w:rsidRPr="001A6F73">
        <w:tab/>
        <w:t>(2)</w:t>
      </w:r>
      <w:r w:rsidRPr="001A6F73">
        <w:tab/>
        <w:t xml:space="preserve">For the purpose of calculating the number of days </w:t>
      </w:r>
      <w:r w:rsidR="006F75FA" w:rsidRPr="001A6F73">
        <w:t xml:space="preserve">for </w:t>
      </w:r>
      <w:r w:rsidR="001A6F73" w:rsidRPr="001A6F73">
        <w:t>paragraph (</w:t>
      </w:r>
      <w:r w:rsidRPr="001A6F73">
        <w:t>1)(c)</w:t>
      </w:r>
      <w:r w:rsidR="006F75FA" w:rsidRPr="001A6F73">
        <w:t>,</w:t>
      </w:r>
      <w:r w:rsidRPr="001A6F73">
        <w:t xml:space="preserve"> the following </w:t>
      </w:r>
      <w:r w:rsidR="006F75FA" w:rsidRPr="001A6F73">
        <w:t xml:space="preserve">days </w:t>
      </w:r>
      <w:r w:rsidRPr="001A6F73">
        <w:t>are to be disregarded:</w:t>
      </w:r>
    </w:p>
    <w:p w:rsidR="00D37C5C" w:rsidRPr="001A6F73" w:rsidRDefault="00D37C5C" w:rsidP="00D37C5C">
      <w:pPr>
        <w:pStyle w:val="paragraph"/>
      </w:pPr>
      <w:r w:rsidRPr="001A6F73">
        <w:tab/>
        <w:t>(a)</w:t>
      </w:r>
      <w:r w:rsidRPr="001A6F73">
        <w:tab/>
      </w:r>
      <w:r w:rsidR="002A4325" w:rsidRPr="001A6F73">
        <w:t xml:space="preserve">each </w:t>
      </w:r>
      <w:r w:rsidR="006F75FA" w:rsidRPr="001A6F73">
        <w:t xml:space="preserve">day the exporter and </w:t>
      </w:r>
      <w:r w:rsidR="00305E72" w:rsidRPr="001A6F73">
        <w:t xml:space="preserve">port terminal service </w:t>
      </w:r>
      <w:r w:rsidR="006F75FA" w:rsidRPr="001A6F73">
        <w:t>provider are involved in resolving a dispute in accordance with clause</w:t>
      </w:r>
      <w:r w:rsidR="001A6F73" w:rsidRPr="001A6F73">
        <w:t> </w:t>
      </w:r>
      <w:r w:rsidR="006F75FA" w:rsidRPr="001A6F73">
        <w:t>14;</w:t>
      </w:r>
    </w:p>
    <w:p w:rsidR="00E33028" w:rsidRPr="001A6F73" w:rsidRDefault="006F75FA" w:rsidP="002A4325">
      <w:pPr>
        <w:pStyle w:val="paragraph"/>
      </w:pPr>
      <w:r w:rsidRPr="001A6F73">
        <w:tab/>
        <w:t>(b)</w:t>
      </w:r>
      <w:r w:rsidRPr="001A6F73">
        <w:tab/>
      </w:r>
      <w:r w:rsidR="000F2AA9" w:rsidRPr="001A6F73">
        <w:t>the</w:t>
      </w:r>
      <w:r w:rsidR="000F2AA9" w:rsidRPr="001A6F73">
        <w:rPr>
          <w:color w:val="1F497D"/>
        </w:rPr>
        <w:t xml:space="preserve"> </w:t>
      </w:r>
      <w:r w:rsidR="000F2AA9" w:rsidRPr="001A6F73">
        <w:t>days during the period commencing on the day a notice is given under</w:t>
      </w:r>
      <w:r w:rsidR="000F2AA9" w:rsidRPr="001A6F73">
        <w:rPr>
          <w:color w:val="1F497D"/>
        </w:rPr>
        <w:t xml:space="preserve"> </w:t>
      </w:r>
      <w:r w:rsidR="000F2AA9" w:rsidRPr="001A6F73">
        <w:t>subclause</w:t>
      </w:r>
      <w:r w:rsidR="001A6F73" w:rsidRPr="001A6F73">
        <w:t> </w:t>
      </w:r>
      <w:r w:rsidR="000F2AA9" w:rsidRPr="001A6F73">
        <w:t xml:space="preserve">15(1) and ending on the day the </w:t>
      </w:r>
      <w:r w:rsidR="00617455" w:rsidRPr="001A6F73">
        <w:t>exporter and provider</w:t>
      </w:r>
      <w:r w:rsidR="000F2AA9" w:rsidRPr="001A6F73">
        <w:t xml:space="preserve"> enter into an agreement on the terms determined by the arbitrator under subclause</w:t>
      </w:r>
      <w:r w:rsidR="001A6F73" w:rsidRPr="001A6F73">
        <w:t> </w:t>
      </w:r>
      <w:r w:rsidR="000F2AA9" w:rsidRPr="001A6F73">
        <w:t>15(4</w:t>
      </w:r>
      <w:r w:rsidR="00617455" w:rsidRPr="001A6F73">
        <w:t>)</w:t>
      </w:r>
      <w:r w:rsidR="00965E3C" w:rsidRPr="001A6F73">
        <w:t>.</w:t>
      </w:r>
    </w:p>
    <w:p w:rsidR="00277381" w:rsidRPr="001A6F73" w:rsidRDefault="00C317C0" w:rsidP="00277381">
      <w:pPr>
        <w:pStyle w:val="subsection"/>
      </w:pPr>
      <w:r w:rsidRPr="001A6F73">
        <w:tab/>
        <w:t>(3</w:t>
      </w:r>
      <w:r w:rsidR="00277381" w:rsidRPr="001A6F73">
        <w:t>)</w:t>
      </w:r>
      <w:r w:rsidR="00277381" w:rsidRPr="001A6F73">
        <w:tab/>
        <w:t xml:space="preserve">If negotiations between an exporter and a </w:t>
      </w:r>
      <w:r w:rsidR="00FF12AE" w:rsidRPr="001A6F73">
        <w:t>port terminal service provider</w:t>
      </w:r>
      <w:r w:rsidRPr="001A6F73">
        <w:t xml:space="preserve"> end without </w:t>
      </w:r>
      <w:r w:rsidR="000B7D8D" w:rsidRPr="001A6F73">
        <w:t>the</w:t>
      </w:r>
      <w:r w:rsidRPr="001A6F73">
        <w:t xml:space="preserve"> exporter and provider entering an access agreement, </w:t>
      </w:r>
      <w:r w:rsidR="00277381" w:rsidRPr="001A6F73">
        <w:t>the exporter may make a new application under clause</w:t>
      </w:r>
      <w:r w:rsidR="001A6F73" w:rsidRPr="001A6F73">
        <w:t> </w:t>
      </w:r>
      <w:r w:rsidR="00EB6DDB" w:rsidRPr="001A6F73">
        <w:t>1</w:t>
      </w:r>
      <w:r w:rsidR="00AE58C8" w:rsidRPr="001A6F73">
        <w:t>1</w:t>
      </w:r>
      <w:r w:rsidR="00277381" w:rsidRPr="001A6F73">
        <w:t xml:space="preserve"> to the provider to enter into an access agreement.</w:t>
      </w:r>
    </w:p>
    <w:p w:rsidR="00277381" w:rsidRPr="001A6F73" w:rsidRDefault="00277381" w:rsidP="00277381">
      <w:pPr>
        <w:pStyle w:val="notetext"/>
      </w:pPr>
      <w:r w:rsidRPr="001A6F73">
        <w:t>Note:</w:t>
      </w:r>
      <w:r w:rsidRPr="001A6F73">
        <w:tab/>
        <w:t>If a new application is made, the provisions of this Part apply to the new application (for example, the time perio</w:t>
      </w:r>
      <w:r w:rsidR="005D2DDC" w:rsidRPr="001A6F73">
        <w:t xml:space="preserve">d referred to in </w:t>
      </w:r>
      <w:r w:rsidR="001A6F73" w:rsidRPr="001A6F73">
        <w:t>paragraph (</w:t>
      </w:r>
      <w:r w:rsidR="005D2DDC" w:rsidRPr="001A6F73">
        <w:t>1)(</w:t>
      </w:r>
      <w:r w:rsidR="00F20176" w:rsidRPr="001A6F73">
        <w:t>c)</w:t>
      </w:r>
      <w:r w:rsidRPr="001A6F73">
        <w:t xml:space="preserve"> runs from the date of a negotiation request in respect of the new application).</w:t>
      </w:r>
    </w:p>
    <w:p w:rsidR="004D2BAD" w:rsidRPr="001A6F73" w:rsidRDefault="004D2BAD" w:rsidP="00C4131D">
      <w:pPr>
        <w:pStyle w:val="ActHead3"/>
        <w:pageBreakBefore/>
      </w:pPr>
      <w:bookmarkStart w:id="36" w:name="_Toc397955327"/>
      <w:r w:rsidRPr="001A6F73">
        <w:rPr>
          <w:rStyle w:val="CharDivNo"/>
        </w:rPr>
        <w:lastRenderedPageBreak/>
        <w:t>Division</w:t>
      </w:r>
      <w:r w:rsidR="001A6F73" w:rsidRPr="001A6F73">
        <w:rPr>
          <w:rStyle w:val="CharDivNo"/>
        </w:rPr>
        <w:t> </w:t>
      </w:r>
      <w:r w:rsidRPr="001A6F73">
        <w:rPr>
          <w:rStyle w:val="CharDivNo"/>
        </w:rPr>
        <w:t>2</w:t>
      </w:r>
      <w:r w:rsidRPr="001A6F73">
        <w:t>—</w:t>
      </w:r>
      <w:r w:rsidR="00BF7072" w:rsidRPr="001A6F73">
        <w:rPr>
          <w:rStyle w:val="CharDivText"/>
        </w:rPr>
        <w:t>Mediation</w:t>
      </w:r>
      <w:bookmarkEnd w:id="36"/>
    </w:p>
    <w:p w:rsidR="00BF7072" w:rsidRPr="001A6F73" w:rsidRDefault="00EE510E" w:rsidP="00C4131D">
      <w:pPr>
        <w:pStyle w:val="ActHead5"/>
      </w:pPr>
      <w:bookmarkStart w:id="37" w:name="_Toc397955328"/>
      <w:r w:rsidRPr="001A6F73">
        <w:rPr>
          <w:rStyle w:val="CharSectno"/>
        </w:rPr>
        <w:t>18</w:t>
      </w:r>
      <w:r w:rsidR="00BF7072" w:rsidRPr="001A6F73">
        <w:t xml:space="preserve">  General rules applicable to mediation</w:t>
      </w:r>
      <w:bookmarkEnd w:id="37"/>
    </w:p>
    <w:p w:rsidR="007731EA" w:rsidRPr="001A6F73" w:rsidRDefault="00163F76" w:rsidP="00BF7072">
      <w:pPr>
        <w:pStyle w:val="subsection"/>
      </w:pPr>
      <w:r w:rsidRPr="001A6F73">
        <w:tab/>
        <w:t>(1)</w:t>
      </w:r>
      <w:r w:rsidRPr="001A6F73">
        <w:tab/>
        <w:t xml:space="preserve">The rules </w:t>
      </w:r>
      <w:r w:rsidR="00AA191B" w:rsidRPr="001A6F73">
        <w:t xml:space="preserve">in this clause </w:t>
      </w:r>
      <w:r w:rsidRPr="001A6F73">
        <w:t>apply to m</w:t>
      </w:r>
      <w:r w:rsidR="00BF7072" w:rsidRPr="001A6F73">
        <w:t>ediation</w:t>
      </w:r>
      <w:r w:rsidR="007731EA" w:rsidRPr="001A6F73">
        <w:t>:</w:t>
      </w:r>
    </w:p>
    <w:p w:rsidR="00E8689F" w:rsidRPr="001A6F73" w:rsidRDefault="007731EA" w:rsidP="007731EA">
      <w:pPr>
        <w:pStyle w:val="paragraph"/>
      </w:pPr>
      <w:r w:rsidRPr="001A6F73">
        <w:tab/>
        <w:t>(a)</w:t>
      </w:r>
      <w:r w:rsidRPr="001A6F73">
        <w:tab/>
      </w:r>
      <w:r w:rsidR="00E8689F" w:rsidRPr="001A6F73">
        <w:t>conducted under clause</w:t>
      </w:r>
      <w:r w:rsidR="001A6F73" w:rsidRPr="001A6F73">
        <w:t> </w:t>
      </w:r>
      <w:r w:rsidR="00E8689F" w:rsidRPr="001A6F73">
        <w:t>1</w:t>
      </w:r>
      <w:r w:rsidR="00AE58C8" w:rsidRPr="001A6F73">
        <w:t>4</w:t>
      </w:r>
      <w:r w:rsidR="00E8689F" w:rsidRPr="001A6F73">
        <w:t>; or</w:t>
      </w:r>
    </w:p>
    <w:p w:rsidR="001F3C53" w:rsidRPr="001A6F73" w:rsidRDefault="00E8689F" w:rsidP="007731EA">
      <w:pPr>
        <w:pStyle w:val="paragraph"/>
      </w:pPr>
      <w:r w:rsidRPr="001A6F73">
        <w:tab/>
        <w:t>(b)</w:t>
      </w:r>
      <w:r w:rsidRPr="001A6F73">
        <w:tab/>
      </w:r>
      <w:r w:rsidR="001F3C53" w:rsidRPr="001A6F73">
        <w:t xml:space="preserve">provided for </w:t>
      </w:r>
      <w:r w:rsidR="007731EA" w:rsidRPr="001A6F73">
        <w:t>in</w:t>
      </w:r>
      <w:r w:rsidRPr="001A6F73">
        <w:t xml:space="preserve"> an access agreement entered </w:t>
      </w:r>
      <w:r w:rsidR="0081321A" w:rsidRPr="001A6F73">
        <w:t xml:space="preserve">into </w:t>
      </w:r>
      <w:r w:rsidRPr="001A6F73">
        <w:t>on a port terminal service provider’s standard terms.</w:t>
      </w:r>
    </w:p>
    <w:p w:rsidR="00E33F2D" w:rsidRPr="001A6F73" w:rsidRDefault="00E33F2D" w:rsidP="009B05EF">
      <w:pPr>
        <w:pStyle w:val="subsection"/>
      </w:pPr>
      <w:r w:rsidRPr="001A6F73">
        <w:tab/>
      </w:r>
      <w:r w:rsidR="00BF7072" w:rsidRPr="001A6F73">
        <w:t>(2)</w:t>
      </w:r>
      <w:r w:rsidR="00BF7072" w:rsidRPr="001A6F73">
        <w:tab/>
        <w:t>T</w:t>
      </w:r>
      <w:r w:rsidRPr="001A6F73">
        <w:t>he mediator may decide t</w:t>
      </w:r>
      <w:r w:rsidR="00BF7072" w:rsidRPr="001A6F73">
        <w:t>he time and place (which must be in Australia) for mediation.</w:t>
      </w:r>
    </w:p>
    <w:p w:rsidR="00E33F2D" w:rsidRPr="001A6F73" w:rsidRDefault="00BF7072" w:rsidP="00E33F2D">
      <w:pPr>
        <w:pStyle w:val="subsection"/>
      </w:pPr>
      <w:r w:rsidRPr="001A6F73">
        <w:tab/>
        <w:t>(3)</w:t>
      </w:r>
      <w:r w:rsidR="00E33F2D" w:rsidRPr="001A6F73">
        <w:tab/>
        <w:t>The parties must attend the mediation and try to resolve the dispute.</w:t>
      </w:r>
    </w:p>
    <w:p w:rsidR="00E33F2D" w:rsidRPr="001A6F73" w:rsidRDefault="00BF7072" w:rsidP="00E33F2D">
      <w:pPr>
        <w:pStyle w:val="subsection"/>
      </w:pPr>
      <w:r w:rsidRPr="001A6F73">
        <w:tab/>
        <w:t>(4)</w:t>
      </w:r>
      <w:r w:rsidRPr="001A6F73">
        <w:tab/>
        <w:t xml:space="preserve">For </w:t>
      </w:r>
      <w:r w:rsidR="001A6F73" w:rsidRPr="001A6F73">
        <w:t>subclause (</w:t>
      </w:r>
      <w:r w:rsidRPr="001A6F73">
        <w:t>3</w:t>
      </w:r>
      <w:r w:rsidR="00E33F2D" w:rsidRPr="001A6F73">
        <w:t xml:space="preserve">), a party is taken to attend mediation if the party is represented at the mediation by a person who has the authority to enter </w:t>
      </w:r>
      <w:r w:rsidR="0081321A" w:rsidRPr="001A6F73">
        <w:t xml:space="preserve">into </w:t>
      </w:r>
      <w:r w:rsidR="00E33F2D" w:rsidRPr="001A6F73">
        <w:t>an agreement to settle the dispute on behalf of the party.</w:t>
      </w:r>
    </w:p>
    <w:p w:rsidR="00E33F2D" w:rsidRPr="001A6F73" w:rsidRDefault="00BF7072" w:rsidP="00E33F2D">
      <w:pPr>
        <w:pStyle w:val="subsection"/>
      </w:pPr>
      <w:r w:rsidRPr="001A6F73">
        <w:tab/>
        <w:t>(5)</w:t>
      </w:r>
      <w:r w:rsidRPr="001A6F73">
        <w:tab/>
        <w:t xml:space="preserve">For </w:t>
      </w:r>
      <w:r w:rsidR="001A6F73" w:rsidRPr="001A6F73">
        <w:t>subclause (</w:t>
      </w:r>
      <w:r w:rsidRPr="001A6F73">
        <w:t>3</w:t>
      </w:r>
      <w:r w:rsidR="00E33F2D" w:rsidRPr="001A6F73">
        <w:t>), a party will be taken to be trying to resolve a dispute if the party</w:t>
      </w:r>
      <w:r w:rsidR="00503D8C" w:rsidRPr="001A6F73">
        <w:t xml:space="preserve"> does all of the following</w:t>
      </w:r>
      <w:r w:rsidR="00E33F2D" w:rsidRPr="001A6F73">
        <w:t>:</w:t>
      </w:r>
    </w:p>
    <w:p w:rsidR="00E33F2D" w:rsidRPr="001A6F73" w:rsidRDefault="005E18E3" w:rsidP="00E33F2D">
      <w:pPr>
        <w:pStyle w:val="paragraph"/>
      </w:pPr>
      <w:r w:rsidRPr="001A6F73">
        <w:tab/>
        <w:t>(a)</w:t>
      </w:r>
      <w:r w:rsidRPr="001A6F73">
        <w:tab/>
        <w:t xml:space="preserve">attends and participates </w:t>
      </w:r>
      <w:r w:rsidR="00E33F2D" w:rsidRPr="001A6F73">
        <w:t>in meetings at reasonable times;</w:t>
      </w:r>
    </w:p>
    <w:p w:rsidR="00E33F2D" w:rsidRPr="001A6F73" w:rsidRDefault="00E33F2D" w:rsidP="00E33F2D">
      <w:pPr>
        <w:pStyle w:val="paragraph"/>
      </w:pPr>
      <w:r w:rsidRPr="001A6F73">
        <w:tab/>
        <w:t>(b)</w:t>
      </w:r>
      <w:r w:rsidRPr="001A6F73">
        <w:tab/>
        <w:t>at the beginning of the m</w:t>
      </w:r>
      <w:r w:rsidR="005E18E3" w:rsidRPr="001A6F73">
        <w:t>ediation process, makes</w:t>
      </w:r>
      <w:r w:rsidRPr="001A6F73">
        <w:t xml:space="preserve"> the party’s intention clear as to what the party is trying to achieve through the mediation process;</w:t>
      </w:r>
    </w:p>
    <w:p w:rsidR="00E33F2D" w:rsidRPr="001A6F73" w:rsidRDefault="005E18E3" w:rsidP="00E33F2D">
      <w:pPr>
        <w:pStyle w:val="paragraph"/>
      </w:pPr>
      <w:r w:rsidRPr="001A6F73">
        <w:tab/>
        <w:t>(c)</w:t>
      </w:r>
      <w:r w:rsidRPr="001A6F73">
        <w:tab/>
        <w:t>observes</w:t>
      </w:r>
      <w:r w:rsidR="00E33F2D" w:rsidRPr="001A6F73">
        <w:t xml:space="preserve"> any obligations relating to confidentiality that apply during or after the mediation process;</w:t>
      </w:r>
    </w:p>
    <w:p w:rsidR="00E33F2D" w:rsidRPr="001A6F73" w:rsidRDefault="00E33F2D" w:rsidP="00E33F2D">
      <w:pPr>
        <w:pStyle w:val="paragraph"/>
      </w:pPr>
      <w:r w:rsidRPr="001A6F73">
        <w:tab/>
        <w:t>(d)</w:t>
      </w:r>
      <w:r w:rsidRPr="001A6F73">
        <w:tab/>
      </w:r>
      <w:r w:rsidR="005E18E3" w:rsidRPr="001A6F73">
        <w:t>does not take any</w:t>
      </w:r>
      <w:r w:rsidRPr="001A6F73">
        <w:t xml:space="preserve"> action during the dispute</w:t>
      </w:r>
      <w:r w:rsidR="00BF7072" w:rsidRPr="001A6F73">
        <w:t xml:space="preserve"> that </w:t>
      </w:r>
      <w:r w:rsidRPr="001A6F73">
        <w:t xml:space="preserve">has the effect of damaging </w:t>
      </w:r>
      <w:r w:rsidR="00BF7072" w:rsidRPr="001A6F73">
        <w:t>the reputation of the system of providing access to port terminal services</w:t>
      </w:r>
      <w:r w:rsidRPr="001A6F73">
        <w:t>;</w:t>
      </w:r>
    </w:p>
    <w:p w:rsidR="00E33F2D" w:rsidRPr="001A6F73" w:rsidRDefault="005E18E3" w:rsidP="00C729BD">
      <w:pPr>
        <w:pStyle w:val="paragraph"/>
      </w:pPr>
      <w:r w:rsidRPr="001A6F73">
        <w:tab/>
        <w:t>(e)</w:t>
      </w:r>
      <w:r w:rsidRPr="001A6F73">
        <w:tab/>
      </w:r>
      <w:r w:rsidR="00E33F2D" w:rsidRPr="001A6F73">
        <w:t>take</w:t>
      </w:r>
      <w:r w:rsidRPr="001A6F73">
        <w:t>s</w:t>
      </w:r>
      <w:r w:rsidR="00E33F2D" w:rsidRPr="001A6F73">
        <w:t xml:space="preserve"> action during the dispute</w:t>
      </w:r>
      <w:r w:rsidRPr="001A6F73">
        <w:t xml:space="preserve">, if </w:t>
      </w:r>
      <w:r w:rsidR="00E33F2D" w:rsidRPr="001A6F73">
        <w:t xml:space="preserve">refusal to act would have the effect of damaging the reputation of </w:t>
      </w:r>
      <w:r w:rsidR="00BF7072" w:rsidRPr="001A6F73">
        <w:t>the system of providing access to port terminal services</w:t>
      </w:r>
      <w:r w:rsidR="00E33F2D" w:rsidRPr="001A6F73">
        <w:t>.</w:t>
      </w:r>
    </w:p>
    <w:p w:rsidR="00E33F2D" w:rsidRPr="001A6F73" w:rsidRDefault="00EE510E" w:rsidP="00C4131D">
      <w:pPr>
        <w:pStyle w:val="ActHead5"/>
      </w:pPr>
      <w:bookmarkStart w:id="38" w:name="_Toc397955329"/>
      <w:r w:rsidRPr="001A6F73">
        <w:rPr>
          <w:rStyle w:val="CharSectno"/>
        </w:rPr>
        <w:t>19</w:t>
      </w:r>
      <w:r w:rsidR="00E33F2D" w:rsidRPr="001A6F73">
        <w:t xml:space="preserve">  Termination of mediation</w:t>
      </w:r>
      <w:bookmarkEnd w:id="38"/>
    </w:p>
    <w:p w:rsidR="00E33F2D" w:rsidRPr="001A6F73" w:rsidRDefault="00E33F2D" w:rsidP="00E33F2D">
      <w:pPr>
        <w:pStyle w:val="subsection"/>
      </w:pPr>
      <w:r w:rsidRPr="001A6F73">
        <w:tab/>
        <w:t>(1)</w:t>
      </w:r>
      <w:r w:rsidRPr="001A6F73">
        <w:tab/>
        <w:t>This clause applies if:</w:t>
      </w:r>
    </w:p>
    <w:p w:rsidR="00E33F2D" w:rsidRPr="001A6F73" w:rsidRDefault="00E33F2D" w:rsidP="00E33F2D">
      <w:pPr>
        <w:pStyle w:val="paragraph"/>
      </w:pPr>
      <w:r w:rsidRPr="001A6F73">
        <w:tab/>
        <w:t>(a)</w:t>
      </w:r>
      <w:r w:rsidRPr="001A6F73">
        <w:tab/>
        <w:t xml:space="preserve">at least </w:t>
      </w:r>
      <w:r w:rsidR="001F3C53" w:rsidRPr="001A6F73">
        <w:t>20 business</w:t>
      </w:r>
      <w:r w:rsidRPr="001A6F73">
        <w:t xml:space="preserve"> days have elapsed after the start of mediation of a dispute; and</w:t>
      </w:r>
    </w:p>
    <w:p w:rsidR="00E33F2D" w:rsidRPr="001A6F73" w:rsidRDefault="00E33F2D" w:rsidP="00E33F2D">
      <w:pPr>
        <w:pStyle w:val="paragraph"/>
      </w:pPr>
      <w:r w:rsidRPr="001A6F73">
        <w:lastRenderedPageBreak/>
        <w:tab/>
        <w:t>(b)</w:t>
      </w:r>
      <w:r w:rsidRPr="001A6F73">
        <w:tab/>
        <w:t>the dispute has not been resolved.</w:t>
      </w:r>
    </w:p>
    <w:p w:rsidR="00E33F2D" w:rsidRPr="001A6F73" w:rsidRDefault="00E33F2D" w:rsidP="00E33F2D">
      <w:pPr>
        <w:pStyle w:val="subsection"/>
      </w:pPr>
      <w:r w:rsidRPr="001A6F73">
        <w:tab/>
        <w:t>(2)</w:t>
      </w:r>
      <w:r w:rsidRPr="001A6F73">
        <w:tab/>
        <w:t>If either party asks the mediator to terminate the mediation, the mediator must do so.</w:t>
      </w:r>
    </w:p>
    <w:p w:rsidR="00E33F2D" w:rsidRPr="001A6F73" w:rsidRDefault="00E33F2D" w:rsidP="00E33F2D">
      <w:pPr>
        <w:pStyle w:val="subsection"/>
      </w:pPr>
      <w:r w:rsidRPr="001A6F73">
        <w:tab/>
        <w:t>(3)</w:t>
      </w:r>
      <w:r w:rsidRPr="001A6F73">
        <w:tab/>
        <w:t xml:space="preserve">Subject to </w:t>
      </w:r>
      <w:r w:rsidR="001A6F73" w:rsidRPr="001A6F73">
        <w:t>subclause (</w:t>
      </w:r>
      <w:r w:rsidRPr="001A6F73">
        <w:t>2), the mediator may terminate the mediation at any time unless satisfied that a resolution of the dispute is imminent.</w:t>
      </w:r>
    </w:p>
    <w:p w:rsidR="00E33F2D" w:rsidRPr="001A6F73" w:rsidRDefault="00E33F2D" w:rsidP="00E33F2D">
      <w:pPr>
        <w:pStyle w:val="subsection"/>
      </w:pPr>
      <w:r w:rsidRPr="001A6F73">
        <w:tab/>
        <w:t>(4)</w:t>
      </w:r>
      <w:r w:rsidRPr="001A6F73">
        <w:tab/>
        <w:t>If the mediator terminates the mediation of a dispute under this clause, the mediator must issue a certificate</w:t>
      </w:r>
      <w:r w:rsidR="00694CAE" w:rsidRPr="001A6F73">
        <w:t xml:space="preserve"> to each party</w:t>
      </w:r>
      <w:r w:rsidRPr="001A6F73">
        <w:t xml:space="preserve"> stating:</w:t>
      </w:r>
    </w:p>
    <w:p w:rsidR="00E33F2D" w:rsidRPr="001A6F73" w:rsidRDefault="00E33F2D" w:rsidP="00E33F2D">
      <w:pPr>
        <w:pStyle w:val="paragraph"/>
      </w:pPr>
      <w:r w:rsidRPr="001A6F73">
        <w:tab/>
        <w:t>(a)</w:t>
      </w:r>
      <w:r w:rsidRPr="001A6F73">
        <w:tab/>
        <w:t>the names of the parties; and</w:t>
      </w:r>
    </w:p>
    <w:p w:rsidR="00E33F2D" w:rsidRPr="001A6F73" w:rsidRDefault="00E33F2D" w:rsidP="00E33F2D">
      <w:pPr>
        <w:pStyle w:val="paragraph"/>
      </w:pPr>
      <w:r w:rsidRPr="001A6F73">
        <w:tab/>
        <w:t>(b)</w:t>
      </w:r>
      <w:r w:rsidRPr="001A6F73">
        <w:tab/>
        <w:t>the nature of the dispute; and</w:t>
      </w:r>
    </w:p>
    <w:p w:rsidR="00E33F2D" w:rsidRPr="001A6F73" w:rsidRDefault="00E33F2D" w:rsidP="00E33F2D">
      <w:pPr>
        <w:pStyle w:val="paragraph"/>
      </w:pPr>
      <w:r w:rsidRPr="001A6F73">
        <w:tab/>
        <w:t>(c)</w:t>
      </w:r>
      <w:r w:rsidRPr="001A6F73">
        <w:tab/>
        <w:t>that the mediation has finished; and</w:t>
      </w:r>
    </w:p>
    <w:p w:rsidR="00E33F2D" w:rsidRPr="001A6F73" w:rsidRDefault="00E33F2D" w:rsidP="00E33F2D">
      <w:pPr>
        <w:pStyle w:val="paragraph"/>
      </w:pPr>
      <w:r w:rsidRPr="001A6F73">
        <w:tab/>
        <w:t>(d)</w:t>
      </w:r>
      <w:r w:rsidRPr="001A6F73">
        <w:tab/>
        <w:t>that the dispute has not been resolved.</w:t>
      </w:r>
    </w:p>
    <w:p w:rsidR="000B0CEA" w:rsidRPr="001A6F73" w:rsidRDefault="00E33F2D" w:rsidP="00694CAE">
      <w:pPr>
        <w:pStyle w:val="subsection"/>
      </w:pPr>
      <w:r w:rsidRPr="001A6F73">
        <w:tab/>
        <w:t>(5)</w:t>
      </w:r>
      <w:r w:rsidRPr="001A6F73">
        <w:tab/>
      </w:r>
      <w:r w:rsidR="000B0CEA" w:rsidRPr="001A6F73">
        <w:t>If the mediation was in relation to a dispute mentioned in subclause</w:t>
      </w:r>
      <w:r w:rsidR="001A6F73" w:rsidRPr="001A6F73">
        <w:t> </w:t>
      </w:r>
      <w:r w:rsidR="000B0CEA" w:rsidRPr="001A6F73">
        <w:t>14(1) and the mediation is terminated, the party that requested resolution of the dispute under subclause</w:t>
      </w:r>
      <w:r w:rsidR="001A6F73" w:rsidRPr="001A6F73">
        <w:t> </w:t>
      </w:r>
      <w:r w:rsidR="000B0CEA" w:rsidRPr="001A6F73">
        <w:t>14(1) must notify the ACCC that the mediation has been terminated.</w:t>
      </w:r>
    </w:p>
    <w:p w:rsidR="00E33F2D" w:rsidRPr="001A6F73" w:rsidRDefault="00EE510E" w:rsidP="00C4131D">
      <w:pPr>
        <w:pStyle w:val="ActHead5"/>
      </w:pPr>
      <w:bookmarkStart w:id="39" w:name="_Toc397955330"/>
      <w:r w:rsidRPr="001A6F73">
        <w:rPr>
          <w:rStyle w:val="CharSectno"/>
        </w:rPr>
        <w:t>20</w:t>
      </w:r>
      <w:r w:rsidR="00E33F2D" w:rsidRPr="001A6F73">
        <w:t xml:space="preserve">  C</w:t>
      </w:r>
      <w:r w:rsidR="00F66CF7" w:rsidRPr="001A6F73">
        <w:t>osts of mediation</w:t>
      </w:r>
      <w:bookmarkEnd w:id="39"/>
    </w:p>
    <w:p w:rsidR="000D3117" w:rsidRPr="001A6F73" w:rsidRDefault="0081321A" w:rsidP="00E33F2D">
      <w:pPr>
        <w:pStyle w:val="subsection"/>
      </w:pPr>
      <w:r w:rsidRPr="001A6F73">
        <w:tab/>
      </w:r>
      <w:r w:rsidR="00E33F2D" w:rsidRPr="001A6F73">
        <w:tab/>
        <w:t xml:space="preserve">The parties </w:t>
      </w:r>
      <w:r w:rsidR="00F66CF7" w:rsidRPr="001A6F73">
        <w:t>to mediation under this code</w:t>
      </w:r>
      <w:r w:rsidR="000D3117" w:rsidRPr="001A6F73">
        <w:t>:</w:t>
      </w:r>
    </w:p>
    <w:p w:rsidR="000D3117" w:rsidRPr="001A6F73" w:rsidRDefault="000D3117" w:rsidP="000D3117">
      <w:pPr>
        <w:pStyle w:val="paragraph"/>
      </w:pPr>
      <w:r w:rsidRPr="001A6F73">
        <w:tab/>
        <w:t>(a)</w:t>
      </w:r>
      <w:r w:rsidRPr="001A6F73">
        <w:tab/>
        <w:t>must bear their own costs of attending mediation; and</w:t>
      </w:r>
    </w:p>
    <w:p w:rsidR="00E33F2D" w:rsidRPr="001A6F73" w:rsidRDefault="000D3117" w:rsidP="000D3117">
      <w:pPr>
        <w:pStyle w:val="paragraph"/>
      </w:pPr>
      <w:r w:rsidRPr="001A6F73">
        <w:tab/>
        <w:t>(b)</w:t>
      </w:r>
      <w:r w:rsidRPr="001A6F73">
        <w:tab/>
      </w:r>
      <w:r w:rsidR="00BF4D04" w:rsidRPr="001A6F73">
        <w:t>are</w:t>
      </w:r>
      <w:r w:rsidRPr="001A6F73">
        <w:t xml:space="preserve"> equally liable for the following costs of </w:t>
      </w:r>
      <w:r w:rsidR="007731EA" w:rsidRPr="001A6F73">
        <w:t>mediation</w:t>
      </w:r>
      <w:r w:rsidR="00BF4D04" w:rsidRPr="001A6F73">
        <w:t xml:space="preserve"> </w:t>
      </w:r>
      <w:r w:rsidRPr="001A6F73">
        <w:t>unless they agree otherwise:</w:t>
      </w:r>
    </w:p>
    <w:p w:rsidR="000D3117" w:rsidRPr="001A6F73" w:rsidRDefault="000D3117" w:rsidP="000D3117">
      <w:pPr>
        <w:pStyle w:val="paragraphsub"/>
      </w:pPr>
      <w:r w:rsidRPr="001A6F73">
        <w:tab/>
        <w:t>(i)</w:t>
      </w:r>
      <w:r w:rsidRPr="001A6F73">
        <w:tab/>
        <w:t>the cost of the mediator;</w:t>
      </w:r>
    </w:p>
    <w:p w:rsidR="000D3117" w:rsidRPr="001A6F73" w:rsidRDefault="000D3117" w:rsidP="000D3117">
      <w:pPr>
        <w:pStyle w:val="paragraphsub"/>
      </w:pPr>
      <w:r w:rsidRPr="001A6F73">
        <w:tab/>
        <w:t>(ii)</w:t>
      </w:r>
      <w:r w:rsidRPr="001A6F73">
        <w:tab/>
        <w:t>the cost of room hire;</w:t>
      </w:r>
    </w:p>
    <w:p w:rsidR="000D3117" w:rsidRPr="001A6F73" w:rsidRDefault="000D3117" w:rsidP="000D3117">
      <w:pPr>
        <w:pStyle w:val="paragraphsub"/>
      </w:pPr>
      <w:r w:rsidRPr="001A6F73">
        <w:tab/>
        <w:t>(iii)</w:t>
      </w:r>
      <w:r w:rsidRPr="001A6F73">
        <w:tab/>
        <w:t xml:space="preserve">the cost of any additional input (including expert reports) agreed by both parties to be necessary </w:t>
      </w:r>
      <w:r w:rsidR="00A31A05" w:rsidRPr="001A6F73">
        <w:t>to the conduct of the mediation; and</w:t>
      </w:r>
    </w:p>
    <w:p w:rsidR="00A31A05" w:rsidRPr="001A6F73" w:rsidRDefault="00A31A05" w:rsidP="00A31A05">
      <w:pPr>
        <w:pStyle w:val="paragraph"/>
      </w:pPr>
      <w:r w:rsidRPr="001A6F73">
        <w:tab/>
        <w:t>(c)</w:t>
      </w:r>
      <w:r w:rsidRPr="001A6F73">
        <w:tab/>
        <w:t>are liable for any other costs determined by the arbitrator.</w:t>
      </w:r>
    </w:p>
    <w:p w:rsidR="00F66CF7" w:rsidRPr="001A6F73" w:rsidRDefault="00EB6DDB" w:rsidP="00C4131D">
      <w:pPr>
        <w:pStyle w:val="ActHead5"/>
      </w:pPr>
      <w:bookmarkStart w:id="40" w:name="_Toc397955331"/>
      <w:r w:rsidRPr="001A6F73">
        <w:rPr>
          <w:rStyle w:val="CharSectno"/>
        </w:rPr>
        <w:t>2</w:t>
      </w:r>
      <w:r w:rsidR="00EE510E" w:rsidRPr="001A6F73">
        <w:rPr>
          <w:rStyle w:val="CharSectno"/>
        </w:rPr>
        <w:t>1</w:t>
      </w:r>
      <w:r w:rsidR="00F66CF7" w:rsidRPr="001A6F73">
        <w:t xml:space="preserve">  Right to take legal proceedings not affected</w:t>
      </w:r>
      <w:bookmarkEnd w:id="40"/>
    </w:p>
    <w:p w:rsidR="00F66CF7" w:rsidRPr="001A6F73" w:rsidRDefault="00F66CF7" w:rsidP="00AA13C7">
      <w:pPr>
        <w:pStyle w:val="subsection"/>
      </w:pPr>
      <w:r w:rsidRPr="001A6F73">
        <w:tab/>
      </w:r>
      <w:r w:rsidRPr="001A6F73">
        <w:tab/>
        <w:t>Nothing in this Part affects the right of a party to an access agreement to institute legal proceedings under the agreement.</w:t>
      </w:r>
    </w:p>
    <w:p w:rsidR="00044108" w:rsidRPr="001A6F73" w:rsidRDefault="002706B3" w:rsidP="00C4131D">
      <w:pPr>
        <w:pStyle w:val="ActHead3"/>
        <w:pageBreakBefore/>
      </w:pPr>
      <w:bookmarkStart w:id="41" w:name="_Toc397955332"/>
      <w:r w:rsidRPr="001A6F73">
        <w:rPr>
          <w:rStyle w:val="CharDivNo"/>
        </w:rPr>
        <w:lastRenderedPageBreak/>
        <w:t>Division</w:t>
      </w:r>
      <w:r w:rsidR="001A6F73" w:rsidRPr="001A6F73">
        <w:rPr>
          <w:rStyle w:val="CharDivNo"/>
        </w:rPr>
        <w:t> </w:t>
      </w:r>
      <w:r w:rsidRPr="001A6F73">
        <w:rPr>
          <w:rStyle w:val="CharDivNo"/>
        </w:rPr>
        <w:t>3</w:t>
      </w:r>
      <w:r w:rsidRPr="001A6F73">
        <w:t>—</w:t>
      </w:r>
      <w:r w:rsidRPr="001A6F73">
        <w:rPr>
          <w:rStyle w:val="CharDivText"/>
        </w:rPr>
        <w:t>Standard terms and reference prices</w:t>
      </w:r>
      <w:bookmarkEnd w:id="41"/>
    </w:p>
    <w:p w:rsidR="00044108" w:rsidRPr="001A6F73" w:rsidRDefault="002706B3" w:rsidP="00C4131D">
      <w:pPr>
        <w:pStyle w:val="ActHead5"/>
      </w:pPr>
      <w:bookmarkStart w:id="42" w:name="_Toc397955333"/>
      <w:r w:rsidRPr="001A6F73">
        <w:rPr>
          <w:rStyle w:val="CharSectno"/>
        </w:rPr>
        <w:t>2</w:t>
      </w:r>
      <w:r w:rsidR="00EE510E" w:rsidRPr="001A6F73">
        <w:rPr>
          <w:rStyle w:val="CharSectno"/>
        </w:rPr>
        <w:t>2</w:t>
      </w:r>
      <w:r w:rsidRPr="001A6F73">
        <w:t xml:space="preserve">  Standard terms to include dispute resolution mechanism</w:t>
      </w:r>
      <w:bookmarkEnd w:id="42"/>
    </w:p>
    <w:p w:rsidR="00044108" w:rsidRPr="001A6F73" w:rsidRDefault="00044108" w:rsidP="00044108">
      <w:pPr>
        <w:pStyle w:val="subsection"/>
      </w:pPr>
      <w:r w:rsidRPr="001A6F73">
        <w:tab/>
        <w:t>(</w:t>
      </w:r>
      <w:r w:rsidR="002706B3" w:rsidRPr="001A6F73">
        <w:t>1</w:t>
      </w:r>
      <w:r w:rsidRPr="001A6F73">
        <w:t>)</w:t>
      </w:r>
      <w:r w:rsidRPr="001A6F73">
        <w:tab/>
        <w:t xml:space="preserve">A </w:t>
      </w:r>
      <w:r w:rsidR="00FF12AE" w:rsidRPr="001A6F73">
        <w:t>port terminal service provider</w:t>
      </w:r>
      <w:r w:rsidRPr="001A6F73">
        <w:t>’s standard terms must include a dispute resolution mechanism to deal with disputes between the parties to an access agreement to which the provider is a party.</w:t>
      </w:r>
    </w:p>
    <w:p w:rsidR="00044108" w:rsidRPr="001A6F73" w:rsidRDefault="00044108" w:rsidP="00044108">
      <w:pPr>
        <w:pStyle w:val="subsection"/>
      </w:pPr>
      <w:r w:rsidRPr="001A6F73">
        <w:tab/>
        <w:t>(</w:t>
      </w:r>
      <w:r w:rsidR="002706B3" w:rsidRPr="001A6F73">
        <w:t>2</w:t>
      </w:r>
      <w:r w:rsidRPr="001A6F73">
        <w:t>)</w:t>
      </w:r>
      <w:r w:rsidRPr="001A6F73">
        <w:tab/>
        <w:t>The dispute resolution mechanism must include a mechanism for mediation of disputes and allow parties to request mediation of a dispute.</w:t>
      </w:r>
    </w:p>
    <w:p w:rsidR="00044108" w:rsidRPr="001A6F73" w:rsidRDefault="00044108" w:rsidP="00044108">
      <w:pPr>
        <w:pStyle w:val="subsection"/>
      </w:pPr>
      <w:r w:rsidRPr="001A6F73">
        <w:tab/>
      </w:r>
      <w:r w:rsidR="002706B3" w:rsidRPr="001A6F73">
        <w:t>(3</w:t>
      </w:r>
      <w:r w:rsidRPr="001A6F73">
        <w:t>)</w:t>
      </w:r>
      <w:r w:rsidRPr="001A6F73">
        <w:tab/>
        <w:t>The mechanism for mediation of disputes must provide:</w:t>
      </w:r>
    </w:p>
    <w:p w:rsidR="00044108" w:rsidRPr="001A6F73" w:rsidRDefault="00044108" w:rsidP="00044108">
      <w:pPr>
        <w:pStyle w:val="paragraph"/>
      </w:pPr>
      <w:r w:rsidRPr="001A6F73">
        <w:tab/>
        <w:t>(a)</w:t>
      </w:r>
      <w:r w:rsidRPr="001A6F73">
        <w:tab/>
        <w:t>that if the parties cannot agree within a time specified in the agreement, either party may refer the matter to a mediator; and</w:t>
      </w:r>
    </w:p>
    <w:p w:rsidR="00044108" w:rsidRPr="001A6F73" w:rsidRDefault="00044108" w:rsidP="00044108">
      <w:pPr>
        <w:pStyle w:val="paragraph"/>
      </w:pPr>
      <w:r w:rsidRPr="001A6F73">
        <w:tab/>
        <w:t>(b)</w:t>
      </w:r>
      <w:r w:rsidRPr="001A6F73">
        <w:tab/>
        <w:t>that if the parties cannot agree about who should be the mediator, either party may ask the Institute of Arbitrators &amp; Mediators Australia to appoint a mediator; and</w:t>
      </w:r>
    </w:p>
    <w:p w:rsidR="00044108" w:rsidRPr="001A6F73" w:rsidRDefault="00044108" w:rsidP="00044108">
      <w:pPr>
        <w:pStyle w:val="paragraph"/>
      </w:pPr>
      <w:r w:rsidRPr="001A6F73">
        <w:tab/>
        <w:t>(c)</w:t>
      </w:r>
      <w:r w:rsidRPr="001A6F73">
        <w:tab/>
        <w:t>that Division</w:t>
      </w:r>
      <w:r w:rsidR="001A6F73" w:rsidRPr="001A6F73">
        <w:t> </w:t>
      </w:r>
      <w:r w:rsidRPr="001A6F73">
        <w:t>2 of this Part applies to mediation conducted under the mechanism.</w:t>
      </w:r>
    </w:p>
    <w:p w:rsidR="002706B3" w:rsidRPr="001A6F73" w:rsidRDefault="002706B3" w:rsidP="00C4131D">
      <w:pPr>
        <w:pStyle w:val="ActHead5"/>
      </w:pPr>
      <w:bookmarkStart w:id="43" w:name="_Toc397955334"/>
      <w:r w:rsidRPr="001A6F73">
        <w:rPr>
          <w:rStyle w:val="CharSectno"/>
        </w:rPr>
        <w:t>2</w:t>
      </w:r>
      <w:r w:rsidR="00EE510E" w:rsidRPr="001A6F73">
        <w:rPr>
          <w:rStyle w:val="CharSectno"/>
        </w:rPr>
        <w:t>3</w:t>
      </w:r>
      <w:r w:rsidRPr="001A6F73">
        <w:t xml:space="preserve">  Variation of standard terms and reference prices</w:t>
      </w:r>
      <w:bookmarkEnd w:id="43"/>
    </w:p>
    <w:p w:rsidR="00044108" w:rsidRPr="001A6F73" w:rsidRDefault="002706B3" w:rsidP="00044108">
      <w:pPr>
        <w:pStyle w:val="subsection"/>
      </w:pPr>
      <w:r w:rsidRPr="001A6F73">
        <w:tab/>
        <w:t>(1</w:t>
      </w:r>
      <w:r w:rsidR="00044108" w:rsidRPr="001A6F73">
        <w:t>)</w:t>
      </w:r>
      <w:r w:rsidR="00044108" w:rsidRPr="001A6F73">
        <w:tab/>
        <w:t xml:space="preserve">A </w:t>
      </w:r>
      <w:r w:rsidR="00FF12AE" w:rsidRPr="001A6F73">
        <w:t>port terminal service provider</w:t>
      </w:r>
      <w:r w:rsidR="00044108" w:rsidRPr="001A6F73">
        <w:t xml:space="preserve"> may vary its standard terms and reference prices by making details of the variation available to the public on its website.</w:t>
      </w:r>
    </w:p>
    <w:p w:rsidR="00044108" w:rsidRPr="001A6F73" w:rsidRDefault="002706B3" w:rsidP="00044108">
      <w:pPr>
        <w:pStyle w:val="subsection"/>
      </w:pPr>
      <w:r w:rsidRPr="001A6F73">
        <w:tab/>
        <w:t>(2</w:t>
      </w:r>
      <w:r w:rsidR="00044108" w:rsidRPr="001A6F73">
        <w:t>)</w:t>
      </w:r>
      <w:r w:rsidR="00044108" w:rsidRPr="001A6F73">
        <w:tab/>
        <w:t>The details of the variation must be available on its website at least</w:t>
      </w:r>
      <w:r w:rsidR="00C82205" w:rsidRPr="001A6F73">
        <w:t xml:space="preserve"> 2</w:t>
      </w:r>
      <w:r w:rsidR="00044108" w:rsidRPr="001A6F73">
        <w:t>0</w:t>
      </w:r>
      <w:r w:rsidR="00DF3767" w:rsidRPr="001A6F73">
        <w:t xml:space="preserve"> business</w:t>
      </w:r>
      <w:r w:rsidR="00044108" w:rsidRPr="001A6F73">
        <w:t xml:space="preserve"> days before the variation is due to commence.</w:t>
      </w:r>
    </w:p>
    <w:p w:rsidR="00044108" w:rsidRPr="001A6F73" w:rsidRDefault="002706B3" w:rsidP="00AA13C7">
      <w:pPr>
        <w:pStyle w:val="subsection"/>
      </w:pPr>
      <w:r w:rsidRPr="001A6F73">
        <w:tab/>
        <w:t>(3</w:t>
      </w:r>
      <w:r w:rsidR="00044108" w:rsidRPr="001A6F73">
        <w:t>)</w:t>
      </w:r>
      <w:r w:rsidR="00044108" w:rsidRPr="001A6F73">
        <w:tab/>
        <w:t>A variation to the standard terms and reference prices does not apply to an access agreement entered into before the variation commences unless the access agreement clearly and unambiguously allows for variations to apply.</w:t>
      </w:r>
    </w:p>
    <w:p w:rsidR="007A3DA1" w:rsidRPr="001A6F73" w:rsidRDefault="007A3DA1" w:rsidP="00C4131D">
      <w:pPr>
        <w:pStyle w:val="ActHead2"/>
        <w:pageBreakBefore/>
      </w:pPr>
      <w:bookmarkStart w:id="44" w:name="_Toc397955335"/>
      <w:r w:rsidRPr="001A6F73">
        <w:rPr>
          <w:rStyle w:val="CharPartNo"/>
        </w:rPr>
        <w:lastRenderedPageBreak/>
        <w:t>Part</w:t>
      </w:r>
      <w:r w:rsidR="001A6F73" w:rsidRPr="001A6F73">
        <w:rPr>
          <w:rStyle w:val="CharPartNo"/>
        </w:rPr>
        <w:t> </w:t>
      </w:r>
      <w:r w:rsidRPr="001A6F73">
        <w:rPr>
          <w:rStyle w:val="CharPartNo"/>
        </w:rPr>
        <w:t>4</w:t>
      </w:r>
      <w:r w:rsidRPr="001A6F73">
        <w:t>—</w:t>
      </w:r>
      <w:r w:rsidRPr="001A6F73">
        <w:rPr>
          <w:rStyle w:val="CharPartText"/>
        </w:rPr>
        <w:t>Port loading protocol</w:t>
      </w:r>
      <w:r w:rsidR="00497ADE" w:rsidRPr="001A6F73">
        <w:rPr>
          <w:rStyle w:val="CharPartText"/>
        </w:rPr>
        <w:t>s of</w:t>
      </w:r>
      <w:r w:rsidR="00FF12AE" w:rsidRPr="001A6F73">
        <w:rPr>
          <w:rStyle w:val="CharPartText"/>
        </w:rPr>
        <w:t xml:space="preserve"> port terminal </w:t>
      </w:r>
      <w:r w:rsidR="00497ADE" w:rsidRPr="001A6F73">
        <w:rPr>
          <w:rStyle w:val="CharPartText"/>
        </w:rPr>
        <w:t>service providers</w:t>
      </w:r>
      <w:bookmarkEnd w:id="44"/>
    </w:p>
    <w:p w:rsidR="007A3DA1" w:rsidRPr="001A6F73" w:rsidRDefault="007A3DA1" w:rsidP="00C4131D">
      <w:pPr>
        <w:pStyle w:val="ActHead3"/>
      </w:pPr>
      <w:bookmarkStart w:id="45" w:name="_Toc397955336"/>
      <w:r w:rsidRPr="001A6F73">
        <w:rPr>
          <w:rStyle w:val="CharDivNo"/>
        </w:rPr>
        <w:t>Division</w:t>
      </w:r>
      <w:r w:rsidR="001A6F73" w:rsidRPr="001A6F73">
        <w:rPr>
          <w:rStyle w:val="CharDivNo"/>
        </w:rPr>
        <w:t> </w:t>
      </w:r>
      <w:r w:rsidRPr="001A6F73">
        <w:rPr>
          <w:rStyle w:val="CharDivNo"/>
        </w:rPr>
        <w:t>1</w:t>
      </w:r>
      <w:r w:rsidRPr="001A6F73">
        <w:t>—</w:t>
      </w:r>
      <w:r w:rsidR="0081321A" w:rsidRPr="001A6F73">
        <w:rPr>
          <w:rStyle w:val="CharDivText"/>
        </w:rPr>
        <w:t>General r</w:t>
      </w:r>
      <w:r w:rsidRPr="001A6F73">
        <w:rPr>
          <w:rStyle w:val="CharDivText"/>
        </w:rPr>
        <w:t>equirements</w:t>
      </w:r>
      <w:bookmarkEnd w:id="45"/>
    </w:p>
    <w:p w:rsidR="007A3DA1" w:rsidRPr="001A6F73" w:rsidRDefault="00EE510E" w:rsidP="00C4131D">
      <w:pPr>
        <w:pStyle w:val="ActHead5"/>
      </w:pPr>
      <w:bookmarkStart w:id="46" w:name="_Toc397955337"/>
      <w:r w:rsidRPr="001A6F73">
        <w:rPr>
          <w:rStyle w:val="CharSectno"/>
        </w:rPr>
        <w:t>24</w:t>
      </w:r>
      <w:r w:rsidR="007A3DA1" w:rsidRPr="001A6F73">
        <w:t xml:space="preserve"> </w:t>
      </w:r>
      <w:r w:rsidR="00A93D7E" w:rsidRPr="001A6F73">
        <w:t xml:space="preserve"> </w:t>
      </w:r>
      <w:r w:rsidR="00C82205" w:rsidRPr="001A6F73">
        <w:t xml:space="preserve">Port terminal service provider </w:t>
      </w:r>
      <w:r w:rsidR="007A3DA1" w:rsidRPr="001A6F73">
        <w:t>to have a port loading protocol</w:t>
      </w:r>
      <w:bookmarkEnd w:id="46"/>
    </w:p>
    <w:p w:rsidR="00670639" w:rsidRPr="001A6F73" w:rsidRDefault="009900E3" w:rsidP="009900E3">
      <w:pPr>
        <w:pStyle w:val="subsection"/>
      </w:pPr>
      <w:r w:rsidRPr="001A6F73">
        <w:tab/>
        <w:t>(1</w:t>
      </w:r>
      <w:r w:rsidR="001844F0" w:rsidRPr="001A6F73">
        <w:t>)</w:t>
      </w:r>
      <w:r w:rsidR="001844F0" w:rsidRPr="001A6F73">
        <w:tab/>
      </w:r>
      <w:r w:rsidRPr="001A6F73">
        <w:t>A</w:t>
      </w:r>
      <w:r w:rsidR="004C070F" w:rsidRPr="001A6F73">
        <w:t xml:space="preserve"> </w:t>
      </w:r>
      <w:r w:rsidR="00C82205" w:rsidRPr="001A6F73">
        <w:t xml:space="preserve">port terminal service provider </w:t>
      </w:r>
      <w:r w:rsidRPr="001A6F73">
        <w:t>must have a port loading protocol</w:t>
      </w:r>
      <w:r w:rsidR="00C77015" w:rsidRPr="001A6F73">
        <w:t xml:space="preserve"> for each port terminal facility that </w:t>
      </w:r>
      <w:r w:rsidR="00A54CD7" w:rsidRPr="001A6F73">
        <w:t>it owns or operates.</w:t>
      </w:r>
    </w:p>
    <w:p w:rsidR="00C82205" w:rsidRPr="001A6F73" w:rsidRDefault="00C82205" w:rsidP="00C82205">
      <w:pPr>
        <w:pStyle w:val="notetext"/>
      </w:pPr>
      <w:r w:rsidRPr="001A6F73">
        <w:t>Note:</w:t>
      </w:r>
      <w:r w:rsidRPr="001A6F73">
        <w:tab/>
        <w:t>A service provider may have one port loading protocol which applies to multiple port terminal facilities that it owns or operates.</w:t>
      </w:r>
    </w:p>
    <w:p w:rsidR="007A3DA1" w:rsidRPr="001A6F73" w:rsidRDefault="007A3DA1" w:rsidP="007A3DA1">
      <w:pPr>
        <w:pStyle w:val="subsection"/>
      </w:pPr>
      <w:r w:rsidRPr="001A6F73">
        <w:tab/>
        <w:t>(2)</w:t>
      </w:r>
      <w:r w:rsidRPr="001A6F73">
        <w:tab/>
        <w:t>The</w:t>
      </w:r>
      <w:r w:rsidR="004C070F" w:rsidRPr="001A6F73">
        <w:t xml:space="preserve"> </w:t>
      </w:r>
      <w:r w:rsidR="00C82205" w:rsidRPr="001A6F73">
        <w:t xml:space="preserve">port terminal service </w:t>
      </w:r>
      <w:r w:rsidR="001A3DED" w:rsidRPr="001A6F73">
        <w:t>provider</w:t>
      </w:r>
      <w:r w:rsidRPr="001A6F73">
        <w:t xml:space="preserve"> must make available its port loading protocol to the public on its website.</w:t>
      </w:r>
    </w:p>
    <w:p w:rsidR="007A3DA1" w:rsidRPr="001A6F73" w:rsidRDefault="00EB6DDB" w:rsidP="00C4131D">
      <w:pPr>
        <w:pStyle w:val="ActHead5"/>
      </w:pPr>
      <w:bookmarkStart w:id="47" w:name="_Toc397955338"/>
      <w:r w:rsidRPr="001A6F73">
        <w:rPr>
          <w:rStyle w:val="CharSectno"/>
        </w:rPr>
        <w:t>2</w:t>
      </w:r>
      <w:r w:rsidR="00EE510E" w:rsidRPr="001A6F73">
        <w:rPr>
          <w:rStyle w:val="CharSectno"/>
        </w:rPr>
        <w:t>5</w:t>
      </w:r>
      <w:r w:rsidR="007A3DA1" w:rsidRPr="001A6F73">
        <w:t xml:space="preserve">  Port loading protocol to include capacity allocation system</w:t>
      </w:r>
      <w:bookmarkEnd w:id="47"/>
    </w:p>
    <w:p w:rsidR="007A3DA1" w:rsidRPr="001A6F73" w:rsidRDefault="007A3DA1" w:rsidP="007A3DA1">
      <w:pPr>
        <w:pStyle w:val="subsection"/>
      </w:pPr>
      <w:r w:rsidRPr="001A6F73">
        <w:tab/>
      </w:r>
      <w:r w:rsidR="007B15F1" w:rsidRPr="001A6F73">
        <w:t>(1)</w:t>
      </w:r>
      <w:r w:rsidRPr="001A6F73">
        <w:tab/>
        <w:t>A port loading protocol must include the</w:t>
      </w:r>
      <w:r w:rsidR="004C070F" w:rsidRPr="001A6F73">
        <w:t xml:space="preserve"> </w:t>
      </w:r>
      <w:r w:rsidR="00C82205" w:rsidRPr="001A6F73">
        <w:t xml:space="preserve">port terminal service </w:t>
      </w:r>
      <w:r w:rsidR="001A3DED" w:rsidRPr="001A6F73">
        <w:t>provider</w:t>
      </w:r>
      <w:r w:rsidRPr="001A6F73">
        <w:t>’s capacity allocation system</w:t>
      </w:r>
      <w:r w:rsidR="00711BBE" w:rsidRPr="001A6F73">
        <w:t xml:space="preserve"> for the port terminal facility</w:t>
      </w:r>
      <w:r w:rsidRPr="001A6F73">
        <w:t>.</w:t>
      </w:r>
    </w:p>
    <w:p w:rsidR="008D5D68" w:rsidRPr="001A6F73" w:rsidRDefault="00C169A0" w:rsidP="005949D2">
      <w:pPr>
        <w:pStyle w:val="subsection"/>
      </w:pPr>
      <w:r w:rsidRPr="001A6F73">
        <w:tab/>
        <w:t>(2</w:t>
      </w:r>
      <w:r w:rsidR="005949D2" w:rsidRPr="001A6F73">
        <w:t>)</w:t>
      </w:r>
      <w:r w:rsidR="005949D2" w:rsidRPr="001A6F73">
        <w:tab/>
        <w:t>A capacity allocation system must</w:t>
      </w:r>
      <w:r w:rsidR="00675F0B" w:rsidRPr="001A6F73">
        <w:t xml:space="preserve"> not</w:t>
      </w:r>
      <w:r w:rsidR="008E146D" w:rsidRPr="001A6F73">
        <w:t xml:space="preserve"> allocate capacity in respect of a day that is more than 6 months after the day on which the capacity is allocated unless</w:t>
      </w:r>
      <w:r w:rsidR="00755042" w:rsidRPr="001A6F73">
        <w:t xml:space="preserve"> the capacity</w:t>
      </w:r>
      <w:r w:rsidR="000D4D81" w:rsidRPr="001A6F73">
        <w:t xml:space="preserve"> allocation system</w:t>
      </w:r>
      <w:r w:rsidR="008D5D68" w:rsidRPr="001A6F73">
        <w:t>:</w:t>
      </w:r>
    </w:p>
    <w:p w:rsidR="000D4D81" w:rsidRPr="001A6F73" w:rsidRDefault="008D5D68" w:rsidP="008D5D68">
      <w:pPr>
        <w:pStyle w:val="paragraph"/>
      </w:pPr>
      <w:r w:rsidRPr="001A6F73">
        <w:tab/>
        <w:t>(a)</w:t>
      </w:r>
      <w:r w:rsidRPr="001A6F73">
        <w:tab/>
      </w:r>
      <w:r w:rsidR="00C65F0B" w:rsidRPr="001A6F73">
        <w:t xml:space="preserve">has been </w:t>
      </w:r>
      <w:r w:rsidR="000D4D81" w:rsidRPr="001A6F73">
        <w:t>approved by the ACCC</w:t>
      </w:r>
      <w:r w:rsidR="0070401B" w:rsidRPr="001A6F73">
        <w:t xml:space="preserve"> in accordance with </w:t>
      </w:r>
      <w:r w:rsidR="001A6F73" w:rsidRPr="001A6F73">
        <w:t>subclause (</w:t>
      </w:r>
      <w:r w:rsidR="0061366C" w:rsidRPr="001A6F73">
        <w:t>3</w:t>
      </w:r>
      <w:r w:rsidR="0070401B" w:rsidRPr="001A6F73">
        <w:t>)</w:t>
      </w:r>
      <w:r w:rsidRPr="001A6F73">
        <w:t>; or</w:t>
      </w:r>
    </w:p>
    <w:p w:rsidR="008D5D68" w:rsidRPr="001A6F73" w:rsidRDefault="008D5D68" w:rsidP="008D5D68">
      <w:pPr>
        <w:pStyle w:val="paragraph"/>
      </w:pPr>
      <w:r w:rsidRPr="001A6F73">
        <w:tab/>
        <w:t>(b)</w:t>
      </w:r>
      <w:r w:rsidRPr="001A6F73">
        <w:tab/>
        <w:t xml:space="preserve">is taken to be approved by the ACCC </w:t>
      </w:r>
      <w:r w:rsidR="000437A4" w:rsidRPr="001A6F73">
        <w:t>under</w:t>
      </w:r>
      <w:r w:rsidRPr="001A6F73">
        <w:t xml:space="preserve"> </w:t>
      </w:r>
      <w:r w:rsidR="001A6F73" w:rsidRPr="001A6F73">
        <w:t>subclause (</w:t>
      </w:r>
      <w:r w:rsidR="0061366C" w:rsidRPr="001A6F73">
        <w:t>5</w:t>
      </w:r>
      <w:r w:rsidRPr="001A6F73">
        <w:t>).</w:t>
      </w:r>
    </w:p>
    <w:p w:rsidR="0020071D" w:rsidRPr="001A6F73" w:rsidRDefault="00C169A0" w:rsidP="005949D2">
      <w:pPr>
        <w:pStyle w:val="subsection"/>
      </w:pPr>
      <w:r w:rsidRPr="001A6F73">
        <w:tab/>
        <w:t>(3</w:t>
      </w:r>
      <w:r w:rsidR="000D4D81" w:rsidRPr="001A6F73">
        <w:t>)</w:t>
      </w:r>
      <w:r w:rsidR="000D4D81" w:rsidRPr="001A6F73">
        <w:tab/>
      </w:r>
      <w:r w:rsidR="00546DF4" w:rsidRPr="001A6F73">
        <w:t>In deciding whether or not to approve</w:t>
      </w:r>
      <w:r w:rsidR="000D4D81" w:rsidRPr="001A6F73">
        <w:t xml:space="preserve"> a </w:t>
      </w:r>
      <w:r w:rsidR="0070401B" w:rsidRPr="001A6F73">
        <w:t xml:space="preserve">port terminal service provider’s </w:t>
      </w:r>
      <w:r w:rsidR="000D4D81" w:rsidRPr="001A6F73">
        <w:t>capacity allocation system</w:t>
      </w:r>
      <w:r w:rsidR="008D5D68" w:rsidRPr="001A6F73">
        <w:t>,</w:t>
      </w:r>
      <w:r w:rsidR="000D4D81" w:rsidRPr="001A6F73">
        <w:t xml:space="preserve"> the ACCC</w:t>
      </w:r>
      <w:r w:rsidR="008300F6" w:rsidRPr="001A6F73">
        <w:t xml:space="preserve"> must </w:t>
      </w:r>
      <w:r w:rsidR="0020071D" w:rsidRPr="001A6F73">
        <w:t>have regard to:</w:t>
      </w:r>
    </w:p>
    <w:p w:rsidR="00C169A0" w:rsidRPr="001A6F73" w:rsidRDefault="00C169A0" w:rsidP="00C169A0">
      <w:pPr>
        <w:pStyle w:val="paragraph"/>
      </w:pPr>
      <w:r w:rsidRPr="001A6F73">
        <w:tab/>
        <w:t>(a)</w:t>
      </w:r>
      <w:r w:rsidRPr="001A6F73">
        <w:tab/>
        <w:t>whether the capacity allocation system will operate efficiently fairly and consistently with clause</w:t>
      </w:r>
      <w:r w:rsidR="001A6F73" w:rsidRPr="001A6F73">
        <w:t> </w:t>
      </w:r>
      <w:r w:rsidRPr="001A6F73">
        <w:t>10 (non</w:t>
      </w:r>
      <w:r w:rsidR="001A6F73">
        <w:noBreakHyphen/>
      </w:r>
      <w:r w:rsidRPr="001A6F73">
        <w:t>discrimination); and</w:t>
      </w:r>
    </w:p>
    <w:p w:rsidR="00C169A0" w:rsidRPr="001A6F73" w:rsidRDefault="00C169A0" w:rsidP="00C169A0">
      <w:pPr>
        <w:pStyle w:val="paragraph"/>
      </w:pPr>
      <w:r w:rsidRPr="001A6F73">
        <w:tab/>
        <w:t>(b)</w:t>
      </w:r>
      <w:r w:rsidRPr="001A6F73">
        <w:tab/>
        <w:t xml:space="preserve">whether the capacity allocation system will operate efficiently and provide sufficient information to exporters about the capacity of port terminal facilities owned or operated by the port terminal service provider to help </w:t>
      </w:r>
      <w:r w:rsidRPr="001A6F73">
        <w:lastRenderedPageBreak/>
        <w:t>exporters plan export activities and acquire required port terminal services; and</w:t>
      </w:r>
    </w:p>
    <w:p w:rsidR="00C169A0" w:rsidRPr="001A6F73" w:rsidRDefault="00C169A0" w:rsidP="00C169A0">
      <w:pPr>
        <w:pStyle w:val="paragraph"/>
      </w:pPr>
      <w:r w:rsidRPr="001A6F73">
        <w:tab/>
        <w:t>(c)</w:t>
      </w:r>
      <w:r w:rsidRPr="001A6F73">
        <w:tab/>
        <w:t>whether the capacity allocation system will operate efficiently and provide flexibility and transferability of shipping slots, including the ability to move allocated capacity of port terminal facilities owned or operated by the port terminal service provider across times or ports where appropriate; and</w:t>
      </w:r>
    </w:p>
    <w:p w:rsidR="00C169A0" w:rsidRPr="001A6F73" w:rsidRDefault="00AA191B" w:rsidP="00C169A0">
      <w:pPr>
        <w:pStyle w:val="paragraph"/>
      </w:pPr>
      <w:r w:rsidRPr="001A6F73">
        <w:tab/>
        <w:t>(d)</w:t>
      </w:r>
      <w:r w:rsidRPr="001A6F73">
        <w:tab/>
      </w:r>
      <w:r w:rsidR="00C169A0" w:rsidRPr="001A6F73">
        <w:t xml:space="preserve">whether the capacity allocation system will operate efficiently and contains mechanisms to ensure that the provider takes all reasonable steps to ensure that capacity of port terminal facilities owned or operated by the port terminal service provider is not </w:t>
      </w:r>
      <w:r w:rsidRPr="001A6F73">
        <w:t>unused during times of peak use;</w:t>
      </w:r>
      <w:r w:rsidR="00F1777D" w:rsidRPr="001A6F73">
        <w:t xml:space="preserve"> and</w:t>
      </w:r>
    </w:p>
    <w:p w:rsidR="0020071D" w:rsidRPr="001A6F73" w:rsidRDefault="00C169A0" w:rsidP="0020071D">
      <w:pPr>
        <w:pStyle w:val="paragraph"/>
      </w:pPr>
      <w:r w:rsidRPr="001A6F73">
        <w:tab/>
        <w:t>(e</w:t>
      </w:r>
      <w:r w:rsidR="0020071D" w:rsidRPr="001A6F73">
        <w:t>)</w:t>
      </w:r>
      <w:r w:rsidR="0020071D" w:rsidRPr="001A6F73">
        <w:tab/>
        <w:t>the potential effects that the capacity allocation system has on upstream and downstream markets;</w:t>
      </w:r>
      <w:r w:rsidR="00F1777D" w:rsidRPr="001A6F73">
        <w:t xml:space="preserve"> and</w:t>
      </w:r>
    </w:p>
    <w:p w:rsidR="0020071D" w:rsidRPr="001A6F73" w:rsidRDefault="00C169A0" w:rsidP="0020071D">
      <w:pPr>
        <w:pStyle w:val="paragraph"/>
      </w:pPr>
      <w:r w:rsidRPr="001A6F73">
        <w:tab/>
        <w:t>(f</w:t>
      </w:r>
      <w:r w:rsidR="0020071D" w:rsidRPr="001A6F73">
        <w:t>)</w:t>
      </w:r>
      <w:r w:rsidR="0020071D" w:rsidRPr="001A6F73">
        <w:tab/>
        <w:t>the business interests of the port terminal service provider;</w:t>
      </w:r>
      <w:r w:rsidR="00F1777D" w:rsidRPr="001A6F73">
        <w:t xml:space="preserve"> and</w:t>
      </w:r>
    </w:p>
    <w:p w:rsidR="0020071D" w:rsidRPr="001A6F73" w:rsidRDefault="00C169A0" w:rsidP="0020071D">
      <w:pPr>
        <w:pStyle w:val="paragraph"/>
      </w:pPr>
      <w:r w:rsidRPr="001A6F73">
        <w:tab/>
        <w:t>(g</w:t>
      </w:r>
      <w:r w:rsidR="0020071D" w:rsidRPr="001A6F73">
        <w:t>)</w:t>
      </w:r>
      <w:r w:rsidR="0020071D" w:rsidRPr="001A6F73">
        <w:tab/>
        <w:t>the public interest, including the public interest in having competition in markets;</w:t>
      </w:r>
      <w:r w:rsidR="00F1777D" w:rsidRPr="001A6F73">
        <w:t xml:space="preserve"> and</w:t>
      </w:r>
    </w:p>
    <w:p w:rsidR="0020071D" w:rsidRPr="001A6F73" w:rsidRDefault="00C169A0" w:rsidP="0020071D">
      <w:pPr>
        <w:pStyle w:val="paragraph"/>
      </w:pPr>
      <w:r w:rsidRPr="001A6F73">
        <w:tab/>
        <w:t>(h</w:t>
      </w:r>
      <w:r w:rsidR="0020071D" w:rsidRPr="001A6F73">
        <w:t>)</w:t>
      </w:r>
      <w:r w:rsidR="0020071D" w:rsidRPr="001A6F73">
        <w:tab/>
        <w:t>the interest of exporters wanting access to port terminal services;</w:t>
      </w:r>
      <w:r w:rsidR="00F1777D" w:rsidRPr="001A6F73">
        <w:t xml:space="preserve"> and</w:t>
      </w:r>
    </w:p>
    <w:p w:rsidR="0020071D" w:rsidRPr="001A6F73" w:rsidRDefault="00C169A0" w:rsidP="0020071D">
      <w:pPr>
        <w:pStyle w:val="paragraph"/>
      </w:pPr>
      <w:r w:rsidRPr="001A6F73">
        <w:tab/>
        <w:t>(i</w:t>
      </w:r>
      <w:r w:rsidR="0020071D" w:rsidRPr="001A6F73">
        <w:t>)</w:t>
      </w:r>
      <w:r w:rsidR="0020071D" w:rsidRPr="001A6F73">
        <w:tab/>
        <w:t>the economically efficient operation and use of, and investment in port terminal facilities; and</w:t>
      </w:r>
    </w:p>
    <w:p w:rsidR="0070401B" w:rsidRPr="001A6F73" w:rsidRDefault="00C169A0" w:rsidP="0020071D">
      <w:pPr>
        <w:pStyle w:val="paragraph"/>
      </w:pPr>
      <w:r w:rsidRPr="001A6F73">
        <w:tab/>
        <w:t>(j</w:t>
      </w:r>
      <w:r w:rsidR="0020071D" w:rsidRPr="001A6F73">
        <w:t>)</w:t>
      </w:r>
      <w:r w:rsidR="0020071D" w:rsidRPr="001A6F73">
        <w:tab/>
      </w:r>
      <w:r w:rsidR="004F3BE2" w:rsidRPr="001A6F73">
        <w:t>any other matters that the ACCC</w:t>
      </w:r>
      <w:r w:rsidR="0020071D" w:rsidRPr="001A6F73">
        <w:t xml:space="preserve"> considers relevant.</w:t>
      </w:r>
    </w:p>
    <w:p w:rsidR="00A0090D" w:rsidRPr="001A6F73" w:rsidRDefault="00C169A0" w:rsidP="00A0090D">
      <w:pPr>
        <w:pStyle w:val="subsection"/>
      </w:pPr>
      <w:r w:rsidRPr="001A6F73">
        <w:tab/>
        <w:t>(4</w:t>
      </w:r>
      <w:r w:rsidR="00A0090D" w:rsidRPr="001A6F73">
        <w:t>)</w:t>
      </w:r>
      <w:r w:rsidR="00A0090D" w:rsidRPr="001A6F73">
        <w:tab/>
        <w:t>If the ACCC approves a port terminal service provider’s capacity allocation system</w:t>
      </w:r>
      <w:r w:rsidR="001639E1" w:rsidRPr="001A6F73">
        <w:t xml:space="preserve"> under </w:t>
      </w:r>
      <w:r w:rsidR="001A6F73" w:rsidRPr="001A6F73">
        <w:t>subclause (</w:t>
      </w:r>
      <w:r w:rsidRPr="001A6F73">
        <w:t>3</w:t>
      </w:r>
      <w:r w:rsidR="001639E1" w:rsidRPr="001A6F73">
        <w:t>)</w:t>
      </w:r>
      <w:r w:rsidR="00A0090D" w:rsidRPr="001A6F73">
        <w:t>, the port terminal service provider must make available the ACCC’s decision on its website no later than 10 business days after the approval is given.</w:t>
      </w:r>
    </w:p>
    <w:p w:rsidR="008D5D68" w:rsidRPr="001A6F73" w:rsidRDefault="008D5D68" w:rsidP="008D5D68">
      <w:pPr>
        <w:pStyle w:val="subsection"/>
        <w:rPr>
          <w:rFonts w:eastAsiaTheme="minorHAnsi"/>
        </w:rPr>
      </w:pPr>
      <w:r w:rsidRPr="001A6F73">
        <w:tab/>
        <w:t>(</w:t>
      </w:r>
      <w:r w:rsidR="00C169A0" w:rsidRPr="001A6F73">
        <w:t>5</w:t>
      </w:r>
      <w:r w:rsidRPr="001A6F73">
        <w:t>)</w:t>
      </w:r>
      <w:r w:rsidRPr="001A6F73">
        <w:tab/>
      </w:r>
      <w:r w:rsidRPr="001A6F73">
        <w:rPr>
          <w:rFonts w:eastAsiaTheme="minorHAnsi"/>
        </w:rPr>
        <w:t>If, immediately before 30</w:t>
      </w:r>
      <w:r w:rsidR="001A6F73" w:rsidRPr="001A6F73">
        <w:rPr>
          <w:rFonts w:eastAsiaTheme="minorHAnsi"/>
        </w:rPr>
        <w:t> </w:t>
      </w:r>
      <w:r w:rsidRPr="001A6F73">
        <w:rPr>
          <w:rFonts w:eastAsiaTheme="minorHAnsi"/>
        </w:rPr>
        <w:t>September 2014:</w:t>
      </w:r>
    </w:p>
    <w:p w:rsidR="008D5D68" w:rsidRPr="001A6F73" w:rsidRDefault="008D5D68" w:rsidP="008D5D68">
      <w:pPr>
        <w:pStyle w:val="paragraph"/>
        <w:rPr>
          <w:rFonts w:eastAsiaTheme="minorHAnsi"/>
        </w:rPr>
      </w:pPr>
      <w:r w:rsidRPr="001A6F73">
        <w:rPr>
          <w:rFonts w:eastAsiaTheme="minorHAnsi"/>
        </w:rPr>
        <w:tab/>
        <w:t>(a)</w:t>
      </w:r>
      <w:r w:rsidRPr="001A6F73">
        <w:rPr>
          <w:rFonts w:eastAsiaTheme="minorHAnsi"/>
        </w:rPr>
        <w:tab/>
        <w:t>a port terminal service provider was providing port terminal services</w:t>
      </w:r>
      <w:r w:rsidR="00C169A0" w:rsidRPr="001A6F73">
        <w:rPr>
          <w:rFonts w:eastAsiaTheme="minorHAnsi"/>
        </w:rPr>
        <w:t xml:space="preserve"> </w:t>
      </w:r>
      <w:r w:rsidR="0001677D" w:rsidRPr="001A6F73">
        <w:rPr>
          <w:rFonts w:eastAsiaTheme="minorHAnsi"/>
        </w:rPr>
        <w:t xml:space="preserve">by means </w:t>
      </w:r>
      <w:r w:rsidR="00C169A0" w:rsidRPr="001A6F73">
        <w:rPr>
          <w:rFonts w:eastAsiaTheme="minorHAnsi"/>
        </w:rPr>
        <w:t>of a particular port terminal facility</w:t>
      </w:r>
      <w:r w:rsidRPr="001A6F73">
        <w:rPr>
          <w:rFonts w:eastAsiaTheme="minorHAnsi"/>
        </w:rPr>
        <w:t>; and</w:t>
      </w:r>
    </w:p>
    <w:p w:rsidR="008D5D68" w:rsidRPr="001A6F73" w:rsidRDefault="008D5D68" w:rsidP="008D5D68">
      <w:pPr>
        <w:pStyle w:val="paragraph"/>
        <w:rPr>
          <w:rFonts w:eastAsiaTheme="minorHAnsi"/>
        </w:rPr>
      </w:pPr>
      <w:r w:rsidRPr="001A6F73">
        <w:rPr>
          <w:rFonts w:eastAsiaTheme="minorHAnsi"/>
        </w:rPr>
        <w:tab/>
        <w:t>(b)</w:t>
      </w:r>
      <w:r w:rsidRPr="001A6F73">
        <w:rPr>
          <w:rFonts w:eastAsiaTheme="minorHAnsi"/>
        </w:rPr>
        <w:tab/>
        <w:t>an undertaking given by the provider and accepted by the ACCC was in force in relation to those services</w:t>
      </w:r>
      <w:r w:rsidR="008E170D" w:rsidRPr="001A6F73">
        <w:rPr>
          <w:rFonts w:eastAsiaTheme="minorHAnsi"/>
        </w:rPr>
        <w:t xml:space="preserve"> at that facility</w:t>
      </w:r>
      <w:r w:rsidRPr="001A6F73">
        <w:rPr>
          <w:rFonts w:eastAsiaTheme="minorHAnsi"/>
        </w:rPr>
        <w:t>; and</w:t>
      </w:r>
    </w:p>
    <w:p w:rsidR="008D5D68" w:rsidRPr="001A6F73" w:rsidRDefault="008D5D68" w:rsidP="008D5D68">
      <w:pPr>
        <w:pStyle w:val="paragraph"/>
        <w:rPr>
          <w:rFonts w:eastAsiaTheme="minorHAnsi"/>
        </w:rPr>
      </w:pPr>
      <w:r w:rsidRPr="001A6F73">
        <w:rPr>
          <w:rFonts w:eastAsiaTheme="minorHAnsi"/>
        </w:rPr>
        <w:tab/>
        <w:t>(c)</w:t>
      </w:r>
      <w:r w:rsidRPr="001A6F73">
        <w:rPr>
          <w:rFonts w:eastAsiaTheme="minorHAnsi"/>
        </w:rPr>
        <w:tab/>
        <w:t>the undertaking included a capacity allocation system;</w:t>
      </w:r>
    </w:p>
    <w:p w:rsidR="008D5D68" w:rsidRPr="001A6F73" w:rsidRDefault="008D5D68" w:rsidP="008D5D68">
      <w:pPr>
        <w:pStyle w:val="subsection2"/>
        <w:rPr>
          <w:rFonts w:eastAsiaTheme="minorHAnsi"/>
        </w:rPr>
      </w:pPr>
      <w:r w:rsidRPr="001A6F73">
        <w:rPr>
          <w:rFonts w:eastAsiaTheme="minorHAnsi"/>
        </w:rPr>
        <w:lastRenderedPageBreak/>
        <w:t>that capacity allocation system is taken to have been approved by the ACCC on 30</w:t>
      </w:r>
      <w:r w:rsidR="001A6F73" w:rsidRPr="001A6F73">
        <w:rPr>
          <w:rFonts w:eastAsiaTheme="minorHAnsi"/>
        </w:rPr>
        <w:t> </w:t>
      </w:r>
      <w:r w:rsidRPr="001A6F73">
        <w:rPr>
          <w:rFonts w:eastAsiaTheme="minorHAnsi"/>
        </w:rPr>
        <w:t>September 2014.</w:t>
      </w:r>
    </w:p>
    <w:p w:rsidR="00C169A0" w:rsidRPr="001A6F73" w:rsidRDefault="00AA191B" w:rsidP="00C169A0">
      <w:pPr>
        <w:pStyle w:val="subsection"/>
        <w:rPr>
          <w:rFonts w:eastAsiaTheme="minorHAnsi"/>
        </w:rPr>
      </w:pPr>
      <w:r w:rsidRPr="001A6F73">
        <w:rPr>
          <w:rFonts w:eastAsiaTheme="minorHAnsi"/>
        </w:rPr>
        <w:tab/>
        <w:t>(6)</w:t>
      </w:r>
      <w:r w:rsidRPr="001A6F73">
        <w:rPr>
          <w:rFonts w:eastAsiaTheme="minorHAnsi"/>
        </w:rPr>
        <w:tab/>
      </w:r>
      <w:r w:rsidR="008357A2" w:rsidRPr="001A6F73">
        <w:t>The ACCC</w:t>
      </w:r>
      <w:r w:rsidR="00C169A0" w:rsidRPr="001A6F73">
        <w:rPr>
          <w:rFonts w:eastAsiaTheme="minorHAnsi"/>
        </w:rPr>
        <w:t xml:space="preserve"> must, as soon as practicable after the comm</w:t>
      </w:r>
      <w:r w:rsidRPr="001A6F73">
        <w:rPr>
          <w:rFonts w:eastAsiaTheme="minorHAnsi"/>
        </w:rPr>
        <w:t>encement of this code, publish o</w:t>
      </w:r>
      <w:r w:rsidR="00C169A0" w:rsidRPr="001A6F73">
        <w:rPr>
          <w:rFonts w:eastAsiaTheme="minorHAnsi"/>
        </w:rPr>
        <w:t>n its website guidelines relating to the process for approving a capacity allocation system under this section.</w:t>
      </w:r>
    </w:p>
    <w:p w:rsidR="000A4015" w:rsidRPr="001A6F73" w:rsidRDefault="00EB6DDB" w:rsidP="00C4131D">
      <w:pPr>
        <w:pStyle w:val="ActHead5"/>
      </w:pPr>
      <w:bookmarkStart w:id="48" w:name="_Toc397955339"/>
      <w:r w:rsidRPr="001A6F73">
        <w:rPr>
          <w:rStyle w:val="CharSectno"/>
        </w:rPr>
        <w:t>26</w:t>
      </w:r>
      <w:r w:rsidR="000A4015" w:rsidRPr="001A6F73">
        <w:t xml:space="preserve">  Complying with port loading protocols and capacity</w:t>
      </w:r>
      <w:r w:rsidR="008D5D68" w:rsidRPr="001A6F73">
        <w:t xml:space="preserve"> </w:t>
      </w:r>
      <w:r w:rsidR="000A4015" w:rsidRPr="001A6F73">
        <w:t>management system</w:t>
      </w:r>
      <w:bookmarkEnd w:id="48"/>
    </w:p>
    <w:p w:rsidR="000A4015" w:rsidRPr="001A6F73" w:rsidRDefault="000A4015" w:rsidP="0031639C">
      <w:pPr>
        <w:pStyle w:val="subsection"/>
      </w:pPr>
      <w:r w:rsidRPr="001A6F73">
        <w:tab/>
      </w:r>
      <w:r w:rsidRPr="001A6F73">
        <w:tab/>
        <w:t xml:space="preserve">A </w:t>
      </w:r>
      <w:r w:rsidR="00FF12AE" w:rsidRPr="001A6F73">
        <w:t xml:space="preserve">port terminal </w:t>
      </w:r>
      <w:r w:rsidRPr="001A6F73">
        <w:t>service provider must manage demand for port terminal services provided by means of a port terminal facility owned or operated by the provider in accordance with the port loading protocol for that facility.</w:t>
      </w:r>
    </w:p>
    <w:p w:rsidR="007A3DA1" w:rsidRPr="001A6F73" w:rsidRDefault="007A3DA1" w:rsidP="00C4131D">
      <w:pPr>
        <w:pStyle w:val="ActHead3"/>
        <w:pageBreakBefore/>
      </w:pPr>
      <w:bookmarkStart w:id="49" w:name="_Toc397955340"/>
      <w:r w:rsidRPr="001A6F73">
        <w:rPr>
          <w:rStyle w:val="CharDivNo"/>
        </w:rPr>
        <w:lastRenderedPageBreak/>
        <w:t>Division</w:t>
      </w:r>
      <w:r w:rsidR="001A6F73" w:rsidRPr="001A6F73">
        <w:rPr>
          <w:rStyle w:val="CharDivNo"/>
        </w:rPr>
        <w:t> </w:t>
      </w:r>
      <w:r w:rsidR="00AF419D" w:rsidRPr="001A6F73">
        <w:rPr>
          <w:rStyle w:val="CharDivNo"/>
        </w:rPr>
        <w:t>2</w:t>
      </w:r>
      <w:r w:rsidRPr="001A6F73">
        <w:t>—</w:t>
      </w:r>
      <w:r w:rsidRPr="001A6F73">
        <w:rPr>
          <w:rStyle w:val="CharDivText"/>
        </w:rPr>
        <w:t>Varying a port loading protocol</w:t>
      </w:r>
      <w:bookmarkEnd w:id="49"/>
    </w:p>
    <w:p w:rsidR="007A3DA1" w:rsidRPr="001A6F73" w:rsidRDefault="00EB6DDB" w:rsidP="00C4131D">
      <w:pPr>
        <w:pStyle w:val="ActHead5"/>
      </w:pPr>
      <w:bookmarkStart w:id="50" w:name="_Toc397955341"/>
      <w:r w:rsidRPr="001A6F73">
        <w:rPr>
          <w:rStyle w:val="CharSectno"/>
        </w:rPr>
        <w:t>27</w:t>
      </w:r>
      <w:r w:rsidR="007A3DA1" w:rsidRPr="001A6F73">
        <w:t xml:space="preserve">  Varying a port loading protocol</w:t>
      </w:r>
      <w:bookmarkEnd w:id="50"/>
    </w:p>
    <w:p w:rsidR="007A3DA1" w:rsidRPr="001A6F73" w:rsidRDefault="007A3DA1" w:rsidP="007A3DA1">
      <w:pPr>
        <w:pStyle w:val="subsection"/>
      </w:pPr>
      <w:r w:rsidRPr="001A6F73">
        <w:tab/>
        <w:t>(1)</w:t>
      </w:r>
      <w:r w:rsidRPr="001A6F73">
        <w:tab/>
        <w:t>A</w:t>
      </w:r>
      <w:r w:rsidR="004C070F" w:rsidRPr="001A6F73">
        <w:t xml:space="preserve"> </w:t>
      </w:r>
      <w:r w:rsidR="00FF12AE" w:rsidRPr="001A6F73">
        <w:t>port terminal service provider</w:t>
      </w:r>
      <w:r w:rsidRPr="001A6F73">
        <w:t xml:space="preserve"> may vary its port loading protocol.</w:t>
      </w:r>
    </w:p>
    <w:p w:rsidR="000437A4" w:rsidRPr="001A6F73" w:rsidRDefault="000437A4" w:rsidP="000437A4">
      <w:pPr>
        <w:pStyle w:val="SubsectionHead"/>
      </w:pPr>
      <w:r w:rsidRPr="001A6F73">
        <w:t>Variations to an approved capacity allocation system</w:t>
      </w:r>
    </w:p>
    <w:p w:rsidR="000437A4" w:rsidRPr="001A6F73" w:rsidRDefault="000437A4" w:rsidP="000437A4">
      <w:pPr>
        <w:pStyle w:val="subsection"/>
      </w:pPr>
      <w:r w:rsidRPr="001A6F73">
        <w:tab/>
        <w:t>(2)</w:t>
      </w:r>
      <w:r w:rsidRPr="001A6F73">
        <w:tab/>
        <w:t>If the proposed variation</w:t>
      </w:r>
      <w:r w:rsidR="004F7E74" w:rsidRPr="001A6F73">
        <w:t xml:space="preserve"> </w:t>
      </w:r>
      <w:r w:rsidRPr="001A6F73">
        <w:t>is</w:t>
      </w:r>
      <w:r w:rsidR="004F7E74" w:rsidRPr="001A6F73">
        <w:t xml:space="preserve"> to a </w:t>
      </w:r>
      <w:r w:rsidRPr="001A6F73">
        <w:t xml:space="preserve">capacity allocation system that </w:t>
      </w:r>
      <w:r w:rsidR="004F7E74" w:rsidRPr="001A6F73">
        <w:t>has</w:t>
      </w:r>
      <w:r w:rsidRPr="001A6F73">
        <w:t xml:space="preserve"> </w:t>
      </w:r>
      <w:r w:rsidR="004F7E74" w:rsidRPr="001A6F73">
        <w:t xml:space="preserve">been </w:t>
      </w:r>
      <w:r w:rsidRPr="001A6F73">
        <w:t>approved by the ACCC in accordance with subclause</w:t>
      </w:r>
      <w:r w:rsidR="001A6F73" w:rsidRPr="001A6F73">
        <w:t> </w:t>
      </w:r>
      <w:r w:rsidR="00B51852" w:rsidRPr="001A6F73">
        <w:t>25(3</w:t>
      </w:r>
      <w:r w:rsidRPr="001A6F73">
        <w:t xml:space="preserve">) or </w:t>
      </w:r>
      <w:r w:rsidR="004F7E74" w:rsidRPr="001A6F73">
        <w:t xml:space="preserve">that is </w:t>
      </w:r>
      <w:r w:rsidRPr="001A6F73">
        <w:t>taken to be approved by the ACCC under subclause</w:t>
      </w:r>
      <w:r w:rsidR="001A6F73" w:rsidRPr="001A6F73">
        <w:t> </w:t>
      </w:r>
      <w:r w:rsidR="00B51852" w:rsidRPr="001A6F73">
        <w:t>25(5</w:t>
      </w:r>
      <w:r w:rsidRPr="001A6F73">
        <w:t>), the capacity allocation system as varied must be approved by the ACCC.</w:t>
      </w:r>
    </w:p>
    <w:p w:rsidR="000437A4" w:rsidRPr="001A6F73" w:rsidRDefault="000437A4" w:rsidP="000437A4">
      <w:pPr>
        <w:pStyle w:val="subsection"/>
      </w:pPr>
      <w:r w:rsidRPr="001A6F73">
        <w:tab/>
        <w:t>(3)</w:t>
      </w:r>
      <w:r w:rsidRPr="001A6F73">
        <w:tab/>
        <w:t xml:space="preserve">Before approving </w:t>
      </w:r>
      <w:r w:rsidR="00DC06E2" w:rsidRPr="001A6F73">
        <w:t xml:space="preserve">the varied </w:t>
      </w:r>
      <w:r w:rsidRPr="001A6F73">
        <w:t xml:space="preserve">capacity allocation system, the ACCC must </w:t>
      </w:r>
      <w:r w:rsidR="00B51852" w:rsidRPr="001A6F73">
        <w:t>have regard to the matters mentioned in sub</w:t>
      </w:r>
      <w:r w:rsidR="005D70C4" w:rsidRPr="001A6F73">
        <w:t>clause</w:t>
      </w:r>
      <w:r w:rsidR="001A6F73" w:rsidRPr="001A6F73">
        <w:t> </w:t>
      </w:r>
      <w:r w:rsidR="00B51852" w:rsidRPr="001A6F73">
        <w:t>25(3) in relation to</w:t>
      </w:r>
      <w:r w:rsidRPr="001A6F73">
        <w:t xml:space="preserve"> the varied capacity allocation system.</w:t>
      </w:r>
    </w:p>
    <w:p w:rsidR="000437A4" w:rsidRPr="001A6F73" w:rsidRDefault="004F7E74" w:rsidP="000437A4">
      <w:pPr>
        <w:pStyle w:val="SubsectionHead"/>
      </w:pPr>
      <w:r w:rsidRPr="001A6F73">
        <w:t xml:space="preserve">All other </w:t>
      </w:r>
      <w:r w:rsidR="000437A4" w:rsidRPr="001A6F73">
        <w:t>variations</w:t>
      </w:r>
    </w:p>
    <w:p w:rsidR="007A3DA1" w:rsidRPr="001A6F73" w:rsidRDefault="00FC3DAB" w:rsidP="007A3DA1">
      <w:pPr>
        <w:pStyle w:val="subsection"/>
      </w:pPr>
      <w:r w:rsidRPr="001A6F73">
        <w:tab/>
        <w:t>(</w:t>
      </w:r>
      <w:r w:rsidR="004F7E74" w:rsidRPr="001A6F73">
        <w:t>4</w:t>
      </w:r>
      <w:r w:rsidR="007A3DA1" w:rsidRPr="001A6F73">
        <w:t>)</w:t>
      </w:r>
      <w:r w:rsidR="007A3DA1" w:rsidRPr="001A6F73">
        <w:tab/>
      </w:r>
      <w:r w:rsidR="004F7E74" w:rsidRPr="001A6F73">
        <w:t xml:space="preserve">For a proposed variation other than a variation mentioned in </w:t>
      </w:r>
      <w:r w:rsidR="001A6F73" w:rsidRPr="001A6F73">
        <w:t>subclause (</w:t>
      </w:r>
      <w:r w:rsidR="004F7E74" w:rsidRPr="001A6F73">
        <w:t>2), a</w:t>
      </w:r>
      <w:r w:rsidR="004C070F" w:rsidRPr="001A6F73">
        <w:t xml:space="preserve"> </w:t>
      </w:r>
      <w:r w:rsidR="00FF12AE" w:rsidRPr="001A6F73">
        <w:t>port terminal service provider</w:t>
      </w:r>
      <w:r w:rsidR="007A3DA1" w:rsidRPr="001A6F73">
        <w:t xml:space="preserve"> must, at least 20 business days before the commencement of </w:t>
      </w:r>
      <w:r w:rsidR="00DC06E2" w:rsidRPr="001A6F73">
        <w:t>a</w:t>
      </w:r>
      <w:r w:rsidR="007A3DA1" w:rsidRPr="001A6F73">
        <w:t xml:space="preserve"> </w:t>
      </w:r>
      <w:r w:rsidR="00675995" w:rsidRPr="001A6F73">
        <w:t xml:space="preserve">proposed </w:t>
      </w:r>
      <w:r w:rsidR="007A3DA1" w:rsidRPr="001A6F73">
        <w:t>variation:</w:t>
      </w:r>
    </w:p>
    <w:p w:rsidR="007A3DA1" w:rsidRPr="001A6F73" w:rsidRDefault="007A3DA1" w:rsidP="007A3DA1">
      <w:pPr>
        <w:pStyle w:val="paragraph"/>
      </w:pPr>
      <w:r w:rsidRPr="001A6F73">
        <w:tab/>
        <w:t>(a)</w:t>
      </w:r>
      <w:r w:rsidRPr="001A6F73">
        <w:tab/>
        <w:t>make available to the public on its website:</w:t>
      </w:r>
    </w:p>
    <w:p w:rsidR="007A3DA1" w:rsidRPr="001A6F73" w:rsidRDefault="00F517AD" w:rsidP="007A3DA1">
      <w:pPr>
        <w:pStyle w:val="paragraphsub"/>
      </w:pPr>
      <w:r w:rsidRPr="001A6F73">
        <w:tab/>
        <w:t>(i)</w:t>
      </w:r>
      <w:r w:rsidRPr="001A6F73">
        <w:tab/>
        <w:t>the proposed variation</w:t>
      </w:r>
      <w:r w:rsidR="007A3DA1" w:rsidRPr="001A6F73">
        <w:t xml:space="preserve"> and the date the </w:t>
      </w:r>
      <w:r w:rsidR="00675995" w:rsidRPr="001A6F73">
        <w:t xml:space="preserve">proposed </w:t>
      </w:r>
      <w:r w:rsidR="007A3DA1" w:rsidRPr="001A6F73">
        <w:t xml:space="preserve">variation </w:t>
      </w:r>
      <w:r w:rsidRPr="001A6F73">
        <w:t>is</w:t>
      </w:r>
      <w:r w:rsidR="007A3DA1" w:rsidRPr="001A6F73">
        <w:t xml:space="preserve"> to take effect; and</w:t>
      </w:r>
    </w:p>
    <w:p w:rsidR="007A3DA1" w:rsidRPr="001A6F73" w:rsidRDefault="007A3DA1" w:rsidP="007A3DA1">
      <w:pPr>
        <w:pStyle w:val="paragraphsub"/>
      </w:pPr>
      <w:r w:rsidRPr="001A6F73">
        <w:tab/>
        <w:t>(ii)</w:t>
      </w:r>
      <w:r w:rsidRPr="001A6F73">
        <w:tab/>
        <w:t>an explanation of the proposed variation; and</w:t>
      </w:r>
    </w:p>
    <w:p w:rsidR="007A3DA1" w:rsidRPr="001A6F73" w:rsidRDefault="007A3DA1" w:rsidP="007A3DA1">
      <w:pPr>
        <w:pStyle w:val="paragraphsub"/>
      </w:pPr>
      <w:r w:rsidRPr="001A6F73">
        <w:tab/>
        <w:t>(iii)</w:t>
      </w:r>
      <w:r w:rsidRPr="001A6F73">
        <w:tab/>
        <w:t xml:space="preserve">an invitation inviting submissions to be provided to the </w:t>
      </w:r>
      <w:r w:rsidR="001A3DED" w:rsidRPr="001A6F73">
        <w:t>provider</w:t>
      </w:r>
      <w:r w:rsidRPr="001A6F73">
        <w:t xml:space="preserve"> on the proposed variation within a specified period (being no less than 10 business days); and</w:t>
      </w:r>
    </w:p>
    <w:p w:rsidR="007A3DA1" w:rsidRPr="001A6F73" w:rsidRDefault="007A3DA1" w:rsidP="007A3DA1">
      <w:pPr>
        <w:pStyle w:val="paragraph"/>
      </w:pPr>
      <w:r w:rsidRPr="001A6F73">
        <w:tab/>
        <w:t>(b)</w:t>
      </w:r>
      <w:r w:rsidRPr="001A6F73">
        <w:tab/>
        <w:t xml:space="preserve">notify exporters that have an access agreement with the </w:t>
      </w:r>
      <w:r w:rsidR="001A3DED" w:rsidRPr="001A6F73">
        <w:t>provider</w:t>
      </w:r>
      <w:r w:rsidRPr="001A6F73">
        <w:t xml:space="preserve"> about the proposed variation and the</w:t>
      </w:r>
      <w:r w:rsidR="00A072ED" w:rsidRPr="001A6F73">
        <w:t xml:space="preserve"> availability of the matters mentioned in </w:t>
      </w:r>
      <w:r w:rsidR="001A6F73" w:rsidRPr="001A6F73">
        <w:t>paragraph (</w:t>
      </w:r>
      <w:r w:rsidR="00A072ED" w:rsidRPr="001A6F73">
        <w:t>a) on its website</w:t>
      </w:r>
      <w:r w:rsidRPr="001A6F73">
        <w:t>.</w:t>
      </w:r>
    </w:p>
    <w:p w:rsidR="007A3DA1" w:rsidRPr="001A6F73" w:rsidRDefault="000437A4" w:rsidP="007A3DA1">
      <w:pPr>
        <w:pStyle w:val="subsection"/>
      </w:pPr>
      <w:r w:rsidRPr="001A6F73">
        <w:tab/>
        <w:t>(5</w:t>
      </w:r>
      <w:r w:rsidR="007A3DA1" w:rsidRPr="001A6F73">
        <w:t>)</w:t>
      </w:r>
      <w:r w:rsidR="007A3DA1" w:rsidRPr="001A6F73">
        <w:tab/>
      </w:r>
      <w:r w:rsidR="00A072ED" w:rsidRPr="001A6F73">
        <w:t>A</w:t>
      </w:r>
      <w:r w:rsidR="004C070F" w:rsidRPr="001A6F73">
        <w:t xml:space="preserve"> </w:t>
      </w:r>
      <w:r w:rsidR="00FF12AE" w:rsidRPr="001A6F73">
        <w:t>port terminal service provider</w:t>
      </w:r>
      <w:r w:rsidR="007A3DA1" w:rsidRPr="001A6F73">
        <w:t xml:space="preserve"> must publish </w:t>
      </w:r>
      <w:r w:rsidR="00A072ED" w:rsidRPr="001A6F73">
        <w:t xml:space="preserve">on its website </w:t>
      </w:r>
      <w:r w:rsidR="007A3DA1" w:rsidRPr="001A6F73">
        <w:t xml:space="preserve">submissions received on </w:t>
      </w:r>
      <w:r w:rsidR="00A072ED" w:rsidRPr="001A6F73">
        <w:t>a</w:t>
      </w:r>
      <w:r w:rsidR="007A3DA1" w:rsidRPr="001A6F73">
        <w:t xml:space="preserve"> proposed variation unless:</w:t>
      </w:r>
    </w:p>
    <w:p w:rsidR="007A3DA1" w:rsidRPr="001A6F73" w:rsidRDefault="007A3DA1" w:rsidP="007A3DA1">
      <w:pPr>
        <w:pStyle w:val="paragraph"/>
      </w:pPr>
      <w:r w:rsidRPr="001A6F73">
        <w:tab/>
        <w:t>(a)</w:t>
      </w:r>
      <w:r w:rsidRPr="001A6F73">
        <w:tab/>
      </w:r>
      <w:r w:rsidR="00A072ED" w:rsidRPr="001A6F73">
        <w:t>the</w:t>
      </w:r>
      <w:r w:rsidRPr="001A6F73">
        <w:t xml:space="preserve"> submission made by a person consists wholly or partly of material that is claimed by the person to be confidential or commercially sensitive; and</w:t>
      </w:r>
    </w:p>
    <w:p w:rsidR="007A3DA1" w:rsidRPr="001A6F73" w:rsidRDefault="007A3DA1" w:rsidP="007A3DA1">
      <w:pPr>
        <w:pStyle w:val="paragraph"/>
      </w:pPr>
      <w:r w:rsidRPr="001A6F73">
        <w:lastRenderedPageBreak/>
        <w:tab/>
        <w:t>(b)</w:t>
      </w:r>
      <w:r w:rsidRPr="001A6F73">
        <w:tab/>
        <w:t xml:space="preserve">the person has requested the </w:t>
      </w:r>
      <w:r w:rsidR="001A3DED" w:rsidRPr="001A6F73">
        <w:t>provider</w:t>
      </w:r>
      <w:r w:rsidRPr="001A6F73">
        <w:t xml:space="preserve"> not to publish the material.</w:t>
      </w:r>
    </w:p>
    <w:p w:rsidR="008D6800" w:rsidRPr="001A6F73" w:rsidRDefault="004F7E74" w:rsidP="007A3DA1">
      <w:pPr>
        <w:pStyle w:val="subsection"/>
      </w:pPr>
      <w:r w:rsidRPr="001A6F73">
        <w:tab/>
        <w:t>(6</w:t>
      </w:r>
      <w:r w:rsidR="007A3DA1" w:rsidRPr="001A6F73">
        <w:t>)</w:t>
      </w:r>
      <w:r w:rsidR="007A3DA1" w:rsidRPr="001A6F73">
        <w:tab/>
        <w:t>A</w:t>
      </w:r>
      <w:r w:rsidR="001A3DED" w:rsidRPr="001A6F73">
        <w:t xml:space="preserve"> </w:t>
      </w:r>
      <w:r w:rsidR="00FF12AE" w:rsidRPr="001A6F73">
        <w:t>port terminal service provider</w:t>
      </w:r>
      <w:r w:rsidR="007A3DA1" w:rsidRPr="001A6F73">
        <w:t xml:space="preserve"> must consider</w:t>
      </w:r>
      <w:r w:rsidR="008D6800" w:rsidRPr="001A6F73">
        <w:t xml:space="preserve"> in good faith</w:t>
      </w:r>
      <w:r w:rsidR="007A3DA1" w:rsidRPr="001A6F73">
        <w:t xml:space="preserve"> all submissions recei</w:t>
      </w:r>
      <w:r w:rsidR="008D6800" w:rsidRPr="001A6F73">
        <w:t>ved within the specified period.</w:t>
      </w:r>
    </w:p>
    <w:p w:rsidR="00BB3329" w:rsidRPr="001A6F73" w:rsidRDefault="004F7E74" w:rsidP="007A3DA1">
      <w:pPr>
        <w:pStyle w:val="subsection"/>
      </w:pPr>
      <w:r w:rsidRPr="001A6F73">
        <w:tab/>
        <w:t>(7</w:t>
      </w:r>
      <w:r w:rsidR="008D6800" w:rsidRPr="001A6F73">
        <w:t>)</w:t>
      </w:r>
      <w:r w:rsidR="008D6800" w:rsidRPr="001A6F73">
        <w:tab/>
        <w:t xml:space="preserve">If the </w:t>
      </w:r>
      <w:r w:rsidR="00FF12AE" w:rsidRPr="001A6F73">
        <w:t>port terminal service provider</w:t>
      </w:r>
      <w:r w:rsidR="008D6800" w:rsidRPr="001A6F73">
        <w:t xml:space="preserve"> decides to change the proposed variation </w:t>
      </w:r>
      <w:r w:rsidR="00BB3329" w:rsidRPr="001A6F73">
        <w:t>in response to such submissions,</w:t>
      </w:r>
      <w:r w:rsidR="008D6800" w:rsidRPr="001A6F73">
        <w:t xml:space="preserve"> the provider must, at least 3 business days before the commencement of the proposed variation</w:t>
      </w:r>
      <w:r w:rsidR="00BB3329" w:rsidRPr="001A6F73">
        <w:t>, notify</w:t>
      </w:r>
      <w:r w:rsidR="008D6800" w:rsidRPr="001A6F73">
        <w:t xml:space="preserve"> the public </w:t>
      </w:r>
      <w:r w:rsidR="00BB3329" w:rsidRPr="001A6F73">
        <w:t xml:space="preserve">of the changes </w:t>
      </w:r>
      <w:r w:rsidR="008D6800" w:rsidRPr="001A6F73">
        <w:t>on its website</w:t>
      </w:r>
      <w:r w:rsidR="00BB3329" w:rsidRPr="001A6F73">
        <w:t xml:space="preserve">, but is </w:t>
      </w:r>
      <w:r w:rsidR="00DF4ACA" w:rsidRPr="001A6F73">
        <w:t>not required to consult further.</w:t>
      </w:r>
    </w:p>
    <w:p w:rsidR="007A3DA1" w:rsidRPr="001A6F73" w:rsidRDefault="007A3DA1" w:rsidP="00C4131D">
      <w:pPr>
        <w:pStyle w:val="ActHead2"/>
        <w:pageBreakBefore/>
      </w:pPr>
      <w:bookmarkStart w:id="51" w:name="_Toc397955342"/>
      <w:r w:rsidRPr="001A6F73">
        <w:rPr>
          <w:rStyle w:val="CharPartNo"/>
        </w:rPr>
        <w:lastRenderedPageBreak/>
        <w:t>Part</w:t>
      </w:r>
      <w:r w:rsidR="001A6F73" w:rsidRPr="001A6F73">
        <w:rPr>
          <w:rStyle w:val="CharPartNo"/>
        </w:rPr>
        <w:t> </w:t>
      </w:r>
      <w:r w:rsidRPr="001A6F73">
        <w:rPr>
          <w:rStyle w:val="CharPartNo"/>
        </w:rPr>
        <w:t>5</w:t>
      </w:r>
      <w:r w:rsidRPr="001A6F73">
        <w:t>—</w:t>
      </w:r>
      <w:r w:rsidR="00FF12AE" w:rsidRPr="001A6F73">
        <w:rPr>
          <w:rStyle w:val="CharPartText"/>
        </w:rPr>
        <w:t>Port terminal service provider</w:t>
      </w:r>
      <w:r w:rsidRPr="001A6F73">
        <w:rPr>
          <w:rStyle w:val="CharPartText"/>
        </w:rPr>
        <w:t xml:space="preserve"> to publish certain information</w:t>
      </w:r>
      <w:bookmarkEnd w:id="51"/>
    </w:p>
    <w:p w:rsidR="007A3DA1" w:rsidRPr="001A6F73" w:rsidRDefault="007A3DA1" w:rsidP="00C4131D">
      <w:pPr>
        <w:pStyle w:val="Header"/>
      </w:pPr>
      <w:r w:rsidRPr="001A6F73">
        <w:rPr>
          <w:rStyle w:val="CharDivNo"/>
        </w:rPr>
        <w:t xml:space="preserve"> </w:t>
      </w:r>
      <w:r w:rsidRPr="001A6F73">
        <w:rPr>
          <w:rStyle w:val="CharDivText"/>
        </w:rPr>
        <w:t xml:space="preserve"> </w:t>
      </w:r>
    </w:p>
    <w:p w:rsidR="007A3DA1" w:rsidRPr="001A6F73" w:rsidRDefault="00EB6DDB" w:rsidP="00C4131D">
      <w:pPr>
        <w:pStyle w:val="ActHead5"/>
      </w:pPr>
      <w:bookmarkStart w:id="52" w:name="_Toc397955343"/>
      <w:r w:rsidRPr="001A6F73">
        <w:rPr>
          <w:rStyle w:val="CharSectno"/>
        </w:rPr>
        <w:t>28</w:t>
      </w:r>
      <w:r w:rsidR="007A3DA1" w:rsidRPr="001A6F73">
        <w:t xml:space="preserve"> </w:t>
      </w:r>
      <w:r w:rsidR="008C20FC" w:rsidRPr="001A6F73">
        <w:t xml:space="preserve"> </w:t>
      </w:r>
      <w:r w:rsidR="00FF12AE" w:rsidRPr="001A6F73">
        <w:t>Port terminal service provider</w:t>
      </w:r>
      <w:r w:rsidR="007A3DA1" w:rsidRPr="001A6F73">
        <w:t xml:space="preserve"> to publish expected capacity</w:t>
      </w:r>
      <w:bookmarkEnd w:id="52"/>
    </w:p>
    <w:p w:rsidR="007A3DA1" w:rsidRPr="001A6F73" w:rsidRDefault="007A3DA1" w:rsidP="008A62BD">
      <w:pPr>
        <w:pStyle w:val="subsection"/>
      </w:pPr>
      <w:r w:rsidRPr="001A6F73">
        <w:tab/>
        <w:t>(1)</w:t>
      </w:r>
      <w:r w:rsidRPr="001A6F73">
        <w:tab/>
      </w:r>
      <w:r w:rsidR="00F73A1A" w:rsidRPr="001A6F73">
        <w:t>A</w:t>
      </w:r>
      <w:r w:rsidR="004C070F" w:rsidRPr="001A6F73">
        <w:t xml:space="preserve"> </w:t>
      </w:r>
      <w:r w:rsidR="00FF12AE" w:rsidRPr="001A6F73">
        <w:t>port terminal service provider</w:t>
      </w:r>
      <w:r w:rsidRPr="001A6F73">
        <w:t xml:space="preserve"> must</w:t>
      </w:r>
      <w:r w:rsidR="008A62BD" w:rsidRPr="001A6F73">
        <w:t xml:space="preserve"> make available to the public on its website the </w:t>
      </w:r>
      <w:r w:rsidR="00DF4ACA" w:rsidRPr="001A6F73">
        <w:t xml:space="preserve">total </w:t>
      </w:r>
      <w:r w:rsidR="008A62BD" w:rsidRPr="001A6F73">
        <w:t xml:space="preserve">capacity that it reasonably expects </w:t>
      </w:r>
      <w:r w:rsidR="00DF4ACA" w:rsidRPr="001A6F73">
        <w:t>will be available, at each port</w:t>
      </w:r>
      <w:r w:rsidR="008A62BD" w:rsidRPr="001A6F73">
        <w:t xml:space="preserve"> </w:t>
      </w:r>
      <w:r w:rsidR="00DF4ACA" w:rsidRPr="001A6F73">
        <w:t xml:space="preserve">at which the provider owns or operates a port terminal facility, </w:t>
      </w:r>
      <w:r w:rsidR="008A62BD" w:rsidRPr="001A6F73">
        <w:t>for</w:t>
      </w:r>
      <w:r w:rsidRPr="001A6F73">
        <w:t>:</w:t>
      </w:r>
    </w:p>
    <w:p w:rsidR="007A3DA1" w:rsidRPr="001A6F73" w:rsidRDefault="007A3DA1" w:rsidP="007A3DA1">
      <w:pPr>
        <w:pStyle w:val="paragraph"/>
      </w:pPr>
      <w:r w:rsidRPr="001A6F73">
        <w:tab/>
        <w:t>(a)</w:t>
      </w:r>
      <w:r w:rsidRPr="001A6F73">
        <w:tab/>
        <w:t>the period beginning on 8</w:t>
      </w:r>
      <w:r w:rsidR="001A6F73" w:rsidRPr="001A6F73">
        <w:t> </w:t>
      </w:r>
      <w:r w:rsidRPr="001A6F73">
        <w:t>October 2014 and ending on 30</w:t>
      </w:r>
      <w:r w:rsidR="001A6F73" w:rsidRPr="001A6F73">
        <w:t> </w:t>
      </w:r>
      <w:r w:rsidRPr="001A6F73">
        <w:t>September 2015; and</w:t>
      </w:r>
    </w:p>
    <w:p w:rsidR="007A3DA1" w:rsidRPr="001A6F73" w:rsidRDefault="007A3DA1" w:rsidP="007A3DA1">
      <w:pPr>
        <w:pStyle w:val="paragraph"/>
      </w:pPr>
      <w:r w:rsidRPr="001A6F73">
        <w:tab/>
        <w:t>(b)</w:t>
      </w:r>
      <w:r w:rsidRPr="001A6F73">
        <w:tab/>
        <w:t>the period of 12 months beginning on 1</w:t>
      </w:r>
      <w:r w:rsidR="001A6F73" w:rsidRPr="001A6F73">
        <w:t> </w:t>
      </w:r>
      <w:r w:rsidRPr="001A6F73">
        <w:t>October 2015 and each subsequent 12 month period.</w:t>
      </w:r>
    </w:p>
    <w:p w:rsidR="007A3DA1" w:rsidRPr="001A6F73" w:rsidRDefault="007A3DA1" w:rsidP="007A3DA1">
      <w:pPr>
        <w:pStyle w:val="subsection"/>
      </w:pPr>
      <w:r w:rsidRPr="001A6F73">
        <w:tab/>
        <w:t>(2)</w:t>
      </w:r>
      <w:r w:rsidRPr="001A6F73">
        <w:tab/>
        <w:t xml:space="preserve">The information required to be made available </w:t>
      </w:r>
      <w:r w:rsidR="008A62BD" w:rsidRPr="001A6F73">
        <w:t>by the</w:t>
      </w:r>
      <w:r w:rsidR="004C070F" w:rsidRPr="001A6F73">
        <w:t xml:space="preserve"> </w:t>
      </w:r>
      <w:r w:rsidR="00FF12AE" w:rsidRPr="001A6F73">
        <w:t>port terminal service provider</w:t>
      </w:r>
      <w:r w:rsidR="00154EB1" w:rsidRPr="001A6F73">
        <w:t>,</w:t>
      </w:r>
      <w:r w:rsidR="008A62BD" w:rsidRPr="001A6F73">
        <w:t xml:space="preserve"> </w:t>
      </w:r>
      <w:r w:rsidRPr="001A6F73">
        <w:t xml:space="preserve">for the period mentioned in </w:t>
      </w:r>
      <w:r w:rsidR="001A6F73" w:rsidRPr="001A6F73">
        <w:t>paragraph (</w:t>
      </w:r>
      <w:r w:rsidRPr="001A6F73">
        <w:t xml:space="preserve">1)(a) must be made available on </w:t>
      </w:r>
      <w:r w:rsidR="00143BC7" w:rsidRPr="001A6F73">
        <w:t xml:space="preserve">the </w:t>
      </w:r>
      <w:r w:rsidR="001A3DED" w:rsidRPr="001A6F73">
        <w:t>provider</w:t>
      </w:r>
      <w:r w:rsidR="00143BC7" w:rsidRPr="001A6F73">
        <w:t>’s</w:t>
      </w:r>
      <w:r w:rsidRPr="001A6F73">
        <w:t xml:space="preserve"> website before 8</w:t>
      </w:r>
      <w:r w:rsidR="001A6F73" w:rsidRPr="001A6F73">
        <w:t> </w:t>
      </w:r>
      <w:r w:rsidRPr="001A6F73">
        <w:t>October 2014.</w:t>
      </w:r>
    </w:p>
    <w:p w:rsidR="00965E3C" w:rsidRPr="001A6F73" w:rsidRDefault="007A3DA1" w:rsidP="00C7114B">
      <w:pPr>
        <w:pStyle w:val="subsection"/>
      </w:pPr>
      <w:r w:rsidRPr="001A6F73">
        <w:tab/>
        <w:t>(3)</w:t>
      </w:r>
      <w:r w:rsidRPr="001A6F73">
        <w:tab/>
        <w:t>The information required to be made available</w:t>
      </w:r>
      <w:r w:rsidR="00143BC7" w:rsidRPr="001A6F73">
        <w:t xml:space="preserve"> by the</w:t>
      </w:r>
      <w:r w:rsidR="004C070F" w:rsidRPr="001A6F73">
        <w:t xml:space="preserve"> </w:t>
      </w:r>
      <w:r w:rsidR="00FF12AE" w:rsidRPr="001A6F73">
        <w:t>port terminal service provider</w:t>
      </w:r>
      <w:r w:rsidR="00143BC7" w:rsidRPr="001A6F73">
        <w:t xml:space="preserve"> for </w:t>
      </w:r>
      <w:r w:rsidR="00675995" w:rsidRPr="001A6F73">
        <w:t>a 12 month period</w:t>
      </w:r>
      <w:r w:rsidRPr="001A6F73">
        <w:t xml:space="preserve"> mentioned in </w:t>
      </w:r>
      <w:r w:rsidR="001A6F73" w:rsidRPr="001A6F73">
        <w:t>paragraph (</w:t>
      </w:r>
      <w:r w:rsidRPr="001A6F73">
        <w:t>1)(b) must be made available</w:t>
      </w:r>
      <w:r w:rsidR="00143BC7" w:rsidRPr="001A6F73">
        <w:t xml:space="preserve"> on the</w:t>
      </w:r>
      <w:r w:rsidR="00C0184C" w:rsidRPr="001A6F73">
        <w:t xml:space="preserve"> </w:t>
      </w:r>
      <w:r w:rsidR="001A3DED" w:rsidRPr="001A6F73">
        <w:t>provider</w:t>
      </w:r>
      <w:r w:rsidR="00143BC7" w:rsidRPr="001A6F73">
        <w:t xml:space="preserve">’s website </w:t>
      </w:r>
      <w:r w:rsidRPr="001A6F73">
        <w:t>before 1</w:t>
      </w:r>
      <w:r w:rsidR="001A6F73" w:rsidRPr="001A6F73">
        <w:t> </w:t>
      </w:r>
      <w:r w:rsidRPr="001A6F73">
        <w:t>August immediately preceding the beginning of the 12 month period.</w:t>
      </w:r>
    </w:p>
    <w:p w:rsidR="00084561" w:rsidRPr="001A6F73" w:rsidRDefault="00965E3C" w:rsidP="00C7114B">
      <w:pPr>
        <w:pStyle w:val="subsection"/>
      </w:pPr>
      <w:r w:rsidRPr="001A6F73">
        <w:tab/>
        <w:t>(4)</w:t>
      </w:r>
      <w:r w:rsidR="00FC3DAB" w:rsidRPr="001A6F73">
        <w:tab/>
      </w:r>
      <w:r w:rsidR="00084561" w:rsidRPr="001A6F73">
        <w:t xml:space="preserve">A </w:t>
      </w:r>
      <w:r w:rsidR="00FF12AE" w:rsidRPr="001A6F73">
        <w:t>port terminal service provider</w:t>
      </w:r>
      <w:r w:rsidR="00084561" w:rsidRPr="001A6F73">
        <w:t xml:space="preserve"> that makes information available</w:t>
      </w:r>
      <w:r w:rsidR="000C3B59" w:rsidRPr="001A6F73">
        <w:t xml:space="preserve"> in respect of a port for a period </w:t>
      </w:r>
      <w:r w:rsidR="00084561" w:rsidRPr="001A6F73">
        <w:t>must also</w:t>
      </w:r>
      <w:r w:rsidR="00FC3DAB" w:rsidRPr="001A6F73">
        <w:t xml:space="preserve"> make available to the public on its website, and update on at least a weekly basis</w:t>
      </w:r>
      <w:r w:rsidR="000C3B59" w:rsidRPr="001A6F73">
        <w:t xml:space="preserve"> for the remainder of the period</w:t>
      </w:r>
      <w:r w:rsidR="00FC3DAB" w:rsidRPr="001A6F73">
        <w:t>, the amount of capacity that is available to be a</w:t>
      </w:r>
      <w:r w:rsidR="000C3B59" w:rsidRPr="001A6F73">
        <w:t>cquired for the export of grain</w:t>
      </w:r>
      <w:r w:rsidR="00FC3DAB" w:rsidRPr="001A6F73">
        <w:t xml:space="preserve"> </w:t>
      </w:r>
      <w:r w:rsidR="00C7114B" w:rsidRPr="001A6F73">
        <w:t xml:space="preserve">for each shipping window </w:t>
      </w:r>
      <w:r w:rsidR="00447A8A" w:rsidRPr="001A6F73">
        <w:t>in relation to</w:t>
      </w:r>
      <w:r w:rsidR="000C3B59" w:rsidRPr="001A6F73">
        <w:t xml:space="preserve"> the port</w:t>
      </w:r>
      <w:r w:rsidR="00084561" w:rsidRPr="001A6F73">
        <w:t>.</w:t>
      </w:r>
    </w:p>
    <w:p w:rsidR="007A3DA1" w:rsidRPr="001A6F73" w:rsidRDefault="00EB6DDB" w:rsidP="00C4131D">
      <w:pPr>
        <w:pStyle w:val="ActHead5"/>
      </w:pPr>
      <w:bookmarkStart w:id="53" w:name="_Toc397955344"/>
      <w:r w:rsidRPr="001A6F73">
        <w:rPr>
          <w:rStyle w:val="CharSectno"/>
        </w:rPr>
        <w:t>29</w:t>
      </w:r>
      <w:r w:rsidR="007A3DA1" w:rsidRPr="001A6F73">
        <w:t xml:space="preserve"> </w:t>
      </w:r>
      <w:r w:rsidR="008C20FC" w:rsidRPr="001A6F73">
        <w:t xml:space="preserve"> </w:t>
      </w:r>
      <w:r w:rsidR="00FF12AE" w:rsidRPr="001A6F73">
        <w:t>Port terminal service provider</w:t>
      </w:r>
      <w:r w:rsidR="007A3DA1" w:rsidRPr="001A6F73">
        <w:t xml:space="preserve"> to publish performance indicators</w:t>
      </w:r>
      <w:bookmarkEnd w:id="53"/>
    </w:p>
    <w:p w:rsidR="007A3DA1" w:rsidRPr="001A6F73" w:rsidRDefault="007A3DA1" w:rsidP="007A3DA1">
      <w:pPr>
        <w:pStyle w:val="subsection"/>
      </w:pPr>
      <w:r w:rsidRPr="001A6F73">
        <w:tab/>
      </w:r>
      <w:r w:rsidR="003B2048" w:rsidRPr="001A6F73">
        <w:t>(1)</w:t>
      </w:r>
      <w:r w:rsidRPr="001A6F73">
        <w:tab/>
      </w:r>
      <w:r w:rsidR="00F73A1A" w:rsidRPr="001A6F73">
        <w:t>A</w:t>
      </w:r>
      <w:r w:rsidR="004C070F" w:rsidRPr="001A6F73">
        <w:t xml:space="preserve"> </w:t>
      </w:r>
      <w:r w:rsidR="00FF12AE" w:rsidRPr="001A6F73">
        <w:t>port terminal service provider</w:t>
      </w:r>
      <w:r w:rsidRPr="001A6F73">
        <w:t xml:space="preserve"> must, </w:t>
      </w:r>
      <w:r w:rsidR="00B57A38" w:rsidRPr="001A6F73">
        <w:t xml:space="preserve">no later than </w:t>
      </w:r>
      <w:r w:rsidR="00A658D6" w:rsidRPr="001A6F73">
        <w:t>2</w:t>
      </w:r>
      <w:r w:rsidR="00B57A38" w:rsidRPr="001A6F73">
        <w:t xml:space="preserve"> weeks </w:t>
      </w:r>
      <w:r w:rsidRPr="001A6F73">
        <w:t xml:space="preserve">after the beginning of each </w:t>
      </w:r>
      <w:r w:rsidR="00D06201" w:rsidRPr="001A6F73">
        <w:t xml:space="preserve">calendar </w:t>
      </w:r>
      <w:r w:rsidRPr="001A6F73">
        <w:t>month, make available to the public on</w:t>
      </w:r>
      <w:r w:rsidR="00C3630B" w:rsidRPr="001A6F73">
        <w:t xml:space="preserve"> </w:t>
      </w:r>
      <w:r w:rsidRPr="001A6F73">
        <w:t>its website the following information:</w:t>
      </w:r>
    </w:p>
    <w:p w:rsidR="007A3DA1" w:rsidRPr="001A6F73" w:rsidRDefault="007A3DA1" w:rsidP="007A3DA1">
      <w:pPr>
        <w:pStyle w:val="paragraph"/>
      </w:pPr>
      <w:r w:rsidRPr="001A6F73">
        <w:lastRenderedPageBreak/>
        <w:tab/>
        <w:t>(a)</w:t>
      </w:r>
      <w:r w:rsidRPr="001A6F73">
        <w:tab/>
        <w:t>the capacity</w:t>
      </w:r>
      <w:r w:rsidR="00C16C13" w:rsidRPr="001A6F73">
        <w:t xml:space="preserve"> </w:t>
      </w:r>
      <w:r w:rsidR="00666AAB" w:rsidRPr="001A6F73">
        <w:t xml:space="preserve">allocated for </w:t>
      </w:r>
      <w:r w:rsidR="00C16C13" w:rsidRPr="001A6F73">
        <w:t>loading grain</w:t>
      </w:r>
      <w:r w:rsidRPr="001A6F73">
        <w:t xml:space="preserve"> by shipping window </w:t>
      </w:r>
      <w:r w:rsidR="00C16C13" w:rsidRPr="001A6F73">
        <w:t xml:space="preserve">(the </w:t>
      </w:r>
      <w:r w:rsidR="00C16C13" w:rsidRPr="001A6F73">
        <w:rPr>
          <w:b/>
          <w:i/>
        </w:rPr>
        <w:t xml:space="preserve">allocated </w:t>
      </w:r>
      <w:r w:rsidR="00F65E20" w:rsidRPr="001A6F73">
        <w:rPr>
          <w:b/>
          <w:i/>
        </w:rPr>
        <w:t>amount</w:t>
      </w:r>
      <w:r w:rsidR="00C16C13" w:rsidRPr="001A6F73">
        <w:t xml:space="preserve">) </w:t>
      </w:r>
      <w:r w:rsidRPr="001A6F73">
        <w:t xml:space="preserve">for the previous </w:t>
      </w:r>
      <w:r w:rsidR="00D06201" w:rsidRPr="001A6F73">
        <w:t xml:space="preserve">calendar </w:t>
      </w:r>
      <w:r w:rsidRPr="001A6F73">
        <w:t>month;</w:t>
      </w:r>
    </w:p>
    <w:p w:rsidR="007A3DA1" w:rsidRPr="001A6F73" w:rsidRDefault="007A3DA1" w:rsidP="007A3DA1">
      <w:pPr>
        <w:pStyle w:val="paragraph"/>
      </w:pPr>
      <w:r w:rsidRPr="001A6F73">
        <w:tab/>
        <w:t>(b)</w:t>
      </w:r>
      <w:r w:rsidRPr="001A6F73">
        <w:tab/>
        <w:t xml:space="preserve">the </w:t>
      </w:r>
      <w:r w:rsidR="00C16C13" w:rsidRPr="001A6F73">
        <w:t xml:space="preserve">amount </w:t>
      </w:r>
      <w:r w:rsidRPr="001A6F73">
        <w:t xml:space="preserve">of grain </w:t>
      </w:r>
      <w:r w:rsidR="00666AAB" w:rsidRPr="001A6F73">
        <w:t xml:space="preserve">loaded </w:t>
      </w:r>
      <w:r w:rsidRPr="001A6F73">
        <w:t xml:space="preserve">per shipping window </w:t>
      </w:r>
      <w:r w:rsidR="00C16C13" w:rsidRPr="001A6F73">
        <w:t xml:space="preserve">(the </w:t>
      </w:r>
      <w:r w:rsidR="00666AAB" w:rsidRPr="001A6F73">
        <w:rPr>
          <w:b/>
          <w:i/>
        </w:rPr>
        <w:t>loaded</w:t>
      </w:r>
      <w:r w:rsidR="00C16C13" w:rsidRPr="001A6F73">
        <w:rPr>
          <w:b/>
          <w:i/>
        </w:rPr>
        <w:t xml:space="preserve"> amount</w:t>
      </w:r>
      <w:r w:rsidR="00C16C13" w:rsidRPr="001A6F73">
        <w:t xml:space="preserve">) </w:t>
      </w:r>
      <w:r w:rsidRPr="001A6F73">
        <w:t xml:space="preserve">for the previous </w:t>
      </w:r>
      <w:r w:rsidR="00D06201" w:rsidRPr="001A6F73">
        <w:t xml:space="preserve">calendar </w:t>
      </w:r>
      <w:r w:rsidRPr="001A6F73">
        <w:t>month;</w:t>
      </w:r>
    </w:p>
    <w:p w:rsidR="00C16C13" w:rsidRPr="001A6F73" w:rsidRDefault="007A3DA1" w:rsidP="0081321A">
      <w:pPr>
        <w:pStyle w:val="paragraph"/>
      </w:pPr>
      <w:r w:rsidRPr="001A6F73">
        <w:tab/>
        <w:t>(c)</w:t>
      </w:r>
      <w:r w:rsidRPr="001A6F73">
        <w:tab/>
        <w:t xml:space="preserve">if the </w:t>
      </w:r>
      <w:r w:rsidR="00666AAB" w:rsidRPr="001A6F73">
        <w:t>loaded</w:t>
      </w:r>
      <w:r w:rsidR="00C16C13" w:rsidRPr="001A6F73">
        <w:t xml:space="preserve"> amount</w:t>
      </w:r>
      <w:r w:rsidR="00DF3767" w:rsidRPr="001A6F73">
        <w:t xml:space="preserve"> varies more than</w:t>
      </w:r>
      <w:r w:rsidR="00C16C13" w:rsidRPr="001A6F73">
        <w:t xml:space="preserve"> 20% </w:t>
      </w:r>
      <w:r w:rsidR="00DF3767" w:rsidRPr="001A6F73">
        <w:t>from th</w:t>
      </w:r>
      <w:r w:rsidR="00C16C13" w:rsidRPr="001A6F73">
        <w:t>e</w:t>
      </w:r>
      <w:r w:rsidR="00666AAB" w:rsidRPr="001A6F73">
        <w:t xml:space="preserve"> allocated amount</w:t>
      </w:r>
      <w:r w:rsidR="00C16C13" w:rsidRPr="001A6F73">
        <w:t xml:space="preserve">—an explanation </w:t>
      </w:r>
      <w:r w:rsidR="00C3630B" w:rsidRPr="001A6F73">
        <w:t xml:space="preserve">of </w:t>
      </w:r>
      <w:r w:rsidR="0081321A" w:rsidRPr="001A6F73">
        <w:t>the reason for the variation</w:t>
      </w:r>
      <w:r w:rsidR="00F65E20" w:rsidRPr="001A6F73">
        <w:t>;</w:t>
      </w:r>
    </w:p>
    <w:p w:rsidR="007A3DA1" w:rsidRPr="001A6F73" w:rsidRDefault="007A3DA1" w:rsidP="007A3DA1">
      <w:pPr>
        <w:pStyle w:val="paragraph"/>
      </w:pPr>
      <w:r w:rsidRPr="001A6F73">
        <w:tab/>
        <w:t>(d)</w:t>
      </w:r>
      <w:r w:rsidRPr="001A6F73">
        <w:tab/>
        <w:t xml:space="preserve">the number of ships that failed survey for the previous </w:t>
      </w:r>
      <w:r w:rsidR="00D06201" w:rsidRPr="001A6F73">
        <w:t xml:space="preserve">calendar </w:t>
      </w:r>
      <w:r w:rsidRPr="001A6F73">
        <w:t>month, as determined by the Department of Ag</w:t>
      </w:r>
      <w:r w:rsidR="00BD75F1" w:rsidRPr="001A6F73">
        <w:t>riculture or its representative;</w:t>
      </w:r>
    </w:p>
    <w:p w:rsidR="00CC282E" w:rsidRPr="001A6F73" w:rsidRDefault="00BD75F1" w:rsidP="007A3DA1">
      <w:pPr>
        <w:pStyle w:val="paragraph"/>
      </w:pPr>
      <w:r w:rsidRPr="001A6F73">
        <w:tab/>
        <w:t>(e)</w:t>
      </w:r>
      <w:r w:rsidRPr="001A6F73">
        <w:tab/>
      </w:r>
      <w:r w:rsidR="00D7535C" w:rsidRPr="001A6F73">
        <w:t xml:space="preserve">the number of demurrage days incurred </w:t>
      </w:r>
      <w:r w:rsidR="00DF3767" w:rsidRPr="001A6F73">
        <w:t>for each ship</w:t>
      </w:r>
      <w:r w:rsidR="003B2048" w:rsidRPr="001A6F73">
        <w:t xml:space="preserve"> for the previous </w:t>
      </w:r>
      <w:r w:rsidR="00D06201" w:rsidRPr="001A6F73">
        <w:t xml:space="preserve">calendar </w:t>
      </w:r>
      <w:r w:rsidR="003B2048" w:rsidRPr="001A6F73">
        <w:t>month</w:t>
      </w:r>
      <w:r w:rsidR="00D7535C" w:rsidRPr="001A6F73">
        <w:t xml:space="preserve">, including the name of </w:t>
      </w:r>
      <w:r w:rsidR="00DF3767" w:rsidRPr="001A6F73">
        <w:t>the ship’s</w:t>
      </w:r>
      <w:r w:rsidR="00D7535C" w:rsidRPr="001A6F73">
        <w:t xml:space="preserve"> charter party and an </w:t>
      </w:r>
      <w:r w:rsidR="00CC282E" w:rsidRPr="001A6F73">
        <w:t>explanation</w:t>
      </w:r>
      <w:r w:rsidR="00D7535C" w:rsidRPr="001A6F73">
        <w:t xml:space="preserve"> for why the demurrag</w:t>
      </w:r>
      <w:r w:rsidR="00CC282E" w:rsidRPr="001A6F73">
        <w:t>e</w:t>
      </w:r>
      <w:r w:rsidR="00D7535C" w:rsidRPr="001A6F73">
        <w:t xml:space="preserve"> </w:t>
      </w:r>
      <w:r w:rsidR="00CC282E" w:rsidRPr="001A6F73">
        <w:t>occurred;</w:t>
      </w:r>
    </w:p>
    <w:p w:rsidR="00965E3C" w:rsidRPr="001A6F73" w:rsidRDefault="00CC282E" w:rsidP="00965E3C">
      <w:pPr>
        <w:pStyle w:val="paragraph"/>
      </w:pPr>
      <w:r w:rsidRPr="001A6F73">
        <w:tab/>
        <w:t>(f)</w:t>
      </w:r>
      <w:r w:rsidRPr="001A6F73">
        <w:tab/>
      </w:r>
      <w:r w:rsidR="001564EC" w:rsidRPr="001A6F73">
        <w:t>if the order for loading ships changes</w:t>
      </w:r>
      <w:r w:rsidR="003B2048" w:rsidRPr="001A6F73">
        <w:t xml:space="preserve"> for the previous </w:t>
      </w:r>
      <w:r w:rsidR="00D06201" w:rsidRPr="001A6F73">
        <w:t xml:space="preserve">calendar </w:t>
      </w:r>
      <w:r w:rsidR="003B2048" w:rsidRPr="001A6F73">
        <w:t>month</w:t>
      </w:r>
      <w:r w:rsidR="001564EC" w:rsidRPr="001A6F73">
        <w:t xml:space="preserve">—an explanation of </w:t>
      </w:r>
      <w:r w:rsidR="0081321A" w:rsidRPr="001A6F73">
        <w:t>the reason</w:t>
      </w:r>
      <w:r w:rsidR="001564EC" w:rsidRPr="001A6F73">
        <w:t xml:space="preserve"> the order changed.</w:t>
      </w:r>
    </w:p>
    <w:p w:rsidR="003B2048" w:rsidRPr="001A6F73" w:rsidRDefault="00965E3C" w:rsidP="0062787E">
      <w:pPr>
        <w:pStyle w:val="subsection"/>
      </w:pPr>
      <w:r w:rsidRPr="001A6F73">
        <w:tab/>
        <w:t>(2)</w:t>
      </w:r>
      <w:r w:rsidR="00C75E5E" w:rsidRPr="001A6F73">
        <w:rPr>
          <w:rFonts w:ascii="Calibri" w:hAnsi="Calibri" w:cs="Calibri"/>
        </w:rPr>
        <w:tab/>
      </w:r>
      <w:r w:rsidR="00C75E5E" w:rsidRPr="001A6F73">
        <w:t xml:space="preserve">Despite </w:t>
      </w:r>
      <w:r w:rsidR="001A6F73" w:rsidRPr="001A6F73">
        <w:t>subsection (</w:t>
      </w:r>
      <w:r w:rsidR="00C75E5E" w:rsidRPr="001A6F73">
        <w:t>1), the requirement for a port terminal service provider to make available the infor</w:t>
      </w:r>
      <w:r w:rsidR="00D06201" w:rsidRPr="001A6F73">
        <w:t xml:space="preserve">mation referred to in </w:t>
      </w:r>
      <w:r w:rsidR="001A6F73" w:rsidRPr="001A6F73">
        <w:t>paragraphs (</w:t>
      </w:r>
      <w:r w:rsidR="00F35E9F" w:rsidRPr="001A6F73">
        <w:t>1)(c), (e) and (f</w:t>
      </w:r>
      <w:r w:rsidR="00C75E5E" w:rsidRPr="001A6F73">
        <w:t>) for a calendar month applies to December 2014 and each later calendar month, but not to an earlier calendar month.</w:t>
      </w:r>
    </w:p>
    <w:p w:rsidR="007A3DA1" w:rsidRPr="001A6F73" w:rsidRDefault="00EB6DDB" w:rsidP="00C4131D">
      <w:pPr>
        <w:pStyle w:val="ActHead5"/>
      </w:pPr>
      <w:bookmarkStart w:id="54" w:name="_Toc397955345"/>
      <w:r w:rsidRPr="001A6F73">
        <w:rPr>
          <w:rStyle w:val="CharSectno"/>
        </w:rPr>
        <w:t>30</w:t>
      </w:r>
      <w:r w:rsidR="007A3DA1" w:rsidRPr="001A6F73">
        <w:t xml:space="preserve"> </w:t>
      </w:r>
      <w:r w:rsidR="008C20FC" w:rsidRPr="001A6F73">
        <w:t xml:space="preserve"> </w:t>
      </w:r>
      <w:r w:rsidR="00FF12AE" w:rsidRPr="001A6F73">
        <w:t>Port terminal service provider</w:t>
      </w:r>
      <w:r w:rsidR="007A3DA1" w:rsidRPr="001A6F73">
        <w:t xml:space="preserve"> to publish stock information</w:t>
      </w:r>
      <w:bookmarkEnd w:id="54"/>
    </w:p>
    <w:p w:rsidR="007A3DA1" w:rsidRPr="001A6F73" w:rsidRDefault="007A3DA1" w:rsidP="007A3DA1">
      <w:pPr>
        <w:pStyle w:val="subsection"/>
      </w:pPr>
      <w:r w:rsidRPr="001A6F73">
        <w:tab/>
      </w:r>
      <w:r w:rsidRPr="001A6F73">
        <w:tab/>
      </w:r>
      <w:r w:rsidR="00F73A1A" w:rsidRPr="001A6F73">
        <w:t>A</w:t>
      </w:r>
      <w:r w:rsidR="004C070F" w:rsidRPr="001A6F73">
        <w:t xml:space="preserve"> </w:t>
      </w:r>
      <w:r w:rsidR="00FF12AE" w:rsidRPr="001A6F73">
        <w:t>port terminal service provider</w:t>
      </w:r>
      <w:r w:rsidRPr="001A6F73">
        <w:t xml:space="preserve"> must, as soon as practicable after the beginning of each week, make available to the public on its website the following information:</w:t>
      </w:r>
    </w:p>
    <w:p w:rsidR="007A3DA1" w:rsidRPr="001A6F73" w:rsidRDefault="007A3DA1" w:rsidP="007A3DA1">
      <w:pPr>
        <w:pStyle w:val="paragraph"/>
      </w:pPr>
      <w:r w:rsidRPr="001A6F73">
        <w:tab/>
        <w:t>(a)</w:t>
      </w:r>
      <w:r w:rsidRPr="001A6F73">
        <w:tab/>
        <w:t>the total amount of bulk wheat held at each port terminal at the end of the previous week and the names of the top 3 grades;</w:t>
      </w:r>
    </w:p>
    <w:p w:rsidR="007A3DA1" w:rsidRPr="001A6F73" w:rsidRDefault="007A3DA1" w:rsidP="007A3DA1">
      <w:pPr>
        <w:pStyle w:val="paragraph"/>
      </w:pPr>
      <w:r w:rsidRPr="001A6F73">
        <w:tab/>
        <w:t>(b)</w:t>
      </w:r>
      <w:r w:rsidRPr="001A6F73">
        <w:tab/>
        <w:t xml:space="preserve">the total amount of </w:t>
      </w:r>
      <w:r w:rsidR="00EE2472" w:rsidRPr="001A6F73">
        <w:t xml:space="preserve">bulk </w:t>
      </w:r>
      <w:r w:rsidRPr="001A6F73">
        <w:t>barley held at each port terminal at the end of the previous week;</w:t>
      </w:r>
    </w:p>
    <w:p w:rsidR="007A3DA1" w:rsidRPr="001A6F73" w:rsidRDefault="007A3DA1" w:rsidP="007A3DA1">
      <w:pPr>
        <w:pStyle w:val="paragraph"/>
      </w:pPr>
      <w:r w:rsidRPr="001A6F73">
        <w:tab/>
        <w:t>(c)</w:t>
      </w:r>
      <w:r w:rsidRPr="001A6F73">
        <w:tab/>
        <w:t xml:space="preserve">the total amount of </w:t>
      </w:r>
      <w:r w:rsidR="00EE2472" w:rsidRPr="001A6F73">
        <w:t xml:space="preserve">bulk </w:t>
      </w:r>
      <w:r w:rsidRPr="001A6F73">
        <w:t>canola held at each port terminal at the end of the previous week;</w:t>
      </w:r>
    </w:p>
    <w:p w:rsidR="007A3DA1" w:rsidRPr="001A6F73" w:rsidRDefault="007A3DA1" w:rsidP="007A3DA1">
      <w:pPr>
        <w:pStyle w:val="paragraph"/>
      </w:pPr>
      <w:r w:rsidRPr="001A6F73">
        <w:tab/>
        <w:t>(d)</w:t>
      </w:r>
      <w:r w:rsidRPr="001A6F73">
        <w:tab/>
        <w:t>the total amount of any other bulk grains held at each port terminal at the end of the previous week.</w:t>
      </w:r>
    </w:p>
    <w:p w:rsidR="007A3DA1" w:rsidRPr="001A6F73" w:rsidRDefault="007A3DA1" w:rsidP="00C4131D">
      <w:pPr>
        <w:pStyle w:val="ActHead2"/>
        <w:pageBreakBefore/>
      </w:pPr>
      <w:bookmarkStart w:id="55" w:name="_Toc397955346"/>
      <w:r w:rsidRPr="001A6F73">
        <w:rPr>
          <w:rStyle w:val="CharPartNo"/>
        </w:rPr>
        <w:lastRenderedPageBreak/>
        <w:t>Part</w:t>
      </w:r>
      <w:r w:rsidR="001A6F73" w:rsidRPr="001A6F73">
        <w:rPr>
          <w:rStyle w:val="CharPartNo"/>
        </w:rPr>
        <w:t> </w:t>
      </w:r>
      <w:r w:rsidRPr="001A6F73">
        <w:rPr>
          <w:rStyle w:val="CharPartNo"/>
        </w:rPr>
        <w:t>6</w:t>
      </w:r>
      <w:r w:rsidRPr="001A6F73">
        <w:t>—</w:t>
      </w:r>
      <w:r w:rsidRPr="001A6F73">
        <w:rPr>
          <w:rStyle w:val="CharPartText"/>
        </w:rPr>
        <w:t>Record keeping</w:t>
      </w:r>
      <w:bookmarkEnd w:id="55"/>
    </w:p>
    <w:p w:rsidR="007A3DA1" w:rsidRPr="001A6F73" w:rsidRDefault="007A3DA1" w:rsidP="00C4131D">
      <w:pPr>
        <w:pStyle w:val="Header"/>
      </w:pPr>
      <w:r w:rsidRPr="001A6F73">
        <w:rPr>
          <w:rStyle w:val="CharDivNo"/>
        </w:rPr>
        <w:t xml:space="preserve"> </w:t>
      </w:r>
      <w:r w:rsidRPr="001A6F73">
        <w:rPr>
          <w:rStyle w:val="CharDivText"/>
        </w:rPr>
        <w:t xml:space="preserve"> </w:t>
      </w:r>
    </w:p>
    <w:p w:rsidR="007A3DA1" w:rsidRPr="001A6F73" w:rsidRDefault="00EB6DDB" w:rsidP="00C4131D">
      <w:pPr>
        <w:pStyle w:val="ActHead5"/>
      </w:pPr>
      <w:bookmarkStart w:id="56" w:name="_Toc397955347"/>
      <w:r w:rsidRPr="001A6F73">
        <w:rPr>
          <w:rStyle w:val="CharSectno"/>
        </w:rPr>
        <w:t>31</w:t>
      </w:r>
      <w:r w:rsidR="00666AAB" w:rsidRPr="001A6F73">
        <w:t xml:space="preserve"> </w:t>
      </w:r>
      <w:r w:rsidR="008C20FC" w:rsidRPr="001A6F73">
        <w:t xml:space="preserve"> </w:t>
      </w:r>
      <w:r w:rsidR="00FF12AE" w:rsidRPr="001A6F73">
        <w:t>Port terminal service provider</w:t>
      </w:r>
      <w:r w:rsidR="007A3DA1" w:rsidRPr="001A6F73">
        <w:t>s to retain access agreements and variations to those agreements</w:t>
      </w:r>
      <w:bookmarkEnd w:id="56"/>
    </w:p>
    <w:p w:rsidR="00F77E95" w:rsidRPr="001A6F73" w:rsidRDefault="007A3DA1" w:rsidP="00F77E95">
      <w:pPr>
        <w:pStyle w:val="subsection"/>
      </w:pPr>
      <w:r w:rsidRPr="001A6F73">
        <w:tab/>
      </w:r>
      <w:r w:rsidR="0098719D" w:rsidRPr="001A6F73">
        <w:t>(1)</w:t>
      </w:r>
      <w:r w:rsidRPr="001A6F73">
        <w:tab/>
      </w:r>
      <w:r w:rsidR="003A4A24" w:rsidRPr="001A6F73">
        <w:t>A</w:t>
      </w:r>
      <w:r w:rsidR="00695FFF" w:rsidRPr="001A6F73">
        <w:t xml:space="preserve"> </w:t>
      </w:r>
      <w:r w:rsidR="00FF12AE" w:rsidRPr="001A6F73">
        <w:t>port terminal service provider</w:t>
      </w:r>
      <w:r w:rsidR="003A4A24" w:rsidRPr="001A6F73">
        <w:t xml:space="preserve"> must retain</w:t>
      </w:r>
      <w:r w:rsidR="00F77E95" w:rsidRPr="001A6F73">
        <w:t xml:space="preserve"> </w:t>
      </w:r>
      <w:r w:rsidR="00641E15" w:rsidRPr="001A6F73">
        <w:t xml:space="preserve">the following documents in </w:t>
      </w:r>
      <w:r w:rsidR="00F77E95" w:rsidRPr="001A6F73">
        <w:t>accordance with this clause:</w:t>
      </w:r>
    </w:p>
    <w:p w:rsidR="003A4A24" w:rsidRPr="001A6F73" w:rsidRDefault="00F77E95" w:rsidP="00F77E95">
      <w:pPr>
        <w:pStyle w:val="paragraph"/>
      </w:pPr>
      <w:r w:rsidRPr="001A6F73">
        <w:tab/>
      </w:r>
      <w:r w:rsidR="003A4A24" w:rsidRPr="001A6F73">
        <w:t>(a)</w:t>
      </w:r>
      <w:r w:rsidR="003A4A24" w:rsidRPr="001A6F73">
        <w:tab/>
        <w:t>access agreements entered into by the</w:t>
      </w:r>
      <w:r w:rsidR="00C0184C" w:rsidRPr="001A6F73">
        <w:t xml:space="preserve"> </w:t>
      </w:r>
      <w:r w:rsidR="001A3DED" w:rsidRPr="001A6F73">
        <w:t>provider</w:t>
      </w:r>
      <w:r w:rsidR="003A4A24" w:rsidRPr="001A6F73">
        <w:t>;</w:t>
      </w:r>
    </w:p>
    <w:p w:rsidR="003A4A24" w:rsidRPr="001A6F73" w:rsidRDefault="00F77E95" w:rsidP="003A4A24">
      <w:pPr>
        <w:pStyle w:val="paragraph"/>
      </w:pPr>
      <w:r w:rsidRPr="001A6F73">
        <w:tab/>
      </w:r>
      <w:r w:rsidR="003A4A24" w:rsidRPr="001A6F73">
        <w:t>(b)</w:t>
      </w:r>
      <w:r w:rsidR="003A4A24" w:rsidRPr="001A6F73">
        <w:tab/>
        <w:t xml:space="preserve">documents evidencing variations made to access agreements mentioned in </w:t>
      </w:r>
      <w:r w:rsidR="001A6F73" w:rsidRPr="001A6F73">
        <w:t>paragraph (</w:t>
      </w:r>
      <w:r w:rsidR="003A4A24" w:rsidRPr="001A6F73">
        <w:t>a).</w:t>
      </w:r>
    </w:p>
    <w:p w:rsidR="00F77E95" w:rsidRPr="001A6F73" w:rsidRDefault="00950AF8" w:rsidP="00950AF8">
      <w:pPr>
        <w:pStyle w:val="subsection"/>
      </w:pPr>
      <w:r w:rsidRPr="001A6F73">
        <w:tab/>
        <w:t>(2)</w:t>
      </w:r>
      <w:r w:rsidRPr="001A6F73">
        <w:tab/>
        <w:t xml:space="preserve">An access agreement entered into by a </w:t>
      </w:r>
      <w:r w:rsidR="00FF12AE" w:rsidRPr="001A6F73">
        <w:t>port terminal service provider</w:t>
      </w:r>
      <w:r w:rsidRPr="001A6F73">
        <w:t xml:space="preserve"> </w:t>
      </w:r>
      <w:r w:rsidR="00F77E95" w:rsidRPr="001A6F73">
        <w:t>that has not been varied since the agreement was entered</w:t>
      </w:r>
      <w:r w:rsidR="00641E15" w:rsidRPr="001A6F73">
        <w:t xml:space="preserve"> into must be retained by the </w:t>
      </w:r>
      <w:r w:rsidR="001A3DED" w:rsidRPr="001A6F73">
        <w:t>provider</w:t>
      </w:r>
      <w:r w:rsidR="00641E15" w:rsidRPr="001A6F73">
        <w:t xml:space="preserve"> for </w:t>
      </w:r>
      <w:r w:rsidR="00F77E95" w:rsidRPr="001A6F73">
        <w:t>at least 6 years after the agreement was entered into.</w:t>
      </w:r>
    </w:p>
    <w:p w:rsidR="00F77E95" w:rsidRPr="001A6F73" w:rsidRDefault="00F77E95" w:rsidP="007A3DA1">
      <w:pPr>
        <w:pStyle w:val="subsection"/>
      </w:pPr>
      <w:r w:rsidRPr="001A6F73">
        <w:tab/>
        <w:t>(3)</w:t>
      </w:r>
      <w:r w:rsidRPr="001A6F73">
        <w:tab/>
      </w:r>
      <w:r w:rsidR="00641E15" w:rsidRPr="001A6F73">
        <w:t>An access agreement entered into by a</w:t>
      </w:r>
      <w:r w:rsidR="001A3DED" w:rsidRPr="001A6F73">
        <w:t xml:space="preserve"> </w:t>
      </w:r>
      <w:r w:rsidR="00FF12AE" w:rsidRPr="001A6F73">
        <w:t>port terminal service provider</w:t>
      </w:r>
      <w:r w:rsidR="00641E15" w:rsidRPr="001A6F73">
        <w:t xml:space="preserve"> that has been varied since the agreement was entered into must be retained with the documents evidencing the variations to the agreement for at least 6 years after the variations to the agreement commenced.</w:t>
      </w:r>
    </w:p>
    <w:p w:rsidR="007A3DA1" w:rsidRPr="001A6F73" w:rsidRDefault="00EB6DDB" w:rsidP="00C4131D">
      <w:pPr>
        <w:pStyle w:val="ActHead5"/>
      </w:pPr>
      <w:bookmarkStart w:id="57" w:name="_Toc397955348"/>
      <w:r w:rsidRPr="001A6F73">
        <w:rPr>
          <w:rStyle w:val="CharSectno"/>
        </w:rPr>
        <w:t>32</w:t>
      </w:r>
      <w:r w:rsidR="007A3DA1" w:rsidRPr="001A6F73">
        <w:t xml:space="preserve">  Records about disputes in relation to an access agreement</w:t>
      </w:r>
      <w:bookmarkEnd w:id="57"/>
    </w:p>
    <w:p w:rsidR="007A3DA1" w:rsidRPr="001A6F73" w:rsidRDefault="007A3DA1" w:rsidP="00646E7A">
      <w:pPr>
        <w:pStyle w:val="subsection"/>
      </w:pPr>
      <w:r w:rsidRPr="001A6F73">
        <w:tab/>
        <w:t>(1)</w:t>
      </w:r>
      <w:r w:rsidRPr="001A6F73">
        <w:tab/>
        <w:t>A</w:t>
      </w:r>
      <w:r w:rsidR="004C070F" w:rsidRPr="001A6F73">
        <w:t xml:space="preserve"> </w:t>
      </w:r>
      <w:r w:rsidR="00FF12AE" w:rsidRPr="001A6F73">
        <w:t>port terminal service provider</w:t>
      </w:r>
      <w:r w:rsidRPr="001A6F73">
        <w:t xml:space="preserve"> and an exporter involved in a dispute</w:t>
      </w:r>
      <w:r w:rsidR="00646E7A" w:rsidRPr="001A6F73">
        <w:t xml:space="preserve"> abo</w:t>
      </w:r>
      <w:r w:rsidR="00AE58C8" w:rsidRPr="001A6F73">
        <w:t xml:space="preserve">ut a decision </w:t>
      </w:r>
      <w:r w:rsidR="0028531C" w:rsidRPr="001A6F73">
        <w:t xml:space="preserve">made </w:t>
      </w:r>
      <w:r w:rsidR="00AE58C8" w:rsidRPr="001A6F73">
        <w:t>under subclause</w:t>
      </w:r>
      <w:r w:rsidR="001A6F73" w:rsidRPr="001A6F73">
        <w:t> </w:t>
      </w:r>
      <w:r w:rsidR="00AE58C8" w:rsidRPr="001A6F73">
        <w:t>11</w:t>
      </w:r>
      <w:r w:rsidR="00646E7A" w:rsidRPr="001A6F73">
        <w:t>(5)</w:t>
      </w:r>
      <w:r w:rsidR="002D1A31" w:rsidRPr="001A6F73">
        <w:t>, clause</w:t>
      </w:r>
      <w:r w:rsidR="001A6F73" w:rsidRPr="001A6F73">
        <w:t> </w:t>
      </w:r>
      <w:r w:rsidR="002D1A31" w:rsidRPr="001A6F73">
        <w:t>12</w:t>
      </w:r>
      <w:r w:rsidR="00646E7A" w:rsidRPr="001A6F73">
        <w:t xml:space="preserve"> or the proposed terms of an access agreement must </w:t>
      </w:r>
      <w:r w:rsidRPr="001A6F73">
        <w:t>both retain records relating to the dispute for at least 6 years after the dispute is concluded.</w:t>
      </w:r>
    </w:p>
    <w:p w:rsidR="00675995" w:rsidRPr="001A6F73" w:rsidRDefault="007A3DA1" w:rsidP="00637872">
      <w:pPr>
        <w:pStyle w:val="subsection"/>
      </w:pPr>
      <w:r w:rsidRPr="001A6F73">
        <w:tab/>
        <w:t>(2)</w:t>
      </w:r>
      <w:r w:rsidRPr="001A6F73">
        <w:tab/>
        <w:t xml:space="preserve">The obligation to retain records mentioned in </w:t>
      </w:r>
      <w:r w:rsidR="001A6F73" w:rsidRPr="001A6F73">
        <w:t>subclause (</w:t>
      </w:r>
      <w:r w:rsidR="00F65E20" w:rsidRPr="001A6F73">
        <w:t>1)</w:t>
      </w:r>
      <w:r w:rsidRPr="001A6F73">
        <w:t xml:space="preserve"> applies regardless of how the dispute </w:t>
      </w:r>
      <w:r w:rsidR="00182D1C" w:rsidRPr="001A6F73">
        <w:t>concluded</w:t>
      </w:r>
      <w:r w:rsidR="00637872" w:rsidRPr="001A6F73">
        <w:t>.</w:t>
      </w:r>
    </w:p>
    <w:p w:rsidR="007A3DA1" w:rsidRPr="001A6F73" w:rsidRDefault="00EB6DDB" w:rsidP="00C4131D">
      <w:pPr>
        <w:pStyle w:val="ActHead5"/>
      </w:pPr>
      <w:bookmarkStart w:id="58" w:name="_Toc397955349"/>
      <w:r w:rsidRPr="001A6F73">
        <w:rPr>
          <w:rStyle w:val="CharSectno"/>
        </w:rPr>
        <w:t>33</w:t>
      </w:r>
      <w:r w:rsidR="007A3DA1" w:rsidRPr="001A6F73">
        <w:t xml:space="preserve">  Records on </w:t>
      </w:r>
      <w:r w:rsidR="00641E15" w:rsidRPr="001A6F73">
        <w:t>port terminal services</w:t>
      </w:r>
      <w:r w:rsidR="007A3DA1" w:rsidRPr="001A6F73">
        <w:t xml:space="preserve"> acquired by </w:t>
      </w:r>
      <w:r w:rsidR="00641E15" w:rsidRPr="001A6F73">
        <w:t xml:space="preserve">an </w:t>
      </w:r>
      <w:r w:rsidR="007A3DA1" w:rsidRPr="001A6F73">
        <w:t>exporter</w:t>
      </w:r>
      <w:bookmarkEnd w:id="58"/>
    </w:p>
    <w:p w:rsidR="007A3DA1" w:rsidRPr="001A6F73" w:rsidRDefault="007A3DA1" w:rsidP="007A3DA1">
      <w:pPr>
        <w:pStyle w:val="subsection"/>
      </w:pPr>
      <w:r w:rsidRPr="001A6F73">
        <w:tab/>
        <w:t>(1)</w:t>
      </w:r>
      <w:r w:rsidRPr="001A6F73">
        <w:tab/>
        <w:t>A</w:t>
      </w:r>
      <w:r w:rsidR="004C070F" w:rsidRPr="001A6F73">
        <w:t xml:space="preserve"> </w:t>
      </w:r>
      <w:r w:rsidR="00FF12AE" w:rsidRPr="001A6F73">
        <w:t>port terminal service provider</w:t>
      </w:r>
      <w:r w:rsidRPr="001A6F73">
        <w:t xml:space="preserve"> must record the following information in relation to </w:t>
      </w:r>
      <w:r w:rsidR="00E635DB" w:rsidRPr="001A6F73">
        <w:t xml:space="preserve">the provider’s </w:t>
      </w:r>
      <w:r w:rsidR="00FB7DBC" w:rsidRPr="001A6F73">
        <w:t xml:space="preserve">port terminal service </w:t>
      </w:r>
      <w:r w:rsidR="00FB7DBC" w:rsidRPr="001A6F73">
        <w:lastRenderedPageBreak/>
        <w:t>acquired by an</w:t>
      </w:r>
      <w:r w:rsidRPr="001A6F73">
        <w:t xml:space="preserve"> exporter</w:t>
      </w:r>
      <w:r w:rsidR="00FC3DAB" w:rsidRPr="001A6F73">
        <w:t xml:space="preserve"> for each shipping window</w:t>
      </w:r>
      <w:r w:rsidR="00D804E9" w:rsidRPr="001A6F73">
        <w:t xml:space="preserve"> </w:t>
      </w:r>
      <w:r w:rsidR="00447A8A" w:rsidRPr="001A6F73">
        <w:t>in relation to</w:t>
      </w:r>
      <w:r w:rsidR="00D804E9" w:rsidRPr="001A6F73">
        <w:t xml:space="preserve"> a port owned or operated by the provider</w:t>
      </w:r>
      <w:r w:rsidRPr="001A6F73">
        <w:t>:</w:t>
      </w:r>
    </w:p>
    <w:p w:rsidR="007A3DA1" w:rsidRPr="001A6F73" w:rsidRDefault="007A3DA1" w:rsidP="007A3DA1">
      <w:pPr>
        <w:pStyle w:val="paragraph"/>
      </w:pPr>
      <w:r w:rsidRPr="001A6F73">
        <w:tab/>
        <w:t>(a)</w:t>
      </w:r>
      <w:r w:rsidRPr="001A6F73">
        <w:tab/>
        <w:t>the name of the exporter;</w:t>
      </w:r>
    </w:p>
    <w:p w:rsidR="007A3DA1" w:rsidRPr="001A6F73" w:rsidRDefault="00FB7DBC" w:rsidP="007A3DA1">
      <w:pPr>
        <w:pStyle w:val="paragraph"/>
      </w:pPr>
      <w:r w:rsidRPr="001A6F73">
        <w:tab/>
        <w:t>(b</w:t>
      </w:r>
      <w:r w:rsidR="007A3DA1" w:rsidRPr="001A6F73">
        <w:t>)</w:t>
      </w:r>
      <w:r w:rsidR="007A3DA1" w:rsidRPr="001A6F73">
        <w:tab/>
        <w:t>the price th</w:t>
      </w:r>
      <w:r w:rsidRPr="001A6F73">
        <w:t xml:space="preserve">at the port terminal service was </w:t>
      </w:r>
      <w:r w:rsidR="007A3DA1" w:rsidRPr="001A6F73">
        <w:t>acquired at;</w:t>
      </w:r>
    </w:p>
    <w:p w:rsidR="007A3DA1" w:rsidRPr="001A6F73" w:rsidRDefault="00FB7DBC" w:rsidP="007A3DA1">
      <w:pPr>
        <w:pStyle w:val="paragraph"/>
      </w:pPr>
      <w:r w:rsidRPr="001A6F73">
        <w:tab/>
        <w:t>(c</w:t>
      </w:r>
      <w:r w:rsidR="007A3DA1" w:rsidRPr="001A6F73">
        <w:t>)</w:t>
      </w:r>
      <w:r w:rsidR="007A3DA1" w:rsidRPr="001A6F73">
        <w:tab/>
        <w:t>any rebates paid;</w:t>
      </w:r>
    </w:p>
    <w:p w:rsidR="00FB7DBC" w:rsidRPr="001A6F73" w:rsidRDefault="00FB7DBC" w:rsidP="007A3DA1">
      <w:pPr>
        <w:pStyle w:val="paragraph"/>
      </w:pPr>
      <w:r w:rsidRPr="001A6F73">
        <w:tab/>
        <w:t>(d</w:t>
      </w:r>
      <w:r w:rsidR="007A3DA1" w:rsidRPr="001A6F73">
        <w:t>)</w:t>
      </w:r>
      <w:r w:rsidR="007A3DA1" w:rsidRPr="001A6F73">
        <w:tab/>
      </w:r>
      <w:r w:rsidRPr="001A6F73">
        <w:t>the amount of bulk wheat to be exported;</w:t>
      </w:r>
    </w:p>
    <w:p w:rsidR="007A3DA1" w:rsidRPr="001A6F73" w:rsidRDefault="00FB7DBC" w:rsidP="007A3DA1">
      <w:pPr>
        <w:pStyle w:val="paragraph"/>
      </w:pPr>
      <w:r w:rsidRPr="001A6F73">
        <w:tab/>
        <w:t>(e)</w:t>
      </w:r>
      <w:r w:rsidRPr="001A6F73">
        <w:tab/>
        <w:t>if the port terminal service acquired was not wholly</w:t>
      </w:r>
      <w:r w:rsidR="002C5612" w:rsidRPr="001A6F73">
        <w:t xml:space="preserve"> </w:t>
      </w:r>
      <w:r w:rsidRPr="001A6F73">
        <w:t>used—</w:t>
      </w:r>
      <w:r w:rsidR="007A3DA1" w:rsidRPr="001A6F73">
        <w:t>the reason why;</w:t>
      </w:r>
    </w:p>
    <w:p w:rsidR="007A3DA1" w:rsidRPr="001A6F73" w:rsidRDefault="007A3DA1" w:rsidP="007A3DA1">
      <w:pPr>
        <w:pStyle w:val="paragraph"/>
      </w:pPr>
      <w:r w:rsidRPr="001A6F73">
        <w:tab/>
        <w:t>(</w:t>
      </w:r>
      <w:r w:rsidR="00FB7DBC" w:rsidRPr="001A6F73">
        <w:t>f</w:t>
      </w:r>
      <w:r w:rsidRPr="001A6F73">
        <w:t>)</w:t>
      </w:r>
      <w:r w:rsidRPr="001A6F73">
        <w:tab/>
        <w:t>details of any compensation paid</w:t>
      </w:r>
      <w:r w:rsidR="00641E15" w:rsidRPr="001A6F73">
        <w:t xml:space="preserve"> to the exporter by the </w:t>
      </w:r>
      <w:r w:rsidR="001A3DED" w:rsidRPr="001A6F73">
        <w:t>provider</w:t>
      </w:r>
      <w:r w:rsidRPr="001A6F73">
        <w:t>.</w:t>
      </w:r>
    </w:p>
    <w:p w:rsidR="007A3DA1" w:rsidRPr="001A6F73" w:rsidRDefault="007A3DA1" w:rsidP="007A3DA1">
      <w:pPr>
        <w:pStyle w:val="subsection"/>
      </w:pPr>
      <w:r w:rsidRPr="001A6F73">
        <w:tab/>
        <w:t>(2)</w:t>
      </w:r>
      <w:r w:rsidRPr="001A6F73">
        <w:tab/>
        <w:t xml:space="preserve">The information recorded under </w:t>
      </w:r>
      <w:r w:rsidR="001A6F73" w:rsidRPr="001A6F73">
        <w:t>subclause (</w:t>
      </w:r>
      <w:r w:rsidRPr="001A6F73">
        <w:t>1) must be retained by the</w:t>
      </w:r>
      <w:r w:rsidR="004C070F" w:rsidRPr="001A6F73">
        <w:t xml:space="preserve"> </w:t>
      </w:r>
      <w:r w:rsidR="00FF12AE" w:rsidRPr="001A6F73">
        <w:t>port terminal service provider</w:t>
      </w:r>
      <w:r w:rsidRPr="001A6F73">
        <w:t xml:space="preserve"> for at least 6 years from the date that the record was created.</w:t>
      </w:r>
    </w:p>
    <w:p w:rsidR="000F1EA6" w:rsidRPr="001A6F73" w:rsidRDefault="000F1EA6">
      <w:pPr>
        <w:sectPr w:rsidR="000F1EA6" w:rsidRPr="001A6F73" w:rsidSect="000E5840">
          <w:headerReference w:type="even" r:id="rId27"/>
          <w:headerReference w:type="default" r:id="rId28"/>
          <w:footerReference w:type="even" r:id="rId29"/>
          <w:footerReference w:type="default" r:id="rId30"/>
          <w:headerReference w:type="first" r:id="rId31"/>
          <w:footerReference w:type="first" r:id="rId32"/>
          <w:pgSz w:w="11907" w:h="16839" w:code="9"/>
          <w:pgMar w:top="2234" w:right="2410" w:bottom="4253" w:left="2410" w:header="720" w:footer="3402" w:gutter="0"/>
          <w:cols w:space="720"/>
          <w:docGrid w:linePitch="299"/>
        </w:sectPr>
      </w:pPr>
      <w:bookmarkStart w:id="59" w:name="f_Check_Lines_above"/>
      <w:bookmarkEnd w:id="59"/>
    </w:p>
    <w:p w:rsidR="007A3DA1" w:rsidRPr="001A6F73" w:rsidRDefault="007A3DA1" w:rsidP="000F1EA6">
      <w:pPr>
        <w:rPr>
          <w:b/>
          <w:i/>
        </w:rPr>
      </w:pPr>
    </w:p>
    <w:sectPr w:rsidR="007A3DA1" w:rsidRPr="001A6F73" w:rsidSect="000E5840">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38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E69" w:rsidRDefault="005C5E69" w:rsidP="00715914">
      <w:pPr>
        <w:spacing w:line="240" w:lineRule="auto"/>
      </w:pPr>
      <w:r>
        <w:separator/>
      </w:r>
    </w:p>
  </w:endnote>
  <w:endnote w:type="continuationSeparator" w:id="0">
    <w:p w:rsidR="005C5E69" w:rsidRDefault="005C5E6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Pr="000E5840" w:rsidRDefault="00B07115" w:rsidP="000E5840">
    <w:pPr>
      <w:pStyle w:val="Footer"/>
      <w:tabs>
        <w:tab w:val="clear" w:pos="4153"/>
        <w:tab w:val="clear" w:pos="8306"/>
        <w:tab w:val="center" w:pos="4150"/>
        <w:tab w:val="right" w:pos="8307"/>
      </w:tabs>
      <w:spacing w:before="120"/>
      <w:rPr>
        <w:i/>
        <w:sz w:val="18"/>
      </w:rPr>
    </w:pPr>
    <w:r w:rsidRPr="000E5840">
      <w:rPr>
        <w:i/>
        <w:sz w:val="18"/>
      </w:rPr>
      <w:t xml:space="preserve"> </w:t>
    </w:r>
    <w:r w:rsidR="000E5840" w:rsidRPr="000E5840">
      <w:rPr>
        <w:i/>
        <w:sz w:val="18"/>
      </w:rPr>
      <w:t>OPC60424 - 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Pr="002B0EA5" w:rsidRDefault="00B07115" w:rsidP="00B0711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07115" w:rsidTr="00F53F8D">
      <w:tc>
        <w:tcPr>
          <w:tcW w:w="1383" w:type="dxa"/>
        </w:tcPr>
        <w:p w:rsidR="00B07115" w:rsidRDefault="00B07115" w:rsidP="00F53F8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C236B">
            <w:rPr>
              <w:i/>
              <w:sz w:val="18"/>
            </w:rPr>
            <w:t>No. 136, 2014</w:t>
          </w:r>
          <w:r w:rsidRPr="007A1328">
            <w:rPr>
              <w:i/>
              <w:sz w:val="18"/>
            </w:rPr>
            <w:fldChar w:fldCharType="end"/>
          </w:r>
        </w:p>
      </w:tc>
      <w:tc>
        <w:tcPr>
          <w:tcW w:w="5387" w:type="dxa"/>
        </w:tcPr>
        <w:p w:rsidR="00B07115" w:rsidRDefault="00B07115" w:rsidP="00F53F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236B">
            <w:rPr>
              <w:i/>
              <w:sz w:val="18"/>
            </w:rPr>
            <w:t>Competition and Consumer (Industry Code—Port Terminal Access (Bulk Wheat)) Regulation 2014</w:t>
          </w:r>
          <w:r w:rsidRPr="007A1328">
            <w:rPr>
              <w:i/>
              <w:sz w:val="18"/>
            </w:rPr>
            <w:fldChar w:fldCharType="end"/>
          </w:r>
        </w:p>
      </w:tc>
      <w:tc>
        <w:tcPr>
          <w:tcW w:w="533" w:type="dxa"/>
        </w:tcPr>
        <w:p w:rsidR="00B07115" w:rsidRDefault="00B07115" w:rsidP="00F53F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3CAE">
            <w:rPr>
              <w:i/>
              <w:noProof/>
              <w:sz w:val="18"/>
            </w:rPr>
            <w:t>31</w:t>
          </w:r>
          <w:r w:rsidRPr="00ED79B6">
            <w:rPr>
              <w:i/>
              <w:sz w:val="18"/>
            </w:rPr>
            <w:fldChar w:fldCharType="end"/>
          </w:r>
        </w:p>
      </w:tc>
    </w:tr>
  </w:tbl>
  <w:p w:rsidR="00B07115" w:rsidRPr="00ED79B6" w:rsidRDefault="000E5840" w:rsidP="000E5840">
    <w:pPr>
      <w:rPr>
        <w:i/>
        <w:sz w:val="18"/>
      </w:rPr>
    </w:pPr>
    <w:r w:rsidRPr="000E5840">
      <w:rPr>
        <w:rFonts w:cs="Times New Roman"/>
        <w:i/>
        <w:sz w:val="18"/>
      </w:rPr>
      <w:t>OPC60424 - 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Pr="002B0EA5" w:rsidRDefault="00B07115" w:rsidP="00B0711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07115" w:rsidTr="00F53F8D">
      <w:tc>
        <w:tcPr>
          <w:tcW w:w="1383" w:type="dxa"/>
        </w:tcPr>
        <w:p w:rsidR="00B07115" w:rsidRDefault="00B07115" w:rsidP="00F53F8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C236B">
            <w:rPr>
              <w:i/>
              <w:sz w:val="18"/>
            </w:rPr>
            <w:t>No. 136, 2014</w:t>
          </w:r>
          <w:r w:rsidRPr="007A1328">
            <w:rPr>
              <w:i/>
              <w:sz w:val="18"/>
            </w:rPr>
            <w:fldChar w:fldCharType="end"/>
          </w:r>
        </w:p>
      </w:tc>
      <w:tc>
        <w:tcPr>
          <w:tcW w:w="5387" w:type="dxa"/>
        </w:tcPr>
        <w:p w:rsidR="00B07115" w:rsidRDefault="00B07115" w:rsidP="00F53F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236B">
            <w:rPr>
              <w:i/>
              <w:sz w:val="18"/>
            </w:rPr>
            <w:t>Competition and Consumer (Industry Code—Port Terminal Access (Bulk Wheat)) Regulation 2014</w:t>
          </w:r>
          <w:r w:rsidRPr="007A1328">
            <w:rPr>
              <w:i/>
              <w:sz w:val="18"/>
            </w:rPr>
            <w:fldChar w:fldCharType="end"/>
          </w:r>
        </w:p>
      </w:tc>
      <w:tc>
        <w:tcPr>
          <w:tcW w:w="533" w:type="dxa"/>
        </w:tcPr>
        <w:p w:rsidR="00B07115" w:rsidRDefault="00B07115" w:rsidP="00F53F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3C18">
            <w:rPr>
              <w:i/>
              <w:noProof/>
              <w:sz w:val="18"/>
            </w:rPr>
            <w:t>31</w:t>
          </w:r>
          <w:r w:rsidRPr="00ED79B6">
            <w:rPr>
              <w:i/>
              <w:sz w:val="18"/>
            </w:rPr>
            <w:fldChar w:fldCharType="end"/>
          </w:r>
        </w:p>
      </w:tc>
    </w:tr>
  </w:tbl>
  <w:p w:rsidR="00B07115" w:rsidRPr="00ED79B6" w:rsidRDefault="00B07115" w:rsidP="00B07115">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69" w:rsidRPr="000E5840" w:rsidRDefault="005C5E69" w:rsidP="00B54457">
    <w:pPr>
      <w:pBdr>
        <w:top w:val="single" w:sz="6" w:space="1" w:color="auto"/>
      </w:pBdr>
      <w:spacing w:before="120" w:line="0" w:lineRule="atLeast"/>
      <w:rPr>
        <w:rFonts w:cs="Times New Roman"/>
        <w:i/>
        <w:sz w:val="18"/>
        <w:szCs w:val="16"/>
      </w:rPr>
    </w:pPr>
  </w:p>
  <w:tbl>
    <w:tblPr>
      <w:tblW w:w="0" w:type="auto"/>
      <w:tblLook w:val="04A0" w:firstRow="1" w:lastRow="0" w:firstColumn="1" w:lastColumn="0" w:noHBand="0" w:noVBand="1"/>
    </w:tblPr>
    <w:tblGrid>
      <w:gridCol w:w="533"/>
      <w:gridCol w:w="5387"/>
      <w:gridCol w:w="1383"/>
    </w:tblGrid>
    <w:tr w:rsidR="005C5E69" w:rsidRPr="000E5840" w:rsidTr="002B0EA5">
      <w:tc>
        <w:tcPr>
          <w:tcW w:w="533" w:type="dxa"/>
        </w:tcPr>
        <w:p w:rsidR="005C5E69" w:rsidRPr="000E5840" w:rsidRDefault="005C5E69" w:rsidP="002B0EA5">
          <w:pPr>
            <w:spacing w:line="0" w:lineRule="atLeast"/>
            <w:rPr>
              <w:rFonts w:cs="Times New Roman"/>
              <w:i/>
              <w:sz w:val="18"/>
            </w:rPr>
          </w:pPr>
          <w:r w:rsidRPr="000E5840">
            <w:rPr>
              <w:rFonts w:cs="Times New Roman"/>
              <w:i/>
              <w:sz w:val="18"/>
            </w:rPr>
            <w:fldChar w:fldCharType="begin"/>
          </w:r>
          <w:r w:rsidRPr="000E5840">
            <w:rPr>
              <w:rFonts w:cs="Times New Roman"/>
              <w:i/>
              <w:sz w:val="18"/>
            </w:rPr>
            <w:instrText xml:space="preserve"> PAGE </w:instrText>
          </w:r>
          <w:r w:rsidRPr="000E5840">
            <w:rPr>
              <w:rFonts w:cs="Times New Roman"/>
              <w:i/>
              <w:sz w:val="18"/>
            </w:rPr>
            <w:fldChar w:fldCharType="separate"/>
          </w:r>
          <w:r w:rsidR="00023C18">
            <w:rPr>
              <w:rFonts w:cs="Times New Roman"/>
              <w:i/>
              <w:noProof/>
              <w:sz w:val="18"/>
            </w:rPr>
            <w:t>31</w:t>
          </w:r>
          <w:r w:rsidRPr="000E5840">
            <w:rPr>
              <w:rFonts w:cs="Times New Roman"/>
              <w:i/>
              <w:sz w:val="18"/>
            </w:rPr>
            <w:fldChar w:fldCharType="end"/>
          </w:r>
        </w:p>
      </w:tc>
      <w:tc>
        <w:tcPr>
          <w:tcW w:w="5387" w:type="dxa"/>
        </w:tcPr>
        <w:p w:rsidR="005C5E69" w:rsidRPr="000E5840" w:rsidRDefault="005C5E69" w:rsidP="002B0EA5">
          <w:pPr>
            <w:spacing w:line="0" w:lineRule="atLeast"/>
            <w:jc w:val="center"/>
            <w:rPr>
              <w:rFonts w:cs="Times New Roman"/>
              <w:i/>
              <w:sz w:val="18"/>
            </w:rPr>
          </w:pPr>
          <w:r w:rsidRPr="000E5840">
            <w:rPr>
              <w:rFonts w:cs="Times New Roman"/>
              <w:i/>
              <w:sz w:val="18"/>
            </w:rPr>
            <w:fldChar w:fldCharType="begin"/>
          </w:r>
          <w:r w:rsidRPr="000E5840">
            <w:rPr>
              <w:rFonts w:cs="Times New Roman"/>
              <w:i/>
              <w:sz w:val="18"/>
            </w:rPr>
            <w:instrText xml:space="preserve"> DOCPROPERTY ShortT </w:instrText>
          </w:r>
          <w:r w:rsidRPr="000E5840">
            <w:rPr>
              <w:rFonts w:cs="Times New Roman"/>
              <w:i/>
              <w:sz w:val="18"/>
            </w:rPr>
            <w:fldChar w:fldCharType="separate"/>
          </w:r>
          <w:r w:rsidR="006C236B">
            <w:rPr>
              <w:rFonts w:cs="Times New Roman"/>
              <w:i/>
              <w:sz w:val="18"/>
            </w:rPr>
            <w:t>Competition and Consumer (Industry Code—Port Terminal Access (Bulk Wheat)) Regulation 2014</w:t>
          </w:r>
          <w:r w:rsidRPr="000E5840">
            <w:rPr>
              <w:rFonts w:cs="Times New Roman"/>
              <w:i/>
              <w:sz w:val="18"/>
            </w:rPr>
            <w:fldChar w:fldCharType="end"/>
          </w:r>
        </w:p>
      </w:tc>
      <w:tc>
        <w:tcPr>
          <w:tcW w:w="1383" w:type="dxa"/>
        </w:tcPr>
        <w:p w:rsidR="005C5E69" w:rsidRPr="000E5840" w:rsidRDefault="005C5E69" w:rsidP="002B0EA5">
          <w:pPr>
            <w:spacing w:line="0" w:lineRule="atLeast"/>
            <w:jc w:val="right"/>
            <w:rPr>
              <w:rFonts w:cs="Times New Roman"/>
              <w:i/>
              <w:sz w:val="18"/>
            </w:rPr>
          </w:pPr>
          <w:r w:rsidRPr="000E5840">
            <w:rPr>
              <w:rFonts w:cs="Times New Roman"/>
              <w:i/>
              <w:sz w:val="18"/>
            </w:rPr>
            <w:fldChar w:fldCharType="begin"/>
          </w:r>
          <w:r w:rsidRPr="000E5840">
            <w:rPr>
              <w:rFonts w:cs="Times New Roman"/>
              <w:i/>
              <w:sz w:val="18"/>
            </w:rPr>
            <w:instrText xml:space="preserve"> DOCPROPERTY ActNo </w:instrText>
          </w:r>
          <w:r w:rsidRPr="000E5840">
            <w:rPr>
              <w:rFonts w:cs="Times New Roman"/>
              <w:i/>
              <w:sz w:val="18"/>
            </w:rPr>
            <w:fldChar w:fldCharType="separate"/>
          </w:r>
          <w:r w:rsidR="006C236B">
            <w:rPr>
              <w:rFonts w:cs="Times New Roman"/>
              <w:i/>
              <w:sz w:val="18"/>
            </w:rPr>
            <w:t>No. 136, 2014</w:t>
          </w:r>
          <w:r w:rsidRPr="000E5840">
            <w:rPr>
              <w:rFonts w:cs="Times New Roman"/>
              <w:i/>
              <w:sz w:val="18"/>
            </w:rPr>
            <w:fldChar w:fldCharType="end"/>
          </w:r>
        </w:p>
      </w:tc>
    </w:tr>
  </w:tbl>
  <w:p w:rsidR="005C5E69" w:rsidRPr="000E5840" w:rsidRDefault="000E5840" w:rsidP="000E5840">
    <w:pPr>
      <w:rPr>
        <w:rFonts w:cs="Times New Roman"/>
        <w:i/>
        <w:sz w:val="18"/>
      </w:rPr>
    </w:pPr>
    <w:r w:rsidRPr="000E5840">
      <w:rPr>
        <w:rFonts w:cs="Times New Roman"/>
        <w:i/>
        <w:sz w:val="18"/>
      </w:rPr>
      <w:t>OPC60424 - 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69" w:rsidRPr="002B0EA5" w:rsidRDefault="005C5E69" w:rsidP="00B54457">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83"/>
      <w:gridCol w:w="5387"/>
      <w:gridCol w:w="533"/>
    </w:tblGrid>
    <w:tr w:rsidR="005C5E69" w:rsidTr="002B0EA5">
      <w:tc>
        <w:tcPr>
          <w:tcW w:w="1383" w:type="dxa"/>
        </w:tcPr>
        <w:p w:rsidR="005C5E69" w:rsidRDefault="005C5E69"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C236B">
            <w:rPr>
              <w:i/>
              <w:sz w:val="18"/>
            </w:rPr>
            <w:t>No. 136, 2014</w:t>
          </w:r>
          <w:r w:rsidRPr="007A1328">
            <w:rPr>
              <w:i/>
              <w:sz w:val="18"/>
            </w:rPr>
            <w:fldChar w:fldCharType="end"/>
          </w:r>
        </w:p>
      </w:tc>
      <w:tc>
        <w:tcPr>
          <w:tcW w:w="5387" w:type="dxa"/>
        </w:tcPr>
        <w:p w:rsidR="005C5E69" w:rsidRDefault="005C5E69"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236B">
            <w:rPr>
              <w:i/>
              <w:sz w:val="18"/>
            </w:rPr>
            <w:t>Competition and Consumer (Industry Code—Port Terminal Access (Bulk Wheat)) Regulation 2014</w:t>
          </w:r>
          <w:r w:rsidRPr="007A1328">
            <w:rPr>
              <w:i/>
              <w:sz w:val="18"/>
            </w:rPr>
            <w:fldChar w:fldCharType="end"/>
          </w:r>
        </w:p>
      </w:tc>
      <w:tc>
        <w:tcPr>
          <w:tcW w:w="533" w:type="dxa"/>
        </w:tcPr>
        <w:p w:rsidR="005C5E69" w:rsidRDefault="005C5E69"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3C18">
            <w:rPr>
              <w:i/>
              <w:noProof/>
              <w:sz w:val="18"/>
            </w:rPr>
            <w:t>31</w:t>
          </w:r>
          <w:r w:rsidRPr="00ED79B6">
            <w:rPr>
              <w:i/>
              <w:sz w:val="18"/>
            </w:rPr>
            <w:fldChar w:fldCharType="end"/>
          </w:r>
        </w:p>
      </w:tc>
    </w:tr>
  </w:tbl>
  <w:p w:rsidR="005C5E69" w:rsidRPr="00ED79B6" w:rsidRDefault="000E5840" w:rsidP="000E5840">
    <w:pPr>
      <w:rPr>
        <w:i/>
        <w:sz w:val="18"/>
      </w:rPr>
    </w:pPr>
    <w:r w:rsidRPr="000E5840">
      <w:rPr>
        <w:rFonts w:cs="Times New Roman"/>
        <w:i/>
        <w:sz w:val="18"/>
      </w:rPr>
      <w:t>OPC60424 - 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69" w:rsidRPr="002B0EA5" w:rsidRDefault="005C5E69" w:rsidP="002B0EA5">
    <w:pPr>
      <w:pBdr>
        <w:top w:val="single" w:sz="6" w:space="1" w:color="auto"/>
      </w:pBdr>
      <w:spacing w:line="0" w:lineRule="atLeast"/>
      <w:rPr>
        <w:sz w:val="16"/>
        <w:szCs w:val="16"/>
      </w:rPr>
    </w:pPr>
  </w:p>
  <w:tbl>
    <w:tblPr>
      <w:tblW w:w="0" w:type="auto"/>
      <w:tblLayout w:type="fixed"/>
      <w:tblLook w:val="04A0" w:firstRow="1" w:lastRow="0" w:firstColumn="1" w:lastColumn="0" w:noHBand="0" w:noVBand="1"/>
    </w:tblPr>
    <w:tblGrid>
      <w:gridCol w:w="1383"/>
      <w:gridCol w:w="5387"/>
      <w:gridCol w:w="533"/>
    </w:tblGrid>
    <w:tr w:rsidR="005C5E69" w:rsidTr="002B0EA5">
      <w:tc>
        <w:tcPr>
          <w:tcW w:w="1383" w:type="dxa"/>
        </w:tcPr>
        <w:p w:rsidR="005C5E69" w:rsidRDefault="005C5E69"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C236B">
            <w:rPr>
              <w:i/>
              <w:sz w:val="18"/>
            </w:rPr>
            <w:t>No. 136, 2014</w:t>
          </w:r>
          <w:r w:rsidRPr="007A1328">
            <w:rPr>
              <w:i/>
              <w:sz w:val="18"/>
            </w:rPr>
            <w:fldChar w:fldCharType="end"/>
          </w:r>
        </w:p>
      </w:tc>
      <w:tc>
        <w:tcPr>
          <w:tcW w:w="5387" w:type="dxa"/>
        </w:tcPr>
        <w:p w:rsidR="005C5E69" w:rsidRDefault="005C5E69"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236B">
            <w:rPr>
              <w:i/>
              <w:sz w:val="18"/>
            </w:rPr>
            <w:t>Competition and Consumer (Industry Code—Port Terminal Access (Bulk Wheat)) Regulation 2014</w:t>
          </w:r>
          <w:r w:rsidRPr="007A1328">
            <w:rPr>
              <w:i/>
              <w:sz w:val="18"/>
            </w:rPr>
            <w:fldChar w:fldCharType="end"/>
          </w:r>
        </w:p>
      </w:tc>
      <w:tc>
        <w:tcPr>
          <w:tcW w:w="533" w:type="dxa"/>
        </w:tcPr>
        <w:p w:rsidR="005C5E69" w:rsidRDefault="005C5E69"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3C18">
            <w:rPr>
              <w:i/>
              <w:noProof/>
              <w:sz w:val="18"/>
            </w:rPr>
            <w:t>31</w:t>
          </w:r>
          <w:r w:rsidRPr="00ED79B6">
            <w:rPr>
              <w:i/>
              <w:sz w:val="18"/>
            </w:rPr>
            <w:fldChar w:fldCharType="end"/>
          </w:r>
        </w:p>
      </w:tc>
    </w:tr>
  </w:tbl>
  <w:p w:rsidR="005C5E69" w:rsidRPr="00ED79B6" w:rsidRDefault="005C5E69"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Default="00B07115" w:rsidP="00B07115">
    <w:pPr>
      <w:pStyle w:val="Footer"/>
    </w:pPr>
  </w:p>
  <w:p w:rsidR="00B07115" w:rsidRPr="00E44C17" w:rsidRDefault="000E5840" w:rsidP="000E5840">
    <w:pPr>
      <w:pStyle w:val="Footer"/>
    </w:pPr>
    <w:r w:rsidRPr="000E5840">
      <w:rPr>
        <w:i/>
        <w:sz w:val="18"/>
      </w:rPr>
      <w:t>OPC60424 - 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Pr="00ED79B6" w:rsidRDefault="00B07115" w:rsidP="00B0711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Pr="000E5840" w:rsidRDefault="00B07115" w:rsidP="00B07115">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07115" w:rsidRPr="000E5840" w:rsidTr="00F53F8D">
      <w:tc>
        <w:tcPr>
          <w:tcW w:w="533" w:type="dxa"/>
        </w:tcPr>
        <w:p w:rsidR="00B07115" w:rsidRPr="000E5840" w:rsidRDefault="00B07115" w:rsidP="00F53F8D">
          <w:pPr>
            <w:spacing w:line="0" w:lineRule="atLeast"/>
            <w:rPr>
              <w:rFonts w:cs="Times New Roman"/>
              <w:i/>
              <w:sz w:val="18"/>
            </w:rPr>
          </w:pPr>
          <w:r w:rsidRPr="000E5840">
            <w:rPr>
              <w:rFonts w:cs="Times New Roman"/>
              <w:i/>
              <w:sz w:val="18"/>
            </w:rPr>
            <w:fldChar w:fldCharType="begin"/>
          </w:r>
          <w:r w:rsidRPr="000E5840">
            <w:rPr>
              <w:rFonts w:cs="Times New Roman"/>
              <w:i/>
              <w:sz w:val="18"/>
            </w:rPr>
            <w:instrText xml:space="preserve"> PAGE </w:instrText>
          </w:r>
          <w:r w:rsidRPr="000E5840">
            <w:rPr>
              <w:rFonts w:cs="Times New Roman"/>
              <w:i/>
              <w:sz w:val="18"/>
            </w:rPr>
            <w:fldChar w:fldCharType="separate"/>
          </w:r>
          <w:r w:rsidR="00423CAE">
            <w:rPr>
              <w:rFonts w:cs="Times New Roman"/>
              <w:i/>
              <w:noProof/>
              <w:sz w:val="18"/>
            </w:rPr>
            <w:t>ii</w:t>
          </w:r>
          <w:r w:rsidRPr="000E5840">
            <w:rPr>
              <w:rFonts w:cs="Times New Roman"/>
              <w:i/>
              <w:sz w:val="18"/>
            </w:rPr>
            <w:fldChar w:fldCharType="end"/>
          </w:r>
        </w:p>
      </w:tc>
      <w:tc>
        <w:tcPr>
          <w:tcW w:w="5387" w:type="dxa"/>
        </w:tcPr>
        <w:p w:rsidR="00B07115" w:rsidRPr="000E5840" w:rsidRDefault="00B07115" w:rsidP="00F53F8D">
          <w:pPr>
            <w:spacing w:line="0" w:lineRule="atLeast"/>
            <w:jc w:val="center"/>
            <w:rPr>
              <w:rFonts w:cs="Times New Roman"/>
              <w:i/>
              <w:sz w:val="18"/>
            </w:rPr>
          </w:pPr>
          <w:r w:rsidRPr="000E5840">
            <w:rPr>
              <w:rFonts w:cs="Times New Roman"/>
              <w:i/>
              <w:sz w:val="18"/>
            </w:rPr>
            <w:fldChar w:fldCharType="begin"/>
          </w:r>
          <w:r w:rsidRPr="000E5840">
            <w:rPr>
              <w:rFonts w:cs="Times New Roman"/>
              <w:i/>
              <w:sz w:val="18"/>
            </w:rPr>
            <w:instrText xml:space="preserve"> DOCPROPERTY ShortT </w:instrText>
          </w:r>
          <w:r w:rsidRPr="000E5840">
            <w:rPr>
              <w:rFonts w:cs="Times New Roman"/>
              <w:i/>
              <w:sz w:val="18"/>
            </w:rPr>
            <w:fldChar w:fldCharType="separate"/>
          </w:r>
          <w:r w:rsidR="006C236B">
            <w:rPr>
              <w:rFonts w:cs="Times New Roman"/>
              <w:i/>
              <w:sz w:val="18"/>
            </w:rPr>
            <w:t>Competition and Consumer (Industry Code—Port Terminal Access (Bulk Wheat)) Regulation 2014</w:t>
          </w:r>
          <w:r w:rsidRPr="000E5840">
            <w:rPr>
              <w:rFonts w:cs="Times New Roman"/>
              <w:i/>
              <w:sz w:val="18"/>
            </w:rPr>
            <w:fldChar w:fldCharType="end"/>
          </w:r>
        </w:p>
      </w:tc>
      <w:tc>
        <w:tcPr>
          <w:tcW w:w="1383" w:type="dxa"/>
        </w:tcPr>
        <w:p w:rsidR="00B07115" w:rsidRPr="000E5840" w:rsidRDefault="00B07115" w:rsidP="00F53F8D">
          <w:pPr>
            <w:spacing w:line="0" w:lineRule="atLeast"/>
            <w:jc w:val="right"/>
            <w:rPr>
              <w:rFonts w:cs="Times New Roman"/>
              <w:i/>
              <w:sz w:val="18"/>
            </w:rPr>
          </w:pPr>
          <w:r w:rsidRPr="000E5840">
            <w:rPr>
              <w:rFonts w:cs="Times New Roman"/>
              <w:i/>
              <w:sz w:val="18"/>
            </w:rPr>
            <w:fldChar w:fldCharType="begin"/>
          </w:r>
          <w:r w:rsidRPr="000E5840">
            <w:rPr>
              <w:rFonts w:cs="Times New Roman"/>
              <w:i/>
              <w:sz w:val="18"/>
            </w:rPr>
            <w:instrText xml:space="preserve"> DOCPROPERTY ActNo </w:instrText>
          </w:r>
          <w:r w:rsidRPr="000E5840">
            <w:rPr>
              <w:rFonts w:cs="Times New Roman"/>
              <w:i/>
              <w:sz w:val="18"/>
            </w:rPr>
            <w:fldChar w:fldCharType="separate"/>
          </w:r>
          <w:r w:rsidR="006C236B">
            <w:rPr>
              <w:rFonts w:cs="Times New Roman"/>
              <w:i/>
              <w:sz w:val="18"/>
            </w:rPr>
            <w:t>No. 136, 2014</w:t>
          </w:r>
          <w:r w:rsidRPr="000E5840">
            <w:rPr>
              <w:rFonts w:cs="Times New Roman"/>
              <w:i/>
              <w:sz w:val="18"/>
            </w:rPr>
            <w:fldChar w:fldCharType="end"/>
          </w:r>
        </w:p>
      </w:tc>
    </w:tr>
  </w:tbl>
  <w:p w:rsidR="00B07115" w:rsidRPr="000E5840" w:rsidRDefault="000E5840" w:rsidP="000E5840">
    <w:pPr>
      <w:rPr>
        <w:rFonts w:cs="Times New Roman"/>
        <w:i/>
        <w:sz w:val="18"/>
      </w:rPr>
    </w:pPr>
    <w:r w:rsidRPr="000E5840">
      <w:rPr>
        <w:rFonts w:cs="Times New Roman"/>
        <w:i/>
        <w:sz w:val="18"/>
      </w:rPr>
      <w:t>OPC60424 - 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Pr="002B0EA5" w:rsidRDefault="00B07115" w:rsidP="00B0711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07115" w:rsidTr="00F53F8D">
      <w:tc>
        <w:tcPr>
          <w:tcW w:w="1383" w:type="dxa"/>
        </w:tcPr>
        <w:p w:rsidR="00B07115" w:rsidRDefault="00B07115" w:rsidP="00F53F8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C236B">
            <w:rPr>
              <w:i/>
              <w:sz w:val="18"/>
            </w:rPr>
            <w:t>No. 136, 2014</w:t>
          </w:r>
          <w:r w:rsidRPr="007A1328">
            <w:rPr>
              <w:i/>
              <w:sz w:val="18"/>
            </w:rPr>
            <w:fldChar w:fldCharType="end"/>
          </w:r>
        </w:p>
      </w:tc>
      <w:tc>
        <w:tcPr>
          <w:tcW w:w="5387" w:type="dxa"/>
        </w:tcPr>
        <w:p w:rsidR="00B07115" w:rsidRDefault="00B07115" w:rsidP="00F53F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236B">
            <w:rPr>
              <w:i/>
              <w:sz w:val="18"/>
            </w:rPr>
            <w:t>Competition and Consumer (Industry Code—Port Terminal Access (Bulk Wheat)) Regulation 2014</w:t>
          </w:r>
          <w:r w:rsidRPr="007A1328">
            <w:rPr>
              <w:i/>
              <w:sz w:val="18"/>
            </w:rPr>
            <w:fldChar w:fldCharType="end"/>
          </w:r>
        </w:p>
      </w:tc>
      <w:tc>
        <w:tcPr>
          <w:tcW w:w="533" w:type="dxa"/>
        </w:tcPr>
        <w:p w:rsidR="00B07115" w:rsidRDefault="00B07115" w:rsidP="00F53F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3CAE">
            <w:rPr>
              <w:i/>
              <w:noProof/>
              <w:sz w:val="18"/>
            </w:rPr>
            <w:t>i</w:t>
          </w:r>
          <w:r w:rsidRPr="00ED79B6">
            <w:rPr>
              <w:i/>
              <w:sz w:val="18"/>
            </w:rPr>
            <w:fldChar w:fldCharType="end"/>
          </w:r>
        </w:p>
      </w:tc>
    </w:tr>
  </w:tbl>
  <w:p w:rsidR="00B07115" w:rsidRPr="00ED79B6" w:rsidRDefault="000E5840" w:rsidP="000E5840">
    <w:pPr>
      <w:rPr>
        <w:i/>
        <w:sz w:val="18"/>
      </w:rPr>
    </w:pPr>
    <w:r w:rsidRPr="000E5840">
      <w:rPr>
        <w:rFonts w:cs="Times New Roman"/>
        <w:i/>
        <w:sz w:val="18"/>
      </w:rPr>
      <w:t>OPC60424 - 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B" w:rsidRPr="000E5840" w:rsidRDefault="007A140B" w:rsidP="007A140B">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A140B" w:rsidRPr="000E5840" w:rsidTr="003A27EB">
      <w:tc>
        <w:tcPr>
          <w:tcW w:w="533" w:type="dxa"/>
        </w:tcPr>
        <w:p w:rsidR="007A140B" w:rsidRPr="000E5840" w:rsidRDefault="007A140B" w:rsidP="003A27EB">
          <w:pPr>
            <w:spacing w:line="0" w:lineRule="atLeast"/>
            <w:rPr>
              <w:rFonts w:cs="Times New Roman"/>
              <w:i/>
              <w:sz w:val="18"/>
            </w:rPr>
          </w:pPr>
          <w:r w:rsidRPr="000E5840">
            <w:rPr>
              <w:rFonts w:cs="Times New Roman"/>
              <w:i/>
              <w:sz w:val="18"/>
            </w:rPr>
            <w:fldChar w:fldCharType="begin"/>
          </w:r>
          <w:r w:rsidRPr="000E5840">
            <w:rPr>
              <w:rFonts w:cs="Times New Roman"/>
              <w:i/>
              <w:sz w:val="18"/>
            </w:rPr>
            <w:instrText xml:space="preserve"> PAGE </w:instrText>
          </w:r>
          <w:r w:rsidRPr="000E5840">
            <w:rPr>
              <w:rFonts w:cs="Times New Roman"/>
              <w:i/>
              <w:sz w:val="18"/>
            </w:rPr>
            <w:fldChar w:fldCharType="separate"/>
          </w:r>
          <w:r w:rsidR="00423CAE">
            <w:rPr>
              <w:rFonts w:cs="Times New Roman"/>
              <w:i/>
              <w:noProof/>
              <w:sz w:val="18"/>
            </w:rPr>
            <w:t>2</w:t>
          </w:r>
          <w:r w:rsidRPr="000E5840">
            <w:rPr>
              <w:rFonts w:cs="Times New Roman"/>
              <w:i/>
              <w:sz w:val="18"/>
            </w:rPr>
            <w:fldChar w:fldCharType="end"/>
          </w:r>
        </w:p>
      </w:tc>
      <w:tc>
        <w:tcPr>
          <w:tcW w:w="5387" w:type="dxa"/>
        </w:tcPr>
        <w:p w:rsidR="007A140B" w:rsidRPr="000E5840" w:rsidRDefault="007A140B" w:rsidP="003A27EB">
          <w:pPr>
            <w:spacing w:line="0" w:lineRule="atLeast"/>
            <w:jc w:val="center"/>
            <w:rPr>
              <w:rFonts w:cs="Times New Roman"/>
              <w:i/>
              <w:sz w:val="18"/>
            </w:rPr>
          </w:pPr>
          <w:r w:rsidRPr="000E5840">
            <w:rPr>
              <w:rFonts w:cs="Times New Roman"/>
              <w:i/>
              <w:sz w:val="18"/>
            </w:rPr>
            <w:fldChar w:fldCharType="begin"/>
          </w:r>
          <w:r w:rsidRPr="000E5840">
            <w:rPr>
              <w:rFonts w:cs="Times New Roman"/>
              <w:i/>
              <w:sz w:val="18"/>
            </w:rPr>
            <w:instrText xml:space="preserve"> DOCPROPERTY ShortT </w:instrText>
          </w:r>
          <w:r w:rsidRPr="000E5840">
            <w:rPr>
              <w:rFonts w:cs="Times New Roman"/>
              <w:i/>
              <w:sz w:val="18"/>
            </w:rPr>
            <w:fldChar w:fldCharType="separate"/>
          </w:r>
          <w:r w:rsidR="006C236B">
            <w:rPr>
              <w:rFonts w:cs="Times New Roman"/>
              <w:i/>
              <w:sz w:val="18"/>
            </w:rPr>
            <w:t>Competition and Consumer (Industry Code—Port Terminal Access (Bulk Wheat)) Regulation 2014</w:t>
          </w:r>
          <w:r w:rsidRPr="000E5840">
            <w:rPr>
              <w:rFonts w:cs="Times New Roman"/>
              <w:i/>
              <w:sz w:val="18"/>
            </w:rPr>
            <w:fldChar w:fldCharType="end"/>
          </w:r>
        </w:p>
      </w:tc>
      <w:tc>
        <w:tcPr>
          <w:tcW w:w="1383" w:type="dxa"/>
        </w:tcPr>
        <w:p w:rsidR="007A140B" w:rsidRPr="000E5840" w:rsidRDefault="007A140B" w:rsidP="003A27EB">
          <w:pPr>
            <w:spacing w:line="0" w:lineRule="atLeast"/>
            <w:jc w:val="right"/>
            <w:rPr>
              <w:rFonts w:cs="Times New Roman"/>
              <w:i/>
              <w:sz w:val="18"/>
            </w:rPr>
          </w:pPr>
          <w:r w:rsidRPr="000E5840">
            <w:rPr>
              <w:rFonts w:cs="Times New Roman"/>
              <w:i/>
              <w:sz w:val="18"/>
            </w:rPr>
            <w:fldChar w:fldCharType="begin"/>
          </w:r>
          <w:r w:rsidRPr="000E5840">
            <w:rPr>
              <w:rFonts w:cs="Times New Roman"/>
              <w:i/>
              <w:sz w:val="18"/>
            </w:rPr>
            <w:instrText xml:space="preserve"> DOCPROPERTY ActNo </w:instrText>
          </w:r>
          <w:r w:rsidRPr="000E5840">
            <w:rPr>
              <w:rFonts w:cs="Times New Roman"/>
              <w:i/>
              <w:sz w:val="18"/>
            </w:rPr>
            <w:fldChar w:fldCharType="separate"/>
          </w:r>
          <w:r w:rsidR="006C236B">
            <w:rPr>
              <w:rFonts w:cs="Times New Roman"/>
              <w:i/>
              <w:sz w:val="18"/>
            </w:rPr>
            <w:t>No. 136, 2014</w:t>
          </w:r>
          <w:r w:rsidRPr="000E5840">
            <w:rPr>
              <w:rFonts w:cs="Times New Roman"/>
              <w:i/>
              <w:sz w:val="18"/>
            </w:rPr>
            <w:fldChar w:fldCharType="end"/>
          </w:r>
        </w:p>
      </w:tc>
    </w:tr>
  </w:tbl>
  <w:p w:rsidR="007A140B" w:rsidRPr="000E5840" w:rsidRDefault="000E5840" w:rsidP="000E5840">
    <w:pPr>
      <w:rPr>
        <w:rFonts w:cs="Times New Roman"/>
        <w:i/>
        <w:sz w:val="18"/>
      </w:rPr>
    </w:pPr>
    <w:r w:rsidRPr="000E5840">
      <w:rPr>
        <w:rFonts w:cs="Times New Roman"/>
        <w:i/>
        <w:sz w:val="18"/>
      </w:rPr>
      <w:t>OPC60424 - 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B" w:rsidRPr="002B0EA5" w:rsidRDefault="007A140B" w:rsidP="007A140B">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A140B" w:rsidTr="003A27EB">
      <w:tc>
        <w:tcPr>
          <w:tcW w:w="1383" w:type="dxa"/>
        </w:tcPr>
        <w:p w:rsidR="007A140B" w:rsidRDefault="007A140B" w:rsidP="003A27E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C236B">
            <w:rPr>
              <w:i/>
              <w:sz w:val="18"/>
            </w:rPr>
            <w:t>No. 136, 2014</w:t>
          </w:r>
          <w:r w:rsidRPr="007A1328">
            <w:rPr>
              <w:i/>
              <w:sz w:val="18"/>
            </w:rPr>
            <w:fldChar w:fldCharType="end"/>
          </w:r>
        </w:p>
      </w:tc>
      <w:tc>
        <w:tcPr>
          <w:tcW w:w="5387" w:type="dxa"/>
        </w:tcPr>
        <w:p w:rsidR="007A140B" w:rsidRDefault="007A140B" w:rsidP="003A27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236B">
            <w:rPr>
              <w:i/>
              <w:sz w:val="18"/>
            </w:rPr>
            <w:t>Competition and Consumer (Industry Code—Port Terminal Access (Bulk Wheat)) Regulation 2014</w:t>
          </w:r>
          <w:r w:rsidRPr="007A1328">
            <w:rPr>
              <w:i/>
              <w:sz w:val="18"/>
            </w:rPr>
            <w:fldChar w:fldCharType="end"/>
          </w:r>
        </w:p>
      </w:tc>
      <w:tc>
        <w:tcPr>
          <w:tcW w:w="533" w:type="dxa"/>
        </w:tcPr>
        <w:p w:rsidR="007A140B" w:rsidRDefault="007A140B" w:rsidP="003A27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3CAE">
            <w:rPr>
              <w:i/>
              <w:noProof/>
              <w:sz w:val="18"/>
            </w:rPr>
            <w:t>3</w:t>
          </w:r>
          <w:r w:rsidRPr="00ED79B6">
            <w:rPr>
              <w:i/>
              <w:sz w:val="18"/>
            </w:rPr>
            <w:fldChar w:fldCharType="end"/>
          </w:r>
        </w:p>
      </w:tc>
    </w:tr>
  </w:tbl>
  <w:p w:rsidR="007A140B" w:rsidRPr="00ED79B6" w:rsidRDefault="000E5840" w:rsidP="000E5840">
    <w:pPr>
      <w:rPr>
        <w:i/>
        <w:sz w:val="18"/>
      </w:rPr>
    </w:pPr>
    <w:r w:rsidRPr="000E5840">
      <w:rPr>
        <w:rFonts w:cs="Times New Roman"/>
        <w:i/>
        <w:sz w:val="18"/>
      </w:rPr>
      <w:t>OPC60424 - 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B" w:rsidRPr="002B0EA5" w:rsidRDefault="007A140B" w:rsidP="007A140B">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83"/>
      <w:gridCol w:w="5387"/>
      <w:gridCol w:w="533"/>
    </w:tblGrid>
    <w:tr w:rsidR="007A140B" w:rsidTr="00A11991">
      <w:tc>
        <w:tcPr>
          <w:tcW w:w="1383" w:type="dxa"/>
        </w:tcPr>
        <w:p w:rsidR="007A140B" w:rsidRDefault="007A140B" w:rsidP="00A1199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C236B">
            <w:rPr>
              <w:i/>
              <w:sz w:val="18"/>
            </w:rPr>
            <w:t>No. 136, 2014</w:t>
          </w:r>
          <w:r w:rsidRPr="007A1328">
            <w:rPr>
              <w:i/>
              <w:sz w:val="18"/>
            </w:rPr>
            <w:fldChar w:fldCharType="end"/>
          </w:r>
        </w:p>
      </w:tc>
      <w:tc>
        <w:tcPr>
          <w:tcW w:w="5387" w:type="dxa"/>
        </w:tcPr>
        <w:p w:rsidR="007A140B" w:rsidRDefault="007A140B" w:rsidP="00A119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236B">
            <w:rPr>
              <w:i/>
              <w:sz w:val="18"/>
            </w:rPr>
            <w:t>Competition and Consumer (Industry Code—Port Terminal Access (Bulk Wheat)) Regulation 2014</w:t>
          </w:r>
          <w:r w:rsidRPr="007A1328">
            <w:rPr>
              <w:i/>
              <w:sz w:val="18"/>
            </w:rPr>
            <w:fldChar w:fldCharType="end"/>
          </w:r>
        </w:p>
      </w:tc>
      <w:tc>
        <w:tcPr>
          <w:tcW w:w="533" w:type="dxa"/>
        </w:tcPr>
        <w:p w:rsidR="007A140B" w:rsidRDefault="007A140B" w:rsidP="00A1199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3C18">
            <w:rPr>
              <w:i/>
              <w:noProof/>
              <w:sz w:val="18"/>
            </w:rPr>
            <w:t>31</w:t>
          </w:r>
          <w:r w:rsidRPr="00ED79B6">
            <w:rPr>
              <w:i/>
              <w:sz w:val="18"/>
            </w:rPr>
            <w:fldChar w:fldCharType="end"/>
          </w:r>
        </w:p>
      </w:tc>
    </w:tr>
  </w:tbl>
  <w:p w:rsidR="007A140B" w:rsidRPr="00ED79B6" w:rsidRDefault="007A140B" w:rsidP="007A140B">
    <w:pPr>
      <w:rPr>
        <w:i/>
        <w:sz w:val="18"/>
      </w:rPr>
    </w:pPr>
  </w:p>
  <w:p w:rsidR="007A140B" w:rsidRPr="007A140B" w:rsidRDefault="007A140B" w:rsidP="007A140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Pr="000E5840" w:rsidRDefault="00B07115" w:rsidP="00B07115">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07115" w:rsidRPr="000E5840" w:rsidTr="00F53F8D">
      <w:tc>
        <w:tcPr>
          <w:tcW w:w="533" w:type="dxa"/>
        </w:tcPr>
        <w:p w:rsidR="00B07115" w:rsidRPr="000E5840" w:rsidRDefault="00B07115" w:rsidP="00F53F8D">
          <w:pPr>
            <w:spacing w:line="0" w:lineRule="atLeast"/>
            <w:rPr>
              <w:rFonts w:cs="Times New Roman"/>
              <w:i/>
              <w:sz w:val="18"/>
            </w:rPr>
          </w:pPr>
          <w:r w:rsidRPr="000E5840">
            <w:rPr>
              <w:rFonts w:cs="Times New Roman"/>
              <w:i/>
              <w:sz w:val="18"/>
            </w:rPr>
            <w:fldChar w:fldCharType="begin"/>
          </w:r>
          <w:r w:rsidRPr="000E5840">
            <w:rPr>
              <w:rFonts w:cs="Times New Roman"/>
              <w:i/>
              <w:sz w:val="18"/>
            </w:rPr>
            <w:instrText xml:space="preserve"> PAGE </w:instrText>
          </w:r>
          <w:r w:rsidRPr="000E5840">
            <w:rPr>
              <w:rFonts w:cs="Times New Roman"/>
              <w:i/>
              <w:sz w:val="18"/>
            </w:rPr>
            <w:fldChar w:fldCharType="separate"/>
          </w:r>
          <w:r w:rsidR="00423CAE">
            <w:rPr>
              <w:rFonts w:cs="Times New Roman"/>
              <w:i/>
              <w:noProof/>
              <w:sz w:val="18"/>
            </w:rPr>
            <w:t>32</w:t>
          </w:r>
          <w:r w:rsidRPr="000E5840">
            <w:rPr>
              <w:rFonts w:cs="Times New Roman"/>
              <w:i/>
              <w:sz w:val="18"/>
            </w:rPr>
            <w:fldChar w:fldCharType="end"/>
          </w:r>
        </w:p>
      </w:tc>
      <w:tc>
        <w:tcPr>
          <w:tcW w:w="5387" w:type="dxa"/>
        </w:tcPr>
        <w:p w:rsidR="00B07115" w:rsidRPr="000E5840" w:rsidRDefault="00B07115" w:rsidP="00F53F8D">
          <w:pPr>
            <w:spacing w:line="0" w:lineRule="atLeast"/>
            <w:jc w:val="center"/>
            <w:rPr>
              <w:rFonts w:cs="Times New Roman"/>
              <w:i/>
              <w:sz w:val="18"/>
            </w:rPr>
          </w:pPr>
          <w:r w:rsidRPr="000E5840">
            <w:rPr>
              <w:rFonts w:cs="Times New Roman"/>
              <w:i/>
              <w:sz w:val="18"/>
            </w:rPr>
            <w:fldChar w:fldCharType="begin"/>
          </w:r>
          <w:r w:rsidRPr="000E5840">
            <w:rPr>
              <w:rFonts w:cs="Times New Roman"/>
              <w:i/>
              <w:sz w:val="18"/>
            </w:rPr>
            <w:instrText xml:space="preserve"> DOCPROPERTY ShortT </w:instrText>
          </w:r>
          <w:r w:rsidRPr="000E5840">
            <w:rPr>
              <w:rFonts w:cs="Times New Roman"/>
              <w:i/>
              <w:sz w:val="18"/>
            </w:rPr>
            <w:fldChar w:fldCharType="separate"/>
          </w:r>
          <w:r w:rsidR="006C236B">
            <w:rPr>
              <w:rFonts w:cs="Times New Roman"/>
              <w:i/>
              <w:sz w:val="18"/>
            </w:rPr>
            <w:t>Competition and Consumer (Industry Code—Port Terminal Access (Bulk Wheat)) Regulation 2014</w:t>
          </w:r>
          <w:r w:rsidRPr="000E5840">
            <w:rPr>
              <w:rFonts w:cs="Times New Roman"/>
              <w:i/>
              <w:sz w:val="18"/>
            </w:rPr>
            <w:fldChar w:fldCharType="end"/>
          </w:r>
        </w:p>
      </w:tc>
      <w:tc>
        <w:tcPr>
          <w:tcW w:w="1383" w:type="dxa"/>
        </w:tcPr>
        <w:p w:rsidR="00B07115" w:rsidRPr="000E5840" w:rsidRDefault="00B07115" w:rsidP="00F53F8D">
          <w:pPr>
            <w:spacing w:line="0" w:lineRule="atLeast"/>
            <w:jc w:val="right"/>
            <w:rPr>
              <w:rFonts w:cs="Times New Roman"/>
              <w:i/>
              <w:sz w:val="18"/>
            </w:rPr>
          </w:pPr>
          <w:r w:rsidRPr="000E5840">
            <w:rPr>
              <w:rFonts w:cs="Times New Roman"/>
              <w:i/>
              <w:sz w:val="18"/>
            </w:rPr>
            <w:fldChar w:fldCharType="begin"/>
          </w:r>
          <w:r w:rsidRPr="000E5840">
            <w:rPr>
              <w:rFonts w:cs="Times New Roman"/>
              <w:i/>
              <w:sz w:val="18"/>
            </w:rPr>
            <w:instrText xml:space="preserve"> DOCPROPERTY ActNo </w:instrText>
          </w:r>
          <w:r w:rsidRPr="000E5840">
            <w:rPr>
              <w:rFonts w:cs="Times New Roman"/>
              <w:i/>
              <w:sz w:val="18"/>
            </w:rPr>
            <w:fldChar w:fldCharType="separate"/>
          </w:r>
          <w:r w:rsidR="006C236B">
            <w:rPr>
              <w:rFonts w:cs="Times New Roman"/>
              <w:i/>
              <w:sz w:val="18"/>
            </w:rPr>
            <w:t>No. 136, 2014</w:t>
          </w:r>
          <w:r w:rsidRPr="000E5840">
            <w:rPr>
              <w:rFonts w:cs="Times New Roman"/>
              <w:i/>
              <w:sz w:val="18"/>
            </w:rPr>
            <w:fldChar w:fldCharType="end"/>
          </w:r>
        </w:p>
      </w:tc>
    </w:tr>
  </w:tbl>
  <w:p w:rsidR="00B07115" w:rsidRPr="000E5840" w:rsidRDefault="000E5840" w:rsidP="000E5840">
    <w:pPr>
      <w:rPr>
        <w:rFonts w:cs="Times New Roman"/>
        <w:i/>
        <w:sz w:val="18"/>
      </w:rPr>
    </w:pPr>
    <w:r w:rsidRPr="000E5840">
      <w:rPr>
        <w:rFonts w:cs="Times New Roman"/>
        <w:i/>
        <w:sz w:val="18"/>
      </w:rPr>
      <w:t>OPC60424 - 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E69" w:rsidRDefault="005C5E69" w:rsidP="00715914">
      <w:pPr>
        <w:spacing w:line="240" w:lineRule="auto"/>
      </w:pPr>
      <w:r>
        <w:separator/>
      </w:r>
    </w:p>
  </w:footnote>
  <w:footnote w:type="continuationSeparator" w:id="0">
    <w:p w:rsidR="005C5E69" w:rsidRDefault="005C5E6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Pr="005F1388" w:rsidRDefault="00B07115" w:rsidP="00B07115">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Default="00B07115" w:rsidP="00B07115">
    <w:pPr>
      <w:rPr>
        <w:sz w:val="20"/>
      </w:rPr>
    </w:pPr>
    <w:r w:rsidRPr="007A1328">
      <w:rPr>
        <w:b/>
        <w:sz w:val="20"/>
      </w:rPr>
      <w:fldChar w:fldCharType="begin"/>
    </w:r>
    <w:r w:rsidRPr="007A1328">
      <w:rPr>
        <w:b/>
        <w:sz w:val="20"/>
      </w:rPr>
      <w:instrText xml:space="preserve"> STYLEREF CharChapNo </w:instrText>
    </w:r>
    <w:r w:rsidR="00423CAE">
      <w:rPr>
        <w:b/>
        <w:sz w:val="20"/>
      </w:rPr>
      <w:fldChar w:fldCharType="separate"/>
    </w:r>
    <w:r w:rsidR="00423CA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423CAE">
      <w:rPr>
        <w:sz w:val="20"/>
      </w:rPr>
      <w:fldChar w:fldCharType="separate"/>
    </w:r>
    <w:r w:rsidR="00423CAE">
      <w:rPr>
        <w:noProof/>
        <w:sz w:val="20"/>
      </w:rPr>
      <w:t>Port Terminal Access (Bulk Wheat) Code of Conduct</w:t>
    </w:r>
    <w:r>
      <w:rPr>
        <w:sz w:val="20"/>
      </w:rPr>
      <w:fldChar w:fldCharType="end"/>
    </w:r>
  </w:p>
  <w:p w:rsidR="00B07115" w:rsidRDefault="00B07115" w:rsidP="00B07115">
    <w:pPr>
      <w:rPr>
        <w:sz w:val="20"/>
      </w:rPr>
    </w:pPr>
    <w:r w:rsidRPr="007A1328">
      <w:rPr>
        <w:b/>
        <w:sz w:val="20"/>
      </w:rPr>
      <w:fldChar w:fldCharType="begin"/>
    </w:r>
    <w:r w:rsidRPr="007A1328">
      <w:rPr>
        <w:b/>
        <w:sz w:val="20"/>
      </w:rPr>
      <w:instrText xml:space="preserve"> STYLEREF CharPartNo </w:instrText>
    </w:r>
    <w:r w:rsidR="00423CAE">
      <w:rPr>
        <w:b/>
        <w:sz w:val="20"/>
      </w:rPr>
      <w:fldChar w:fldCharType="separate"/>
    </w:r>
    <w:r w:rsidR="00423CAE">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23CAE">
      <w:rPr>
        <w:sz w:val="20"/>
      </w:rPr>
      <w:fldChar w:fldCharType="separate"/>
    </w:r>
    <w:r w:rsidR="00423CAE">
      <w:rPr>
        <w:noProof/>
        <w:sz w:val="20"/>
      </w:rPr>
      <w:t>Record keeping</w:t>
    </w:r>
    <w:r>
      <w:rPr>
        <w:sz w:val="20"/>
      </w:rPr>
      <w:fldChar w:fldCharType="end"/>
    </w:r>
  </w:p>
  <w:p w:rsidR="00B07115" w:rsidRPr="007A1328" w:rsidRDefault="00B07115" w:rsidP="00B0711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07115" w:rsidRPr="007A1328" w:rsidRDefault="00B07115" w:rsidP="00B07115">
    <w:pPr>
      <w:rPr>
        <w:b/>
        <w:sz w:val="24"/>
      </w:rPr>
    </w:pPr>
  </w:p>
  <w:p w:rsidR="00B07115" w:rsidRPr="007A1328" w:rsidRDefault="007A140B" w:rsidP="00B07115">
    <w:pPr>
      <w:pBdr>
        <w:bottom w:val="single" w:sz="6" w:space="1" w:color="auto"/>
      </w:pBdr>
      <w:spacing w:after="120"/>
      <w:rPr>
        <w:sz w:val="24"/>
      </w:rPr>
    </w:pPr>
    <w:r>
      <w:rPr>
        <w:sz w:val="24"/>
      </w:rPr>
      <w:t>Clause</w:t>
    </w:r>
    <w:r w:rsidR="00B07115">
      <w:rPr>
        <w:sz w:val="24"/>
      </w:rPr>
      <w:t xml:space="preserve"> </w:t>
    </w:r>
    <w:r w:rsidR="00B07115" w:rsidRPr="007A1328">
      <w:rPr>
        <w:sz w:val="24"/>
      </w:rPr>
      <w:fldChar w:fldCharType="begin"/>
    </w:r>
    <w:r w:rsidR="00B07115" w:rsidRPr="007A1328">
      <w:rPr>
        <w:sz w:val="24"/>
      </w:rPr>
      <w:instrText xml:space="preserve"> STYLEREF CharSectno </w:instrText>
    </w:r>
    <w:r w:rsidR="00B07115" w:rsidRPr="007A1328">
      <w:rPr>
        <w:sz w:val="24"/>
      </w:rPr>
      <w:fldChar w:fldCharType="separate"/>
    </w:r>
    <w:r w:rsidR="00423CAE">
      <w:rPr>
        <w:noProof/>
        <w:sz w:val="24"/>
      </w:rPr>
      <w:t>33</w:t>
    </w:r>
    <w:r w:rsidR="00B07115"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Pr="007A1328" w:rsidRDefault="00B07115" w:rsidP="00B07115">
    <w:pPr>
      <w:jc w:val="right"/>
      <w:rPr>
        <w:sz w:val="20"/>
      </w:rPr>
    </w:pPr>
    <w:r w:rsidRPr="007A1328">
      <w:rPr>
        <w:sz w:val="20"/>
      </w:rPr>
      <w:fldChar w:fldCharType="begin"/>
    </w:r>
    <w:r w:rsidRPr="007A1328">
      <w:rPr>
        <w:sz w:val="20"/>
      </w:rPr>
      <w:instrText xml:space="preserve"> STYLEREF CharChapText </w:instrText>
    </w:r>
    <w:r w:rsidR="00423CAE">
      <w:rPr>
        <w:sz w:val="20"/>
      </w:rPr>
      <w:fldChar w:fldCharType="separate"/>
    </w:r>
    <w:r w:rsidR="00423CAE">
      <w:rPr>
        <w:noProof/>
        <w:sz w:val="20"/>
      </w:rPr>
      <w:t>Port Terminal Access (Bulk Wheat) Code of Conduct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423CAE">
      <w:rPr>
        <w:b/>
        <w:sz w:val="20"/>
      </w:rPr>
      <w:fldChar w:fldCharType="separate"/>
    </w:r>
    <w:r w:rsidR="00423CAE">
      <w:rPr>
        <w:b/>
        <w:noProof/>
        <w:sz w:val="20"/>
      </w:rPr>
      <w:t>Schedule 1</w:t>
    </w:r>
    <w:r>
      <w:rPr>
        <w:b/>
        <w:sz w:val="20"/>
      </w:rPr>
      <w:fldChar w:fldCharType="end"/>
    </w:r>
  </w:p>
  <w:p w:rsidR="00B07115" w:rsidRPr="007A1328" w:rsidRDefault="00B07115" w:rsidP="00B07115">
    <w:pPr>
      <w:jc w:val="right"/>
      <w:rPr>
        <w:sz w:val="20"/>
      </w:rPr>
    </w:pPr>
    <w:r w:rsidRPr="007A1328">
      <w:rPr>
        <w:sz w:val="20"/>
      </w:rPr>
      <w:fldChar w:fldCharType="begin"/>
    </w:r>
    <w:r w:rsidRPr="007A1328">
      <w:rPr>
        <w:sz w:val="20"/>
      </w:rPr>
      <w:instrText xml:space="preserve"> STYLEREF CharPartText </w:instrText>
    </w:r>
    <w:r w:rsidR="00423CAE">
      <w:rPr>
        <w:sz w:val="20"/>
      </w:rPr>
      <w:fldChar w:fldCharType="separate"/>
    </w:r>
    <w:r w:rsidR="00423CAE">
      <w:rPr>
        <w:noProof/>
        <w:sz w:val="20"/>
      </w:rPr>
      <w:t>Record keeping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23CAE">
      <w:rPr>
        <w:b/>
        <w:sz w:val="20"/>
      </w:rPr>
      <w:fldChar w:fldCharType="separate"/>
    </w:r>
    <w:r w:rsidR="00423CAE">
      <w:rPr>
        <w:b/>
        <w:noProof/>
        <w:sz w:val="20"/>
      </w:rPr>
      <w:t>Part 6</w:t>
    </w:r>
    <w:r>
      <w:rPr>
        <w:b/>
        <w:sz w:val="20"/>
      </w:rPr>
      <w:fldChar w:fldCharType="end"/>
    </w:r>
  </w:p>
  <w:p w:rsidR="00B07115" w:rsidRPr="007A1328" w:rsidRDefault="00B07115" w:rsidP="00B0711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07115" w:rsidRPr="007A1328" w:rsidRDefault="00B07115" w:rsidP="00B07115">
    <w:pPr>
      <w:jc w:val="right"/>
      <w:rPr>
        <w:b/>
        <w:sz w:val="24"/>
      </w:rPr>
    </w:pPr>
  </w:p>
  <w:p w:rsidR="00B07115" w:rsidRPr="007A1328" w:rsidRDefault="007A140B" w:rsidP="00B07115">
    <w:pPr>
      <w:pBdr>
        <w:bottom w:val="single" w:sz="6" w:space="1" w:color="auto"/>
      </w:pBdr>
      <w:spacing w:after="120"/>
      <w:jc w:val="right"/>
      <w:rPr>
        <w:sz w:val="24"/>
      </w:rPr>
    </w:pPr>
    <w:r>
      <w:rPr>
        <w:sz w:val="24"/>
      </w:rPr>
      <w:t>Clause</w:t>
    </w:r>
    <w:r w:rsidR="00B07115" w:rsidRPr="007A1328">
      <w:rPr>
        <w:sz w:val="24"/>
      </w:rPr>
      <w:t xml:space="preserve"> </w:t>
    </w:r>
    <w:r w:rsidR="00B07115" w:rsidRPr="007A1328">
      <w:rPr>
        <w:sz w:val="24"/>
      </w:rPr>
      <w:fldChar w:fldCharType="begin"/>
    </w:r>
    <w:r w:rsidR="00B07115" w:rsidRPr="007A1328">
      <w:rPr>
        <w:sz w:val="24"/>
      </w:rPr>
      <w:instrText xml:space="preserve"> STYLEREF CharSectno </w:instrText>
    </w:r>
    <w:r w:rsidR="00B07115" w:rsidRPr="007A1328">
      <w:rPr>
        <w:sz w:val="24"/>
      </w:rPr>
      <w:fldChar w:fldCharType="separate"/>
    </w:r>
    <w:r w:rsidR="00423CAE">
      <w:rPr>
        <w:noProof/>
        <w:sz w:val="24"/>
      </w:rPr>
      <w:t>31</w:t>
    </w:r>
    <w:r w:rsidR="00B07115"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Pr="007A1328" w:rsidRDefault="00B07115" w:rsidP="00B0711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69" w:rsidRDefault="005C5E6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C236B">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C236B">
      <w:rPr>
        <w:noProof/>
        <w:sz w:val="20"/>
      </w:rPr>
      <w:t>Port Terminal Access (Bulk Wheat) Code of Conduct</w:t>
    </w:r>
    <w:r>
      <w:rPr>
        <w:sz w:val="20"/>
      </w:rPr>
      <w:fldChar w:fldCharType="end"/>
    </w:r>
  </w:p>
  <w:p w:rsidR="005C5E69" w:rsidRDefault="005C5E6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C236B">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C236B">
      <w:rPr>
        <w:noProof/>
        <w:sz w:val="20"/>
      </w:rPr>
      <w:t>Record keeping</w:t>
    </w:r>
    <w:r>
      <w:rPr>
        <w:sz w:val="20"/>
      </w:rPr>
      <w:fldChar w:fldCharType="end"/>
    </w:r>
  </w:p>
  <w:p w:rsidR="005C5E69" w:rsidRPr="007A1328" w:rsidRDefault="005C5E6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C5E69" w:rsidRPr="007A1328" w:rsidRDefault="005C5E69" w:rsidP="00715914">
    <w:pPr>
      <w:rPr>
        <w:b/>
        <w:sz w:val="24"/>
      </w:rPr>
    </w:pPr>
  </w:p>
  <w:p w:rsidR="005C5E69" w:rsidRPr="007A1328" w:rsidRDefault="005C5E69" w:rsidP="00121EB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C236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C236B">
      <w:rPr>
        <w:noProof/>
        <w:sz w:val="24"/>
      </w:rPr>
      <w:t>33</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69" w:rsidRPr="007A1328" w:rsidRDefault="005C5E6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C236B">
      <w:rPr>
        <w:noProof/>
        <w:sz w:val="20"/>
      </w:rPr>
      <w:t>Port Terminal Access (Bulk Wheat) Code of Conduct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C236B">
      <w:rPr>
        <w:b/>
        <w:noProof/>
        <w:sz w:val="20"/>
      </w:rPr>
      <w:t>Schedule 1</w:t>
    </w:r>
    <w:r>
      <w:rPr>
        <w:b/>
        <w:sz w:val="20"/>
      </w:rPr>
      <w:fldChar w:fldCharType="end"/>
    </w:r>
  </w:p>
  <w:p w:rsidR="005C5E69" w:rsidRPr="007A1328" w:rsidRDefault="005C5E6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C236B">
      <w:rPr>
        <w:noProof/>
        <w:sz w:val="20"/>
      </w:rPr>
      <w:t>Record keeping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C236B">
      <w:rPr>
        <w:b/>
        <w:noProof/>
        <w:sz w:val="20"/>
      </w:rPr>
      <w:t>Part 6</w:t>
    </w:r>
    <w:r>
      <w:rPr>
        <w:b/>
        <w:sz w:val="20"/>
      </w:rPr>
      <w:fldChar w:fldCharType="end"/>
    </w:r>
  </w:p>
  <w:p w:rsidR="005C5E69" w:rsidRPr="007A1328" w:rsidRDefault="005C5E6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C5E69" w:rsidRPr="007A1328" w:rsidRDefault="005C5E69" w:rsidP="00715914">
    <w:pPr>
      <w:jc w:val="right"/>
      <w:rPr>
        <w:b/>
        <w:sz w:val="24"/>
      </w:rPr>
    </w:pPr>
  </w:p>
  <w:p w:rsidR="005C5E69" w:rsidRPr="007A1328" w:rsidRDefault="005C5E69" w:rsidP="00192D2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C236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C236B">
      <w:rPr>
        <w:noProof/>
        <w:sz w:val="24"/>
      </w:rPr>
      <w:t>33</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69" w:rsidRPr="007A1328" w:rsidRDefault="005C5E69"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Pr="005F1388" w:rsidRDefault="00B07115" w:rsidP="00B07115">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Pr="005F1388" w:rsidRDefault="00B07115" w:rsidP="00B0711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Pr="00ED79B6" w:rsidRDefault="00B07115" w:rsidP="00B07115">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Pr="00ED79B6" w:rsidRDefault="00B07115" w:rsidP="00B07115">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15" w:rsidRPr="00ED79B6" w:rsidRDefault="00B07115" w:rsidP="00B0711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B" w:rsidRDefault="007A140B" w:rsidP="003A27E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A140B" w:rsidRDefault="007A140B" w:rsidP="003A27E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A140B" w:rsidRPr="007A1328" w:rsidRDefault="007A140B" w:rsidP="003A27E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A140B" w:rsidRPr="007A1328" w:rsidRDefault="007A140B" w:rsidP="003A27EB">
    <w:pPr>
      <w:rPr>
        <w:b/>
        <w:sz w:val="24"/>
      </w:rPr>
    </w:pPr>
  </w:p>
  <w:p w:rsidR="007A140B" w:rsidRPr="007A1328" w:rsidRDefault="007A140B" w:rsidP="007A140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C236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3CAE">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B" w:rsidRPr="007A1328" w:rsidRDefault="007A140B" w:rsidP="003A27E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A140B" w:rsidRPr="007A1328" w:rsidRDefault="007A140B" w:rsidP="003A27E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A140B" w:rsidRPr="007A1328" w:rsidRDefault="007A140B" w:rsidP="003A27E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A140B" w:rsidRPr="007A1328" w:rsidRDefault="007A140B" w:rsidP="003A27EB">
    <w:pPr>
      <w:jc w:val="right"/>
      <w:rPr>
        <w:b/>
        <w:sz w:val="24"/>
      </w:rPr>
    </w:pPr>
  </w:p>
  <w:p w:rsidR="007A140B" w:rsidRPr="007A1328" w:rsidRDefault="007A140B" w:rsidP="007A140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C236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3CAE">
      <w:rPr>
        <w:noProof/>
        <w:sz w:val="24"/>
      </w:rPr>
      <w:t>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0B" w:rsidRPr="007A1328" w:rsidRDefault="007A140B" w:rsidP="003A27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lvlText w:val="%1."/>
      <w:lvlJc w:val="left"/>
      <w:pPr>
        <w:tabs>
          <w:tab w:val="num" w:pos="1492"/>
        </w:tabs>
        <w:ind w:left="1492" w:hanging="360"/>
      </w:pPr>
    </w:lvl>
  </w:abstractNum>
  <w:abstractNum w:abstractNumId="1">
    <w:nsid w:val="FFFFFF7D"/>
    <w:multiLevelType w:val="singleLevel"/>
    <w:tmpl w:val="A7A62182"/>
    <w:lvl w:ilvl="0">
      <w:start w:val="1"/>
      <w:numFmt w:val="decimal"/>
      <w:lvlText w:val="%1."/>
      <w:lvlJc w:val="left"/>
      <w:pPr>
        <w:tabs>
          <w:tab w:val="num" w:pos="1209"/>
        </w:tabs>
        <w:ind w:left="1209" w:hanging="360"/>
      </w:pPr>
    </w:lvl>
  </w:abstractNum>
  <w:abstractNum w:abstractNumId="2">
    <w:nsid w:val="FFFFFF7E"/>
    <w:multiLevelType w:val="singleLevel"/>
    <w:tmpl w:val="9A02B066"/>
    <w:lvl w:ilvl="0">
      <w:start w:val="1"/>
      <w:numFmt w:val="decimal"/>
      <w:lvlText w:val="%1."/>
      <w:lvlJc w:val="left"/>
      <w:pPr>
        <w:tabs>
          <w:tab w:val="num" w:pos="926"/>
        </w:tabs>
        <w:ind w:left="926" w:hanging="360"/>
      </w:pPr>
    </w:lvl>
  </w:abstractNum>
  <w:abstractNum w:abstractNumId="3">
    <w:nsid w:val="FFFFFF7F"/>
    <w:multiLevelType w:val="singleLevel"/>
    <w:tmpl w:val="B2200608"/>
    <w:lvl w:ilvl="0">
      <w:start w:val="1"/>
      <w:numFmt w:val="decimal"/>
      <w:lvlText w:val="%1."/>
      <w:lvlJc w:val="left"/>
      <w:pPr>
        <w:tabs>
          <w:tab w:val="num" w:pos="643"/>
        </w:tabs>
        <w:ind w:left="643" w:hanging="360"/>
      </w:pPr>
    </w:lvl>
  </w:abstractNum>
  <w:abstractNum w:abstractNumId="4">
    <w:nsid w:val="FFFFFF80"/>
    <w:multiLevelType w:val="singleLevel"/>
    <w:tmpl w:val="4F829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lvlText w:val="%1."/>
      <w:lvlJc w:val="left"/>
      <w:pPr>
        <w:tabs>
          <w:tab w:val="num" w:pos="360"/>
        </w:tabs>
        <w:ind w:left="360" w:hanging="360"/>
      </w:pPr>
    </w:lvl>
  </w:abstractNum>
  <w:abstractNum w:abstractNumId="9">
    <w:nsid w:val="FFFFFF89"/>
    <w:multiLevelType w:val="singleLevel"/>
    <w:tmpl w:val="800CD8F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BF"/>
    <w:rsid w:val="000019A2"/>
    <w:rsid w:val="00002F88"/>
    <w:rsid w:val="00003E72"/>
    <w:rsid w:val="00005FDB"/>
    <w:rsid w:val="000136AF"/>
    <w:rsid w:val="000136B3"/>
    <w:rsid w:val="0001677D"/>
    <w:rsid w:val="00016AF7"/>
    <w:rsid w:val="00017892"/>
    <w:rsid w:val="00022C9C"/>
    <w:rsid w:val="00023C18"/>
    <w:rsid w:val="000261AE"/>
    <w:rsid w:val="0002797B"/>
    <w:rsid w:val="000306A6"/>
    <w:rsid w:val="00031DA8"/>
    <w:rsid w:val="00032D08"/>
    <w:rsid w:val="00032FE9"/>
    <w:rsid w:val="00033EAB"/>
    <w:rsid w:val="00034097"/>
    <w:rsid w:val="00035A96"/>
    <w:rsid w:val="000403B8"/>
    <w:rsid w:val="00040ED7"/>
    <w:rsid w:val="00041D4A"/>
    <w:rsid w:val="000437A4"/>
    <w:rsid w:val="00044108"/>
    <w:rsid w:val="00044E85"/>
    <w:rsid w:val="00047395"/>
    <w:rsid w:val="000508EF"/>
    <w:rsid w:val="000511F7"/>
    <w:rsid w:val="0005348C"/>
    <w:rsid w:val="00055803"/>
    <w:rsid w:val="00056B06"/>
    <w:rsid w:val="0005710D"/>
    <w:rsid w:val="00057C37"/>
    <w:rsid w:val="00060283"/>
    <w:rsid w:val="00061256"/>
    <w:rsid w:val="000614BF"/>
    <w:rsid w:val="00062005"/>
    <w:rsid w:val="000637E1"/>
    <w:rsid w:val="000645A2"/>
    <w:rsid w:val="0006514D"/>
    <w:rsid w:val="00065E87"/>
    <w:rsid w:val="00066ADD"/>
    <w:rsid w:val="00070478"/>
    <w:rsid w:val="000713C8"/>
    <w:rsid w:val="0007491D"/>
    <w:rsid w:val="00077F4A"/>
    <w:rsid w:val="000834BC"/>
    <w:rsid w:val="000844B8"/>
    <w:rsid w:val="00084561"/>
    <w:rsid w:val="00085687"/>
    <w:rsid w:val="00085B0B"/>
    <w:rsid w:val="0008619D"/>
    <w:rsid w:val="000921E1"/>
    <w:rsid w:val="00092EBB"/>
    <w:rsid w:val="00097C35"/>
    <w:rsid w:val="000A2F04"/>
    <w:rsid w:val="000A4015"/>
    <w:rsid w:val="000A501D"/>
    <w:rsid w:val="000A5E53"/>
    <w:rsid w:val="000A6C6A"/>
    <w:rsid w:val="000B0864"/>
    <w:rsid w:val="000B0CEA"/>
    <w:rsid w:val="000B325C"/>
    <w:rsid w:val="000B5C70"/>
    <w:rsid w:val="000B64D1"/>
    <w:rsid w:val="000B6BDC"/>
    <w:rsid w:val="000B788D"/>
    <w:rsid w:val="000B7D8D"/>
    <w:rsid w:val="000C2761"/>
    <w:rsid w:val="000C3B59"/>
    <w:rsid w:val="000C57E4"/>
    <w:rsid w:val="000C7F09"/>
    <w:rsid w:val="000D05EF"/>
    <w:rsid w:val="000D1700"/>
    <w:rsid w:val="000D1C19"/>
    <w:rsid w:val="000D23E8"/>
    <w:rsid w:val="000D3117"/>
    <w:rsid w:val="000D39E2"/>
    <w:rsid w:val="000D4D81"/>
    <w:rsid w:val="000D4E75"/>
    <w:rsid w:val="000D6D50"/>
    <w:rsid w:val="000D7001"/>
    <w:rsid w:val="000D76D3"/>
    <w:rsid w:val="000E1A3F"/>
    <w:rsid w:val="000E2261"/>
    <w:rsid w:val="000E2478"/>
    <w:rsid w:val="000E4706"/>
    <w:rsid w:val="000E47C6"/>
    <w:rsid w:val="000E4CE9"/>
    <w:rsid w:val="000E4DF3"/>
    <w:rsid w:val="000E551E"/>
    <w:rsid w:val="000E5840"/>
    <w:rsid w:val="000E7A3D"/>
    <w:rsid w:val="000F0174"/>
    <w:rsid w:val="000F07B3"/>
    <w:rsid w:val="000F1CBE"/>
    <w:rsid w:val="000F1EA6"/>
    <w:rsid w:val="000F21C1"/>
    <w:rsid w:val="000F2AA9"/>
    <w:rsid w:val="000F324E"/>
    <w:rsid w:val="0010188E"/>
    <w:rsid w:val="001024A5"/>
    <w:rsid w:val="001034F1"/>
    <w:rsid w:val="00103C1C"/>
    <w:rsid w:val="00106A31"/>
    <w:rsid w:val="0010745C"/>
    <w:rsid w:val="0010766B"/>
    <w:rsid w:val="001112EF"/>
    <w:rsid w:val="0011289E"/>
    <w:rsid w:val="00112C34"/>
    <w:rsid w:val="00116547"/>
    <w:rsid w:val="00116D9C"/>
    <w:rsid w:val="00117390"/>
    <w:rsid w:val="00117AFE"/>
    <w:rsid w:val="001209CE"/>
    <w:rsid w:val="00121963"/>
    <w:rsid w:val="00121EB8"/>
    <w:rsid w:val="00123BCD"/>
    <w:rsid w:val="00125E23"/>
    <w:rsid w:val="00126FF7"/>
    <w:rsid w:val="001311FD"/>
    <w:rsid w:val="0013666F"/>
    <w:rsid w:val="001372C0"/>
    <w:rsid w:val="00141EAA"/>
    <w:rsid w:val="00143BC7"/>
    <w:rsid w:val="00143D58"/>
    <w:rsid w:val="001441BA"/>
    <w:rsid w:val="00144E11"/>
    <w:rsid w:val="00145130"/>
    <w:rsid w:val="0014542C"/>
    <w:rsid w:val="00146E61"/>
    <w:rsid w:val="001475B8"/>
    <w:rsid w:val="00151650"/>
    <w:rsid w:val="00151E10"/>
    <w:rsid w:val="00151EDE"/>
    <w:rsid w:val="001524A4"/>
    <w:rsid w:val="00154EB1"/>
    <w:rsid w:val="001564EC"/>
    <w:rsid w:val="0016125C"/>
    <w:rsid w:val="00161B33"/>
    <w:rsid w:val="00161F4F"/>
    <w:rsid w:val="00162C78"/>
    <w:rsid w:val="001639E1"/>
    <w:rsid w:val="00163B07"/>
    <w:rsid w:val="00163F76"/>
    <w:rsid w:val="0016458D"/>
    <w:rsid w:val="0016629C"/>
    <w:rsid w:val="00166C2F"/>
    <w:rsid w:val="0017102F"/>
    <w:rsid w:val="001718FF"/>
    <w:rsid w:val="00172232"/>
    <w:rsid w:val="00174B90"/>
    <w:rsid w:val="0017517E"/>
    <w:rsid w:val="00175607"/>
    <w:rsid w:val="00177552"/>
    <w:rsid w:val="001801CE"/>
    <w:rsid w:val="00182D1C"/>
    <w:rsid w:val="001838C6"/>
    <w:rsid w:val="001844F0"/>
    <w:rsid w:val="0018773C"/>
    <w:rsid w:val="00190377"/>
    <w:rsid w:val="00192D25"/>
    <w:rsid w:val="001939E1"/>
    <w:rsid w:val="00195382"/>
    <w:rsid w:val="001954C6"/>
    <w:rsid w:val="00195BDA"/>
    <w:rsid w:val="0019758C"/>
    <w:rsid w:val="001A0072"/>
    <w:rsid w:val="001A1939"/>
    <w:rsid w:val="001A1E0E"/>
    <w:rsid w:val="001A3DED"/>
    <w:rsid w:val="001A6F73"/>
    <w:rsid w:val="001B0DC0"/>
    <w:rsid w:val="001B39BC"/>
    <w:rsid w:val="001B4B49"/>
    <w:rsid w:val="001B693A"/>
    <w:rsid w:val="001B6F2A"/>
    <w:rsid w:val="001C2CE5"/>
    <w:rsid w:val="001C3799"/>
    <w:rsid w:val="001C3B42"/>
    <w:rsid w:val="001C5F34"/>
    <w:rsid w:val="001C69C4"/>
    <w:rsid w:val="001C751B"/>
    <w:rsid w:val="001D01C2"/>
    <w:rsid w:val="001D15FE"/>
    <w:rsid w:val="001D1A9D"/>
    <w:rsid w:val="001D1FAF"/>
    <w:rsid w:val="001D37EF"/>
    <w:rsid w:val="001D3E6C"/>
    <w:rsid w:val="001D7DA4"/>
    <w:rsid w:val="001E15E5"/>
    <w:rsid w:val="001E3590"/>
    <w:rsid w:val="001E3B7A"/>
    <w:rsid w:val="001E3E0B"/>
    <w:rsid w:val="001E4ECC"/>
    <w:rsid w:val="001E624F"/>
    <w:rsid w:val="001E6525"/>
    <w:rsid w:val="001E7407"/>
    <w:rsid w:val="001F0697"/>
    <w:rsid w:val="001F17B7"/>
    <w:rsid w:val="001F2201"/>
    <w:rsid w:val="001F3C53"/>
    <w:rsid w:val="001F5D5E"/>
    <w:rsid w:val="001F6219"/>
    <w:rsid w:val="0020071D"/>
    <w:rsid w:val="002010F1"/>
    <w:rsid w:val="00206D85"/>
    <w:rsid w:val="00207D47"/>
    <w:rsid w:val="00211848"/>
    <w:rsid w:val="002130B6"/>
    <w:rsid w:val="00214D06"/>
    <w:rsid w:val="002158F9"/>
    <w:rsid w:val="002162D2"/>
    <w:rsid w:val="00216E1D"/>
    <w:rsid w:val="002178BC"/>
    <w:rsid w:val="0022616E"/>
    <w:rsid w:val="00227D2F"/>
    <w:rsid w:val="0023028C"/>
    <w:rsid w:val="0023202C"/>
    <w:rsid w:val="0023221B"/>
    <w:rsid w:val="00233DCC"/>
    <w:rsid w:val="00234018"/>
    <w:rsid w:val="002348CF"/>
    <w:rsid w:val="00235201"/>
    <w:rsid w:val="002353FE"/>
    <w:rsid w:val="00235595"/>
    <w:rsid w:val="00237462"/>
    <w:rsid w:val="0024010F"/>
    <w:rsid w:val="00240749"/>
    <w:rsid w:val="00241248"/>
    <w:rsid w:val="00241E2B"/>
    <w:rsid w:val="002434AA"/>
    <w:rsid w:val="002505F1"/>
    <w:rsid w:val="00252030"/>
    <w:rsid w:val="00255BEC"/>
    <w:rsid w:val="002564A4"/>
    <w:rsid w:val="00256543"/>
    <w:rsid w:val="00257FE0"/>
    <w:rsid w:val="002604EE"/>
    <w:rsid w:val="00260C77"/>
    <w:rsid w:val="00260E3B"/>
    <w:rsid w:val="00261029"/>
    <w:rsid w:val="002618A0"/>
    <w:rsid w:val="00262125"/>
    <w:rsid w:val="002624EB"/>
    <w:rsid w:val="00264DFF"/>
    <w:rsid w:val="002706B3"/>
    <w:rsid w:val="00271DDA"/>
    <w:rsid w:val="00272186"/>
    <w:rsid w:val="00277381"/>
    <w:rsid w:val="002776FA"/>
    <w:rsid w:val="00280247"/>
    <w:rsid w:val="002817C7"/>
    <w:rsid w:val="00282682"/>
    <w:rsid w:val="00282A2D"/>
    <w:rsid w:val="0028531C"/>
    <w:rsid w:val="00285644"/>
    <w:rsid w:val="0028745C"/>
    <w:rsid w:val="002877BF"/>
    <w:rsid w:val="00287C6D"/>
    <w:rsid w:val="0029198D"/>
    <w:rsid w:val="00293436"/>
    <w:rsid w:val="0029506F"/>
    <w:rsid w:val="00295708"/>
    <w:rsid w:val="00296238"/>
    <w:rsid w:val="00296DA3"/>
    <w:rsid w:val="00297ECB"/>
    <w:rsid w:val="002A0772"/>
    <w:rsid w:val="002A1731"/>
    <w:rsid w:val="002A33FD"/>
    <w:rsid w:val="002A3932"/>
    <w:rsid w:val="002A4325"/>
    <w:rsid w:val="002A491D"/>
    <w:rsid w:val="002B08B8"/>
    <w:rsid w:val="002B0EA5"/>
    <w:rsid w:val="002B1730"/>
    <w:rsid w:val="002B1910"/>
    <w:rsid w:val="002B42AF"/>
    <w:rsid w:val="002B556A"/>
    <w:rsid w:val="002B7B38"/>
    <w:rsid w:val="002B7BDB"/>
    <w:rsid w:val="002C4934"/>
    <w:rsid w:val="002C5612"/>
    <w:rsid w:val="002C57BE"/>
    <w:rsid w:val="002D043A"/>
    <w:rsid w:val="002D1A31"/>
    <w:rsid w:val="002D1E4B"/>
    <w:rsid w:val="002D1F6A"/>
    <w:rsid w:val="002D24F4"/>
    <w:rsid w:val="002D331F"/>
    <w:rsid w:val="002D4604"/>
    <w:rsid w:val="002D6224"/>
    <w:rsid w:val="002D6AFD"/>
    <w:rsid w:val="002D7037"/>
    <w:rsid w:val="002D7EDD"/>
    <w:rsid w:val="002E3C1D"/>
    <w:rsid w:val="002F3F44"/>
    <w:rsid w:val="002F7C4F"/>
    <w:rsid w:val="00301EA7"/>
    <w:rsid w:val="00302074"/>
    <w:rsid w:val="003059BA"/>
    <w:rsid w:val="00305E72"/>
    <w:rsid w:val="003069C7"/>
    <w:rsid w:val="003074B7"/>
    <w:rsid w:val="00310439"/>
    <w:rsid w:val="003109B6"/>
    <w:rsid w:val="00310B76"/>
    <w:rsid w:val="00310EBB"/>
    <w:rsid w:val="00313B5B"/>
    <w:rsid w:val="00314C89"/>
    <w:rsid w:val="0031639C"/>
    <w:rsid w:val="003166B1"/>
    <w:rsid w:val="00316722"/>
    <w:rsid w:val="00316B42"/>
    <w:rsid w:val="003229CD"/>
    <w:rsid w:val="003278F2"/>
    <w:rsid w:val="00330501"/>
    <w:rsid w:val="00331405"/>
    <w:rsid w:val="0033446A"/>
    <w:rsid w:val="003344BD"/>
    <w:rsid w:val="003415D3"/>
    <w:rsid w:val="0034402A"/>
    <w:rsid w:val="00344C62"/>
    <w:rsid w:val="00352B0F"/>
    <w:rsid w:val="00352B60"/>
    <w:rsid w:val="0035497E"/>
    <w:rsid w:val="003566D6"/>
    <w:rsid w:val="0035777C"/>
    <w:rsid w:val="00360459"/>
    <w:rsid w:val="0036133B"/>
    <w:rsid w:val="003646B7"/>
    <w:rsid w:val="003651EA"/>
    <w:rsid w:val="00365C5C"/>
    <w:rsid w:val="00366B1A"/>
    <w:rsid w:val="00367021"/>
    <w:rsid w:val="00367B1A"/>
    <w:rsid w:val="003704EA"/>
    <w:rsid w:val="00370E98"/>
    <w:rsid w:val="0037149E"/>
    <w:rsid w:val="00372C84"/>
    <w:rsid w:val="00372FAD"/>
    <w:rsid w:val="0037371A"/>
    <w:rsid w:val="00375C10"/>
    <w:rsid w:val="0037737D"/>
    <w:rsid w:val="00377D72"/>
    <w:rsid w:val="00380B74"/>
    <w:rsid w:val="00380BA6"/>
    <w:rsid w:val="0038268D"/>
    <w:rsid w:val="0038448E"/>
    <w:rsid w:val="00387F18"/>
    <w:rsid w:val="00390456"/>
    <w:rsid w:val="003914B5"/>
    <w:rsid w:val="00392C17"/>
    <w:rsid w:val="00392D15"/>
    <w:rsid w:val="00393270"/>
    <w:rsid w:val="00396619"/>
    <w:rsid w:val="003A05AE"/>
    <w:rsid w:val="003A348C"/>
    <w:rsid w:val="003A3C83"/>
    <w:rsid w:val="003A46CA"/>
    <w:rsid w:val="003A4A24"/>
    <w:rsid w:val="003A59F9"/>
    <w:rsid w:val="003A621B"/>
    <w:rsid w:val="003A7012"/>
    <w:rsid w:val="003A7154"/>
    <w:rsid w:val="003B0F37"/>
    <w:rsid w:val="003B13E4"/>
    <w:rsid w:val="003B1EA5"/>
    <w:rsid w:val="003B2048"/>
    <w:rsid w:val="003B268A"/>
    <w:rsid w:val="003C0198"/>
    <w:rsid w:val="003C3EBF"/>
    <w:rsid w:val="003D0BFE"/>
    <w:rsid w:val="003D1A52"/>
    <w:rsid w:val="003D4087"/>
    <w:rsid w:val="003D5700"/>
    <w:rsid w:val="003E19D8"/>
    <w:rsid w:val="003E1F9B"/>
    <w:rsid w:val="003E3083"/>
    <w:rsid w:val="003E3BC6"/>
    <w:rsid w:val="003E4E57"/>
    <w:rsid w:val="003E72DE"/>
    <w:rsid w:val="003F37A7"/>
    <w:rsid w:val="003F3F9A"/>
    <w:rsid w:val="003F7421"/>
    <w:rsid w:val="003F7648"/>
    <w:rsid w:val="0040090E"/>
    <w:rsid w:val="00401A53"/>
    <w:rsid w:val="00401DDF"/>
    <w:rsid w:val="004024CC"/>
    <w:rsid w:val="00403B73"/>
    <w:rsid w:val="0040415C"/>
    <w:rsid w:val="0040451F"/>
    <w:rsid w:val="0040464A"/>
    <w:rsid w:val="00407279"/>
    <w:rsid w:val="00407400"/>
    <w:rsid w:val="00407668"/>
    <w:rsid w:val="004116CD"/>
    <w:rsid w:val="00411753"/>
    <w:rsid w:val="0041591F"/>
    <w:rsid w:val="00417EB9"/>
    <w:rsid w:val="00420AF8"/>
    <w:rsid w:val="00422464"/>
    <w:rsid w:val="00423CAE"/>
    <w:rsid w:val="00423D37"/>
    <w:rsid w:val="00424CA9"/>
    <w:rsid w:val="0042573E"/>
    <w:rsid w:val="0042575B"/>
    <w:rsid w:val="00425F07"/>
    <w:rsid w:val="00426D9C"/>
    <w:rsid w:val="004279C0"/>
    <w:rsid w:val="00432B79"/>
    <w:rsid w:val="004339A9"/>
    <w:rsid w:val="004369CA"/>
    <w:rsid w:val="0044291A"/>
    <w:rsid w:val="00443D5A"/>
    <w:rsid w:val="00444DB4"/>
    <w:rsid w:val="004467D3"/>
    <w:rsid w:val="00447A8A"/>
    <w:rsid w:val="00454E84"/>
    <w:rsid w:val="00456985"/>
    <w:rsid w:val="004579F3"/>
    <w:rsid w:val="0046034B"/>
    <w:rsid w:val="004624E9"/>
    <w:rsid w:val="004626C1"/>
    <w:rsid w:val="00464546"/>
    <w:rsid w:val="00467D05"/>
    <w:rsid w:val="00470806"/>
    <w:rsid w:val="00471015"/>
    <w:rsid w:val="0047125E"/>
    <w:rsid w:val="004716EB"/>
    <w:rsid w:val="0047305D"/>
    <w:rsid w:val="00474321"/>
    <w:rsid w:val="004744E3"/>
    <w:rsid w:val="00475303"/>
    <w:rsid w:val="00491489"/>
    <w:rsid w:val="00491E06"/>
    <w:rsid w:val="0049300D"/>
    <w:rsid w:val="0049536B"/>
    <w:rsid w:val="004960B2"/>
    <w:rsid w:val="00496F97"/>
    <w:rsid w:val="00496FCD"/>
    <w:rsid w:val="00497ADE"/>
    <w:rsid w:val="004A0132"/>
    <w:rsid w:val="004A0553"/>
    <w:rsid w:val="004A1DBA"/>
    <w:rsid w:val="004A34AF"/>
    <w:rsid w:val="004A6201"/>
    <w:rsid w:val="004A7861"/>
    <w:rsid w:val="004B18FC"/>
    <w:rsid w:val="004B2A7C"/>
    <w:rsid w:val="004B3AC7"/>
    <w:rsid w:val="004B52F4"/>
    <w:rsid w:val="004B5738"/>
    <w:rsid w:val="004B752B"/>
    <w:rsid w:val="004C070F"/>
    <w:rsid w:val="004C5052"/>
    <w:rsid w:val="004C528C"/>
    <w:rsid w:val="004C61A0"/>
    <w:rsid w:val="004D06A7"/>
    <w:rsid w:val="004D2BAD"/>
    <w:rsid w:val="004D2FDE"/>
    <w:rsid w:val="004D33C1"/>
    <w:rsid w:val="004D70D9"/>
    <w:rsid w:val="004E3FAB"/>
    <w:rsid w:val="004E5959"/>
    <w:rsid w:val="004E6392"/>
    <w:rsid w:val="004E7BEC"/>
    <w:rsid w:val="004F3BE2"/>
    <w:rsid w:val="004F4B72"/>
    <w:rsid w:val="004F738B"/>
    <w:rsid w:val="004F7E74"/>
    <w:rsid w:val="0050167D"/>
    <w:rsid w:val="00503D8C"/>
    <w:rsid w:val="00504AE2"/>
    <w:rsid w:val="00504DD3"/>
    <w:rsid w:val="0050600B"/>
    <w:rsid w:val="005067BF"/>
    <w:rsid w:val="005079A4"/>
    <w:rsid w:val="0051033F"/>
    <w:rsid w:val="00511BD0"/>
    <w:rsid w:val="00513BEB"/>
    <w:rsid w:val="00513DB6"/>
    <w:rsid w:val="00513E0F"/>
    <w:rsid w:val="00516068"/>
    <w:rsid w:val="00516B8D"/>
    <w:rsid w:val="005209B4"/>
    <w:rsid w:val="00520E12"/>
    <w:rsid w:val="00522CA1"/>
    <w:rsid w:val="005253D0"/>
    <w:rsid w:val="00536ACF"/>
    <w:rsid w:val="00537DE8"/>
    <w:rsid w:val="00537FBC"/>
    <w:rsid w:val="00543A00"/>
    <w:rsid w:val="00545346"/>
    <w:rsid w:val="00546DF4"/>
    <w:rsid w:val="00547877"/>
    <w:rsid w:val="00551248"/>
    <w:rsid w:val="00551901"/>
    <w:rsid w:val="00553362"/>
    <w:rsid w:val="0055394C"/>
    <w:rsid w:val="00561696"/>
    <w:rsid w:val="0056187F"/>
    <w:rsid w:val="005620C3"/>
    <w:rsid w:val="0056782D"/>
    <w:rsid w:val="00567BCE"/>
    <w:rsid w:val="00567F03"/>
    <w:rsid w:val="0057059D"/>
    <w:rsid w:val="00570B92"/>
    <w:rsid w:val="0057112D"/>
    <w:rsid w:val="00573147"/>
    <w:rsid w:val="0057357A"/>
    <w:rsid w:val="00574372"/>
    <w:rsid w:val="00575018"/>
    <w:rsid w:val="0058011E"/>
    <w:rsid w:val="00580FD2"/>
    <w:rsid w:val="00584811"/>
    <w:rsid w:val="0058565F"/>
    <w:rsid w:val="00587F4F"/>
    <w:rsid w:val="005909C9"/>
    <w:rsid w:val="00593AA6"/>
    <w:rsid w:val="00594161"/>
    <w:rsid w:val="005941BA"/>
    <w:rsid w:val="00594749"/>
    <w:rsid w:val="005949D2"/>
    <w:rsid w:val="0059723F"/>
    <w:rsid w:val="005A3F82"/>
    <w:rsid w:val="005A427F"/>
    <w:rsid w:val="005A7899"/>
    <w:rsid w:val="005B0152"/>
    <w:rsid w:val="005B11C5"/>
    <w:rsid w:val="005B3C23"/>
    <w:rsid w:val="005B4067"/>
    <w:rsid w:val="005B5172"/>
    <w:rsid w:val="005B5461"/>
    <w:rsid w:val="005B629E"/>
    <w:rsid w:val="005B6499"/>
    <w:rsid w:val="005C0931"/>
    <w:rsid w:val="005C2651"/>
    <w:rsid w:val="005C3F41"/>
    <w:rsid w:val="005C4092"/>
    <w:rsid w:val="005C43F3"/>
    <w:rsid w:val="005C4849"/>
    <w:rsid w:val="005C5DE7"/>
    <w:rsid w:val="005C5E69"/>
    <w:rsid w:val="005D1AFC"/>
    <w:rsid w:val="005D1F2C"/>
    <w:rsid w:val="005D266B"/>
    <w:rsid w:val="005D2D09"/>
    <w:rsid w:val="005D2DDC"/>
    <w:rsid w:val="005D70C4"/>
    <w:rsid w:val="005E0010"/>
    <w:rsid w:val="005E18E3"/>
    <w:rsid w:val="005E2354"/>
    <w:rsid w:val="005E3B58"/>
    <w:rsid w:val="005E437D"/>
    <w:rsid w:val="005E46EF"/>
    <w:rsid w:val="005E5004"/>
    <w:rsid w:val="005E6593"/>
    <w:rsid w:val="005E66FD"/>
    <w:rsid w:val="005E68F1"/>
    <w:rsid w:val="005F0843"/>
    <w:rsid w:val="005F1793"/>
    <w:rsid w:val="005F42C4"/>
    <w:rsid w:val="005F61C2"/>
    <w:rsid w:val="005F6B71"/>
    <w:rsid w:val="005F7E44"/>
    <w:rsid w:val="00600219"/>
    <w:rsid w:val="00600942"/>
    <w:rsid w:val="00600A4C"/>
    <w:rsid w:val="00601530"/>
    <w:rsid w:val="00601A5D"/>
    <w:rsid w:val="00604727"/>
    <w:rsid w:val="00605984"/>
    <w:rsid w:val="00606B6B"/>
    <w:rsid w:val="0061073C"/>
    <w:rsid w:val="006116CE"/>
    <w:rsid w:val="0061366C"/>
    <w:rsid w:val="00615AEF"/>
    <w:rsid w:val="00617455"/>
    <w:rsid w:val="00617D59"/>
    <w:rsid w:val="00620412"/>
    <w:rsid w:val="00622015"/>
    <w:rsid w:val="00622FF1"/>
    <w:rsid w:val="006232E8"/>
    <w:rsid w:val="00623C7D"/>
    <w:rsid w:val="00623F2D"/>
    <w:rsid w:val="00624264"/>
    <w:rsid w:val="00624940"/>
    <w:rsid w:val="0062787E"/>
    <w:rsid w:val="00627906"/>
    <w:rsid w:val="00631813"/>
    <w:rsid w:val="00633E8B"/>
    <w:rsid w:val="00637872"/>
    <w:rsid w:val="006379C3"/>
    <w:rsid w:val="00637D90"/>
    <w:rsid w:val="00641E15"/>
    <w:rsid w:val="006442D3"/>
    <w:rsid w:val="006453EA"/>
    <w:rsid w:val="00646E7A"/>
    <w:rsid w:val="0064751A"/>
    <w:rsid w:val="006475DA"/>
    <w:rsid w:val="00651722"/>
    <w:rsid w:val="00656D4B"/>
    <w:rsid w:val="00657115"/>
    <w:rsid w:val="006609FF"/>
    <w:rsid w:val="00663DD6"/>
    <w:rsid w:val="00666AAB"/>
    <w:rsid w:val="00667354"/>
    <w:rsid w:val="00670639"/>
    <w:rsid w:val="00670B7E"/>
    <w:rsid w:val="00672CB0"/>
    <w:rsid w:val="00675368"/>
    <w:rsid w:val="00675995"/>
    <w:rsid w:val="00675F0B"/>
    <w:rsid w:val="006760FF"/>
    <w:rsid w:val="00677122"/>
    <w:rsid w:val="00677CC2"/>
    <w:rsid w:val="006810BA"/>
    <w:rsid w:val="006813C9"/>
    <w:rsid w:val="00682888"/>
    <w:rsid w:val="00686015"/>
    <w:rsid w:val="006901DC"/>
    <w:rsid w:val="006905DE"/>
    <w:rsid w:val="0069207B"/>
    <w:rsid w:val="006924CE"/>
    <w:rsid w:val="00694CAE"/>
    <w:rsid w:val="00695311"/>
    <w:rsid w:val="00695FFF"/>
    <w:rsid w:val="006A0B6C"/>
    <w:rsid w:val="006A2B41"/>
    <w:rsid w:val="006A2C5A"/>
    <w:rsid w:val="006A402D"/>
    <w:rsid w:val="006A492A"/>
    <w:rsid w:val="006A50EE"/>
    <w:rsid w:val="006A6627"/>
    <w:rsid w:val="006B7103"/>
    <w:rsid w:val="006B7347"/>
    <w:rsid w:val="006B73A0"/>
    <w:rsid w:val="006C236B"/>
    <w:rsid w:val="006C3AF5"/>
    <w:rsid w:val="006C44F3"/>
    <w:rsid w:val="006C60BC"/>
    <w:rsid w:val="006C7D6A"/>
    <w:rsid w:val="006C7F8C"/>
    <w:rsid w:val="006D02BD"/>
    <w:rsid w:val="006D0B25"/>
    <w:rsid w:val="006D263B"/>
    <w:rsid w:val="006D2F7F"/>
    <w:rsid w:val="006D417C"/>
    <w:rsid w:val="006D47A7"/>
    <w:rsid w:val="006D62B4"/>
    <w:rsid w:val="006D68BF"/>
    <w:rsid w:val="006D6BFE"/>
    <w:rsid w:val="006E4493"/>
    <w:rsid w:val="006E5800"/>
    <w:rsid w:val="006E59E2"/>
    <w:rsid w:val="006F318F"/>
    <w:rsid w:val="006F47C1"/>
    <w:rsid w:val="006F75FA"/>
    <w:rsid w:val="006F7E6B"/>
    <w:rsid w:val="00700B2C"/>
    <w:rsid w:val="0070401B"/>
    <w:rsid w:val="007072FA"/>
    <w:rsid w:val="00711BBE"/>
    <w:rsid w:val="00712E61"/>
    <w:rsid w:val="00713084"/>
    <w:rsid w:val="00715914"/>
    <w:rsid w:val="007215A9"/>
    <w:rsid w:val="0072168A"/>
    <w:rsid w:val="00721B19"/>
    <w:rsid w:val="00722AC2"/>
    <w:rsid w:val="00723802"/>
    <w:rsid w:val="00724D2C"/>
    <w:rsid w:val="00726BAD"/>
    <w:rsid w:val="00731E00"/>
    <w:rsid w:val="00732735"/>
    <w:rsid w:val="007335E0"/>
    <w:rsid w:val="007338ED"/>
    <w:rsid w:val="007342EA"/>
    <w:rsid w:val="00735FB8"/>
    <w:rsid w:val="0074005D"/>
    <w:rsid w:val="007440B7"/>
    <w:rsid w:val="007457B7"/>
    <w:rsid w:val="00750BDD"/>
    <w:rsid w:val="00751031"/>
    <w:rsid w:val="007539D3"/>
    <w:rsid w:val="00755042"/>
    <w:rsid w:val="0075505A"/>
    <w:rsid w:val="007553B3"/>
    <w:rsid w:val="00755959"/>
    <w:rsid w:val="00755B5E"/>
    <w:rsid w:val="007636C5"/>
    <w:rsid w:val="00763EE9"/>
    <w:rsid w:val="0076430B"/>
    <w:rsid w:val="0076598E"/>
    <w:rsid w:val="007715C9"/>
    <w:rsid w:val="007731EA"/>
    <w:rsid w:val="00774EDD"/>
    <w:rsid w:val="007757EC"/>
    <w:rsid w:val="00782586"/>
    <w:rsid w:val="007866ED"/>
    <w:rsid w:val="007872A9"/>
    <w:rsid w:val="00790248"/>
    <w:rsid w:val="007970C7"/>
    <w:rsid w:val="0079714C"/>
    <w:rsid w:val="00797F9D"/>
    <w:rsid w:val="007A00F9"/>
    <w:rsid w:val="007A140B"/>
    <w:rsid w:val="007A34F1"/>
    <w:rsid w:val="007A36F6"/>
    <w:rsid w:val="007A3DA1"/>
    <w:rsid w:val="007A5DC8"/>
    <w:rsid w:val="007A64FE"/>
    <w:rsid w:val="007A67D1"/>
    <w:rsid w:val="007A6816"/>
    <w:rsid w:val="007A73F5"/>
    <w:rsid w:val="007B15F1"/>
    <w:rsid w:val="007B2745"/>
    <w:rsid w:val="007B370D"/>
    <w:rsid w:val="007B433A"/>
    <w:rsid w:val="007C0F13"/>
    <w:rsid w:val="007C11B6"/>
    <w:rsid w:val="007D10EA"/>
    <w:rsid w:val="007D3727"/>
    <w:rsid w:val="007D519E"/>
    <w:rsid w:val="007D6E9B"/>
    <w:rsid w:val="007D72C9"/>
    <w:rsid w:val="007E163D"/>
    <w:rsid w:val="007E7A24"/>
    <w:rsid w:val="007F35D2"/>
    <w:rsid w:val="007F42EE"/>
    <w:rsid w:val="007F6C13"/>
    <w:rsid w:val="007F7AB0"/>
    <w:rsid w:val="008000C4"/>
    <w:rsid w:val="008006A6"/>
    <w:rsid w:val="00801D91"/>
    <w:rsid w:val="00803AE6"/>
    <w:rsid w:val="00804BFE"/>
    <w:rsid w:val="008058CE"/>
    <w:rsid w:val="00806E35"/>
    <w:rsid w:val="00807977"/>
    <w:rsid w:val="00811AA6"/>
    <w:rsid w:val="0081321A"/>
    <w:rsid w:val="00814A72"/>
    <w:rsid w:val="0081551E"/>
    <w:rsid w:val="00817700"/>
    <w:rsid w:val="00817792"/>
    <w:rsid w:val="00820F9B"/>
    <w:rsid w:val="00822ADE"/>
    <w:rsid w:val="00823E7C"/>
    <w:rsid w:val="008264B1"/>
    <w:rsid w:val="0082726C"/>
    <w:rsid w:val="00827D00"/>
    <w:rsid w:val="008300F6"/>
    <w:rsid w:val="00832A6B"/>
    <w:rsid w:val="008332E1"/>
    <w:rsid w:val="00833971"/>
    <w:rsid w:val="00834D70"/>
    <w:rsid w:val="008351BE"/>
    <w:rsid w:val="008357A2"/>
    <w:rsid w:val="00837AF3"/>
    <w:rsid w:val="00841AE3"/>
    <w:rsid w:val="00844228"/>
    <w:rsid w:val="00851BA0"/>
    <w:rsid w:val="00851BB5"/>
    <w:rsid w:val="0085365A"/>
    <w:rsid w:val="008559E6"/>
    <w:rsid w:val="00856A31"/>
    <w:rsid w:val="0085745C"/>
    <w:rsid w:val="008574BC"/>
    <w:rsid w:val="00860253"/>
    <w:rsid w:val="00860D33"/>
    <w:rsid w:val="00860F56"/>
    <w:rsid w:val="00863F70"/>
    <w:rsid w:val="00866098"/>
    <w:rsid w:val="00871AF9"/>
    <w:rsid w:val="008722BB"/>
    <w:rsid w:val="00872C9A"/>
    <w:rsid w:val="00874992"/>
    <w:rsid w:val="008754D0"/>
    <w:rsid w:val="00875B2B"/>
    <w:rsid w:val="0087792E"/>
    <w:rsid w:val="00877E19"/>
    <w:rsid w:val="00880B44"/>
    <w:rsid w:val="00880C34"/>
    <w:rsid w:val="00882530"/>
    <w:rsid w:val="00882DA9"/>
    <w:rsid w:val="00883E42"/>
    <w:rsid w:val="00884FDE"/>
    <w:rsid w:val="008861ED"/>
    <w:rsid w:val="0089097A"/>
    <w:rsid w:val="00891A8E"/>
    <w:rsid w:val="00891C41"/>
    <w:rsid w:val="00897F7E"/>
    <w:rsid w:val="008A0398"/>
    <w:rsid w:val="008A133F"/>
    <w:rsid w:val="008A2CD2"/>
    <w:rsid w:val="008A31F1"/>
    <w:rsid w:val="008A34E8"/>
    <w:rsid w:val="008A4976"/>
    <w:rsid w:val="008A62BD"/>
    <w:rsid w:val="008A73F5"/>
    <w:rsid w:val="008B071A"/>
    <w:rsid w:val="008B16ED"/>
    <w:rsid w:val="008B45EE"/>
    <w:rsid w:val="008C20FC"/>
    <w:rsid w:val="008D0E8C"/>
    <w:rsid w:val="008D0EE0"/>
    <w:rsid w:val="008D5D68"/>
    <w:rsid w:val="008D6800"/>
    <w:rsid w:val="008D6E45"/>
    <w:rsid w:val="008D6F4E"/>
    <w:rsid w:val="008E0120"/>
    <w:rsid w:val="008E061D"/>
    <w:rsid w:val="008E0774"/>
    <w:rsid w:val="008E146D"/>
    <w:rsid w:val="008E170D"/>
    <w:rsid w:val="008E3F5E"/>
    <w:rsid w:val="008E420A"/>
    <w:rsid w:val="008E60F5"/>
    <w:rsid w:val="008E6E9C"/>
    <w:rsid w:val="008F02D9"/>
    <w:rsid w:val="008F4A41"/>
    <w:rsid w:val="008F51CF"/>
    <w:rsid w:val="008F54E7"/>
    <w:rsid w:val="008F61C8"/>
    <w:rsid w:val="008F6E1F"/>
    <w:rsid w:val="008F6E86"/>
    <w:rsid w:val="0090119B"/>
    <w:rsid w:val="0090239F"/>
    <w:rsid w:val="009025E4"/>
    <w:rsid w:val="00903422"/>
    <w:rsid w:val="009145C5"/>
    <w:rsid w:val="00916FE6"/>
    <w:rsid w:val="00921DAA"/>
    <w:rsid w:val="009235A6"/>
    <w:rsid w:val="00931C61"/>
    <w:rsid w:val="00932377"/>
    <w:rsid w:val="009334DF"/>
    <w:rsid w:val="0093691B"/>
    <w:rsid w:val="00936A68"/>
    <w:rsid w:val="00937232"/>
    <w:rsid w:val="00937E3D"/>
    <w:rsid w:val="00940925"/>
    <w:rsid w:val="009478B8"/>
    <w:rsid w:val="00947D5A"/>
    <w:rsid w:val="00950467"/>
    <w:rsid w:val="00950AF8"/>
    <w:rsid w:val="00951D98"/>
    <w:rsid w:val="00952422"/>
    <w:rsid w:val="009532A5"/>
    <w:rsid w:val="00954E8E"/>
    <w:rsid w:val="00955591"/>
    <w:rsid w:val="00962C46"/>
    <w:rsid w:val="00965E3C"/>
    <w:rsid w:val="00966FB9"/>
    <w:rsid w:val="00967AB4"/>
    <w:rsid w:val="00973387"/>
    <w:rsid w:val="00974D6C"/>
    <w:rsid w:val="0097621B"/>
    <w:rsid w:val="00976889"/>
    <w:rsid w:val="00980021"/>
    <w:rsid w:val="00981659"/>
    <w:rsid w:val="00981DB3"/>
    <w:rsid w:val="00982BAF"/>
    <w:rsid w:val="00983E4A"/>
    <w:rsid w:val="0098487B"/>
    <w:rsid w:val="00984B2D"/>
    <w:rsid w:val="00985790"/>
    <w:rsid w:val="00985D8B"/>
    <w:rsid w:val="009868E9"/>
    <w:rsid w:val="0098719D"/>
    <w:rsid w:val="009874AC"/>
    <w:rsid w:val="009900E3"/>
    <w:rsid w:val="0099051D"/>
    <w:rsid w:val="009914F5"/>
    <w:rsid w:val="00991696"/>
    <w:rsid w:val="00992B1D"/>
    <w:rsid w:val="00993127"/>
    <w:rsid w:val="00997CE0"/>
    <w:rsid w:val="009A08BB"/>
    <w:rsid w:val="009A1794"/>
    <w:rsid w:val="009A2EAA"/>
    <w:rsid w:val="009A52E2"/>
    <w:rsid w:val="009A5D6D"/>
    <w:rsid w:val="009A67BF"/>
    <w:rsid w:val="009B05EF"/>
    <w:rsid w:val="009B077D"/>
    <w:rsid w:val="009B561A"/>
    <w:rsid w:val="009B5BFC"/>
    <w:rsid w:val="009C1DFD"/>
    <w:rsid w:val="009C3EC9"/>
    <w:rsid w:val="009C50A8"/>
    <w:rsid w:val="009C686E"/>
    <w:rsid w:val="009D2ED0"/>
    <w:rsid w:val="009D31B1"/>
    <w:rsid w:val="009D535D"/>
    <w:rsid w:val="009D7864"/>
    <w:rsid w:val="009E01F5"/>
    <w:rsid w:val="009E28E8"/>
    <w:rsid w:val="009E2FCE"/>
    <w:rsid w:val="009E557F"/>
    <w:rsid w:val="009F0016"/>
    <w:rsid w:val="009F072C"/>
    <w:rsid w:val="009F1A8F"/>
    <w:rsid w:val="009F4CE0"/>
    <w:rsid w:val="009F6CFD"/>
    <w:rsid w:val="00A004FF"/>
    <w:rsid w:val="00A0090D"/>
    <w:rsid w:val="00A02811"/>
    <w:rsid w:val="00A02D74"/>
    <w:rsid w:val="00A03DDF"/>
    <w:rsid w:val="00A056D2"/>
    <w:rsid w:val="00A06136"/>
    <w:rsid w:val="00A06FA9"/>
    <w:rsid w:val="00A072ED"/>
    <w:rsid w:val="00A11072"/>
    <w:rsid w:val="00A13069"/>
    <w:rsid w:val="00A1348B"/>
    <w:rsid w:val="00A15DA2"/>
    <w:rsid w:val="00A176E7"/>
    <w:rsid w:val="00A22C98"/>
    <w:rsid w:val="00A231E2"/>
    <w:rsid w:val="00A2460D"/>
    <w:rsid w:val="00A24E88"/>
    <w:rsid w:val="00A26860"/>
    <w:rsid w:val="00A268E0"/>
    <w:rsid w:val="00A26FBF"/>
    <w:rsid w:val="00A31A05"/>
    <w:rsid w:val="00A31FDE"/>
    <w:rsid w:val="00A33B91"/>
    <w:rsid w:val="00A354F8"/>
    <w:rsid w:val="00A35F42"/>
    <w:rsid w:val="00A409C2"/>
    <w:rsid w:val="00A40C66"/>
    <w:rsid w:val="00A41A1B"/>
    <w:rsid w:val="00A43FF8"/>
    <w:rsid w:val="00A444BF"/>
    <w:rsid w:val="00A52AE3"/>
    <w:rsid w:val="00A54CD7"/>
    <w:rsid w:val="00A56E8D"/>
    <w:rsid w:val="00A62066"/>
    <w:rsid w:val="00A635F3"/>
    <w:rsid w:val="00A64912"/>
    <w:rsid w:val="00A64BDB"/>
    <w:rsid w:val="00A658D6"/>
    <w:rsid w:val="00A70A74"/>
    <w:rsid w:val="00A714C5"/>
    <w:rsid w:val="00A724E7"/>
    <w:rsid w:val="00A75DF2"/>
    <w:rsid w:val="00A77AF7"/>
    <w:rsid w:val="00A802BC"/>
    <w:rsid w:val="00A80B10"/>
    <w:rsid w:val="00A813CD"/>
    <w:rsid w:val="00A84439"/>
    <w:rsid w:val="00A844F4"/>
    <w:rsid w:val="00A85167"/>
    <w:rsid w:val="00A872DC"/>
    <w:rsid w:val="00A8788A"/>
    <w:rsid w:val="00A87D27"/>
    <w:rsid w:val="00A9158C"/>
    <w:rsid w:val="00A92EED"/>
    <w:rsid w:val="00A93D7E"/>
    <w:rsid w:val="00A94C4F"/>
    <w:rsid w:val="00A976AE"/>
    <w:rsid w:val="00AA08E7"/>
    <w:rsid w:val="00AA0DF8"/>
    <w:rsid w:val="00AA13C7"/>
    <w:rsid w:val="00AA191B"/>
    <w:rsid w:val="00AA3D34"/>
    <w:rsid w:val="00AB4544"/>
    <w:rsid w:val="00AC03D2"/>
    <w:rsid w:val="00AC03E1"/>
    <w:rsid w:val="00AC6278"/>
    <w:rsid w:val="00AC71C7"/>
    <w:rsid w:val="00AD3005"/>
    <w:rsid w:val="00AD446A"/>
    <w:rsid w:val="00AD5641"/>
    <w:rsid w:val="00AD5837"/>
    <w:rsid w:val="00AE09E9"/>
    <w:rsid w:val="00AE4ECE"/>
    <w:rsid w:val="00AE58C8"/>
    <w:rsid w:val="00AF01CE"/>
    <w:rsid w:val="00AF0572"/>
    <w:rsid w:val="00AF06CF"/>
    <w:rsid w:val="00AF26B2"/>
    <w:rsid w:val="00AF419D"/>
    <w:rsid w:val="00AF4A99"/>
    <w:rsid w:val="00AF5B10"/>
    <w:rsid w:val="00B00E93"/>
    <w:rsid w:val="00B01707"/>
    <w:rsid w:val="00B029C2"/>
    <w:rsid w:val="00B0351E"/>
    <w:rsid w:val="00B046A1"/>
    <w:rsid w:val="00B04CEE"/>
    <w:rsid w:val="00B05644"/>
    <w:rsid w:val="00B07115"/>
    <w:rsid w:val="00B10070"/>
    <w:rsid w:val="00B136FC"/>
    <w:rsid w:val="00B1535F"/>
    <w:rsid w:val="00B20503"/>
    <w:rsid w:val="00B20CDE"/>
    <w:rsid w:val="00B2163E"/>
    <w:rsid w:val="00B21F29"/>
    <w:rsid w:val="00B300A2"/>
    <w:rsid w:val="00B3079A"/>
    <w:rsid w:val="00B30C32"/>
    <w:rsid w:val="00B30DDA"/>
    <w:rsid w:val="00B32212"/>
    <w:rsid w:val="00B327C4"/>
    <w:rsid w:val="00B3359C"/>
    <w:rsid w:val="00B33B3C"/>
    <w:rsid w:val="00B3533A"/>
    <w:rsid w:val="00B36EBB"/>
    <w:rsid w:val="00B4129D"/>
    <w:rsid w:val="00B41448"/>
    <w:rsid w:val="00B41963"/>
    <w:rsid w:val="00B42CF7"/>
    <w:rsid w:val="00B45278"/>
    <w:rsid w:val="00B46132"/>
    <w:rsid w:val="00B51852"/>
    <w:rsid w:val="00B51E97"/>
    <w:rsid w:val="00B5217E"/>
    <w:rsid w:val="00B52575"/>
    <w:rsid w:val="00B5258C"/>
    <w:rsid w:val="00B53914"/>
    <w:rsid w:val="00B53A14"/>
    <w:rsid w:val="00B54457"/>
    <w:rsid w:val="00B57A38"/>
    <w:rsid w:val="00B63834"/>
    <w:rsid w:val="00B6383F"/>
    <w:rsid w:val="00B66A6B"/>
    <w:rsid w:val="00B70BEE"/>
    <w:rsid w:val="00B73F1C"/>
    <w:rsid w:val="00B7400A"/>
    <w:rsid w:val="00B759A6"/>
    <w:rsid w:val="00B77703"/>
    <w:rsid w:val="00B80199"/>
    <w:rsid w:val="00B80211"/>
    <w:rsid w:val="00B82137"/>
    <w:rsid w:val="00B84B30"/>
    <w:rsid w:val="00B87B52"/>
    <w:rsid w:val="00B923A8"/>
    <w:rsid w:val="00B9685D"/>
    <w:rsid w:val="00BA02B0"/>
    <w:rsid w:val="00BA0756"/>
    <w:rsid w:val="00BA220B"/>
    <w:rsid w:val="00BA4236"/>
    <w:rsid w:val="00BA4A6B"/>
    <w:rsid w:val="00BA5FF0"/>
    <w:rsid w:val="00BA64BA"/>
    <w:rsid w:val="00BB0354"/>
    <w:rsid w:val="00BB03C2"/>
    <w:rsid w:val="00BB1C94"/>
    <w:rsid w:val="00BB3329"/>
    <w:rsid w:val="00BB5C48"/>
    <w:rsid w:val="00BC0025"/>
    <w:rsid w:val="00BC4AAD"/>
    <w:rsid w:val="00BC6958"/>
    <w:rsid w:val="00BD07D8"/>
    <w:rsid w:val="00BD07EC"/>
    <w:rsid w:val="00BD1029"/>
    <w:rsid w:val="00BD75F1"/>
    <w:rsid w:val="00BD7B4E"/>
    <w:rsid w:val="00BE36B0"/>
    <w:rsid w:val="00BE4456"/>
    <w:rsid w:val="00BE48CF"/>
    <w:rsid w:val="00BE54F0"/>
    <w:rsid w:val="00BE5F6D"/>
    <w:rsid w:val="00BE61E8"/>
    <w:rsid w:val="00BE719A"/>
    <w:rsid w:val="00BE720A"/>
    <w:rsid w:val="00BE7ED7"/>
    <w:rsid w:val="00BF033C"/>
    <w:rsid w:val="00BF2085"/>
    <w:rsid w:val="00BF386C"/>
    <w:rsid w:val="00BF3C72"/>
    <w:rsid w:val="00BF4D04"/>
    <w:rsid w:val="00BF7072"/>
    <w:rsid w:val="00C017BE"/>
    <w:rsid w:val="00C0184C"/>
    <w:rsid w:val="00C03C8C"/>
    <w:rsid w:val="00C06D24"/>
    <w:rsid w:val="00C0798B"/>
    <w:rsid w:val="00C107D7"/>
    <w:rsid w:val="00C111A2"/>
    <w:rsid w:val="00C14D9F"/>
    <w:rsid w:val="00C169A0"/>
    <w:rsid w:val="00C16C13"/>
    <w:rsid w:val="00C206C5"/>
    <w:rsid w:val="00C21D77"/>
    <w:rsid w:val="00C23A2D"/>
    <w:rsid w:val="00C23B53"/>
    <w:rsid w:val="00C25D2F"/>
    <w:rsid w:val="00C268B1"/>
    <w:rsid w:val="00C26C14"/>
    <w:rsid w:val="00C2711F"/>
    <w:rsid w:val="00C3128E"/>
    <w:rsid w:val="00C317C0"/>
    <w:rsid w:val="00C31DE7"/>
    <w:rsid w:val="00C31F0F"/>
    <w:rsid w:val="00C32659"/>
    <w:rsid w:val="00C350BE"/>
    <w:rsid w:val="00C351E0"/>
    <w:rsid w:val="00C3630B"/>
    <w:rsid w:val="00C4131D"/>
    <w:rsid w:val="00C427BD"/>
    <w:rsid w:val="00C42BF8"/>
    <w:rsid w:val="00C42E0D"/>
    <w:rsid w:val="00C4305C"/>
    <w:rsid w:val="00C470F9"/>
    <w:rsid w:val="00C47FD9"/>
    <w:rsid w:val="00C50043"/>
    <w:rsid w:val="00C524C6"/>
    <w:rsid w:val="00C609B3"/>
    <w:rsid w:val="00C61C50"/>
    <w:rsid w:val="00C64BDC"/>
    <w:rsid w:val="00C6531A"/>
    <w:rsid w:val="00C65F0B"/>
    <w:rsid w:val="00C667B2"/>
    <w:rsid w:val="00C67045"/>
    <w:rsid w:val="00C673E3"/>
    <w:rsid w:val="00C70B70"/>
    <w:rsid w:val="00C7114B"/>
    <w:rsid w:val="00C71CAB"/>
    <w:rsid w:val="00C729BD"/>
    <w:rsid w:val="00C7573B"/>
    <w:rsid w:val="00C75E5E"/>
    <w:rsid w:val="00C77015"/>
    <w:rsid w:val="00C80008"/>
    <w:rsid w:val="00C816AD"/>
    <w:rsid w:val="00C82205"/>
    <w:rsid w:val="00C82C27"/>
    <w:rsid w:val="00C83D4F"/>
    <w:rsid w:val="00C840DE"/>
    <w:rsid w:val="00C91069"/>
    <w:rsid w:val="00C94A3D"/>
    <w:rsid w:val="00C94F8A"/>
    <w:rsid w:val="00C9575D"/>
    <w:rsid w:val="00CA002D"/>
    <w:rsid w:val="00CA0B5D"/>
    <w:rsid w:val="00CA157A"/>
    <w:rsid w:val="00CA24FA"/>
    <w:rsid w:val="00CA40EF"/>
    <w:rsid w:val="00CA4577"/>
    <w:rsid w:val="00CA5A7B"/>
    <w:rsid w:val="00CA7B91"/>
    <w:rsid w:val="00CB144D"/>
    <w:rsid w:val="00CB5EEE"/>
    <w:rsid w:val="00CC282E"/>
    <w:rsid w:val="00CC7695"/>
    <w:rsid w:val="00CD1F67"/>
    <w:rsid w:val="00CD4948"/>
    <w:rsid w:val="00CD59B3"/>
    <w:rsid w:val="00CD61A1"/>
    <w:rsid w:val="00CD78B2"/>
    <w:rsid w:val="00CE038B"/>
    <w:rsid w:val="00CE0A7E"/>
    <w:rsid w:val="00CE3630"/>
    <w:rsid w:val="00CE3C94"/>
    <w:rsid w:val="00CE493D"/>
    <w:rsid w:val="00CE4F3E"/>
    <w:rsid w:val="00CE50A8"/>
    <w:rsid w:val="00CE51C7"/>
    <w:rsid w:val="00CE6309"/>
    <w:rsid w:val="00CE6805"/>
    <w:rsid w:val="00CF0298"/>
    <w:rsid w:val="00CF0BB2"/>
    <w:rsid w:val="00CF26F7"/>
    <w:rsid w:val="00CF352D"/>
    <w:rsid w:val="00CF3EE8"/>
    <w:rsid w:val="00CF7C90"/>
    <w:rsid w:val="00CF7D0C"/>
    <w:rsid w:val="00D00024"/>
    <w:rsid w:val="00D0074B"/>
    <w:rsid w:val="00D00D6F"/>
    <w:rsid w:val="00D02616"/>
    <w:rsid w:val="00D02EC5"/>
    <w:rsid w:val="00D03B25"/>
    <w:rsid w:val="00D040EE"/>
    <w:rsid w:val="00D04EF5"/>
    <w:rsid w:val="00D06201"/>
    <w:rsid w:val="00D06316"/>
    <w:rsid w:val="00D06BAF"/>
    <w:rsid w:val="00D06D3D"/>
    <w:rsid w:val="00D079D5"/>
    <w:rsid w:val="00D13441"/>
    <w:rsid w:val="00D1456F"/>
    <w:rsid w:val="00D15827"/>
    <w:rsid w:val="00D17476"/>
    <w:rsid w:val="00D2127E"/>
    <w:rsid w:val="00D23BA9"/>
    <w:rsid w:val="00D2448D"/>
    <w:rsid w:val="00D3268B"/>
    <w:rsid w:val="00D32CE3"/>
    <w:rsid w:val="00D369A9"/>
    <w:rsid w:val="00D37C5C"/>
    <w:rsid w:val="00D424FD"/>
    <w:rsid w:val="00D42D48"/>
    <w:rsid w:val="00D44DAA"/>
    <w:rsid w:val="00D523DE"/>
    <w:rsid w:val="00D562D6"/>
    <w:rsid w:val="00D62F3D"/>
    <w:rsid w:val="00D6336E"/>
    <w:rsid w:val="00D64314"/>
    <w:rsid w:val="00D65460"/>
    <w:rsid w:val="00D656E1"/>
    <w:rsid w:val="00D666B3"/>
    <w:rsid w:val="00D668FC"/>
    <w:rsid w:val="00D675E2"/>
    <w:rsid w:val="00D70DFB"/>
    <w:rsid w:val="00D70EFE"/>
    <w:rsid w:val="00D717D4"/>
    <w:rsid w:val="00D71BC2"/>
    <w:rsid w:val="00D73025"/>
    <w:rsid w:val="00D7498A"/>
    <w:rsid w:val="00D7535C"/>
    <w:rsid w:val="00D75F26"/>
    <w:rsid w:val="00D75F84"/>
    <w:rsid w:val="00D766DF"/>
    <w:rsid w:val="00D773C2"/>
    <w:rsid w:val="00D77B97"/>
    <w:rsid w:val="00D804E9"/>
    <w:rsid w:val="00D815A9"/>
    <w:rsid w:val="00D8365A"/>
    <w:rsid w:val="00D84BB2"/>
    <w:rsid w:val="00D86E32"/>
    <w:rsid w:val="00D86F8E"/>
    <w:rsid w:val="00D8764E"/>
    <w:rsid w:val="00D90979"/>
    <w:rsid w:val="00D93A50"/>
    <w:rsid w:val="00D93BB4"/>
    <w:rsid w:val="00D95298"/>
    <w:rsid w:val="00D9753A"/>
    <w:rsid w:val="00DA134F"/>
    <w:rsid w:val="00DA186E"/>
    <w:rsid w:val="00DA1F4E"/>
    <w:rsid w:val="00DA26A9"/>
    <w:rsid w:val="00DA4C10"/>
    <w:rsid w:val="00DA6120"/>
    <w:rsid w:val="00DA6310"/>
    <w:rsid w:val="00DA7A8B"/>
    <w:rsid w:val="00DB0CCA"/>
    <w:rsid w:val="00DB2D0B"/>
    <w:rsid w:val="00DB3CEE"/>
    <w:rsid w:val="00DB3EF1"/>
    <w:rsid w:val="00DB6179"/>
    <w:rsid w:val="00DB6A82"/>
    <w:rsid w:val="00DB7857"/>
    <w:rsid w:val="00DB7B84"/>
    <w:rsid w:val="00DB7FC4"/>
    <w:rsid w:val="00DC06E2"/>
    <w:rsid w:val="00DC1084"/>
    <w:rsid w:val="00DC4F88"/>
    <w:rsid w:val="00DC6CD5"/>
    <w:rsid w:val="00DC7F76"/>
    <w:rsid w:val="00DD29C8"/>
    <w:rsid w:val="00DD7B2A"/>
    <w:rsid w:val="00DE2CD7"/>
    <w:rsid w:val="00DE5B78"/>
    <w:rsid w:val="00DE5BF8"/>
    <w:rsid w:val="00DF3767"/>
    <w:rsid w:val="00DF39D7"/>
    <w:rsid w:val="00DF4ACA"/>
    <w:rsid w:val="00DF4E20"/>
    <w:rsid w:val="00DF55E9"/>
    <w:rsid w:val="00DF7E64"/>
    <w:rsid w:val="00E0016D"/>
    <w:rsid w:val="00E01ABE"/>
    <w:rsid w:val="00E03026"/>
    <w:rsid w:val="00E0378F"/>
    <w:rsid w:val="00E0475F"/>
    <w:rsid w:val="00E04EC0"/>
    <w:rsid w:val="00E05704"/>
    <w:rsid w:val="00E05955"/>
    <w:rsid w:val="00E11DCB"/>
    <w:rsid w:val="00E12B47"/>
    <w:rsid w:val="00E1326B"/>
    <w:rsid w:val="00E20E58"/>
    <w:rsid w:val="00E21614"/>
    <w:rsid w:val="00E249E2"/>
    <w:rsid w:val="00E24CD8"/>
    <w:rsid w:val="00E3170D"/>
    <w:rsid w:val="00E33028"/>
    <w:rsid w:val="00E338EF"/>
    <w:rsid w:val="00E33F2D"/>
    <w:rsid w:val="00E34A65"/>
    <w:rsid w:val="00E35110"/>
    <w:rsid w:val="00E367EF"/>
    <w:rsid w:val="00E40E4C"/>
    <w:rsid w:val="00E41E8C"/>
    <w:rsid w:val="00E431FA"/>
    <w:rsid w:val="00E43200"/>
    <w:rsid w:val="00E4490A"/>
    <w:rsid w:val="00E44C17"/>
    <w:rsid w:val="00E4633F"/>
    <w:rsid w:val="00E50EB8"/>
    <w:rsid w:val="00E5225A"/>
    <w:rsid w:val="00E52D23"/>
    <w:rsid w:val="00E53947"/>
    <w:rsid w:val="00E54683"/>
    <w:rsid w:val="00E54DBD"/>
    <w:rsid w:val="00E567B9"/>
    <w:rsid w:val="00E61EC5"/>
    <w:rsid w:val="00E622D0"/>
    <w:rsid w:val="00E62750"/>
    <w:rsid w:val="00E62AF5"/>
    <w:rsid w:val="00E635DB"/>
    <w:rsid w:val="00E63DCF"/>
    <w:rsid w:val="00E64DD8"/>
    <w:rsid w:val="00E71E89"/>
    <w:rsid w:val="00E73A8C"/>
    <w:rsid w:val="00E74B09"/>
    <w:rsid w:val="00E74DC7"/>
    <w:rsid w:val="00E751C5"/>
    <w:rsid w:val="00E75D6D"/>
    <w:rsid w:val="00E75FF5"/>
    <w:rsid w:val="00E80221"/>
    <w:rsid w:val="00E85C54"/>
    <w:rsid w:val="00E8689F"/>
    <w:rsid w:val="00E86F04"/>
    <w:rsid w:val="00E875D8"/>
    <w:rsid w:val="00E87C33"/>
    <w:rsid w:val="00E93818"/>
    <w:rsid w:val="00E94D5E"/>
    <w:rsid w:val="00E95B86"/>
    <w:rsid w:val="00E97F31"/>
    <w:rsid w:val="00EA25F9"/>
    <w:rsid w:val="00EA4541"/>
    <w:rsid w:val="00EA4C81"/>
    <w:rsid w:val="00EA53D6"/>
    <w:rsid w:val="00EA7100"/>
    <w:rsid w:val="00EB1F65"/>
    <w:rsid w:val="00EB22CA"/>
    <w:rsid w:val="00EB48A4"/>
    <w:rsid w:val="00EB548A"/>
    <w:rsid w:val="00EB6DDB"/>
    <w:rsid w:val="00EC01C1"/>
    <w:rsid w:val="00EC133F"/>
    <w:rsid w:val="00EC4D36"/>
    <w:rsid w:val="00EC62A6"/>
    <w:rsid w:val="00EC638B"/>
    <w:rsid w:val="00ED0DE3"/>
    <w:rsid w:val="00ED4104"/>
    <w:rsid w:val="00ED5A1E"/>
    <w:rsid w:val="00ED7522"/>
    <w:rsid w:val="00EE0C04"/>
    <w:rsid w:val="00EE1B24"/>
    <w:rsid w:val="00EE2472"/>
    <w:rsid w:val="00EE24A1"/>
    <w:rsid w:val="00EE32CF"/>
    <w:rsid w:val="00EE510E"/>
    <w:rsid w:val="00EE585F"/>
    <w:rsid w:val="00EE5E32"/>
    <w:rsid w:val="00EE638C"/>
    <w:rsid w:val="00EF1A6C"/>
    <w:rsid w:val="00EF2E3A"/>
    <w:rsid w:val="00EF3217"/>
    <w:rsid w:val="00EF7A2B"/>
    <w:rsid w:val="00EF7BF5"/>
    <w:rsid w:val="00F01034"/>
    <w:rsid w:val="00F04E57"/>
    <w:rsid w:val="00F06C88"/>
    <w:rsid w:val="00F072A7"/>
    <w:rsid w:val="00F078DC"/>
    <w:rsid w:val="00F07DEF"/>
    <w:rsid w:val="00F13DA7"/>
    <w:rsid w:val="00F143A9"/>
    <w:rsid w:val="00F1777D"/>
    <w:rsid w:val="00F20176"/>
    <w:rsid w:val="00F24F59"/>
    <w:rsid w:val="00F250CF"/>
    <w:rsid w:val="00F30763"/>
    <w:rsid w:val="00F31434"/>
    <w:rsid w:val="00F314DB"/>
    <w:rsid w:val="00F321B2"/>
    <w:rsid w:val="00F331E0"/>
    <w:rsid w:val="00F34E9B"/>
    <w:rsid w:val="00F352A4"/>
    <w:rsid w:val="00F35951"/>
    <w:rsid w:val="00F35E9F"/>
    <w:rsid w:val="00F37659"/>
    <w:rsid w:val="00F41FE0"/>
    <w:rsid w:val="00F47BE4"/>
    <w:rsid w:val="00F517AD"/>
    <w:rsid w:val="00F53D5A"/>
    <w:rsid w:val="00F546DA"/>
    <w:rsid w:val="00F56110"/>
    <w:rsid w:val="00F56A03"/>
    <w:rsid w:val="00F61B89"/>
    <w:rsid w:val="00F64386"/>
    <w:rsid w:val="00F650A0"/>
    <w:rsid w:val="00F65E20"/>
    <w:rsid w:val="00F66CF7"/>
    <w:rsid w:val="00F73A1A"/>
    <w:rsid w:val="00F73BD6"/>
    <w:rsid w:val="00F753C3"/>
    <w:rsid w:val="00F75840"/>
    <w:rsid w:val="00F77E95"/>
    <w:rsid w:val="00F8154B"/>
    <w:rsid w:val="00F83989"/>
    <w:rsid w:val="00F85BF9"/>
    <w:rsid w:val="00F85D49"/>
    <w:rsid w:val="00F869AE"/>
    <w:rsid w:val="00F90E5C"/>
    <w:rsid w:val="00F915AA"/>
    <w:rsid w:val="00F944CD"/>
    <w:rsid w:val="00F954CE"/>
    <w:rsid w:val="00F95B05"/>
    <w:rsid w:val="00F9632C"/>
    <w:rsid w:val="00FA39DC"/>
    <w:rsid w:val="00FA69DB"/>
    <w:rsid w:val="00FB2B5C"/>
    <w:rsid w:val="00FB5AC2"/>
    <w:rsid w:val="00FB6579"/>
    <w:rsid w:val="00FB76C1"/>
    <w:rsid w:val="00FB7DBC"/>
    <w:rsid w:val="00FC24F1"/>
    <w:rsid w:val="00FC3100"/>
    <w:rsid w:val="00FC3DAB"/>
    <w:rsid w:val="00FC5461"/>
    <w:rsid w:val="00FC5AEB"/>
    <w:rsid w:val="00FC7BCF"/>
    <w:rsid w:val="00FD1CD0"/>
    <w:rsid w:val="00FD25A3"/>
    <w:rsid w:val="00FD2C05"/>
    <w:rsid w:val="00FD3CC7"/>
    <w:rsid w:val="00FD755A"/>
    <w:rsid w:val="00FD7AED"/>
    <w:rsid w:val="00FD7BC3"/>
    <w:rsid w:val="00FE46E9"/>
    <w:rsid w:val="00FE4B0D"/>
    <w:rsid w:val="00FE59AD"/>
    <w:rsid w:val="00FF10F1"/>
    <w:rsid w:val="00FF12AE"/>
    <w:rsid w:val="00FF2995"/>
    <w:rsid w:val="00FF64F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28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6F73"/>
    <w:pPr>
      <w:spacing w:line="260" w:lineRule="atLeast"/>
    </w:pPr>
    <w:rPr>
      <w:sz w:val="22"/>
    </w:rPr>
  </w:style>
  <w:style w:type="paragraph" w:styleId="Heading1">
    <w:name w:val="heading 1"/>
    <w:basedOn w:val="Normal"/>
    <w:next w:val="Normal"/>
    <w:link w:val="Heading1Char"/>
    <w:qFormat/>
    <w:rsid w:val="00BD07D8"/>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BD07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07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07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D07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07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D07D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07D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D07D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7D8"/>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BD07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07D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D07D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D07D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D07D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D07D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D07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D07D8"/>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1A6F73"/>
  </w:style>
  <w:style w:type="paragraph" w:customStyle="1" w:styleId="OPCParaBase">
    <w:name w:val="OPCParaBase"/>
    <w:qFormat/>
    <w:rsid w:val="001A6F73"/>
    <w:pPr>
      <w:spacing w:line="260" w:lineRule="atLeast"/>
    </w:pPr>
    <w:rPr>
      <w:rFonts w:eastAsia="Times New Roman" w:cs="Times New Roman"/>
      <w:sz w:val="22"/>
      <w:lang w:eastAsia="en-AU"/>
    </w:rPr>
  </w:style>
  <w:style w:type="paragraph" w:customStyle="1" w:styleId="ShortT">
    <w:name w:val="ShortT"/>
    <w:basedOn w:val="OPCParaBase"/>
    <w:next w:val="Normal"/>
    <w:qFormat/>
    <w:rsid w:val="001A6F73"/>
    <w:pPr>
      <w:spacing w:line="240" w:lineRule="auto"/>
    </w:pPr>
    <w:rPr>
      <w:b/>
      <w:sz w:val="40"/>
    </w:rPr>
  </w:style>
  <w:style w:type="paragraph" w:customStyle="1" w:styleId="ActHead1">
    <w:name w:val="ActHead 1"/>
    <w:aliases w:val="c"/>
    <w:basedOn w:val="OPCParaBase"/>
    <w:next w:val="Normal"/>
    <w:qFormat/>
    <w:rsid w:val="001A6F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A6F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A6F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6F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A6F73"/>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1A6F73"/>
    <w:pPr>
      <w:tabs>
        <w:tab w:val="right" w:pos="1021"/>
      </w:tabs>
      <w:spacing w:before="180" w:line="240" w:lineRule="auto"/>
      <w:ind w:left="1134" w:hanging="1134"/>
    </w:pPr>
  </w:style>
  <w:style w:type="paragraph" w:customStyle="1" w:styleId="ActHead6">
    <w:name w:val="ActHead 6"/>
    <w:aliases w:val="as"/>
    <w:basedOn w:val="OPCParaBase"/>
    <w:next w:val="ActHead7"/>
    <w:qFormat/>
    <w:rsid w:val="001A6F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6F73"/>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A6F73"/>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A6F73"/>
    <w:pPr>
      <w:keepLines/>
      <w:spacing w:before="80" w:line="240" w:lineRule="auto"/>
      <w:ind w:left="709"/>
    </w:pPr>
  </w:style>
  <w:style w:type="paragraph" w:customStyle="1" w:styleId="ActHead8">
    <w:name w:val="ActHead 8"/>
    <w:aliases w:val="ad"/>
    <w:basedOn w:val="OPCParaBase"/>
    <w:next w:val="ItemHead"/>
    <w:qFormat/>
    <w:rsid w:val="001A6F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6F7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A6F73"/>
  </w:style>
  <w:style w:type="paragraph" w:customStyle="1" w:styleId="Blocks">
    <w:name w:val="Blocks"/>
    <w:aliases w:val="bb"/>
    <w:basedOn w:val="OPCParaBase"/>
    <w:qFormat/>
    <w:rsid w:val="001A6F73"/>
    <w:pPr>
      <w:spacing w:line="240" w:lineRule="auto"/>
    </w:pPr>
    <w:rPr>
      <w:sz w:val="24"/>
    </w:rPr>
  </w:style>
  <w:style w:type="paragraph" w:customStyle="1" w:styleId="BoxText">
    <w:name w:val="BoxText"/>
    <w:aliases w:val="bt"/>
    <w:basedOn w:val="OPCParaBase"/>
    <w:qFormat/>
    <w:rsid w:val="001A6F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6F73"/>
    <w:rPr>
      <w:b/>
    </w:rPr>
  </w:style>
  <w:style w:type="paragraph" w:customStyle="1" w:styleId="BoxHeadItalic">
    <w:name w:val="BoxHeadItalic"/>
    <w:aliases w:val="bhi"/>
    <w:basedOn w:val="BoxText"/>
    <w:next w:val="BoxStep"/>
    <w:qFormat/>
    <w:rsid w:val="001A6F73"/>
    <w:rPr>
      <w:i/>
    </w:rPr>
  </w:style>
  <w:style w:type="paragraph" w:customStyle="1" w:styleId="BoxStep">
    <w:name w:val="BoxStep"/>
    <w:aliases w:val="bs"/>
    <w:basedOn w:val="BoxText"/>
    <w:qFormat/>
    <w:rsid w:val="001A6F73"/>
    <w:pPr>
      <w:ind w:left="1985" w:hanging="851"/>
    </w:pPr>
  </w:style>
  <w:style w:type="paragraph" w:customStyle="1" w:styleId="BoxList">
    <w:name w:val="BoxList"/>
    <w:aliases w:val="bl"/>
    <w:basedOn w:val="BoxText"/>
    <w:qFormat/>
    <w:rsid w:val="001A6F73"/>
    <w:pPr>
      <w:ind w:left="1559" w:hanging="425"/>
    </w:pPr>
  </w:style>
  <w:style w:type="paragraph" w:customStyle="1" w:styleId="BoxNote">
    <w:name w:val="BoxNote"/>
    <w:aliases w:val="bn"/>
    <w:basedOn w:val="BoxText"/>
    <w:qFormat/>
    <w:rsid w:val="001A6F73"/>
    <w:pPr>
      <w:tabs>
        <w:tab w:val="left" w:pos="1985"/>
      </w:tabs>
      <w:spacing w:before="122" w:line="198" w:lineRule="exact"/>
      <w:ind w:left="2948" w:hanging="1814"/>
    </w:pPr>
    <w:rPr>
      <w:sz w:val="18"/>
    </w:rPr>
  </w:style>
  <w:style w:type="paragraph" w:customStyle="1" w:styleId="BoxPara">
    <w:name w:val="BoxPara"/>
    <w:aliases w:val="bp"/>
    <w:basedOn w:val="BoxText"/>
    <w:qFormat/>
    <w:rsid w:val="001A6F73"/>
    <w:pPr>
      <w:tabs>
        <w:tab w:val="right" w:pos="2268"/>
      </w:tabs>
      <w:ind w:left="2552" w:hanging="1418"/>
    </w:pPr>
  </w:style>
  <w:style w:type="character" w:customStyle="1" w:styleId="CharAmPartNo">
    <w:name w:val="CharAmPartNo"/>
    <w:basedOn w:val="OPCCharBase"/>
    <w:uiPriority w:val="1"/>
    <w:qFormat/>
    <w:rsid w:val="001A6F73"/>
  </w:style>
  <w:style w:type="character" w:customStyle="1" w:styleId="CharAmPartText">
    <w:name w:val="CharAmPartText"/>
    <w:basedOn w:val="OPCCharBase"/>
    <w:uiPriority w:val="1"/>
    <w:qFormat/>
    <w:rsid w:val="001A6F73"/>
  </w:style>
  <w:style w:type="character" w:customStyle="1" w:styleId="CharAmSchNo">
    <w:name w:val="CharAmSchNo"/>
    <w:basedOn w:val="OPCCharBase"/>
    <w:uiPriority w:val="1"/>
    <w:qFormat/>
    <w:rsid w:val="001A6F73"/>
  </w:style>
  <w:style w:type="character" w:customStyle="1" w:styleId="CharAmSchText">
    <w:name w:val="CharAmSchText"/>
    <w:basedOn w:val="OPCCharBase"/>
    <w:uiPriority w:val="1"/>
    <w:qFormat/>
    <w:rsid w:val="001A6F73"/>
  </w:style>
  <w:style w:type="character" w:customStyle="1" w:styleId="CharBoldItalic">
    <w:name w:val="CharBoldItalic"/>
    <w:basedOn w:val="OPCCharBase"/>
    <w:uiPriority w:val="1"/>
    <w:qFormat/>
    <w:rsid w:val="001A6F73"/>
    <w:rPr>
      <w:b/>
      <w:i/>
    </w:rPr>
  </w:style>
  <w:style w:type="character" w:customStyle="1" w:styleId="CharChapNo">
    <w:name w:val="CharChapNo"/>
    <w:basedOn w:val="OPCCharBase"/>
    <w:qFormat/>
    <w:rsid w:val="001A6F73"/>
  </w:style>
  <w:style w:type="character" w:customStyle="1" w:styleId="CharChapText">
    <w:name w:val="CharChapText"/>
    <w:basedOn w:val="OPCCharBase"/>
    <w:qFormat/>
    <w:rsid w:val="001A6F73"/>
  </w:style>
  <w:style w:type="character" w:customStyle="1" w:styleId="CharDivNo">
    <w:name w:val="CharDivNo"/>
    <w:basedOn w:val="OPCCharBase"/>
    <w:qFormat/>
    <w:rsid w:val="001A6F73"/>
  </w:style>
  <w:style w:type="character" w:customStyle="1" w:styleId="CharDivText">
    <w:name w:val="CharDivText"/>
    <w:basedOn w:val="OPCCharBase"/>
    <w:qFormat/>
    <w:rsid w:val="001A6F73"/>
  </w:style>
  <w:style w:type="character" w:customStyle="1" w:styleId="CharItalic">
    <w:name w:val="CharItalic"/>
    <w:basedOn w:val="OPCCharBase"/>
    <w:uiPriority w:val="1"/>
    <w:qFormat/>
    <w:rsid w:val="001A6F73"/>
    <w:rPr>
      <w:i/>
    </w:rPr>
  </w:style>
  <w:style w:type="character" w:customStyle="1" w:styleId="CharPartNo">
    <w:name w:val="CharPartNo"/>
    <w:basedOn w:val="OPCCharBase"/>
    <w:qFormat/>
    <w:rsid w:val="001A6F73"/>
  </w:style>
  <w:style w:type="character" w:customStyle="1" w:styleId="CharPartText">
    <w:name w:val="CharPartText"/>
    <w:basedOn w:val="OPCCharBase"/>
    <w:qFormat/>
    <w:rsid w:val="001A6F73"/>
  </w:style>
  <w:style w:type="character" w:customStyle="1" w:styleId="CharSectno">
    <w:name w:val="CharSectno"/>
    <w:basedOn w:val="OPCCharBase"/>
    <w:qFormat/>
    <w:rsid w:val="001A6F73"/>
  </w:style>
  <w:style w:type="character" w:customStyle="1" w:styleId="CharSubdNo">
    <w:name w:val="CharSubdNo"/>
    <w:basedOn w:val="OPCCharBase"/>
    <w:uiPriority w:val="1"/>
    <w:qFormat/>
    <w:rsid w:val="001A6F73"/>
  </w:style>
  <w:style w:type="character" w:customStyle="1" w:styleId="CharSubdText">
    <w:name w:val="CharSubdText"/>
    <w:basedOn w:val="OPCCharBase"/>
    <w:uiPriority w:val="1"/>
    <w:qFormat/>
    <w:rsid w:val="001A6F73"/>
  </w:style>
  <w:style w:type="paragraph" w:customStyle="1" w:styleId="CTA--">
    <w:name w:val="CTA --"/>
    <w:basedOn w:val="OPCParaBase"/>
    <w:next w:val="Normal"/>
    <w:rsid w:val="001A6F73"/>
    <w:pPr>
      <w:spacing w:before="60" w:line="240" w:lineRule="atLeast"/>
      <w:ind w:left="142" w:hanging="142"/>
    </w:pPr>
    <w:rPr>
      <w:sz w:val="20"/>
    </w:rPr>
  </w:style>
  <w:style w:type="paragraph" w:customStyle="1" w:styleId="CTA-">
    <w:name w:val="CTA -"/>
    <w:basedOn w:val="OPCParaBase"/>
    <w:rsid w:val="001A6F73"/>
    <w:pPr>
      <w:spacing w:before="60" w:line="240" w:lineRule="atLeast"/>
      <w:ind w:left="85" w:hanging="85"/>
    </w:pPr>
    <w:rPr>
      <w:sz w:val="20"/>
    </w:rPr>
  </w:style>
  <w:style w:type="paragraph" w:customStyle="1" w:styleId="CTA---">
    <w:name w:val="CTA ---"/>
    <w:basedOn w:val="OPCParaBase"/>
    <w:next w:val="Normal"/>
    <w:rsid w:val="001A6F73"/>
    <w:pPr>
      <w:spacing w:before="60" w:line="240" w:lineRule="atLeast"/>
      <w:ind w:left="198" w:hanging="198"/>
    </w:pPr>
    <w:rPr>
      <w:sz w:val="20"/>
    </w:rPr>
  </w:style>
  <w:style w:type="paragraph" w:customStyle="1" w:styleId="CTA----">
    <w:name w:val="CTA ----"/>
    <w:basedOn w:val="OPCParaBase"/>
    <w:next w:val="Normal"/>
    <w:rsid w:val="001A6F73"/>
    <w:pPr>
      <w:spacing w:before="60" w:line="240" w:lineRule="atLeast"/>
      <w:ind w:left="255" w:hanging="255"/>
    </w:pPr>
    <w:rPr>
      <w:sz w:val="20"/>
    </w:rPr>
  </w:style>
  <w:style w:type="paragraph" w:customStyle="1" w:styleId="CTA1a">
    <w:name w:val="CTA 1(a)"/>
    <w:basedOn w:val="OPCParaBase"/>
    <w:rsid w:val="001A6F73"/>
    <w:pPr>
      <w:tabs>
        <w:tab w:val="right" w:pos="414"/>
      </w:tabs>
      <w:spacing w:before="40" w:line="240" w:lineRule="atLeast"/>
      <w:ind w:left="675" w:hanging="675"/>
    </w:pPr>
    <w:rPr>
      <w:sz w:val="20"/>
    </w:rPr>
  </w:style>
  <w:style w:type="paragraph" w:customStyle="1" w:styleId="CTA1ai">
    <w:name w:val="CTA 1(a)(i)"/>
    <w:basedOn w:val="OPCParaBase"/>
    <w:rsid w:val="001A6F73"/>
    <w:pPr>
      <w:tabs>
        <w:tab w:val="right" w:pos="1004"/>
      </w:tabs>
      <w:spacing w:before="40" w:line="240" w:lineRule="atLeast"/>
      <w:ind w:left="1253" w:hanging="1253"/>
    </w:pPr>
    <w:rPr>
      <w:sz w:val="20"/>
    </w:rPr>
  </w:style>
  <w:style w:type="paragraph" w:customStyle="1" w:styleId="CTA2a">
    <w:name w:val="CTA 2(a)"/>
    <w:basedOn w:val="OPCParaBase"/>
    <w:rsid w:val="001A6F73"/>
    <w:pPr>
      <w:tabs>
        <w:tab w:val="right" w:pos="482"/>
      </w:tabs>
      <w:spacing w:before="40" w:line="240" w:lineRule="atLeast"/>
      <w:ind w:left="748" w:hanging="748"/>
    </w:pPr>
    <w:rPr>
      <w:sz w:val="20"/>
    </w:rPr>
  </w:style>
  <w:style w:type="paragraph" w:customStyle="1" w:styleId="CTA2ai">
    <w:name w:val="CTA 2(a)(i)"/>
    <w:basedOn w:val="OPCParaBase"/>
    <w:rsid w:val="001A6F73"/>
    <w:pPr>
      <w:tabs>
        <w:tab w:val="right" w:pos="1089"/>
      </w:tabs>
      <w:spacing w:before="40" w:line="240" w:lineRule="atLeast"/>
      <w:ind w:left="1327" w:hanging="1327"/>
    </w:pPr>
    <w:rPr>
      <w:sz w:val="20"/>
    </w:rPr>
  </w:style>
  <w:style w:type="paragraph" w:customStyle="1" w:styleId="CTA3a">
    <w:name w:val="CTA 3(a)"/>
    <w:basedOn w:val="OPCParaBase"/>
    <w:rsid w:val="001A6F73"/>
    <w:pPr>
      <w:tabs>
        <w:tab w:val="right" w:pos="556"/>
      </w:tabs>
      <w:spacing w:before="40" w:line="240" w:lineRule="atLeast"/>
      <w:ind w:left="805" w:hanging="805"/>
    </w:pPr>
    <w:rPr>
      <w:sz w:val="20"/>
    </w:rPr>
  </w:style>
  <w:style w:type="paragraph" w:customStyle="1" w:styleId="CTA3ai">
    <w:name w:val="CTA 3(a)(i)"/>
    <w:basedOn w:val="OPCParaBase"/>
    <w:rsid w:val="001A6F73"/>
    <w:pPr>
      <w:tabs>
        <w:tab w:val="right" w:pos="1140"/>
      </w:tabs>
      <w:spacing w:before="40" w:line="240" w:lineRule="atLeast"/>
      <w:ind w:left="1361" w:hanging="1361"/>
    </w:pPr>
    <w:rPr>
      <w:sz w:val="20"/>
    </w:rPr>
  </w:style>
  <w:style w:type="paragraph" w:customStyle="1" w:styleId="CTA4a">
    <w:name w:val="CTA 4(a)"/>
    <w:basedOn w:val="OPCParaBase"/>
    <w:rsid w:val="001A6F73"/>
    <w:pPr>
      <w:tabs>
        <w:tab w:val="right" w:pos="624"/>
      </w:tabs>
      <w:spacing w:before="40" w:line="240" w:lineRule="atLeast"/>
      <w:ind w:left="873" w:hanging="873"/>
    </w:pPr>
    <w:rPr>
      <w:sz w:val="20"/>
    </w:rPr>
  </w:style>
  <w:style w:type="paragraph" w:customStyle="1" w:styleId="CTA4ai">
    <w:name w:val="CTA 4(a)(i)"/>
    <w:basedOn w:val="OPCParaBase"/>
    <w:rsid w:val="001A6F73"/>
    <w:pPr>
      <w:tabs>
        <w:tab w:val="right" w:pos="1213"/>
      </w:tabs>
      <w:spacing w:before="40" w:line="240" w:lineRule="atLeast"/>
      <w:ind w:left="1452" w:hanging="1452"/>
    </w:pPr>
    <w:rPr>
      <w:sz w:val="20"/>
    </w:rPr>
  </w:style>
  <w:style w:type="paragraph" w:customStyle="1" w:styleId="CTACAPS">
    <w:name w:val="CTA CAPS"/>
    <w:basedOn w:val="OPCParaBase"/>
    <w:rsid w:val="001A6F73"/>
    <w:pPr>
      <w:spacing w:before="60" w:line="240" w:lineRule="atLeast"/>
    </w:pPr>
    <w:rPr>
      <w:sz w:val="20"/>
    </w:rPr>
  </w:style>
  <w:style w:type="paragraph" w:customStyle="1" w:styleId="CTAright">
    <w:name w:val="CTA right"/>
    <w:basedOn w:val="OPCParaBase"/>
    <w:rsid w:val="001A6F73"/>
    <w:pPr>
      <w:spacing w:before="60" w:line="240" w:lineRule="auto"/>
      <w:jc w:val="right"/>
    </w:pPr>
    <w:rPr>
      <w:sz w:val="20"/>
    </w:rPr>
  </w:style>
  <w:style w:type="paragraph" w:customStyle="1" w:styleId="Definition">
    <w:name w:val="Definition"/>
    <w:aliases w:val="dd"/>
    <w:basedOn w:val="OPCParaBase"/>
    <w:rsid w:val="001A6F73"/>
    <w:pPr>
      <w:spacing w:before="180" w:line="240" w:lineRule="auto"/>
      <w:ind w:left="1134"/>
    </w:pPr>
  </w:style>
  <w:style w:type="paragraph" w:customStyle="1" w:styleId="EndNotespara">
    <w:name w:val="EndNotes(para)"/>
    <w:aliases w:val="eta"/>
    <w:basedOn w:val="OPCParaBase"/>
    <w:next w:val="EndNotessubpara"/>
    <w:rsid w:val="001A6F73"/>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A6F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6F73"/>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1A6F73"/>
    <w:pPr>
      <w:tabs>
        <w:tab w:val="right" w:pos="340"/>
      </w:tabs>
      <w:spacing w:before="60" w:line="240" w:lineRule="auto"/>
      <w:ind w:left="454" w:hanging="454"/>
    </w:pPr>
    <w:rPr>
      <w:sz w:val="20"/>
    </w:rPr>
  </w:style>
  <w:style w:type="paragraph" w:customStyle="1" w:styleId="Formula">
    <w:name w:val="Formula"/>
    <w:basedOn w:val="OPCParaBase"/>
    <w:rsid w:val="001A6F73"/>
    <w:pPr>
      <w:spacing w:line="240" w:lineRule="auto"/>
      <w:ind w:left="1134"/>
    </w:pPr>
    <w:rPr>
      <w:sz w:val="20"/>
    </w:rPr>
  </w:style>
  <w:style w:type="paragraph" w:styleId="Header">
    <w:name w:val="header"/>
    <w:basedOn w:val="OPCParaBase"/>
    <w:link w:val="HeaderChar"/>
    <w:unhideWhenUsed/>
    <w:rsid w:val="001A6F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A6F73"/>
    <w:rPr>
      <w:rFonts w:eastAsia="Times New Roman" w:cs="Times New Roman"/>
      <w:sz w:val="16"/>
      <w:lang w:eastAsia="en-AU"/>
    </w:rPr>
  </w:style>
  <w:style w:type="paragraph" w:customStyle="1" w:styleId="House">
    <w:name w:val="House"/>
    <w:basedOn w:val="OPCParaBase"/>
    <w:rsid w:val="001A6F73"/>
    <w:pPr>
      <w:spacing w:line="240" w:lineRule="auto"/>
    </w:pPr>
    <w:rPr>
      <w:sz w:val="28"/>
    </w:rPr>
  </w:style>
  <w:style w:type="paragraph" w:customStyle="1" w:styleId="LongT">
    <w:name w:val="LongT"/>
    <w:basedOn w:val="OPCParaBase"/>
    <w:rsid w:val="001A6F73"/>
    <w:pPr>
      <w:spacing w:line="240" w:lineRule="auto"/>
    </w:pPr>
    <w:rPr>
      <w:b/>
      <w:sz w:val="32"/>
    </w:rPr>
  </w:style>
  <w:style w:type="paragraph" w:customStyle="1" w:styleId="notedraft">
    <w:name w:val="note(draft)"/>
    <w:aliases w:val="nd"/>
    <w:basedOn w:val="OPCParaBase"/>
    <w:rsid w:val="001A6F73"/>
    <w:pPr>
      <w:spacing w:before="240" w:line="240" w:lineRule="auto"/>
      <w:ind w:left="284" w:hanging="284"/>
    </w:pPr>
    <w:rPr>
      <w:i/>
      <w:sz w:val="24"/>
    </w:rPr>
  </w:style>
  <w:style w:type="paragraph" w:customStyle="1" w:styleId="notemargin">
    <w:name w:val="note(margin)"/>
    <w:aliases w:val="nm"/>
    <w:basedOn w:val="OPCParaBase"/>
    <w:rsid w:val="001A6F73"/>
    <w:pPr>
      <w:tabs>
        <w:tab w:val="left" w:pos="709"/>
      </w:tabs>
      <w:spacing w:before="122" w:line="198" w:lineRule="exact"/>
      <w:ind w:left="709" w:hanging="709"/>
    </w:pPr>
    <w:rPr>
      <w:sz w:val="18"/>
    </w:rPr>
  </w:style>
  <w:style w:type="paragraph" w:customStyle="1" w:styleId="noteToPara">
    <w:name w:val="noteToPara"/>
    <w:aliases w:val="ntp"/>
    <w:basedOn w:val="OPCParaBase"/>
    <w:rsid w:val="001A6F73"/>
    <w:pPr>
      <w:spacing w:before="122" w:line="198" w:lineRule="exact"/>
      <w:ind w:left="2353" w:hanging="709"/>
    </w:pPr>
    <w:rPr>
      <w:sz w:val="18"/>
    </w:rPr>
  </w:style>
  <w:style w:type="paragraph" w:customStyle="1" w:styleId="noteParlAmend">
    <w:name w:val="note(ParlAmend)"/>
    <w:aliases w:val="npp"/>
    <w:basedOn w:val="OPCParaBase"/>
    <w:next w:val="ParlAmend"/>
    <w:rsid w:val="001A6F73"/>
    <w:pPr>
      <w:spacing w:line="240" w:lineRule="auto"/>
      <w:jc w:val="right"/>
    </w:pPr>
    <w:rPr>
      <w:rFonts w:ascii="Arial" w:hAnsi="Arial"/>
      <w:b/>
      <w:i/>
    </w:rPr>
  </w:style>
  <w:style w:type="paragraph" w:customStyle="1" w:styleId="ParlAmend">
    <w:name w:val="ParlAmend"/>
    <w:aliases w:val="pp"/>
    <w:basedOn w:val="OPCParaBase"/>
    <w:rsid w:val="001A6F73"/>
    <w:pPr>
      <w:spacing w:before="240" w:line="240" w:lineRule="atLeast"/>
      <w:ind w:hanging="567"/>
    </w:pPr>
    <w:rPr>
      <w:sz w:val="24"/>
    </w:rPr>
  </w:style>
  <w:style w:type="paragraph" w:customStyle="1" w:styleId="notetext">
    <w:name w:val="note(text)"/>
    <w:aliases w:val="n"/>
    <w:basedOn w:val="OPCParaBase"/>
    <w:rsid w:val="001A6F73"/>
    <w:pPr>
      <w:spacing w:before="122" w:line="240" w:lineRule="auto"/>
      <w:ind w:left="1985" w:hanging="851"/>
    </w:pPr>
    <w:rPr>
      <w:sz w:val="18"/>
    </w:rPr>
  </w:style>
  <w:style w:type="paragraph" w:customStyle="1" w:styleId="Page1">
    <w:name w:val="Page1"/>
    <w:basedOn w:val="OPCParaBase"/>
    <w:rsid w:val="001A6F73"/>
    <w:pPr>
      <w:spacing w:before="5600" w:line="240" w:lineRule="auto"/>
    </w:pPr>
    <w:rPr>
      <w:b/>
      <w:sz w:val="32"/>
    </w:rPr>
  </w:style>
  <w:style w:type="paragraph" w:customStyle="1" w:styleId="PageBreak">
    <w:name w:val="PageBreak"/>
    <w:aliases w:val="pb"/>
    <w:basedOn w:val="OPCParaBase"/>
    <w:rsid w:val="001A6F73"/>
    <w:pPr>
      <w:spacing w:line="240" w:lineRule="auto"/>
    </w:pPr>
    <w:rPr>
      <w:sz w:val="20"/>
    </w:rPr>
  </w:style>
  <w:style w:type="paragraph" w:customStyle="1" w:styleId="paragraphsub">
    <w:name w:val="paragraph(sub)"/>
    <w:aliases w:val="aa"/>
    <w:basedOn w:val="OPCParaBase"/>
    <w:rsid w:val="001A6F73"/>
    <w:pPr>
      <w:tabs>
        <w:tab w:val="right" w:pos="1985"/>
      </w:tabs>
      <w:spacing w:before="40" w:line="240" w:lineRule="auto"/>
      <w:ind w:left="2098" w:hanging="2098"/>
    </w:pPr>
  </w:style>
  <w:style w:type="paragraph" w:customStyle="1" w:styleId="paragraphsub-sub">
    <w:name w:val="paragraph(sub-sub)"/>
    <w:aliases w:val="aaa"/>
    <w:basedOn w:val="OPCParaBase"/>
    <w:rsid w:val="001A6F73"/>
    <w:pPr>
      <w:tabs>
        <w:tab w:val="right" w:pos="2722"/>
      </w:tabs>
      <w:spacing w:before="40" w:line="240" w:lineRule="auto"/>
      <w:ind w:left="2835" w:hanging="2835"/>
    </w:pPr>
  </w:style>
  <w:style w:type="paragraph" w:customStyle="1" w:styleId="paragraph">
    <w:name w:val="paragraph"/>
    <w:aliases w:val="a"/>
    <w:basedOn w:val="OPCParaBase"/>
    <w:rsid w:val="001A6F73"/>
    <w:pPr>
      <w:tabs>
        <w:tab w:val="right" w:pos="1531"/>
      </w:tabs>
      <w:spacing w:before="40" w:line="240" w:lineRule="auto"/>
      <w:ind w:left="1644" w:hanging="1644"/>
    </w:pPr>
  </w:style>
  <w:style w:type="paragraph" w:customStyle="1" w:styleId="Penalty">
    <w:name w:val="Penalty"/>
    <w:basedOn w:val="OPCParaBase"/>
    <w:rsid w:val="001A6F73"/>
    <w:pPr>
      <w:tabs>
        <w:tab w:val="left" w:pos="2977"/>
      </w:tabs>
      <w:spacing w:before="180" w:line="240" w:lineRule="auto"/>
      <w:ind w:left="1985" w:hanging="851"/>
    </w:pPr>
  </w:style>
  <w:style w:type="paragraph" w:customStyle="1" w:styleId="Portfolio">
    <w:name w:val="Portfolio"/>
    <w:basedOn w:val="OPCParaBase"/>
    <w:rsid w:val="001A6F73"/>
    <w:pPr>
      <w:spacing w:line="240" w:lineRule="auto"/>
    </w:pPr>
    <w:rPr>
      <w:i/>
      <w:sz w:val="20"/>
    </w:rPr>
  </w:style>
  <w:style w:type="paragraph" w:customStyle="1" w:styleId="Preamble">
    <w:name w:val="Preamble"/>
    <w:basedOn w:val="OPCParaBase"/>
    <w:next w:val="Normal"/>
    <w:rsid w:val="001A6F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6F73"/>
    <w:pPr>
      <w:spacing w:line="240" w:lineRule="auto"/>
    </w:pPr>
    <w:rPr>
      <w:i/>
      <w:sz w:val="20"/>
    </w:rPr>
  </w:style>
  <w:style w:type="paragraph" w:customStyle="1" w:styleId="Session">
    <w:name w:val="Session"/>
    <w:basedOn w:val="OPCParaBase"/>
    <w:rsid w:val="001A6F73"/>
    <w:pPr>
      <w:spacing w:line="240" w:lineRule="auto"/>
    </w:pPr>
    <w:rPr>
      <w:sz w:val="28"/>
    </w:rPr>
  </w:style>
  <w:style w:type="paragraph" w:customStyle="1" w:styleId="Sponsor">
    <w:name w:val="Sponsor"/>
    <w:basedOn w:val="OPCParaBase"/>
    <w:rsid w:val="001A6F73"/>
    <w:pPr>
      <w:spacing w:line="240" w:lineRule="auto"/>
    </w:pPr>
    <w:rPr>
      <w:i/>
    </w:rPr>
  </w:style>
  <w:style w:type="paragraph" w:customStyle="1" w:styleId="Subitem">
    <w:name w:val="Subitem"/>
    <w:aliases w:val="iss"/>
    <w:basedOn w:val="OPCParaBase"/>
    <w:rsid w:val="001A6F73"/>
    <w:pPr>
      <w:spacing w:before="180" w:line="240" w:lineRule="auto"/>
      <w:ind w:left="709" w:hanging="709"/>
    </w:pPr>
  </w:style>
  <w:style w:type="paragraph" w:customStyle="1" w:styleId="SubitemHead">
    <w:name w:val="SubitemHead"/>
    <w:aliases w:val="issh"/>
    <w:basedOn w:val="OPCParaBase"/>
    <w:rsid w:val="001A6F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A6F73"/>
    <w:pPr>
      <w:spacing w:before="40" w:line="240" w:lineRule="auto"/>
      <w:ind w:left="1134"/>
    </w:pPr>
  </w:style>
  <w:style w:type="character" w:customStyle="1" w:styleId="subsection2Char">
    <w:name w:val="subsection2 Char"/>
    <w:aliases w:val="ss2 Char"/>
    <w:basedOn w:val="DefaultParagraphFont"/>
    <w:link w:val="subsection2"/>
    <w:rsid w:val="00C609B3"/>
    <w:rPr>
      <w:rFonts w:eastAsia="Times New Roman" w:cs="Times New Roman"/>
      <w:sz w:val="22"/>
      <w:lang w:eastAsia="en-AU"/>
    </w:rPr>
  </w:style>
  <w:style w:type="paragraph" w:customStyle="1" w:styleId="SubsectionHead">
    <w:name w:val="SubsectionHead"/>
    <w:aliases w:val="ssh"/>
    <w:basedOn w:val="OPCParaBase"/>
    <w:next w:val="subsection"/>
    <w:rsid w:val="001A6F73"/>
    <w:pPr>
      <w:keepNext/>
      <w:keepLines/>
      <w:spacing w:before="240" w:line="240" w:lineRule="auto"/>
      <w:ind w:left="1134"/>
    </w:pPr>
    <w:rPr>
      <w:i/>
    </w:rPr>
  </w:style>
  <w:style w:type="paragraph" w:customStyle="1" w:styleId="Tablea">
    <w:name w:val="Table(a)"/>
    <w:aliases w:val="ta"/>
    <w:basedOn w:val="OPCParaBase"/>
    <w:rsid w:val="001A6F73"/>
    <w:pPr>
      <w:spacing w:before="60" w:line="240" w:lineRule="auto"/>
      <w:ind w:left="284" w:hanging="284"/>
    </w:pPr>
    <w:rPr>
      <w:sz w:val="20"/>
    </w:rPr>
  </w:style>
  <w:style w:type="paragraph" w:customStyle="1" w:styleId="TableAA">
    <w:name w:val="Table(AA)"/>
    <w:aliases w:val="taaa"/>
    <w:basedOn w:val="OPCParaBase"/>
    <w:rsid w:val="001A6F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6F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6F73"/>
    <w:pPr>
      <w:spacing w:before="60" w:line="240" w:lineRule="atLeast"/>
    </w:pPr>
    <w:rPr>
      <w:sz w:val="20"/>
    </w:rPr>
  </w:style>
  <w:style w:type="paragraph" w:customStyle="1" w:styleId="TLPBoxTextnote">
    <w:name w:val="TLPBoxText(note"/>
    <w:aliases w:val="right)"/>
    <w:basedOn w:val="OPCParaBase"/>
    <w:rsid w:val="001A6F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6F7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6F73"/>
    <w:pPr>
      <w:spacing w:before="122" w:line="198" w:lineRule="exact"/>
      <w:ind w:left="1985" w:hanging="851"/>
      <w:jc w:val="right"/>
    </w:pPr>
    <w:rPr>
      <w:sz w:val="18"/>
    </w:rPr>
  </w:style>
  <w:style w:type="paragraph" w:customStyle="1" w:styleId="TLPTableBullet">
    <w:name w:val="TLPTableBullet"/>
    <w:aliases w:val="ttb"/>
    <w:basedOn w:val="OPCParaBase"/>
    <w:rsid w:val="001A6F73"/>
    <w:pPr>
      <w:spacing w:line="240" w:lineRule="exact"/>
      <w:ind w:left="284" w:hanging="284"/>
    </w:pPr>
    <w:rPr>
      <w:sz w:val="20"/>
    </w:rPr>
  </w:style>
  <w:style w:type="paragraph" w:styleId="TOC1">
    <w:name w:val="toc 1"/>
    <w:basedOn w:val="OPCParaBase"/>
    <w:next w:val="Normal"/>
    <w:uiPriority w:val="39"/>
    <w:unhideWhenUsed/>
    <w:rsid w:val="001A6F7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A6F7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A6F7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A6F7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A6F7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A6F7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A6F7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A6F7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A6F7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A6F73"/>
    <w:pPr>
      <w:keepLines/>
      <w:spacing w:before="240" w:after="120" w:line="240" w:lineRule="auto"/>
      <w:ind w:left="794"/>
    </w:pPr>
    <w:rPr>
      <w:b/>
      <w:kern w:val="28"/>
      <w:sz w:val="20"/>
    </w:rPr>
  </w:style>
  <w:style w:type="paragraph" w:customStyle="1" w:styleId="TofSectsSection">
    <w:name w:val="TofSects(Section)"/>
    <w:basedOn w:val="OPCParaBase"/>
    <w:rsid w:val="001A6F73"/>
    <w:pPr>
      <w:keepLines/>
      <w:spacing w:before="40" w:line="240" w:lineRule="auto"/>
      <w:ind w:left="1588" w:hanging="794"/>
    </w:pPr>
    <w:rPr>
      <w:kern w:val="28"/>
      <w:sz w:val="18"/>
    </w:rPr>
  </w:style>
  <w:style w:type="paragraph" w:customStyle="1" w:styleId="TofSectsHeading">
    <w:name w:val="TofSects(Heading)"/>
    <w:basedOn w:val="OPCParaBase"/>
    <w:rsid w:val="001A6F73"/>
    <w:pPr>
      <w:spacing w:before="240" w:after="120" w:line="240" w:lineRule="auto"/>
    </w:pPr>
    <w:rPr>
      <w:b/>
      <w:sz w:val="24"/>
    </w:rPr>
  </w:style>
  <w:style w:type="paragraph" w:customStyle="1" w:styleId="TofSectsSubdiv">
    <w:name w:val="TofSects(Subdiv)"/>
    <w:basedOn w:val="OPCParaBase"/>
    <w:rsid w:val="001A6F73"/>
    <w:pPr>
      <w:keepLines/>
      <w:spacing w:before="80" w:line="240" w:lineRule="auto"/>
      <w:ind w:left="1588" w:hanging="794"/>
    </w:pPr>
    <w:rPr>
      <w:kern w:val="28"/>
    </w:rPr>
  </w:style>
  <w:style w:type="paragraph" w:customStyle="1" w:styleId="WRStyle">
    <w:name w:val="WR Style"/>
    <w:aliases w:val="WR"/>
    <w:basedOn w:val="OPCParaBase"/>
    <w:rsid w:val="001A6F73"/>
    <w:pPr>
      <w:spacing w:before="240" w:line="240" w:lineRule="auto"/>
      <w:ind w:left="284" w:hanging="284"/>
    </w:pPr>
    <w:rPr>
      <w:b/>
      <w:i/>
      <w:kern w:val="28"/>
      <w:sz w:val="24"/>
    </w:rPr>
  </w:style>
  <w:style w:type="paragraph" w:customStyle="1" w:styleId="notepara">
    <w:name w:val="note(para)"/>
    <w:aliases w:val="na"/>
    <w:basedOn w:val="OPCParaBase"/>
    <w:rsid w:val="001A6F73"/>
    <w:pPr>
      <w:spacing w:before="40" w:line="198" w:lineRule="exact"/>
      <w:ind w:left="2354" w:hanging="369"/>
    </w:pPr>
    <w:rPr>
      <w:sz w:val="18"/>
    </w:rPr>
  </w:style>
  <w:style w:type="paragraph" w:styleId="Footer">
    <w:name w:val="footer"/>
    <w:link w:val="FooterChar"/>
    <w:rsid w:val="001A6F7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A6F73"/>
    <w:rPr>
      <w:rFonts w:eastAsia="Times New Roman" w:cs="Times New Roman"/>
      <w:sz w:val="22"/>
      <w:szCs w:val="24"/>
      <w:lang w:eastAsia="en-AU"/>
    </w:rPr>
  </w:style>
  <w:style w:type="character" w:styleId="LineNumber">
    <w:name w:val="line number"/>
    <w:basedOn w:val="OPCCharBase"/>
    <w:uiPriority w:val="99"/>
    <w:semiHidden/>
    <w:unhideWhenUsed/>
    <w:rsid w:val="001A6F73"/>
    <w:rPr>
      <w:sz w:val="16"/>
    </w:rPr>
  </w:style>
  <w:style w:type="table" w:customStyle="1" w:styleId="CFlag">
    <w:name w:val="CFlag"/>
    <w:basedOn w:val="TableNormal"/>
    <w:uiPriority w:val="99"/>
    <w:rsid w:val="001A6F73"/>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6F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F73"/>
    <w:rPr>
      <w:rFonts w:ascii="Tahoma" w:hAnsi="Tahoma" w:cs="Tahoma"/>
      <w:sz w:val="16"/>
      <w:szCs w:val="16"/>
    </w:rPr>
  </w:style>
  <w:style w:type="table" w:styleId="TableGrid">
    <w:name w:val="Table Grid"/>
    <w:basedOn w:val="TableNormal"/>
    <w:uiPriority w:val="59"/>
    <w:rsid w:val="001A6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A6F73"/>
    <w:rPr>
      <w:b/>
      <w:sz w:val="28"/>
      <w:szCs w:val="32"/>
    </w:rPr>
  </w:style>
  <w:style w:type="paragraph" w:customStyle="1" w:styleId="TerritoryT">
    <w:name w:val="TerritoryT"/>
    <w:basedOn w:val="OPCParaBase"/>
    <w:next w:val="Normal"/>
    <w:rsid w:val="001A6F73"/>
    <w:rPr>
      <w:b/>
      <w:sz w:val="32"/>
    </w:rPr>
  </w:style>
  <w:style w:type="paragraph" w:customStyle="1" w:styleId="LegislationMadeUnder">
    <w:name w:val="LegislationMadeUnder"/>
    <w:basedOn w:val="OPCParaBase"/>
    <w:next w:val="Normal"/>
    <w:rsid w:val="001A6F73"/>
    <w:rPr>
      <w:i/>
      <w:sz w:val="32"/>
      <w:szCs w:val="32"/>
    </w:rPr>
  </w:style>
  <w:style w:type="paragraph" w:customStyle="1" w:styleId="SignCoverPageEnd">
    <w:name w:val="SignCoverPageEnd"/>
    <w:basedOn w:val="OPCParaBase"/>
    <w:next w:val="Normal"/>
    <w:rsid w:val="001A6F7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A6F73"/>
    <w:pPr>
      <w:pBdr>
        <w:top w:val="single" w:sz="4" w:space="1" w:color="auto"/>
      </w:pBdr>
      <w:spacing w:before="360"/>
      <w:ind w:right="397"/>
      <w:jc w:val="both"/>
    </w:pPr>
  </w:style>
  <w:style w:type="paragraph" w:customStyle="1" w:styleId="NotesHeading2">
    <w:name w:val="NotesHeading 2"/>
    <w:basedOn w:val="OPCParaBase"/>
    <w:next w:val="Normal"/>
    <w:rsid w:val="001A6F73"/>
    <w:rPr>
      <w:b/>
      <w:sz w:val="28"/>
      <w:szCs w:val="28"/>
    </w:rPr>
  </w:style>
  <w:style w:type="paragraph" w:customStyle="1" w:styleId="NotesHeading1">
    <w:name w:val="NotesHeading 1"/>
    <w:basedOn w:val="OPCParaBase"/>
    <w:next w:val="Normal"/>
    <w:rsid w:val="001A6F73"/>
    <w:rPr>
      <w:b/>
      <w:sz w:val="28"/>
      <w:szCs w:val="28"/>
    </w:rPr>
  </w:style>
  <w:style w:type="paragraph" w:customStyle="1" w:styleId="CompiledActNo">
    <w:name w:val="CompiledActNo"/>
    <w:basedOn w:val="OPCParaBase"/>
    <w:next w:val="Normal"/>
    <w:rsid w:val="001A6F73"/>
    <w:rPr>
      <w:b/>
      <w:sz w:val="24"/>
      <w:szCs w:val="24"/>
    </w:rPr>
  </w:style>
  <w:style w:type="paragraph" w:customStyle="1" w:styleId="ENotesText">
    <w:name w:val="ENotesText"/>
    <w:aliases w:val="Ent"/>
    <w:basedOn w:val="OPCParaBase"/>
    <w:next w:val="Normal"/>
    <w:rsid w:val="001A6F73"/>
    <w:pPr>
      <w:spacing w:before="120"/>
    </w:pPr>
  </w:style>
  <w:style w:type="paragraph" w:customStyle="1" w:styleId="CompiledMadeUnder">
    <w:name w:val="CompiledMadeUnder"/>
    <w:basedOn w:val="OPCParaBase"/>
    <w:next w:val="Normal"/>
    <w:rsid w:val="001A6F73"/>
    <w:rPr>
      <w:i/>
      <w:sz w:val="24"/>
      <w:szCs w:val="24"/>
    </w:rPr>
  </w:style>
  <w:style w:type="paragraph" w:customStyle="1" w:styleId="Paragraphsub-sub-sub">
    <w:name w:val="Paragraph(sub-sub-sub)"/>
    <w:aliases w:val="aaaa"/>
    <w:basedOn w:val="OPCParaBase"/>
    <w:rsid w:val="001A6F73"/>
    <w:pPr>
      <w:tabs>
        <w:tab w:val="right" w:pos="3402"/>
      </w:tabs>
      <w:spacing w:before="40" w:line="240" w:lineRule="auto"/>
      <w:ind w:left="3402" w:hanging="3402"/>
    </w:pPr>
  </w:style>
  <w:style w:type="paragraph" w:customStyle="1" w:styleId="TableTextEndNotes">
    <w:name w:val="TableTextEndNotes"/>
    <w:aliases w:val="Tten"/>
    <w:basedOn w:val="Normal"/>
    <w:rsid w:val="001A6F73"/>
    <w:pPr>
      <w:spacing w:before="60" w:line="240" w:lineRule="auto"/>
    </w:pPr>
    <w:rPr>
      <w:rFonts w:cs="Arial"/>
      <w:sz w:val="20"/>
      <w:szCs w:val="22"/>
    </w:rPr>
  </w:style>
  <w:style w:type="paragraph" w:customStyle="1" w:styleId="NoteToSubpara">
    <w:name w:val="NoteToSubpara"/>
    <w:aliases w:val="nts"/>
    <w:basedOn w:val="OPCParaBase"/>
    <w:rsid w:val="001A6F73"/>
    <w:pPr>
      <w:spacing w:before="40" w:line="198" w:lineRule="exact"/>
      <w:ind w:left="2835" w:hanging="709"/>
    </w:pPr>
    <w:rPr>
      <w:sz w:val="18"/>
    </w:rPr>
  </w:style>
  <w:style w:type="paragraph" w:customStyle="1" w:styleId="ENoteTableHeading">
    <w:name w:val="ENoteTableHeading"/>
    <w:aliases w:val="enth"/>
    <w:basedOn w:val="OPCParaBase"/>
    <w:rsid w:val="001A6F73"/>
    <w:pPr>
      <w:keepNext/>
      <w:spacing w:before="60" w:line="240" w:lineRule="atLeast"/>
    </w:pPr>
    <w:rPr>
      <w:rFonts w:ascii="Arial" w:hAnsi="Arial"/>
      <w:b/>
      <w:sz w:val="16"/>
    </w:rPr>
  </w:style>
  <w:style w:type="paragraph" w:customStyle="1" w:styleId="ENoteTTi">
    <w:name w:val="ENoteTTi"/>
    <w:aliases w:val="entti"/>
    <w:basedOn w:val="OPCParaBase"/>
    <w:rsid w:val="001A6F73"/>
    <w:pPr>
      <w:keepNext/>
      <w:spacing w:before="60" w:line="240" w:lineRule="atLeast"/>
      <w:ind w:left="170"/>
    </w:pPr>
    <w:rPr>
      <w:sz w:val="16"/>
    </w:rPr>
  </w:style>
  <w:style w:type="paragraph" w:customStyle="1" w:styleId="ENotesHeading1">
    <w:name w:val="ENotesHeading 1"/>
    <w:aliases w:val="Enh1"/>
    <w:basedOn w:val="OPCParaBase"/>
    <w:next w:val="Normal"/>
    <w:rsid w:val="001A6F73"/>
    <w:pPr>
      <w:spacing w:before="120"/>
      <w:outlineLvl w:val="1"/>
    </w:pPr>
    <w:rPr>
      <w:b/>
      <w:sz w:val="28"/>
      <w:szCs w:val="28"/>
    </w:rPr>
  </w:style>
  <w:style w:type="paragraph" w:customStyle="1" w:styleId="ENotesHeading2">
    <w:name w:val="ENotesHeading 2"/>
    <w:aliases w:val="Enh2"/>
    <w:basedOn w:val="OPCParaBase"/>
    <w:next w:val="Normal"/>
    <w:rsid w:val="001A6F73"/>
    <w:pPr>
      <w:spacing w:before="120" w:after="120"/>
      <w:outlineLvl w:val="2"/>
    </w:pPr>
    <w:rPr>
      <w:b/>
      <w:sz w:val="24"/>
      <w:szCs w:val="28"/>
    </w:rPr>
  </w:style>
  <w:style w:type="paragraph" w:customStyle="1" w:styleId="ENoteTTIndentHeading">
    <w:name w:val="ENoteTTIndentHeading"/>
    <w:aliases w:val="enTTHi"/>
    <w:basedOn w:val="OPCParaBase"/>
    <w:rsid w:val="001A6F7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6F73"/>
    <w:pPr>
      <w:spacing w:before="60" w:line="240" w:lineRule="atLeast"/>
    </w:pPr>
    <w:rPr>
      <w:sz w:val="16"/>
    </w:rPr>
  </w:style>
  <w:style w:type="paragraph" w:customStyle="1" w:styleId="MadeunderText">
    <w:name w:val="MadeunderText"/>
    <w:basedOn w:val="OPCParaBase"/>
    <w:next w:val="CompiledMadeUnder"/>
    <w:rsid w:val="001A6F73"/>
    <w:pPr>
      <w:spacing w:before="240"/>
    </w:pPr>
    <w:rPr>
      <w:sz w:val="24"/>
      <w:szCs w:val="24"/>
    </w:rPr>
  </w:style>
  <w:style w:type="paragraph" w:customStyle="1" w:styleId="ENotesHeading3">
    <w:name w:val="ENotesHeading 3"/>
    <w:aliases w:val="Enh3"/>
    <w:basedOn w:val="OPCParaBase"/>
    <w:next w:val="Normal"/>
    <w:rsid w:val="001A6F73"/>
    <w:pPr>
      <w:keepNext/>
      <w:spacing w:before="120" w:line="240" w:lineRule="auto"/>
      <w:outlineLvl w:val="4"/>
    </w:pPr>
    <w:rPr>
      <w:b/>
      <w:szCs w:val="24"/>
    </w:rPr>
  </w:style>
  <w:style w:type="paragraph" w:customStyle="1" w:styleId="SubPartCASA">
    <w:name w:val="SubPart(CASA)"/>
    <w:aliases w:val="csp"/>
    <w:basedOn w:val="OPCParaBase"/>
    <w:next w:val="ActHead3"/>
    <w:rsid w:val="001A6F73"/>
    <w:pPr>
      <w:keepNext/>
      <w:keepLines/>
      <w:spacing w:before="280"/>
      <w:outlineLvl w:val="1"/>
    </w:pPr>
    <w:rPr>
      <w:b/>
      <w:kern w:val="28"/>
      <w:sz w:val="32"/>
    </w:rPr>
  </w:style>
  <w:style w:type="character" w:customStyle="1" w:styleId="CharSubPartTextCASA">
    <w:name w:val="CharSubPartText(CASA)"/>
    <w:basedOn w:val="OPCCharBase"/>
    <w:uiPriority w:val="1"/>
    <w:rsid w:val="001A6F73"/>
  </w:style>
  <w:style w:type="character" w:customStyle="1" w:styleId="CharSubPartNoCASA">
    <w:name w:val="CharSubPartNo(CASA)"/>
    <w:basedOn w:val="OPCCharBase"/>
    <w:uiPriority w:val="1"/>
    <w:rsid w:val="001A6F73"/>
  </w:style>
  <w:style w:type="paragraph" w:customStyle="1" w:styleId="ENoteTTIndentHeadingSub">
    <w:name w:val="ENoteTTIndentHeadingSub"/>
    <w:aliases w:val="enTTHis"/>
    <w:basedOn w:val="OPCParaBase"/>
    <w:rsid w:val="001A6F73"/>
    <w:pPr>
      <w:keepNext/>
      <w:spacing w:before="60" w:line="240" w:lineRule="atLeast"/>
      <w:ind w:left="340"/>
    </w:pPr>
    <w:rPr>
      <w:b/>
      <w:sz w:val="16"/>
    </w:rPr>
  </w:style>
  <w:style w:type="paragraph" w:customStyle="1" w:styleId="ENoteTTiSub">
    <w:name w:val="ENoteTTiSub"/>
    <w:aliases w:val="enttis"/>
    <w:basedOn w:val="OPCParaBase"/>
    <w:rsid w:val="001A6F73"/>
    <w:pPr>
      <w:keepNext/>
      <w:spacing w:before="60" w:line="240" w:lineRule="atLeast"/>
      <w:ind w:left="340"/>
    </w:pPr>
    <w:rPr>
      <w:sz w:val="16"/>
    </w:rPr>
  </w:style>
  <w:style w:type="paragraph" w:customStyle="1" w:styleId="SubDivisionMigration">
    <w:name w:val="SubDivisionMigration"/>
    <w:aliases w:val="sdm"/>
    <w:basedOn w:val="OPCParaBase"/>
    <w:rsid w:val="001A6F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6F73"/>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1A6F7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A6F73"/>
    <w:rPr>
      <w:sz w:val="22"/>
    </w:rPr>
  </w:style>
  <w:style w:type="paragraph" w:customStyle="1" w:styleId="SOTextNote">
    <w:name w:val="SO TextNote"/>
    <w:aliases w:val="sont"/>
    <w:basedOn w:val="SOText"/>
    <w:qFormat/>
    <w:rsid w:val="001A6F73"/>
    <w:pPr>
      <w:spacing w:before="122" w:line="198" w:lineRule="exact"/>
      <w:ind w:left="1843" w:hanging="709"/>
    </w:pPr>
    <w:rPr>
      <w:sz w:val="18"/>
    </w:rPr>
  </w:style>
  <w:style w:type="paragraph" w:customStyle="1" w:styleId="SOPara">
    <w:name w:val="SO Para"/>
    <w:aliases w:val="soa"/>
    <w:basedOn w:val="SOText"/>
    <w:link w:val="SOParaChar"/>
    <w:qFormat/>
    <w:rsid w:val="001A6F73"/>
    <w:pPr>
      <w:tabs>
        <w:tab w:val="right" w:pos="1786"/>
      </w:tabs>
      <w:spacing w:before="40"/>
      <w:ind w:left="2070" w:hanging="936"/>
    </w:pPr>
  </w:style>
  <w:style w:type="character" w:customStyle="1" w:styleId="SOParaChar">
    <w:name w:val="SO Para Char"/>
    <w:aliases w:val="soa Char"/>
    <w:basedOn w:val="DefaultParagraphFont"/>
    <w:link w:val="SOPara"/>
    <w:rsid w:val="001A6F73"/>
    <w:rPr>
      <w:sz w:val="22"/>
    </w:rPr>
  </w:style>
  <w:style w:type="paragraph" w:customStyle="1" w:styleId="FileName">
    <w:name w:val="FileName"/>
    <w:basedOn w:val="Normal"/>
    <w:rsid w:val="001A6F73"/>
  </w:style>
  <w:style w:type="paragraph" w:customStyle="1" w:styleId="TableHeading">
    <w:name w:val="TableHeading"/>
    <w:aliases w:val="th"/>
    <w:basedOn w:val="OPCParaBase"/>
    <w:next w:val="Tabletext"/>
    <w:rsid w:val="001A6F73"/>
    <w:pPr>
      <w:keepNext/>
      <w:spacing w:before="60" w:line="240" w:lineRule="atLeast"/>
    </w:pPr>
    <w:rPr>
      <w:b/>
      <w:sz w:val="20"/>
    </w:rPr>
  </w:style>
  <w:style w:type="paragraph" w:customStyle="1" w:styleId="SOHeadBold">
    <w:name w:val="SO HeadBold"/>
    <w:aliases w:val="sohb"/>
    <w:basedOn w:val="SOText"/>
    <w:next w:val="SOText"/>
    <w:link w:val="SOHeadBoldChar"/>
    <w:qFormat/>
    <w:rsid w:val="001A6F73"/>
    <w:rPr>
      <w:b/>
    </w:rPr>
  </w:style>
  <w:style w:type="character" w:customStyle="1" w:styleId="SOHeadBoldChar">
    <w:name w:val="SO HeadBold Char"/>
    <w:aliases w:val="sohb Char"/>
    <w:basedOn w:val="DefaultParagraphFont"/>
    <w:link w:val="SOHeadBold"/>
    <w:rsid w:val="001A6F73"/>
    <w:rPr>
      <w:b/>
      <w:sz w:val="22"/>
    </w:rPr>
  </w:style>
  <w:style w:type="paragraph" w:customStyle="1" w:styleId="SOHeadItalic">
    <w:name w:val="SO HeadItalic"/>
    <w:aliases w:val="sohi"/>
    <w:basedOn w:val="SOText"/>
    <w:next w:val="SOText"/>
    <w:link w:val="SOHeadItalicChar"/>
    <w:qFormat/>
    <w:rsid w:val="001A6F73"/>
    <w:rPr>
      <w:i/>
    </w:rPr>
  </w:style>
  <w:style w:type="character" w:customStyle="1" w:styleId="SOHeadItalicChar">
    <w:name w:val="SO HeadItalic Char"/>
    <w:aliases w:val="sohi Char"/>
    <w:basedOn w:val="DefaultParagraphFont"/>
    <w:link w:val="SOHeadItalic"/>
    <w:rsid w:val="001A6F73"/>
    <w:rPr>
      <w:i/>
      <w:sz w:val="22"/>
    </w:rPr>
  </w:style>
  <w:style w:type="paragraph" w:customStyle="1" w:styleId="SOBullet">
    <w:name w:val="SO Bullet"/>
    <w:aliases w:val="sotb"/>
    <w:basedOn w:val="SOText"/>
    <w:link w:val="SOBulletChar"/>
    <w:qFormat/>
    <w:rsid w:val="001A6F73"/>
    <w:pPr>
      <w:ind w:left="1559" w:hanging="425"/>
    </w:pPr>
  </w:style>
  <w:style w:type="character" w:customStyle="1" w:styleId="SOBulletChar">
    <w:name w:val="SO Bullet Char"/>
    <w:aliases w:val="sotb Char"/>
    <w:basedOn w:val="DefaultParagraphFont"/>
    <w:link w:val="SOBullet"/>
    <w:rsid w:val="001A6F73"/>
    <w:rPr>
      <w:sz w:val="22"/>
    </w:rPr>
  </w:style>
  <w:style w:type="paragraph" w:customStyle="1" w:styleId="SOBulletNote">
    <w:name w:val="SO BulletNote"/>
    <w:aliases w:val="sonb"/>
    <w:basedOn w:val="SOTextNote"/>
    <w:link w:val="SOBulletNoteChar"/>
    <w:qFormat/>
    <w:rsid w:val="001A6F73"/>
    <w:pPr>
      <w:tabs>
        <w:tab w:val="left" w:pos="1560"/>
      </w:tabs>
      <w:ind w:left="2268" w:hanging="1134"/>
    </w:pPr>
  </w:style>
  <w:style w:type="character" w:customStyle="1" w:styleId="SOBulletNoteChar">
    <w:name w:val="SO BulletNote Char"/>
    <w:aliases w:val="sonb Char"/>
    <w:basedOn w:val="DefaultParagraphFont"/>
    <w:link w:val="SOBulletNote"/>
    <w:rsid w:val="001A6F73"/>
    <w:rPr>
      <w:sz w:val="18"/>
    </w:rPr>
  </w:style>
  <w:style w:type="paragraph" w:customStyle="1" w:styleId="SOText2">
    <w:name w:val="SO Text2"/>
    <w:aliases w:val="sot2"/>
    <w:basedOn w:val="Normal"/>
    <w:next w:val="SOText"/>
    <w:link w:val="SOText2Char"/>
    <w:rsid w:val="001A6F7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A6F73"/>
    <w:rPr>
      <w:sz w:val="22"/>
    </w:rPr>
  </w:style>
  <w:style w:type="character" w:styleId="CommentReference">
    <w:name w:val="annotation reference"/>
    <w:basedOn w:val="DefaultParagraphFont"/>
    <w:uiPriority w:val="99"/>
    <w:semiHidden/>
    <w:unhideWhenUsed/>
    <w:rsid w:val="000A4015"/>
    <w:rPr>
      <w:sz w:val="16"/>
      <w:szCs w:val="16"/>
    </w:rPr>
  </w:style>
  <w:style w:type="paragraph" w:styleId="CommentText">
    <w:name w:val="annotation text"/>
    <w:basedOn w:val="Normal"/>
    <w:link w:val="CommentTextChar"/>
    <w:uiPriority w:val="99"/>
    <w:unhideWhenUsed/>
    <w:rsid w:val="000A4015"/>
    <w:rPr>
      <w:rFonts w:eastAsia="Calibri" w:cs="Times New Roman"/>
      <w:sz w:val="20"/>
    </w:rPr>
  </w:style>
  <w:style w:type="character" w:customStyle="1" w:styleId="CommentTextChar">
    <w:name w:val="Comment Text Char"/>
    <w:basedOn w:val="DefaultParagraphFont"/>
    <w:link w:val="CommentText"/>
    <w:uiPriority w:val="99"/>
    <w:rsid w:val="000A4015"/>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6F73"/>
    <w:pPr>
      <w:spacing w:line="260" w:lineRule="atLeast"/>
    </w:pPr>
    <w:rPr>
      <w:sz w:val="22"/>
    </w:rPr>
  </w:style>
  <w:style w:type="paragraph" w:styleId="Heading1">
    <w:name w:val="heading 1"/>
    <w:basedOn w:val="Normal"/>
    <w:next w:val="Normal"/>
    <w:link w:val="Heading1Char"/>
    <w:qFormat/>
    <w:rsid w:val="00BD07D8"/>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BD07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07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07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D07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07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D07D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07D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D07D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7D8"/>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BD07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07D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D07D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D07D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D07D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D07D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D07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D07D8"/>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1A6F73"/>
  </w:style>
  <w:style w:type="paragraph" w:customStyle="1" w:styleId="OPCParaBase">
    <w:name w:val="OPCParaBase"/>
    <w:qFormat/>
    <w:rsid w:val="001A6F73"/>
    <w:pPr>
      <w:spacing w:line="260" w:lineRule="atLeast"/>
    </w:pPr>
    <w:rPr>
      <w:rFonts w:eastAsia="Times New Roman" w:cs="Times New Roman"/>
      <w:sz w:val="22"/>
      <w:lang w:eastAsia="en-AU"/>
    </w:rPr>
  </w:style>
  <w:style w:type="paragraph" w:customStyle="1" w:styleId="ShortT">
    <w:name w:val="ShortT"/>
    <w:basedOn w:val="OPCParaBase"/>
    <w:next w:val="Normal"/>
    <w:qFormat/>
    <w:rsid w:val="001A6F73"/>
    <w:pPr>
      <w:spacing w:line="240" w:lineRule="auto"/>
    </w:pPr>
    <w:rPr>
      <w:b/>
      <w:sz w:val="40"/>
    </w:rPr>
  </w:style>
  <w:style w:type="paragraph" w:customStyle="1" w:styleId="ActHead1">
    <w:name w:val="ActHead 1"/>
    <w:aliases w:val="c"/>
    <w:basedOn w:val="OPCParaBase"/>
    <w:next w:val="Normal"/>
    <w:qFormat/>
    <w:rsid w:val="001A6F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A6F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A6F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6F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A6F73"/>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1A6F73"/>
    <w:pPr>
      <w:tabs>
        <w:tab w:val="right" w:pos="1021"/>
      </w:tabs>
      <w:spacing w:before="180" w:line="240" w:lineRule="auto"/>
      <w:ind w:left="1134" w:hanging="1134"/>
    </w:pPr>
  </w:style>
  <w:style w:type="paragraph" w:customStyle="1" w:styleId="ActHead6">
    <w:name w:val="ActHead 6"/>
    <w:aliases w:val="as"/>
    <w:basedOn w:val="OPCParaBase"/>
    <w:next w:val="ActHead7"/>
    <w:qFormat/>
    <w:rsid w:val="001A6F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6F73"/>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A6F73"/>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A6F73"/>
    <w:pPr>
      <w:keepLines/>
      <w:spacing w:before="80" w:line="240" w:lineRule="auto"/>
      <w:ind w:left="709"/>
    </w:pPr>
  </w:style>
  <w:style w:type="paragraph" w:customStyle="1" w:styleId="ActHead8">
    <w:name w:val="ActHead 8"/>
    <w:aliases w:val="ad"/>
    <w:basedOn w:val="OPCParaBase"/>
    <w:next w:val="ItemHead"/>
    <w:qFormat/>
    <w:rsid w:val="001A6F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6F7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A6F73"/>
  </w:style>
  <w:style w:type="paragraph" w:customStyle="1" w:styleId="Blocks">
    <w:name w:val="Blocks"/>
    <w:aliases w:val="bb"/>
    <w:basedOn w:val="OPCParaBase"/>
    <w:qFormat/>
    <w:rsid w:val="001A6F73"/>
    <w:pPr>
      <w:spacing w:line="240" w:lineRule="auto"/>
    </w:pPr>
    <w:rPr>
      <w:sz w:val="24"/>
    </w:rPr>
  </w:style>
  <w:style w:type="paragraph" w:customStyle="1" w:styleId="BoxText">
    <w:name w:val="BoxText"/>
    <w:aliases w:val="bt"/>
    <w:basedOn w:val="OPCParaBase"/>
    <w:qFormat/>
    <w:rsid w:val="001A6F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6F73"/>
    <w:rPr>
      <w:b/>
    </w:rPr>
  </w:style>
  <w:style w:type="paragraph" w:customStyle="1" w:styleId="BoxHeadItalic">
    <w:name w:val="BoxHeadItalic"/>
    <w:aliases w:val="bhi"/>
    <w:basedOn w:val="BoxText"/>
    <w:next w:val="BoxStep"/>
    <w:qFormat/>
    <w:rsid w:val="001A6F73"/>
    <w:rPr>
      <w:i/>
    </w:rPr>
  </w:style>
  <w:style w:type="paragraph" w:customStyle="1" w:styleId="BoxStep">
    <w:name w:val="BoxStep"/>
    <w:aliases w:val="bs"/>
    <w:basedOn w:val="BoxText"/>
    <w:qFormat/>
    <w:rsid w:val="001A6F73"/>
    <w:pPr>
      <w:ind w:left="1985" w:hanging="851"/>
    </w:pPr>
  </w:style>
  <w:style w:type="paragraph" w:customStyle="1" w:styleId="BoxList">
    <w:name w:val="BoxList"/>
    <w:aliases w:val="bl"/>
    <w:basedOn w:val="BoxText"/>
    <w:qFormat/>
    <w:rsid w:val="001A6F73"/>
    <w:pPr>
      <w:ind w:left="1559" w:hanging="425"/>
    </w:pPr>
  </w:style>
  <w:style w:type="paragraph" w:customStyle="1" w:styleId="BoxNote">
    <w:name w:val="BoxNote"/>
    <w:aliases w:val="bn"/>
    <w:basedOn w:val="BoxText"/>
    <w:qFormat/>
    <w:rsid w:val="001A6F73"/>
    <w:pPr>
      <w:tabs>
        <w:tab w:val="left" w:pos="1985"/>
      </w:tabs>
      <w:spacing w:before="122" w:line="198" w:lineRule="exact"/>
      <w:ind w:left="2948" w:hanging="1814"/>
    </w:pPr>
    <w:rPr>
      <w:sz w:val="18"/>
    </w:rPr>
  </w:style>
  <w:style w:type="paragraph" w:customStyle="1" w:styleId="BoxPara">
    <w:name w:val="BoxPara"/>
    <w:aliases w:val="bp"/>
    <w:basedOn w:val="BoxText"/>
    <w:qFormat/>
    <w:rsid w:val="001A6F73"/>
    <w:pPr>
      <w:tabs>
        <w:tab w:val="right" w:pos="2268"/>
      </w:tabs>
      <w:ind w:left="2552" w:hanging="1418"/>
    </w:pPr>
  </w:style>
  <w:style w:type="character" w:customStyle="1" w:styleId="CharAmPartNo">
    <w:name w:val="CharAmPartNo"/>
    <w:basedOn w:val="OPCCharBase"/>
    <w:uiPriority w:val="1"/>
    <w:qFormat/>
    <w:rsid w:val="001A6F73"/>
  </w:style>
  <w:style w:type="character" w:customStyle="1" w:styleId="CharAmPartText">
    <w:name w:val="CharAmPartText"/>
    <w:basedOn w:val="OPCCharBase"/>
    <w:uiPriority w:val="1"/>
    <w:qFormat/>
    <w:rsid w:val="001A6F73"/>
  </w:style>
  <w:style w:type="character" w:customStyle="1" w:styleId="CharAmSchNo">
    <w:name w:val="CharAmSchNo"/>
    <w:basedOn w:val="OPCCharBase"/>
    <w:uiPriority w:val="1"/>
    <w:qFormat/>
    <w:rsid w:val="001A6F73"/>
  </w:style>
  <w:style w:type="character" w:customStyle="1" w:styleId="CharAmSchText">
    <w:name w:val="CharAmSchText"/>
    <w:basedOn w:val="OPCCharBase"/>
    <w:uiPriority w:val="1"/>
    <w:qFormat/>
    <w:rsid w:val="001A6F73"/>
  </w:style>
  <w:style w:type="character" w:customStyle="1" w:styleId="CharBoldItalic">
    <w:name w:val="CharBoldItalic"/>
    <w:basedOn w:val="OPCCharBase"/>
    <w:uiPriority w:val="1"/>
    <w:qFormat/>
    <w:rsid w:val="001A6F73"/>
    <w:rPr>
      <w:b/>
      <w:i/>
    </w:rPr>
  </w:style>
  <w:style w:type="character" w:customStyle="1" w:styleId="CharChapNo">
    <w:name w:val="CharChapNo"/>
    <w:basedOn w:val="OPCCharBase"/>
    <w:qFormat/>
    <w:rsid w:val="001A6F73"/>
  </w:style>
  <w:style w:type="character" w:customStyle="1" w:styleId="CharChapText">
    <w:name w:val="CharChapText"/>
    <w:basedOn w:val="OPCCharBase"/>
    <w:qFormat/>
    <w:rsid w:val="001A6F73"/>
  </w:style>
  <w:style w:type="character" w:customStyle="1" w:styleId="CharDivNo">
    <w:name w:val="CharDivNo"/>
    <w:basedOn w:val="OPCCharBase"/>
    <w:qFormat/>
    <w:rsid w:val="001A6F73"/>
  </w:style>
  <w:style w:type="character" w:customStyle="1" w:styleId="CharDivText">
    <w:name w:val="CharDivText"/>
    <w:basedOn w:val="OPCCharBase"/>
    <w:qFormat/>
    <w:rsid w:val="001A6F73"/>
  </w:style>
  <w:style w:type="character" w:customStyle="1" w:styleId="CharItalic">
    <w:name w:val="CharItalic"/>
    <w:basedOn w:val="OPCCharBase"/>
    <w:uiPriority w:val="1"/>
    <w:qFormat/>
    <w:rsid w:val="001A6F73"/>
    <w:rPr>
      <w:i/>
    </w:rPr>
  </w:style>
  <w:style w:type="character" w:customStyle="1" w:styleId="CharPartNo">
    <w:name w:val="CharPartNo"/>
    <w:basedOn w:val="OPCCharBase"/>
    <w:qFormat/>
    <w:rsid w:val="001A6F73"/>
  </w:style>
  <w:style w:type="character" w:customStyle="1" w:styleId="CharPartText">
    <w:name w:val="CharPartText"/>
    <w:basedOn w:val="OPCCharBase"/>
    <w:qFormat/>
    <w:rsid w:val="001A6F73"/>
  </w:style>
  <w:style w:type="character" w:customStyle="1" w:styleId="CharSectno">
    <w:name w:val="CharSectno"/>
    <w:basedOn w:val="OPCCharBase"/>
    <w:qFormat/>
    <w:rsid w:val="001A6F73"/>
  </w:style>
  <w:style w:type="character" w:customStyle="1" w:styleId="CharSubdNo">
    <w:name w:val="CharSubdNo"/>
    <w:basedOn w:val="OPCCharBase"/>
    <w:uiPriority w:val="1"/>
    <w:qFormat/>
    <w:rsid w:val="001A6F73"/>
  </w:style>
  <w:style w:type="character" w:customStyle="1" w:styleId="CharSubdText">
    <w:name w:val="CharSubdText"/>
    <w:basedOn w:val="OPCCharBase"/>
    <w:uiPriority w:val="1"/>
    <w:qFormat/>
    <w:rsid w:val="001A6F73"/>
  </w:style>
  <w:style w:type="paragraph" w:customStyle="1" w:styleId="CTA--">
    <w:name w:val="CTA --"/>
    <w:basedOn w:val="OPCParaBase"/>
    <w:next w:val="Normal"/>
    <w:rsid w:val="001A6F73"/>
    <w:pPr>
      <w:spacing w:before="60" w:line="240" w:lineRule="atLeast"/>
      <w:ind w:left="142" w:hanging="142"/>
    </w:pPr>
    <w:rPr>
      <w:sz w:val="20"/>
    </w:rPr>
  </w:style>
  <w:style w:type="paragraph" w:customStyle="1" w:styleId="CTA-">
    <w:name w:val="CTA -"/>
    <w:basedOn w:val="OPCParaBase"/>
    <w:rsid w:val="001A6F73"/>
    <w:pPr>
      <w:spacing w:before="60" w:line="240" w:lineRule="atLeast"/>
      <w:ind w:left="85" w:hanging="85"/>
    </w:pPr>
    <w:rPr>
      <w:sz w:val="20"/>
    </w:rPr>
  </w:style>
  <w:style w:type="paragraph" w:customStyle="1" w:styleId="CTA---">
    <w:name w:val="CTA ---"/>
    <w:basedOn w:val="OPCParaBase"/>
    <w:next w:val="Normal"/>
    <w:rsid w:val="001A6F73"/>
    <w:pPr>
      <w:spacing w:before="60" w:line="240" w:lineRule="atLeast"/>
      <w:ind w:left="198" w:hanging="198"/>
    </w:pPr>
    <w:rPr>
      <w:sz w:val="20"/>
    </w:rPr>
  </w:style>
  <w:style w:type="paragraph" w:customStyle="1" w:styleId="CTA----">
    <w:name w:val="CTA ----"/>
    <w:basedOn w:val="OPCParaBase"/>
    <w:next w:val="Normal"/>
    <w:rsid w:val="001A6F73"/>
    <w:pPr>
      <w:spacing w:before="60" w:line="240" w:lineRule="atLeast"/>
      <w:ind w:left="255" w:hanging="255"/>
    </w:pPr>
    <w:rPr>
      <w:sz w:val="20"/>
    </w:rPr>
  </w:style>
  <w:style w:type="paragraph" w:customStyle="1" w:styleId="CTA1a">
    <w:name w:val="CTA 1(a)"/>
    <w:basedOn w:val="OPCParaBase"/>
    <w:rsid w:val="001A6F73"/>
    <w:pPr>
      <w:tabs>
        <w:tab w:val="right" w:pos="414"/>
      </w:tabs>
      <w:spacing w:before="40" w:line="240" w:lineRule="atLeast"/>
      <w:ind w:left="675" w:hanging="675"/>
    </w:pPr>
    <w:rPr>
      <w:sz w:val="20"/>
    </w:rPr>
  </w:style>
  <w:style w:type="paragraph" w:customStyle="1" w:styleId="CTA1ai">
    <w:name w:val="CTA 1(a)(i)"/>
    <w:basedOn w:val="OPCParaBase"/>
    <w:rsid w:val="001A6F73"/>
    <w:pPr>
      <w:tabs>
        <w:tab w:val="right" w:pos="1004"/>
      </w:tabs>
      <w:spacing w:before="40" w:line="240" w:lineRule="atLeast"/>
      <w:ind w:left="1253" w:hanging="1253"/>
    </w:pPr>
    <w:rPr>
      <w:sz w:val="20"/>
    </w:rPr>
  </w:style>
  <w:style w:type="paragraph" w:customStyle="1" w:styleId="CTA2a">
    <w:name w:val="CTA 2(a)"/>
    <w:basedOn w:val="OPCParaBase"/>
    <w:rsid w:val="001A6F73"/>
    <w:pPr>
      <w:tabs>
        <w:tab w:val="right" w:pos="482"/>
      </w:tabs>
      <w:spacing w:before="40" w:line="240" w:lineRule="atLeast"/>
      <w:ind w:left="748" w:hanging="748"/>
    </w:pPr>
    <w:rPr>
      <w:sz w:val="20"/>
    </w:rPr>
  </w:style>
  <w:style w:type="paragraph" w:customStyle="1" w:styleId="CTA2ai">
    <w:name w:val="CTA 2(a)(i)"/>
    <w:basedOn w:val="OPCParaBase"/>
    <w:rsid w:val="001A6F73"/>
    <w:pPr>
      <w:tabs>
        <w:tab w:val="right" w:pos="1089"/>
      </w:tabs>
      <w:spacing w:before="40" w:line="240" w:lineRule="atLeast"/>
      <w:ind w:left="1327" w:hanging="1327"/>
    </w:pPr>
    <w:rPr>
      <w:sz w:val="20"/>
    </w:rPr>
  </w:style>
  <w:style w:type="paragraph" w:customStyle="1" w:styleId="CTA3a">
    <w:name w:val="CTA 3(a)"/>
    <w:basedOn w:val="OPCParaBase"/>
    <w:rsid w:val="001A6F73"/>
    <w:pPr>
      <w:tabs>
        <w:tab w:val="right" w:pos="556"/>
      </w:tabs>
      <w:spacing w:before="40" w:line="240" w:lineRule="atLeast"/>
      <w:ind w:left="805" w:hanging="805"/>
    </w:pPr>
    <w:rPr>
      <w:sz w:val="20"/>
    </w:rPr>
  </w:style>
  <w:style w:type="paragraph" w:customStyle="1" w:styleId="CTA3ai">
    <w:name w:val="CTA 3(a)(i)"/>
    <w:basedOn w:val="OPCParaBase"/>
    <w:rsid w:val="001A6F73"/>
    <w:pPr>
      <w:tabs>
        <w:tab w:val="right" w:pos="1140"/>
      </w:tabs>
      <w:spacing w:before="40" w:line="240" w:lineRule="atLeast"/>
      <w:ind w:left="1361" w:hanging="1361"/>
    </w:pPr>
    <w:rPr>
      <w:sz w:val="20"/>
    </w:rPr>
  </w:style>
  <w:style w:type="paragraph" w:customStyle="1" w:styleId="CTA4a">
    <w:name w:val="CTA 4(a)"/>
    <w:basedOn w:val="OPCParaBase"/>
    <w:rsid w:val="001A6F73"/>
    <w:pPr>
      <w:tabs>
        <w:tab w:val="right" w:pos="624"/>
      </w:tabs>
      <w:spacing w:before="40" w:line="240" w:lineRule="atLeast"/>
      <w:ind w:left="873" w:hanging="873"/>
    </w:pPr>
    <w:rPr>
      <w:sz w:val="20"/>
    </w:rPr>
  </w:style>
  <w:style w:type="paragraph" w:customStyle="1" w:styleId="CTA4ai">
    <w:name w:val="CTA 4(a)(i)"/>
    <w:basedOn w:val="OPCParaBase"/>
    <w:rsid w:val="001A6F73"/>
    <w:pPr>
      <w:tabs>
        <w:tab w:val="right" w:pos="1213"/>
      </w:tabs>
      <w:spacing w:before="40" w:line="240" w:lineRule="atLeast"/>
      <w:ind w:left="1452" w:hanging="1452"/>
    </w:pPr>
    <w:rPr>
      <w:sz w:val="20"/>
    </w:rPr>
  </w:style>
  <w:style w:type="paragraph" w:customStyle="1" w:styleId="CTACAPS">
    <w:name w:val="CTA CAPS"/>
    <w:basedOn w:val="OPCParaBase"/>
    <w:rsid w:val="001A6F73"/>
    <w:pPr>
      <w:spacing w:before="60" w:line="240" w:lineRule="atLeast"/>
    </w:pPr>
    <w:rPr>
      <w:sz w:val="20"/>
    </w:rPr>
  </w:style>
  <w:style w:type="paragraph" w:customStyle="1" w:styleId="CTAright">
    <w:name w:val="CTA right"/>
    <w:basedOn w:val="OPCParaBase"/>
    <w:rsid w:val="001A6F73"/>
    <w:pPr>
      <w:spacing w:before="60" w:line="240" w:lineRule="auto"/>
      <w:jc w:val="right"/>
    </w:pPr>
    <w:rPr>
      <w:sz w:val="20"/>
    </w:rPr>
  </w:style>
  <w:style w:type="paragraph" w:customStyle="1" w:styleId="Definition">
    <w:name w:val="Definition"/>
    <w:aliases w:val="dd"/>
    <w:basedOn w:val="OPCParaBase"/>
    <w:rsid w:val="001A6F73"/>
    <w:pPr>
      <w:spacing w:before="180" w:line="240" w:lineRule="auto"/>
      <w:ind w:left="1134"/>
    </w:pPr>
  </w:style>
  <w:style w:type="paragraph" w:customStyle="1" w:styleId="EndNotespara">
    <w:name w:val="EndNotes(para)"/>
    <w:aliases w:val="eta"/>
    <w:basedOn w:val="OPCParaBase"/>
    <w:next w:val="EndNotessubpara"/>
    <w:rsid w:val="001A6F73"/>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A6F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6F73"/>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1A6F73"/>
    <w:pPr>
      <w:tabs>
        <w:tab w:val="right" w:pos="340"/>
      </w:tabs>
      <w:spacing w:before="60" w:line="240" w:lineRule="auto"/>
      <w:ind w:left="454" w:hanging="454"/>
    </w:pPr>
    <w:rPr>
      <w:sz w:val="20"/>
    </w:rPr>
  </w:style>
  <w:style w:type="paragraph" w:customStyle="1" w:styleId="Formula">
    <w:name w:val="Formula"/>
    <w:basedOn w:val="OPCParaBase"/>
    <w:rsid w:val="001A6F73"/>
    <w:pPr>
      <w:spacing w:line="240" w:lineRule="auto"/>
      <w:ind w:left="1134"/>
    </w:pPr>
    <w:rPr>
      <w:sz w:val="20"/>
    </w:rPr>
  </w:style>
  <w:style w:type="paragraph" w:styleId="Header">
    <w:name w:val="header"/>
    <w:basedOn w:val="OPCParaBase"/>
    <w:link w:val="HeaderChar"/>
    <w:unhideWhenUsed/>
    <w:rsid w:val="001A6F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A6F73"/>
    <w:rPr>
      <w:rFonts w:eastAsia="Times New Roman" w:cs="Times New Roman"/>
      <w:sz w:val="16"/>
      <w:lang w:eastAsia="en-AU"/>
    </w:rPr>
  </w:style>
  <w:style w:type="paragraph" w:customStyle="1" w:styleId="House">
    <w:name w:val="House"/>
    <w:basedOn w:val="OPCParaBase"/>
    <w:rsid w:val="001A6F73"/>
    <w:pPr>
      <w:spacing w:line="240" w:lineRule="auto"/>
    </w:pPr>
    <w:rPr>
      <w:sz w:val="28"/>
    </w:rPr>
  </w:style>
  <w:style w:type="paragraph" w:customStyle="1" w:styleId="LongT">
    <w:name w:val="LongT"/>
    <w:basedOn w:val="OPCParaBase"/>
    <w:rsid w:val="001A6F73"/>
    <w:pPr>
      <w:spacing w:line="240" w:lineRule="auto"/>
    </w:pPr>
    <w:rPr>
      <w:b/>
      <w:sz w:val="32"/>
    </w:rPr>
  </w:style>
  <w:style w:type="paragraph" w:customStyle="1" w:styleId="notedraft">
    <w:name w:val="note(draft)"/>
    <w:aliases w:val="nd"/>
    <w:basedOn w:val="OPCParaBase"/>
    <w:rsid w:val="001A6F73"/>
    <w:pPr>
      <w:spacing w:before="240" w:line="240" w:lineRule="auto"/>
      <w:ind w:left="284" w:hanging="284"/>
    </w:pPr>
    <w:rPr>
      <w:i/>
      <w:sz w:val="24"/>
    </w:rPr>
  </w:style>
  <w:style w:type="paragraph" w:customStyle="1" w:styleId="notemargin">
    <w:name w:val="note(margin)"/>
    <w:aliases w:val="nm"/>
    <w:basedOn w:val="OPCParaBase"/>
    <w:rsid w:val="001A6F73"/>
    <w:pPr>
      <w:tabs>
        <w:tab w:val="left" w:pos="709"/>
      </w:tabs>
      <w:spacing w:before="122" w:line="198" w:lineRule="exact"/>
      <w:ind w:left="709" w:hanging="709"/>
    </w:pPr>
    <w:rPr>
      <w:sz w:val="18"/>
    </w:rPr>
  </w:style>
  <w:style w:type="paragraph" w:customStyle="1" w:styleId="noteToPara">
    <w:name w:val="noteToPara"/>
    <w:aliases w:val="ntp"/>
    <w:basedOn w:val="OPCParaBase"/>
    <w:rsid w:val="001A6F73"/>
    <w:pPr>
      <w:spacing w:before="122" w:line="198" w:lineRule="exact"/>
      <w:ind w:left="2353" w:hanging="709"/>
    </w:pPr>
    <w:rPr>
      <w:sz w:val="18"/>
    </w:rPr>
  </w:style>
  <w:style w:type="paragraph" w:customStyle="1" w:styleId="noteParlAmend">
    <w:name w:val="note(ParlAmend)"/>
    <w:aliases w:val="npp"/>
    <w:basedOn w:val="OPCParaBase"/>
    <w:next w:val="ParlAmend"/>
    <w:rsid w:val="001A6F73"/>
    <w:pPr>
      <w:spacing w:line="240" w:lineRule="auto"/>
      <w:jc w:val="right"/>
    </w:pPr>
    <w:rPr>
      <w:rFonts w:ascii="Arial" w:hAnsi="Arial"/>
      <w:b/>
      <w:i/>
    </w:rPr>
  </w:style>
  <w:style w:type="paragraph" w:customStyle="1" w:styleId="ParlAmend">
    <w:name w:val="ParlAmend"/>
    <w:aliases w:val="pp"/>
    <w:basedOn w:val="OPCParaBase"/>
    <w:rsid w:val="001A6F73"/>
    <w:pPr>
      <w:spacing w:before="240" w:line="240" w:lineRule="atLeast"/>
      <w:ind w:hanging="567"/>
    </w:pPr>
    <w:rPr>
      <w:sz w:val="24"/>
    </w:rPr>
  </w:style>
  <w:style w:type="paragraph" w:customStyle="1" w:styleId="notetext">
    <w:name w:val="note(text)"/>
    <w:aliases w:val="n"/>
    <w:basedOn w:val="OPCParaBase"/>
    <w:rsid w:val="001A6F73"/>
    <w:pPr>
      <w:spacing w:before="122" w:line="240" w:lineRule="auto"/>
      <w:ind w:left="1985" w:hanging="851"/>
    </w:pPr>
    <w:rPr>
      <w:sz w:val="18"/>
    </w:rPr>
  </w:style>
  <w:style w:type="paragraph" w:customStyle="1" w:styleId="Page1">
    <w:name w:val="Page1"/>
    <w:basedOn w:val="OPCParaBase"/>
    <w:rsid w:val="001A6F73"/>
    <w:pPr>
      <w:spacing w:before="5600" w:line="240" w:lineRule="auto"/>
    </w:pPr>
    <w:rPr>
      <w:b/>
      <w:sz w:val="32"/>
    </w:rPr>
  </w:style>
  <w:style w:type="paragraph" w:customStyle="1" w:styleId="PageBreak">
    <w:name w:val="PageBreak"/>
    <w:aliases w:val="pb"/>
    <w:basedOn w:val="OPCParaBase"/>
    <w:rsid w:val="001A6F73"/>
    <w:pPr>
      <w:spacing w:line="240" w:lineRule="auto"/>
    </w:pPr>
    <w:rPr>
      <w:sz w:val="20"/>
    </w:rPr>
  </w:style>
  <w:style w:type="paragraph" w:customStyle="1" w:styleId="paragraphsub">
    <w:name w:val="paragraph(sub)"/>
    <w:aliases w:val="aa"/>
    <w:basedOn w:val="OPCParaBase"/>
    <w:rsid w:val="001A6F73"/>
    <w:pPr>
      <w:tabs>
        <w:tab w:val="right" w:pos="1985"/>
      </w:tabs>
      <w:spacing w:before="40" w:line="240" w:lineRule="auto"/>
      <w:ind w:left="2098" w:hanging="2098"/>
    </w:pPr>
  </w:style>
  <w:style w:type="paragraph" w:customStyle="1" w:styleId="paragraphsub-sub">
    <w:name w:val="paragraph(sub-sub)"/>
    <w:aliases w:val="aaa"/>
    <w:basedOn w:val="OPCParaBase"/>
    <w:rsid w:val="001A6F73"/>
    <w:pPr>
      <w:tabs>
        <w:tab w:val="right" w:pos="2722"/>
      </w:tabs>
      <w:spacing w:before="40" w:line="240" w:lineRule="auto"/>
      <w:ind w:left="2835" w:hanging="2835"/>
    </w:pPr>
  </w:style>
  <w:style w:type="paragraph" w:customStyle="1" w:styleId="paragraph">
    <w:name w:val="paragraph"/>
    <w:aliases w:val="a"/>
    <w:basedOn w:val="OPCParaBase"/>
    <w:rsid w:val="001A6F73"/>
    <w:pPr>
      <w:tabs>
        <w:tab w:val="right" w:pos="1531"/>
      </w:tabs>
      <w:spacing w:before="40" w:line="240" w:lineRule="auto"/>
      <w:ind w:left="1644" w:hanging="1644"/>
    </w:pPr>
  </w:style>
  <w:style w:type="paragraph" w:customStyle="1" w:styleId="Penalty">
    <w:name w:val="Penalty"/>
    <w:basedOn w:val="OPCParaBase"/>
    <w:rsid w:val="001A6F73"/>
    <w:pPr>
      <w:tabs>
        <w:tab w:val="left" w:pos="2977"/>
      </w:tabs>
      <w:spacing w:before="180" w:line="240" w:lineRule="auto"/>
      <w:ind w:left="1985" w:hanging="851"/>
    </w:pPr>
  </w:style>
  <w:style w:type="paragraph" w:customStyle="1" w:styleId="Portfolio">
    <w:name w:val="Portfolio"/>
    <w:basedOn w:val="OPCParaBase"/>
    <w:rsid w:val="001A6F73"/>
    <w:pPr>
      <w:spacing w:line="240" w:lineRule="auto"/>
    </w:pPr>
    <w:rPr>
      <w:i/>
      <w:sz w:val="20"/>
    </w:rPr>
  </w:style>
  <w:style w:type="paragraph" w:customStyle="1" w:styleId="Preamble">
    <w:name w:val="Preamble"/>
    <w:basedOn w:val="OPCParaBase"/>
    <w:next w:val="Normal"/>
    <w:rsid w:val="001A6F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6F73"/>
    <w:pPr>
      <w:spacing w:line="240" w:lineRule="auto"/>
    </w:pPr>
    <w:rPr>
      <w:i/>
      <w:sz w:val="20"/>
    </w:rPr>
  </w:style>
  <w:style w:type="paragraph" w:customStyle="1" w:styleId="Session">
    <w:name w:val="Session"/>
    <w:basedOn w:val="OPCParaBase"/>
    <w:rsid w:val="001A6F73"/>
    <w:pPr>
      <w:spacing w:line="240" w:lineRule="auto"/>
    </w:pPr>
    <w:rPr>
      <w:sz w:val="28"/>
    </w:rPr>
  </w:style>
  <w:style w:type="paragraph" w:customStyle="1" w:styleId="Sponsor">
    <w:name w:val="Sponsor"/>
    <w:basedOn w:val="OPCParaBase"/>
    <w:rsid w:val="001A6F73"/>
    <w:pPr>
      <w:spacing w:line="240" w:lineRule="auto"/>
    </w:pPr>
    <w:rPr>
      <w:i/>
    </w:rPr>
  </w:style>
  <w:style w:type="paragraph" w:customStyle="1" w:styleId="Subitem">
    <w:name w:val="Subitem"/>
    <w:aliases w:val="iss"/>
    <w:basedOn w:val="OPCParaBase"/>
    <w:rsid w:val="001A6F73"/>
    <w:pPr>
      <w:spacing w:before="180" w:line="240" w:lineRule="auto"/>
      <w:ind w:left="709" w:hanging="709"/>
    </w:pPr>
  </w:style>
  <w:style w:type="paragraph" w:customStyle="1" w:styleId="SubitemHead">
    <w:name w:val="SubitemHead"/>
    <w:aliases w:val="issh"/>
    <w:basedOn w:val="OPCParaBase"/>
    <w:rsid w:val="001A6F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A6F73"/>
    <w:pPr>
      <w:spacing w:before="40" w:line="240" w:lineRule="auto"/>
      <w:ind w:left="1134"/>
    </w:pPr>
  </w:style>
  <w:style w:type="character" w:customStyle="1" w:styleId="subsection2Char">
    <w:name w:val="subsection2 Char"/>
    <w:aliases w:val="ss2 Char"/>
    <w:basedOn w:val="DefaultParagraphFont"/>
    <w:link w:val="subsection2"/>
    <w:rsid w:val="00C609B3"/>
    <w:rPr>
      <w:rFonts w:eastAsia="Times New Roman" w:cs="Times New Roman"/>
      <w:sz w:val="22"/>
      <w:lang w:eastAsia="en-AU"/>
    </w:rPr>
  </w:style>
  <w:style w:type="paragraph" w:customStyle="1" w:styleId="SubsectionHead">
    <w:name w:val="SubsectionHead"/>
    <w:aliases w:val="ssh"/>
    <w:basedOn w:val="OPCParaBase"/>
    <w:next w:val="subsection"/>
    <w:rsid w:val="001A6F73"/>
    <w:pPr>
      <w:keepNext/>
      <w:keepLines/>
      <w:spacing w:before="240" w:line="240" w:lineRule="auto"/>
      <w:ind w:left="1134"/>
    </w:pPr>
    <w:rPr>
      <w:i/>
    </w:rPr>
  </w:style>
  <w:style w:type="paragraph" w:customStyle="1" w:styleId="Tablea">
    <w:name w:val="Table(a)"/>
    <w:aliases w:val="ta"/>
    <w:basedOn w:val="OPCParaBase"/>
    <w:rsid w:val="001A6F73"/>
    <w:pPr>
      <w:spacing w:before="60" w:line="240" w:lineRule="auto"/>
      <w:ind w:left="284" w:hanging="284"/>
    </w:pPr>
    <w:rPr>
      <w:sz w:val="20"/>
    </w:rPr>
  </w:style>
  <w:style w:type="paragraph" w:customStyle="1" w:styleId="TableAA">
    <w:name w:val="Table(AA)"/>
    <w:aliases w:val="taaa"/>
    <w:basedOn w:val="OPCParaBase"/>
    <w:rsid w:val="001A6F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6F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6F73"/>
    <w:pPr>
      <w:spacing w:before="60" w:line="240" w:lineRule="atLeast"/>
    </w:pPr>
    <w:rPr>
      <w:sz w:val="20"/>
    </w:rPr>
  </w:style>
  <w:style w:type="paragraph" w:customStyle="1" w:styleId="TLPBoxTextnote">
    <w:name w:val="TLPBoxText(note"/>
    <w:aliases w:val="right)"/>
    <w:basedOn w:val="OPCParaBase"/>
    <w:rsid w:val="001A6F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6F7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6F73"/>
    <w:pPr>
      <w:spacing w:before="122" w:line="198" w:lineRule="exact"/>
      <w:ind w:left="1985" w:hanging="851"/>
      <w:jc w:val="right"/>
    </w:pPr>
    <w:rPr>
      <w:sz w:val="18"/>
    </w:rPr>
  </w:style>
  <w:style w:type="paragraph" w:customStyle="1" w:styleId="TLPTableBullet">
    <w:name w:val="TLPTableBullet"/>
    <w:aliases w:val="ttb"/>
    <w:basedOn w:val="OPCParaBase"/>
    <w:rsid w:val="001A6F73"/>
    <w:pPr>
      <w:spacing w:line="240" w:lineRule="exact"/>
      <w:ind w:left="284" w:hanging="284"/>
    </w:pPr>
    <w:rPr>
      <w:sz w:val="20"/>
    </w:rPr>
  </w:style>
  <w:style w:type="paragraph" w:styleId="TOC1">
    <w:name w:val="toc 1"/>
    <w:basedOn w:val="OPCParaBase"/>
    <w:next w:val="Normal"/>
    <w:uiPriority w:val="39"/>
    <w:unhideWhenUsed/>
    <w:rsid w:val="001A6F7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A6F7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A6F7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A6F7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A6F7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A6F7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A6F7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A6F7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A6F7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A6F73"/>
    <w:pPr>
      <w:keepLines/>
      <w:spacing w:before="240" w:after="120" w:line="240" w:lineRule="auto"/>
      <w:ind w:left="794"/>
    </w:pPr>
    <w:rPr>
      <w:b/>
      <w:kern w:val="28"/>
      <w:sz w:val="20"/>
    </w:rPr>
  </w:style>
  <w:style w:type="paragraph" w:customStyle="1" w:styleId="TofSectsSection">
    <w:name w:val="TofSects(Section)"/>
    <w:basedOn w:val="OPCParaBase"/>
    <w:rsid w:val="001A6F73"/>
    <w:pPr>
      <w:keepLines/>
      <w:spacing w:before="40" w:line="240" w:lineRule="auto"/>
      <w:ind w:left="1588" w:hanging="794"/>
    </w:pPr>
    <w:rPr>
      <w:kern w:val="28"/>
      <w:sz w:val="18"/>
    </w:rPr>
  </w:style>
  <w:style w:type="paragraph" w:customStyle="1" w:styleId="TofSectsHeading">
    <w:name w:val="TofSects(Heading)"/>
    <w:basedOn w:val="OPCParaBase"/>
    <w:rsid w:val="001A6F73"/>
    <w:pPr>
      <w:spacing w:before="240" w:after="120" w:line="240" w:lineRule="auto"/>
    </w:pPr>
    <w:rPr>
      <w:b/>
      <w:sz w:val="24"/>
    </w:rPr>
  </w:style>
  <w:style w:type="paragraph" w:customStyle="1" w:styleId="TofSectsSubdiv">
    <w:name w:val="TofSects(Subdiv)"/>
    <w:basedOn w:val="OPCParaBase"/>
    <w:rsid w:val="001A6F73"/>
    <w:pPr>
      <w:keepLines/>
      <w:spacing w:before="80" w:line="240" w:lineRule="auto"/>
      <w:ind w:left="1588" w:hanging="794"/>
    </w:pPr>
    <w:rPr>
      <w:kern w:val="28"/>
    </w:rPr>
  </w:style>
  <w:style w:type="paragraph" w:customStyle="1" w:styleId="WRStyle">
    <w:name w:val="WR Style"/>
    <w:aliases w:val="WR"/>
    <w:basedOn w:val="OPCParaBase"/>
    <w:rsid w:val="001A6F73"/>
    <w:pPr>
      <w:spacing w:before="240" w:line="240" w:lineRule="auto"/>
      <w:ind w:left="284" w:hanging="284"/>
    </w:pPr>
    <w:rPr>
      <w:b/>
      <w:i/>
      <w:kern w:val="28"/>
      <w:sz w:val="24"/>
    </w:rPr>
  </w:style>
  <w:style w:type="paragraph" w:customStyle="1" w:styleId="notepara">
    <w:name w:val="note(para)"/>
    <w:aliases w:val="na"/>
    <w:basedOn w:val="OPCParaBase"/>
    <w:rsid w:val="001A6F73"/>
    <w:pPr>
      <w:spacing w:before="40" w:line="198" w:lineRule="exact"/>
      <w:ind w:left="2354" w:hanging="369"/>
    </w:pPr>
    <w:rPr>
      <w:sz w:val="18"/>
    </w:rPr>
  </w:style>
  <w:style w:type="paragraph" w:styleId="Footer">
    <w:name w:val="footer"/>
    <w:link w:val="FooterChar"/>
    <w:rsid w:val="001A6F7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A6F73"/>
    <w:rPr>
      <w:rFonts w:eastAsia="Times New Roman" w:cs="Times New Roman"/>
      <w:sz w:val="22"/>
      <w:szCs w:val="24"/>
      <w:lang w:eastAsia="en-AU"/>
    </w:rPr>
  </w:style>
  <w:style w:type="character" w:styleId="LineNumber">
    <w:name w:val="line number"/>
    <w:basedOn w:val="OPCCharBase"/>
    <w:uiPriority w:val="99"/>
    <w:semiHidden/>
    <w:unhideWhenUsed/>
    <w:rsid w:val="001A6F73"/>
    <w:rPr>
      <w:sz w:val="16"/>
    </w:rPr>
  </w:style>
  <w:style w:type="table" w:customStyle="1" w:styleId="CFlag">
    <w:name w:val="CFlag"/>
    <w:basedOn w:val="TableNormal"/>
    <w:uiPriority w:val="99"/>
    <w:rsid w:val="001A6F73"/>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6F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F73"/>
    <w:rPr>
      <w:rFonts w:ascii="Tahoma" w:hAnsi="Tahoma" w:cs="Tahoma"/>
      <w:sz w:val="16"/>
      <w:szCs w:val="16"/>
    </w:rPr>
  </w:style>
  <w:style w:type="table" w:styleId="TableGrid">
    <w:name w:val="Table Grid"/>
    <w:basedOn w:val="TableNormal"/>
    <w:uiPriority w:val="59"/>
    <w:rsid w:val="001A6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A6F73"/>
    <w:rPr>
      <w:b/>
      <w:sz w:val="28"/>
      <w:szCs w:val="32"/>
    </w:rPr>
  </w:style>
  <w:style w:type="paragraph" w:customStyle="1" w:styleId="TerritoryT">
    <w:name w:val="TerritoryT"/>
    <w:basedOn w:val="OPCParaBase"/>
    <w:next w:val="Normal"/>
    <w:rsid w:val="001A6F73"/>
    <w:rPr>
      <w:b/>
      <w:sz w:val="32"/>
    </w:rPr>
  </w:style>
  <w:style w:type="paragraph" w:customStyle="1" w:styleId="LegislationMadeUnder">
    <w:name w:val="LegislationMadeUnder"/>
    <w:basedOn w:val="OPCParaBase"/>
    <w:next w:val="Normal"/>
    <w:rsid w:val="001A6F73"/>
    <w:rPr>
      <w:i/>
      <w:sz w:val="32"/>
      <w:szCs w:val="32"/>
    </w:rPr>
  </w:style>
  <w:style w:type="paragraph" w:customStyle="1" w:styleId="SignCoverPageEnd">
    <w:name w:val="SignCoverPageEnd"/>
    <w:basedOn w:val="OPCParaBase"/>
    <w:next w:val="Normal"/>
    <w:rsid w:val="001A6F7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A6F73"/>
    <w:pPr>
      <w:pBdr>
        <w:top w:val="single" w:sz="4" w:space="1" w:color="auto"/>
      </w:pBdr>
      <w:spacing w:before="360"/>
      <w:ind w:right="397"/>
      <w:jc w:val="both"/>
    </w:pPr>
  </w:style>
  <w:style w:type="paragraph" w:customStyle="1" w:styleId="NotesHeading2">
    <w:name w:val="NotesHeading 2"/>
    <w:basedOn w:val="OPCParaBase"/>
    <w:next w:val="Normal"/>
    <w:rsid w:val="001A6F73"/>
    <w:rPr>
      <w:b/>
      <w:sz w:val="28"/>
      <w:szCs w:val="28"/>
    </w:rPr>
  </w:style>
  <w:style w:type="paragraph" w:customStyle="1" w:styleId="NotesHeading1">
    <w:name w:val="NotesHeading 1"/>
    <w:basedOn w:val="OPCParaBase"/>
    <w:next w:val="Normal"/>
    <w:rsid w:val="001A6F73"/>
    <w:rPr>
      <w:b/>
      <w:sz w:val="28"/>
      <w:szCs w:val="28"/>
    </w:rPr>
  </w:style>
  <w:style w:type="paragraph" w:customStyle="1" w:styleId="CompiledActNo">
    <w:name w:val="CompiledActNo"/>
    <w:basedOn w:val="OPCParaBase"/>
    <w:next w:val="Normal"/>
    <w:rsid w:val="001A6F73"/>
    <w:rPr>
      <w:b/>
      <w:sz w:val="24"/>
      <w:szCs w:val="24"/>
    </w:rPr>
  </w:style>
  <w:style w:type="paragraph" w:customStyle="1" w:styleId="ENotesText">
    <w:name w:val="ENotesText"/>
    <w:aliases w:val="Ent"/>
    <w:basedOn w:val="OPCParaBase"/>
    <w:next w:val="Normal"/>
    <w:rsid w:val="001A6F73"/>
    <w:pPr>
      <w:spacing w:before="120"/>
    </w:pPr>
  </w:style>
  <w:style w:type="paragraph" w:customStyle="1" w:styleId="CompiledMadeUnder">
    <w:name w:val="CompiledMadeUnder"/>
    <w:basedOn w:val="OPCParaBase"/>
    <w:next w:val="Normal"/>
    <w:rsid w:val="001A6F73"/>
    <w:rPr>
      <w:i/>
      <w:sz w:val="24"/>
      <w:szCs w:val="24"/>
    </w:rPr>
  </w:style>
  <w:style w:type="paragraph" w:customStyle="1" w:styleId="Paragraphsub-sub-sub">
    <w:name w:val="Paragraph(sub-sub-sub)"/>
    <w:aliases w:val="aaaa"/>
    <w:basedOn w:val="OPCParaBase"/>
    <w:rsid w:val="001A6F73"/>
    <w:pPr>
      <w:tabs>
        <w:tab w:val="right" w:pos="3402"/>
      </w:tabs>
      <w:spacing w:before="40" w:line="240" w:lineRule="auto"/>
      <w:ind w:left="3402" w:hanging="3402"/>
    </w:pPr>
  </w:style>
  <w:style w:type="paragraph" w:customStyle="1" w:styleId="TableTextEndNotes">
    <w:name w:val="TableTextEndNotes"/>
    <w:aliases w:val="Tten"/>
    <w:basedOn w:val="Normal"/>
    <w:rsid w:val="001A6F73"/>
    <w:pPr>
      <w:spacing w:before="60" w:line="240" w:lineRule="auto"/>
    </w:pPr>
    <w:rPr>
      <w:rFonts w:cs="Arial"/>
      <w:sz w:val="20"/>
      <w:szCs w:val="22"/>
    </w:rPr>
  </w:style>
  <w:style w:type="paragraph" w:customStyle="1" w:styleId="NoteToSubpara">
    <w:name w:val="NoteToSubpara"/>
    <w:aliases w:val="nts"/>
    <w:basedOn w:val="OPCParaBase"/>
    <w:rsid w:val="001A6F73"/>
    <w:pPr>
      <w:spacing w:before="40" w:line="198" w:lineRule="exact"/>
      <w:ind w:left="2835" w:hanging="709"/>
    </w:pPr>
    <w:rPr>
      <w:sz w:val="18"/>
    </w:rPr>
  </w:style>
  <w:style w:type="paragraph" w:customStyle="1" w:styleId="ENoteTableHeading">
    <w:name w:val="ENoteTableHeading"/>
    <w:aliases w:val="enth"/>
    <w:basedOn w:val="OPCParaBase"/>
    <w:rsid w:val="001A6F73"/>
    <w:pPr>
      <w:keepNext/>
      <w:spacing w:before="60" w:line="240" w:lineRule="atLeast"/>
    </w:pPr>
    <w:rPr>
      <w:rFonts w:ascii="Arial" w:hAnsi="Arial"/>
      <w:b/>
      <w:sz w:val="16"/>
    </w:rPr>
  </w:style>
  <w:style w:type="paragraph" w:customStyle="1" w:styleId="ENoteTTi">
    <w:name w:val="ENoteTTi"/>
    <w:aliases w:val="entti"/>
    <w:basedOn w:val="OPCParaBase"/>
    <w:rsid w:val="001A6F73"/>
    <w:pPr>
      <w:keepNext/>
      <w:spacing w:before="60" w:line="240" w:lineRule="atLeast"/>
      <w:ind w:left="170"/>
    </w:pPr>
    <w:rPr>
      <w:sz w:val="16"/>
    </w:rPr>
  </w:style>
  <w:style w:type="paragraph" w:customStyle="1" w:styleId="ENotesHeading1">
    <w:name w:val="ENotesHeading 1"/>
    <w:aliases w:val="Enh1"/>
    <w:basedOn w:val="OPCParaBase"/>
    <w:next w:val="Normal"/>
    <w:rsid w:val="001A6F73"/>
    <w:pPr>
      <w:spacing w:before="120"/>
      <w:outlineLvl w:val="1"/>
    </w:pPr>
    <w:rPr>
      <w:b/>
      <w:sz w:val="28"/>
      <w:szCs w:val="28"/>
    </w:rPr>
  </w:style>
  <w:style w:type="paragraph" w:customStyle="1" w:styleId="ENotesHeading2">
    <w:name w:val="ENotesHeading 2"/>
    <w:aliases w:val="Enh2"/>
    <w:basedOn w:val="OPCParaBase"/>
    <w:next w:val="Normal"/>
    <w:rsid w:val="001A6F73"/>
    <w:pPr>
      <w:spacing w:before="120" w:after="120"/>
      <w:outlineLvl w:val="2"/>
    </w:pPr>
    <w:rPr>
      <w:b/>
      <w:sz w:val="24"/>
      <w:szCs w:val="28"/>
    </w:rPr>
  </w:style>
  <w:style w:type="paragraph" w:customStyle="1" w:styleId="ENoteTTIndentHeading">
    <w:name w:val="ENoteTTIndentHeading"/>
    <w:aliases w:val="enTTHi"/>
    <w:basedOn w:val="OPCParaBase"/>
    <w:rsid w:val="001A6F7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6F73"/>
    <w:pPr>
      <w:spacing w:before="60" w:line="240" w:lineRule="atLeast"/>
    </w:pPr>
    <w:rPr>
      <w:sz w:val="16"/>
    </w:rPr>
  </w:style>
  <w:style w:type="paragraph" w:customStyle="1" w:styleId="MadeunderText">
    <w:name w:val="MadeunderText"/>
    <w:basedOn w:val="OPCParaBase"/>
    <w:next w:val="CompiledMadeUnder"/>
    <w:rsid w:val="001A6F73"/>
    <w:pPr>
      <w:spacing w:before="240"/>
    </w:pPr>
    <w:rPr>
      <w:sz w:val="24"/>
      <w:szCs w:val="24"/>
    </w:rPr>
  </w:style>
  <w:style w:type="paragraph" w:customStyle="1" w:styleId="ENotesHeading3">
    <w:name w:val="ENotesHeading 3"/>
    <w:aliases w:val="Enh3"/>
    <w:basedOn w:val="OPCParaBase"/>
    <w:next w:val="Normal"/>
    <w:rsid w:val="001A6F73"/>
    <w:pPr>
      <w:keepNext/>
      <w:spacing w:before="120" w:line="240" w:lineRule="auto"/>
      <w:outlineLvl w:val="4"/>
    </w:pPr>
    <w:rPr>
      <w:b/>
      <w:szCs w:val="24"/>
    </w:rPr>
  </w:style>
  <w:style w:type="paragraph" w:customStyle="1" w:styleId="SubPartCASA">
    <w:name w:val="SubPart(CASA)"/>
    <w:aliases w:val="csp"/>
    <w:basedOn w:val="OPCParaBase"/>
    <w:next w:val="ActHead3"/>
    <w:rsid w:val="001A6F73"/>
    <w:pPr>
      <w:keepNext/>
      <w:keepLines/>
      <w:spacing w:before="280"/>
      <w:outlineLvl w:val="1"/>
    </w:pPr>
    <w:rPr>
      <w:b/>
      <w:kern w:val="28"/>
      <w:sz w:val="32"/>
    </w:rPr>
  </w:style>
  <w:style w:type="character" w:customStyle="1" w:styleId="CharSubPartTextCASA">
    <w:name w:val="CharSubPartText(CASA)"/>
    <w:basedOn w:val="OPCCharBase"/>
    <w:uiPriority w:val="1"/>
    <w:rsid w:val="001A6F73"/>
  </w:style>
  <w:style w:type="character" w:customStyle="1" w:styleId="CharSubPartNoCASA">
    <w:name w:val="CharSubPartNo(CASA)"/>
    <w:basedOn w:val="OPCCharBase"/>
    <w:uiPriority w:val="1"/>
    <w:rsid w:val="001A6F73"/>
  </w:style>
  <w:style w:type="paragraph" w:customStyle="1" w:styleId="ENoteTTIndentHeadingSub">
    <w:name w:val="ENoteTTIndentHeadingSub"/>
    <w:aliases w:val="enTTHis"/>
    <w:basedOn w:val="OPCParaBase"/>
    <w:rsid w:val="001A6F73"/>
    <w:pPr>
      <w:keepNext/>
      <w:spacing w:before="60" w:line="240" w:lineRule="atLeast"/>
      <w:ind w:left="340"/>
    </w:pPr>
    <w:rPr>
      <w:b/>
      <w:sz w:val="16"/>
    </w:rPr>
  </w:style>
  <w:style w:type="paragraph" w:customStyle="1" w:styleId="ENoteTTiSub">
    <w:name w:val="ENoteTTiSub"/>
    <w:aliases w:val="enttis"/>
    <w:basedOn w:val="OPCParaBase"/>
    <w:rsid w:val="001A6F73"/>
    <w:pPr>
      <w:keepNext/>
      <w:spacing w:before="60" w:line="240" w:lineRule="atLeast"/>
      <w:ind w:left="340"/>
    </w:pPr>
    <w:rPr>
      <w:sz w:val="16"/>
    </w:rPr>
  </w:style>
  <w:style w:type="paragraph" w:customStyle="1" w:styleId="SubDivisionMigration">
    <w:name w:val="SubDivisionMigration"/>
    <w:aliases w:val="sdm"/>
    <w:basedOn w:val="OPCParaBase"/>
    <w:rsid w:val="001A6F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6F73"/>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1A6F7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A6F73"/>
    <w:rPr>
      <w:sz w:val="22"/>
    </w:rPr>
  </w:style>
  <w:style w:type="paragraph" w:customStyle="1" w:styleId="SOTextNote">
    <w:name w:val="SO TextNote"/>
    <w:aliases w:val="sont"/>
    <w:basedOn w:val="SOText"/>
    <w:qFormat/>
    <w:rsid w:val="001A6F73"/>
    <w:pPr>
      <w:spacing w:before="122" w:line="198" w:lineRule="exact"/>
      <w:ind w:left="1843" w:hanging="709"/>
    </w:pPr>
    <w:rPr>
      <w:sz w:val="18"/>
    </w:rPr>
  </w:style>
  <w:style w:type="paragraph" w:customStyle="1" w:styleId="SOPara">
    <w:name w:val="SO Para"/>
    <w:aliases w:val="soa"/>
    <w:basedOn w:val="SOText"/>
    <w:link w:val="SOParaChar"/>
    <w:qFormat/>
    <w:rsid w:val="001A6F73"/>
    <w:pPr>
      <w:tabs>
        <w:tab w:val="right" w:pos="1786"/>
      </w:tabs>
      <w:spacing w:before="40"/>
      <w:ind w:left="2070" w:hanging="936"/>
    </w:pPr>
  </w:style>
  <w:style w:type="character" w:customStyle="1" w:styleId="SOParaChar">
    <w:name w:val="SO Para Char"/>
    <w:aliases w:val="soa Char"/>
    <w:basedOn w:val="DefaultParagraphFont"/>
    <w:link w:val="SOPara"/>
    <w:rsid w:val="001A6F73"/>
    <w:rPr>
      <w:sz w:val="22"/>
    </w:rPr>
  </w:style>
  <w:style w:type="paragraph" w:customStyle="1" w:styleId="FileName">
    <w:name w:val="FileName"/>
    <w:basedOn w:val="Normal"/>
    <w:rsid w:val="001A6F73"/>
  </w:style>
  <w:style w:type="paragraph" w:customStyle="1" w:styleId="TableHeading">
    <w:name w:val="TableHeading"/>
    <w:aliases w:val="th"/>
    <w:basedOn w:val="OPCParaBase"/>
    <w:next w:val="Tabletext"/>
    <w:rsid w:val="001A6F73"/>
    <w:pPr>
      <w:keepNext/>
      <w:spacing w:before="60" w:line="240" w:lineRule="atLeast"/>
    </w:pPr>
    <w:rPr>
      <w:b/>
      <w:sz w:val="20"/>
    </w:rPr>
  </w:style>
  <w:style w:type="paragraph" w:customStyle="1" w:styleId="SOHeadBold">
    <w:name w:val="SO HeadBold"/>
    <w:aliases w:val="sohb"/>
    <w:basedOn w:val="SOText"/>
    <w:next w:val="SOText"/>
    <w:link w:val="SOHeadBoldChar"/>
    <w:qFormat/>
    <w:rsid w:val="001A6F73"/>
    <w:rPr>
      <w:b/>
    </w:rPr>
  </w:style>
  <w:style w:type="character" w:customStyle="1" w:styleId="SOHeadBoldChar">
    <w:name w:val="SO HeadBold Char"/>
    <w:aliases w:val="sohb Char"/>
    <w:basedOn w:val="DefaultParagraphFont"/>
    <w:link w:val="SOHeadBold"/>
    <w:rsid w:val="001A6F73"/>
    <w:rPr>
      <w:b/>
      <w:sz w:val="22"/>
    </w:rPr>
  </w:style>
  <w:style w:type="paragraph" w:customStyle="1" w:styleId="SOHeadItalic">
    <w:name w:val="SO HeadItalic"/>
    <w:aliases w:val="sohi"/>
    <w:basedOn w:val="SOText"/>
    <w:next w:val="SOText"/>
    <w:link w:val="SOHeadItalicChar"/>
    <w:qFormat/>
    <w:rsid w:val="001A6F73"/>
    <w:rPr>
      <w:i/>
    </w:rPr>
  </w:style>
  <w:style w:type="character" w:customStyle="1" w:styleId="SOHeadItalicChar">
    <w:name w:val="SO HeadItalic Char"/>
    <w:aliases w:val="sohi Char"/>
    <w:basedOn w:val="DefaultParagraphFont"/>
    <w:link w:val="SOHeadItalic"/>
    <w:rsid w:val="001A6F73"/>
    <w:rPr>
      <w:i/>
      <w:sz w:val="22"/>
    </w:rPr>
  </w:style>
  <w:style w:type="paragraph" w:customStyle="1" w:styleId="SOBullet">
    <w:name w:val="SO Bullet"/>
    <w:aliases w:val="sotb"/>
    <w:basedOn w:val="SOText"/>
    <w:link w:val="SOBulletChar"/>
    <w:qFormat/>
    <w:rsid w:val="001A6F73"/>
    <w:pPr>
      <w:ind w:left="1559" w:hanging="425"/>
    </w:pPr>
  </w:style>
  <w:style w:type="character" w:customStyle="1" w:styleId="SOBulletChar">
    <w:name w:val="SO Bullet Char"/>
    <w:aliases w:val="sotb Char"/>
    <w:basedOn w:val="DefaultParagraphFont"/>
    <w:link w:val="SOBullet"/>
    <w:rsid w:val="001A6F73"/>
    <w:rPr>
      <w:sz w:val="22"/>
    </w:rPr>
  </w:style>
  <w:style w:type="paragraph" w:customStyle="1" w:styleId="SOBulletNote">
    <w:name w:val="SO BulletNote"/>
    <w:aliases w:val="sonb"/>
    <w:basedOn w:val="SOTextNote"/>
    <w:link w:val="SOBulletNoteChar"/>
    <w:qFormat/>
    <w:rsid w:val="001A6F73"/>
    <w:pPr>
      <w:tabs>
        <w:tab w:val="left" w:pos="1560"/>
      </w:tabs>
      <w:ind w:left="2268" w:hanging="1134"/>
    </w:pPr>
  </w:style>
  <w:style w:type="character" w:customStyle="1" w:styleId="SOBulletNoteChar">
    <w:name w:val="SO BulletNote Char"/>
    <w:aliases w:val="sonb Char"/>
    <w:basedOn w:val="DefaultParagraphFont"/>
    <w:link w:val="SOBulletNote"/>
    <w:rsid w:val="001A6F73"/>
    <w:rPr>
      <w:sz w:val="18"/>
    </w:rPr>
  </w:style>
  <w:style w:type="paragraph" w:customStyle="1" w:styleId="SOText2">
    <w:name w:val="SO Text2"/>
    <w:aliases w:val="sot2"/>
    <w:basedOn w:val="Normal"/>
    <w:next w:val="SOText"/>
    <w:link w:val="SOText2Char"/>
    <w:rsid w:val="001A6F7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A6F73"/>
    <w:rPr>
      <w:sz w:val="22"/>
    </w:rPr>
  </w:style>
  <w:style w:type="character" w:styleId="CommentReference">
    <w:name w:val="annotation reference"/>
    <w:basedOn w:val="DefaultParagraphFont"/>
    <w:uiPriority w:val="99"/>
    <w:semiHidden/>
    <w:unhideWhenUsed/>
    <w:rsid w:val="000A4015"/>
    <w:rPr>
      <w:sz w:val="16"/>
      <w:szCs w:val="16"/>
    </w:rPr>
  </w:style>
  <w:style w:type="paragraph" w:styleId="CommentText">
    <w:name w:val="annotation text"/>
    <w:basedOn w:val="Normal"/>
    <w:link w:val="CommentTextChar"/>
    <w:uiPriority w:val="99"/>
    <w:unhideWhenUsed/>
    <w:rsid w:val="000A4015"/>
    <w:rPr>
      <w:rFonts w:eastAsia="Calibri" w:cs="Times New Roman"/>
      <w:sz w:val="20"/>
    </w:rPr>
  </w:style>
  <w:style w:type="character" w:customStyle="1" w:styleId="CommentTextChar">
    <w:name w:val="Comment Text Char"/>
    <w:basedOn w:val="DefaultParagraphFont"/>
    <w:link w:val="CommentText"/>
    <w:uiPriority w:val="99"/>
    <w:rsid w:val="000A4015"/>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2234">
      <w:bodyDiv w:val="1"/>
      <w:marLeft w:val="0"/>
      <w:marRight w:val="0"/>
      <w:marTop w:val="0"/>
      <w:marBottom w:val="0"/>
      <w:divBdr>
        <w:top w:val="none" w:sz="0" w:space="0" w:color="auto"/>
        <w:left w:val="none" w:sz="0" w:space="0" w:color="auto"/>
        <w:bottom w:val="none" w:sz="0" w:space="0" w:color="auto"/>
        <w:right w:val="none" w:sz="0" w:space="0" w:color="auto"/>
      </w:divBdr>
    </w:div>
    <w:div w:id="1048259023">
      <w:bodyDiv w:val="1"/>
      <w:marLeft w:val="0"/>
      <w:marRight w:val="0"/>
      <w:marTop w:val="0"/>
      <w:marBottom w:val="0"/>
      <w:divBdr>
        <w:top w:val="none" w:sz="0" w:space="0" w:color="auto"/>
        <w:left w:val="none" w:sz="0" w:space="0" w:color="auto"/>
        <w:bottom w:val="none" w:sz="0" w:space="0" w:color="auto"/>
        <w:right w:val="none" w:sz="0" w:space="0" w:color="auto"/>
      </w:divBdr>
    </w:div>
    <w:div w:id="1049380607">
      <w:bodyDiv w:val="1"/>
      <w:marLeft w:val="0"/>
      <w:marRight w:val="0"/>
      <w:marTop w:val="0"/>
      <w:marBottom w:val="0"/>
      <w:divBdr>
        <w:top w:val="none" w:sz="0" w:space="0" w:color="auto"/>
        <w:left w:val="none" w:sz="0" w:space="0" w:color="auto"/>
        <w:bottom w:val="none" w:sz="0" w:space="0" w:color="auto"/>
        <w:right w:val="none" w:sz="0" w:space="0" w:color="auto"/>
      </w:divBdr>
    </w:div>
    <w:div w:id="1346708467">
      <w:bodyDiv w:val="1"/>
      <w:marLeft w:val="0"/>
      <w:marRight w:val="0"/>
      <w:marTop w:val="0"/>
      <w:marBottom w:val="0"/>
      <w:divBdr>
        <w:top w:val="none" w:sz="0" w:space="0" w:color="auto"/>
        <w:left w:val="none" w:sz="0" w:space="0" w:color="auto"/>
        <w:bottom w:val="none" w:sz="0" w:space="0" w:color="auto"/>
        <w:right w:val="none" w:sz="0" w:space="0" w:color="auto"/>
      </w:divBdr>
    </w:div>
    <w:div w:id="1939095332">
      <w:bodyDiv w:val="1"/>
      <w:marLeft w:val="0"/>
      <w:marRight w:val="0"/>
      <w:marTop w:val="0"/>
      <w:marBottom w:val="0"/>
      <w:divBdr>
        <w:top w:val="none" w:sz="0" w:space="0" w:color="auto"/>
        <w:left w:val="none" w:sz="0" w:space="0" w:color="auto"/>
        <w:bottom w:val="none" w:sz="0" w:space="0" w:color="auto"/>
        <w:right w:val="none" w:sz="0" w:space="0" w:color="auto"/>
      </w:divBdr>
    </w:div>
    <w:div w:id="2088450999">
      <w:bodyDiv w:val="1"/>
      <w:marLeft w:val="0"/>
      <w:marRight w:val="0"/>
      <w:marTop w:val="0"/>
      <w:marBottom w:val="0"/>
      <w:divBdr>
        <w:top w:val="none" w:sz="0" w:space="0" w:color="auto"/>
        <w:left w:val="none" w:sz="0" w:space="0" w:color="auto"/>
        <w:bottom w:val="none" w:sz="0" w:space="0" w:color="auto"/>
        <w:right w:val="none" w:sz="0" w:space="0" w:color="auto"/>
      </w:divBdr>
    </w:div>
    <w:div w:id="21062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256E-D4C2-4929-870D-1E782DD8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36</Pages>
  <Words>8095</Words>
  <Characters>41120</Characters>
  <Application>Microsoft Office Word</Application>
  <DocSecurity>0</DocSecurity>
  <PresentationFormat/>
  <Lines>998</Lines>
  <Paragraphs>453</Paragraphs>
  <ScaleCrop>false</ScaleCrop>
  <HeadingPairs>
    <vt:vector size="2" baseType="variant">
      <vt:variant>
        <vt:lpstr>Title</vt:lpstr>
      </vt:variant>
      <vt:variant>
        <vt:i4>1</vt:i4>
      </vt:variant>
    </vt:vector>
  </HeadingPairs>
  <TitlesOfParts>
    <vt:vector size="1" baseType="lpstr">
      <vt:lpstr>Competition and Consumer (Industry Code—Port Terminal Access (Bulk Wheat)) Regulation 2014</vt:lpstr>
    </vt:vector>
  </TitlesOfParts>
  <Manager/>
  <Company/>
  <LinksUpToDate>false</LinksUpToDate>
  <CharactersWithSpaces>49088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2014-08-12T06:18:00Z</cp:lastPrinted>
  <dcterms:created xsi:type="dcterms:W3CDTF">2014-09-15T00:22:00Z</dcterms:created>
  <dcterms:modified xsi:type="dcterms:W3CDTF">2014-09-15T00:22:00Z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136, 2014</vt:lpwstr>
  </property>
  <property fmtid="{D5CDD505-2E9C-101B-9397-08002B2CF9AE}" pid="3" name="ShortT">
    <vt:lpwstr>Competition and Consumer (Industry Code—Port Terminal Access (Bulk Wheat)) Regulation 2014</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18 September 2014</vt:lpwstr>
  </property>
  <property fmtid="{D5CDD505-2E9C-101B-9397-08002B2CF9AE}" pid="9" name="Exco">
    <vt:lpwstr>Yes</vt:lpwstr>
  </property>
  <property fmtid="{D5CDD505-2E9C-101B-9397-08002B2CF9AE}" pid="10" name="Authority">
    <vt:lpwstr/>
  </property>
  <property fmtid="{D5CDD505-2E9C-101B-9397-08002B2CF9AE}" pid="11" name="ID">
    <vt:lpwstr>OPC60424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Competition and Consumer Act 2010</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E</vt:lpwstr>
  </property>
  <property fmtid="{D5CDD505-2E9C-101B-9397-08002B2CF9AE}" pid="19" name="CounterSign">
    <vt:lpwstr/>
  </property>
  <property fmtid="{D5CDD505-2E9C-101B-9397-08002B2CF9AE}" pid="20" name="ExcoDate">
    <vt:lpwstr>18 September 2014</vt:lpwstr>
  </property>
</Properties>
</file>