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59E634" w14:textId="77777777" w:rsidR="003C3399" w:rsidRDefault="003C3399" w:rsidP="003C3399">
      <w:pPr>
        <w:pStyle w:val="ACMABodyText"/>
        <w:jc w:val="center"/>
        <w:rPr>
          <w:b/>
        </w:rPr>
      </w:pPr>
      <w:bookmarkStart w:id="0" w:name="_GoBack"/>
      <w:bookmarkEnd w:id="0"/>
      <w:r w:rsidRPr="004E2A42">
        <w:rPr>
          <w:b/>
        </w:rPr>
        <w:t>EXPLANATORY STATEMENT</w:t>
      </w:r>
    </w:p>
    <w:p w14:paraId="0FE12A6A" w14:textId="77777777" w:rsidR="003C3399" w:rsidRPr="004E2A42" w:rsidRDefault="003C3399" w:rsidP="003C3399">
      <w:pPr>
        <w:pStyle w:val="ACMABodyText"/>
        <w:jc w:val="center"/>
        <w:rPr>
          <w:b/>
        </w:rPr>
      </w:pPr>
      <w:r>
        <w:rPr>
          <w:b/>
        </w:rPr>
        <w:t>Issued by the Australian Communications and Media Authority</w:t>
      </w:r>
    </w:p>
    <w:p w14:paraId="4C24EFF6" w14:textId="77777777" w:rsidR="003C3399" w:rsidRPr="004B2DB9" w:rsidRDefault="003C3399" w:rsidP="003C3399">
      <w:pPr>
        <w:pStyle w:val="ACMABodyText"/>
        <w:jc w:val="center"/>
        <w:rPr>
          <w:i/>
        </w:rPr>
      </w:pPr>
      <w:r w:rsidRPr="004B2DB9">
        <w:rPr>
          <w:i/>
        </w:rPr>
        <w:t xml:space="preserve">Broadcasting Services (Regional Commercial Radio – Material of Local Significance) Licence Condition 2014 </w:t>
      </w:r>
      <w:r w:rsidRPr="009B6963">
        <w:t>made under the</w:t>
      </w:r>
      <w:r w:rsidRPr="004B2DB9">
        <w:rPr>
          <w:i/>
        </w:rPr>
        <w:t xml:space="preserve"> Broadcasting Services Act 1992</w:t>
      </w:r>
    </w:p>
    <w:p w14:paraId="401686D6" w14:textId="77777777" w:rsidR="003C3399" w:rsidRPr="00E640E2" w:rsidRDefault="003C3399" w:rsidP="003C3399">
      <w:pPr>
        <w:pStyle w:val="Heading2"/>
        <w:spacing w:before="0" w:after="80"/>
        <w:rPr>
          <w:rFonts w:ascii="Times New Roman" w:hAnsi="Times New Roman" w:cs="Times New Roman"/>
          <w:sz w:val="24"/>
          <w:szCs w:val="24"/>
        </w:rPr>
      </w:pPr>
      <w:r w:rsidRPr="00E640E2">
        <w:rPr>
          <w:rFonts w:ascii="Times New Roman" w:hAnsi="Times New Roman" w:cs="Times New Roman"/>
          <w:sz w:val="24"/>
          <w:szCs w:val="24"/>
        </w:rPr>
        <w:t xml:space="preserve">Purpose </w:t>
      </w:r>
    </w:p>
    <w:p w14:paraId="3B3F8ABF" w14:textId="442CB5D3" w:rsidR="003C3399" w:rsidRPr="00E640E2" w:rsidRDefault="003C3399" w:rsidP="003C3399">
      <w:pPr>
        <w:spacing w:before="120" w:after="120"/>
        <w:rPr>
          <w:rFonts w:ascii="Times New Roman" w:hAnsi="Times New Roman"/>
          <w:i/>
          <w:sz w:val="24"/>
          <w:highlight w:val="yellow"/>
        </w:rPr>
      </w:pPr>
      <w:r w:rsidRPr="00E640E2">
        <w:rPr>
          <w:rFonts w:ascii="Times New Roman" w:hAnsi="Times New Roman"/>
          <w:sz w:val="24"/>
        </w:rPr>
        <w:t xml:space="preserve">On </w:t>
      </w:r>
      <w:r w:rsidR="0054576A">
        <w:rPr>
          <w:rFonts w:ascii="Times New Roman" w:hAnsi="Times New Roman"/>
          <w:sz w:val="24"/>
        </w:rPr>
        <w:t>1</w:t>
      </w:r>
      <w:r w:rsidR="00250E9C" w:rsidRPr="00250E9C">
        <w:rPr>
          <w:rFonts w:ascii="Times New Roman" w:hAnsi="Times New Roman"/>
          <w:sz w:val="24"/>
        </w:rPr>
        <w:t xml:space="preserve">1 </w:t>
      </w:r>
      <w:r w:rsidR="0054576A">
        <w:rPr>
          <w:rFonts w:ascii="Times New Roman" w:hAnsi="Times New Roman"/>
          <w:sz w:val="24"/>
        </w:rPr>
        <w:t>September</w:t>
      </w:r>
      <w:r w:rsidR="00250E9C" w:rsidRPr="00250E9C">
        <w:rPr>
          <w:rFonts w:ascii="Times New Roman" w:hAnsi="Times New Roman"/>
          <w:sz w:val="24"/>
        </w:rPr>
        <w:t xml:space="preserve"> 2014</w:t>
      </w:r>
      <w:r w:rsidRPr="0054576A">
        <w:rPr>
          <w:rFonts w:ascii="Times New Roman" w:hAnsi="Times New Roman"/>
          <w:sz w:val="24"/>
        </w:rPr>
        <w:t>,</w:t>
      </w:r>
      <w:r w:rsidRPr="00E640E2">
        <w:rPr>
          <w:rFonts w:ascii="Times New Roman" w:hAnsi="Times New Roman"/>
          <w:sz w:val="24"/>
        </w:rPr>
        <w:t xml:space="preserve"> the Australian Communications and Media Authority (the ACMA) determined the </w:t>
      </w:r>
      <w:r w:rsidRPr="00E640E2">
        <w:rPr>
          <w:rFonts w:ascii="Times New Roman" w:hAnsi="Times New Roman"/>
          <w:i/>
          <w:sz w:val="24"/>
        </w:rPr>
        <w:t>Broadcasting Services (Regional Commercial Radio – Material of Local Significance) Licence Condition 2014</w:t>
      </w:r>
      <w:r w:rsidRPr="00E640E2">
        <w:rPr>
          <w:rFonts w:ascii="Times New Roman" w:hAnsi="Times New Roman"/>
          <w:sz w:val="24"/>
        </w:rPr>
        <w:t xml:space="preserve"> (the Instrument). The Instrument replaces the </w:t>
      </w:r>
      <w:r w:rsidRPr="00E640E2">
        <w:rPr>
          <w:rFonts w:ascii="Times New Roman" w:hAnsi="Times New Roman"/>
          <w:i/>
          <w:sz w:val="24"/>
        </w:rPr>
        <w:t xml:space="preserve">Broadcasting Services (Regional Commercial Radio – Material of Local Significance) Licence Condition 2012 </w:t>
      </w:r>
      <w:r w:rsidRPr="00E640E2">
        <w:rPr>
          <w:rFonts w:ascii="Times New Roman" w:hAnsi="Times New Roman"/>
          <w:sz w:val="24"/>
        </w:rPr>
        <w:t xml:space="preserve">(the 2012 Licence Condition). </w:t>
      </w:r>
    </w:p>
    <w:p w14:paraId="0FBA9469" w14:textId="07486F02" w:rsidR="003C3399" w:rsidRPr="00040C76" w:rsidRDefault="003C3399" w:rsidP="003C3399">
      <w:pPr>
        <w:spacing w:before="120" w:after="120"/>
        <w:rPr>
          <w:rFonts w:ascii="Times New Roman" w:hAnsi="Times New Roman"/>
          <w:sz w:val="24"/>
        </w:rPr>
      </w:pPr>
      <w:r w:rsidRPr="00E640E2">
        <w:rPr>
          <w:rFonts w:ascii="Times New Roman" w:hAnsi="Times New Roman"/>
          <w:sz w:val="24"/>
        </w:rPr>
        <w:t xml:space="preserve">Since 2008, section 43C of the </w:t>
      </w:r>
      <w:r w:rsidR="00D57026" w:rsidRPr="00E640E2">
        <w:rPr>
          <w:rFonts w:ascii="Times New Roman" w:hAnsi="Times New Roman"/>
          <w:i/>
          <w:sz w:val="24"/>
        </w:rPr>
        <w:t>Broadcasting Services Act 1992</w:t>
      </w:r>
      <w:r w:rsidR="00D57026" w:rsidRPr="00E640E2">
        <w:rPr>
          <w:rFonts w:ascii="Times New Roman" w:hAnsi="Times New Roman"/>
          <w:sz w:val="24"/>
        </w:rPr>
        <w:t xml:space="preserve"> (the BSA)</w:t>
      </w:r>
      <w:r w:rsidRPr="00E640E2">
        <w:rPr>
          <w:rFonts w:ascii="Times New Roman" w:hAnsi="Times New Roman"/>
          <w:sz w:val="24"/>
        </w:rPr>
        <w:t xml:space="preserve"> has required the ACMA to ensure that there is in force under section 43 of the BSA</w:t>
      </w:r>
      <w:r w:rsidR="001C6125">
        <w:rPr>
          <w:rFonts w:ascii="Times New Roman" w:hAnsi="Times New Roman"/>
          <w:sz w:val="24"/>
        </w:rPr>
        <w:t>,</w:t>
      </w:r>
      <w:r w:rsidRPr="00E640E2">
        <w:rPr>
          <w:rFonts w:ascii="Times New Roman" w:hAnsi="Times New Roman"/>
          <w:sz w:val="24"/>
        </w:rPr>
        <w:t xml:space="preserve"> a condition that has the effect of requiring the licensee of a regional commercial radio broadcasting licence to broadcast, during daytime hours each </w:t>
      </w:r>
      <w:r w:rsidRPr="00040C76">
        <w:rPr>
          <w:rFonts w:ascii="Times New Roman" w:hAnsi="Times New Roman"/>
          <w:sz w:val="24"/>
        </w:rPr>
        <w:t>business day, at least the applicable number of hours of material of local significance (the local content obligation).</w:t>
      </w:r>
    </w:p>
    <w:p w14:paraId="03DC3D84" w14:textId="717A07C6" w:rsidR="003C3399" w:rsidRPr="00E640E2" w:rsidRDefault="003C3399" w:rsidP="003C3399">
      <w:pPr>
        <w:spacing w:before="120" w:after="120"/>
        <w:rPr>
          <w:rFonts w:ascii="Times New Roman" w:hAnsi="Times New Roman"/>
          <w:sz w:val="24"/>
        </w:rPr>
      </w:pPr>
      <w:r w:rsidRPr="00E640E2">
        <w:rPr>
          <w:rFonts w:ascii="Times New Roman" w:hAnsi="Times New Roman"/>
          <w:sz w:val="24"/>
        </w:rPr>
        <w:t xml:space="preserve">The government’s deregulation agenda has a priority of reducing costs to industry, especially through process improvements and efficiencies for industry dealings with government agencies. Changes made to the 2012 Licence Condition and reflected in the Instrument seek to simplify or remove compliance reporting and </w:t>
      </w:r>
      <w:r w:rsidR="00EC7505">
        <w:rPr>
          <w:rFonts w:ascii="Times New Roman" w:hAnsi="Times New Roman"/>
          <w:sz w:val="24"/>
        </w:rPr>
        <w:t xml:space="preserve">record-keeping </w:t>
      </w:r>
      <w:r w:rsidRPr="00E640E2">
        <w:rPr>
          <w:rFonts w:ascii="Times New Roman" w:hAnsi="Times New Roman"/>
          <w:sz w:val="24"/>
        </w:rPr>
        <w:t xml:space="preserve">for relevant regional commercial radio licensees, announced as part of the communications portfolio deregulation roadmap 2014 released by the Minister on 6 May 2014. The reduction in administrative burden is supported by the high </w:t>
      </w:r>
      <w:r w:rsidR="001C6125">
        <w:rPr>
          <w:rFonts w:ascii="Times New Roman" w:hAnsi="Times New Roman"/>
          <w:sz w:val="24"/>
        </w:rPr>
        <w:t xml:space="preserve">rate of </w:t>
      </w:r>
      <w:r w:rsidRPr="00E640E2">
        <w:rPr>
          <w:rFonts w:ascii="Times New Roman" w:hAnsi="Times New Roman"/>
          <w:sz w:val="24"/>
        </w:rPr>
        <w:t xml:space="preserve">compliance </w:t>
      </w:r>
      <w:r w:rsidR="001C6125">
        <w:rPr>
          <w:rFonts w:ascii="Times New Roman" w:hAnsi="Times New Roman"/>
          <w:sz w:val="24"/>
        </w:rPr>
        <w:t xml:space="preserve">by </w:t>
      </w:r>
      <w:r w:rsidRPr="00E640E2">
        <w:rPr>
          <w:rFonts w:ascii="Times New Roman" w:hAnsi="Times New Roman"/>
          <w:sz w:val="24"/>
        </w:rPr>
        <w:t xml:space="preserve">licensees with the local content obligation imposed by the 2012 Licence Condition and the preceding </w:t>
      </w:r>
      <w:r w:rsidRPr="00E640E2">
        <w:rPr>
          <w:rFonts w:ascii="Times New Roman" w:hAnsi="Times New Roman"/>
          <w:i/>
          <w:sz w:val="24"/>
        </w:rPr>
        <w:t>Broadcasting Services (Additional Regional Commercial Radio Licence Condition – Material of Local Significance) Notice 19 December 2007</w:t>
      </w:r>
      <w:r w:rsidRPr="00E640E2">
        <w:rPr>
          <w:rFonts w:ascii="Times New Roman" w:hAnsi="Times New Roman"/>
          <w:sz w:val="24"/>
        </w:rPr>
        <w:t xml:space="preserve">. </w:t>
      </w:r>
    </w:p>
    <w:p w14:paraId="33309B5D" w14:textId="77777777" w:rsidR="003C3399" w:rsidRDefault="003C3399" w:rsidP="003C3399">
      <w:pPr>
        <w:spacing w:before="120" w:after="120"/>
        <w:rPr>
          <w:rFonts w:ascii="Times New Roman" w:hAnsi="Times New Roman"/>
          <w:sz w:val="24"/>
        </w:rPr>
      </w:pPr>
      <w:r>
        <w:rPr>
          <w:rFonts w:ascii="Times New Roman" w:hAnsi="Times New Roman"/>
          <w:b/>
          <w:bCs/>
          <w:iCs/>
          <w:sz w:val="24"/>
        </w:rPr>
        <w:t>L</w:t>
      </w:r>
      <w:r w:rsidRPr="005232BF">
        <w:rPr>
          <w:rFonts w:ascii="Times New Roman" w:hAnsi="Times New Roman"/>
          <w:b/>
          <w:bCs/>
          <w:iCs/>
          <w:sz w:val="24"/>
        </w:rPr>
        <w:t>egislative basis</w:t>
      </w:r>
      <w:r w:rsidRPr="00E640E2">
        <w:rPr>
          <w:rFonts w:ascii="Times New Roman" w:hAnsi="Times New Roman"/>
          <w:sz w:val="24"/>
        </w:rPr>
        <w:t xml:space="preserve"> </w:t>
      </w:r>
    </w:p>
    <w:p w14:paraId="6AC51147" w14:textId="22A9C834" w:rsidR="003C3399" w:rsidRPr="00E640E2" w:rsidRDefault="003C3399" w:rsidP="003C3399">
      <w:pPr>
        <w:spacing w:before="120" w:after="120"/>
        <w:rPr>
          <w:rFonts w:ascii="Times New Roman" w:hAnsi="Times New Roman"/>
          <w:sz w:val="24"/>
        </w:rPr>
      </w:pPr>
      <w:r w:rsidRPr="00E640E2">
        <w:rPr>
          <w:rFonts w:ascii="Times New Roman" w:hAnsi="Times New Roman"/>
          <w:sz w:val="24"/>
        </w:rPr>
        <w:t xml:space="preserve">The ACMA determined the Instrument under subsection 43(1) of the </w:t>
      </w:r>
      <w:r w:rsidR="00D57026" w:rsidRPr="00E640E2">
        <w:rPr>
          <w:rFonts w:ascii="Times New Roman" w:hAnsi="Times New Roman"/>
          <w:sz w:val="24"/>
        </w:rPr>
        <w:t>BSA</w:t>
      </w:r>
      <w:r w:rsidRPr="005232BF">
        <w:rPr>
          <w:rFonts w:ascii="Times New Roman" w:hAnsi="Times New Roman"/>
          <w:sz w:val="24"/>
        </w:rPr>
        <w:t xml:space="preserve"> </w:t>
      </w:r>
      <w:r w:rsidRPr="00E640E2">
        <w:rPr>
          <w:rFonts w:ascii="Times New Roman" w:hAnsi="Times New Roman"/>
          <w:sz w:val="24"/>
        </w:rPr>
        <w:t>in accordance with subsection 43C(1) of the BS</w:t>
      </w:r>
      <w:r>
        <w:rPr>
          <w:rFonts w:ascii="Times New Roman" w:hAnsi="Times New Roman"/>
          <w:sz w:val="24"/>
        </w:rPr>
        <w:t>A</w:t>
      </w:r>
      <w:r w:rsidR="001C6125">
        <w:rPr>
          <w:rFonts w:ascii="Times New Roman" w:hAnsi="Times New Roman"/>
          <w:sz w:val="24"/>
        </w:rPr>
        <w:t>.</w:t>
      </w:r>
      <w:r w:rsidRPr="00E640E2">
        <w:rPr>
          <w:rFonts w:ascii="Times New Roman" w:hAnsi="Times New Roman"/>
          <w:sz w:val="24"/>
        </w:rPr>
        <w:t xml:space="preserve"> </w:t>
      </w:r>
      <w:r>
        <w:rPr>
          <w:rFonts w:ascii="Times New Roman" w:hAnsi="Times New Roman"/>
          <w:sz w:val="24"/>
        </w:rPr>
        <w:t xml:space="preserve">Subsection 43(1) </w:t>
      </w:r>
      <w:r w:rsidRPr="00E640E2">
        <w:rPr>
          <w:rFonts w:ascii="Times New Roman" w:hAnsi="Times New Roman"/>
          <w:sz w:val="24"/>
        </w:rPr>
        <w:t xml:space="preserve">provides that: </w:t>
      </w:r>
    </w:p>
    <w:p w14:paraId="2534D079" w14:textId="77777777" w:rsidR="003C3399" w:rsidRPr="00356D98" w:rsidRDefault="003C3399" w:rsidP="003C3399">
      <w:pPr>
        <w:spacing w:before="120" w:after="120"/>
        <w:ind w:left="567"/>
        <w:rPr>
          <w:rFonts w:ascii="Times New Roman" w:hAnsi="Times New Roman"/>
          <w:sz w:val="22"/>
          <w:szCs w:val="22"/>
        </w:rPr>
      </w:pPr>
      <w:r w:rsidRPr="00356D98">
        <w:rPr>
          <w:rFonts w:ascii="Times New Roman" w:hAnsi="Times New Roman"/>
          <w:sz w:val="22"/>
          <w:szCs w:val="22"/>
        </w:rPr>
        <w:t>The ACMA may, by notice in writing given to a commercial television broadcasting licensee or a commercial radio broadcasting licensee, vary or revoke a condition of the licence or impose an additional condition on the licence.</w:t>
      </w:r>
    </w:p>
    <w:p w14:paraId="762E7936" w14:textId="77777777" w:rsidR="003C3399" w:rsidRPr="00E640E2" w:rsidRDefault="003C3399" w:rsidP="003C3399">
      <w:pPr>
        <w:pStyle w:val="Heading2"/>
        <w:spacing w:before="0" w:after="80"/>
        <w:rPr>
          <w:rFonts w:ascii="Times New Roman" w:hAnsi="Times New Roman" w:cs="Times New Roman"/>
          <w:sz w:val="24"/>
          <w:szCs w:val="24"/>
        </w:rPr>
      </w:pPr>
      <w:r w:rsidRPr="00E640E2">
        <w:rPr>
          <w:rFonts w:ascii="Times New Roman" w:hAnsi="Times New Roman" w:cs="Times New Roman"/>
          <w:sz w:val="24"/>
          <w:szCs w:val="24"/>
        </w:rPr>
        <w:t>Consultation</w:t>
      </w:r>
    </w:p>
    <w:p w14:paraId="6FED02DA" w14:textId="77777777" w:rsidR="003C3399" w:rsidRPr="00E640E2" w:rsidRDefault="003C3399" w:rsidP="003C3399">
      <w:pPr>
        <w:autoSpaceDE w:val="0"/>
        <w:autoSpaceDN w:val="0"/>
        <w:adjustRightInd w:val="0"/>
        <w:spacing w:before="120" w:after="120"/>
        <w:rPr>
          <w:rFonts w:ascii="Times New Roman" w:hAnsi="Times New Roman"/>
          <w:sz w:val="24"/>
        </w:rPr>
      </w:pPr>
      <w:r w:rsidRPr="00E640E2">
        <w:rPr>
          <w:rFonts w:ascii="Times New Roman" w:hAnsi="Times New Roman"/>
          <w:sz w:val="24"/>
        </w:rPr>
        <w:t xml:space="preserve">On 2 July 2014, the ACMA released a draft of the Instrument, seeking comment on the proposed changes from affected licensees, Commercial Radio Australia and the public. The ACMA also published the proposed changes in the Government Notices Gazette. Consultation on the draft </w:t>
      </w:r>
      <w:r w:rsidR="005F28B8">
        <w:rPr>
          <w:rFonts w:ascii="Times New Roman" w:hAnsi="Times New Roman"/>
          <w:sz w:val="24"/>
        </w:rPr>
        <w:t xml:space="preserve">Instrument </w:t>
      </w:r>
      <w:r w:rsidRPr="00E640E2">
        <w:rPr>
          <w:rFonts w:ascii="Times New Roman" w:hAnsi="Times New Roman"/>
          <w:sz w:val="24"/>
        </w:rPr>
        <w:t>closed on 30 July 2014.</w:t>
      </w:r>
    </w:p>
    <w:p w14:paraId="7293574F" w14:textId="77777777" w:rsidR="003C3399" w:rsidRPr="00E640E2" w:rsidRDefault="003C3399" w:rsidP="003C3399">
      <w:pPr>
        <w:autoSpaceDE w:val="0"/>
        <w:autoSpaceDN w:val="0"/>
        <w:adjustRightInd w:val="0"/>
        <w:spacing w:before="120" w:after="120"/>
        <w:rPr>
          <w:rFonts w:ascii="Times New Roman" w:hAnsi="Times New Roman"/>
          <w:sz w:val="24"/>
        </w:rPr>
      </w:pPr>
      <w:r w:rsidRPr="00E640E2">
        <w:rPr>
          <w:rFonts w:ascii="Times New Roman" w:hAnsi="Times New Roman"/>
          <w:sz w:val="24"/>
        </w:rPr>
        <w:t xml:space="preserve">The ACMA is satisfied that this consultation meets the requirements of both subsection 43(2) of the BSA and section 17 of the </w:t>
      </w:r>
      <w:r w:rsidRPr="00E640E2">
        <w:rPr>
          <w:rFonts w:ascii="Times New Roman" w:hAnsi="Times New Roman"/>
          <w:i/>
          <w:sz w:val="24"/>
        </w:rPr>
        <w:t>Legislative Instruments Act 2003</w:t>
      </w:r>
      <w:r w:rsidRPr="00E640E2">
        <w:rPr>
          <w:rFonts w:ascii="Times New Roman" w:hAnsi="Times New Roman"/>
          <w:sz w:val="24"/>
        </w:rPr>
        <w:t>.</w:t>
      </w:r>
    </w:p>
    <w:p w14:paraId="1989641E" w14:textId="77777777" w:rsidR="003C3399" w:rsidRPr="00E640E2" w:rsidRDefault="003C3399" w:rsidP="003C3399">
      <w:pPr>
        <w:pStyle w:val="Heading2"/>
        <w:spacing w:before="0" w:after="80"/>
        <w:rPr>
          <w:rFonts w:ascii="Times New Roman" w:hAnsi="Times New Roman" w:cs="Times New Roman"/>
          <w:sz w:val="24"/>
          <w:szCs w:val="24"/>
        </w:rPr>
      </w:pPr>
      <w:r>
        <w:rPr>
          <w:rFonts w:ascii="Times New Roman" w:hAnsi="Times New Roman" w:cs="Times New Roman"/>
          <w:sz w:val="24"/>
          <w:szCs w:val="24"/>
        </w:rPr>
        <w:lastRenderedPageBreak/>
        <w:t>Operation</w:t>
      </w:r>
    </w:p>
    <w:p w14:paraId="46D29476" w14:textId="77777777" w:rsidR="003C3399" w:rsidRPr="00E640E2" w:rsidRDefault="003C3399" w:rsidP="003C3399">
      <w:pPr>
        <w:spacing w:before="120" w:after="120"/>
        <w:rPr>
          <w:rFonts w:ascii="Times New Roman" w:hAnsi="Times New Roman"/>
          <w:sz w:val="24"/>
        </w:rPr>
      </w:pPr>
      <w:r w:rsidRPr="00E640E2">
        <w:rPr>
          <w:rFonts w:ascii="Times New Roman" w:hAnsi="Times New Roman"/>
          <w:sz w:val="24"/>
        </w:rPr>
        <w:t>The Instrument is consistent with the local content obligation under the BSA.</w:t>
      </w:r>
    </w:p>
    <w:p w14:paraId="17964A3D" w14:textId="77777777" w:rsidR="003C3399" w:rsidRPr="00E640E2" w:rsidRDefault="003C3399" w:rsidP="003C3399">
      <w:pPr>
        <w:spacing w:before="120" w:after="120"/>
        <w:rPr>
          <w:rFonts w:ascii="Times New Roman" w:hAnsi="Times New Roman"/>
          <w:sz w:val="24"/>
        </w:rPr>
      </w:pPr>
      <w:r w:rsidRPr="00E640E2">
        <w:rPr>
          <w:rFonts w:ascii="Times New Roman" w:hAnsi="Times New Roman"/>
          <w:sz w:val="24"/>
        </w:rPr>
        <w:t xml:space="preserve">The impact of the Instrument is substantially the same as the 2012 Licence Condition, although </w:t>
      </w:r>
      <w:r w:rsidR="002A1952">
        <w:rPr>
          <w:rFonts w:ascii="Times New Roman" w:hAnsi="Times New Roman"/>
          <w:sz w:val="24"/>
        </w:rPr>
        <w:t xml:space="preserve">the Instrument </w:t>
      </w:r>
      <w:r w:rsidRPr="00E640E2">
        <w:rPr>
          <w:rFonts w:ascii="Times New Roman" w:hAnsi="Times New Roman"/>
          <w:sz w:val="24"/>
        </w:rPr>
        <w:t>includes the following deregulatory features that affect relevant regional commercial radio licensees:</w:t>
      </w:r>
    </w:p>
    <w:p w14:paraId="7BAAB1B1" w14:textId="08032230" w:rsidR="003C3399" w:rsidRPr="00E640E2" w:rsidRDefault="003C3399" w:rsidP="003C3399">
      <w:pPr>
        <w:numPr>
          <w:ilvl w:val="0"/>
          <w:numId w:val="15"/>
        </w:numPr>
        <w:spacing w:before="80" w:after="120"/>
        <w:ind w:left="284" w:hanging="284"/>
        <w:rPr>
          <w:rFonts w:ascii="Times New Roman" w:hAnsi="Times New Roman"/>
          <w:sz w:val="24"/>
        </w:rPr>
      </w:pPr>
      <w:r w:rsidRPr="00E640E2">
        <w:rPr>
          <w:rFonts w:ascii="Times New Roman" w:hAnsi="Times New Roman"/>
          <w:sz w:val="24"/>
        </w:rPr>
        <w:t xml:space="preserve">It removes the annual reporting requirements that were imposed under section 9 of the 2012 Licence Condition. The ACMA will instead rely on complaints and </w:t>
      </w:r>
      <w:r w:rsidR="000867BA">
        <w:rPr>
          <w:rFonts w:ascii="Times New Roman" w:hAnsi="Times New Roman"/>
          <w:sz w:val="24"/>
        </w:rPr>
        <w:t>investigations</w:t>
      </w:r>
      <w:r w:rsidRPr="00E640E2">
        <w:rPr>
          <w:rFonts w:ascii="Times New Roman" w:hAnsi="Times New Roman"/>
          <w:sz w:val="24"/>
        </w:rPr>
        <w:t xml:space="preserve"> to </w:t>
      </w:r>
      <w:r w:rsidR="000867BA">
        <w:rPr>
          <w:rFonts w:ascii="Times New Roman" w:hAnsi="Times New Roman"/>
          <w:sz w:val="24"/>
        </w:rPr>
        <w:t>assure</w:t>
      </w:r>
      <w:r w:rsidR="000867BA" w:rsidRPr="00E640E2">
        <w:rPr>
          <w:rFonts w:ascii="Times New Roman" w:hAnsi="Times New Roman"/>
          <w:sz w:val="24"/>
        </w:rPr>
        <w:t xml:space="preserve"> </w:t>
      </w:r>
      <w:r w:rsidRPr="00E640E2">
        <w:rPr>
          <w:rFonts w:ascii="Times New Roman" w:hAnsi="Times New Roman"/>
          <w:sz w:val="24"/>
        </w:rPr>
        <w:t xml:space="preserve">compliance with the local content obligation. The ACMA has </w:t>
      </w:r>
      <w:r w:rsidR="007F3A60">
        <w:rPr>
          <w:rFonts w:ascii="Times New Roman" w:hAnsi="Times New Roman"/>
          <w:sz w:val="24"/>
        </w:rPr>
        <w:t>the power</w:t>
      </w:r>
      <w:r w:rsidRPr="00E640E2">
        <w:rPr>
          <w:rFonts w:ascii="Times New Roman" w:hAnsi="Times New Roman"/>
          <w:sz w:val="24"/>
        </w:rPr>
        <w:t xml:space="preserve"> under section 170 of the BSA to conduct investigations. The rationale for the removal of annual reporting to the ACMA is to reduce the compliance cost burden for regional radio licensees. That ACMA notes the high compliance rates of regional commercial radio licensees with the local content obligation and </w:t>
      </w:r>
      <w:r w:rsidR="00356D98">
        <w:rPr>
          <w:rFonts w:ascii="Times New Roman" w:hAnsi="Times New Roman"/>
          <w:sz w:val="24"/>
        </w:rPr>
        <w:t>is of the opinion</w:t>
      </w:r>
      <w:r w:rsidRPr="00E640E2">
        <w:rPr>
          <w:rFonts w:ascii="Times New Roman" w:hAnsi="Times New Roman"/>
          <w:sz w:val="24"/>
        </w:rPr>
        <w:t xml:space="preserve"> that the</w:t>
      </w:r>
      <w:r w:rsidRPr="00E640E2">
        <w:rPr>
          <w:rFonts w:ascii="Times New Roman" w:hAnsi="Times New Roman"/>
          <w:color w:val="000000"/>
          <w:sz w:val="24"/>
          <w:lang w:val="en"/>
        </w:rPr>
        <w:t xml:space="preserve"> policy objective for regional commercial radio services to provide a minimum amount of content that is relevant to the communities they serve will still be met</w:t>
      </w:r>
      <w:r w:rsidR="009B6963">
        <w:rPr>
          <w:rFonts w:ascii="Times New Roman" w:hAnsi="Times New Roman"/>
          <w:color w:val="000000"/>
          <w:sz w:val="24"/>
          <w:lang w:val="en"/>
        </w:rPr>
        <w:t xml:space="preserve"> notwithstanding that</w:t>
      </w:r>
      <w:r w:rsidRPr="00E640E2">
        <w:rPr>
          <w:rFonts w:ascii="Times New Roman" w:hAnsi="Times New Roman"/>
          <w:color w:val="000000"/>
          <w:sz w:val="24"/>
          <w:lang w:val="en"/>
        </w:rPr>
        <w:t xml:space="preserve"> licensees </w:t>
      </w:r>
      <w:r w:rsidR="009B6963">
        <w:rPr>
          <w:rFonts w:ascii="Times New Roman" w:hAnsi="Times New Roman"/>
          <w:color w:val="000000"/>
          <w:sz w:val="24"/>
          <w:lang w:val="en"/>
        </w:rPr>
        <w:t>are</w:t>
      </w:r>
      <w:r w:rsidRPr="00E640E2">
        <w:rPr>
          <w:rFonts w:ascii="Times New Roman" w:hAnsi="Times New Roman"/>
          <w:color w:val="000000"/>
          <w:sz w:val="24"/>
          <w:lang w:val="en"/>
        </w:rPr>
        <w:t xml:space="preserve"> </w:t>
      </w:r>
      <w:r w:rsidRPr="00E640E2">
        <w:rPr>
          <w:rFonts w:ascii="Times New Roman" w:hAnsi="Times New Roman"/>
          <w:sz w:val="24"/>
        </w:rPr>
        <w:t xml:space="preserve">no longer required to prepare annual reports. </w:t>
      </w:r>
    </w:p>
    <w:p w14:paraId="5E6FC198" w14:textId="77777777" w:rsidR="003C3399" w:rsidRPr="00E640E2" w:rsidRDefault="003C3399" w:rsidP="003C3399">
      <w:pPr>
        <w:numPr>
          <w:ilvl w:val="0"/>
          <w:numId w:val="15"/>
        </w:numPr>
        <w:spacing w:before="80" w:after="120"/>
        <w:ind w:left="284" w:hanging="284"/>
        <w:rPr>
          <w:rFonts w:ascii="Times New Roman" w:hAnsi="Times New Roman"/>
          <w:sz w:val="24"/>
        </w:rPr>
      </w:pPr>
      <w:r w:rsidRPr="00E640E2">
        <w:rPr>
          <w:rFonts w:ascii="Times New Roman" w:hAnsi="Times New Roman"/>
          <w:sz w:val="24"/>
        </w:rPr>
        <w:t xml:space="preserve">It reduces the audio content </w:t>
      </w:r>
      <w:r w:rsidR="00EC7505">
        <w:rPr>
          <w:rFonts w:ascii="Times New Roman" w:hAnsi="Times New Roman"/>
          <w:sz w:val="24"/>
        </w:rPr>
        <w:t xml:space="preserve">record-keeping </w:t>
      </w:r>
      <w:r w:rsidR="00EC7505" w:rsidRPr="00E640E2">
        <w:rPr>
          <w:rFonts w:ascii="Times New Roman" w:hAnsi="Times New Roman"/>
          <w:sz w:val="24"/>
        </w:rPr>
        <w:t>requirements</w:t>
      </w:r>
      <w:r w:rsidRPr="00E640E2">
        <w:rPr>
          <w:rFonts w:ascii="Times New Roman" w:hAnsi="Times New Roman"/>
          <w:sz w:val="24"/>
        </w:rPr>
        <w:t xml:space="preserve"> for all relevant licensees</w:t>
      </w:r>
      <w:r w:rsidR="002B1D04">
        <w:rPr>
          <w:rFonts w:ascii="Times New Roman" w:hAnsi="Times New Roman"/>
          <w:sz w:val="24"/>
        </w:rPr>
        <w:t xml:space="preserve"> which were imposed</w:t>
      </w:r>
      <w:r w:rsidRPr="00E640E2">
        <w:rPr>
          <w:rFonts w:ascii="Times New Roman" w:hAnsi="Times New Roman"/>
          <w:sz w:val="24"/>
        </w:rPr>
        <w:t xml:space="preserve"> under paragraph 10(2)(a) of the 2012 Licence Condition</w:t>
      </w:r>
      <w:r w:rsidR="002B1D04">
        <w:rPr>
          <w:rFonts w:ascii="Times New Roman" w:hAnsi="Times New Roman"/>
          <w:sz w:val="24"/>
        </w:rPr>
        <w:t xml:space="preserve">. </w:t>
      </w:r>
      <w:r w:rsidR="00FE2387" w:rsidRPr="00E640E2">
        <w:rPr>
          <w:rFonts w:ascii="Times New Roman" w:hAnsi="Times New Roman"/>
          <w:sz w:val="24"/>
        </w:rPr>
        <w:t>Under the Instrument</w:t>
      </w:r>
      <w:r w:rsidR="00FE2387">
        <w:rPr>
          <w:rFonts w:ascii="Times New Roman" w:hAnsi="Times New Roman"/>
          <w:sz w:val="24"/>
        </w:rPr>
        <w:t>, a</w:t>
      </w:r>
      <w:r w:rsidR="002B1D04" w:rsidRPr="0037476A">
        <w:rPr>
          <w:rFonts w:ascii="Times New Roman" w:hAnsi="Times New Roman"/>
          <w:sz w:val="24"/>
        </w:rPr>
        <w:t>udio</w:t>
      </w:r>
      <w:r w:rsidR="0037476A" w:rsidRPr="0037476A">
        <w:rPr>
          <w:rFonts w:ascii="Times New Roman" w:hAnsi="Times New Roman"/>
          <w:sz w:val="24"/>
        </w:rPr>
        <w:t xml:space="preserve"> content will now </w:t>
      </w:r>
      <w:r w:rsidR="002B1D04" w:rsidRPr="0037476A">
        <w:rPr>
          <w:rFonts w:ascii="Times New Roman" w:hAnsi="Times New Roman"/>
          <w:sz w:val="24"/>
        </w:rPr>
        <w:t>only</w:t>
      </w:r>
      <w:r w:rsidR="0037476A" w:rsidRPr="0037476A">
        <w:rPr>
          <w:rFonts w:ascii="Times New Roman" w:hAnsi="Times New Roman"/>
          <w:sz w:val="24"/>
        </w:rPr>
        <w:t xml:space="preserve"> be</w:t>
      </w:r>
      <w:r w:rsidR="002B1D04" w:rsidRPr="0037476A">
        <w:rPr>
          <w:rFonts w:ascii="Times New Roman" w:hAnsi="Times New Roman"/>
          <w:sz w:val="24"/>
        </w:rPr>
        <w:t xml:space="preserve"> required to be kept for 30 days rather th</w:t>
      </w:r>
      <w:r w:rsidR="0037476A" w:rsidRPr="0037476A">
        <w:rPr>
          <w:rFonts w:ascii="Times New Roman" w:hAnsi="Times New Roman"/>
          <w:sz w:val="24"/>
        </w:rPr>
        <w:t>an 6 weeks as required by the 2012</w:t>
      </w:r>
      <w:r w:rsidR="005529D1">
        <w:rPr>
          <w:rFonts w:ascii="Times New Roman" w:hAnsi="Times New Roman"/>
          <w:sz w:val="24"/>
        </w:rPr>
        <w:t xml:space="preserve"> </w:t>
      </w:r>
      <w:r w:rsidR="0037476A" w:rsidRPr="0037476A">
        <w:rPr>
          <w:rFonts w:ascii="Times New Roman" w:hAnsi="Times New Roman"/>
          <w:sz w:val="24"/>
        </w:rPr>
        <w:t>Licence Condition</w:t>
      </w:r>
      <w:r w:rsidRPr="00E640E2">
        <w:rPr>
          <w:rFonts w:ascii="Times New Roman" w:hAnsi="Times New Roman"/>
          <w:sz w:val="24"/>
        </w:rPr>
        <w:t xml:space="preserve">. This change seeks to ensure consistency with complaint handling requirements under the current commercial radio codes of practice and with </w:t>
      </w:r>
      <w:r w:rsidR="00EC7505">
        <w:rPr>
          <w:rFonts w:ascii="Times New Roman" w:hAnsi="Times New Roman"/>
          <w:sz w:val="24"/>
        </w:rPr>
        <w:t xml:space="preserve">record-keeping </w:t>
      </w:r>
      <w:r w:rsidR="00EC7505" w:rsidRPr="00E640E2">
        <w:rPr>
          <w:rFonts w:ascii="Times New Roman" w:hAnsi="Times New Roman"/>
          <w:sz w:val="24"/>
        </w:rPr>
        <w:t>obligations</w:t>
      </w:r>
      <w:r w:rsidRPr="00E640E2">
        <w:rPr>
          <w:rFonts w:ascii="Times New Roman" w:hAnsi="Times New Roman"/>
          <w:sz w:val="24"/>
        </w:rPr>
        <w:t xml:space="preserve"> for regional commercial television licensees.</w:t>
      </w:r>
    </w:p>
    <w:p w14:paraId="0062CC73" w14:textId="287461EC" w:rsidR="003C3399" w:rsidRPr="00E640E2" w:rsidRDefault="003C3399" w:rsidP="003C3399">
      <w:pPr>
        <w:numPr>
          <w:ilvl w:val="0"/>
          <w:numId w:val="15"/>
        </w:numPr>
        <w:spacing w:before="80" w:after="120"/>
        <w:ind w:left="284" w:hanging="284"/>
        <w:rPr>
          <w:rFonts w:ascii="Times New Roman" w:hAnsi="Times New Roman"/>
          <w:sz w:val="24"/>
        </w:rPr>
      </w:pPr>
      <w:r w:rsidRPr="00E640E2">
        <w:rPr>
          <w:rFonts w:ascii="Times New Roman" w:hAnsi="Times New Roman"/>
          <w:sz w:val="24"/>
        </w:rPr>
        <w:t xml:space="preserve">It removes the requirement </w:t>
      </w:r>
      <w:r w:rsidR="00FE2387" w:rsidRPr="00E640E2">
        <w:rPr>
          <w:rFonts w:ascii="Times New Roman" w:hAnsi="Times New Roman"/>
          <w:sz w:val="24"/>
        </w:rPr>
        <w:t xml:space="preserve">for </w:t>
      </w:r>
      <w:r w:rsidR="005529D1">
        <w:rPr>
          <w:rFonts w:ascii="Times New Roman" w:hAnsi="Times New Roman"/>
          <w:sz w:val="24"/>
        </w:rPr>
        <w:t xml:space="preserve">licensees to provide </w:t>
      </w:r>
      <w:r w:rsidR="00FE2387" w:rsidRPr="00E640E2">
        <w:rPr>
          <w:rFonts w:ascii="Times New Roman" w:hAnsi="Times New Roman"/>
          <w:sz w:val="24"/>
        </w:rPr>
        <w:t>local conte</w:t>
      </w:r>
      <w:r w:rsidR="005529D1">
        <w:rPr>
          <w:rFonts w:ascii="Times New Roman" w:hAnsi="Times New Roman"/>
          <w:sz w:val="24"/>
        </w:rPr>
        <w:t>nt statements</w:t>
      </w:r>
      <w:r w:rsidR="00FE2387" w:rsidRPr="00E640E2">
        <w:rPr>
          <w:rFonts w:ascii="Times New Roman" w:hAnsi="Times New Roman"/>
          <w:sz w:val="24"/>
        </w:rPr>
        <w:t xml:space="preserve"> to the ACMA </w:t>
      </w:r>
      <w:r w:rsidR="005529D1" w:rsidRPr="00E640E2">
        <w:rPr>
          <w:rFonts w:ascii="Times New Roman" w:hAnsi="Times New Roman"/>
          <w:sz w:val="24"/>
        </w:rPr>
        <w:t xml:space="preserve">in writing </w:t>
      </w:r>
      <w:r w:rsidR="00FE2387">
        <w:rPr>
          <w:rFonts w:ascii="Times New Roman" w:hAnsi="Times New Roman"/>
          <w:sz w:val="24"/>
        </w:rPr>
        <w:t xml:space="preserve">which was imposed </w:t>
      </w:r>
      <w:r w:rsidRPr="00E640E2">
        <w:rPr>
          <w:rFonts w:ascii="Times New Roman" w:hAnsi="Times New Roman"/>
          <w:sz w:val="24"/>
        </w:rPr>
        <w:t>under section 11 of the 2012 Licence Condition. Instead, under the Instrument</w:t>
      </w:r>
      <w:r w:rsidR="005529D1">
        <w:rPr>
          <w:rFonts w:ascii="Times New Roman" w:hAnsi="Times New Roman"/>
          <w:sz w:val="24"/>
        </w:rPr>
        <w:t>,</w:t>
      </w:r>
      <w:r w:rsidRPr="00E640E2">
        <w:rPr>
          <w:rFonts w:ascii="Times New Roman" w:hAnsi="Times New Roman"/>
          <w:sz w:val="24"/>
        </w:rPr>
        <w:t xml:space="preserve"> licensees will be required to have a current program schedule indicating </w:t>
      </w:r>
      <w:r w:rsidR="00954E29" w:rsidRPr="0005402F">
        <w:rPr>
          <w:rFonts w:ascii="Times New Roman" w:hAnsi="Times New Roman"/>
          <w:sz w:val="24"/>
        </w:rPr>
        <w:t>'</w:t>
      </w:r>
      <w:r w:rsidRPr="00E640E2">
        <w:rPr>
          <w:rFonts w:ascii="Times New Roman" w:hAnsi="Times New Roman"/>
          <w:sz w:val="24"/>
        </w:rPr>
        <w:t>material of local significance</w:t>
      </w:r>
      <w:r w:rsidR="00954E29" w:rsidRPr="0005402F">
        <w:rPr>
          <w:rFonts w:ascii="Times New Roman" w:hAnsi="Times New Roman"/>
          <w:sz w:val="24"/>
        </w:rPr>
        <w:t>'</w:t>
      </w:r>
      <w:r w:rsidRPr="00E640E2">
        <w:rPr>
          <w:rFonts w:ascii="Times New Roman" w:hAnsi="Times New Roman"/>
          <w:sz w:val="24"/>
        </w:rPr>
        <w:t xml:space="preserve"> </w:t>
      </w:r>
      <w:r w:rsidR="00392F62">
        <w:rPr>
          <w:rFonts w:ascii="Times New Roman" w:hAnsi="Times New Roman"/>
          <w:sz w:val="24"/>
        </w:rPr>
        <w:t xml:space="preserve">which will either be </w:t>
      </w:r>
      <w:r w:rsidRPr="00E640E2">
        <w:rPr>
          <w:rFonts w:ascii="Times New Roman" w:hAnsi="Times New Roman"/>
          <w:sz w:val="24"/>
        </w:rPr>
        <w:t>kept on a licensee’s website or</w:t>
      </w:r>
      <w:r w:rsidR="00392F62">
        <w:rPr>
          <w:rFonts w:ascii="Times New Roman" w:hAnsi="Times New Roman"/>
          <w:sz w:val="24"/>
        </w:rPr>
        <w:t xml:space="preserve"> made</w:t>
      </w:r>
      <w:r w:rsidRPr="00E640E2">
        <w:rPr>
          <w:rFonts w:ascii="Times New Roman" w:hAnsi="Times New Roman"/>
          <w:sz w:val="24"/>
        </w:rPr>
        <w:t xml:space="preserve"> available on request. The rationale for the removal of local content statement reporting to the ACMA is to reduce the compliance cost burden for regional radio licensees while retaining the provision of local content information for the public on when local content is broadcast by the licensee.</w:t>
      </w:r>
    </w:p>
    <w:p w14:paraId="56AD44A9" w14:textId="77777777" w:rsidR="003C3399" w:rsidRPr="00731E41" w:rsidRDefault="003C3399" w:rsidP="003C3399">
      <w:pPr>
        <w:pStyle w:val="ACMABodyText"/>
        <w:rPr>
          <w:b/>
        </w:rPr>
      </w:pPr>
      <w:r w:rsidRPr="00731E41">
        <w:rPr>
          <w:b/>
        </w:rPr>
        <w:t>Regulat</w:t>
      </w:r>
      <w:r w:rsidR="0053225F" w:rsidRPr="00731E41">
        <w:rPr>
          <w:b/>
        </w:rPr>
        <w:t>ory</w:t>
      </w:r>
      <w:r w:rsidRPr="00731E41">
        <w:rPr>
          <w:b/>
        </w:rPr>
        <w:t xml:space="preserve"> Impact Statement</w:t>
      </w:r>
    </w:p>
    <w:p w14:paraId="502FDF36" w14:textId="6039D9AC" w:rsidR="003C3399" w:rsidRPr="00E640E2" w:rsidRDefault="003C3399" w:rsidP="003C3399">
      <w:pPr>
        <w:autoSpaceDE w:val="0"/>
        <w:autoSpaceDN w:val="0"/>
        <w:adjustRightInd w:val="0"/>
        <w:spacing w:before="120" w:after="120"/>
        <w:rPr>
          <w:rFonts w:ascii="Times New Roman" w:hAnsi="Times New Roman"/>
          <w:sz w:val="24"/>
        </w:rPr>
      </w:pPr>
      <w:r w:rsidRPr="00E640E2">
        <w:rPr>
          <w:rFonts w:ascii="Times New Roman" w:hAnsi="Times New Roman"/>
          <w:sz w:val="24"/>
        </w:rPr>
        <w:t>Based on a preliminary assessment, the Office of Best Practice Regulation (the OBPR) determined that the proposed regulatory change</w:t>
      </w:r>
      <w:r w:rsidR="009B6963">
        <w:rPr>
          <w:rFonts w:ascii="Times New Roman" w:hAnsi="Times New Roman"/>
          <w:sz w:val="24"/>
        </w:rPr>
        <w:t>s</w:t>
      </w:r>
      <w:r w:rsidRPr="00E640E2">
        <w:rPr>
          <w:rFonts w:ascii="Times New Roman" w:hAnsi="Times New Roman"/>
          <w:sz w:val="24"/>
        </w:rPr>
        <w:t xml:space="preserve"> reflected in the Instrument </w:t>
      </w:r>
      <w:r w:rsidR="009B6963">
        <w:rPr>
          <w:rFonts w:ascii="Times New Roman" w:hAnsi="Times New Roman"/>
          <w:sz w:val="24"/>
        </w:rPr>
        <w:t>were</w:t>
      </w:r>
      <w:r w:rsidRPr="00E640E2">
        <w:rPr>
          <w:rFonts w:ascii="Times New Roman" w:hAnsi="Times New Roman"/>
          <w:sz w:val="24"/>
        </w:rPr>
        <w:t xml:space="preserve"> minor or machinery in nature and that no further regulatory impact analysis was required </w:t>
      </w:r>
      <w:r w:rsidR="005529D1">
        <w:rPr>
          <w:rFonts w:ascii="Times New Roman" w:hAnsi="Times New Roman"/>
          <w:sz w:val="24"/>
        </w:rPr>
        <w:t>–</w:t>
      </w:r>
      <w:r w:rsidRPr="00E640E2">
        <w:rPr>
          <w:rFonts w:ascii="Times New Roman" w:hAnsi="Times New Roman"/>
          <w:sz w:val="24"/>
        </w:rPr>
        <w:t xml:space="preserve"> OBPR reference number 16669.</w:t>
      </w:r>
    </w:p>
    <w:p w14:paraId="5792EFF6" w14:textId="77777777" w:rsidR="003C3399" w:rsidRDefault="003C3399" w:rsidP="003C3399">
      <w:pPr>
        <w:pStyle w:val="ACMABodyText"/>
        <w:rPr>
          <w:b/>
        </w:rPr>
      </w:pPr>
      <w:r>
        <w:rPr>
          <w:b/>
        </w:rPr>
        <w:t>Documents incorporated by reference</w:t>
      </w:r>
    </w:p>
    <w:p w14:paraId="3B0C85F0" w14:textId="77777777" w:rsidR="003C3399" w:rsidRDefault="003C3399" w:rsidP="003C3399">
      <w:pPr>
        <w:pStyle w:val="ACMABodyText"/>
      </w:pPr>
      <w:r>
        <w:t xml:space="preserve">None. </w:t>
      </w:r>
    </w:p>
    <w:p w14:paraId="6A7B0C4C" w14:textId="77777777" w:rsidR="004D03D9" w:rsidRDefault="004D03D9">
      <w:pPr>
        <w:spacing w:line="240" w:lineRule="auto"/>
        <w:rPr>
          <w:rFonts w:ascii="Times New Roman" w:hAnsi="Times New Roman"/>
          <w:b/>
          <w:snapToGrid w:val="0"/>
          <w:sz w:val="24"/>
          <w:lang w:eastAsia="en-US"/>
        </w:rPr>
      </w:pPr>
      <w:r>
        <w:rPr>
          <w:b/>
        </w:rPr>
        <w:br w:type="page"/>
      </w:r>
    </w:p>
    <w:p w14:paraId="0D939DB9" w14:textId="77777777" w:rsidR="003C3399" w:rsidRPr="009E13FD" w:rsidRDefault="003C3399" w:rsidP="003C3399">
      <w:pPr>
        <w:pStyle w:val="ACMABodyText"/>
        <w:rPr>
          <w:b/>
          <w:szCs w:val="24"/>
        </w:rPr>
      </w:pPr>
      <w:r w:rsidRPr="009E13FD">
        <w:rPr>
          <w:b/>
          <w:szCs w:val="24"/>
        </w:rPr>
        <w:lastRenderedPageBreak/>
        <w:t xml:space="preserve">Statement of </w:t>
      </w:r>
      <w:r w:rsidRPr="00F32FB4">
        <w:rPr>
          <w:b/>
          <w:szCs w:val="24"/>
        </w:rPr>
        <w:t>Compatibility</w:t>
      </w:r>
    </w:p>
    <w:p w14:paraId="73167B13" w14:textId="77777777" w:rsidR="003C3399" w:rsidRPr="004D03D9" w:rsidRDefault="003C3399" w:rsidP="003C3399">
      <w:pPr>
        <w:jc w:val="both"/>
        <w:rPr>
          <w:rFonts w:ascii="Times New Roman" w:hAnsi="Times New Roman"/>
          <w:sz w:val="24"/>
        </w:rPr>
      </w:pPr>
      <w:r w:rsidRPr="004D03D9">
        <w:rPr>
          <w:rFonts w:ascii="Times New Roman" w:hAnsi="Times New Roman"/>
          <w:sz w:val="24"/>
        </w:rPr>
        <w:t xml:space="preserve">Subsection 9(1) of the </w:t>
      </w:r>
      <w:r w:rsidRPr="004D03D9">
        <w:rPr>
          <w:rFonts w:ascii="Times New Roman" w:hAnsi="Times New Roman"/>
          <w:i/>
          <w:sz w:val="24"/>
        </w:rPr>
        <w:t>Human Rights (Parliamentary Scrutiny) Act 2011</w:t>
      </w:r>
      <w:r w:rsidRPr="004D03D9">
        <w:rPr>
          <w:rFonts w:ascii="Times New Roman" w:hAnsi="Times New Roman"/>
          <w:sz w:val="24"/>
        </w:rPr>
        <w:t xml:space="preserve"> requires the rule maker in relation to a legislative instrument to which section 42 (disallowance) of the </w:t>
      </w:r>
      <w:r w:rsidR="004D03D9" w:rsidRPr="00E640E2">
        <w:rPr>
          <w:rFonts w:ascii="Times New Roman" w:hAnsi="Times New Roman"/>
          <w:i/>
          <w:sz w:val="24"/>
        </w:rPr>
        <w:t>Legislative Instruments Act 2003</w:t>
      </w:r>
      <w:r w:rsidR="004D03D9">
        <w:rPr>
          <w:rFonts w:ascii="Times New Roman" w:hAnsi="Times New Roman"/>
          <w:sz w:val="24"/>
        </w:rPr>
        <w:t xml:space="preserve"> </w:t>
      </w:r>
      <w:r w:rsidRPr="004D03D9">
        <w:rPr>
          <w:rFonts w:ascii="Times New Roman" w:hAnsi="Times New Roman"/>
          <w:sz w:val="24"/>
        </w:rPr>
        <w:t xml:space="preserve">applies to cause a statement of compatibility to be prepared in respect of that legislative instrument. The statement is at Attachment A. </w:t>
      </w:r>
    </w:p>
    <w:p w14:paraId="407C82EF" w14:textId="77777777" w:rsidR="003C3399" w:rsidRDefault="003C3399" w:rsidP="003C3399">
      <w:pPr>
        <w:pStyle w:val="Heading2"/>
        <w:spacing w:before="0" w:after="80"/>
        <w:rPr>
          <w:rFonts w:ascii="Times New Roman" w:hAnsi="Times New Roman" w:cs="Times New Roman"/>
          <w:sz w:val="24"/>
          <w:szCs w:val="24"/>
        </w:rPr>
      </w:pPr>
    </w:p>
    <w:p w14:paraId="03B7EE8F" w14:textId="77777777" w:rsidR="003C3399" w:rsidRPr="00E640E2" w:rsidRDefault="003C3399" w:rsidP="003C3399">
      <w:pPr>
        <w:pStyle w:val="Heading2"/>
        <w:spacing w:before="0" w:after="80"/>
        <w:rPr>
          <w:rFonts w:ascii="Times New Roman" w:hAnsi="Times New Roman" w:cs="Times New Roman"/>
          <w:sz w:val="24"/>
          <w:szCs w:val="24"/>
        </w:rPr>
      </w:pPr>
      <w:r w:rsidRPr="00E640E2">
        <w:rPr>
          <w:rFonts w:ascii="Times New Roman" w:hAnsi="Times New Roman" w:cs="Times New Roman"/>
          <w:sz w:val="24"/>
          <w:szCs w:val="24"/>
        </w:rPr>
        <w:t xml:space="preserve">NOTES ON </w:t>
      </w:r>
      <w:r>
        <w:rPr>
          <w:rFonts w:ascii="Times New Roman" w:hAnsi="Times New Roman" w:cs="Times New Roman"/>
          <w:sz w:val="24"/>
          <w:szCs w:val="24"/>
        </w:rPr>
        <w:t xml:space="preserve">THE </w:t>
      </w:r>
      <w:r w:rsidRPr="00E640E2">
        <w:rPr>
          <w:rFonts w:ascii="Times New Roman" w:hAnsi="Times New Roman" w:cs="Times New Roman"/>
          <w:sz w:val="24"/>
          <w:szCs w:val="24"/>
        </w:rPr>
        <w:t>INSTRUMENT</w:t>
      </w:r>
    </w:p>
    <w:p w14:paraId="42478E5C" w14:textId="77777777" w:rsidR="003C3399" w:rsidRPr="00E640E2" w:rsidRDefault="003C3399" w:rsidP="003C3399">
      <w:pPr>
        <w:autoSpaceDE w:val="0"/>
        <w:autoSpaceDN w:val="0"/>
        <w:adjustRightInd w:val="0"/>
        <w:spacing w:before="120" w:after="120"/>
        <w:rPr>
          <w:rFonts w:ascii="Times New Roman" w:hAnsi="Times New Roman"/>
          <w:b/>
          <w:bCs/>
          <w:sz w:val="24"/>
        </w:rPr>
      </w:pPr>
      <w:bookmarkStart w:id="1" w:name="OLE_LINK2"/>
      <w:r w:rsidRPr="00E640E2">
        <w:rPr>
          <w:rFonts w:ascii="Times New Roman" w:hAnsi="Times New Roman"/>
          <w:b/>
          <w:bCs/>
          <w:sz w:val="24"/>
        </w:rPr>
        <w:t>Section 1 – Name of instrument</w:t>
      </w:r>
    </w:p>
    <w:p w14:paraId="4E2D31EB" w14:textId="77777777" w:rsidR="003C3399" w:rsidRPr="00E640E2" w:rsidRDefault="003C3399" w:rsidP="003C3399">
      <w:pPr>
        <w:autoSpaceDE w:val="0"/>
        <w:autoSpaceDN w:val="0"/>
        <w:adjustRightInd w:val="0"/>
        <w:spacing w:before="120" w:after="120"/>
        <w:rPr>
          <w:rFonts w:ascii="Times New Roman" w:hAnsi="Times New Roman"/>
          <w:bCs/>
          <w:sz w:val="24"/>
        </w:rPr>
      </w:pPr>
      <w:r w:rsidRPr="00E640E2">
        <w:rPr>
          <w:rFonts w:ascii="Times New Roman" w:hAnsi="Times New Roman"/>
          <w:sz w:val="24"/>
        </w:rPr>
        <w:t xml:space="preserve">Section 1 provides that the name of the Instrument is the </w:t>
      </w:r>
      <w:r w:rsidRPr="00E640E2">
        <w:rPr>
          <w:rFonts w:ascii="Times New Roman" w:hAnsi="Times New Roman"/>
          <w:i/>
          <w:sz w:val="24"/>
        </w:rPr>
        <w:t>Broadcasting Services (Regional Commercial Radio – Material of Local Significance) Licence Condition 2014</w:t>
      </w:r>
      <w:r w:rsidRPr="00E640E2">
        <w:rPr>
          <w:rFonts w:ascii="Times New Roman" w:hAnsi="Times New Roman"/>
          <w:sz w:val="24"/>
        </w:rPr>
        <w:t>.</w:t>
      </w:r>
    </w:p>
    <w:p w14:paraId="36E0DDB0" w14:textId="77777777" w:rsidR="003C3399" w:rsidRPr="00E640E2" w:rsidRDefault="003C3399" w:rsidP="003C3399">
      <w:pPr>
        <w:spacing w:before="120" w:after="120"/>
        <w:rPr>
          <w:rFonts w:ascii="Times New Roman" w:hAnsi="Times New Roman"/>
          <w:b/>
          <w:bCs/>
          <w:sz w:val="24"/>
        </w:rPr>
      </w:pPr>
      <w:r w:rsidRPr="00E640E2">
        <w:rPr>
          <w:rFonts w:ascii="Times New Roman" w:hAnsi="Times New Roman"/>
          <w:b/>
          <w:bCs/>
          <w:sz w:val="24"/>
        </w:rPr>
        <w:t>Section 2 – Commencement</w:t>
      </w:r>
    </w:p>
    <w:p w14:paraId="6BA57031" w14:textId="16A543E0" w:rsidR="003C3399" w:rsidRPr="00E640E2" w:rsidRDefault="003C3399" w:rsidP="003C3399">
      <w:pPr>
        <w:autoSpaceDE w:val="0"/>
        <w:autoSpaceDN w:val="0"/>
        <w:adjustRightInd w:val="0"/>
        <w:spacing w:before="120" w:after="120"/>
        <w:rPr>
          <w:rFonts w:ascii="Times New Roman" w:hAnsi="Times New Roman"/>
          <w:sz w:val="24"/>
        </w:rPr>
      </w:pPr>
      <w:r w:rsidRPr="00E640E2">
        <w:rPr>
          <w:rFonts w:ascii="Times New Roman" w:hAnsi="Times New Roman"/>
          <w:sz w:val="24"/>
        </w:rPr>
        <w:t xml:space="preserve">Section 2 </w:t>
      </w:r>
      <w:r w:rsidR="00710BF0">
        <w:rPr>
          <w:rFonts w:ascii="Times New Roman" w:hAnsi="Times New Roman"/>
          <w:sz w:val="24"/>
        </w:rPr>
        <w:t>provides</w:t>
      </w:r>
      <w:r w:rsidRPr="00E640E2">
        <w:rPr>
          <w:rFonts w:ascii="Times New Roman" w:hAnsi="Times New Roman"/>
          <w:sz w:val="24"/>
        </w:rPr>
        <w:t xml:space="preserve"> that the Instrument commences on </w:t>
      </w:r>
      <w:r w:rsidR="00DF6CB7">
        <w:rPr>
          <w:rFonts w:ascii="Times New Roman" w:hAnsi="Times New Roman"/>
          <w:sz w:val="24"/>
        </w:rPr>
        <w:t>1 October 2014</w:t>
      </w:r>
      <w:r w:rsidRPr="00E640E2">
        <w:rPr>
          <w:rFonts w:ascii="Times New Roman" w:hAnsi="Times New Roman"/>
          <w:sz w:val="24"/>
        </w:rPr>
        <w:t>.</w:t>
      </w:r>
    </w:p>
    <w:p w14:paraId="44CDFE0A" w14:textId="77777777" w:rsidR="003C3399" w:rsidRPr="00E640E2" w:rsidRDefault="003C3399" w:rsidP="003C3399">
      <w:pPr>
        <w:autoSpaceDE w:val="0"/>
        <w:autoSpaceDN w:val="0"/>
        <w:adjustRightInd w:val="0"/>
        <w:spacing w:before="120" w:after="120"/>
        <w:rPr>
          <w:rFonts w:ascii="Times New Roman" w:hAnsi="Times New Roman"/>
          <w:sz w:val="24"/>
        </w:rPr>
      </w:pPr>
      <w:r w:rsidRPr="00E640E2">
        <w:rPr>
          <w:rFonts w:ascii="Times New Roman" w:hAnsi="Times New Roman"/>
          <w:b/>
          <w:bCs/>
          <w:sz w:val="24"/>
        </w:rPr>
        <w:t xml:space="preserve">Section 3 – Revocation </w:t>
      </w:r>
    </w:p>
    <w:p w14:paraId="2D979163" w14:textId="77777777" w:rsidR="00710BF0" w:rsidRPr="00FA73E3" w:rsidRDefault="00710BF0" w:rsidP="00710BF0">
      <w:pPr>
        <w:pStyle w:val="ACMABodyText"/>
      </w:pPr>
      <w:r>
        <w:t xml:space="preserve">Section 3 provides that the </w:t>
      </w:r>
      <w:r w:rsidRPr="00E640E2">
        <w:rPr>
          <w:i/>
          <w:szCs w:val="24"/>
        </w:rPr>
        <w:t xml:space="preserve">Broadcasting Services (Regional Commercial Radio – Material of Local Significance) Licence Condition </w:t>
      </w:r>
      <w:r>
        <w:rPr>
          <w:i/>
          <w:szCs w:val="24"/>
        </w:rPr>
        <w:t>2012</w:t>
      </w:r>
      <w:r>
        <w:t xml:space="preserve"> is revoked.</w:t>
      </w:r>
    </w:p>
    <w:bookmarkEnd w:id="1"/>
    <w:p w14:paraId="2AB14EF2" w14:textId="77777777" w:rsidR="003C3399" w:rsidRPr="00E640E2" w:rsidRDefault="003C3399" w:rsidP="003C3399">
      <w:pPr>
        <w:autoSpaceDE w:val="0"/>
        <w:autoSpaceDN w:val="0"/>
        <w:adjustRightInd w:val="0"/>
        <w:spacing w:before="120" w:after="120"/>
        <w:rPr>
          <w:rFonts w:ascii="Times New Roman" w:hAnsi="Times New Roman"/>
          <w:b/>
          <w:bCs/>
          <w:sz w:val="24"/>
        </w:rPr>
      </w:pPr>
      <w:r w:rsidRPr="00E640E2">
        <w:rPr>
          <w:rFonts w:ascii="Times New Roman" w:hAnsi="Times New Roman"/>
          <w:b/>
          <w:bCs/>
          <w:sz w:val="24"/>
        </w:rPr>
        <w:t>Section 4 – Purpose and application</w:t>
      </w:r>
    </w:p>
    <w:p w14:paraId="6F2E546E" w14:textId="1F6C1F12" w:rsidR="003C3399" w:rsidRPr="00E640E2" w:rsidRDefault="003C3399" w:rsidP="003C3399">
      <w:pPr>
        <w:autoSpaceDE w:val="0"/>
        <w:autoSpaceDN w:val="0"/>
        <w:adjustRightInd w:val="0"/>
        <w:spacing w:before="120" w:after="120"/>
        <w:rPr>
          <w:rFonts w:ascii="Times New Roman" w:hAnsi="Times New Roman"/>
          <w:sz w:val="24"/>
        </w:rPr>
      </w:pPr>
      <w:r w:rsidRPr="00E640E2">
        <w:rPr>
          <w:rFonts w:ascii="Times New Roman" w:hAnsi="Times New Roman"/>
          <w:sz w:val="24"/>
        </w:rPr>
        <w:t xml:space="preserve">Section 4 sets out the purpose and application of the Instrument. Its purpose is to impose additional conditions on </w:t>
      </w:r>
      <w:r w:rsidR="009B6963">
        <w:rPr>
          <w:rFonts w:ascii="Times New Roman" w:hAnsi="Times New Roman"/>
          <w:sz w:val="24"/>
        </w:rPr>
        <w:t>certain</w:t>
      </w:r>
      <w:r w:rsidRPr="00E640E2">
        <w:rPr>
          <w:rFonts w:ascii="Times New Roman" w:hAnsi="Times New Roman"/>
          <w:sz w:val="24"/>
        </w:rPr>
        <w:t xml:space="preserve"> regional commercial radio broadcasting licence</w:t>
      </w:r>
      <w:r w:rsidR="009B6963">
        <w:rPr>
          <w:rFonts w:ascii="Times New Roman" w:hAnsi="Times New Roman"/>
          <w:sz w:val="24"/>
        </w:rPr>
        <w:t>s</w:t>
      </w:r>
      <w:r w:rsidRPr="00E640E2">
        <w:rPr>
          <w:rFonts w:ascii="Times New Roman" w:hAnsi="Times New Roman"/>
          <w:sz w:val="24"/>
        </w:rPr>
        <w:t xml:space="preserve">. Its application is to regional commercial radio </w:t>
      </w:r>
      <w:r w:rsidR="00D75E36" w:rsidRPr="00E640E2">
        <w:rPr>
          <w:rFonts w:ascii="Times New Roman" w:hAnsi="Times New Roman"/>
          <w:sz w:val="24"/>
        </w:rPr>
        <w:t>licen</w:t>
      </w:r>
      <w:r w:rsidR="00D75E36">
        <w:rPr>
          <w:rFonts w:ascii="Times New Roman" w:hAnsi="Times New Roman"/>
          <w:sz w:val="24"/>
        </w:rPr>
        <w:t>c</w:t>
      </w:r>
      <w:r w:rsidR="00D75E36" w:rsidRPr="00E640E2">
        <w:rPr>
          <w:rFonts w:ascii="Times New Roman" w:hAnsi="Times New Roman"/>
          <w:sz w:val="24"/>
        </w:rPr>
        <w:t xml:space="preserve">es </w:t>
      </w:r>
      <w:r w:rsidR="00D75E36">
        <w:rPr>
          <w:rFonts w:ascii="Times New Roman" w:hAnsi="Times New Roman"/>
          <w:sz w:val="24"/>
        </w:rPr>
        <w:t>that</w:t>
      </w:r>
      <w:r w:rsidR="00D75E36" w:rsidRPr="00E640E2">
        <w:rPr>
          <w:rFonts w:ascii="Times New Roman" w:hAnsi="Times New Roman"/>
          <w:sz w:val="24"/>
        </w:rPr>
        <w:t xml:space="preserve"> </w:t>
      </w:r>
      <w:r w:rsidRPr="00E640E2">
        <w:rPr>
          <w:rFonts w:ascii="Times New Roman" w:hAnsi="Times New Roman"/>
          <w:sz w:val="24"/>
        </w:rPr>
        <w:t xml:space="preserve">are not remote area service radio licences, regional racing service radio licences, or licences allocated under subsection 40(1) of the BSA. </w:t>
      </w:r>
    </w:p>
    <w:p w14:paraId="5F69FAD7" w14:textId="77777777" w:rsidR="003C3399" w:rsidRPr="00E640E2" w:rsidRDefault="003C3399" w:rsidP="003C3399">
      <w:pPr>
        <w:autoSpaceDE w:val="0"/>
        <w:autoSpaceDN w:val="0"/>
        <w:adjustRightInd w:val="0"/>
        <w:spacing w:before="120" w:after="120"/>
        <w:rPr>
          <w:rFonts w:ascii="Times New Roman" w:hAnsi="Times New Roman"/>
          <w:b/>
          <w:bCs/>
          <w:sz w:val="24"/>
        </w:rPr>
      </w:pPr>
      <w:r w:rsidRPr="00E640E2">
        <w:rPr>
          <w:rFonts w:ascii="Times New Roman" w:hAnsi="Times New Roman"/>
          <w:b/>
          <w:sz w:val="24"/>
        </w:rPr>
        <w:t xml:space="preserve">Section </w:t>
      </w:r>
      <w:r w:rsidRPr="00E640E2">
        <w:rPr>
          <w:rFonts w:ascii="Times New Roman" w:hAnsi="Times New Roman"/>
          <w:b/>
          <w:bCs/>
          <w:sz w:val="24"/>
        </w:rPr>
        <w:t>5 – Definitions</w:t>
      </w:r>
    </w:p>
    <w:p w14:paraId="7FC9061C" w14:textId="45D28660" w:rsidR="003C3399" w:rsidRPr="00E640E2" w:rsidRDefault="003C3399" w:rsidP="003C3399">
      <w:pPr>
        <w:autoSpaceDE w:val="0"/>
        <w:autoSpaceDN w:val="0"/>
        <w:adjustRightInd w:val="0"/>
        <w:spacing w:before="120" w:after="120"/>
        <w:rPr>
          <w:rFonts w:ascii="Times New Roman" w:hAnsi="Times New Roman"/>
          <w:bCs/>
          <w:sz w:val="24"/>
        </w:rPr>
      </w:pPr>
      <w:r w:rsidRPr="00E640E2">
        <w:rPr>
          <w:rFonts w:ascii="Times New Roman" w:hAnsi="Times New Roman"/>
          <w:bCs/>
          <w:sz w:val="24"/>
        </w:rPr>
        <w:t xml:space="preserve">Section 5 defines terms used </w:t>
      </w:r>
      <w:r w:rsidR="009B6963">
        <w:rPr>
          <w:rFonts w:ascii="Times New Roman" w:hAnsi="Times New Roman"/>
          <w:bCs/>
          <w:sz w:val="24"/>
        </w:rPr>
        <w:t>in</w:t>
      </w:r>
      <w:r w:rsidRPr="00E640E2">
        <w:rPr>
          <w:rFonts w:ascii="Times New Roman" w:hAnsi="Times New Roman"/>
          <w:bCs/>
          <w:sz w:val="24"/>
        </w:rPr>
        <w:t xml:space="preserve"> the Instrument. The definitions are unchanged from the 2012 Licence Condition.</w:t>
      </w:r>
    </w:p>
    <w:p w14:paraId="5DFC519D" w14:textId="77777777" w:rsidR="003C3399" w:rsidRPr="00E640E2" w:rsidRDefault="003C3399" w:rsidP="003C3399">
      <w:pPr>
        <w:autoSpaceDE w:val="0"/>
        <w:autoSpaceDN w:val="0"/>
        <w:adjustRightInd w:val="0"/>
        <w:spacing w:before="120" w:after="120"/>
        <w:rPr>
          <w:rFonts w:ascii="Times New Roman" w:hAnsi="Times New Roman"/>
          <w:bCs/>
          <w:sz w:val="24"/>
        </w:rPr>
      </w:pPr>
      <w:r w:rsidRPr="00E640E2">
        <w:rPr>
          <w:rFonts w:ascii="Times New Roman" w:hAnsi="Times New Roman"/>
          <w:bCs/>
          <w:sz w:val="24"/>
        </w:rPr>
        <w:t xml:space="preserve">A note to the section explains that some terms used in the Instrument are defined and have the same meaning as </w:t>
      </w:r>
      <w:r w:rsidR="005529D1">
        <w:rPr>
          <w:rFonts w:ascii="Times New Roman" w:hAnsi="Times New Roman"/>
          <w:bCs/>
          <w:sz w:val="24"/>
        </w:rPr>
        <w:t xml:space="preserve">in </w:t>
      </w:r>
      <w:r w:rsidRPr="00E640E2">
        <w:rPr>
          <w:rFonts w:ascii="Times New Roman" w:hAnsi="Times New Roman"/>
          <w:bCs/>
          <w:sz w:val="24"/>
        </w:rPr>
        <w:t>the BSA.</w:t>
      </w:r>
    </w:p>
    <w:p w14:paraId="33D3CE2D" w14:textId="77777777" w:rsidR="003C3399" w:rsidRPr="00E640E2" w:rsidRDefault="003C3399" w:rsidP="003C3399">
      <w:pPr>
        <w:autoSpaceDE w:val="0"/>
        <w:autoSpaceDN w:val="0"/>
        <w:adjustRightInd w:val="0"/>
        <w:spacing w:before="120" w:after="120"/>
        <w:rPr>
          <w:rFonts w:ascii="Times New Roman" w:hAnsi="Times New Roman"/>
          <w:b/>
          <w:sz w:val="24"/>
        </w:rPr>
      </w:pPr>
      <w:r w:rsidRPr="00E640E2">
        <w:rPr>
          <w:rFonts w:ascii="Times New Roman" w:hAnsi="Times New Roman"/>
          <w:b/>
          <w:sz w:val="24"/>
        </w:rPr>
        <w:t xml:space="preserve">Section </w:t>
      </w:r>
      <w:r w:rsidRPr="00E640E2">
        <w:rPr>
          <w:rFonts w:ascii="Times New Roman" w:hAnsi="Times New Roman"/>
          <w:b/>
          <w:bCs/>
          <w:sz w:val="24"/>
        </w:rPr>
        <w:t xml:space="preserve">6 – Meaning of </w:t>
      </w:r>
      <w:r w:rsidRPr="00E640E2">
        <w:rPr>
          <w:rFonts w:ascii="Times New Roman" w:hAnsi="Times New Roman"/>
          <w:b/>
          <w:bCs/>
          <w:i/>
          <w:sz w:val="24"/>
        </w:rPr>
        <w:t>material of local significance</w:t>
      </w:r>
    </w:p>
    <w:p w14:paraId="5F995B87" w14:textId="77777777" w:rsidR="003C3399" w:rsidRPr="00E640E2" w:rsidRDefault="003C3399" w:rsidP="003C3399">
      <w:pPr>
        <w:autoSpaceDE w:val="0"/>
        <w:autoSpaceDN w:val="0"/>
        <w:adjustRightInd w:val="0"/>
        <w:spacing w:before="120" w:after="120"/>
        <w:rPr>
          <w:rFonts w:ascii="Times New Roman" w:hAnsi="Times New Roman"/>
          <w:sz w:val="24"/>
        </w:rPr>
      </w:pPr>
      <w:r w:rsidRPr="00E640E2">
        <w:rPr>
          <w:rFonts w:ascii="Times New Roman" w:hAnsi="Times New Roman"/>
          <w:sz w:val="24"/>
        </w:rPr>
        <w:t>Section 6 sets out the meaning of 'material of local significance'</w:t>
      </w:r>
      <w:r w:rsidR="00AB3E18">
        <w:rPr>
          <w:rFonts w:ascii="Times New Roman" w:hAnsi="Times New Roman"/>
          <w:sz w:val="24"/>
        </w:rPr>
        <w:t xml:space="preserve"> in the Instrument</w:t>
      </w:r>
      <w:r w:rsidRPr="00E640E2">
        <w:rPr>
          <w:rFonts w:ascii="Times New Roman" w:hAnsi="Times New Roman"/>
          <w:sz w:val="24"/>
        </w:rPr>
        <w:t xml:space="preserve">. </w:t>
      </w:r>
    </w:p>
    <w:p w14:paraId="19593950" w14:textId="765785DF" w:rsidR="003C3399" w:rsidRPr="00E640E2" w:rsidRDefault="003C3399" w:rsidP="003C3399">
      <w:pPr>
        <w:autoSpaceDE w:val="0"/>
        <w:autoSpaceDN w:val="0"/>
        <w:adjustRightInd w:val="0"/>
        <w:spacing w:before="120" w:after="120"/>
        <w:rPr>
          <w:rFonts w:ascii="Times New Roman" w:hAnsi="Times New Roman"/>
          <w:sz w:val="24"/>
        </w:rPr>
      </w:pPr>
      <w:r w:rsidRPr="00E640E2">
        <w:rPr>
          <w:rFonts w:ascii="Times New Roman" w:hAnsi="Times New Roman"/>
          <w:sz w:val="24"/>
        </w:rPr>
        <w:t>The three ways in which a licensee may meet the obligation to broadcast material of local significance is by broadcasting</w:t>
      </w:r>
      <w:r w:rsidR="007F3A60">
        <w:rPr>
          <w:rFonts w:ascii="Times New Roman" w:hAnsi="Times New Roman"/>
          <w:sz w:val="24"/>
        </w:rPr>
        <w:t>,</w:t>
      </w:r>
      <w:r w:rsidRPr="00E640E2">
        <w:rPr>
          <w:rFonts w:ascii="Times New Roman" w:hAnsi="Times New Roman"/>
          <w:sz w:val="24"/>
        </w:rPr>
        <w:t xml:space="preserve"> during daytime hours on business days</w:t>
      </w:r>
      <w:r w:rsidR="007F3A60">
        <w:rPr>
          <w:rFonts w:ascii="Times New Roman" w:hAnsi="Times New Roman"/>
          <w:sz w:val="24"/>
        </w:rPr>
        <w:t>,</w:t>
      </w:r>
      <w:r w:rsidRPr="00E640E2">
        <w:rPr>
          <w:rFonts w:ascii="Times New Roman" w:hAnsi="Times New Roman"/>
          <w:sz w:val="24"/>
        </w:rPr>
        <w:t xml:space="preserve"> material which </w:t>
      </w:r>
      <w:r w:rsidR="009B6963">
        <w:rPr>
          <w:rFonts w:ascii="Times New Roman" w:hAnsi="Times New Roman"/>
          <w:sz w:val="24"/>
        </w:rPr>
        <w:t>is</w:t>
      </w:r>
      <w:r w:rsidRPr="00E640E2">
        <w:rPr>
          <w:rFonts w:ascii="Times New Roman" w:hAnsi="Times New Roman"/>
          <w:sz w:val="24"/>
        </w:rPr>
        <w:t xml:space="preserve"> 'produced in the licence area', 'hosted in the licence area' or '</w:t>
      </w:r>
      <w:proofErr w:type="spellStart"/>
      <w:r w:rsidRPr="00E640E2">
        <w:rPr>
          <w:rFonts w:ascii="Times New Roman" w:hAnsi="Times New Roman"/>
          <w:sz w:val="24"/>
        </w:rPr>
        <w:t>relat</w:t>
      </w:r>
      <w:proofErr w:type="spellEnd"/>
      <w:r w:rsidRPr="00E640E2">
        <w:rPr>
          <w:rFonts w:ascii="Times New Roman" w:hAnsi="Times New Roman"/>
          <w:sz w:val="24"/>
        </w:rPr>
        <w:t>[</w:t>
      </w:r>
      <w:proofErr w:type="spellStart"/>
      <w:r w:rsidRPr="00E640E2">
        <w:rPr>
          <w:rFonts w:ascii="Times New Roman" w:hAnsi="Times New Roman"/>
          <w:sz w:val="24"/>
        </w:rPr>
        <w:t>ed</w:t>
      </w:r>
      <w:proofErr w:type="spellEnd"/>
      <w:r w:rsidRPr="00E640E2">
        <w:rPr>
          <w:rFonts w:ascii="Times New Roman" w:hAnsi="Times New Roman"/>
          <w:sz w:val="24"/>
        </w:rPr>
        <w:t>] to the licence area'.</w:t>
      </w:r>
    </w:p>
    <w:p w14:paraId="0EF881CA" w14:textId="77777777" w:rsidR="003C3399" w:rsidRPr="00E640E2" w:rsidRDefault="003C3399" w:rsidP="003C3399">
      <w:pPr>
        <w:autoSpaceDE w:val="0"/>
        <w:autoSpaceDN w:val="0"/>
        <w:adjustRightInd w:val="0"/>
        <w:spacing w:before="120" w:after="120"/>
        <w:rPr>
          <w:rFonts w:ascii="Times New Roman" w:hAnsi="Times New Roman"/>
          <w:b/>
          <w:sz w:val="24"/>
        </w:rPr>
      </w:pPr>
      <w:r w:rsidRPr="00E640E2">
        <w:rPr>
          <w:rFonts w:ascii="Times New Roman" w:hAnsi="Times New Roman"/>
          <w:b/>
          <w:sz w:val="24"/>
        </w:rPr>
        <w:t xml:space="preserve">Section </w:t>
      </w:r>
      <w:r w:rsidRPr="00E640E2">
        <w:rPr>
          <w:rFonts w:ascii="Times New Roman" w:hAnsi="Times New Roman"/>
          <w:b/>
          <w:bCs/>
          <w:sz w:val="24"/>
        </w:rPr>
        <w:t>7 – Definitions relating to material of local significance</w:t>
      </w:r>
    </w:p>
    <w:p w14:paraId="6E97E00C" w14:textId="77777777" w:rsidR="00AB3E18" w:rsidRDefault="003C3399" w:rsidP="003C3399">
      <w:pPr>
        <w:autoSpaceDE w:val="0"/>
        <w:autoSpaceDN w:val="0"/>
        <w:adjustRightInd w:val="0"/>
        <w:spacing w:before="120" w:after="120"/>
        <w:rPr>
          <w:rFonts w:ascii="Times New Roman" w:hAnsi="Times New Roman"/>
          <w:sz w:val="24"/>
        </w:rPr>
      </w:pPr>
      <w:r w:rsidRPr="00E640E2">
        <w:rPr>
          <w:rFonts w:ascii="Times New Roman" w:hAnsi="Times New Roman"/>
          <w:sz w:val="24"/>
        </w:rPr>
        <w:t xml:space="preserve">Section 7 </w:t>
      </w:r>
      <w:r w:rsidR="00AB3E18">
        <w:rPr>
          <w:rFonts w:ascii="Times New Roman" w:hAnsi="Times New Roman"/>
          <w:sz w:val="24"/>
        </w:rPr>
        <w:t>defines</w:t>
      </w:r>
      <w:r w:rsidRPr="00E640E2">
        <w:rPr>
          <w:rFonts w:ascii="Times New Roman" w:hAnsi="Times New Roman"/>
          <w:sz w:val="24"/>
        </w:rPr>
        <w:t xml:space="preserve"> 'produced in the licence area', 'hosted in the licence area' and 'relates to the licence area'.</w:t>
      </w:r>
    </w:p>
    <w:p w14:paraId="537B1901" w14:textId="77777777" w:rsidR="004D03D9" w:rsidRDefault="004D03D9">
      <w:pPr>
        <w:spacing w:line="240" w:lineRule="auto"/>
        <w:rPr>
          <w:rFonts w:ascii="Times New Roman" w:hAnsi="Times New Roman"/>
          <w:b/>
          <w:sz w:val="24"/>
        </w:rPr>
      </w:pPr>
      <w:r>
        <w:rPr>
          <w:rFonts w:ascii="Times New Roman" w:hAnsi="Times New Roman"/>
          <w:b/>
          <w:sz w:val="24"/>
        </w:rPr>
        <w:br w:type="page"/>
      </w:r>
    </w:p>
    <w:p w14:paraId="347B23E4" w14:textId="77777777" w:rsidR="003C3399" w:rsidRPr="00AB3E18" w:rsidRDefault="003C3399" w:rsidP="003C3399">
      <w:pPr>
        <w:autoSpaceDE w:val="0"/>
        <w:autoSpaceDN w:val="0"/>
        <w:adjustRightInd w:val="0"/>
        <w:spacing w:before="120" w:after="120"/>
        <w:rPr>
          <w:rFonts w:ascii="Times New Roman" w:hAnsi="Times New Roman"/>
          <w:sz w:val="24"/>
        </w:rPr>
      </w:pPr>
      <w:r w:rsidRPr="00E640E2">
        <w:rPr>
          <w:rFonts w:ascii="Times New Roman" w:hAnsi="Times New Roman"/>
          <w:b/>
          <w:sz w:val="24"/>
        </w:rPr>
        <w:lastRenderedPageBreak/>
        <w:t xml:space="preserve">Section </w:t>
      </w:r>
      <w:r w:rsidRPr="00E640E2">
        <w:rPr>
          <w:rFonts w:ascii="Times New Roman" w:hAnsi="Times New Roman"/>
          <w:b/>
          <w:bCs/>
          <w:sz w:val="24"/>
        </w:rPr>
        <w:t>8 – Licensee must broadcast material of local significance</w:t>
      </w:r>
    </w:p>
    <w:p w14:paraId="731CA436" w14:textId="5EE601BF" w:rsidR="003C3399" w:rsidRPr="00E640E2" w:rsidRDefault="003C3399" w:rsidP="003C3399">
      <w:pPr>
        <w:pStyle w:val="Rc"/>
        <w:spacing w:before="120" w:after="120" w:line="240" w:lineRule="atLeast"/>
        <w:ind w:left="0"/>
      </w:pPr>
      <w:r w:rsidRPr="00E640E2">
        <w:t xml:space="preserve">Section 8 sets out the substantive licence condition requirement for regional radio licensees to broadcast the applicable number of hours of material of local significance during daytime hours on a relevant business day. The section also provides that advertising and sponsorship material </w:t>
      </w:r>
      <w:r w:rsidR="005529D1">
        <w:t>that is</w:t>
      </w:r>
      <w:r w:rsidRPr="00E640E2">
        <w:t xml:space="preserve"> counted as material of local significance must comprise not more than 25% of the applicable number of hours </w:t>
      </w:r>
      <w:r w:rsidR="007F3A60" w:rsidRPr="00E640E2">
        <w:t xml:space="preserve">broadcast </w:t>
      </w:r>
      <w:r w:rsidRPr="00E640E2">
        <w:t>on a relevant business day.</w:t>
      </w:r>
    </w:p>
    <w:p w14:paraId="2CD4A946" w14:textId="16B7B6BF" w:rsidR="003C3399" w:rsidRPr="00E640E2" w:rsidRDefault="003C3399" w:rsidP="003C3399">
      <w:pPr>
        <w:autoSpaceDE w:val="0"/>
        <w:autoSpaceDN w:val="0"/>
        <w:adjustRightInd w:val="0"/>
        <w:spacing w:before="120" w:after="120"/>
        <w:rPr>
          <w:rFonts w:ascii="Times New Roman" w:hAnsi="Times New Roman"/>
          <w:sz w:val="24"/>
        </w:rPr>
      </w:pPr>
      <w:r w:rsidRPr="00E640E2">
        <w:rPr>
          <w:rFonts w:ascii="Times New Roman" w:hAnsi="Times New Roman"/>
          <w:sz w:val="24"/>
        </w:rPr>
        <w:t xml:space="preserve">The applicable number of hours for licensees is set out in section 4 of the </w:t>
      </w:r>
      <w:r w:rsidRPr="00E640E2">
        <w:rPr>
          <w:rFonts w:ascii="Times New Roman" w:hAnsi="Times New Roman"/>
          <w:i/>
          <w:sz w:val="24"/>
        </w:rPr>
        <w:t>Broadcasting (Hours of Local Content) Declaration No 1 of 2007</w:t>
      </w:r>
      <w:r w:rsidRPr="00E640E2">
        <w:rPr>
          <w:rFonts w:ascii="Times New Roman" w:hAnsi="Times New Roman"/>
          <w:sz w:val="24"/>
        </w:rPr>
        <w:t>.</w:t>
      </w:r>
    </w:p>
    <w:p w14:paraId="756EAD6E" w14:textId="77777777" w:rsidR="003C3399" w:rsidRPr="00E640E2" w:rsidRDefault="003C3399" w:rsidP="003C3399">
      <w:pPr>
        <w:spacing w:before="120" w:after="120"/>
        <w:rPr>
          <w:rFonts w:ascii="Times New Roman" w:hAnsi="Times New Roman"/>
          <w:b/>
          <w:sz w:val="24"/>
        </w:rPr>
      </w:pPr>
      <w:r w:rsidRPr="00E640E2">
        <w:rPr>
          <w:rFonts w:ascii="Times New Roman" w:hAnsi="Times New Roman"/>
          <w:b/>
          <w:sz w:val="24"/>
        </w:rPr>
        <w:t>Section 9 – Records</w:t>
      </w:r>
    </w:p>
    <w:p w14:paraId="32004E59" w14:textId="60067CC7" w:rsidR="003C3399" w:rsidRPr="00E640E2" w:rsidRDefault="003C3399" w:rsidP="003C3399">
      <w:pPr>
        <w:autoSpaceDE w:val="0"/>
        <w:autoSpaceDN w:val="0"/>
        <w:adjustRightInd w:val="0"/>
        <w:spacing w:before="120" w:after="120"/>
        <w:rPr>
          <w:rFonts w:ascii="Times New Roman" w:hAnsi="Times New Roman"/>
          <w:sz w:val="24"/>
        </w:rPr>
      </w:pPr>
      <w:r w:rsidRPr="00E640E2">
        <w:rPr>
          <w:rFonts w:ascii="Times New Roman" w:hAnsi="Times New Roman"/>
          <w:sz w:val="24"/>
        </w:rPr>
        <w:t xml:space="preserve">Section 9 sets out the requirement that a licensee </w:t>
      </w:r>
      <w:r w:rsidR="005529D1">
        <w:rPr>
          <w:rFonts w:ascii="Times New Roman" w:hAnsi="Times New Roman"/>
          <w:sz w:val="24"/>
        </w:rPr>
        <w:t xml:space="preserve">must </w:t>
      </w:r>
      <w:r w:rsidRPr="00E640E2">
        <w:rPr>
          <w:rFonts w:ascii="Times New Roman" w:hAnsi="Times New Roman"/>
          <w:sz w:val="24"/>
        </w:rPr>
        <w:t xml:space="preserve">make an audio record of the applicable number of hours of material of local significance that it has broadcast in the licence area during daytime hours. </w:t>
      </w:r>
      <w:r w:rsidR="000E242C">
        <w:rPr>
          <w:rFonts w:ascii="Times New Roman" w:hAnsi="Times New Roman"/>
          <w:sz w:val="24"/>
        </w:rPr>
        <w:t>A l</w:t>
      </w:r>
      <w:r w:rsidRPr="00E640E2">
        <w:rPr>
          <w:rFonts w:ascii="Times New Roman" w:hAnsi="Times New Roman"/>
          <w:sz w:val="24"/>
        </w:rPr>
        <w:t>icensee must retain audio records for 30 days from the date on which the material was broadcast. If a complaint has been made in relation to the material, the recording must be kept for 60 days</w:t>
      </w:r>
      <w:r w:rsidR="009B6963">
        <w:rPr>
          <w:rFonts w:ascii="Times New Roman" w:hAnsi="Times New Roman"/>
          <w:sz w:val="24"/>
        </w:rPr>
        <w:t xml:space="preserve">. The ACMA can also specify in writing that the material be kept for a longer period. </w:t>
      </w:r>
      <w:r w:rsidRPr="00E640E2">
        <w:rPr>
          <w:rFonts w:ascii="Times New Roman" w:hAnsi="Times New Roman"/>
          <w:sz w:val="24"/>
        </w:rPr>
        <w:t>The ACMA may ask the licensee for access to an audio record kept under this section.</w:t>
      </w:r>
    </w:p>
    <w:p w14:paraId="50CA69B3" w14:textId="4A0AC3D2" w:rsidR="003C3399" w:rsidRPr="00E640E2" w:rsidRDefault="003C3399" w:rsidP="003C3399">
      <w:pPr>
        <w:autoSpaceDE w:val="0"/>
        <w:autoSpaceDN w:val="0"/>
        <w:adjustRightInd w:val="0"/>
        <w:spacing w:before="120" w:after="120"/>
        <w:rPr>
          <w:rFonts w:ascii="Times New Roman" w:hAnsi="Times New Roman"/>
          <w:sz w:val="24"/>
        </w:rPr>
      </w:pPr>
      <w:r w:rsidRPr="00E640E2">
        <w:rPr>
          <w:rFonts w:ascii="Times New Roman" w:hAnsi="Times New Roman"/>
          <w:sz w:val="24"/>
        </w:rPr>
        <w:t>The requirement does not apply during the default or prescribe</w:t>
      </w:r>
      <w:r w:rsidR="007F3A60">
        <w:rPr>
          <w:rFonts w:ascii="Times New Roman" w:hAnsi="Times New Roman"/>
          <w:sz w:val="24"/>
        </w:rPr>
        <w:t>d</w:t>
      </w:r>
      <w:r w:rsidRPr="00E640E2">
        <w:rPr>
          <w:rFonts w:ascii="Times New Roman" w:hAnsi="Times New Roman"/>
          <w:sz w:val="24"/>
        </w:rPr>
        <w:t xml:space="preserve"> </w:t>
      </w:r>
      <w:r w:rsidR="000E242C" w:rsidRPr="00E640E2">
        <w:rPr>
          <w:rFonts w:ascii="Times New Roman" w:hAnsi="Times New Roman"/>
          <w:sz w:val="24"/>
        </w:rPr>
        <w:t>'</w:t>
      </w:r>
      <w:r w:rsidRPr="00E640E2">
        <w:rPr>
          <w:rFonts w:ascii="Times New Roman" w:hAnsi="Times New Roman"/>
          <w:sz w:val="24"/>
        </w:rPr>
        <w:t>holiday period</w:t>
      </w:r>
      <w:r w:rsidR="000E242C" w:rsidRPr="00E640E2">
        <w:rPr>
          <w:rFonts w:ascii="Times New Roman" w:hAnsi="Times New Roman"/>
          <w:sz w:val="24"/>
        </w:rPr>
        <w:t>'</w:t>
      </w:r>
      <w:r w:rsidRPr="00E640E2">
        <w:rPr>
          <w:rFonts w:ascii="Times New Roman" w:hAnsi="Times New Roman"/>
          <w:sz w:val="24"/>
        </w:rPr>
        <w:t xml:space="preserve"> determined in accordance with subsection 43C(1A) of the BSA. </w:t>
      </w:r>
    </w:p>
    <w:p w14:paraId="0045C8CE" w14:textId="77777777" w:rsidR="003C3399" w:rsidRPr="00E640E2" w:rsidRDefault="005529D1" w:rsidP="003C3399">
      <w:pPr>
        <w:autoSpaceDE w:val="0"/>
        <w:autoSpaceDN w:val="0"/>
        <w:adjustRightInd w:val="0"/>
        <w:spacing w:before="120" w:after="120"/>
        <w:rPr>
          <w:rFonts w:ascii="Times New Roman" w:hAnsi="Times New Roman"/>
          <w:sz w:val="24"/>
        </w:rPr>
      </w:pPr>
      <w:r>
        <w:rPr>
          <w:rFonts w:ascii="Times New Roman" w:hAnsi="Times New Roman"/>
          <w:sz w:val="24"/>
        </w:rPr>
        <w:t xml:space="preserve">Section 9 includes </w:t>
      </w:r>
      <w:r w:rsidR="003C3399" w:rsidRPr="00E640E2">
        <w:rPr>
          <w:rFonts w:ascii="Times New Roman" w:hAnsi="Times New Roman"/>
          <w:sz w:val="24"/>
        </w:rPr>
        <w:t>a transitional provision which provides that a licensee who was required under the 2012 Licence Condition to make a record must continue to comply with that requirement as though the 2012 Licence Condition was still in force.</w:t>
      </w:r>
    </w:p>
    <w:p w14:paraId="103532F9" w14:textId="77777777" w:rsidR="003C3399" w:rsidRPr="00E640E2" w:rsidRDefault="003C3399" w:rsidP="003C3399">
      <w:pPr>
        <w:spacing w:before="120" w:after="120"/>
        <w:rPr>
          <w:rFonts w:ascii="Times New Roman" w:hAnsi="Times New Roman"/>
          <w:b/>
          <w:bCs/>
          <w:sz w:val="24"/>
        </w:rPr>
      </w:pPr>
      <w:r w:rsidRPr="00E640E2">
        <w:rPr>
          <w:rFonts w:ascii="Times New Roman" w:hAnsi="Times New Roman"/>
          <w:b/>
          <w:sz w:val="24"/>
        </w:rPr>
        <w:t>Section 10</w:t>
      </w:r>
      <w:r w:rsidRPr="00E640E2">
        <w:rPr>
          <w:rFonts w:ascii="Times New Roman" w:hAnsi="Times New Roman"/>
          <w:b/>
          <w:bCs/>
          <w:sz w:val="24"/>
        </w:rPr>
        <w:t xml:space="preserve"> – Material of local significance – local content statements</w:t>
      </w:r>
    </w:p>
    <w:p w14:paraId="63F12D68" w14:textId="77777777" w:rsidR="003C3399" w:rsidRPr="00E640E2" w:rsidRDefault="003C3399" w:rsidP="003C3399">
      <w:pPr>
        <w:autoSpaceDE w:val="0"/>
        <w:autoSpaceDN w:val="0"/>
        <w:adjustRightInd w:val="0"/>
        <w:spacing w:before="120" w:after="120"/>
        <w:rPr>
          <w:rFonts w:ascii="Times New Roman" w:hAnsi="Times New Roman"/>
          <w:sz w:val="24"/>
        </w:rPr>
      </w:pPr>
      <w:r w:rsidRPr="00E640E2">
        <w:rPr>
          <w:rFonts w:ascii="Times New Roman" w:hAnsi="Times New Roman"/>
          <w:sz w:val="24"/>
        </w:rPr>
        <w:t>Section 10 requires a licensee to compile a 'local content statement' indicating the material of local significance that is to be broadcast in its licence area during daytime hours. The local content statement must set out a regular program schedule for each day</w:t>
      </w:r>
      <w:r w:rsidR="0045366B">
        <w:rPr>
          <w:rFonts w:ascii="Times New Roman" w:hAnsi="Times New Roman"/>
          <w:sz w:val="24"/>
        </w:rPr>
        <w:t xml:space="preserve"> of the week, signalling which programs contain </w:t>
      </w:r>
      <w:r w:rsidRPr="00E640E2">
        <w:rPr>
          <w:rFonts w:ascii="Times New Roman" w:hAnsi="Times New Roman"/>
          <w:sz w:val="24"/>
        </w:rPr>
        <w:t>material of local significance and if the content is 'produced in the licence area', 'hosted in the licence area' or '</w:t>
      </w:r>
      <w:proofErr w:type="spellStart"/>
      <w:r w:rsidRPr="00E640E2">
        <w:rPr>
          <w:rFonts w:ascii="Times New Roman" w:hAnsi="Times New Roman"/>
          <w:sz w:val="24"/>
        </w:rPr>
        <w:t>relat</w:t>
      </w:r>
      <w:proofErr w:type="spellEnd"/>
      <w:r w:rsidRPr="00E640E2">
        <w:rPr>
          <w:rFonts w:ascii="Times New Roman" w:hAnsi="Times New Roman"/>
          <w:sz w:val="24"/>
        </w:rPr>
        <w:t>[</w:t>
      </w:r>
      <w:proofErr w:type="spellStart"/>
      <w:r w:rsidRPr="00E640E2">
        <w:rPr>
          <w:rFonts w:ascii="Times New Roman" w:hAnsi="Times New Roman"/>
          <w:sz w:val="24"/>
        </w:rPr>
        <w:t>ed</w:t>
      </w:r>
      <w:proofErr w:type="spellEnd"/>
      <w:r w:rsidRPr="00E640E2">
        <w:rPr>
          <w:rFonts w:ascii="Times New Roman" w:hAnsi="Times New Roman"/>
          <w:sz w:val="24"/>
        </w:rPr>
        <w:t>] to the licence area'.</w:t>
      </w:r>
    </w:p>
    <w:p w14:paraId="3667EAC5" w14:textId="77777777" w:rsidR="003C3399" w:rsidRPr="00E640E2" w:rsidRDefault="0045366B" w:rsidP="003C3399">
      <w:pPr>
        <w:autoSpaceDE w:val="0"/>
        <w:autoSpaceDN w:val="0"/>
        <w:adjustRightInd w:val="0"/>
        <w:spacing w:before="120" w:after="120"/>
        <w:rPr>
          <w:rFonts w:ascii="Times New Roman" w:hAnsi="Times New Roman"/>
          <w:sz w:val="24"/>
        </w:rPr>
      </w:pPr>
      <w:r>
        <w:rPr>
          <w:rFonts w:ascii="Times New Roman" w:hAnsi="Times New Roman"/>
          <w:sz w:val="24"/>
        </w:rPr>
        <w:t>A l</w:t>
      </w:r>
      <w:r w:rsidR="003C3399" w:rsidRPr="00E640E2">
        <w:rPr>
          <w:rFonts w:ascii="Times New Roman" w:hAnsi="Times New Roman"/>
          <w:sz w:val="24"/>
        </w:rPr>
        <w:t xml:space="preserve">icensee must ensure that </w:t>
      </w:r>
      <w:r>
        <w:rPr>
          <w:rFonts w:ascii="Times New Roman" w:hAnsi="Times New Roman"/>
          <w:sz w:val="24"/>
        </w:rPr>
        <w:t xml:space="preserve">its </w:t>
      </w:r>
      <w:r w:rsidR="003C3399" w:rsidRPr="00E640E2">
        <w:rPr>
          <w:rFonts w:ascii="Times New Roman" w:hAnsi="Times New Roman"/>
          <w:sz w:val="24"/>
        </w:rPr>
        <w:t>local content statement</w:t>
      </w:r>
      <w:r>
        <w:rPr>
          <w:rFonts w:ascii="Times New Roman" w:hAnsi="Times New Roman"/>
          <w:sz w:val="24"/>
        </w:rPr>
        <w:t xml:space="preserve"> i</w:t>
      </w:r>
      <w:r w:rsidR="003C3399" w:rsidRPr="00E640E2">
        <w:rPr>
          <w:rFonts w:ascii="Times New Roman" w:hAnsi="Times New Roman"/>
          <w:sz w:val="24"/>
        </w:rPr>
        <w:t xml:space="preserve">s available to the public by either publishing the statement on </w:t>
      </w:r>
      <w:r>
        <w:rPr>
          <w:rFonts w:ascii="Times New Roman" w:hAnsi="Times New Roman"/>
          <w:sz w:val="24"/>
        </w:rPr>
        <w:t>its</w:t>
      </w:r>
      <w:r w:rsidR="003C3399" w:rsidRPr="00E640E2">
        <w:rPr>
          <w:rFonts w:ascii="Times New Roman" w:hAnsi="Times New Roman"/>
          <w:sz w:val="24"/>
        </w:rPr>
        <w:t xml:space="preserve"> website or by supply</w:t>
      </w:r>
      <w:r>
        <w:rPr>
          <w:rFonts w:ascii="Times New Roman" w:hAnsi="Times New Roman"/>
          <w:sz w:val="24"/>
        </w:rPr>
        <w:t>ing it</w:t>
      </w:r>
      <w:r w:rsidR="003C3399" w:rsidRPr="00E640E2">
        <w:rPr>
          <w:rFonts w:ascii="Times New Roman" w:hAnsi="Times New Roman"/>
          <w:sz w:val="24"/>
        </w:rPr>
        <w:t xml:space="preserve"> to a person on request. The ACMA may also request a copy of the local content statement. </w:t>
      </w:r>
      <w:r>
        <w:rPr>
          <w:rFonts w:ascii="Times New Roman" w:hAnsi="Times New Roman"/>
          <w:sz w:val="24"/>
        </w:rPr>
        <w:t>A l</w:t>
      </w:r>
      <w:r w:rsidR="003C3399" w:rsidRPr="00E640E2">
        <w:rPr>
          <w:rFonts w:ascii="Times New Roman" w:hAnsi="Times New Roman"/>
          <w:sz w:val="24"/>
        </w:rPr>
        <w:t xml:space="preserve">icensee must keep a copy of a local content statement for either 18 months or </w:t>
      </w:r>
      <w:r>
        <w:rPr>
          <w:rFonts w:ascii="Times New Roman" w:hAnsi="Times New Roman"/>
          <w:sz w:val="24"/>
        </w:rPr>
        <w:t xml:space="preserve">for </w:t>
      </w:r>
      <w:r w:rsidR="003C3399" w:rsidRPr="00E640E2">
        <w:rPr>
          <w:rFonts w:ascii="Times New Roman" w:hAnsi="Times New Roman"/>
          <w:sz w:val="24"/>
        </w:rPr>
        <w:t>another period s</w:t>
      </w:r>
      <w:r>
        <w:rPr>
          <w:rFonts w:ascii="Times New Roman" w:hAnsi="Times New Roman"/>
          <w:sz w:val="24"/>
        </w:rPr>
        <w:t>pecified by the ACMA in writing, whichever is greater.</w:t>
      </w:r>
    </w:p>
    <w:p w14:paraId="4BA65A83" w14:textId="77777777" w:rsidR="003C3399" w:rsidRPr="00E640E2" w:rsidRDefault="003C3399" w:rsidP="003C3399">
      <w:pPr>
        <w:autoSpaceDE w:val="0"/>
        <w:autoSpaceDN w:val="0"/>
        <w:adjustRightInd w:val="0"/>
        <w:spacing w:before="120" w:after="120"/>
        <w:rPr>
          <w:rFonts w:ascii="Times New Roman" w:hAnsi="Times New Roman"/>
          <w:sz w:val="24"/>
        </w:rPr>
      </w:pPr>
      <w:r w:rsidRPr="00E640E2">
        <w:rPr>
          <w:rFonts w:ascii="Times New Roman" w:hAnsi="Times New Roman"/>
          <w:sz w:val="24"/>
        </w:rPr>
        <w:t xml:space="preserve">Section 10 includes a transitional provision and provides that a licensee who was required under the 2012 Licence Condition to make, keep and publish a local content statement must continue to comply with that requirement as though the 2012 Licence Condition was still in force. </w:t>
      </w:r>
    </w:p>
    <w:p w14:paraId="47EB305A" w14:textId="77777777" w:rsidR="003C3399" w:rsidRPr="00E640E2" w:rsidRDefault="003C3399" w:rsidP="003C3399">
      <w:pPr>
        <w:spacing w:after="200" w:line="276" w:lineRule="auto"/>
        <w:rPr>
          <w:rFonts w:ascii="Times New Roman" w:eastAsiaTheme="minorHAnsi" w:hAnsi="Times New Roman"/>
          <w:b/>
          <w:bCs/>
          <w:color w:val="000000"/>
          <w:sz w:val="24"/>
        </w:rPr>
      </w:pPr>
      <w:r w:rsidRPr="00E640E2">
        <w:rPr>
          <w:rFonts w:ascii="Times New Roman" w:hAnsi="Times New Roman"/>
          <w:b/>
          <w:bCs/>
          <w:sz w:val="24"/>
        </w:rPr>
        <w:br w:type="page"/>
      </w:r>
    </w:p>
    <w:p w14:paraId="24AAC197" w14:textId="77777777" w:rsidR="003C3399" w:rsidRDefault="003C3399" w:rsidP="003C3399">
      <w:pPr>
        <w:pStyle w:val="Heading2"/>
        <w:jc w:val="right"/>
        <w:rPr>
          <w:rFonts w:ascii="Times New Roman" w:hAnsi="Times New Roman" w:cs="Times New Roman"/>
          <w:sz w:val="24"/>
          <w:szCs w:val="24"/>
        </w:rPr>
      </w:pPr>
      <w:r>
        <w:rPr>
          <w:rFonts w:ascii="Times New Roman" w:hAnsi="Times New Roman" w:cs="Times New Roman"/>
          <w:sz w:val="24"/>
          <w:szCs w:val="24"/>
        </w:rPr>
        <w:lastRenderedPageBreak/>
        <w:t>ATTACHMENT A</w:t>
      </w:r>
    </w:p>
    <w:p w14:paraId="45D18FFA" w14:textId="77777777" w:rsidR="003C3399" w:rsidRPr="00E640E2" w:rsidRDefault="003C3399" w:rsidP="003C3399">
      <w:pPr>
        <w:pStyle w:val="Heading2"/>
        <w:rPr>
          <w:rFonts w:ascii="Times New Roman" w:hAnsi="Times New Roman" w:cs="Times New Roman"/>
          <w:sz w:val="24"/>
          <w:szCs w:val="24"/>
        </w:rPr>
      </w:pPr>
      <w:r w:rsidRPr="00E640E2">
        <w:rPr>
          <w:rFonts w:ascii="Times New Roman" w:hAnsi="Times New Roman" w:cs="Times New Roman"/>
          <w:sz w:val="24"/>
          <w:szCs w:val="24"/>
        </w:rPr>
        <w:t>Statement of Compatibility with Human Rights</w:t>
      </w:r>
    </w:p>
    <w:p w14:paraId="138D46A9" w14:textId="77777777" w:rsidR="003C3399" w:rsidRPr="00E640E2" w:rsidRDefault="003C3399" w:rsidP="003C3399">
      <w:pPr>
        <w:pStyle w:val="Heading2"/>
        <w:rPr>
          <w:rFonts w:ascii="Times New Roman" w:hAnsi="Times New Roman" w:cs="Times New Roman"/>
          <w:sz w:val="24"/>
          <w:szCs w:val="24"/>
        </w:rPr>
      </w:pPr>
      <w:r w:rsidRPr="00E640E2">
        <w:rPr>
          <w:rFonts w:ascii="Times New Roman" w:hAnsi="Times New Roman" w:cs="Times New Roman"/>
          <w:sz w:val="24"/>
          <w:szCs w:val="24"/>
        </w:rPr>
        <w:t xml:space="preserve">Prepared in accordance with Part 3 of the </w:t>
      </w:r>
      <w:r w:rsidRPr="009B6963">
        <w:rPr>
          <w:rFonts w:ascii="Times New Roman" w:hAnsi="Times New Roman" w:cs="Times New Roman"/>
          <w:i/>
          <w:sz w:val="24"/>
          <w:szCs w:val="24"/>
        </w:rPr>
        <w:t>Human Rights (Parliamentary Scrutiny) Act 2011</w:t>
      </w:r>
    </w:p>
    <w:p w14:paraId="2DDC76E5" w14:textId="77777777" w:rsidR="003C3399" w:rsidRPr="009B6963" w:rsidRDefault="003C3399" w:rsidP="003C3399">
      <w:pPr>
        <w:pStyle w:val="Heading2"/>
        <w:rPr>
          <w:rFonts w:ascii="Times New Roman" w:hAnsi="Times New Roman" w:cs="Times New Roman"/>
          <w:i/>
          <w:sz w:val="24"/>
          <w:szCs w:val="24"/>
        </w:rPr>
      </w:pPr>
      <w:r w:rsidRPr="009B6963">
        <w:rPr>
          <w:rFonts w:ascii="Times New Roman" w:hAnsi="Times New Roman" w:cs="Times New Roman"/>
          <w:i/>
          <w:sz w:val="24"/>
          <w:szCs w:val="24"/>
        </w:rPr>
        <w:t>Broadcasting Services (Regional Commercial Radio – Material of Local Significance) Licence Condition 2014</w:t>
      </w:r>
    </w:p>
    <w:p w14:paraId="7DC9FD30" w14:textId="77777777" w:rsidR="003C3399" w:rsidRPr="00E640E2" w:rsidRDefault="003C3399" w:rsidP="003C3399">
      <w:pPr>
        <w:autoSpaceDE w:val="0"/>
        <w:autoSpaceDN w:val="0"/>
        <w:adjustRightInd w:val="0"/>
        <w:spacing w:before="120" w:after="120"/>
        <w:rPr>
          <w:rFonts w:ascii="Times New Roman" w:hAnsi="Times New Roman"/>
          <w:sz w:val="24"/>
        </w:rPr>
      </w:pPr>
      <w:r w:rsidRPr="00E640E2">
        <w:rPr>
          <w:rFonts w:ascii="Times New Roman" w:hAnsi="Times New Roman"/>
          <w:sz w:val="24"/>
        </w:rPr>
        <w:t xml:space="preserve">This Legislative Instrument is compatible with the human rights and freedoms recognised or declared in the international instruments listed in Part 3 of the </w:t>
      </w:r>
      <w:r w:rsidRPr="00E640E2">
        <w:rPr>
          <w:rFonts w:ascii="Times New Roman" w:hAnsi="Times New Roman"/>
          <w:i/>
          <w:sz w:val="24"/>
        </w:rPr>
        <w:t>Human Rights (Parliamentary Scrutiny) Act 2011</w:t>
      </w:r>
      <w:r w:rsidRPr="00E640E2">
        <w:rPr>
          <w:rFonts w:ascii="Times New Roman" w:hAnsi="Times New Roman"/>
          <w:sz w:val="24"/>
        </w:rPr>
        <w:t xml:space="preserve">. </w:t>
      </w:r>
    </w:p>
    <w:p w14:paraId="49031E03" w14:textId="77777777" w:rsidR="003C3399" w:rsidRPr="00E640E2" w:rsidRDefault="003C3399" w:rsidP="003C3399">
      <w:pPr>
        <w:autoSpaceDE w:val="0"/>
        <w:autoSpaceDN w:val="0"/>
        <w:adjustRightInd w:val="0"/>
        <w:spacing w:before="120" w:after="120"/>
        <w:rPr>
          <w:rFonts w:ascii="Times New Roman" w:hAnsi="Times New Roman"/>
          <w:b/>
          <w:sz w:val="24"/>
        </w:rPr>
      </w:pPr>
      <w:r w:rsidRPr="00E640E2">
        <w:rPr>
          <w:rFonts w:ascii="Times New Roman" w:hAnsi="Times New Roman"/>
          <w:b/>
          <w:sz w:val="24"/>
        </w:rPr>
        <w:t xml:space="preserve">Overview of the Legislative Instrument </w:t>
      </w:r>
    </w:p>
    <w:p w14:paraId="17A3316F" w14:textId="65EF3BE6" w:rsidR="003C3399" w:rsidRPr="004827E4" w:rsidRDefault="003C3399" w:rsidP="003C3399">
      <w:pPr>
        <w:autoSpaceDE w:val="0"/>
        <w:autoSpaceDN w:val="0"/>
        <w:adjustRightInd w:val="0"/>
        <w:spacing w:before="120" w:after="120"/>
        <w:rPr>
          <w:rFonts w:ascii="Times New Roman" w:hAnsi="Times New Roman"/>
          <w:sz w:val="24"/>
        </w:rPr>
      </w:pPr>
      <w:r w:rsidRPr="004827E4">
        <w:rPr>
          <w:rFonts w:ascii="Times New Roman" w:hAnsi="Times New Roman"/>
          <w:sz w:val="24"/>
        </w:rPr>
        <w:t>Licensees of regional commercial radio broadcasting licences must broadcast a prescribed number of hours of material of local significance. The ACMA has set out the ways in which a licensee can meet that obligation in a legislative instrument</w:t>
      </w:r>
      <w:r w:rsidR="00D6174C">
        <w:rPr>
          <w:rFonts w:ascii="Times New Roman" w:hAnsi="Times New Roman"/>
          <w:sz w:val="24"/>
        </w:rPr>
        <w:t xml:space="preserve"> </w:t>
      </w:r>
      <w:r w:rsidR="00D6174C" w:rsidRPr="004827E4">
        <w:rPr>
          <w:rFonts w:ascii="Times New Roman" w:hAnsi="Times New Roman"/>
          <w:sz w:val="24"/>
        </w:rPr>
        <w:t>(</w:t>
      </w:r>
      <w:r w:rsidR="00D6174C">
        <w:rPr>
          <w:rFonts w:ascii="Times New Roman" w:hAnsi="Times New Roman"/>
          <w:sz w:val="24"/>
        </w:rPr>
        <w:t xml:space="preserve">under </w:t>
      </w:r>
      <w:r w:rsidR="00D6174C" w:rsidRPr="004827E4">
        <w:rPr>
          <w:rFonts w:ascii="Times New Roman" w:hAnsi="Times New Roman"/>
          <w:sz w:val="24"/>
        </w:rPr>
        <w:t xml:space="preserve">sections 43 and 43C of the </w:t>
      </w:r>
      <w:r w:rsidR="00D6174C" w:rsidRPr="004827E4">
        <w:rPr>
          <w:rFonts w:ascii="Times New Roman" w:hAnsi="Times New Roman"/>
          <w:i/>
          <w:sz w:val="24"/>
        </w:rPr>
        <w:t>Broadcasting Services Act 1992</w:t>
      </w:r>
      <w:r w:rsidR="00D6174C" w:rsidRPr="004827E4">
        <w:rPr>
          <w:rFonts w:ascii="Times New Roman" w:hAnsi="Times New Roman"/>
          <w:sz w:val="24"/>
        </w:rPr>
        <w:t xml:space="preserve"> (the BSA))</w:t>
      </w:r>
      <w:r w:rsidRPr="004827E4">
        <w:rPr>
          <w:rFonts w:ascii="Times New Roman" w:hAnsi="Times New Roman"/>
          <w:sz w:val="24"/>
        </w:rPr>
        <w:t>.</w:t>
      </w:r>
    </w:p>
    <w:p w14:paraId="69A2F9ED" w14:textId="08D35E01" w:rsidR="00D37ED5" w:rsidRPr="00E640E2" w:rsidRDefault="003C3399" w:rsidP="003C3399">
      <w:pPr>
        <w:autoSpaceDE w:val="0"/>
        <w:autoSpaceDN w:val="0"/>
        <w:adjustRightInd w:val="0"/>
        <w:spacing w:before="120" w:after="120"/>
        <w:rPr>
          <w:rFonts w:ascii="Times New Roman" w:hAnsi="Times New Roman"/>
          <w:sz w:val="24"/>
        </w:rPr>
      </w:pPr>
      <w:r w:rsidRPr="004827E4">
        <w:rPr>
          <w:rFonts w:ascii="Times New Roman" w:hAnsi="Times New Roman"/>
          <w:sz w:val="24"/>
        </w:rPr>
        <w:t xml:space="preserve">The </w:t>
      </w:r>
      <w:r w:rsidRPr="004827E4">
        <w:rPr>
          <w:rFonts w:ascii="Times New Roman" w:hAnsi="Times New Roman"/>
          <w:i/>
          <w:sz w:val="24"/>
        </w:rPr>
        <w:t>Broadcasting Services (Regional Commercial Radio – Material of Local Significance) Licence Condition 2014</w:t>
      </w:r>
      <w:r w:rsidRPr="004827E4">
        <w:rPr>
          <w:rFonts w:ascii="Times New Roman" w:hAnsi="Times New Roman"/>
          <w:sz w:val="24"/>
        </w:rPr>
        <w:t xml:space="preserve"> (the Instrument)</w:t>
      </w:r>
      <w:r w:rsidR="00D352C4">
        <w:rPr>
          <w:rFonts w:ascii="Times New Roman" w:hAnsi="Times New Roman"/>
          <w:sz w:val="24"/>
        </w:rPr>
        <w:t xml:space="preserve"> </w:t>
      </w:r>
      <w:r w:rsidRPr="004827E4">
        <w:rPr>
          <w:rFonts w:ascii="Times New Roman" w:hAnsi="Times New Roman"/>
          <w:sz w:val="24"/>
        </w:rPr>
        <w:t xml:space="preserve">replaces the </w:t>
      </w:r>
      <w:r w:rsidRPr="004827E4">
        <w:rPr>
          <w:rFonts w:ascii="Times New Roman" w:hAnsi="Times New Roman"/>
          <w:i/>
          <w:sz w:val="24"/>
        </w:rPr>
        <w:t>Broadcasting Services (Regional Commercial Radio – Material of Local Significance) Licence Condition 2012</w:t>
      </w:r>
      <w:r w:rsidRPr="004827E4">
        <w:rPr>
          <w:rFonts w:ascii="Times New Roman" w:hAnsi="Times New Roman"/>
          <w:sz w:val="24"/>
        </w:rPr>
        <w:t xml:space="preserve"> (the 2012 Licence Condition</w:t>
      </w:r>
      <w:r w:rsidRPr="00E640E2">
        <w:rPr>
          <w:rFonts w:ascii="Times New Roman" w:hAnsi="Times New Roman"/>
          <w:sz w:val="24"/>
        </w:rPr>
        <w:t xml:space="preserve">). </w:t>
      </w:r>
    </w:p>
    <w:p w14:paraId="2C5AE632" w14:textId="4DF3CE9C" w:rsidR="003C3399" w:rsidRPr="00E640E2" w:rsidRDefault="003C3399" w:rsidP="003C3399">
      <w:pPr>
        <w:autoSpaceDE w:val="0"/>
        <w:autoSpaceDN w:val="0"/>
        <w:adjustRightInd w:val="0"/>
        <w:spacing w:before="120" w:after="120"/>
        <w:rPr>
          <w:rFonts w:ascii="Times New Roman" w:hAnsi="Times New Roman"/>
          <w:sz w:val="24"/>
        </w:rPr>
      </w:pPr>
      <w:r w:rsidRPr="00E640E2">
        <w:rPr>
          <w:rFonts w:ascii="Times New Roman" w:hAnsi="Times New Roman"/>
          <w:sz w:val="24"/>
        </w:rPr>
        <w:t xml:space="preserve">The Instrument </w:t>
      </w:r>
      <w:r w:rsidR="00D37ED5">
        <w:rPr>
          <w:rFonts w:ascii="Times New Roman" w:hAnsi="Times New Roman"/>
          <w:sz w:val="24"/>
        </w:rPr>
        <w:t>adapts</w:t>
      </w:r>
      <w:r w:rsidR="00D37ED5" w:rsidRPr="00E640E2">
        <w:rPr>
          <w:rFonts w:ascii="Times New Roman" w:hAnsi="Times New Roman"/>
          <w:sz w:val="24"/>
        </w:rPr>
        <w:t xml:space="preserve"> </w:t>
      </w:r>
      <w:r w:rsidRPr="00E640E2">
        <w:rPr>
          <w:rFonts w:ascii="Times New Roman" w:hAnsi="Times New Roman"/>
          <w:sz w:val="24"/>
        </w:rPr>
        <w:t xml:space="preserve">the </w:t>
      </w:r>
      <w:r w:rsidR="00D37ED5">
        <w:rPr>
          <w:rFonts w:ascii="Times New Roman" w:hAnsi="Times New Roman"/>
          <w:sz w:val="24"/>
        </w:rPr>
        <w:t xml:space="preserve">record-keeping </w:t>
      </w:r>
      <w:r w:rsidRPr="00E640E2">
        <w:rPr>
          <w:rFonts w:ascii="Times New Roman" w:hAnsi="Times New Roman"/>
          <w:sz w:val="24"/>
        </w:rPr>
        <w:t>obligations of the 2012 Licence Condition</w:t>
      </w:r>
      <w:r w:rsidR="00D37ED5">
        <w:rPr>
          <w:rFonts w:ascii="Times New Roman" w:hAnsi="Times New Roman"/>
          <w:sz w:val="24"/>
        </w:rPr>
        <w:t xml:space="preserve"> by </w:t>
      </w:r>
      <w:r w:rsidR="00D37ED5" w:rsidRPr="00E640E2">
        <w:rPr>
          <w:rFonts w:ascii="Times New Roman" w:hAnsi="Times New Roman"/>
          <w:sz w:val="24"/>
        </w:rPr>
        <w:t>reduc</w:t>
      </w:r>
      <w:r w:rsidR="00D37ED5">
        <w:rPr>
          <w:rFonts w:ascii="Times New Roman" w:hAnsi="Times New Roman"/>
          <w:sz w:val="24"/>
        </w:rPr>
        <w:t>ing</w:t>
      </w:r>
      <w:r w:rsidR="00D37ED5" w:rsidRPr="00E640E2">
        <w:rPr>
          <w:rFonts w:ascii="Times New Roman" w:hAnsi="Times New Roman"/>
          <w:sz w:val="24"/>
        </w:rPr>
        <w:t xml:space="preserve"> </w:t>
      </w:r>
      <w:r w:rsidRPr="00E640E2">
        <w:rPr>
          <w:rFonts w:ascii="Times New Roman" w:hAnsi="Times New Roman"/>
          <w:sz w:val="24"/>
        </w:rPr>
        <w:t xml:space="preserve">the period that relevant regional commercial radio licensees must keep audio records of broadcasts, from six weeks under the 2012 Licence Condition, to 30 days under the Instrument. </w:t>
      </w:r>
    </w:p>
    <w:p w14:paraId="363DD1A0" w14:textId="77777777" w:rsidR="003C3399" w:rsidRPr="00E640E2" w:rsidRDefault="003C3399" w:rsidP="003C3399">
      <w:pPr>
        <w:autoSpaceDE w:val="0"/>
        <w:autoSpaceDN w:val="0"/>
        <w:adjustRightInd w:val="0"/>
        <w:spacing w:before="120" w:after="120"/>
        <w:rPr>
          <w:rFonts w:ascii="Times New Roman" w:hAnsi="Times New Roman"/>
          <w:sz w:val="24"/>
        </w:rPr>
      </w:pPr>
      <w:r w:rsidRPr="00E640E2">
        <w:rPr>
          <w:rFonts w:ascii="Times New Roman" w:hAnsi="Times New Roman"/>
          <w:sz w:val="24"/>
        </w:rPr>
        <w:t xml:space="preserve">The Instrument requires licensees to place a local content statement on the licensee’s website, outlining the material of local significance that is to be broadcast or, where requested, make that statement available to a person on request. However, the </w:t>
      </w:r>
      <w:r w:rsidR="00D37ED5">
        <w:rPr>
          <w:rFonts w:ascii="Times New Roman" w:hAnsi="Times New Roman"/>
          <w:sz w:val="24"/>
        </w:rPr>
        <w:t xml:space="preserve">previous </w:t>
      </w:r>
      <w:r w:rsidRPr="00E640E2">
        <w:rPr>
          <w:rFonts w:ascii="Times New Roman" w:hAnsi="Times New Roman"/>
          <w:sz w:val="24"/>
        </w:rPr>
        <w:t>requirements of local content statements</w:t>
      </w:r>
      <w:r w:rsidR="00D37ED5">
        <w:rPr>
          <w:rFonts w:ascii="Times New Roman" w:hAnsi="Times New Roman"/>
          <w:sz w:val="24"/>
        </w:rPr>
        <w:t xml:space="preserve"> in the 2012 Licence Condition</w:t>
      </w:r>
      <w:r w:rsidRPr="00E640E2">
        <w:rPr>
          <w:rFonts w:ascii="Times New Roman" w:hAnsi="Times New Roman"/>
          <w:sz w:val="24"/>
        </w:rPr>
        <w:t xml:space="preserve"> have been simplified in the Instrument. Annual reporting to the ACMA on the licensee’s compliance with the Instrument is no longer required (as previously required under section 9 of the 2012 Licence Condition).</w:t>
      </w:r>
    </w:p>
    <w:p w14:paraId="142B5E67" w14:textId="77777777" w:rsidR="003C3399" w:rsidRPr="00E640E2" w:rsidRDefault="003C3399" w:rsidP="003C3399">
      <w:pPr>
        <w:autoSpaceDE w:val="0"/>
        <w:autoSpaceDN w:val="0"/>
        <w:adjustRightInd w:val="0"/>
        <w:spacing w:before="120" w:after="120"/>
        <w:rPr>
          <w:rFonts w:ascii="Times New Roman" w:hAnsi="Times New Roman"/>
          <w:b/>
          <w:sz w:val="24"/>
        </w:rPr>
      </w:pPr>
      <w:r w:rsidRPr="00E640E2">
        <w:rPr>
          <w:rFonts w:ascii="Times New Roman" w:hAnsi="Times New Roman"/>
          <w:b/>
          <w:sz w:val="24"/>
        </w:rPr>
        <w:t xml:space="preserve">Human Rights Implications </w:t>
      </w:r>
    </w:p>
    <w:p w14:paraId="7251D219" w14:textId="77777777" w:rsidR="00B6343E" w:rsidRPr="00B6343E" w:rsidRDefault="00B6343E" w:rsidP="00B6343E">
      <w:pPr>
        <w:autoSpaceDE w:val="0"/>
        <w:autoSpaceDN w:val="0"/>
        <w:adjustRightInd w:val="0"/>
        <w:spacing w:before="120" w:after="120"/>
        <w:rPr>
          <w:rFonts w:ascii="Times New Roman" w:hAnsi="Times New Roman"/>
          <w:sz w:val="24"/>
        </w:rPr>
      </w:pPr>
      <w:r w:rsidRPr="00B6343E">
        <w:rPr>
          <w:rFonts w:ascii="Times New Roman" w:hAnsi="Times New Roman"/>
          <w:sz w:val="24"/>
        </w:rPr>
        <w:t xml:space="preserve">Australia is a party to a number of international human rights treaties. </w:t>
      </w:r>
    </w:p>
    <w:p w14:paraId="47F6047D" w14:textId="77777777" w:rsidR="00B6343E" w:rsidRPr="00B6343E" w:rsidRDefault="00B6343E" w:rsidP="00B6343E">
      <w:pPr>
        <w:autoSpaceDE w:val="0"/>
        <w:autoSpaceDN w:val="0"/>
        <w:adjustRightInd w:val="0"/>
        <w:spacing w:before="120" w:after="120"/>
        <w:rPr>
          <w:rFonts w:ascii="Times New Roman" w:hAnsi="Times New Roman"/>
          <w:sz w:val="24"/>
        </w:rPr>
      </w:pPr>
      <w:r w:rsidRPr="00B6343E">
        <w:rPr>
          <w:rFonts w:ascii="Times New Roman" w:hAnsi="Times New Roman"/>
          <w:sz w:val="24"/>
        </w:rPr>
        <w:t>In developing this Legislative Instrument, the human rights implications have been considered in the context of the International Covenant on Civil and Political Rights (ICCPR).</w:t>
      </w:r>
    </w:p>
    <w:p w14:paraId="44170F8B" w14:textId="4125D428" w:rsidR="00B6343E" w:rsidRPr="00B6343E" w:rsidRDefault="00B6343E" w:rsidP="00B6343E">
      <w:pPr>
        <w:autoSpaceDE w:val="0"/>
        <w:autoSpaceDN w:val="0"/>
        <w:adjustRightInd w:val="0"/>
        <w:spacing w:before="120" w:after="120"/>
        <w:rPr>
          <w:rFonts w:ascii="Times New Roman" w:hAnsi="Times New Roman"/>
          <w:sz w:val="24"/>
        </w:rPr>
      </w:pPr>
      <w:r w:rsidRPr="00B6343E">
        <w:rPr>
          <w:rFonts w:ascii="Times New Roman" w:hAnsi="Times New Roman"/>
          <w:sz w:val="24"/>
        </w:rPr>
        <w:t xml:space="preserve">This Legislative Instrument does not limit any of the applicable rights or freedoms. The Legislative Instrument engages and promotes human rights recognised in the ICCPR including the right to freedom of expression, </w:t>
      </w:r>
      <w:r w:rsidR="009B6963">
        <w:rPr>
          <w:rFonts w:ascii="Times New Roman" w:hAnsi="Times New Roman"/>
          <w:sz w:val="24"/>
        </w:rPr>
        <w:t>such as</w:t>
      </w:r>
      <w:r w:rsidRPr="00B6343E">
        <w:rPr>
          <w:rFonts w:ascii="Times New Roman" w:hAnsi="Times New Roman"/>
          <w:sz w:val="24"/>
        </w:rPr>
        <w:t xml:space="preserve"> the freedom to receive information and ideas of all kinds, regardless of frontiers, either orally, in writing or in print, in the form of art, or through any other chosen media (Article 19(2) of the ICCPR</w:t>
      </w:r>
      <w:r w:rsidR="009B6963">
        <w:rPr>
          <w:rFonts w:ascii="Times New Roman" w:hAnsi="Times New Roman"/>
          <w:sz w:val="24"/>
        </w:rPr>
        <w:t>)</w:t>
      </w:r>
      <w:r w:rsidRPr="00B6343E">
        <w:rPr>
          <w:rFonts w:ascii="Times New Roman" w:hAnsi="Times New Roman"/>
          <w:sz w:val="24"/>
        </w:rPr>
        <w:t>.</w:t>
      </w:r>
    </w:p>
    <w:p w14:paraId="43BC230F" w14:textId="0AB6CE07" w:rsidR="00B6343E" w:rsidRPr="00B6343E" w:rsidRDefault="00B6343E" w:rsidP="00B6343E">
      <w:pPr>
        <w:autoSpaceDE w:val="0"/>
        <w:autoSpaceDN w:val="0"/>
        <w:adjustRightInd w:val="0"/>
        <w:spacing w:before="120" w:after="120"/>
        <w:rPr>
          <w:rFonts w:ascii="Times New Roman" w:hAnsi="Times New Roman"/>
          <w:sz w:val="24"/>
        </w:rPr>
      </w:pPr>
      <w:r w:rsidRPr="00B6343E">
        <w:rPr>
          <w:rFonts w:ascii="Times New Roman" w:hAnsi="Times New Roman"/>
          <w:sz w:val="24"/>
        </w:rPr>
        <w:lastRenderedPageBreak/>
        <w:t xml:space="preserve">By requiring the licensees of regional commercial </w:t>
      </w:r>
      <w:r>
        <w:rPr>
          <w:rFonts w:ascii="Times New Roman" w:hAnsi="Times New Roman"/>
          <w:sz w:val="24"/>
        </w:rPr>
        <w:t>radio</w:t>
      </w:r>
      <w:r w:rsidRPr="00B6343E">
        <w:rPr>
          <w:rFonts w:ascii="Times New Roman" w:hAnsi="Times New Roman"/>
          <w:sz w:val="24"/>
        </w:rPr>
        <w:t xml:space="preserve"> broadcasting licences to broadcast a minimum level of material of local significance, this Instrument promotes the </w:t>
      </w:r>
      <w:r w:rsidR="009B6963">
        <w:rPr>
          <w:rFonts w:ascii="Times New Roman" w:hAnsi="Times New Roman"/>
          <w:sz w:val="24"/>
        </w:rPr>
        <w:t xml:space="preserve">dissemination of </w:t>
      </w:r>
      <w:r w:rsidRPr="00B6343E">
        <w:rPr>
          <w:rFonts w:ascii="Times New Roman" w:hAnsi="Times New Roman"/>
          <w:sz w:val="24"/>
        </w:rPr>
        <w:t xml:space="preserve">information and ideas of local significance through </w:t>
      </w:r>
      <w:r>
        <w:rPr>
          <w:rFonts w:ascii="Times New Roman" w:hAnsi="Times New Roman"/>
          <w:sz w:val="24"/>
        </w:rPr>
        <w:t>radio</w:t>
      </w:r>
      <w:r w:rsidRPr="00B6343E">
        <w:rPr>
          <w:rFonts w:ascii="Times New Roman" w:hAnsi="Times New Roman"/>
          <w:sz w:val="24"/>
        </w:rPr>
        <w:t xml:space="preserve"> programs to people living in regional areas of Australia. </w:t>
      </w:r>
    </w:p>
    <w:p w14:paraId="5EA4BAE2" w14:textId="77777777" w:rsidR="00B6343E" w:rsidRPr="00EF56EF" w:rsidRDefault="00B6343E" w:rsidP="00B6343E">
      <w:pPr>
        <w:autoSpaceDE w:val="0"/>
        <w:autoSpaceDN w:val="0"/>
        <w:adjustRightInd w:val="0"/>
        <w:spacing w:before="120" w:after="120"/>
        <w:rPr>
          <w:rFonts w:ascii="Times New Roman" w:hAnsi="Times New Roman"/>
          <w:b/>
          <w:sz w:val="24"/>
        </w:rPr>
      </w:pPr>
      <w:r w:rsidRPr="00EF56EF">
        <w:rPr>
          <w:rFonts w:ascii="Times New Roman" w:hAnsi="Times New Roman"/>
          <w:b/>
          <w:sz w:val="24"/>
        </w:rPr>
        <w:t>Conclusion</w:t>
      </w:r>
    </w:p>
    <w:p w14:paraId="70A246F1" w14:textId="6BB33CF4" w:rsidR="00B6343E" w:rsidRPr="00B6343E" w:rsidRDefault="00B6343E" w:rsidP="00B6343E">
      <w:pPr>
        <w:autoSpaceDE w:val="0"/>
        <w:autoSpaceDN w:val="0"/>
        <w:adjustRightInd w:val="0"/>
        <w:spacing w:before="120" w:after="120"/>
        <w:rPr>
          <w:rFonts w:ascii="Times New Roman" w:hAnsi="Times New Roman"/>
          <w:sz w:val="24"/>
        </w:rPr>
      </w:pPr>
      <w:r w:rsidRPr="00B6343E">
        <w:rPr>
          <w:rFonts w:ascii="Times New Roman" w:hAnsi="Times New Roman"/>
          <w:sz w:val="24"/>
        </w:rPr>
        <w:t xml:space="preserve">This Instrument is compatible with human rights as it facilitates the </w:t>
      </w:r>
      <w:r w:rsidR="009B6963">
        <w:rPr>
          <w:rFonts w:ascii="Times New Roman" w:hAnsi="Times New Roman"/>
          <w:sz w:val="24"/>
        </w:rPr>
        <w:t>dissemination</w:t>
      </w:r>
      <w:r w:rsidRPr="00B6343E">
        <w:rPr>
          <w:rFonts w:ascii="Times New Roman" w:hAnsi="Times New Roman"/>
          <w:sz w:val="24"/>
        </w:rPr>
        <w:t xml:space="preserve"> of information of local significance through </w:t>
      </w:r>
      <w:r>
        <w:rPr>
          <w:rFonts w:ascii="Times New Roman" w:hAnsi="Times New Roman"/>
          <w:sz w:val="24"/>
        </w:rPr>
        <w:t>radio</w:t>
      </w:r>
      <w:r w:rsidRPr="00B6343E">
        <w:rPr>
          <w:rFonts w:ascii="Times New Roman" w:hAnsi="Times New Roman"/>
          <w:sz w:val="24"/>
        </w:rPr>
        <w:t xml:space="preserve"> programs to people living in regional areas of Australia. </w:t>
      </w:r>
    </w:p>
    <w:p w14:paraId="1D1176F4" w14:textId="1A473627" w:rsidR="000D2106" w:rsidRPr="003C3399" w:rsidRDefault="000D2106" w:rsidP="00B6343E">
      <w:pPr>
        <w:autoSpaceDE w:val="0"/>
        <w:autoSpaceDN w:val="0"/>
        <w:adjustRightInd w:val="0"/>
        <w:spacing w:before="120" w:after="120"/>
      </w:pPr>
    </w:p>
    <w:sectPr w:rsidR="000D2106" w:rsidRPr="003C3399" w:rsidSect="00FD3F9B">
      <w:headerReference w:type="even" r:id="rId9"/>
      <w:footerReference w:type="default" r:id="rId10"/>
      <w:headerReference w:type="first" r:id="rId11"/>
      <w:pgSz w:w="11906" w:h="16838" w:code="9"/>
      <w:pgMar w:top="1945" w:right="2206" w:bottom="868" w:left="1701" w:header="709" w:footer="11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C37875" w14:textId="77777777" w:rsidR="00204D02" w:rsidRDefault="00204D02">
      <w:r>
        <w:separator/>
      </w:r>
    </w:p>
  </w:endnote>
  <w:endnote w:type="continuationSeparator" w:id="0">
    <w:p w14:paraId="0350B8B0" w14:textId="77777777" w:rsidR="00204D02" w:rsidRDefault="00204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NeueLT Std Lt">
    <w:panose1 w:val="00000000000000000000"/>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eueLT Std">
    <w:altName w:val="Arial"/>
    <w:panose1 w:val="00000000000000000000"/>
    <w:charset w:val="00"/>
    <w:family w:val="swiss"/>
    <w:notTrueType/>
    <w:pitch w:val="variable"/>
    <w:sig w:usb0="00000003" w:usb1="4000204A" w:usb2="00000000" w:usb3="00000000" w:csb0="00000001" w:csb1="00000000"/>
  </w:font>
  <w:font w:name="HelveticaNeueLT Std Med">
    <w:altName w:val="Arial"/>
    <w:panose1 w:val="00000000000000000000"/>
    <w:charset w:val="00"/>
    <w:family w:val="swiss"/>
    <w:notTrueType/>
    <w:pitch w:val="variable"/>
    <w:sig w:usb0="00000003"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8963898"/>
      <w:docPartObj>
        <w:docPartGallery w:val="Page Numbers (Bottom of Page)"/>
        <w:docPartUnique/>
      </w:docPartObj>
    </w:sdtPr>
    <w:sdtEndPr>
      <w:rPr>
        <w:noProof/>
      </w:rPr>
    </w:sdtEndPr>
    <w:sdtContent>
      <w:p w14:paraId="12C86E37" w14:textId="57E6559C" w:rsidR="00FD3F9B" w:rsidRDefault="00FD3F9B">
        <w:pPr>
          <w:pStyle w:val="Footer"/>
          <w:jc w:val="center"/>
        </w:pPr>
        <w:r>
          <w:fldChar w:fldCharType="begin"/>
        </w:r>
        <w:r>
          <w:instrText xml:space="preserve"> PAGE   \* MERGEFORMAT </w:instrText>
        </w:r>
        <w:r>
          <w:fldChar w:fldCharType="separate"/>
        </w:r>
        <w:r w:rsidR="00EE627B">
          <w:rPr>
            <w:noProof/>
          </w:rPr>
          <w:t>3</w:t>
        </w:r>
        <w:r>
          <w:rPr>
            <w:noProof/>
          </w:rPr>
          <w:fldChar w:fldCharType="end"/>
        </w:r>
      </w:p>
    </w:sdtContent>
  </w:sdt>
  <w:p w14:paraId="0BFC3CE1" w14:textId="77777777" w:rsidR="00552031" w:rsidRDefault="005520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8DC6A0" w14:textId="77777777" w:rsidR="00204D02" w:rsidRDefault="00204D02">
      <w:r>
        <w:separator/>
      </w:r>
    </w:p>
  </w:footnote>
  <w:footnote w:type="continuationSeparator" w:id="0">
    <w:p w14:paraId="0458CF01" w14:textId="77777777" w:rsidR="00204D02" w:rsidRDefault="00204D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5289B" w14:textId="77777777" w:rsidR="00584154" w:rsidRDefault="00584154">
    <w:pPr>
      <w:pStyle w:val="Header"/>
    </w:pPr>
  </w:p>
  <w:p w14:paraId="37739C00" w14:textId="77777777" w:rsidR="00584154" w:rsidRDefault="005841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C8A31" w14:textId="77777777" w:rsidR="00584154" w:rsidRDefault="00EE627B">
    <w:pPr>
      <w:pStyle w:val="Header"/>
    </w:pPr>
    <w:r>
      <w:rPr>
        <w:noProof/>
      </w:rPr>
      <w:pict w14:anchorId="119883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 o:spid="_x0000_s2074" type="#_x0000_t136" style="position:absolute;margin-left:0;margin-top:0;width:451.95pt;height:180.75pt;rotation:315;z-index:-251658752;mso-position-horizontal:center;mso-position-horizontal-relative:margin;mso-position-vertical:center;mso-position-vertical-relative:margin" o:allowincell="f" fillcolor="silver" stroked="f">
          <v:fill opacity=".5"/>
          <v:textpath style="font-family:&quot;HelveticaNeueLT Std Lt&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44E69990"/>
    <w:lvl w:ilvl="0">
      <w:start w:val="1"/>
      <w:numFmt w:val="decimal"/>
      <w:pStyle w:val="ListNumber2"/>
      <w:lvlText w:val="%1/"/>
      <w:lvlJc w:val="left"/>
      <w:pPr>
        <w:tabs>
          <w:tab w:val="num" w:pos="295"/>
        </w:tabs>
        <w:ind w:left="295" w:hanging="295"/>
      </w:pPr>
      <w:rPr>
        <w:rFonts w:hint="default"/>
      </w:rPr>
    </w:lvl>
  </w:abstractNum>
  <w:abstractNum w:abstractNumId="1">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nsid w:val="FFFFFF88"/>
    <w:multiLevelType w:val="singleLevel"/>
    <w:tmpl w:val="4EDA8EF2"/>
    <w:lvl w:ilvl="0">
      <w:start w:val="1"/>
      <w:numFmt w:val="lowerLetter"/>
      <w:pStyle w:val="ListNumber"/>
      <w:lvlText w:val="%1/"/>
      <w:lvlJc w:val="left"/>
      <w:pPr>
        <w:tabs>
          <w:tab w:val="num" w:pos="295"/>
        </w:tabs>
        <w:ind w:left="295" w:hanging="295"/>
      </w:pPr>
      <w:rPr>
        <w:rFonts w:ascii="HelveticaNeueLT Std Lt" w:hAnsi="HelveticaNeueLT Std Lt" w:hint="default"/>
        <w:caps/>
        <w:sz w:val="20"/>
      </w:rPr>
    </w:lvl>
  </w:abstractNum>
  <w:abstractNum w:abstractNumId="3">
    <w:nsid w:val="FFFFFF89"/>
    <w:multiLevelType w:val="singleLevel"/>
    <w:tmpl w:val="692EABD2"/>
    <w:lvl w:ilvl="0">
      <w:start w:val="1"/>
      <w:numFmt w:val="bullet"/>
      <w:pStyle w:val="ListBullet"/>
      <w:lvlText w:val="&gt;"/>
      <w:lvlJc w:val="left"/>
      <w:pPr>
        <w:tabs>
          <w:tab w:val="num" w:pos="995"/>
        </w:tabs>
        <w:ind w:left="995" w:hanging="295"/>
      </w:pPr>
      <w:rPr>
        <w:rFonts w:ascii="HelveticaNeueLT Std Lt" w:hAnsi="HelveticaNeueLT Std Lt" w:hint="default"/>
        <w:sz w:val="20"/>
      </w:rPr>
    </w:lvl>
  </w:abstractNum>
  <w:abstractNum w:abstractNumId="4">
    <w:nsid w:val="137D6150"/>
    <w:multiLevelType w:val="multilevel"/>
    <w:tmpl w:val="0AA0E61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3EE495C"/>
    <w:multiLevelType w:val="hybridMultilevel"/>
    <w:tmpl w:val="1D8498B0"/>
    <w:lvl w:ilvl="0" w:tplc="A332420E">
      <w:start w:val="1"/>
      <w:numFmt w:val="lowerLetter"/>
      <w:pStyle w:val="ACMAFootnote"/>
      <w:lvlText w:val="%1."/>
      <w:lvlJc w:val="left"/>
      <w:pPr>
        <w:tabs>
          <w:tab w:val="num" w:pos="360"/>
        </w:tabs>
        <w:ind w:left="360" w:hanging="360"/>
      </w:pPr>
    </w:lvl>
    <w:lvl w:ilvl="1" w:tplc="8EDAE56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F550D5"/>
    <w:multiLevelType w:val="hybridMultilevel"/>
    <w:tmpl w:val="6D828A34"/>
    <w:lvl w:ilvl="0" w:tplc="9412E234">
      <w:start w:val="208"/>
      <w:numFmt w:val="bullet"/>
      <w:lvlText w:val="-"/>
      <w:lvlJc w:val="left"/>
      <w:pPr>
        <w:ind w:left="720" w:hanging="360"/>
      </w:pPr>
      <w:rPr>
        <w:rFonts w:ascii="HelveticaNeueLT Std Lt" w:eastAsia="Times New Roman" w:hAnsi="HelveticaNeueLT Std L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F5A5080"/>
    <w:multiLevelType w:val="hybridMultilevel"/>
    <w:tmpl w:val="70FCF922"/>
    <w:lvl w:ilvl="0" w:tplc="563EFACA">
      <w:start w:val="1"/>
      <w:numFmt w:val="bullet"/>
      <w:pStyle w:val="ACMABulletLevel1"/>
      <w:lvlText w:val="●"/>
      <w:lvlJc w:val="left"/>
      <w:pPr>
        <w:tabs>
          <w:tab w:val="num" w:pos="-31680"/>
        </w:tabs>
        <w:ind w:left="714" w:hanging="357"/>
      </w:pPr>
      <w:rPr>
        <w:rFonts w:ascii="Times New Roman" w:hAnsi="Times New Roman" w:cs="Times New Roman" w:hint="default"/>
        <w:sz w:val="24"/>
        <w:szCs w:val="24"/>
      </w:rPr>
    </w:lvl>
    <w:lvl w:ilvl="1" w:tplc="04090019">
      <w:start w:val="1"/>
      <w:numFmt w:val="bullet"/>
      <w:lvlText w:val="o"/>
      <w:lvlJc w:val="left"/>
      <w:pPr>
        <w:tabs>
          <w:tab w:val="num" w:pos="2085"/>
        </w:tabs>
        <w:ind w:left="2085" w:hanging="360"/>
      </w:pPr>
      <w:rPr>
        <w:rFonts w:ascii="Courier New" w:hAnsi="Courier New" w:hint="default"/>
      </w:rPr>
    </w:lvl>
    <w:lvl w:ilvl="2" w:tplc="0409001B" w:tentative="1">
      <w:start w:val="1"/>
      <w:numFmt w:val="bullet"/>
      <w:lvlText w:val=""/>
      <w:lvlJc w:val="left"/>
      <w:pPr>
        <w:tabs>
          <w:tab w:val="num" w:pos="2805"/>
        </w:tabs>
        <w:ind w:left="2805" w:hanging="360"/>
      </w:pPr>
      <w:rPr>
        <w:rFonts w:ascii="Wingdings" w:hAnsi="Wingdings" w:hint="default"/>
      </w:rPr>
    </w:lvl>
    <w:lvl w:ilvl="3" w:tplc="0409000F" w:tentative="1">
      <w:start w:val="1"/>
      <w:numFmt w:val="bullet"/>
      <w:lvlText w:val=""/>
      <w:lvlJc w:val="left"/>
      <w:pPr>
        <w:tabs>
          <w:tab w:val="num" w:pos="3525"/>
        </w:tabs>
        <w:ind w:left="3525" w:hanging="360"/>
      </w:pPr>
      <w:rPr>
        <w:rFonts w:ascii="Symbol" w:hAnsi="Symbol" w:hint="default"/>
      </w:rPr>
    </w:lvl>
    <w:lvl w:ilvl="4" w:tplc="04090019" w:tentative="1">
      <w:start w:val="1"/>
      <w:numFmt w:val="bullet"/>
      <w:lvlText w:val="o"/>
      <w:lvlJc w:val="left"/>
      <w:pPr>
        <w:tabs>
          <w:tab w:val="num" w:pos="4245"/>
        </w:tabs>
        <w:ind w:left="4245" w:hanging="360"/>
      </w:pPr>
      <w:rPr>
        <w:rFonts w:ascii="Courier New" w:hAnsi="Courier New" w:hint="default"/>
      </w:rPr>
    </w:lvl>
    <w:lvl w:ilvl="5" w:tplc="0409001B" w:tentative="1">
      <w:start w:val="1"/>
      <w:numFmt w:val="bullet"/>
      <w:lvlText w:val=""/>
      <w:lvlJc w:val="left"/>
      <w:pPr>
        <w:tabs>
          <w:tab w:val="num" w:pos="4965"/>
        </w:tabs>
        <w:ind w:left="4965" w:hanging="360"/>
      </w:pPr>
      <w:rPr>
        <w:rFonts w:ascii="Wingdings" w:hAnsi="Wingdings" w:hint="default"/>
      </w:rPr>
    </w:lvl>
    <w:lvl w:ilvl="6" w:tplc="0409000F" w:tentative="1">
      <w:start w:val="1"/>
      <w:numFmt w:val="bullet"/>
      <w:lvlText w:val=""/>
      <w:lvlJc w:val="left"/>
      <w:pPr>
        <w:tabs>
          <w:tab w:val="num" w:pos="5685"/>
        </w:tabs>
        <w:ind w:left="5685" w:hanging="360"/>
      </w:pPr>
      <w:rPr>
        <w:rFonts w:ascii="Symbol" w:hAnsi="Symbol" w:hint="default"/>
      </w:rPr>
    </w:lvl>
    <w:lvl w:ilvl="7" w:tplc="04090019" w:tentative="1">
      <w:start w:val="1"/>
      <w:numFmt w:val="bullet"/>
      <w:lvlText w:val="o"/>
      <w:lvlJc w:val="left"/>
      <w:pPr>
        <w:tabs>
          <w:tab w:val="num" w:pos="6405"/>
        </w:tabs>
        <w:ind w:left="6405" w:hanging="360"/>
      </w:pPr>
      <w:rPr>
        <w:rFonts w:ascii="Courier New" w:hAnsi="Courier New" w:hint="default"/>
      </w:rPr>
    </w:lvl>
    <w:lvl w:ilvl="8" w:tplc="0409001B" w:tentative="1">
      <w:start w:val="1"/>
      <w:numFmt w:val="bullet"/>
      <w:lvlText w:val=""/>
      <w:lvlJc w:val="left"/>
      <w:pPr>
        <w:tabs>
          <w:tab w:val="num" w:pos="7125"/>
        </w:tabs>
        <w:ind w:left="7125" w:hanging="360"/>
      </w:pPr>
      <w:rPr>
        <w:rFonts w:ascii="Wingdings" w:hAnsi="Wingdings" w:hint="default"/>
      </w:rPr>
    </w:lvl>
  </w:abstractNum>
  <w:abstractNum w:abstractNumId="8">
    <w:nsid w:val="36B4502B"/>
    <w:multiLevelType w:val="hybridMultilevel"/>
    <w:tmpl w:val="896A4FB4"/>
    <w:lvl w:ilvl="0" w:tplc="0C090017">
      <w:start w:val="1"/>
      <w:numFmt w:val="lowerLetter"/>
      <w:lvlText w:val="%1)"/>
      <w:lvlJc w:val="left"/>
      <w:pPr>
        <w:tabs>
          <w:tab w:val="num" w:pos="1155"/>
        </w:tabs>
        <w:ind w:left="1155" w:hanging="360"/>
      </w:pPr>
    </w:lvl>
    <w:lvl w:ilvl="1" w:tplc="0C090019" w:tentative="1">
      <w:start w:val="1"/>
      <w:numFmt w:val="lowerLetter"/>
      <w:lvlText w:val="%2."/>
      <w:lvlJc w:val="left"/>
      <w:pPr>
        <w:tabs>
          <w:tab w:val="num" w:pos="1875"/>
        </w:tabs>
        <w:ind w:left="1875" w:hanging="360"/>
      </w:pPr>
    </w:lvl>
    <w:lvl w:ilvl="2" w:tplc="0C09001B" w:tentative="1">
      <w:start w:val="1"/>
      <w:numFmt w:val="lowerRoman"/>
      <w:lvlText w:val="%3."/>
      <w:lvlJc w:val="right"/>
      <w:pPr>
        <w:tabs>
          <w:tab w:val="num" w:pos="2595"/>
        </w:tabs>
        <w:ind w:left="2595" w:hanging="180"/>
      </w:pPr>
    </w:lvl>
    <w:lvl w:ilvl="3" w:tplc="0C09000F" w:tentative="1">
      <w:start w:val="1"/>
      <w:numFmt w:val="decimal"/>
      <w:lvlText w:val="%4."/>
      <w:lvlJc w:val="left"/>
      <w:pPr>
        <w:tabs>
          <w:tab w:val="num" w:pos="3315"/>
        </w:tabs>
        <w:ind w:left="3315" w:hanging="360"/>
      </w:pPr>
    </w:lvl>
    <w:lvl w:ilvl="4" w:tplc="0C090019" w:tentative="1">
      <w:start w:val="1"/>
      <w:numFmt w:val="lowerLetter"/>
      <w:lvlText w:val="%5."/>
      <w:lvlJc w:val="left"/>
      <w:pPr>
        <w:tabs>
          <w:tab w:val="num" w:pos="4035"/>
        </w:tabs>
        <w:ind w:left="4035" w:hanging="360"/>
      </w:pPr>
    </w:lvl>
    <w:lvl w:ilvl="5" w:tplc="0C09001B" w:tentative="1">
      <w:start w:val="1"/>
      <w:numFmt w:val="lowerRoman"/>
      <w:lvlText w:val="%6."/>
      <w:lvlJc w:val="right"/>
      <w:pPr>
        <w:tabs>
          <w:tab w:val="num" w:pos="4755"/>
        </w:tabs>
        <w:ind w:left="4755" w:hanging="180"/>
      </w:pPr>
    </w:lvl>
    <w:lvl w:ilvl="6" w:tplc="0C09000F" w:tentative="1">
      <w:start w:val="1"/>
      <w:numFmt w:val="decimal"/>
      <w:lvlText w:val="%7."/>
      <w:lvlJc w:val="left"/>
      <w:pPr>
        <w:tabs>
          <w:tab w:val="num" w:pos="5475"/>
        </w:tabs>
        <w:ind w:left="5475" w:hanging="360"/>
      </w:pPr>
    </w:lvl>
    <w:lvl w:ilvl="7" w:tplc="0C090019" w:tentative="1">
      <w:start w:val="1"/>
      <w:numFmt w:val="lowerLetter"/>
      <w:lvlText w:val="%8."/>
      <w:lvlJc w:val="left"/>
      <w:pPr>
        <w:tabs>
          <w:tab w:val="num" w:pos="6195"/>
        </w:tabs>
        <w:ind w:left="6195" w:hanging="360"/>
      </w:pPr>
    </w:lvl>
    <w:lvl w:ilvl="8" w:tplc="0C09001B" w:tentative="1">
      <w:start w:val="1"/>
      <w:numFmt w:val="lowerRoman"/>
      <w:lvlText w:val="%9."/>
      <w:lvlJc w:val="right"/>
      <w:pPr>
        <w:tabs>
          <w:tab w:val="num" w:pos="6915"/>
        </w:tabs>
        <w:ind w:left="6915" w:hanging="180"/>
      </w:pPr>
    </w:lvl>
  </w:abstractNum>
  <w:abstractNum w:abstractNumId="9">
    <w:nsid w:val="44B34EEE"/>
    <w:multiLevelType w:val="hybridMultilevel"/>
    <w:tmpl w:val="98DE286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nsid w:val="44DB3642"/>
    <w:multiLevelType w:val="hybridMultilevel"/>
    <w:tmpl w:val="84C03BB0"/>
    <w:lvl w:ilvl="0" w:tplc="9FB20874">
      <w:start w:val="208"/>
      <w:numFmt w:val="bullet"/>
      <w:lvlText w:val="-"/>
      <w:lvlJc w:val="left"/>
      <w:pPr>
        <w:ind w:left="720" w:hanging="360"/>
      </w:pPr>
      <w:rPr>
        <w:rFonts w:ascii="HelveticaNeueLT Std Lt" w:eastAsia="Times New Roman" w:hAnsi="HelveticaNeueLT Std L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5DE20E6"/>
    <w:multiLevelType w:val="hybridMultilevel"/>
    <w:tmpl w:val="8BDAA834"/>
    <w:lvl w:ilvl="0" w:tplc="749AADFC">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4737E55"/>
    <w:multiLevelType w:val="hybridMultilevel"/>
    <w:tmpl w:val="AD42656A"/>
    <w:lvl w:ilvl="0" w:tplc="0C090017">
      <w:start w:val="1"/>
      <w:numFmt w:val="lowerLetter"/>
      <w:lvlText w:val="%1)"/>
      <w:lvlJc w:val="left"/>
      <w:pPr>
        <w:ind w:left="1485" w:hanging="360"/>
      </w:pPr>
    </w:lvl>
    <w:lvl w:ilvl="1" w:tplc="0C090019" w:tentative="1">
      <w:start w:val="1"/>
      <w:numFmt w:val="lowerLetter"/>
      <w:lvlText w:val="%2."/>
      <w:lvlJc w:val="left"/>
      <w:pPr>
        <w:ind w:left="2205" w:hanging="360"/>
      </w:pPr>
    </w:lvl>
    <w:lvl w:ilvl="2" w:tplc="0C09001B" w:tentative="1">
      <w:start w:val="1"/>
      <w:numFmt w:val="lowerRoman"/>
      <w:lvlText w:val="%3."/>
      <w:lvlJc w:val="right"/>
      <w:pPr>
        <w:ind w:left="2925" w:hanging="180"/>
      </w:pPr>
    </w:lvl>
    <w:lvl w:ilvl="3" w:tplc="0C09000F" w:tentative="1">
      <w:start w:val="1"/>
      <w:numFmt w:val="decimal"/>
      <w:lvlText w:val="%4."/>
      <w:lvlJc w:val="left"/>
      <w:pPr>
        <w:ind w:left="3645" w:hanging="360"/>
      </w:pPr>
    </w:lvl>
    <w:lvl w:ilvl="4" w:tplc="0C090019" w:tentative="1">
      <w:start w:val="1"/>
      <w:numFmt w:val="lowerLetter"/>
      <w:lvlText w:val="%5."/>
      <w:lvlJc w:val="left"/>
      <w:pPr>
        <w:ind w:left="4365" w:hanging="360"/>
      </w:pPr>
    </w:lvl>
    <w:lvl w:ilvl="5" w:tplc="0C09001B" w:tentative="1">
      <w:start w:val="1"/>
      <w:numFmt w:val="lowerRoman"/>
      <w:lvlText w:val="%6."/>
      <w:lvlJc w:val="right"/>
      <w:pPr>
        <w:ind w:left="5085" w:hanging="180"/>
      </w:pPr>
    </w:lvl>
    <w:lvl w:ilvl="6" w:tplc="0C09000F" w:tentative="1">
      <w:start w:val="1"/>
      <w:numFmt w:val="decimal"/>
      <w:lvlText w:val="%7."/>
      <w:lvlJc w:val="left"/>
      <w:pPr>
        <w:ind w:left="5805" w:hanging="360"/>
      </w:pPr>
    </w:lvl>
    <w:lvl w:ilvl="7" w:tplc="0C090019" w:tentative="1">
      <w:start w:val="1"/>
      <w:numFmt w:val="lowerLetter"/>
      <w:lvlText w:val="%8."/>
      <w:lvlJc w:val="left"/>
      <w:pPr>
        <w:ind w:left="6525" w:hanging="360"/>
      </w:pPr>
    </w:lvl>
    <w:lvl w:ilvl="8" w:tplc="0C09001B" w:tentative="1">
      <w:start w:val="1"/>
      <w:numFmt w:val="lowerRoman"/>
      <w:lvlText w:val="%9."/>
      <w:lvlJc w:val="right"/>
      <w:pPr>
        <w:ind w:left="7245" w:hanging="180"/>
      </w:pPr>
    </w:lvl>
  </w:abstractNum>
  <w:abstractNum w:abstractNumId="13">
    <w:nsid w:val="63D5266A"/>
    <w:multiLevelType w:val="hybridMultilevel"/>
    <w:tmpl w:val="D766F92E"/>
    <w:lvl w:ilvl="0" w:tplc="749AAD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F664ECD"/>
    <w:multiLevelType w:val="hybridMultilevel"/>
    <w:tmpl w:val="CC64BED8"/>
    <w:lvl w:ilvl="0" w:tplc="749AAD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7"/>
  </w:num>
  <w:num w:numId="6">
    <w:abstractNumId w:val="8"/>
  </w:num>
  <w:num w:numId="7">
    <w:abstractNumId w:val="5"/>
  </w:num>
  <w:num w:numId="8">
    <w:abstractNumId w:val="11"/>
  </w:num>
  <w:num w:numId="9">
    <w:abstractNumId w:val="13"/>
  </w:num>
  <w:num w:numId="10">
    <w:abstractNumId w:val="12"/>
  </w:num>
  <w:num w:numId="11">
    <w:abstractNumId w:val="14"/>
  </w:num>
  <w:num w:numId="12">
    <w:abstractNumId w:val="6"/>
  </w:num>
  <w:num w:numId="13">
    <w:abstractNumId w:val="10"/>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2075">
      <o:colormru v:ext="edit" colors="red,#4d4d4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7DC"/>
    <w:rsid w:val="000041AD"/>
    <w:rsid w:val="00005A2A"/>
    <w:rsid w:val="00005A59"/>
    <w:rsid w:val="0000764D"/>
    <w:rsid w:val="00007DC9"/>
    <w:rsid w:val="00010667"/>
    <w:rsid w:val="000146C4"/>
    <w:rsid w:val="00015A09"/>
    <w:rsid w:val="00015AE7"/>
    <w:rsid w:val="00016E21"/>
    <w:rsid w:val="0001719C"/>
    <w:rsid w:val="00024911"/>
    <w:rsid w:val="00026F91"/>
    <w:rsid w:val="00031F9E"/>
    <w:rsid w:val="00035687"/>
    <w:rsid w:val="00040C76"/>
    <w:rsid w:val="0004402F"/>
    <w:rsid w:val="000450D1"/>
    <w:rsid w:val="0005045A"/>
    <w:rsid w:val="00051C1E"/>
    <w:rsid w:val="00051F61"/>
    <w:rsid w:val="000539F9"/>
    <w:rsid w:val="00053A2A"/>
    <w:rsid w:val="00053A7C"/>
    <w:rsid w:val="00054C27"/>
    <w:rsid w:val="000559F2"/>
    <w:rsid w:val="000563CE"/>
    <w:rsid w:val="00063024"/>
    <w:rsid w:val="000632C2"/>
    <w:rsid w:val="000659B6"/>
    <w:rsid w:val="00072B2A"/>
    <w:rsid w:val="00072DBB"/>
    <w:rsid w:val="00073CB6"/>
    <w:rsid w:val="00073F0E"/>
    <w:rsid w:val="000744AE"/>
    <w:rsid w:val="00080757"/>
    <w:rsid w:val="0008196A"/>
    <w:rsid w:val="000867BA"/>
    <w:rsid w:val="00091FA7"/>
    <w:rsid w:val="0009209D"/>
    <w:rsid w:val="000969BD"/>
    <w:rsid w:val="000969BF"/>
    <w:rsid w:val="000974B0"/>
    <w:rsid w:val="000974D5"/>
    <w:rsid w:val="000977DF"/>
    <w:rsid w:val="000A0C22"/>
    <w:rsid w:val="000A0DE7"/>
    <w:rsid w:val="000A1196"/>
    <w:rsid w:val="000A1C06"/>
    <w:rsid w:val="000A2B18"/>
    <w:rsid w:val="000A2E0D"/>
    <w:rsid w:val="000A3B73"/>
    <w:rsid w:val="000A3C43"/>
    <w:rsid w:val="000A4A51"/>
    <w:rsid w:val="000A5D2B"/>
    <w:rsid w:val="000B2FC6"/>
    <w:rsid w:val="000B302A"/>
    <w:rsid w:val="000B4ED6"/>
    <w:rsid w:val="000B5DE3"/>
    <w:rsid w:val="000B71BC"/>
    <w:rsid w:val="000C1171"/>
    <w:rsid w:val="000C230C"/>
    <w:rsid w:val="000C5966"/>
    <w:rsid w:val="000C6440"/>
    <w:rsid w:val="000C7462"/>
    <w:rsid w:val="000D0B8D"/>
    <w:rsid w:val="000D2106"/>
    <w:rsid w:val="000D3A9E"/>
    <w:rsid w:val="000D4117"/>
    <w:rsid w:val="000D71D9"/>
    <w:rsid w:val="000D7E8B"/>
    <w:rsid w:val="000E242C"/>
    <w:rsid w:val="000E2D0C"/>
    <w:rsid w:val="000E5477"/>
    <w:rsid w:val="000E6097"/>
    <w:rsid w:val="000E76C9"/>
    <w:rsid w:val="000F3076"/>
    <w:rsid w:val="000F4819"/>
    <w:rsid w:val="000F7713"/>
    <w:rsid w:val="000F7AAB"/>
    <w:rsid w:val="00100956"/>
    <w:rsid w:val="00106447"/>
    <w:rsid w:val="00111FCE"/>
    <w:rsid w:val="001138B1"/>
    <w:rsid w:val="001165F7"/>
    <w:rsid w:val="00122E8A"/>
    <w:rsid w:val="00124004"/>
    <w:rsid w:val="001244A9"/>
    <w:rsid w:val="0012489B"/>
    <w:rsid w:val="00130017"/>
    <w:rsid w:val="00130611"/>
    <w:rsid w:val="00130A61"/>
    <w:rsid w:val="00132BE0"/>
    <w:rsid w:val="001336A8"/>
    <w:rsid w:val="00134306"/>
    <w:rsid w:val="001373EE"/>
    <w:rsid w:val="00141AD9"/>
    <w:rsid w:val="00142EC5"/>
    <w:rsid w:val="001520DC"/>
    <w:rsid w:val="00152903"/>
    <w:rsid w:val="00153389"/>
    <w:rsid w:val="0015392C"/>
    <w:rsid w:val="001560B4"/>
    <w:rsid w:val="001563E5"/>
    <w:rsid w:val="001577C2"/>
    <w:rsid w:val="00160572"/>
    <w:rsid w:val="00161730"/>
    <w:rsid w:val="001633C4"/>
    <w:rsid w:val="0016398B"/>
    <w:rsid w:val="00167919"/>
    <w:rsid w:val="00171591"/>
    <w:rsid w:val="00171F1A"/>
    <w:rsid w:val="00174707"/>
    <w:rsid w:val="001774EF"/>
    <w:rsid w:val="00182605"/>
    <w:rsid w:val="00184044"/>
    <w:rsid w:val="00184536"/>
    <w:rsid w:val="00185F85"/>
    <w:rsid w:val="001875B7"/>
    <w:rsid w:val="00187CB3"/>
    <w:rsid w:val="00195CAA"/>
    <w:rsid w:val="001976E3"/>
    <w:rsid w:val="001A0957"/>
    <w:rsid w:val="001A12F9"/>
    <w:rsid w:val="001B1409"/>
    <w:rsid w:val="001B17DF"/>
    <w:rsid w:val="001B21F9"/>
    <w:rsid w:val="001B2CBC"/>
    <w:rsid w:val="001B58AA"/>
    <w:rsid w:val="001B7E48"/>
    <w:rsid w:val="001C17CE"/>
    <w:rsid w:val="001C36CA"/>
    <w:rsid w:val="001C44D1"/>
    <w:rsid w:val="001C6125"/>
    <w:rsid w:val="001C62C4"/>
    <w:rsid w:val="001C6AEE"/>
    <w:rsid w:val="001C752C"/>
    <w:rsid w:val="001C7630"/>
    <w:rsid w:val="001D0AF0"/>
    <w:rsid w:val="001D6D15"/>
    <w:rsid w:val="001D7CE2"/>
    <w:rsid w:val="001E22D5"/>
    <w:rsid w:val="001E2827"/>
    <w:rsid w:val="001E7C37"/>
    <w:rsid w:val="001F0738"/>
    <w:rsid w:val="001F28B6"/>
    <w:rsid w:val="001F2BEA"/>
    <w:rsid w:val="001F39BD"/>
    <w:rsid w:val="001F6D25"/>
    <w:rsid w:val="001F7558"/>
    <w:rsid w:val="001F7BEA"/>
    <w:rsid w:val="00202B92"/>
    <w:rsid w:val="0020470A"/>
    <w:rsid w:val="00204D02"/>
    <w:rsid w:val="00205497"/>
    <w:rsid w:val="00205B57"/>
    <w:rsid w:val="00206929"/>
    <w:rsid w:val="00212AA5"/>
    <w:rsid w:val="002157E0"/>
    <w:rsid w:val="002200C9"/>
    <w:rsid w:val="0022334F"/>
    <w:rsid w:val="00226819"/>
    <w:rsid w:val="00233817"/>
    <w:rsid w:val="002341E2"/>
    <w:rsid w:val="00234BC0"/>
    <w:rsid w:val="002367FF"/>
    <w:rsid w:val="00245203"/>
    <w:rsid w:val="00246089"/>
    <w:rsid w:val="00246702"/>
    <w:rsid w:val="00247F2E"/>
    <w:rsid w:val="00250ADC"/>
    <w:rsid w:val="00250E9C"/>
    <w:rsid w:val="002517AB"/>
    <w:rsid w:val="00253ADA"/>
    <w:rsid w:val="00256255"/>
    <w:rsid w:val="0025710C"/>
    <w:rsid w:val="00257F17"/>
    <w:rsid w:val="00262128"/>
    <w:rsid w:val="00262E1C"/>
    <w:rsid w:val="00272329"/>
    <w:rsid w:val="00273CEB"/>
    <w:rsid w:val="00281C89"/>
    <w:rsid w:val="0028282F"/>
    <w:rsid w:val="002860A5"/>
    <w:rsid w:val="00297F29"/>
    <w:rsid w:val="00297FC5"/>
    <w:rsid w:val="002A0417"/>
    <w:rsid w:val="002A0643"/>
    <w:rsid w:val="002A0CDE"/>
    <w:rsid w:val="002A176D"/>
    <w:rsid w:val="002A1952"/>
    <w:rsid w:val="002A1BC8"/>
    <w:rsid w:val="002A356C"/>
    <w:rsid w:val="002A3EF2"/>
    <w:rsid w:val="002B05A0"/>
    <w:rsid w:val="002B19A2"/>
    <w:rsid w:val="002B1C50"/>
    <w:rsid w:val="002B1D04"/>
    <w:rsid w:val="002B381A"/>
    <w:rsid w:val="002B3E64"/>
    <w:rsid w:val="002B4FCC"/>
    <w:rsid w:val="002C2F0F"/>
    <w:rsid w:val="002C4CC8"/>
    <w:rsid w:val="002C6DA6"/>
    <w:rsid w:val="002D1FCB"/>
    <w:rsid w:val="002D3600"/>
    <w:rsid w:val="002D3634"/>
    <w:rsid w:val="002D3C90"/>
    <w:rsid w:val="002D4BBE"/>
    <w:rsid w:val="002D4F06"/>
    <w:rsid w:val="002D7484"/>
    <w:rsid w:val="002E469C"/>
    <w:rsid w:val="002E4DDC"/>
    <w:rsid w:val="002E6957"/>
    <w:rsid w:val="002F192F"/>
    <w:rsid w:val="002F1B7E"/>
    <w:rsid w:val="002F3BA5"/>
    <w:rsid w:val="002F3C51"/>
    <w:rsid w:val="002F3FBB"/>
    <w:rsid w:val="002F672B"/>
    <w:rsid w:val="002F77DD"/>
    <w:rsid w:val="00302480"/>
    <w:rsid w:val="00310949"/>
    <w:rsid w:val="00311ECC"/>
    <w:rsid w:val="00312C0E"/>
    <w:rsid w:val="00315120"/>
    <w:rsid w:val="00320059"/>
    <w:rsid w:val="00327948"/>
    <w:rsid w:val="0033000F"/>
    <w:rsid w:val="0033047D"/>
    <w:rsid w:val="00332011"/>
    <w:rsid w:val="00332518"/>
    <w:rsid w:val="00332A73"/>
    <w:rsid w:val="00334147"/>
    <w:rsid w:val="00334271"/>
    <w:rsid w:val="0033464D"/>
    <w:rsid w:val="003352BD"/>
    <w:rsid w:val="003355DF"/>
    <w:rsid w:val="00335A1A"/>
    <w:rsid w:val="003368DC"/>
    <w:rsid w:val="00337E4C"/>
    <w:rsid w:val="0034247C"/>
    <w:rsid w:val="0034505D"/>
    <w:rsid w:val="00345927"/>
    <w:rsid w:val="00347DBD"/>
    <w:rsid w:val="00350584"/>
    <w:rsid w:val="00351857"/>
    <w:rsid w:val="00353DCE"/>
    <w:rsid w:val="00353EE4"/>
    <w:rsid w:val="0035467C"/>
    <w:rsid w:val="00356650"/>
    <w:rsid w:val="00356D98"/>
    <w:rsid w:val="003610E1"/>
    <w:rsid w:val="00363057"/>
    <w:rsid w:val="00364E61"/>
    <w:rsid w:val="003671BE"/>
    <w:rsid w:val="00371261"/>
    <w:rsid w:val="003719DB"/>
    <w:rsid w:val="00372485"/>
    <w:rsid w:val="00373200"/>
    <w:rsid w:val="0037476A"/>
    <w:rsid w:val="00375EF5"/>
    <w:rsid w:val="003767A5"/>
    <w:rsid w:val="003831FC"/>
    <w:rsid w:val="003855A7"/>
    <w:rsid w:val="003866A7"/>
    <w:rsid w:val="0038782B"/>
    <w:rsid w:val="00391E29"/>
    <w:rsid w:val="00392F62"/>
    <w:rsid w:val="00394984"/>
    <w:rsid w:val="003957C6"/>
    <w:rsid w:val="00397F14"/>
    <w:rsid w:val="003A2781"/>
    <w:rsid w:val="003A4F5E"/>
    <w:rsid w:val="003A53C4"/>
    <w:rsid w:val="003A5EDA"/>
    <w:rsid w:val="003A5F5B"/>
    <w:rsid w:val="003A7324"/>
    <w:rsid w:val="003A789A"/>
    <w:rsid w:val="003B015B"/>
    <w:rsid w:val="003B6261"/>
    <w:rsid w:val="003C0738"/>
    <w:rsid w:val="003C0C70"/>
    <w:rsid w:val="003C2797"/>
    <w:rsid w:val="003C3399"/>
    <w:rsid w:val="003C4C0C"/>
    <w:rsid w:val="003D09BF"/>
    <w:rsid w:val="003D17D7"/>
    <w:rsid w:val="003D71A3"/>
    <w:rsid w:val="003E1588"/>
    <w:rsid w:val="003E4CD6"/>
    <w:rsid w:val="003F325E"/>
    <w:rsid w:val="003F42E5"/>
    <w:rsid w:val="003F4DC7"/>
    <w:rsid w:val="003F5235"/>
    <w:rsid w:val="003F7CB8"/>
    <w:rsid w:val="0040093C"/>
    <w:rsid w:val="00402030"/>
    <w:rsid w:val="00402393"/>
    <w:rsid w:val="004027E4"/>
    <w:rsid w:val="00403D39"/>
    <w:rsid w:val="00404B15"/>
    <w:rsid w:val="00404C22"/>
    <w:rsid w:val="0041071D"/>
    <w:rsid w:val="00414AFC"/>
    <w:rsid w:val="004151A7"/>
    <w:rsid w:val="00416E92"/>
    <w:rsid w:val="00421709"/>
    <w:rsid w:val="0042284D"/>
    <w:rsid w:val="00423763"/>
    <w:rsid w:val="00425528"/>
    <w:rsid w:val="0042635B"/>
    <w:rsid w:val="00427DC7"/>
    <w:rsid w:val="00430746"/>
    <w:rsid w:val="00431613"/>
    <w:rsid w:val="0043297A"/>
    <w:rsid w:val="00432EB2"/>
    <w:rsid w:val="0043392D"/>
    <w:rsid w:val="00433AB6"/>
    <w:rsid w:val="00434BAA"/>
    <w:rsid w:val="0043714F"/>
    <w:rsid w:val="004438B5"/>
    <w:rsid w:val="00444834"/>
    <w:rsid w:val="00445547"/>
    <w:rsid w:val="00445D74"/>
    <w:rsid w:val="00446567"/>
    <w:rsid w:val="00451872"/>
    <w:rsid w:val="004519E7"/>
    <w:rsid w:val="0045366B"/>
    <w:rsid w:val="00454596"/>
    <w:rsid w:val="0045605D"/>
    <w:rsid w:val="00463660"/>
    <w:rsid w:val="00470E49"/>
    <w:rsid w:val="00471D24"/>
    <w:rsid w:val="00477B6F"/>
    <w:rsid w:val="004827E4"/>
    <w:rsid w:val="004829BC"/>
    <w:rsid w:val="00483858"/>
    <w:rsid w:val="00485CD7"/>
    <w:rsid w:val="00487497"/>
    <w:rsid w:val="004924D5"/>
    <w:rsid w:val="00495D32"/>
    <w:rsid w:val="00496204"/>
    <w:rsid w:val="00496C75"/>
    <w:rsid w:val="004A0E79"/>
    <w:rsid w:val="004A2B2B"/>
    <w:rsid w:val="004A34CE"/>
    <w:rsid w:val="004A506E"/>
    <w:rsid w:val="004A5506"/>
    <w:rsid w:val="004A56BB"/>
    <w:rsid w:val="004A6F0B"/>
    <w:rsid w:val="004B100A"/>
    <w:rsid w:val="004B10F5"/>
    <w:rsid w:val="004B1751"/>
    <w:rsid w:val="004B4423"/>
    <w:rsid w:val="004B4BC3"/>
    <w:rsid w:val="004C34F4"/>
    <w:rsid w:val="004C6834"/>
    <w:rsid w:val="004D03D9"/>
    <w:rsid w:val="004D1811"/>
    <w:rsid w:val="004D4B1C"/>
    <w:rsid w:val="004D52AF"/>
    <w:rsid w:val="004D56FF"/>
    <w:rsid w:val="004D6869"/>
    <w:rsid w:val="004E39D3"/>
    <w:rsid w:val="004E3F67"/>
    <w:rsid w:val="004E508A"/>
    <w:rsid w:val="004F0F74"/>
    <w:rsid w:val="004F1BDE"/>
    <w:rsid w:val="004F1F68"/>
    <w:rsid w:val="004F3B13"/>
    <w:rsid w:val="004F550E"/>
    <w:rsid w:val="004F640E"/>
    <w:rsid w:val="004F670A"/>
    <w:rsid w:val="004F7F44"/>
    <w:rsid w:val="00501E26"/>
    <w:rsid w:val="005047A6"/>
    <w:rsid w:val="005079BF"/>
    <w:rsid w:val="0051094A"/>
    <w:rsid w:val="0051416E"/>
    <w:rsid w:val="00520904"/>
    <w:rsid w:val="005250BC"/>
    <w:rsid w:val="00531B9A"/>
    <w:rsid w:val="00531D15"/>
    <w:rsid w:val="0053225F"/>
    <w:rsid w:val="005368A5"/>
    <w:rsid w:val="00536EE5"/>
    <w:rsid w:val="00537362"/>
    <w:rsid w:val="0053767B"/>
    <w:rsid w:val="00540DBE"/>
    <w:rsid w:val="00542377"/>
    <w:rsid w:val="00542B0F"/>
    <w:rsid w:val="00543C51"/>
    <w:rsid w:val="00544DBF"/>
    <w:rsid w:val="00545119"/>
    <w:rsid w:val="0054566F"/>
    <w:rsid w:val="0054576A"/>
    <w:rsid w:val="00545CAB"/>
    <w:rsid w:val="00552031"/>
    <w:rsid w:val="005529D1"/>
    <w:rsid w:val="005540DD"/>
    <w:rsid w:val="00554CF3"/>
    <w:rsid w:val="00556C71"/>
    <w:rsid w:val="005571CE"/>
    <w:rsid w:val="00557948"/>
    <w:rsid w:val="00561F56"/>
    <w:rsid w:val="0056292B"/>
    <w:rsid w:val="00562FEA"/>
    <w:rsid w:val="00563EF1"/>
    <w:rsid w:val="0056635C"/>
    <w:rsid w:val="00566AB4"/>
    <w:rsid w:val="00574589"/>
    <w:rsid w:val="00574716"/>
    <w:rsid w:val="00574861"/>
    <w:rsid w:val="00575901"/>
    <w:rsid w:val="00575AC5"/>
    <w:rsid w:val="0057605D"/>
    <w:rsid w:val="005809B1"/>
    <w:rsid w:val="00580F93"/>
    <w:rsid w:val="00581347"/>
    <w:rsid w:val="00584154"/>
    <w:rsid w:val="005849F8"/>
    <w:rsid w:val="00584A31"/>
    <w:rsid w:val="005858F6"/>
    <w:rsid w:val="00593211"/>
    <w:rsid w:val="005938DF"/>
    <w:rsid w:val="0059464D"/>
    <w:rsid w:val="00595D58"/>
    <w:rsid w:val="005978ED"/>
    <w:rsid w:val="005A099B"/>
    <w:rsid w:val="005A1F3F"/>
    <w:rsid w:val="005A28E4"/>
    <w:rsid w:val="005A2D9C"/>
    <w:rsid w:val="005A660C"/>
    <w:rsid w:val="005B0708"/>
    <w:rsid w:val="005B2625"/>
    <w:rsid w:val="005B2DF1"/>
    <w:rsid w:val="005B40F1"/>
    <w:rsid w:val="005B7306"/>
    <w:rsid w:val="005C05CD"/>
    <w:rsid w:val="005C1EFD"/>
    <w:rsid w:val="005C2C96"/>
    <w:rsid w:val="005D2502"/>
    <w:rsid w:val="005D2E53"/>
    <w:rsid w:val="005D49BF"/>
    <w:rsid w:val="005E3ACD"/>
    <w:rsid w:val="005E3ED9"/>
    <w:rsid w:val="005E7A57"/>
    <w:rsid w:val="005F24B0"/>
    <w:rsid w:val="005F28B8"/>
    <w:rsid w:val="005F399A"/>
    <w:rsid w:val="005F45B7"/>
    <w:rsid w:val="005F5B2E"/>
    <w:rsid w:val="005F5C56"/>
    <w:rsid w:val="00604D74"/>
    <w:rsid w:val="006052CF"/>
    <w:rsid w:val="0060575D"/>
    <w:rsid w:val="00607B8D"/>
    <w:rsid w:val="00611F5C"/>
    <w:rsid w:val="00611F94"/>
    <w:rsid w:val="00616851"/>
    <w:rsid w:val="00616E09"/>
    <w:rsid w:val="00620FC8"/>
    <w:rsid w:val="006259DF"/>
    <w:rsid w:val="00627D4E"/>
    <w:rsid w:val="00631374"/>
    <w:rsid w:val="00634478"/>
    <w:rsid w:val="00635359"/>
    <w:rsid w:val="00636AB4"/>
    <w:rsid w:val="00642B0E"/>
    <w:rsid w:val="00643350"/>
    <w:rsid w:val="00645827"/>
    <w:rsid w:val="00645915"/>
    <w:rsid w:val="00645A56"/>
    <w:rsid w:val="006519C3"/>
    <w:rsid w:val="00652B30"/>
    <w:rsid w:val="00653A98"/>
    <w:rsid w:val="00656345"/>
    <w:rsid w:val="00656DC6"/>
    <w:rsid w:val="00664110"/>
    <w:rsid w:val="00664E90"/>
    <w:rsid w:val="00666520"/>
    <w:rsid w:val="00666D3B"/>
    <w:rsid w:val="006674DD"/>
    <w:rsid w:val="00667C5B"/>
    <w:rsid w:val="00675F08"/>
    <w:rsid w:val="00680589"/>
    <w:rsid w:val="00680E0D"/>
    <w:rsid w:val="00682941"/>
    <w:rsid w:val="006879E7"/>
    <w:rsid w:val="00687ADD"/>
    <w:rsid w:val="0069112E"/>
    <w:rsid w:val="00692CDE"/>
    <w:rsid w:val="0069521E"/>
    <w:rsid w:val="006965FC"/>
    <w:rsid w:val="006977FF"/>
    <w:rsid w:val="00697AF3"/>
    <w:rsid w:val="006A01FA"/>
    <w:rsid w:val="006A0E9E"/>
    <w:rsid w:val="006A24BF"/>
    <w:rsid w:val="006A25C7"/>
    <w:rsid w:val="006A3B20"/>
    <w:rsid w:val="006A4AAD"/>
    <w:rsid w:val="006A7AB2"/>
    <w:rsid w:val="006B2E51"/>
    <w:rsid w:val="006B4291"/>
    <w:rsid w:val="006B4EB7"/>
    <w:rsid w:val="006C0CEB"/>
    <w:rsid w:val="006C141F"/>
    <w:rsid w:val="006C22DC"/>
    <w:rsid w:val="006C357E"/>
    <w:rsid w:val="006C3B1E"/>
    <w:rsid w:val="006C47FD"/>
    <w:rsid w:val="006C55D2"/>
    <w:rsid w:val="006C6D57"/>
    <w:rsid w:val="006C7505"/>
    <w:rsid w:val="006D27CB"/>
    <w:rsid w:val="006D2F08"/>
    <w:rsid w:val="006D3F0A"/>
    <w:rsid w:val="006D57DE"/>
    <w:rsid w:val="006E1F80"/>
    <w:rsid w:val="006E4B1B"/>
    <w:rsid w:val="006E4C93"/>
    <w:rsid w:val="006E5445"/>
    <w:rsid w:val="006E6773"/>
    <w:rsid w:val="006E67BA"/>
    <w:rsid w:val="006E71FE"/>
    <w:rsid w:val="006E7D93"/>
    <w:rsid w:val="006F1A34"/>
    <w:rsid w:val="006F74B4"/>
    <w:rsid w:val="007029A3"/>
    <w:rsid w:val="00702AE6"/>
    <w:rsid w:val="007041BE"/>
    <w:rsid w:val="007062BC"/>
    <w:rsid w:val="007068A7"/>
    <w:rsid w:val="00706E4E"/>
    <w:rsid w:val="0070791C"/>
    <w:rsid w:val="00707C01"/>
    <w:rsid w:val="00710364"/>
    <w:rsid w:val="00710BF0"/>
    <w:rsid w:val="00712B61"/>
    <w:rsid w:val="0071343F"/>
    <w:rsid w:val="00713E66"/>
    <w:rsid w:val="007141A7"/>
    <w:rsid w:val="00721B55"/>
    <w:rsid w:val="007228A2"/>
    <w:rsid w:val="00726CE4"/>
    <w:rsid w:val="00727A47"/>
    <w:rsid w:val="007307FA"/>
    <w:rsid w:val="00731E41"/>
    <w:rsid w:val="00732404"/>
    <w:rsid w:val="00732F25"/>
    <w:rsid w:val="00733E2E"/>
    <w:rsid w:val="00734143"/>
    <w:rsid w:val="007344D4"/>
    <w:rsid w:val="00734F80"/>
    <w:rsid w:val="00740EAC"/>
    <w:rsid w:val="007413A1"/>
    <w:rsid w:val="007418D0"/>
    <w:rsid w:val="00744956"/>
    <w:rsid w:val="00745A5C"/>
    <w:rsid w:val="0074605F"/>
    <w:rsid w:val="00747E94"/>
    <w:rsid w:val="00751565"/>
    <w:rsid w:val="007519B2"/>
    <w:rsid w:val="00753C61"/>
    <w:rsid w:val="0075763A"/>
    <w:rsid w:val="00762332"/>
    <w:rsid w:val="00762644"/>
    <w:rsid w:val="00762DD1"/>
    <w:rsid w:val="00763439"/>
    <w:rsid w:val="00767C1B"/>
    <w:rsid w:val="007703BA"/>
    <w:rsid w:val="007714A9"/>
    <w:rsid w:val="007721EB"/>
    <w:rsid w:val="0077445D"/>
    <w:rsid w:val="00774F88"/>
    <w:rsid w:val="00776273"/>
    <w:rsid w:val="00776C6C"/>
    <w:rsid w:val="00776D1E"/>
    <w:rsid w:val="00777674"/>
    <w:rsid w:val="00777BA2"/>
    <w:rsid w:val="00777E0F"/>
    <w:rsid w:val="00780EB5"/>
    <w:rsid w:val="00781216"/>
    <w:rsid w:val="00781408"/>
    <w:rsid w:val="00782145"/>
    <w:rsid w:val="00784F7F"/>
    <w:rsid w:val="00786E0A"/>
    <w:rsid w:val="00787CE7"/>
    <w:rsid w:val="00796F25"/>
    <w:rsid w:val="00797FD1"/>
    <w:rsid w:val="007A2E98"/>
    <w:rsid w:val="007A35D0"/>
    <w:rsid w:val="007A7220"/>
    <w:rsid w:val="007B1499"/>
    <w:rsid w:val="007B1BBF"/>
    <w:rsid w:val="007B2960"/>
    <w:rsid w:val="007B355D"/>
    <w:rsid w:val="007B3B02"/>
    <w:rsid w:val="007B7980"/>
    <w:rsid w:val="007C03BD"/>
    <w:rsid w:val="007C32EC"/>
    <w:rsid w:val="007C4F73"/>
    <w:rsid w:val="007C533C"/>
    <w:rsid w:val="007C5B17"/>
    <w:rsid w:val="007C5D5A"/>
    <w:rsid w:val="007C607F"/>
    <w:rsid w:val="007C79DD"/>
    <w:rsid w:val="007D1A97"/>
    <w:rsid w:val="007D1DA9"/>
    <w:rsid w:val="007D2809"/>
    <w:rsid w:val="007D3063"/>
    <w:rsid w:val="007D4EEA"/>
    <w:rsid w:val="007E5979"/>
    <w:rsid w:val="007F3A60"/>
    <w:rsid w:val="007F49FA"/>
    <w:rsid w:val="007F5269"/>
    <w:rsid w:val="007F6B16"/>
    <w:rsid w:val="007F6E9A"/>
    <w:rsid w:val="00801F6A"/>
    <w:rsid w:val="008044D4"/>
    <w:rsid w:val="00804634"/>
    <w:rsid w:val="0080651E"/>
    <w:rsid w:val="00806BD5"/>
    <w:rsid w:val="0080728A"/>
    <w:rsid w:val="00810AB4"/>
    <w:rsid w:val="0081203E"/>
    <w:rsid w:val="00815BCF"/>
    <w:rsid w:val="00816753"/>
    <w:rsid w:val="00817B56"/>
    <w:rsid w:val="00821A88"/>
    <w:rsid w:val="0082495D"/>
    <w:rsid w:val="00826674"/>
    <w:rsid w:val="0083027F"/>
    <w:rsid w:val="008331A9"/>
    <w:rsid w:val="0083561C"/>
    <w:rsid w:val="00835709"/>
    <w:rsid w:val="00840468"/>
    <w:rsid w:val="008406D2"/>
    <w:rsid w:val="00841089"/>
    <w:rsid w:val="00846DFF"/>
    <w:rsid w:val="00852517"/>
    <w:rsid w:val="00852D56"/>
    <w:rsid w:val="00852F86"/>
    <w:rsid w:val="00853255"/>
    <w:rsid w:val="008537D5"/>
    <w:rsid w:val="0085502B"/>
    <w:rsid w:val="00855AF6"/>
    <w:rsid w:val="00856CF3"/>
    <w:rsid w:val="00860B68"/>
    <w:rsid w:val="00864943"/>
    <w:rsid w:val="00864BF8"/>
    <w:rsid w:val="0086664E"/>
    <w:rsid w:val="0086732F"/>
    <w:rsid w:val="00870565"/>
    <w:rsid w:val="00881854"/>
    <w:rsid w:val="00883628"/>
    <w:rsid w:val="00887A8C"/>
    <w:rsid w:val="0089050D"/>
    <w:rsid w:val="00893AB8"/>
    <w:rsid w:val="008A04C8"/>
    <w:rsid w:val="008A632E"/>
    <w:rsid w:val="008A73B9"/>
    <w:rsid w:val="008A7C61"/>
    <w:rsid w:val="008B454E"/>
    <w:rsid w:val="008B4EFA"/>
    <w:rsid w:val="008B70F3"/>
    <w:rsid w:val="008B73A0"/>
    <w:rsid w:val="008B76DF"/>
    <w:rsid w:val="008B77A0"/>
    <w:rsid w:val="008C2461"/>
    <w:rsid w:val="008C2622"/>
    <w:rsid w:val="008C4524"/>
    <w:rsid w:val="008C6BA7"/>
    <w:rsid w:val="008D190B"/>
    <w:rsid w:val="008D77F8"/>
    <w:rsid w:val="008E25C1"/>
    <w:rsid w:val="008E6E30"/>
    <w:rsid w:val="008E780D"/>
    <w:rsid w:val="008E7A9E"/>
    <w:rsid w:val="008E7EBD"/>
    <w:rsid w:val="008F161C"/>
    <w:rsid w:val="008F5530"/>
    <w:rsid w:val="008F7874"/>
    <w:rsid w:val="00900659"/>
    <w:rsid w:val="00903285"/>
    <w:rsid w:val="00906EC5"/>
    <w:rsid w:val="00906F40"/>
    <w:rsid w:val="0090731E"/>
    <w:rsid w:val="00907CB4"/>
    <w:rsid w:val="009120FE"/>
    <w:rsid w:val="00913FEE"/>
    <w:rsid w:val="00914F78"/>
    <w:rsid w:val="00915B1C"/>
    <w:rsid w:val="0091604E"/>
    <w:rsid w:val="009175A5"/>
    <w:rsid w:val="0091797D"/>
    <w:rsid w:val="0092012C"/>
    <w:rsid w:val="00921BB4"/>
    <w:rsid w:val="00923247"/>
    <w:rsid w:val="00923CBA"/>
    <w:rsid w:val="00925F54"/>
    <w:rsid w:val="00926154"/>
    <w:rsid w:val="00926703"/>
    <w:rsid w:val="00927A5F"/>
    <w:rsid w:val="00927ACD"/>
    <w:rsid w:val="009302DB"/>
    <w:rsid w:val="009346ED"/>
    <w:rsid w:val="00936D2C"/>
    <w:rsid w:val="00937AEC"/>
    <w:rsid w:val="00941843"/>
    <w:rsid w:val="00941FB0"/>
    <w:rsid w:val="0094488D"/>
    <w:rsid w:val="0094768C"/>
    <w:rsid w:val="0095049D"/>
    <w:rsid w:val="0095490B"/>
    <w:rsid w:val="00954E29"/>
    <w:rsid w:val="00955389"/>
    <w:rsid w:val="00957E4E"/>
    <w:rsid w:val="009662F8"/>
    <w:rsid w:val="00967E80"/>
    <w:rsid w:val="009713A7"/>
    <w:rsid w:val="00971ACD"/>
    <w:rsid w:val="009720EE"/>
    <w:rsid w:val="009742D7"/>
    <w:rsid w:val="00974363"/>
    <w:rsid w:val="0097519A"/>
    <w:rsid w:val="009751B4"/>
    <w:rsid w:val="00977B9A"/>
    <w:rsid w:val="00977D4B"/>
    <w:rsid w:val="00984256"/>
    <w:rsid w:val="00991054"/>
    <w:rsid w:val="00992E80"/>
    <w:rsid w:val="00994114"/>
    <w:rsid w:val="00995078"/>
    <w:rsid w:val="00996EE5"/>
    <w:rsid w:val="00997A96"/>
    <w:rsid w:val="009A06D7"/>
    <w:rsid w:val="009A07DC"/>
    <w:rsid w:val="009A1A81"/>
    <w:rsid w:val="009A1BE6"/>
    <w:rsid w:val="009B0295"/>
    <w:rsid w:val="009B0E86"/>
    <w:rsid w:val="009B4E9E"/>
    <w:rsid w:val="009B6963"/>
    <w:rsid w:val="009B7A05"/>
    <w:rsid w:val="009C1690"/>
    <w:rsid w:val="009C35D0"/>
    <w:rsid w:val="009C6881"/>
    <w:rsid w:val="009C7759"/>
    <w:rsid w:val="009C7950"/>
    <w:rsid w:val="009D0951"/>
    <w:rsid w:val="009D1502"/>
    <w:rsid w:val="009D2921"/>
    <w:rsid w:val="009D33EA"/>
    <w:rsid w:val="009D467D"/>
    <w:rsid w:val="009D6C71"/>
    <w:rsid w:val="009E147D"/>
    <w:rsid w:val="009E16D0"/>
    <w:rsid w:val="009E38FD"/>
    <w:rsid w:val="009E5915"/>
    <w:rsid w:val="009E5999"/>
    <w:rsid w:val="009E75F3"/>
    <w:rsid w:val="009F13D6"/>
    <w:rsid w:val="009F2AD3"/>
    <w:rsid w:val="009F65F7"/>
    <w:rsid w:val="009F78A8"/>
    <w:rsid w:val="00A000C0"/>
    <w:rsid w:val="00A003E3"/>
    <w:rsid w:val="00A01569"/>
    <w:rsid w:val="00A0480F"/>
    <w:rsid w:val="00A052AD"/>
    <w:rsid w:val="00A0635A"/>
    <w:rsid w:val="00A1034A"/>
    <w:rsid w:val="00A1190A"/>
    <w:rsid w:val="00A11FD4"/>
    <w:rsid w:val="00A224CE"/>
    <w:rsid w:val="00A249DB"/>
    <w:rsid w:val="00A24F5C"/>
    <w:rsid w:val="00A273BC"/>
    <w:rsid w:val="00A27423"/>
    <w:rsid w:val="00A316C9"/>
    <w:rsid w:val="00A327D7"/>
    <w:rsid w:val="00A3712E"/>
    <w:rsid w:val="00A40871"/>
    <w:rsid w:val="00A410E0"/>
    <w:rsid w:val="00A438DC"/>
    <w:rsid w:val="00A440E0"/>
    <w:rsid w:val="00A45F64"/>
    <w:rsid w:val="00A46FEC"/>
    <w:rsid w:val="00A52761"/>
    <w:rsid w:val="00A54543"/>
    <w:rsid w:val="00A5537D"/>
    <w:rsid w:val="00A55C4C"/>
    <w:rsid w:val="00A60DF1"/>
    <w:rsid w:val="00A61A11"/>
    <w:rsid w:val="00A62DEF"/>
    <w:rsid w:val="00A6415C"/>
    <w:rsid w:val="00A70ADF"/>
    <w:rsid w:val="00A71466"/>
    <w:rsid w:val="00A725CD"/>
    <w:rsid w:val="00A74B5E"/>
    <w:rsid w:val="00A764A4"/>
    <w:rsid w:val="00A80548"/>
    <w:rsid w:val="00A81BED"/>
    <w:rsid w:val="00A85D0E"/>
    <w:rsid w:val="00A866ED"/>
    <w:rsid w:val="00A86A89"/>
    <w:rsid w:val="00A87F75"/>
    <w:rsid w:val="00A90C5F"/>
    <w:rsid w:val="00A96821"/>
    <w:rsid w:val="00A97DFD"/>
    <w:rsid w:val="00AB156C"/>
    <w:rsid w:val="00AB3E18"/>
    <w:rsid w:val="00AC5ED0"/>
    <w:rsid w:val="00AD2617"/>
    <w:rsid w:val="00AD3082"/>
    <w:rsid w:val="00AD4AD0"/>
    <w:rsid w:val="00AD60CD"/>
    <w:rsid w:val="00AE091D"/>
    <w:rsid w:val="00AE1C6F"/>
    <w:rsid w:val="00AE53A1"/>
    <w:rsid w:val="00AE5EBB"/>
    <w:rsid w:val="00AE6363"/>
    <w:rsid w:val="00AE6AAA"/>
    <w:rsid w:val="00AE7B71"/>
    <w:rsid w:val="00AF06F6"/>
    <w:rsid w:val="00AF1A4E"/>
    <w:rsid w:val="00AF2484"/>
    <w:rsid w:val="00AF2778"/>
    <w:rsid w:val="00AF2DD7"/>
    <w:rsid w:val="00AF3AC0"/>
    <w:rsid w:val="00AF44BC"/>
    <w:rsid w:val="00AF5B1A"/>
    <w:rsid w:val="00AF5F38"/>
    <w:rsid w:val="00AF602D"/>
    <w:rsid w:val="00AF6AD9"/>
    <w:rsid w:val="00B0165D"/>
    <w:rsid w:val="00B031F3"/>
    <w:rsid w:val="00B052A4"/>
    <w:rsid w:val="00B06BE6"/>
    <w:rsid w:val="00B07CC8"/>
    <w:rsid w:val="00B10FE0"/>
    <w:rsid w:val="00B118B4"/>
    <w:rsid w:val="00B125CB"/>
    <w:rsid w:val="00B125DE"/>
    <w:rsid w:val="00B13FDD"/>
    <w:rsid w:val="00B14D27"/>
    <w:rsid w:val="00B16482"/>
    <w:rsid w:val="00B17BAD"/>
    <w:rsid w:val="00B219C9"/>
    <w:rsid w:val="00B21A65"/>
    <w:rsid w:val="00B22EB2"/>
    <w:rsid w:val="00B26050"/>
    <w:rsid w:val="00B26B02"/>
    <w:rsid w:val="00B274A2"/>
    <w:rsid w:val="00B2764D"/>
    <w:rsid w:val="00B27C59"/>
    <w:rsid w:val="00B27F65"/>
    <w:rsid w:val="00B31167"/>
    <w:rsid w:val="00B329D8"/>
    <w:rsid w:val="00B32BB9"/>
    <w:rsid w:val="00B33AE1"/>
    <w:rsid w:val="00B33E1A"/>
    <w:rsid w:val="00B408A5"/>
    <w:rsid w:val="00B4288C"/>
    <w:rsid w:val="00B44100"/>
    <w:rsid w:val="00B463AC"/>
    <w:rsid w:val="00B46CBA"/>
    <w:rsid w:val="00B46E2B"/>
    <w:rsid w:val="00B46F94"/>
    <w:rsid w:val="00B6058C"/>
    <w:rsid w:val="00B60B94"/>
    <w:rsid w:val="00B61F03"/>
    <w:rsid w:val="00B625FD"/>
    <w:rsid w:val="00B626E4"/>
    <w:rsid w:val="00B6343E"/>
    <w:rsid w:val="00B72C91"/>
    <w:rsid w:val="00B72F4A"/>
    <w:rsid w:val="00B73AA3"/>
    <w:rsid w:val="00B74673"/>
    <w:rsid w:val="00B8096F"/>
    <w:rsid w:val="00B83C27"/>
    <w:rsid w:val="00B872FB"/>
    <w:rsid w:val="00B91B35"/>
    <w:rsid w:val="00B92812"/>
    <w:rsid w:val="00B9344E"/>
    <w:rsid w:val="00B955FA"/>
    <w:rsid w:val="00B95D67"/>
    <w:rsid w:val="00B977A1"/>
    <w:rsid w:val="00BA0C49"/>
    <w:rsid w:val="00BA200A"/>
    <w:rsid w:val="00BA3177"/>
    <w:rsid w:val="00BA3FE5"/>
    <w:rsid w:val="00BA61FA"/>
    <w:rsid w:val="00BA79EB"/>
    <w:rsid w:val="00BB665B"/>
    <w:rsid w:val="00BC23F9"/>
    <w:rsid w:val="00BC2AB2"/>
    <w:rsid w:val="00BC3E47"/>
    <w:rsid w:val="00BC5732"/>
    <w:rsid w:val="00BD632C"/>
    <w:rsid w:val="00BE2580"/>
    <w:rsid w:val="00BE266D"/>
    <w:rsid w:val="00BE4C11"/>
    <w:rsid w:val="00BF2369"/>
    <w:rsid w:val="00BF482D"/>
    <w:rsid w:val="00BF58B8"/>
    <w:rsid w:val="00BF5960"/>
    <w:rsid w:val="00C00EA7"/>
    <w:rsid w:val="00C02B18"/>
    <w:rsid w:val="00C066B3"/>
    <w:rsid w:val="00C124B4"/>
    <w:rsid w:val="00C12F7D"/>
    <w:rsid w:val="00C20892"/>
    <w:rsid w:val="00C20967"/>
    <w:rsid w:val="00C23B0E"/>
    <w:rsid w:val="00C31AD0"/>
    <w:rsid w:val="00C326FA"/>
    <w:rsid w:val="00C36C75"/>
    <w:rsid w:val="00C432E8"/>
    <w:rsid w:val="00C45155"/>
    <w:rsid w:val="00C45B50"/>
    <w:rsid w:val="00C50524"/>
    <w:rsid w:val="00C53523"/>
    <w:rsid w:val="00C536A6"/>
    <w:rsid w:val="00C5498F"/>
    <w:rsid w:val="00C56091"/>
    <w:rsid w:val="00C57104"/>
    <w:rsid w:val="00C60825"/>
    <w:rsid w:val="00C646AA"/>
    <w:rsid w:val="00C64CD0"/>
    <w:rsid w:val="00C6684F"/>
    <w:rsid w:val="00C70E70"/>
    <w:rsid w:val="00C75F8D"/>
    <w:rsid w:val="00C774E5"/>
    <w:rsid w:val="00C80F45"/>
    <w:rsid w:val="00C920A2"/>
    <w:rsid w:val="00C92BB0"/>
    <w:rsid w:val="00C92E1A"/>
    <w:rsid w:val="00C93D83"/>
    <w:rsid w:val="00CA00C4"/>
    <w:rsid w:val="00CA692A"/>
    <w:rsid w:val="00CA6989"/>
    <w:rsid w:val="00CB0368"/>
    <w:rsid w:val="00CB1E82"/>
    <w:rsid w:val="00CB4BA8"/>
    <w:rsid w:val="00CB5032"/>
    <w:rsid w:val="00CC1966"/>
    <w:rsid w:val="00CC63CA"/>
    <w:rsid w:val="00CC68DF"/>
    <w:rsid w:val="00CD1C8D"/>
    <w:rsid w:val="00CE0062"/>
    <w:rsid w:val="00CE0FCC"/>
    <w:rsid w:val="00CE4956"/>
    <w:rsid w:val="00CE5058"/>
    <w:rsid w:val="00CE54E7"/>
    <w:rsid w:val="00CF28A8"/>
    <w:rsid w:val="00CF29E6"/>
    <w:rsid w:val="00CF369B"/>
    <w:rsid w:val="00CF4ED5"/>
    <w:rsid w:val="00D00413"/>
    <w:rsid w:val="00D01ADD"/>
    <w:rsid w:val="00D13AB3"/>
    <w:rsid w:val="00D14425"/>
    <w:rsid w:val="00D14E14"/>
    <w:rsid w:val="00D15810"/>
    <w:rsid w:val="00D1600B"/>
    <w:rsid w:val="00D1684F"/>
    <w:rsid w:val="00D16BA8"/>
    <w:rsid w:val="00D16D4E"/>
    <w:rsid w:val="00D21504"/>
    <w:rsid w:val="00D23018"/>
    <w:rsid w:val="00D257C2"/>
    <w:rsid w:val="00D27F41"/>
    <w:rsid w:val="00D30A7B"/>
    <w:rsid w:val="00D3107C"/>
    <w:rsid w:val="00D316FA"/>
    <w:rsid w:val="00D3292C"/>
    <w:rsid w:val="00D32B46"/>
    <w:rsid w:val="00D331C3"/>
    <w:rsid w:val="00D338ED"/>
    <w:rsid w:val="00D34E51"/>
    <w:rsid w:val="00D352C4"/>
    <w:rsid w:val="00D36441"/>
    <w:rsid w:val="00D375C8"/>
    <w:rsid w:val="00D37ED5"/>
    <w:rsid w:val="00D4067A"/>
    <w:rsid w:val="00D41335"/>
    <w:rsid w:val="00D44E9B"/>
    <w:rsid w:val="00D458FF"/>
    <w:rsid w:val="00D46360"/>
    <w:rsid w:val="00D50DB9"/>
    <w:rsid w:val="00D52C43"/>
    <w:rsid w:val="00D52E92"/>
    <w:rsid w:val="00D57026"/>
    <w:rsid w:val="00D6174C"/>
    <w:rsid w:val="00D64C67"/>
    <w:rsid w:val="00D6507F"/>
    <w:rsid w:val="00D666B4"/>
    <w:rsid w:val="00D669D3"/>
    <w:rsid w:val="00D73236"/>
    <w:rsid w:val="00D75E36"/>
    <w:rsid w:val="00D76231"/>
    <w:rsid w:val="00D776D0"/>
    <w:rsid w:val="00D84DAC"/>
    <w:rsid w:val="00D87B11"/>
    <w:rsid w:val="00D87B94"/>
    <w:rsid w:val="00D90C84"/>
    <w:rsid w:val="00D90EB4"/>
    <w:rsid w:val="00D9228F"/>
    <w:rsid w:val="00D922A1"/>
    <w:rsid w:val="00D92B5D"/>
    <w:rsid w:val="00D92D49"/>
    <w:rsid w:val="00D93CF5"/>
    <w:rsid w:val="00D94277"/>
    <w:rsid w:val="00D9466C"/>
    <w:rsid w:val="00DA039D"/>
    <w:rsid w:val="00DA24D0"/>
    <w:rsid w:val="00DA4189"/>
    <w:rsid w:val="00DA4E41"/>
    <w:rsid w:val="00DB117A"/>
    <w:rsid w:val="00DB5173"/>
    <w:rsid w:val="00DB5605"/>
    <w:rsid w:val="00DB7005"/>
    <w:rsid w:val="00DB7164"/>
    <w:rsid w:val="00DB7873"/>
    <w:rsid w:val="00DC187B"/>
    <w:rsid w:val="00DD1835"/>
    <w:rsid w:val="00DD4430"/>
    <w:rsid w:val="00DD6425"/>
    <w:rsid w:val="00DD73C2"/>
    <w:rsid w:val="00DE319B"/>
    <w:rsid w:val="00DE7DAD"/>
    <w:rsid w:val="00DF016F"/>
    <w:rsid w:val="00DF2AF0"/>
    <w:rsid w:val="00DF5AA0"/>
    <w:rsid w:val="00DF6CB7"/>
    <w:rsid w:val="00DF6E24"/>
    <w:rsid w:val="00E07369"/>
    <w:rsid w:val="00E14A58"/>
    <w:rsid w:val="00E15371"/>
    <w:rsid w:val="00E20276"/>
    <w:rsid w:val="00E21381"/>
    <w:rsid w:val="00E22279"/>
    <w:rsid w:val="00E24104"/>
    <w:rsid w:val="00E3292D"/>
    <w:rsid w:val="00E32C9E"/>
    <w:rsid w:val="00E35DA2"/>
    <w:rsid w:val="00E400BC"/>
    <w:rsid w:val="00E41ECB"/>
    <w:rsid w:val="00E44A7B"/>
    <w:rsid w:val="00E538AD"/>
    <w:rsid w:val="00E54FDB"/>
    <w:rsid w:val="00E563D7"/>
    <w:rsid w:val="00E57AF1"/>
    <w:rsid w:val="00E636AF"/>
    <w:rsid w:val="00E663F4"/>
    <w:rsid w:val="00E666F2"/>
    <w:rsid w:val="00E73EA0"/>
    <w:rsid w:val="00E746F1"/>
    <w:rsid w:val="00E748CC"/>
    <w:rsid w:val="00E75415"/>
    <w:rsid w:val="00E7638B"/>
    <w:rsid w:val="00E77005"/>
    <w:rsid w:val="00E85C24"/>
    <w:rsid w:val="00E863EB"/>
    <w:rsid w:val="00E94CEC"/>
    <w:rsid w:val="00E96048"/>
    <w:rsid w:val="00EA04EF"/>
    <w:rsid w:val="00EA1C76"/>
    <w:rsid w:val="00EA6616"/>
    <w:rsid w:val="00EA6F19"/>
    <w:rsid w:val="00EB37D4"/>
    <w:rsid w:val="00EB7090"/>
    <w:rsid w:val="00EC275B"/>
    <w:rsid w:val="00EC4612"/>
    <w:rsid w:val="00EC5CD7"/>
    <w:rsid w:val="00EC7505"/>
    <w:rsid w:val="00ED2E13"/>
    <w:rsid w:val="00EE2276"/>
    <w:rsid w:val="00EE472A"/>
    <w:rsid w:val="00EE5BA0"/>
    <w:rsid w:val="00EE5FB3"/>
    <w:rsid w:val="00EE627B"/>
    <w:rsid w:val="00EF1640"/>
    <w:rsid w:val="00EF1EEE"/>
    <w:rsid w:val="00EF5133"/>
    <w:rsid w:val="00EF56EF"/>
    <w:rsid w:val="00EF716E"/>
    <w:rsid w:val="00F06B95"/>
    <w:rsid w:val="00F13B53"/>
    <w:rsid w:val="00F16DFD"/>
    <w:rsid w:val="00F179D4"/>
    <w:rsid w:val="00F224B7"/>
    <w:rsid w:val="00F22E83"/>
    <w:rsid w:val="00F234FD"/>
    <w:rsid w:val="00F347C7"/>
    <w:rsid w:val="00F34848"/>
    <w:rsid w:val="00F40B72"/>
    <w:rsid w:val="00F417AE"/>
    <w:rsid w:val="00F42D46"/>
    <w:rsid w:val="00F45CDB"/>
    <w:rsid w:val="00F47252"/>
    <w:rsid w:val="00F50E7D"/>
    <w:rsid w:val="00F517DC"/>
    <w:rsid w:val="00F52AE3"/>
    <w:rsid w:val="00F52C3E"/>
    <w:rsid w:val="00F5314C"/>
    <w:rsid w:val="00F531F7"/>
    <w:rsid w:val="00F53827"/>
    <w:rsid w:val="00F55290"/>
    <w:rsid w:val="00F57A69"/>
    <w:rsid w:val="00F57B0B"/>
    <w:rsid w:val="00F614C0"/>
    <w:rsid w:val="00F65206"/>
    <w:rsid w:val="00F654C3"/>
    <w:rsid w:val="00F6588B"/>
    <w:rsid w:val="00F67822"/>
    <w:rsid w:val="00F71C50"/>
    <w:rsid w:val="00F72C93"/>
    <w:rsid w:val="00F73D7E"/>
    <w:rsid w:val="00F7625B"/>
    <w:rsid w:val="00F76CB7"/>
    <w:rsid w:val="00F76F4F"/>
    <w:rsid w:val="00F802B8"/>
    <w:rsid w:val="00F82C90"/>
    <w:rsid w:val="00F82D39"/>
    <w:rsid w:val="00F83848"/>
    <w:rsid w:val="00F83D28"/>
    <w:rsid w:val="00F8663E"/>
    <w:rsid w:val="00F9141A"/>
    <w:rsid w:val="00F95422"/>
    <w:rsid w:val="00FA0782"/>
    <w:rsid w:val="00FA1B7D"/>
    <w:rsid w:val="00FA3B02"/>
    <w:rsid w:val="00FB47F3"/>
    <w:rsid w:val="00FB4D9F"/>
    <w:rsid w:val="00FB5097"/>
    <w:rsid w:val="00FB6B4F"/>
    <w:rsid w:val="00FC18BA"/>
    <w:rsid w:val="00FC29FA"/>
    <w:rsid w:val="00FC5F6D"/>
    <w:rsid w:val="00FD094F"/>
    <w:rsid w:val="00FD156F"/>
    <w:rsid w:val="00FD2211"/>
    <w:rsid w:val="00FD2C2F"/>
    <w:rsid w:val="00FD3F9B"/>
    <w:rsid w:val="00FD7BC3"/>
    <w:rsid w:val="00FE1823"/>
    <w:rsid w:val="00FE2387"/>
    <w:rsid w:val="00FF0569"/>
    <w:rsid w:val="00FF3F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5">
      <o:colormru v:ext="edit" colors="red,#4d4d4f"/>
    </o:shapedefaults>
    <o:shapelayout v:ext="edit">
      <o:idmap v:ext="edit" data="1"/>
    </o:shapelayout>
  </w:shapeDefaults>
  <w:decimalSymbol w:val="."/>
  <w:listSeparator w:val=","/>
  <w14:docId w14:val="639B6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26819"/>
    <w:pPr>
      <w:spacing w:line="240" w:lineRule="atLeast"/>
    </w:pPr>
    <w:rPr>
      <w:rFonts w:ascii="HelveticaNeueLT Std Lt" w:hAnsi="HelveticaNeueLT Std Lt"/>
      <w:szCs w:val="24"/>
    </w:rPr>
  </w:style>
  <w:style w:type="paragraph" w:styleId="Heading1">
    <w:name w:val="heading 1"/>
    <w:basedOn w:val="Normal"/>
    <w:next w:val="Normal"/>
    <w:qFormat/>
    <w:rsid w:val="00777BA2"/>
    <w:pPr>
      <w:keepNext/>
      <w:pageBreakBefore/>
      <w:widowControl w:val="0"/>
      <w:spacing w:after="360" w:line="550" w:lineRule="exact"/>
      <w:outlineLvl w:val="0"/>
    </w:pPr>
    <w:rPr>
      <w:rFonts w:cs="Arial"/>
      <w:bCs/>
      <w:color w:val="4D4D4F"/>
      <w:kern w:val="32"/>
      <w:sz w:val="53"/>
      <w:szCs w:val="32"/>
    </w:rPr>
  </w:style>
  <w:style w:type="paragraph" w:styleId="Heading2">
    <w:name w:val="heading 2"/>
    <w:basedOn w:val="Normal"/>
    <w:next w:val="Normal"/>
    <w:link w:val="Heading2Char"/>
    <w:qFormat/>
    <w:rsid w:val="001E22D5"/>
    <w:pPr>
      <w:keepNext/>
      <w:spacing w:before="120" w:after="240"/>
      <w:outlineLvl w:val="1"/>
    </w:pPr>
    <w:rPr>
      <w:rFonts w:ascii="HelveticaNeueLT Std" w:hAnsi="HelveticaNeueLT Std" w:cs="Arial"/>
      <w:b/>
      <w:bCs/>
      <w:iCs/>
      <w:sz w:val="28"/>
      <w:szCs w:val="28"/>
    </w:rPr>
  </w:style>
  <w:style w:type="paragraph" w:styleId="Heading3">
    <w:name w:val="heading 3"/>
    <w:basedOn w:val="Normal"/>
    <w:next w:val="Normal"/>
    <w:qFormat/>
    <w:rsid w:val="001E22D5"/>
    <w:pPr>
      <w:keepNext/>
      <w:spacing w:before="60" w:after="240"/>
      <w:outlineLvl w:val="2"/>
    </w:pPr>
    <w:rPr>
      <w:rFonts w:ascii="HelveticaNeueLT Std" w:hAnsi="HelveticaNeueLT Std" w:cs="Arial"/>
      <w:b/>
      <w:bCs/>
      <w:szCs w:val="26"/>
    </w:rPr>
  </w:style>
  <w:style w:type="paragraph" w:styleId="Heading4">
    <w:name w:val="heading 4"/>
    <w:basedOn w:val="Normal"/>
    <w:next w:val="Normal"/>
    <w:qFormat/>
    <w:rsid w:val="00BE4C1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E4C11"/>
    <w:pPr>
      <w:spacing w:before="240" w:after="60"/>
      <w:outlineLvl w:val="4"/>
    </w:pPr>
    <w:rPr>
      <w:b/>
      <w:bCs/>
      <w:i/>
      <w:iCs/>
      <w:sz w:val="26"/>
      <w:szCs w:val="26"/>
    </w:rPr>
  </w:style>
  <w:style w:type="paragraph" w:styleId="Heading6">
    <w:name w:val="heading 6"/>
    <w:basedOn w:val="Normal"/>
    <w:next w:val="Normal"/>
    <w:qFormat/>
    <w:rsid w:val="00BE4C11"/>
    <w:pPr>
      <w:spacing w:before="240" w:after="60"/>
      <w:outlineLvl w:val="5"/>
    </w:pPr>
    <w:rPr>
      <w:rFonts w:ascii="Times New Roman" w:hAnsi="Times New Roman"/>
      <w:b/>
      <w:bCs/>
      <w:sz w:val="22"/>
      <w:szCs w:val="22"/>
    </w:rPr>
  </w:style>
  <w:style w:type="paragraph" w:styleId="Heading7">
    <w:name w:val="heading 7"/>
    <w:basedOn w:val="Normal"/>
    <w:next w:val="Normal"/>
    <w:qFormat/>
    <w:rsid w:val="00BE4C11"/>
    <w:pPr>
      <w:spacing w:before="240" w:after="60"/>
      <w:outlineLvl w:val="6"/>
    </w:pPr>
    <w:rPr>
      <w:rFonts w:ascii="Times New Roman" w:hAnsi="Times New Roman"/>
      <w:sz w:val="24"/>
    </w:rPr>
  </w:style>
  <w:style w:type="paragraph" w:styleId="Heading8">
    <w:name w:val="heading 8"/>
    <w:basedOn w:val="Normal"/>
    <w:next w:val="Normal"/>
    <w:qFormat/>
    <w:rsid w:val="00BE4C11"/>
    <w:pPr>
      <w:spacing w:before="240" w:after="60"/>
      <w:outlineLvl w:val="7"/>
    </w:pPr>
    <w:rPr>
      <w:rFonts w:ascii="Times New Roman" w:hAnsi="Times New Roman"/>
      <w:i/>
      <w:iCs/>
      <w:sz w:val="24"/>
    </w:rPr>
  </w:style>
  <w:style w:type="paragraph" w:styleId="Heading9">
    <w:name w:val="heading 9"/>
    <w:basedOn w:val="Normal"/>
    <w:next w:val="Normal"/>
    <w:qFormat/>
    <w:rsid w:val="00BE4C1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791C"/>
    <w:pPr>
      <w:tabs>
        <w:tab w:val="center" w:pos="4153"/>
        <w:tab w:val="right" w:pos="8306"/>
      </w:tabs>
      <w:spacing w:line="240" w:lineRule="auto"/>
    </w:pPr>
    <w:rPr>
      <w:sz w:val="16"/>
    </w:rPr>
  </w:style>
  <w:style w:type="paragraph" w:styleId="Footer">
    <w:name w:val="footer"/>
    <w:basedOn w:val="Normal"/>
    <w:link w:val="FooterChar"/>
    <w:uiPriority w:val="99"/>
    <w:rsid w:val="0070791C"/>
    <w:pPr>
      <w:tabs>
        <w:tab w:val="center" w:pos="4153"/>
        <w:tab w:val="right" w:pos="8306"/>
      </w:tabs>
      <w:spacing w:line="240" w:lineRule="auto"/>
    </w:pPr>
    <w:rPr>
      <w:sz w:val="16"/>
    </w:rPr>
  </w:style>
  <w:style w:type="paragraph" w:customStyle="1" w:styleId="ReportTitle">
    <w:name w:val="Report Title"/>
    <w:basedOn w:val="Normal"/>
    <w:rsid w:val="00226819"/>
    <w:pPr>
      <w:spacing w:line="560" w:lineRule="exact"/>
    </w:pPr>
    <w:rPr>
      <w:rFonts w:ascii="HelveticaNeueLT Std Med" w:hAnsi="HelveticaNeueLT Std Med"/>
      <w:b/>
      <w:color w:val="4D4D4F"/>
      <w:spacing w:val="-28"/>
      <w:sz w:val="53"/>
    </w:rPr>
  </w:style>
  <w:style w:type="paragraph" w:customStyle="1" w:styleId="ReportSubtitle">
    <w:name w:val="Report Sub title"/>
    <w:basedOn w:val="Normal"/>
    <w:rsid w:val="00226819"/>
    <w:pPr>
      <w:spacing w:line="560" w:lineRule="exact"/>
    </w:pPr>
    <w:rPr>
      <w:color w:val="808285"/>
      <w:spacing w:val="-28"/>
      <w:sz w:val="53"/>
    </w:rPr>
  </w:style>
  <w:style w:type="table" w:styleId="TableGrid">
    <w:name w:val="Table Grid"/>
    <w:basedOn w:val="TableNormal"/>
    <w:semiHidden/>
    <w:rsid w:val="00226819"/>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portDate">
    <w:name w:val="Report Date"/>
    <w:basedOn w:val="ReportSubtitle"/>
    <w:rsid w:val="00226819"/>
    <w:pPr>
      <w:spacing w:line="240" w:lineRule="auto"/>
    </w:pPr>
    <w:rPr>
      <w:caps/>
      <w:spacing w:val="-10"/>
      <w:sz w:val="20"/>
    </w:rPr>
  </w:style>
  <w:style w:type="paragraph" w:customStyle="1" w:styleId="TableHeading">
    <w:name w:val="Table Heading"/>
    <w:basedOn w:val="Normal"/>
    <w:rsid w:val="00721B55"/>
    <w:rPr>
      <w:rFonts w:ascii="HelveticaNeueLT Std" w:hAnsi="HelveticaNeueLT Std"/>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customStyle="1" w:styleId="CorporateAddresses">
    <w:name w:val="Corporate Addresses"/>
    <w:basedOn w:val="Normal"/>
    <w:semiHidden/>
    <w:rsid w:val="00454596"/>
    <w:pPr>
      <w:spacing w:line="140" w:lineRule="exact"/>
    </w:pPr>
    <w:rPr>
      <w:color w:val="4D4D4F"/>
      <w:sz w:val="13"/>
    </w:rPr>
  </w:style>
  <w:style w:type="paragraph" w:styleId="TOCHeading">
    <w:name w:val="TOC Heading"/>
    <w:basedOn w:val="Normal"/>
    <w:qFormat/>
    <w:rsid w:val="000A4A51"/>
    <w:pPr>
      <w:spacing w:line="240" w:lineRule="auto"/>
    </w:pPr>
    <w:rPr>
      <w:rFonts w:ascii="HelveticaNeueLT Std Med" w:hAnsi="HelveticaNeueLT Std Med"/>
      <w:b/>
      <w:color w:val="4D4D4F"/>
      <w:spacing w:val="-28"/>
      <w:sz w:val="53"/>
    </w:rPr>
  </w:style>
  <w:style w:type="paragraph" w:styleId="Caption">
    <w:name w:val="caption"/>
    <w:basedOn w:val="Normal"/>
    <w:next w:val="Normal"/>
    <w:qFormat/>
    <w:rsid w:val="00B052A4"/>
    <w:rPr>
      <w:rFonts w:ascii="HelveticaNeueLT Std" w:hAnsi="HelveticaNeueLT Std"/>
      <w:b/>
      <w:bCs/>
      <w:color w:val="808285"/>
      <w:szCs w:val="20"/>
    </w:rPr>
  </w:style>
  <w:style w:type="paragraph" w:customStyle="1" w:styleId="Bodysubheader">
    <w:name w:val="Body sub header"/>
    <w:basedOn w:val="Normal"/>
    <w:next w:val="Normal"/>
    <w:rsid w:val="007B355D"/>
    <w:rPr>
      <w:rFonts w:ascii="HelveticaNeueLT Std" w:hAnsi="HelveticaNeueLT Std"/>
      <w:b/>
      <w:i/>
    </w:rPr>
  </w:style>
  <w:style w:type="paragraph" w:styleId="ListBullet">
    <w:name w:val="List Bullet"/>
    <w:basedOn w:val="Normal"/>
    <w:rsid w:val="001E22D5"/>
    <w:pPr>
      <w:numPr>
        <w:numId w:val="1"/>
      </w:numPr>
      <w:tabs>
        <w:tab w:val="left" w:pos="510"/>
      </w:tabs>
      <w:spacing w:before="120" w:after="120"/>
    </w:pPr>
  </w:style>
  <w:style w:type="paragraph" w:styleId="ListBullet2">
    <w:name w:val="List Bullet 2"/>
    <w:basedOn w:val="Normal"/>
    <w:rsid w:val="001E22D5"/>
    <w:pPr>
      <w:numPr>
        <w:numId w:val="2"/>
      </w:numPr>
      <w:spacing w:after="80"/>
      <w:ind w:left="1020" w:hanging="510"/>
    </w:pPr>
  </w:style>
  <w:style w:type="paragraph" w:styleId="ListNumber">
    <w:name w:val="List Number"/>
    <w:basedOn w:val="Normal"/>
    <w:rsid w:val="001C6AEE"/>
    <w:pPr>
      <w:numPr>
        <w:numId w:val="3"/>
      </w:numPr>
      <w:spacing w:after="80"/>
    </w:pPr>
  </w:style>
  <w:style w:type="paragraph" w:styleId="ListNumber2">
    <w:name w:val="List Number 2"/>
    <w:basedOn w:val="Normal"/>
    <w:rsid w:val="001C6AEE"/>
    <w:pPr>
      <w:numPr>
        <w:numId w:val="4"/>
      </w:numPr>
      <w:spacing w:after="80"/>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semiHidden/>
    <w:rsid w:val="009D6C71"/>
    <w:pPr>
      <w:spacing w:after="1440" w:line="550" w:lineRule="exact"/>
    </w:pPr>
    <w:rPr>
      <w:rFonts w:ascii="HelveticaNeueLT Std Med" w:hAnsi="HelveticaNeueLT Std Med"/>
      <w:b/>
      <w:color w:val="4D4D4F"/>
      <w:spacing w:val="-18"/>
      <w:sz w:val="53"/>
    </w:rPr>
  </w:style>
  <w:style w:type="character" w:styleId="PageNumber0">
    <w:name w:val="page number"/>
    <w:basedOn w:val="DefaultParagraphFont"/>
    <w:semiHidden/>
    <w:rsid w:val="00542377"/>
  </w:style>
  <w:style w:type="paragraph" w:customStyle="1" w:styleId="ACMABodyText">
    <w:name w:val="ACMA Body Text"/>
    <w:link w:val="ACMABodyTextChar"/>
    <w:rsid w:val="00A85D0E"/>
    <w:pPr>
      <w:suppressAutoHyphens/>
      <w:spacing w:before="80" w:after="120" w:line="280" w:lineRule="atLeast"/>
    </w:pPr>
    <w:rPr>
      <w:snapToGrid w:val="0"/>
      <w:sz w:val="24"/>
      <w:lang w:eastAsia="en-US"/>
    </w:rPr>
  </w:style>
  <w:style w:type="paragraph" w:styleId="TOC1">
    <w:name w:val="toc 1"/>
    <w:basedOn w:val="Normal"/>
    <w:next w:val="Normal"/>
    <w:semiHidden/>
    <w:rsid w:val="00E75415"/>
    <w:pPr>
      <w:tabs>
        <w:tab w:val="right" w:pos="7660"/>
      </w:tabs>
      <w:spacing w:before="280" w:line="320" w:lineRule="exact"/>
      <w:ind w:right="851"/>
    </w:pPr>
    <w:rPr>
      <w:rFonts w:ascii="HelveticaNeueLT Std Med" w:hAnsi="HelveticaNeueLT Std Med"/>
      <w:b/>
      <w:noProof/>
      <w:color w:val="808285"/>
      <w:spacing w:val="-14"/>
      <w:sz w:val="28"/>
    </w:rPr>
  </w:style>
  <w:style w:type="paragraph" w:styleId="TOC2">
    <w:name w:val="toc 2"/>
    <w:basedOn w:val="Normal"/>
    <w:next w:val="Normal"/>
    <w:semiHidden/>
    <w:rsid w:val="00C70E70"/>
    <w:pPr>
      <w:tabs>
        <w:tab w:val="right" w:pos="7660"/>
      </w:tabs>
      <w:spacing w:line="300" w:lineRule="exact"/>
      <w:ind w:left="885" w:hanging="885"/>
    </w:pPr>
    <w:rPr>
      <w:rFonts w:ascii="HelveticaNeueLT Std" w:hAnsi="HelveticaNeueLT Std"/>
      <w:noProof/>
      <w:color w:val="808285"/>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semiHidden/>
    <w:rsid w:val="00C70E70"/>
    <w:pPr>
      <w:tabs>
        <w:tab w:val="right" w:pos="7661"/>
      </w:tabs>
      <w:spacing w:line="240" w:lineRule="auto"/>
    </w:pPr>
    <w:rPr>
      <w:noProof/>
      <w:color w:val="808285"/>
      <w:sz w:val="22"/>
      <w:szCs w:val="22"/>
    </w:rPr>
  </w:style>
  <w:style w:type="character" w:styleId="Hyperlink">
    <w:name w:val="Hyperlink"/>
    <w:basedOn w:val="DefaultParagraphFont"/>
    <w:semiHidden/>
    <w:rsid w:val="003A5F5B"/>
    <w:rPr>
      <w:color w:val="0000FF"/>
      <w:u w:val="single"/>
    </w:rPr>
  </w:style>
  <w:style w:type="character" w:styleId="FootnoteReference">
    <w:name w:val="footnote reference"/>
    <w:basedOn w:val="DefaultParagraphFont"/>
    <w:rsid w:val="00566AB4"/>
    <w:rPr>
      <w:rFonts w:ascii="Arial" w:hAnsi="Arial"/>
      <w:vertAlign w:val="superscript"/>
    </w:rPr>
  </w:style>
  <w:style w:type="paragraph" w:styleId="FootnoteText">
    <w:name w:val="footnote text"/>
    <w:basedOn w:val="Normal"/>
    <w:rsid w:val="00566AB4"/>
    <w:rPr>
      <w:sz w:val="16"/>
      <w:szCs w:val="16"/>
    </w:rPr>
  </w:style>
  <w:style w:type="paragraph" w:customStyle="1" w:styleId="TableBody">
    <w:name w:val="Table Body"/>
    <w:basedOn w:val="Normal"/>
    <w:rsid w:val="00D44E9B"/>
    <w:pPr>
      <w:spacing w:line="240" w:lineRule="auto"/>
    </w:pPr>
  </w:style>
  <w:style w:type="paragraph" w:styleId="TOC9">
    <w:name w:val="toc 9"/>
    <w:basedOn w:val="Normal"/>
    <w:next w:val="Normal"/>
    <w:semiHidden/>
    <w:rsid w:val="00C70E70"/>
    <w:pPr>
      <w:tabs>
        <w:tab w:val="right" w:pos="7660"/>
      </w:tabs>
      <w:spacing w:before="280" w:line="320" w:lineRule="exact"/>
    </w:pPr>
    <w:rPr>
      <w:rFonts w:ascii="HelveticaNeueLT Std Med" w:hAnsi="HelveticaNeueLT Std Med"/>
      <w:b/>
      <w:noProof/>
      <w:color w:val="808285"/>
      <w:sz w:val="28"/>
      <w:szCs w:val="28"/>
    </w:rPr>
  </w:style>
  <w:style w:type="character" w:customStyle="1" w:styleId="ACMABodyTextChar">
    <w:name w:val="ACMA Body Text Char"/>
    <w:basedOn w:val="DefaultParagraphFont"/>
    <w:link w:val="ACMABodyText"/>
    <w:rsid w:val="00A85D0E"/>
    <w:rPr>
      <w:snapToGrid w:val="0"/>
      <w:sz w:val="24"/>
      <w:lang w:val="en-AU" w:eastAsia="en-US" w:bidi="ar-SA"/>
    </w:rPr>
  </w:style>
  <w:style w:type="paragraph" w:customStyle="1" w:styleId="ACMABulletLevel1">
    <w:name w:val="ACMA Bullet Level 1"/>
    <w:rsid w:val="00496C75"/>
    <w:pPr>
      <w:numPr>
        <w:numId w:val="5"/>
      </w:numPr>
      <w:spacing w:after="120"/>
    </w:pPr>
    <w:rPr>
      <w:sz w:val="24"/>
      <w:lang w:eastAsia="en-US"/>
    </w:rPr>
  </w:style>
  <w:style w:type="paragraph" w:customStyle="1" w:styleId="ACMAHeading1">
    <w:name w:val="ACMA Heading 1"/>
    <w:next w:val="ACMABodyText"/>
    <w:rsid w:val="00496C75"/>
    <w:pPr>
      <w:keepNext/>
      <w:suppressAutoHyphens/>
      <w:spacing w:before="320"/>
      <w:outlineLvl w:val="1"/>
    </w:pPr>
    <w:rPr>
      <w:rFonts w:ascii="Arial" w:hAnsi="Arial"/>
      <w:b/>
      <w:sz w:val="32"/>
      <w:szCs w:val="32"/>
      <w:lang w:val="en-US" w:eastAsia="en-US"/>
    </w:rPr>
  </w:style>
  <w:style w:type="paragraph" w:customStyle="1" w:styleId="Default">
    <w:name w:val="Default"/>
    <w:rsid w:val="00B14D27"/>
    <w:pPr>
      <w:autoSpaceDE w:val="0"/>
      <w:autoSpaceDN w:val="0"/>
      <w:adjustRightInd w:val="0"/>
    </w:pPr>
    <w:rPr>
      <w:color w:val="000000"/>
      <w:sz w:val="24"/>
      <w:szCs w:val="24"/>
    </w:rPr>
  </w:style>
  <w:style w:type="paragraph" w:customStyle="1" w:styleId="ACMAFootnote">
    <w:name w:val="ACMA Footnote"/>
    <w:link w:val="ACMAFootnoteChar"/>
    <w:rsid w:val="002A0643"/>
    <w:pPr>
      <w:numPr>
        <w:numId w:val="7"/>
      </w:numPr>
      <w:tabs>
        <w:tab w:val="clear" w:pos="360"/>
      </w:tabs>
      <w:ind w:left="144" w:hanging="144"/>
    </w:pPr>
    <w:rPr>
      <w:sz w:val="16"/>
      <w:lang w:eastAsia="en-US"/>
    </w:rPr>
  </w:style>
  <w:style w:type="character" w:customStyle="1" w:styleId="ACMAFootnoteChar">
    <w:name w:val="ACMA Footnote Char"/>
    <w:basedOn w:val="DefaultParagraphFont"/>
    <w:link w:val="ACMAFootnote"/>
    <w:rsid w:val="002A0643"/>
    <w:rPr>
      <w:sz w:val="16"/>
      <w:lang w:val="en-AU" w:eastAsia="en-US" w:bidi="ar-SA"/>
    </w:rPr>
  </w:style>
  <w:style w:type="paragraph" w:styleId="BalloonText">
    <w:name w:val="Balloon Text"/>
    <w:basedOn w:val="Normal"/>
    <w:semiHidden/>
    <w:rsid w:val="00D64C67"/>
    <w:rPr>
      <w:rFonts w:ascii="Tahoma" w:hAnsi="Tahoma" w:cs="Tahoma"/>
      <w:sz w:val="16"/>
      <w:szCs w:val="16"/>
    </w:rPr>
  </w:style>
  <w:style w:type="paragraph" w:customStyle="1" w:styleId="Boxheading">
    <w:name w:val="Box heading"/>
    <w:basedOn w:val="Normal"/>
    <w:link w:val="BoxheadingChar"/>
    <w:rsid w:val="006E1F80"/>
    <w:pPr>
      <w:pBdr>
        <w:top w:val="single" w:sz="4" w:space="1" w:color="auto"/>
        <w:left w:val="single" w:sz="4" w:space="4" w:color="auto"/>
        <w:bottom w:val="single" w:sz="4" w:space="1" w:color="auto"/>
        <w:right w:val="single" w:sz="4" w:space="4" w:color="auto"/>
      </w:pBdr>
      <w:shd w:val="clear" w:color="auto" w:fill="E6E6E6"/>
      <w:spacing w:after="240"/>
      <w:jc w:val="center"/>
    </w:pPr>
    <w:rPr>
      <w:b/>
      <w:sz w:val="24"/>
    </w:rPr>
  </w:style>
  <w:style w:type="character" w:customStyle="1" w:styleId="BoxheadingChar">
    <w:name w:val="Box heading Char"/>
    <w:basedOn w:val="DefaultParagraphFont"/>
    <w:link w:val="Boxheading"/>
    <w:rsid w:val="002C4CC8"/>
    <w:rPr>
      <w:rFonts w:ascii="HelveticaNeueLT Std Lt" w:hAnsi="HelveticaNeueLT Std Lt"/>
      <w:b/>
      <w:sz w:val="24"/>
      <w:szCs w:val="24"/>
      <w:lang w:val="en-AU" w:eastAsia="en-AU" w:bidi="ar-SA"/>
    </w:rPr>
  </w:style>
  <w:style w:type="character" w:customStyle="1" w:styleId="msoins0">
    <w:name w:val="msoins"/>
    <w:basedOn w:val="DefaultParagraphFont"/>
    <w:rsid w:val="005F5B2E"/>
  </w:style>
  <w:style w:type="character" w:styleId="CommentReference">
    <w:name w:val="annotation reference"/>
    <w:basedOn w:val="DefaultParagraphFont"/>
    <w:semiHidden/>
    <w:rsid w:val="00FB4D9F"/>
    <w:rPr>
      <w:sz w:val="16"/>
      <w:szCs w:val="16"/>
    </w:rPr>
  </w:style>
  <w:style w:type="paragraph" w:styleId="CommentText">
    <w:name w:val="annotation text"/>
    <w:basedOn w:val="Normal"/>
    <w:semiHidden/>
    <w:rsid w:val="00FB4D9F"/>
    <w:rPr>
      <w:szCs w:val="20"/>
    </w:rPr>
  </w:style>
  <w:style w:type="paragraph" w:styleId="CommentSubject">
    <w:name w:val="annotation subject"/>
    <w:basedOn w:val="CommentText"/>
    <w:next w:val="CommentText"/>
    <w:semiHidden/>
    <w:rsid w:val="00FB4D9F"/>
    <w:rPr>
      <w:b/>
      <w:bCs/>
    </w:rPr>
  </w:style>
  <w:style w:type="character" w:styleId="FollowedHyperlink">
    <w:name w:val="FollowedHyperlink"/>
    <w:basedOn w:val="DefaultParagraphFont"/>
    <w:rsid w:val="00B872FB"/>
    <w:rPr>
      <w:color w:val="800080"/>
      <w:u w:val="single"/>
    </w:rPr>
  </w:style>
  <w:style w:type="paragraph" w:styleId="EndnoteText">
    <w:name w:val="endnote text"/>
    <w:basedOn w:val="Normal"/>
    <w:link w:val="EndnoteTextChar"/>
    <w:rsid w:val="00C536A6"/>
    <w:rPr>
      <w:szCs w:val="20"/>
    </w:rPr>
  </w:style>
  <w:style w:type="character" w:customStyle="1" w:styleId="EndnoteTextChar">
    <w:name w:val="Endnote Text Char"/>
    <w:basedOn w:val="DefaultParagraphFont"/>
    <w:link w:val="EndnoteText"/>
    <w:rsid w:val="00C536A6"/>
    <w:rPr>
      <w:rFonts w:ascii="HelveticaNeueLT Std Lt" w:hAnsi="HelveticaNeueLT Std Lt"/>
    </w:rPr>
  </w:style>
  <w:style w:type="character" w:styleId="EndnoteReference">
    <w:name w:val="endnote reference"/>
    <w:basedOn w:val="DefaultParagraphFont"/>
    <w:rsid w:val="00C536A6"/>
    <w:rPr>
      <w:vertAlign w:val="superscript"/>
    </w:rPr>
  </w:style>
  <w:style w:type="paragraph" w:styleId="ListParagraph">
    <w:name w:val="List Paragraph"/>
    <w:basedOn w:val="Normal"/>
    <w:uiPriority w:val="34"/>
    <w:qFormat/>
    <w:rsid w:val="0004402F"/>
    <w:pPr>
      <w:spacing w:line="240" w:lineRule="auto"/>
      <w:ind w:left="720"/>
      <w:contextualSpacing/>
    </w:pPr>
    <w:rPr>
      <w:rFonts w:ascii="Arial" w:hAnsi="Arial"/>
      <w:szCs w:val="20"/>
      <w:lang w:eastAsia="en-US" w:bidi="he-IL"/>
    </w:rPr>
  </w:style>
  <w:style w:type="paragraph" w:customStyle="1" w:styleId="Rc">
    <w:name w:val="Rc"/>
    <w:aliases w:val="Rn continued"/>
    <w:basedOn w:val="Normal"/>
    <w:next w:val="Normal"/>
    <w:rsid w:val="0004402F"/>
    <w:pPr>
      <w:spacing w:before="60" w:line="260" w:lineRule="exact"/>
      <w:ind w:left="964"/>
      <w:jc w:val="both"/>
    </w:pPr>
    <w:rPr>
      <w:rFonts w:ascii="Times New Roman" w:hAnsi="Times New Roman"/>
      <w:sz w:val="24"/>
    </w:rPr>
  </w:style>
  <w:style w:type="character" w:customStyle="1" w:styleId="FooterChar">
    <w:name w:val="Footer Char"/>
    <w:basedOn w:val="DefaultParagraphFont"/>
    <w:link w:val="Footer"/>
    <w:uiPriority w:val="99"/>
    <w:rsid w:val="003C3399"/>
    <w:rPr>
      <w:rFonts w:ascii="HelveticaNeueLT Std Lt" w:hAnsi="HelveticaNeueLT Std Lt"/>
      <w:sz w:val="16"/>
      <w:szCs w:val="24"/>
    </w:rPr>
  </w:style>
  <w:style w:type="character" w:customStyle="1" w:styleId="Heading2Char">
    <w:name w:val="Heading 2 Char"/>
    <w:basedOn w:val="DefaultParagraphFont"/>
    <w:link w:val="Heading2"/>
    <w:rsid w:val="003C3399"/>
    <w:rPr>
      <w:rFonts w:ascii="HelveticaNeueLT Std" w:hAnsi="HelveticaNeueLT Std" w:cs="Arial"/>
      <w:b/>
      <w:bCs/>
      <w:iCs/>
      <w:sz w:val="28"/>
      <w:szCs w:val="28"/>
    </w:rPr>
  </w:style>
  <w:style w:type="character" w:customStyle="1" w:styleId="HeaderChar">
    <w:name w:val="Header Char"/>
    <w:basedOn w:val="DefaultParagraphFont"/>
    <w:link w:val="Header"/>
    <w:uiPriority w:val="99"/>
    <w:rsid w:val="00552031"/>
    <w:rPr>
      <w:rFonts w:ascii="HelveticaNeueLT Std Lt" w:hAnsi="HelveticaNeueLT Std Lt"/>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26819"/>
    <w:pPr>
      <w:spacing w:line="240" w:lineRule="atLeast"/>
    </w:pPr>
    <w:rPr>
      <w:rFonts w:ascii="HelveticaNeueLT Std Lt" w:hAnsi="HelveticaNeueLT Std Lt"/>
      <w:szCs w:val="24"/>
    </w:rPr>
  </w:style>
  <w:style w:type="paragraph" w:styleId="Heading1">
    <w:name w:val="heading 1"/>
    <w:basedOn w:val="Normal"/>
    <w:next w:val="Normal"/>
    <w:qFormat/>
    <w:rsid w:val="00777BA2"/>
    <w:pPr>
      <w:keepNext/>
      <w:pageBreakBefore/>
      <w:widowControl w:val="0"/>
      <w:spacing w:after="360" w:line="550" w:lineRule="exact"/>
      <w:outlineLvl w:val="0"/>
    </w:pPr>
    <w:rPr>
      <w:rFonts w:cs="Arial"/>
      <w:bCs/>
      <w:color w:val="4D4D4F"/>
      <w:kern w:val="32"/>
      <w:sz w:val="53"/>
      <w:szCs w:val="32"/>
    </w:rPr>
  </w:style>
  <w:style w:type="paragraph" w:styleId="Heading2">
    <w:name w:val="heading 2"/>
    <w:basedOn w:val="Normal"/>
    <w:next w:val="Normal"/>
    <w:link w:val="Heading2Char"/>
    <w:qFormat/>
    <w:rsid w:val="001E22D5"/>
    <w:pPr>
      <w:keepNext/>
      <w:spacing w:before="120" w:after="240"/>
      <w:outlineLvl w:val="1"/>
    </w:pPr>
    <w:rPr>
      <w:rFonts w:ascii="HelveticaNeueLT Std" w:hAnsi="HelveticaNeueLT Std" w:cs="Arial"/>
      <w:b/>
      <w:bCs/>
      <w:iCs/>
      <w:sz w:val="28"/>
      <w:szCs w:val="28"/>
    </w:rPr>
  </w:style>
  <w:style w:type="paragraph" w:styleId="Heading3">
    <w:name w:val="heading 3"/>
    <w:basedOn w:val="Normal"/>
    <w:next w:val="Normal"/>
    <w:qFormat/>
    <w:rsid w:val="001E22D5"/>
    <w:pPr>
      <w:keepNext/>
      <w:spacing w:before="60" w:after="240"/>
      <w:outlineLvl w:val="2"/>
    </w:pPr>
    <w:rPr>
      <w:rFonts w:ascii="HelveticaNeueLT Std" w:hAnsi="HelveticaNeueLT Std" w:cs="Arial"/>
      <w:b/>
      <w:bCs/>
      <w:szCs w:val="26"/>
    </w:rPr>
  </w:style>
  <w:style w:type="paragraph" w:styleId="Heading4">
    <w:name w:val="heading 4"/>
    <w:basedOn w:val="Normal"/>
    <w:next w:val="Normal"/>
    <w:qFormat/>
    <w:rsid w:val="00BE4C1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E4C11"/>
    <w:pPr>
      <w:spacing w:before="240" w:after="60"/>
      <w:outlineLvl w:val="4"/>
    </w:pPr>
    <w:rPr>
      <w:b/>
      <w:bCs/>
      <w:i/>
      <w:iCs/>
      <w:sz w:val="26"/>
      <w:szCs w:val="26"/>
    </w:rPr>
  </w:style>
  <w:style w:type="paragraph" w:styleId="Heading6">
    <w:name w:val="heading 6"/>
    <w:basedOn w:val="Normal"/>
    <w:next w:val="Normal"/>
    <w:qFormat/>
    <w:rsid w:val="00BE4C11"/>
    <w:pPr>
      <w:spacing w:before="240" w:after="60"/>
      <w:outlineLvl w:val="5"/>
    </w:pPr>
    <w:rPr>
      <w:rFonts w:ascii="Times New Roman" w:hAnsi="Times New Roman"/>
      <w:b/>
      <w:bCs/>
      <w:sz w:val="22"/>
      <w:szCs w:val="22"/>
    </w:rPr>
  </w:style>
  <w:style w:type="paragraph" w:styleId="Heading7">
    <w:name w:val="heading 7"/>
    <w:basedOn w:val="Normal"/>
    <w:next w:val="Normal"/>
    <w:qFormat/>
    <w:rsid w:val="00BE4C11"/>
    <w:pPr>
      <w:spacing w:before="240" w:after="60"/>
      <w:outlineLvl w:val="6"/>
    </w:pPr>
    <w:rPr>
      <w:rFonts w:ascii="Times New Roman" w:hAnsi="Times New Roman"/>
      <w:sz w:val="24"/>
    </w:rPr>
  </w:style>
  <w:style w:type="paragraph" w:styleId="Heading8">
    <w:name w:val="heading 8"/>
    <w:basedOn w:val="Normal"/>
    <w:next w:val="Normal"/>
    <w:qFormat/>
    <w:rsid w:val="00BE4C11"/>
    <w:pPr>
      <w:spacing w:before="240" w:after="60"/>
      <w:outlineLvl w:val="7"/>
    </w:pPr>
    <w:rPr>
      <w:rFonts w:ascii="Times New Roman" w:hAnsi="Times New Roman"/>
      <w:i/>
      <w:iCs/>
      <w:sz w:val="24"/>
    </w:rPr>
  </w:style>
  <w:style w:type="paragraph" w:styleId="Heading9">
    <w:name w:val="heading 9"/>
    <w:basedOn w:val="Normal"/>
    <w:next w:val="Normal"/>
    <w:qFormat/>
    <w:rsid w:val="00BE4C1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791C"/>
    <w:pPr>
      <w:tabs>
        <w:tab w:val="center" w:pos="4153"/>
        <w:tab w:val="right" w:pos="8306"/>
      </w:tabs>
      <w:spacing w:line="240" w:lineRule="auto"/>
    </w:pPr>
    <w:rPr>
      <w:sz w:val="16"/>
    </w:rPr>
  </w:style>
  <w:style w:type="paragraph" w:styleId="Footer">
    <w:name w:val="footer"/>
    <w:basedOn w:val="Normal"/>
    <w:link w:val="FooterChar"/>
    <w:uiPriority w:val="99"/>
    <w:rsid w:val="0070791C"/>
    <w:pPr>
      <w:tabs>
        <w:tab w:val="center" w:pos="4153"/>
        <w:tab w:val="right" w:pos="8306"/>
      </w:tabs>
      <w:spacing w:line="240" w:lineRule="auto"/>
    </w:pPr>
    <w:rPr>
      <w:sz w:val="16"/>
    </w:rPr>
  </w:style>
  <w:style w:type="paragraph" w:customStyle="1" w:styleId="ReportTitle">
    <w:name w:val="Report Title"/>
    <w:basedOn w:val="Normal"/>
    <w:rsid w:val="00226819"/>
    <w:pPr>
      <w:spacing w:line="560" w:lineRule="exact"/>
    </w:pPr>
    <w:rPr>
      <w:rFonts w:ascii="HelveticaNeueLT Std Med" w:hAnsi="HelveticaNeueLT Std Med"/>
      <w:b/>
      <w:color w:val="4D4D4F"/>
      <w:spacing w:val="-28"/>
      <w:sz w:val="53"/>
    </w:rPr>
  </w:style>
  <w:style w:type="paragraph" w:customStyle="1" w:styleId="ReportSubtitle">
    <w:name w:val="Report Sub title"/>
    <w:basedOn w:val="Normal"/>
    <w:rsid w:val="00226819"/>
    <w:pPr>
      <w:spacing w:line="560" w:lineRule="exact"/>
    </w:pPr>
    <w:rPr>
      <w:color w:val="808285"/>
      <w:spacing w:val="-28"/>
      <w:sz w:val="53"/>
    </w:rPr>
  </w:style>
  <w:style w:type="table" w:styleId="TableGrid">
    <w:name w:val="Table Grid"/>
    <w:basedOn w:val="TableNormal"/>
    <w:semiHidden/>
    <w:rsid w:val="00226819"/>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portDate">
    <w:name w:val="Report Date"/>
    <w:basedOn w:val="ReportSubtitle"/>
    <w:rsid w:val="00226819"/>
    <w:pPr>
      <w:spacing w:line="240" w:lineRule="auto"/>
    </w:pPr>
    <w:rPr>
      <w:caps/>
      <w:spacing w:val="-10"/>
      <w:sz w:val="20"/>
    </w:rPr>
  </w:style>
  <w:style w:type="paragraph" w:customStyle="1" w:styleId="TableHeading">
    <w:name w:val="Table Heading"/>
    <w:basedOn w:val="Normal"/>
    <w:rsid w:val="00721B55"/>
    <w:rPr>
      <w:rFonts w:ascii="HelveticaNeueLT Std" w:hAnsi="HelveticaNeueLT Std"/>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customStyle="1" w:styleId="CorporateAddresses">
    <w:name w:val="Corporate Addresses"/>
    <w:basedOn w:val="Normal"/>
    <w:semiHidden/>
    <w:rsid w:val="00454596"/>
    <w:pPr>
      <w:spacing w:line="140" w:lineRule="exact"/>
    </w:pPr>
    <w:rPr>
      <w:color w:val="4D4D4F"/>
      <w:sz w:val="13"/>
    </w:rPr>
  </w:style>
  <w:style w:type="paragraph" w:styleId="TOCHeading">
    <w:name w:val="TOC Heading"/>
    <w:basedOn w:val="Normal"/>
    <w:qFormat/>
    <w:rsid w:val="000A4A51"/>
    <w:pPr>
      <w:spacing w:line="240" w:lineRule="auto"/>
    </w:pPr>
    <w:rPr>
      <w:rFonts w:ascii="HelveticaNeueLT Std Med" w:hAnsi="HelveticaNeueLT Std Med"/>
      <w:b/>
      <w:color w:val="4D4D4F"/>
      <w:spacing w:val="-28"/>
      <w:sz w:val="53"/>
    </w:rPr>
  </w:style>
  <w:style w:type="paragraph" w:styleId="Caption">
    <w:name w:val="caption"/>
    <w:basedOn w:val="Normal"/>
    <w:next w:val="Normal"/>
    <w:qFormat/>
    <w:rsid w:val="00B052A4"/>
    <w:rPr>
      <w:rFonts w:ascii="HelveticaNeueLT Std" w:hAnsi="HelveticaNeueLT Std"/>
      <w:b/>
      <w:bCs/>
      <w:color w:val="808285"/>
      <w:szCs w:val="20"/>
    </w:rPr>
  </w:style>
  <w:style w:type="paragraph" w:customStyle="1" w:styleId="Bodysubheader">
    <w:name w:val="Body sub header"/>
    <w:basedOn w:val="Normal"/>
    <w:next w:val="Normal"/>
    <w:rsid w:val="007B355D"/>
    <w:rPr>
      <w:rFonts w:ascii="HelveticaNeueLT Std" w:hAnsi="HelveticaNeueLT Std"/>
      <w:b/>
      <w:i/>
    </w:rPr>
  </w:style>
  <w:style w:type="paragraph" w:styleId="ListBullet">
    <w:name w:val="List Bullet"/>
    <w:basedOn w:val="Normal"/>
    <w:rsid w:val="001E22D5"/>
    <w:pPr>
      <w:numPr>
        <w:numId w:val="1"/>
      </w:numPr>
      <w:tabs>
        <w:tab w:val="left" w:pos="510"/>
      </w:tabs>
      <w:spacing w:before="120" w:after="120"/>
    </w:pPr>
  </w:style>
  <w:style w:type="paragraph" w:styleId="ListBullet2">
    <w:name w:val="List Bullet 2"/>
    <w:basedOn w:val="Normal"/>
    <w:rsid w:val="001E22D5"/>
    <w:pPr>
      <w:numPr>
        <w:numId w:val="2"/>
      </w:numPr>
      <w:spacing w:after="80"/>
      <w:ind w:left="1020" w:hanging="510"/>
    </w:pPr>
  </w:style>
  <w:style w:type="paragraph" w:styleId="ListNumber">
    <w:name w:val="List Number"/>
    <w:basedOn w:val="Normal"/>
    <w:rsid w:val="001C6AEE"/>
    <w:pPr>
      <w:numPr>
        <w:numId w:val="3"/>
      </w:numPr>
      <w:spacing w:after="80"/>
    </w:pPr>
  </w:style>
  <w:style w:type="paragraph" w:styleId="ListNumber2">
    <w:name w:val="List Number 2"/>
    <w:basedOn w:val="Normal"/>
    <w:rsid w:val="001C6AEE"/>
    <w:pPr>
      <w:numPr>
        <w:numId w:val="4"/>
      </w:numPr>
      <w:spacing w:after="80"/>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semiHidden/>
    <w:rsid w:val="009D6C71"/>
    <w:pPr>
      <w:spacing w:after="1440" w:line="550" w:lineRule="exact"/>
    </w:pPr>
    <w:rPr>
      <w:rFonts w:ascii="HelveticaNeueLT Std Med" w:hAnsi="HelveticaNeueLT Std Med"/>
      <w:b/>
      <w:color w:val="4D4D4F"/>
      <w:spacing w:val="-18"/>
      <w:sz w:val="53"/>
    </w:rPr>
  </w:style>
  <w:style w:type="character" w:styleId="PageNumber0">
    <w:name w:val="page number"/>
    <w:basedOn w:val="DefaultParagraphFont"/>
    <w:semiHidden/>
    <w:rsid w:val="00542377"/>
  </w:style>
  <w:style w:type="paragraph" w:customStyle="1" w:styleId="ACMABodyText">
    <w:name w:val="ACMA Body Text"/>
    <w:link w:val="ACMABodyTextChar"/>
    <w:rsid w:val="00A85D0E"/>
    <w:pPr>
      <w:suppressAutoHyphens/>
      <w:spacing w:before="80" w:after="120" w:line="280" w:lineRule="atLeast"/>
    </w:pPr>
    <w:rPr>
      <w:snapToGrid w:val="0"/>
      <w:sz w:val="24"/>
      <w:lang w:eastAsia="en-US"/>
    </w:rPr>
  </w:style>
  <w:style w:type="paragraph" w:styleId="TOC1">
    <w:name w:val="toc 1"/>
    <w:basedOn w:val="Normal"/>
    <w:next w:val="Normal"/>
    <w:semiHidden/>
    <w:rsid w:val="00E75415"/>
    <w:pPr>
      <w:tabs>
        <w:tab w:val="right" w:pos="7660"/>
      </w:tabs>
      <w:spacing w:before="280" w:line="320" w:lineRule="exact"/>
      <w:ind w:right="851"/>
    </w:pPr>
    <w:rPr>
      <w:rFonts w:ascii="HelveticaNeueLT Std Med" w:hAnsi="HelveticaNeueLT Std Med"/>
      <w:b/>
      <w:noProof/>
      <w:color w:val="808285"/>
      <w:spacing w:val="-14"/>
      <w:sz w:val="28"/>
    </w:rPr>
  </w:style>
  <w:style w:type="paragraph" w:styleId="TOC2">
    <w:name w:val="toc 2"/>
    <w:basedOn w:val="Normal"/>
    <w:next w:val="Normal"/>
    <w:semiHidden/>
    <w:rsid w:val="00C70E70"/>
    <w:pPr>
      <w:tabs>
        <w:tab w:val="right" w:pos="7660"/>
      </w:tabs>
      <w:spacing w:line="300" w:lineRule="exact"/>
      <w:ind w:left="885" w:hanging="885"/>
    </w:pPr>
    <w:rPr>
      <w:rFonts w:ascii="HelveticaNeueLT Std" w:hAnsi="HelveticaNeueLT Std"/>
      <w:noProof/>
      <w:color w:val="808285"/>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semiHidden/>
    <w:rsid w:val="00C70E70"/>
    <w:pPr>
      <w:tabs>
        <w:tab w:val="right" w:pos="7661"/>
      </w:tabs>
      <w:spacing w:line="240" w:lineRule="auto"/>
    </w:pPr>
    <w:rPr>
      <w:noProof/>
      <w:color w:val="808285"/>
      <w:sz w:val="22"/>
      <w:szCs w:val="22"/>
    </w:rPr>
  </w:style>
  <w:style w:type="character" w:styleId="Hyperlink">
    <w:name w:val="Hyperlink"/>
    <w:basedOn w:val="DefaultParagraphFont"/>
    <w:semiHidden/>
    <w:rsid w:val="003A5F5B"/>
    <w:rPr>
      <w:color w:val="0000FF"/>
      <w:u w:val="single"/>
    </w:rPr>
  </w:style>
  <w:style w:type="character" w:styleId="FootnoteReference">
    <w:name w:val="footnote reference"/>
    <w:basedOn w:val="DefaultParagraphFont"/>
    <w:rsid w:val="00566AB4"/>
    <w:rPr>
      <w:rFonts w:ascii="Arial" w:hAnsi="Arial"/>
      <w:vertAlign w:val="superscript"/>
    </w:rPr>
  </w:style>
  <w:style w:type="paragraph" w:styleId="FootnoteText">
    <w:name w:val="footnote text"/>
    <w:basedOn w:val="Normal"/>
    <w:rsid w:val="00566AB4"/>
    <w:rPr>
      <w:sz w:val="16"/>
      <w:szCs w:val="16"/>
    </w:rPr>
  </w:style>
  <w:style w:type="paragraph" w:customStyle="1" w:styleId="TableBody">
    <w:name w:val="Table Body"/>
    <w:basedOn w:val="Normal"/>
    <w:rsid w:val="00D44E9B"/>
    <w:pPr>
      <w:spacing w:line="240" w:lineRule="auto"/>
    </w:pPr>
  </w:style>
  <w:style w:type="paragraph" w:styleId="TOC9">
    <w:name w:val="toc 9"/>
    <w:basedOn w:val="Normal"/>
    <w:next w:val="Normal"/>
    <w:semiHidden/>
    <w:rsid w:val="00C70E70"/>
    <w:pPr>
      <w:tabs>
        <w:tab w:val="right" w:pos="7660"/>
      </w:tabs>
      <w:spacing w:before="280" w:line="320" w:lineRule="exact"/>
    </w:pPr>
    <w:rPr>
      <w:rFonts w:ascii="HelveticaNeueLT Std Med" w:hAnsi="HelveticaNeueLT Std Med"/>
      <w:b/>
      <w:noProof/>
      <w:color w:val="808285"/>
      <w:sz w:val="28"/>
      <w:szCs w:val="28"/>
    </w:rPr>
  </w:style>
  <w:style w:type="character" w:customStyle="1" w:styleId="ACMABodyTextChar">
    <w:name w:val="ACMA Body Text Char"/>
    <w:basedOn w:val="DefaultParagraphFont"/>
    <w:link w:val="ACMABodyText"/>
    <w:rsid w:val="00A85D0E"/>
    <w:rPr>
      <w:snapToGrid w:val="0"/>
      <w:sz w:val="24"/>
      <w:lang w:val="en-AU" w:eastAsia="en-US" w:bidi="ar-SA"/>
    </w:rPr>
  </w:style>
  <w:style w:type="paragraph" w:customStyle="1" w:styleId="ACMABulletLevel1">
    <w:name w:val="ACMA Bullet Level 1"/>
    <w:rsid w:val="00496C75"/>
    <w:pPr>
      <w:numPr>
        <w:numId w:val="5"/>
      </w:numPr>
      <w:spacing w:after="120"/>
    </w:pPr>
    <w:rPr>
      <w:sz w:val="24"/>
      <w:lang w:eastAsia="en-US"/>
    </w:rPr>
  </w:style>
  <w:style w:type="paragraph" w:customStyle="1" w:styleId="ACMAHeading1">
    <w:name w:val="ACMA Heading 1"/>
    <w:next w:val="ACMABodyText"/>
    <w:rsid w:val="00496C75"/>
    <w:pPr>
      <w:keepNext/>
      <w:suppressAutoHyphens/>
      <w:spacing w:before="320"/>
      <w:outlineLvl w:val="1"/>
    </w:pPr>
    <w:rPr>
      <w:rFonts w:ascii="Arial" w:hAnsi="Arial"/>
      <w:b/>
      <w:sz w:val="32"/>
      <w:szCs w:val="32"/>
      <w:lang w:val="en-US" w:eastAsia="en-US"/>
    </w:rPr>
  </w:style>
  <w:style w:type="paragraph" w:customStyle="1" w:styleId="Default">
    <w:name w:val="Default"/>
    <w:rsid w:val="00B14D27"/>
    <w:pPr>
      <w:autoSpaceDE w:val="0"/>
      <w:autoSpaceDN w:val="0"/>
      <w:adjustRightInd w:val="0"/>
    </w:pPr>
    <w:rPr>
      <w:color w:val="000000"/>
      <w:sz w:val="24"/>
      <w:szCs w:val="24"/>
    </w:rPr>
  </w:style>
  <w:style w:type="paragraph" w:customStyle="1" w:styleId="ACMAFootnote">
    <w:name w:val="ACMA Footnote"/>
    <w:link w:val="ACMAFootnoteChar"/>
    <w:rsid w:val="002A0643"/>
    <w:pPr>
      <w:numPr>
        <w:numId w:val="7"/>
      </w:numPr>
      <w:tabs>
        <w:tab w:val="clear" w:pos="360"/>
      </w:tabs>
      <w:ind w:left="144" w:hanging="144"/>
    </w:pPr>
    <w:rPr>
      <w:sz w:val="16"/>
      <w:lang w:eastAsia="en-US"/>
    </w:rPr>
  </w:style>
  <w:style w:type="character" w:customStyle="1" w:styleId="ACMAFootnoteChar">
    <w:name w:val="ACMA Footnote Char"/>
    <w:basedOn w:val="DefaultParagraphFont"/>
    <w:link w:val="ACMAFootnote"/>
    <w:rsid w:val="002A0643"/>
    <w:rPr>
      <w:sz w:val="16"/>
      <w:lang w:val="en-AU" w:eastAsia="en-US" w:bidi="ar-SA"/>
    </w:rPr>
  </w:style>
  <w:style w:type="paragraph" w:styleId="BalloonText">
    <w:name w:val="Balloon Text"/>
    <w:basedOn w:val="Normal"/>
    <w:semiHidden/>
    <w:rsid w:val="00D64C67"/>
    <w:rPr>
      <w:rFonts w:ascii="Tahoma" w:hAnsi="Tahoma" w:cs="Tahoma"/>
      <w:sz w:val="16"/>
      <w:szCs w:val="16"/>
    </w:rPr>
  </w:style>
  <w:style w:type="paragraph" w:customStyle="1" w:styleId="Boxheading">
    <w:name w:val="Box heading"/>
    <w:basedOn w:val="Normal"/>
    <w:link w:val="BoxheadingChar"/>
    <w:rsid w:val="006E1F80"/>
    <w:pPr>
      <w:pBdr>
        <w:top w:val="single" w:sz="4" w:space="1" w:color="auto"/>
        <w:left w:val="single" w:sz="4" w:space="4" w:color="auto"/>
        <w:bottom w:val="single" w:sz="4" w:space="1" w:color="auto"/>
        <w:right w:val="single" w:sz="4" w:space="4" w:color="auto"/>
      </w:pBdr>
      <w:shd w:val="clear" w:color="auto" w:fill="E6E6E6"/>
      <w:spacing w:after="240"/>
      <w:jc w:val="center"/>
    </w:pPr>
    <w:rPr>
      <w:b/>
      <w:sz w:val="24"/>
    </w:rPr>
  </w:style>
  <w:style w:type="character" w:customStyle="1" w:styleId="BoxheadingChar">
    <w:name w:val="Box heading Char"/>
    <w:basedOn w:val="DefaultParagraphFont"/>
    <w:link w:val="Boxheading"/>
    <w:rsid w:val="002C4CC8"/>
    <w:rPr>
      <w:rFonts w:ascii="HelveticaNeueLT Std Lt" w:hAnsi="HelveticaNeueLT Std Lt"/>
      <w:b/>
      <w:sz w:val="24"/>
      <w:szCs w:val="24"/>
      <w:lang w:val="en-AU" w:eastAsia="en-AU" w:bidi="ar-SA"/>
    </w:rPr>
  </w:style>
  <w:style w:type="character" w:customStyle="1" w:styleId="msoins0">
    <w:name w:val="msoins"/>
    <w:basedOn w:val="DefaultParagraphFont"/>
    <w:rsid w:val="005F5B2E"/>
  </w:style>
  <w:style w:type="character" w:styleId="CommentReference">
    <w:name w:val="annotation reference"/>
    <w:basedOn w:val="DefaultParagraphFont"/>
    <w:semiHidden/>
    <w:rsid w:val="00FB4D9F"/>
    <w:rPr>
      <w:sz w:val="16"/>
      <w:szCs w:val="16"/>
    </w:rPr>
  </w:style>
  <w:style w:type="paragraph" w:styleId="CommentText">
    <w:name w:val="annotation text"/>
    <w:basedOn w:val="Normal"/>
    <w:semiHidden/>
    <w:rsid w:val="00FB4D9F"/>
    <w:rPr>
      <w:szCs w:val="20"/>
    </w:rPr>
  </w:style>
  <w:style w:type="paragraph" w:styleId="CommentSubject">
    <w:name w:val="annotation subject"/>
    <w:basedOn w:val="CommentText"/>
    <w:next w:val="CommentText"/>
    <w:semiHidden/>
    <w:rsid w:val="00FB4D9F"/>
    <w:rPr>
      <w:b/>
      <w:bCs/>
    </w:rPr>
  </w:style>
  <w:style w:type="character" w:styleId="FollowedHyperlink">
    <w:name w:val="FollowedHyperlink"/>
    <w:basedOn w:val="DefaultParagraphFont"/>
    <w:rsid w:val="00B872FB"/>
    <w:rPr>
      <w:color w:val="800080"/>
      <w:u w:val="single"/>
    </w:rPr>
  </w:style>
  <w:style w:type="paragraph" w:styleId="EndnoteText">
    <w:name w:val="endnote text"/>
    <w:basedOn w:val="Normal"/>
    <w:link w:val="EndnoteTextChar"/>
    <w:rsid w:val="00C536A6"/>
    <w:rPr>
      <w:szCs w:val="20"/>
    </w:rPr>
  </w:style>
  <w:style w:type="character" w:customStyle="1" w:styleId="EndnoteTextChar">
    <w:name w:val="Endnote Text Char"/>
    <w:basedOn w:val="DefaultParagraphFont"/>
    <w:link w:val="EndnoteText"/>
    <w:rsid w:val="00C536A6"/>
    <w:rPr>
      <w:rFonts w:ascii="HelveticaNeueLT Std Lt" w:hAnsi="HelveticaNeueLT Std Lt"/>
    </w:rPr>
  </w:style>
  <w:style w:type="character" w:styleId="EndnoteReference">
    <w:name w:val="endnote reference"/>
    <w:basedOn w:val="DefaultParagraphFont"/>
    <w:rsid w:val="00C536A6"/>
    <w:rPr>
      <w:vertAlign w:val="superscript"/>
    </w:rPr>
  </w:style>
  <w:style w:type="paragraph" w:styleId="ListParagraph">
    <w:name w:val="List Paragraph"/>
    <w:basedOn w:val="Normal"/>
    <w:uiPriority w:val="34"/>
    <w:qFormat/>
    <w:rsid w:val="0004402F"/>
    <w:pPr>
      <w:spacing w:line="240" w:lineRule="auto"/>
      <w:ind w:left="720"/>
      <w:contextualSpacing/>
    </w:pPr>
    <w:rPr>
      <w:rFonts w:ascii="Arial" w:hAnsi="Arial"/>
      <w:szCs w:val="20"/>
      <w:lang w:eastAsia="en-US" w:bidi="he-IL"/>
    </w:rPr>
  </w:style>
  <w:style w:type="paragraph" w:customStyle="1" w:styleId="Rc">
    <w:name w:val="Rc"/>
    <w:aliases w:val="Rn continued"/>
    <w:basedOn w:val="Normal"/>
    <w:next w:val="Normal"/>
    <w:rsid w:val="0004402F"/>
    <w:pPr>
      <w:spacing w:before="60" w:line="260" w:lineRule="exact"/>
      <w:ind w:left="964"/>
      <w:jc w:val="both"/>
    </w:pPr>
    <w:rPr>
      <w:rFonts w:ascii="Times New Roman" w:hAnsi="Times New Roman"/>
      <w:sz w:val="24"/>
    </w:rPr>
  </w:style>
  <w:style w:type="character" w:customStyle="1" w:styleId="FooterChar">
    <w:name w:val="Footer Char"/>
    <w:basedOn w:val="DefaultParagraphFont"/>
    <w:link w:val="Footer"/>
    <w:uiPriority w:val="99"/>
    <w:rsid w:val="003C3399"/>
    <w:rPr>
      <w:rFonts w:ascii="HelveticaNeueLT Std Lt" w:hAnsi="HelveticaNeueLT Std Lt"/>
      <w:sz w:val="16"/>
      <w:szCs w:val="24"/>
    </w:rPr>
  </w:style>
  <w:style w:type="character" w:customStyle="1" w:styleId="Heading2Char">
    <w:name w:val="Heading 2 Char"/>
    <w:basedOn w:val="DefaultParagraphFont"/>
    <w:link w:val="Heading2"/>
    <w:rsid w:val="003C3399"/>
    <w:rPr>
      <w:rFonts w:ascii="HelveticaNeueLT Std" w:hAnsi="HelveticaNeueLT Std" w:cs="Arial"/>
      <w:b/>
      <w:bCs/>
      <w:iCs/>
      <w:sz w:val="28"/>
      <w:szCs w:val="28"/>
    </w:rPr>
  </w:style>
  <w:style w:type="character" w:customStyle="1" w:styleId="HeaderChar">
    <w:name w:val="Header Char"/>
    <w:basedOn w:val="DefaultParagraphFont"/>
    <w:link w:val="Header"/>
    <w:uiPriority w:val="99"/>
    <w:rsid w:val="00552031"/>
    <w:rPr>
      <w:rFonts w:ascii="HelveticaNeueLT Std Lt" w:hAnsi="HelveticaNeueLT Std Lt"/>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6BAC62-1202-46C2-80E8-FDD4DAB4F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2055</Words>
  <Characters>11477</Characters>
  <Application>Microsoft Office Word</Application>
  <DocSecurity>4</DocSecurity>
  <Lines>95</Lines>
  <Paragraphs>27</Paragraphs>
  <ScaleCrop>false</ScaleCrop>
  <HeadingPairs>
    <vt:vector size="2" baseType="variant">
      <vt:variant>
        <vt:lpstr>Title</vt:lpstr>
      </vt:variant>
      <vt:variant>
        <vt:i4>1</vt:i4>
      </vt:variant>
    </vt:vector>
  </HeadingPairs>
  <TitlesOfParts>
    <vt:vector size="1" baseType="lpstr">
      <vt:lpstr>Document</vt:lpstr>
    </vt:vector>
  </TitlesOfParts>
  <LinksUpToDate>false</LinksUpToDate>
  <CharactersWithSpaces>13505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
  <cp:lastModifiedBy/>
  <cp:revision>1</cp:revision>
  <cp:lastPrinted>2010-11-02T22:48:00Z</cp:lastPrinted>
  <dcterms:created xsi:type="dcterms:W3CDTF">2014-09-23T05:46:00Z</dcterms:created>
  <dcterms:modified xsi:type="dcterms:W3CDTF">2014-09-23T05:46:00Z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t:lpwstr>07</vt:lpwstr>
  </property>
  <property fmtid="{D5CDD505-2E9C-101B-9397-08002B2CF9AE}" pid="3" name="Word">
    <vt:lpwstr>2003</vt:lpwstr>
  </property>
</Properties>
</file>