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Performance and Accountability (Section 75 Transfers) Determination</w:t>
      </w:r>
      <w:bookmarkEnd w:id="0"/>
      <w:bookmarkEnd w:id="1"/>
      <w:r w:rsidR="005220DB">
        <w:rPr>
          <w:i/>
          <w:sz w:val="24"/>
        </w:rPr>
        <w:t xml:space="preserve"> 2012-2013</w:t>
      </w:r>
      <w:r w:rsidR="00146C4C" w:rsidRPr="008A3ACE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146C4C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337B85">
        <w:rPr>
          <w:b w:val="0"/>
          <w:bCs w:val="0"/>
          <w:sz w:val="22"/>
          <w:szCs w:val="22"/>
        </w:rPr>
        <w:t xml:space="preserve">The </w:t>
      </w:r>
      <w:r w:rsidR="00B57E08" w:rsidRPr="00337B85">
        <w:rPr>
          <w:b w:val="0"/>
          <w:bCs w:val="0"/>
          <w:sz w:val="22"/>
          <w:szCs w:val="22"/>
        </w:rPr>
        <w:t>d</w:t>
      </w:r>
      <w:r w:rsidRPr="00337B85">
        <w:rPr>
          <w:b w:val="0"/>
          <w:bCs w:val="0"/>
          <w:sz w:val="22"/>
          <w:szCs w:val="22"/>
        </w:rPr>
        <w:t xml:space="preserve">etermination is made under section </w:t>
      </w:r>
      <w:r w:rsidR="00B57E08" w:rsidRPr="00337B85">
        <w:rPr>
          <w:b w:val="0"/>
          <w:bCs w:val="0"/>
          <w:sz w:val="22"/>
          <w:szCs w:val="22"/>
        </w:rPr>
        <w:t>75</w:t>
      </w:r>
      <w:r w:rsidRPr="00337B85">
        <w:rPr>
          <w:b w:val="0"/>
          <w:bCs w:val="0"/>
          <w:sz w:val="22"/>
          <w:szCs w:val="22"/>
        </w:rPr>
        <w:t xml:space="preserve"> of the </w:t>
      </w:r>
      <w:r w:rsidR="00B57E08" w:rsidRPr="00337B85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337B85">
        <w:rPr>
          <w:b w:val="0"/>
          <w:sz w:val="22"/>
          <w:szCs w:val="22"/>
        </w:rPr>
        <w:t>(PGPA Act)</w:t>
      </w:r>
      <w:r w:rsidRPr="00337B85">
        <w:rPr>
          <w:b w:val="0"/>
          <w:bCs w:val="0"/>
          <w:sz w:val="22"/>
          <w:szCs w:val="22"/>
        </w:rPr>
        <w:t xml:space="preserve">, to adjust amounts appropriated to </w:t>
      </w:r>
      <w:r w:rsidR="00542A41" w:rsidRPr="00337B85">
        <w:rPr>
          <w:b w:val="0"/>
          <w:bCs w:val="0"/>
          <w:sz w:val="22"/>
          <w:szCs w:val="22"/>
        </w:rPr>
        <w:t>non-corporate Commonwealth</w:t>
      </w:r>
      <w:r w:rsidRPr="00337B85">
        <w:rPr>
          <w:b w:val="0"/>
          <w:bCs w:val="0"/>
          <w:sz w:val="22"/>
          <w:szCs w:val="22"/>
        </w:rPr>
        <w:t xml:space="preserve"> </w:t>
      </w:r>
      <w:r w:rsidR="00D80EE8" w:rsidRPr="00337B85">
        <w:rPr>
          <w:b w:val="0"/>
          <w:bCs w:val="0"/>
          <w:sz w:val="22"/>
          <w:szCs w:val="22"/>
        </w:rPr>
        <w:t>entit</w:t>
      </w:r>
      <w:r w:rsidR="0037012D" w:rsidRPr="00337B85">
        <w:rPr>
          <w:b w:val="0"/>
          <w:bCs w:val="0"/>
          <w:sz w:val="22"/>
          <w:szCs w:val="22"/>
        </w:rPr>
        <w:t>ies</w:t>
      </w:r>
      <w:r w:rsidR="00834056">
        <w:rPr>
          <w:b w:val="0"/>
          <w:bCs w:val="0"/>
          <w:sz w:val="22"/>
          <w:szCs w:val="22"/>
        </w:rPr>
        <w:t>,</w:t>
      </w:r>
      <w:r w:rsidR="00834056" w:rsidRPr="00834056">
        <w:rPr>
          <w:b w:val="0"/>
          <w:bCs w:val="0"/>
          <w:sz w:val="22"/>
          <w:szCs w:val="22"/>
        </w:rPr>
        <w:t xml:space="preserve"> </w:t>
      </w:r>
      <w:r w:rsidR="00834056">
        <w:rPr>
          <w:b w:val="0"/>
          <w:bCs w:val="0"/>
          <w:sz w:val="22"/>
          <w:szCs w:val="22"/>
        </w:rPr>
        <w:t>in response</w:t>
      </w:r>
      <w:r w:rsidR="00834056" w:rsidRPr="00BA3C00">
        <w:rPr>
          <w:b w:val="0"/>
          <w:bCs w:val="0"/>
          <w:sz w:val="22"/>
          <w:szCs w:val="22"/>
        </w:rPr>
        <w:t xml:space="preserve"> to the </w:t>
      </w:r>
      <w:r w:rsidR="00834056" w:rsidRPr="00DB4CAC">
        <w:rPr>
          <w:b w:val="0"/>
          <w:bCs w:val="0"/>
          <w:sz w:val="22"/>
          <w:szCs w:val="22"/>
        </w:rPr>
        <w:t>Administrative Arrangements Order</w:t>
      </w:r>
      <w:r w:rsidR="001C6A90">
        <w:rPr>
          <w:b w:val="0"/>
          <w:bCs w:val="0"/>
          <w:sz w:val="22"/>
          <w:szCs w:val="22"/>
        </w:rPr>
        <w:t xml:space="preserve"> made on 18 September </w:t>
      </w:r>
      <w:r w:rsidR="00834056" w:rsidRPr="00BA3C00">
        <w:rPr>
          <w:b w:val="0"/>
          <w:bCs w:val="0"/>
          <w:sz w:val="22"/>
          <w:szCs w:val="22"/>
        </w:rPr>
        <w:t>2013</w:t>
      </w:r>
      <w:r w:rsidRPr="00337B85">
        <w:rPr>
          <w:b w:val="0"/>
          <w:bCs w:val="0"/>
          <w:sz w:val="22"/>
          <w:szCs w:val="22"/>
        </w:rPr>
        <w:t>.</w:t>
      </w:r>
    </w:p>
    <w:p w:rsidR="001C6A90" w:rsidRDefault="001C6A90" w:rsidP="001C6A90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</w:t>
      </w:r>
      <w:r>
        <w:rPr>
          <w:b w:val="0"/>
          <w:bCs w:val="0"/>
          <w:sz w:val="22"/>
          <w:szCs w:val="22"/>
        </w:rPr>
        <w:t>determination</w:t>
      </w:r>
      <w:r w:rsidRPr="00BA3C00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further </w:t>
      </w:r>
      <w:r w:rsidRPr="00BA3C00">
        <w:rPr>
          <w:b w:val="0"/>
          <w:bCs w:val="0"/>
          <w:sz w:val="22"/>
          <w:szCs w:val="22"/>
        </w:rPr>
        <w:t>adjusts appropriations to</w:t>
      </w:r>
      <w:r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 xml:space="preserve">support </w:t>
      </w:r>
      <w:r>
        <w:rPr>
          <w:b w:val="0"/>
          <w:bCs w:val="0"/>
          <w:sz w:val="22"/>
          <w:szCs w:val="22"/>
        </w:rPr>
        <w:t xml:space="preserve">functions transferring </w:t>
      </w:r>
      <w:r w:rsidRPr="00BA3C00">
        <w:rPr>
          <w:b w:val="0"/>
          <w:bCs w:val="0"/>
          <w:sz w:val="22"/>
          <w:szCs w:val="22"/>
        </w:rPr>
        <w:t xml:space="preserve">from </w:t>
      </w:r>
      <w:r>
        <w:rPr>
          <w:b w:val="0"/>
          <w:bCs w:val="0"/>
          <w:sz w:val="22"/>
          <w:szCs w:val="22"/>
        </w:rPr>
        <w:t xml:space="preserve">various entities to the Department of the Prime Minister and Cabinet: the Attorney-General’s Department, the Department of Communications, the Department of Social Services and the Department of the Environment in relation to indigenous programmes and functions; and the Department of Social Services in relation to the Office of Women. </w:t>
      </w:r>
    </w:p>
    <w:p w:rsidR="00000000" w:rsidRDefault="00902D16">
      <w:pPr>
        <w:rPr>
          <w:b/>
          <w:bCs/>
        </w:rPr>
      </w:pP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Default="00146C4C" w:rsidP="00146C4C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</w:t>
      </w:r>
      <w:r w:rsidR="00B57E08">
        <w:rPr>
          <w:b w:val="0"/>
          <w:sz w:val="22"/>
          <w:szCs w:val="22"/>
        </w:rPr>
        <w:t>75</w:t>
      </w:r>
      <w:r>
        <w:rPr>
          <w:b w:val="0"/>
          <w:sz w:val="22"/>
          <w:szCs w:val="22"/>
        </w:rPr>
        <w:t xml:space="preserve"> </w:t>
      </w:r>
      <w:r w:rsidRPr="00D33E29">
        <w:rPr>
          <w:b w:val="0"/>
          <w:sz w:val="22"/>
          <w:szCs w:val="22"/>
        </w:rPr>
        <w:t xml:space="preserve">of the </w:t>
      </w:r>
      <w:r w:rsidR="00B57E08">
        <w:rPr>
          <w:b w:val="0"/>
          <w:sz w:val="22"/>
          <w:szCs w:val="22"/>
        </w:rPr>
        <w:t>PGPA</w:t>
      </w:r>
      <w:r w:rsidRPr="00D33E29">
        <w:rPr>
          <w:b w:val="0"/>
          <w:sz w:val="22"/>
          <w:szCs w:val="22"/>
        </w:rPr>
        <w:t xml:space="preserve">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 xml:space="preserve">in relation to the transfer of a function from one </w:t>
      </w:r>
      <w:r w:rsidR="00F56028">
        <w:rPr>
          <w:b w:val="0"/>
          <w:sz w:val="22"/>
          <w:szCs w:val="22"/>
        </w:rPr>
        <w:t xml:space="preserve">non-corporate Commonwealth </w:t>
      </w:r>
      <w:r w:rsidR="009437A7">
        <w:rPr>
          <w:b w:val="0"/>
          <w:sz w:val="22"/>
          <w:szCs w:val="22"/>
        </w:rPr>
        <w:t>entity</w:t>
      </w:r>
      <w:r w:rsidRPr="00D33E29">
        <w:rPr>
          <w:b w:val="0"/>
          <w:sz w:val="22"/>
          <w:szCs w:val="22"/>
        </w:rPr>
        <w:t xml:space="preserve"> to another.</w:t>
      </w:r>
    </w:p>
    <w:p w:rsidR="00146C4C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</w:t>
      </w:r>
      <w:r w:rsidR="00B57E08">
        <w:rPr>
          <w:b w:val="0"/>
          <w:sz w:val="22"/>
          <w:szCs w:val="22"/>
        </w:rPr>
        <w:t>107</w:t>
      </w:r>
      <w:r w:rsidRPr="00CB13FF"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 w:rsidRPr="00CB13FF">
        <w:rPr>
          <w:b w:val="0"/>
          <w:sz w:val="22"/>
          <w:szCs w:val="22"/>
        </w:rPr>
        <w:t xml:space="preserve"> Act, the Finance Minister has delegated the power to mak</w:t>
      </w:r>
      <w:r w:rsidR="00B57E08">
        <w:rPr>
          <w:b w:val="0"/>
          <w:sz w:val="22"/>
          <w:szCs w:val="22"/>
        </w:rPr>
        <w:t>e determinations under section 75</w:t>
      </w:r>
      <w:r w:rsidRPr="00CB13FF">
        <w:rPr>
          <w:b w:val="0"/>
          <w:sz w:val="22"/>
          <w:szCs w:val="22"/>
        </w:rPr>
        <w:t xml:space="preserve"> to </w:t>
      </w:r>
      <w:r>
        <w:rPr>
          <w:b w:val="0"/>
          <w:sz w:val="22"/>
          <w:szCs w:val="22"/>
        </w:rPr>
        <w:t xml:space="preserve">the Secretary of the Department of Finance. Under section </w:t>
      </w:r>
      <w:r w:rsidR="00B57E08">
        <w:rPr>
          <w:b w:val="0"/>
          <w:sz w:val="22"/>
          <w:szCs w:val="22"/>
        </w:rPr>
        <w:t>109</w:t>
      </w:r>
      <w:r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>
        <w:rPr>
          <w:b w:val="0"/>
          <w:sz w:val="22"/>
          <w:szCs w:val="22"/>
        </w:rPr>
        <w:t xml:space="preserve">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Senior Executive Service officials within the Department of Finance, including the official who made the </w:t>
      </w:r>
      <w:r w:rsidR="00B57E08">
        <w:rPr>
          <w:b w:val="0"/>
          <w:sz w:val="22"/>
          <w:szCs w:val="22"/>
        </w:rPr>
        <w:t>determination</w:t>
      </w:r>
      <w:r>
        <w:rPr>
          <w:b w:val="0"/>
          <w:sz w:val="22"/>
          <w:szCs w:val="22"/>
        </w:rPr>
        <w:t>.</w:t>
      </w:r>
    </w:p>
    <w:p w:rsidR="00146C4C" w:rsidRPr="00D33E29" w:rsidRDefault="00146C4C" w:rsidP="00146C4C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determination</w:t>
      </w:r>
      <w:r w:rsidRPr="00D33E29">
        <w:rPr>
          <w:sz w:val="22"/>
          <w:szCs w:val="22"/>
        </w:rPr>
        <w:t xml:space="preserve"> is a legislative instrument for the purposes of section 5 of the </w:t>
      </w:r>
      <w:r w:rsidRPr="00D33E29">
        <w:rPr>
          <w:i/>
          <w:sz w:val="22"/>
          <w:szCs w:val="22"/>
        </w:rPr>
        <w:t>Legislative Instruments Act 2003</w:t>
      </w:r>
      <w:r w:rsidRPr="00D33E29">
        <w:rPr>
          <w:sz w:val="22"/>
          <w:szCs w:val="22"/>
        </w:rPr>
        <w:t>.</w:t>
      </w:r>
    </w:p>
    <w:p w:rsidR="00146C4C" w:rsidRDefault="00146C4C" w:rsidP="00146C4C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146C4C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B57E08">
        <w:rPr>
          <w:sz w:val="22"/>
          <w:szCs w:val="22"/>
        </w:rPr>
        <w:t>determination</w:t>
      </w:r>
      <w:r>
        <w:rPr>
          <w:sz w:val="22"/>
          <w:szCs w:val="22"/>
        </w:rPr>
        <w:t>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</w:t>
      </w:r>
      <w:r w:rsidR="00B57E08">
        <w:rPr>
          <w:sz w:val="22"/>
          <w:szCs w:val="22"/>
        </w:rPr>
        <w:t>on 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from disallowance under subsection 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Pr="00D33E29">
        <w:rPr>
          <w:iCs/>
          <w:sz w:val="22"/>
          <w:szCs w:val="22"/>
        </w:rPr>
        <w:t>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46C4C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3221B5">
        <w:rPr>
          <w:sz w:val="22"/>
          <w:szCs w:val="22"/>
        </w:rPr>
        <w:t>the affected entities</w:t>
      </w:r>
      <w:r w:rsidR="005220DB">
        <w:rPr>
          <w:sz w:val="22"/>
          <w:szCs w:val="22"/>
        </w:rPr>
        <w:t xml:space="preserve"> </w:t>
      </w:r>
      <w:r w:rsidRPr="008C6DCC">
        <w:rPr>
          <w:sz w:val="22"/>
          <w:szCs w:val="22"/>
        </w:rPr>
        <w:t xml:space="preserve">were consulted in the preparation of the </w:t>
      </w:r>
      <w:r w:rsidR="00B57E08">
        <w:rPr>
          <w:sz w:val="22"/>
          <w:szCs w:val="22"/>
        </w:rPr>
        <w:t>determination</w:t>
      </w:r>
      <w:r w:rsidRPr="008C6DCC">
        <w:rPr>
          <w:sz w:val="22"/>
          <w:szCs w:val="22"/>
        </w:rPr>
        <w:t xml:space="preserve">. </w:t>
      </w:r>
    </w:p>
    <w:p w:rsidR="00146C4C" w:rsidRDefault="00146C4C" w:rsidP="00146C4C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5E496F">
        <w:rPr>
          <w:sz w:val="22"/>
          <w:szCs w:val="22"/>
        </w:rPr>
        <w:t>Transfer</w:t>
      </w:r>
      <w:r w:rsidR="001A5CC3">
        <w:rPr>
          <w:sz w:val="22"/>
          <w:szCs w:val="22"/>
        </w:rPr>
        <w:t>s</w:t>
      </w:r>
    </w:p>
    <w:p w:rsidR="00FE3AB5" w:rsidRDefault="00FE3AB5" w:rsidP="00FE3AB5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</w:t>
      </w:r>
      <w:r w:rsidRPr="009C4AD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affects </w:t>
      </w:r>
      <w:r w:rsidR="00F56028">
        <w:rPr>
          <w:sz w:val="22"/>
          <w:szCs w:val="22"/>
        </w:rPr>
        <w:t xml:space="preserve">relevant appropriation items in </w:t>
      </w:r>
      <w:r>
        <w:rPr>
          <w:sz w:val="22"/>
          <w:szCs w:val="22"/>
        </w:rPr>
        <w:t xml:space="preserve">Schedule 1 to the </w:t>
      </w:r>
      <w:r>
        <w:rPr>
          <w:i/>
          <w:sz w:val="22"/>
          <w:szCs w:val="22"/>
        </w:rPr>
        <w:t>Appropriation Act (No. 1) 2012-2013</w:t>
      </w:r>
      <w:r>
        <w:rPr>
          <w:sz w:val="22"/>
          <w:szCs w:val="22"/>
        </w:rPr>
        <w:t xml:space="preserve"> </w:t>
      </w:r>
      <w:r w:rsidRPr="009C4AD3">
        <w:rPr>
          <w:sz w:val="22"/>
          <w:szCs w:val="22"/>
        </w:rPr>
        <w:t xml:space="preserve">in the following way, which </w:t>
      </w:r>
      <w:r w:rsidRPr="009C4AD3">
        <w:rPr>
          <w:iCs/>
          <w:sz w:val="22"/>
          <w:szCs w:val="22"/>
        </w:rPr>
        <w:t>results in no change to the total amount appropriated</w:t>
      </w:r>
      <w:r>
        <w:rPr>
          <w:iCs/>
          <w:sz w:val="22"/>
          <w:szCs w:val="22"/>
        </w:rPr>
        <w:t xml:space="preserve"> by Parliament</w:t>
      </w:r>
      <w:r w:rsidRPr="009C4AD3">
        <w:rPr>
          <w:iCs/>
          <w:sz w:val="22"/>
          <w:szCs w:val="22"/>
        </w:rPr>
        <w:t>:</w:t>
      </w:r>
    </w:p>
    <w:tbl>
      <w:tblPr>
        <w:tblW w:w="9134" w:type="dxa"/>
        <w:tblInd w:w="108" w:type="dxa"/>
        <w:tblLook w:val="04A0"/>
      </w:tblPr>
      <w:tblGrid>
        <w:gridCol w:w="3999"/>
        <w:gridCol w:w="1970"/>
        <w:gridCol w:w="1527"/>
        <w:gridCol w:w="1638"/>
      </w:tblGrid>
      <w:tr w:rsidR="00850A99" w:rsidRPr="000A3388" w:rsidTr="00C82138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99" w:rsidRPr="000A3388" w:rsidRDefault="00850A99" w:rsidP="00F56028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</w:t>
            </w: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y affected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A99" w:rsidRPr="000A3388" w:rsidRDefault="00850A99" w:rsidP="00F56028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($ ’000)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850A99" w:rsidRPr="000A3388" w:rsidRDefault="00850A99" w:rsidP="00F5602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850A99" w:rsidRPr="000A3388" w:rsidTr="00C82138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the Prime Minister </w:t>
            </w:r>
            <w:r>
              <w:rPr>
                <w:sz w:val="22"/>
                <w:szCs w:val="22"/>
              </w:rPr>
              <w:t>and</w:t>
            </w:r>
            <w:r w:rsidRPr="000A3388">
              <w:rPr>
                <w:sz w:val="22"/>
                <w:szCs w:val="22"/>
              </w:rPr>
              <w:t xml:space="preserve"> Cabinet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+825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850A99" w:rsidRPr="000A3388" w:rsidTr="003221B5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Attorney-General’s Department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-</w:t>
            </w:r>
            <w:r w:rsidRPr="000A3388">
              <w:rPr>
                <w:sz w:val="22"/>
                <w:szCs w:val="22"/>
              </w:rPr>
              <w:t>825</w:t>
            </w:r>
          </w:p>
        </w:tc>
      </w:tr>
      <w:tr w:rsidR="00850A99" w:rsidRPr="000A3388" w:rsidTr="003221B5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the Prime Minister </w:t>
            </w:r>
            <w:r>
              <w:rPr>
                <w:sz w:val="22"/>
                <w:szCs w:val="22"/>
              </w:rPr>
              <w:t>and</w:t>
            </w:r>
            <w:r w:rsidRPr="000A3388">
              <w:rPr>
                <w:sz w:val="22"/>
                <w:szCs w:val="22"/>
              </w:rPr>
              <w:t xml:space="preserve"> Cabinet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+</w:t>
            </w:r>
            <w:r w:rsidRPr="000A3388">
              <w:rPr>
                <w:sz w:val="22"/>
                <w:szCs w:val="22"/>
              </w:rPr>
              <w:t>456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850A99" w:rsidRPr="000A3388" w:rsidTr="003221B5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 of Communications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-</w:t>
            </w:r>
            <w:r w:rsidRPr="000A3388">
              <w:rPr>
                <w:sz w:val="22"/>
                <w:szCs w:val="22"/>
              </w:rPr>
              <w:t>456</w:t>
            </w:r>
          </w:p>
        </w:tc>
      </w:tr>
      <w:tr w:rsidR="00850A99" w:rsidRPr="000A3388" w:rsidTr="003221B5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the Prime Minister </w:t>
            </w:r>
            <w:r>
              <w:rPr>
                <w:sz w:val="22"/>
                <w:szCs w:val="22"/>
              </w:rPr>
              <w:t>and</w:t>
            </w:r>
            <w:r w:rsidRPr="000A3388">
              <w:rPr>
                <w:sz w:val="22"/>
                <w:szCs w:val="22"/>
              </w:rPr>
              <w:t xml:space="preserve"> Cabinet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+</w:t>
            </w:r>
            <w:r w:rsidRPr="000A3388">
              <w:rPr>
                <w:sz w:val="22"/>
                <w:szCs w:val="22"/>
              </w:rPr>
              <w:t>28,553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850A99" w:rsidRPr="000A3388" w:rsidTr="003221B5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-</w:t>
            </w:r>
            <w:r w:rsidRPr="000A3388">
              <w:rPr>
                <w:sz w:val="22"/>
                <w:szCs w:val="22"/>
              </w:rPr>
              <w:t>28,553</w:t>
            </w:r>
          </w:p>
        </w:tc>
      </w:tr>
      <w:tr w:rsidR="00850A99" w:rsidRPr="000A3388" w:rsidTr="003221B5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the Prime Minister </w:t>
            </w:r>
            <w:r>
              <w:rPr>
                <w:sz w:val="22"/>
                <w:szCs w:val="22"/>
              </w:rPr>
              <w:t>and</w:t>
            </w:r>
            <w:r w:rsidRPr="000A3388">
              <w:rPr>
                <w:sz w:val="22"/>
                <w:szCs w:val="22"/>
              </w:rPr>
              <w:t xml:space="preserve"> Cabinet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+</w:t>
            </w:r>
            <w:r w:rsidRPr="000A3388">
              <w:rPr>
                <w:sz w:val="22"/>
                <w:szCs w:val="22"/>
              </w:rPr>
              <w:t>1,265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850A99" w:rsidRPr="000A3388" w:rsidTr="00C82138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 of the Environment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-</w:t>
            </w:r>
            <w:r w:rsidRPr="000A3388">
              <w:rPr>
                <w:sz w:val="22"/>
                <w:szCs w:val="22"/>
              </w:rPr>
              <w:t>1,265</w:t>
            </w:r>
          </w:p>
        </w:tc>
      </w:tr>
      <w:tr w:rsidR="00850A99" w:rsidRPr="000A3388" w:rsidTr="00C82138">
        <w:trPr>
          <w:trHeight w:val="218"/>
        </w:trPr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99" w:rsidRPr="000A3388" w:rsidRDefault="00850A99" w:rsidP="00F56028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99" w:rsidRPr="000A3388" w:rsidRDefault="00850A99" w:rsidP="00F56028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31,099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99" w:rsidRPr="000A3388" w:rsidRDefault="00850A99" w:rsidP="00F5602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31,099</w:t>
            </w:r>
          </w:p>
        </w:tc>
      </w:tr>
    </w:tbl>
    <w:p w:rsidR="001A5CC3" w:rsidRDefault="001A5CC3" w:rsidP="001A5CC3">
      <w:pPr>
        <w:keepNext/>
        <w:keepLines/>
        <w:spacing w:after="120"/>
        <w:rPr>
          <w:sz w:val="22"/>
          <w:szCs w:val="22"/>
        </w:rPr>
      </w:pPr>
    </w:p>
    <w:p w:rsidR="001A5CC3" w:rsidRDefault="001A5CC3" w:rsidP="001A5CC3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</w:t>
      </w:r>
      <w:r w:rsidRPr="009C4AD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also affects relevant appropriation items in Schedule 2 to the </w:t>
      </w:r>
      <w:r>
        <w:rPr>
          <w:i/>
          <w:sz w:val="22"/>
          <w:szCs w:val="22"/>
        </w:rPr>
        <w:t>Appropriation Act (No. 2) 2012-2013</w:t>
      </w:r>
      <w:r>
        <w:rPr>
          <w:sz w:val="22"/>
          <w:szCs w:val="22"/>
        </w:rPr>
        <w:t xml:space="preserve"> </w:t>
      </w:r>
      <w:r w:rsidRPr="009C4AD3">
        <w:rPr>
          <w:sz w:val="22"/>
          <w:szCs w:val="22"/>
        </w:rPr>
        <w:t xml:space="preserve">in the following way, which </w:t>
      </w:r>
      <w:r w:rsidRPr="009C4AD3">
        <w:rPr>
          <w:iCs/>
          <w:sz w:val="22"/>
          <w:szCs w:val="22"/>
        </w:rPr>
        <w:t>results in no change to the total amount appropriated</w:t>
      </w:r>
      <w:r>
        <w:rPr>
          <w:iCs/>
          <w:sz w:val="22"/>
          <w:szCs w:val="22"/>
        </w:rPr>
        <w:t xml:space="preserve"> by Parliament</w:t>
      </w:r>
      <w:r w:rsidRPr="009C4AD3">
        <w:rPr>
          <w:iCs/>
          <w:sz w:val="22"/>
          <w:szCs w:val="22"/>
        </w:rPr>
        <w:t>:</w:t>
      </w:r>
    </w:p>
    <w:tbl>
      <w:tblPr>
        <w:tblW w:w="9134" w:type="dxa"/>
        <w:tblInd w:w="108" w:type="dxa"/>
        <w:tblLook w:val="04A0"/>
      </w:tblPr>
      <w:tblGrid>
        <w:gridCol w:w="3999"/>
        <w:gridCol w:w="1970"/>
        <w:gridCol w:w="1527"/>
        <w:gridCol w:w="1638"/>
      </w:tblGrid>
      <w:tr w:rsidR="001A5CC3" w:rsidRPr="000A3388" w:rsidTr="00C82138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CC3" w:rsidRPr="000A3388" w:rsidRDefault="001A5CC3" w:rsidP="003D0EE5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</w:t>
            </w: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y affected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CC3" w:rsidRPr="000A3388" w:rsidRDefault="001A5CC3" w:rsidP="003D0EE5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0A3388" w:rsidRDefault="001A5CC3" w:rsidP="003D0EE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($ ’000)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0A3388" w:rsidRDefault="001A5CC3" w:rsidP="003D0EE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1A5CC3" w:rsidRPr="000A3388" w:rsidRDefault="001A5CC3" w:rsidP="003D0EE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1A5CC3" w:rsidRPr="000A3388" w:rsidTr="00C82138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3D0EE5">
            <w:pPr>
              <w:pStyle w:val="Tabletext"/>
              <w:rPr>
                <w:sz w:val="22"/>
                <w:szCs w:val="22"/>
              </w:rPr>
            </w:pPr>
            <w:r w:rsidRPr="001A5CC3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3D0EE5">
            <w:pPr>
              <w:pStyle w:val="Tabletext"/>
              <w:rPr>
                <w:sz w:val="22"/>
                <w:szCs w:val="22"/>
              </w:rPr>
            </w:pPr>
            <w:r w:rsidRPr="001A5CC3">
              <w:rPr>
                <w:sz w:val="22"/>
                <w:szCs w:val="22"/>
              </w:rPr>
              <w:t>Other departmental item (Equity Injection)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3D0EE5">
            <w:pPr>
              <w:pStyle w:val="Tabletext"/>
              <w:jc w:val="right"/>
              <w:rPr>
                <w:sz w:val="22"/>
                <w:szCs w:val="22"/>
              </w:rPr>
            </w:pPr>
            <w:r w:rsidRPr="001A5CC3">
              <w:rPr>
                <w:sz w:val="22"/>
                <w:szCs w:val="22"/>
              </w:rPr>
              <w:t>+15,743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3D0EE5">
            <w:pPr>
              <w:jc w:val="right"/>
              <w:rPr>
                <w:sz w:val="22"/>
                <w:szCs w:val="22"/>
                <w:lang w:eastAsia="en-AU"/>
              </w:rPr>
            </w:pPr>
          </w:p>
        </w:tc>
      </w:tr>
      <w:tr w:rsidR="001A5CC3" w:rsidRPr="000A3388" w:rsidTr="001A5CC3">
        <w:trPr>
          <w:trHeight w:val="57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3D0EE5">
            <w:pPr>
              <w:pStyle w:val="Tabletext"/>
              <w:rPr>
                <w:sz w:val="22"/>
                <w:szCs w:val="22"/>
              </w:rPr>
            </w:pPr>
            <w:r w:rsidRPr="001A5CC3">
              <w:rPr>
                <w:sz w:val="22"/>
                <w:szCs w:val="22"/>
              </w:rPr>
              <w:t>Department of Health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3D0EE5">
            <w:pPr>
              <w:pStyle w:val="Tabletext"/>
              <w:rPr>
                <w:sz w:val="22"/>
                <w:szCs w:val="22"/>
              </w:rPr>
            </w:pPr>
            <w:r w:rsidRPr="001A5CC3">
              <w:rPr>
                <w:sz w:val="22"/>
                <w:szCs w:val="22"/>
              </w:rPr>
              <w:t>Other departmental item (Equity Injection)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3D0EE5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3D0EE5">
            <w:pPr>
              <w:jc w:val="right"/>
              <w:rPr>
                <w:sz w:val="22"/>
                <w:szCs w:val="22"/>
                <w:lang w:eastAsia="en-AU"/>
              </w:rPr>
            </w:pPr>
            <w:r w:rsidRPr="001A5CC3">
              <w:rPr>
                <w:sz w:val="22"/>
                <w:szCs w:val="22"/>
                <w:lang w:eastAsia="en-AU"/>
              </w:rPr>
              <w:t>-15,743</w:t>
            </w:r>
          </w:p>
        </w:tc>
      </w:tr>
      <w:tr w:rsidR="001A5CC3" w:rsidRPr="000A3388" w:rsidTr="00C82138">
        <w:trPr>
          <w:trHeight w:val="303"/>
        </w:trPr>
        <w:tc>
          <w:tcPr>
            <w:tcW w:w="3999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1A5CC3">
            <w:pPr>
              <w:pStyle w:val="Tabletext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1A5CC3">
            <w:pPr>
              <w:pStyle w:val="Tabletext"/>
              <w:keepNext/>
              <w:keepLines/>
              <w:rPr>
                <w:b/>
                <w:sz w:val="22"/>
                <w:szCs w:val="22"/>
              </w:rPr>
            </w:pPr>
            <w:r w:rsidRPr="001A5CC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1A5CC3">
            <w:pPr>
              <w:jc w:val="right"/>
              <w:rPr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 w:rsidRPr="001A5CC3">
              <w:rPr>
                <w:b/>
                <w:color w:val="000000"/>
                <w:sz w:val="22"/>
                <w:szCs w:val="22"/>
                <w:lang w:eastAsia="en-AU"/>
              </w:rPr>
              <w:t>+15,743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CC3" w:rsidRPr="001A5CC3" w:rsidRDefault="001A5CC3" w:rsidP="001A5CC3">
            <w:pPr>
              <w:jc w:val="right"/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1A5CC3">
              <w:rPr>
                <w:b/>
                <w:color w:val="000000"/>
                <w:sz w:val="22"/>
                <w:szCs w:val="22"/>
                <w:lang w:eastAsia="en-AU"/>
              </w:rPr>
              <w:t>-</w:t>
            </w:r>
            <w:r>
              <w:rPr>
                <w:b/>
                <w:color w:val="000000"/>
                <w:sz w:val="22"/>
                <w:szCs w:val="22"/>
                <w:lang w:eastAsia="en-AU"/>
              </w:rPr>
              <w:t>15,743</w:t>
            </w:r>
          </w:p>
        </w:tc>
      </w:tr>
    </w:tbl>
    <w:p w:rsidR="001A5CC3" w:rsidRDefault="001A5CC3" w:rsidP="001A5CC3">
      <w:pPr>
        <w:keepNext/>
        <w:keepLines/>
        <w:spacing w:after="120"/>
        <w:rPr>
          <w:iCs/>
          <w:sz w:val="22"/>
          <w:szCs w:val="22"/>
        </w:rPr>
      </w:pPr>
    </w:p>
    <w:p w:rsidR="005E496F" w:rsidRDefault="005E496F" w:rsidP="00146C4C">
      <w:pPr>
        <w:keepNext/>
        <w:keepLines/>
        <w:spacing w:after="120"/>
        <w:rPr>
          <w:sz w:val="22"/>
          <w:szCs w:val="22"/>
        </w:rPr>
      </w:pPr>
    </w:p>
    <w:sectPr w:rsidR="005E496F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trackRevisions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BA8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19C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0DE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CC3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39A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A90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47938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1B5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37B8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E29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5A8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0DB"/>
    <w:rsid w:val="005221E0"/>
    <w:rsid w:val="00522369"/>
    <w:rsid w:val="00522DA0"/>
    <w:rsid w:val="0052345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A3F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439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3F22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B39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056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A99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62D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2D1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6C9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514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138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30D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6FD2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23B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02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AB5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C1E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95CB8-19B8-46FE-903F-9A836259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Elyse Shelley </cp:lastModifiedBy>
  <cp:revision>16</cp:revision>
  <cp:lastPrinted>2014-09-16T01:55:00Z</cp:lastPrinted>
  <dcterms:created xsi:type="dcterms:W3CDTF">2014-09-10T05:14:00Z</dcterms:created>
  <dcterms:modified xsi:type="dcterms:W3CDTF">2014-09-18T23:41:00Z</dcterms:modified>
</cp:coreProperties>
</file>