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14EE" w14:textId="77777777" w:rsidR="00035D56" w:rsidRPr="00DE3EDA" w:rsidRDefault="00035D56" w:rsidP="00035D56">
      <w:pPr>
        <w:pStyle w:val="ACMABodyText"/>
        <w:jc w:val="center"/>
        <w:rPr>
          <w:rFonts w:ascii="Arial" w:hAnsi="Arial" w:cs="Arial"/>
          <w:b/>
        </w:rPr>
      </w:pPr>
      <w:r w:rsidRPr="00DE3EDA">
        <w:rPr>
          <w:rFonts w:ascii="Arial" w:hAnsi="Arial" w:cs="Arial"/>
          <w:b/>
        </w:rPr>
        <w:t>EXPLANATORY STATEMENT</w:t>
      </w:r>
    </w:p>
    <w:p w14:paraId="473BA695" w14:textId="77777777" w:rsidR="00035D56" w:rsidRPr="00DE3EDA" w:rsidRDefault="00035D56" w:rsidP="00035D56">
      <w:pPr>
        <w:pStyle w:val="ACMABodyText"/>
        <w:jc w:val="center"/>
        <w:rPr>
          <w:rFonts w:ascii="Arial" w:hAnsi="Arial" w:cs="Arial"/>
          <w:b/>
        </w:rPr>
      </w:pPr>
      <w:r w:rsidRPr="00DE3EDA">
        <w:rPr>
          <w:rFonts w:ascii="Arial" w:hAnsi="Arial" w:cs="Arial"/>
          <w:b/>
        </w:rPr>
        <w:t>Issued by the Australian Communications and Media Authority</w:t>
      </w:r>
    </w:p>
    <w:p w14:paraId="2574C8BD" w14:textId="0C45CCDC" w:rsidR="000F3337" w:rsidRDefault="000F3337" w:rsidP="00035D56">
      <w:pPr>
        <w:pStyle w:val="ACMABodyText"/>
        <w:jc w:val="center"/>
        <w:rPr>
          <w:rFonts w:ascii="Arial" w:hAnsi="Arial" w:cs="Arial"/>
          <w:i/>
        </w:rPr>
      </w:pPr>
      <w:r w:rsidRPr="00DE3EDA">
        <w:rPr>
          <w:rFonts w:ascii="Arial" w:hAnsi="Arial" w:cs="Arial"/>
          <w:i/>
        </w:rPr>
        <w:t>Broadcasting Services Act 1992</w:t>
      </w:r>
    </w:p>
    <w:p w14:paraId="56727DD7" w14:textId="77777777" w:rsidR="00166CB7" w:rsidRPr="00DE3EDA" w:rsidRDefault="00166CB7" w:rsidP="00035D56">
      <w:pPr>
        <w:pStyle w:val="ACMABodyText"/>
        <w:jc w:val="center"/>
        <w:rPr>
          <w:rFonts w:ascii="Arial" w:hAnsi="Arial" w:cs="Arial"/>
          <w:i/>
        </w:rPr>
      </w:pPr>
      <w:r w:rsidRPr="00DE3EDA">
        <w:rPr>
          <w:rFonts w:ascii="Arial" w:hAnsi="Arial" w:cs="Arial"/>
          <w:i/>
        </w:rPr>
        <w:t>Broadcasting Services (Additional Television Licence Condition) Notice 2014</w:t>
      </w:r>
    </w:p>
    <w:p w14:paraId="01528789" w14:textId="3585E8BA" w:rsidR="00035D56" w:rsidRPr="00DE3EDA" w:rsidRDefault="00035D56" w:rsidP="00035D56">
      <w:pPr>
        <w:pStyle w:val="ACMABodyText"/>
        <w:jc w:val="center"/>
        <w:rPr>
          <w:rFonts w:ascii="Arial" w:hAnsi="Arial" w:cs="Arial"/>
          <w:i/>
        </w:rPr>
      </w:pPr>
    </w:p>
    <w:p w14:paraId="562651DC" w14:textId="77777777" w:rsidR="00035D56" w:rsidRPr="00303EBD" w:rsidRDefault="00035D56" w:rsidP="00035D56">
      <w:pPr>
        <w:pStyle w:val="ACMABodyText"/>
        <w:jc w:val="center"/>
        <w:rPr>
          <w:i/>
        </w:rPr>
      </w:pPr>
    </w:p>
    <w:p w14:paraId="171F3C84" w14:textId="77777777" w:rsidR="00035D56" w:rsidRPr="00DE3EDA" w:rsidRDefault="00035D56" w:rsidP="00035D56">
      <w:pPr>
        <w:pStyle w:val="ACMABodyText"/>
        <w:rPr>
          <w:rFonts w:ascii="Arial" w:hAnsi="Arial" w:cs="Arial"/>
          <w:b/>
          <w:sz w:val="20"/>
        </w:rPr>
      </w:pPr>
      <w:r w:rsidRPr="00DE3EDA">
        <w:rPr>
          <w:rFonts w:ascii="Arial" w:hAnsi="Arial" w:cs="Arial"/>
          <w:b/>
          <w:sz w:val="20"/>
        </w:rPr>
        <w:t>Purpose</w:t>
      </w:r>
    </w:p>
    <w:p w14:paraId="24615FDC" w14:textId="77777777" w:rsidR="00166CB7" w:rsidRPr="00DE3EDA" w:rsidRDefault="00035D56" w:rsidP="00F36E8C">
      <w:pPr>
        <w:pStyle w:val="ACMABodyText"/>
        <w:jc w:val="both"/>
        <w:rPr>
          <w:rFonts w:ascii="Arial" w:hAnsi="Arial" w:cs="Arial"/>
          <w:sz w:val="20"/>
        </w:rPr>
      </w:pPr>
      <w:r w:rsidRPr="00DE3EDA">
        <w:rPr>
          <w:rFonts w:ascii="Arial" w:hAnsi="Arial" w:cs="Arial"/>
          <w:sz w:val="20"/>
        </w:rPr>
        <w:t xml:space="preserve">The purpose of the </w:t>
      </w:r>
      <w:r w:rsidR="00166CB7" w:rsidRPr="00DE3EDA">
        <w:rPr>
          <w:rFonts w:ascii="Arial" w:hAnsi="Arial" w:cs="Arial"/>
          <w:i/>
          <w:sz w:val="20"/>
        </w:rPr>
        <w:t>Broadcasting Services (Additional Television Licence Condition) Notice 2014</w:t>
      </w:r>
      <w:r w:rsidR="00166CB7" w:rsidRPr="00DE3EDA">
        <w:rPr>
          <w:rFonts w:ascii="Arial" w:hAnsi="Arial" w:cs="Arial"/>
          <w:sz w:val="20"/>
        </w:rPr>
        <w:t xml:space="preserve"> (the Licence Condition) </w:t>
      </w:r>
      <w:r w:rsidRPr="00DE3EDA">
        <w:rPr>
          <w:rFonts w:ascii="Arial" w:hAnsi="Arial" w:cs="Arial"/>
          <w:sz w:val="20"/>
        </w:rPr>
        <w:t xml:space="preserve">is to </w:t>
      </w:r>
      <w:r w:rsidR="00166CB7" w:rsidRPr="00DE3EDA">
        <w:rPr>
          <w:rFonts w:ascii="Arial" w:hAnsi="Arial" w:cs="Arial"/>
          <w:sz w:val="20"/>
        </w:rPr>
        <w:t>replace</w:t>
      </w:r>
      <w:r w:rsidRPr="00DE3EDA">
        <w:rPr>
          <w:rFonts w:ascii="Arial" w:hAnsi="Arial" w:cs="Arial"/>
          <w:sz w:val="20"/>
        </w:rPr>
        <w:t xml:space="preserve"> the </w:t>
      </w:r>
      <w:r w:rsidR="00166CB7" w:rsidRPr="00DE3EDA">
        <w:rPr>
          <w:rFonts w:ascii="Arial" w:hAnsi="Arial" w:cs="Arial"/>
          <w:i/>
          <w:sz w:val="20"/>
        </w:rPr>
        <w:t xml:space="preserve">Broadcasting Services (Additional Television Licence Condition) Notice 8 November 2007 </w:t>
      </w:r>
      <w:r w:rsidR="00166CB7" w:rsidRPr="00DE3EDA">
        <w:rPr>
          <w:rFonts w:ascii="Arial" w:hAnsi="Arial" w:cs="Arial"/>
          <w:sz w:val="20"/>
        </w:rPr>
        <w:t xml:space="preserve">(the 2007 Licence Condition). </w:t>
      </w:r>
    </w:p>
    <w:p w14:paraId="46A72E79" w14:textId="77777777" w:rsidR="00166CB7" w:rsidRPr="00DE3EDA" w:rsidRDefault="00166CB7" w:rsidP="00F36E8C">
      <w:pPr>
        <w:pStyle w:val="ACMABodyText"/>
        <w:jc w:val="both"/>
        <w:rPr>
          <w:rFonts w:ascii="Arial" w:hAnsi="Arial" w:cs="Arial"/>
          <w:sz w:val="20"/>
        </w:rPr>
      </w:pPr>
      <w:r w:rsidRPr="00DE3EDA">
        <w:rPr>
          <w:rFonts w:ascii="Arial" w:hAnsi="Arial" w:cs="Arial"/>
          <w:sz w:val="20"/>
        </w:rPr>
        <w:t xml:space="preserve">The Licence Condition, like the 2007 Licence Condition, defines material of local significance and mandates its broadcast, while also defining local areas and stipulating certain record keeping requirements. </w:t>
      </w:r>
    </w:p>
    <w:p w14:paraId="16AEB09A" w14:textId="636C9F37" w:rsidR="00166CB7" w:rsidRPr="00DE3EDA" w:rsidRDefault="00EB5436" w:rsidP="00F36E8C">
      <w:pPr>
        <w:pStyle w:val="ACMABodyText"/>
        <w:jc w:val="both"/>
        <w:rPr>
          <w:rFonts w:ascii="Arial" w:hAnsi="Arial" w:cs="Arial"/>
          <w:sz w:val="20"/>
        </w:rPr>
      </w:pPr>
      <w:r>
        <w:rPr>
          <w:rFonts w:ascii="Arial" w:hAnsi="Arial" w:cs="Arial"/>
          <w:sz w:val="20"/>
        </w:rPr>
        <w:t>T</w:t>
      </w:r>
      <w:r w:rsidR="00166CB7" w:rsidRPr="00DE3EDA">
        <w:rPr>
          <w:rFonts w:ascii="Arial" w:hAnsi="Arial" w:cs="Arial"/>
          <w:sz w:val="20"/>
        </w:rPr>
        <w:t>he 2007 Licence Condition implemented</w:t>
      </w:r>
      <w:r>
        <w:rPr>
          <w:rFonts w:ascii="Arial" w:hAnsi="Arial" w:cs="Arial"/>
          <w:sz w:val="20"/>
        </w:rPr>
        <w:t xml:space="preserve"> </w:t>
      </w:r>
      <w:r w:rsidRPr="00DE3EDA">
        <w:rPr>
          <w:rFonts w:ascii="Arial" w:hAnsi="Arial" w:cs="Arial"/>
          <w:sz w:val="20"/>
        </w:rPr>
        <w:t xml:space="preserve">a points-based system </w:t>
      </w:r>
      <w:r w:rsidR="00166CB7" w:rsidRPr="00DE3EDA">
        <w:rPr>
          <w:rFonts w:ascii="Arial" w:hAnsi="Arial" w:cs="Arial"/>
          <w:sz w:val="20"/>
        </w:rPr>
        <w:t xml:space="preserve">where points were allocated for broadcast material in accordance with its significance to the local area in which it was broadcast, with news that relates directly to a local area attracting double points. Since the introduction of the 2007 Licence Condition, there have been no reported breaches of the licence condition, nor valid complaints about possible breaches. Most licensees have reported meeting (and in some cases significantly exceeding) the requirements set out in the 2007 Licence Condition. </w:t>
      </w:r>
    </w:p>
    <w:p w14:paraId="46B9B2DA" w14:textId="77777777" w:rsidR="00D63D0B" w:rsidRPr="00DE3EDA" w:rsidRDefault="00D63D0B" w:rsidP="00F36E8C">
      <w:pPr>
        <w:jc w:val="both"/>
        <w:rPr>
          <w:rFonts w:ascii="Arial" w:hAnsi="Arial" w:cs="Arial"/>
          <w:sz w:val="20"/>
          <w:szCs w:val="20"/>
          <w:lang w:val="en-US"/>
        </w:rPr>
      </w:pPr>
      <w:r w:rsidRPr="00DE3EDA">
        <w:rPr>
          <w:rFonts w:ascii="Arial" w:hAnsi="Arial" w:cs="Arial"/>
          <w:sz w:val="20"/>
          <w:szCs w:val="20"/>
          <w:lang w:val="en-US"/>
        </w:rPr>
        <w:t xml:space="preserve">Having regard to the high level of compliance with the 2007 Licence Condition, the similar level of compliance with the </w:t>
      </w:r>
      <w:r w:rsidRPr="00DE3EDA">
        <w:rPr>
          <w:rFonts w:ascii="Arial" w:hAnsi="Arial" w:cs="Arial"/>
          <w:i/>
          <w:sz w:val="20"/>
          <w:szCs w:val="20"/>
          <w:lang w:val="en-US"/>
        </w:rPr>
        <w:t>Broadcasting Services (Additional Television Licence Condition) Notice 7 April 2003</w:t>
      </w:r>
      <w:r w:rsidRPr="00DE3EDA">
        <w:rPr>
          <w:rFonts w:ascii="Arial" w:hAnsi="Arial" w:cs="Arial"/>
          <w:sz w:val="20"/>
          <w:szCs w:val="20"/>
        </w:rPr>
        <w:t xml:space="preserve"> (which was replaced by the 2007 Licence Condition)</w:t>
      </w:r>
      <w:r w:rsidRPr="00DE3EDA">
        <w:rPr>
          <w:rFonts w:ascii="Arial" w:hAnsi="Arial" w:cs="Arial"/>
          <w:sz w:val="20"/>
          <w:szCs w:val="20"/>
          <w:lang w:val="en-US"/>
        </w:rPr>
        <w:t xml:space="preserve"> and the high level of visibility of compliance associated with the requirement that television local content relate directly to the licence (or local) area, the ACMA did not consider that continued reporting to the ACMA was necessary. </w:t>
      </w:r>
    </w:p>
    <w:p w14:paraId="5D0F23CB" w14:textId="280D7562" w:rsidR="00D63D0B" w:rsidRPr="00DE3EDA" w:rsidRDefault="00D63D0B" w:rsidP="00F36E8C">
      <w:pPr>
        <w:pStyle w:val="ACMABodyText"/>
        <w:jc w:val="both"/>
        <w:rPr>
          <w:rFonts w:ascii="Arial" w:hAnsi="Arial" w:cs="Arial"/>
          <w:sz w:val="20"/>
          <w:lang w:val="en-US"/>
        </w:rPr>
      </w:pPr>
      <w:r w:rsidRPr="00DE3EDA">
        <w:rPr>
          <w:rFonts w:ascii="Arial" w:hAnsi="Arial" w:cs="Arial"/>
          <w:sz w:val="20"/>
          <w:lang w:val="en-US"/>
        </w:rPr>
        <w:t xml:space="preserve">Following consultation with affected broadcasters, the ACMA also considered the need to keep detailed </w:t>
      </w:r>
      <w:r w:rsidR="00000A90">
        <w:rPr>
          <w:rFonts w:ascii="Arial" w:hAnsi="Arial" w:cs="Arial"/>
          <w:sz w:val="20"/>
          <w:lang w:val="en-US"/>
        </w:rPr>
        <w:t xml:space="preserve">written </w:t>
      </w:r>
      <w:r w:rsidRPr="00DE3EDA">
        <w:rPr>
          <w:rFonts w:ascii="Arial" w:hAnsi="Arial" w:cs="Arial"/>
          <w:sz w:val="20"/>
          <w:lang w:val="en-US"/>
        </w:rPr>
        <w:t>compliance records, the type of compliance records that need to be kept</w:t>
      </w:r>
      <w:r w:rsidR="00000A90">
        <w:rPr>
          <w:rFonts w:ascii="Arial" w:hAnsi="Arial" w:cs="Arial"/>
          <w:sz w:val="20"/>
          <w:lang w:val="en-US"/>
        </w:rPr>
        <w:t xml:space="preserve"> (such as audio or written)</w:t>
      </w:r>
      <w:r w:rsidRPr="00DE3EDA">
        <w:rPr>
          <w:rFonts w:ascii="Arial" w:hAnsi="Arial" w:cs="Arial"/>
          <w:sz w:val="20"/>
          <w:lang w:val="en-US"/>
        </w:rPr>
        <w:t>, and the retention period for these records. Again, having regard to the high level of compliance with the requirements of the 2007 Licence Condition, and acknowledging the administrative burden that results from the need to keep detailed points-based compliance records, the ACMA consider</w:t>
      </w:r>
      <w:r w:rsidR="0069266E">
        <w:rPr>
          <w:rFonts w:ascii="Arial" w:hAnsi="Arial" w:cs="Arial"/>
          <w:sz w:val="20"/>
          <w:lang w:val="en-US"/>
        </w:rPr>
        <w:t>ed that the retention of</w:t>
      </w:r>
      <w:r w:rsidRPr="00DE3EDA">
        <w:rPr>
          <w:rFonts w:ascii="Arial" w:hAnsi="Arial" w:cs="Arial"/>
          <w:sz w:val="20"/>
          <w:lang w:val="en-US"/>
        </w:rPr>
        <w:t xml:space="preserve"> </w:t>
      </w:r>
      <w:r w:rsidR="00000A90">
        <w:rPr>
          <w:rFonts w:ascii="Arial" w:hAnsi="Arial" w:cs="Arial"/>
          <w:sz w:val="20"/>
          <w:lang w:val="en-US"/>
        </w:rPr>
        <w:t xml:space="preserve">audio-visual records </w:t>
      </w:r>
      <w:r w:rsidR="00CF268B">
        <w:rPr>
          <w:rFonts w:ascii="Arial" w:hAnsi="Arial" w:cs="Arial"/>
          <w:sz w:val="20"/>
          <w:lang w:val="en-US"/>
        </w:rPr>
        <w:t>would be sufficient</w:t>
      </w:r>
      <w:r w:rsidRPr="00DE3EDA">
        <w:rPr>
          <w:rFonts w:ascii="Arial" w:hAnsi="Arial" w:cs="Arial"/>
          <w:sz w:val="20"/>
          <w:lang w:val="en-US"/>
        </w:rPr>
        <w:t xml:space="preserve"> to demonstrate compliance</w:t>
      </w:r>
      <w:r w:rsidR="00CF268B">
        <w:rPr>
          <w:rFonts w:ascii="Arial" w:hAnsi="Arial" w:cs="Arial"/>
          <w:sz w:val="20"/>
          <w:lang w:val="en-US"/>
        </w:rPr>
        <w:t xml:space="preserve"> with the licence condition</w:t>
      </w:r>
      <w:r w:rsidR="001A20EB">
        <w:rPr>
          <w:rFonts w:ascii="Arial" w:hAnsi="Arial" w:cs="Arial"/>
          <w:sz w:val="20"/>
          <w:lang w:val="en-US"/>
        </w:rPr>
        <w:t>.</w:t>
      </w:r>
      <w:r w:rsidR="00C81970">
        <w:rPr>
          <w:rFonts w:ascii="Arial" w:hAnsi="Arial" w:cs="Arial"/>
          <w:sz w:val="20"/>
          <w:lang w:val="en-US"/>
        </w:rPr>
        <w:t xml:space="preserve"> </w:t>
      </w:r>
      <w:r w:rsidR="001A20EB">
        <w:rPr>
          <w:rFonts w:ascii="Arial" w:hAnsi="Arial" w:cs="Arial"/>
          <w:sz w:val="20"/>
          <w:lang w:val="en-US"/>
        </w:rPr>
        <w:t>T</w:t>
      </w:r>
      <w:r w:rsidR="00CF268B">
        <w:rPr>
          <w:rFonts w:ascii="Arial" w:hAnsi="Arial" w:cs="Arial"/>
          <w:sz w:val="20"/>
          <w:lang w:val="en-US"/>
        </w:rPr>
        <w:t>he ACMA still retain</w:t>
      </w:r>
      <w:r w:rsidR="001A20EB">
        <w:rPr>
          <w:rFonts w:ascii="Arial" w:hAnsi="Arial" w:cs="Arial"/>
          <w:sz w:val="20"/>
          <w:lang w:val="en-US"/>
        </w:rPr>
        <w:t xml:space="preserve">s </w:t>
      </w:r>
      <w:r w:rsidR="00CF268B">
        <w:rPr>
          <w:rFonts w:ascii="Arial" w:hAnsi="Arial" w:cs="Arial"/>
          <w:sz w:val="20"/>
          <w:lang w:val="en-US"/>
        </w:rPr>
        <w:t xml:space="preserve">the power to </w:t>
      </w:r>
      <w:r w:rsidR="00C81970">
        <w:rPr>
          <w:rFonts w:ascii="Arial" w:hAnsi="Arial" w:cs="Arial"/>
          <w:sz w:val="20"/>
          <w:lang w:val="en-US"/>
        </w:rPr>
        <w:t xml:space="preserve">make directions with respect to those </w:t>
      </w:r>
      <w:r w:rsidR="001A20EB">
        <w:rPr>
          <w:rFonts w:ascii="Arial" w:hAnsi="Arial" w:cs="Arial"/>
          <w:sz w:val="20"/>
          <w:lang w:val="en-US"/>
        </w:rPr>
        <w:t xml:space="preserve">and other </w:t>
      </w:r>
      <w:r w:rsidR="00C81970">
        <w:rPr>
          <w:rFonts w:ascii="Arial" w:hAnsi="Arial" w:cs="Arial"/>
          <w:sz w:val="20"/>
          <w:lang w:val="en-US"/>
        </w:rPr>
        <w:t>records</w:t>
      </w:r>
      <w:r w:rsidR="003A22B7">
        <w:rPr>
          <w:rFonts w:ascii="Arial" w:hAnsi="Arial" w:cs="Arial"/>
          <w:sz w:val="20"/>
          <w:lang w:val="en-US"/>
        </w:rPr>
        <w:t xml:space="preserve"> if required</w:t>
      </w:r>
      <w:r w:rsidRPr="00DE3EDA">
        <w:rPr>
          <w:rFonts w:ascii="Arial" w:hAnsi="Arial" w:cs="Arial"/>
          <w:sz w:val="20"/>
          <w:lang w:val="en-US"/>
        </w:rPr>
        <w:t xml:space="preserve">. </w:t>
      </w:r>
    </w:p>
    <w:p w14:paraId="28DD1158" w14:textId="77777777" w:rsidR="00D63D0B" w:rsidRPr="00DE3EDA" w:rsidRDefault="00D63D0B" w:rsidP="00F36E8C">
      <w:pPr>
        <w:pStyle w:val="ACMABodyText"/>
        <w:jc w:val="both"/>
        <w:rPr>
          <w:rFonts w:ascii="Arial" w:hAnsi="Arial" w:cs="Arial"/>
          <w:sz w:val="20"/>
          <w:lang w:val="en-US"/>
        </w:rPr>
      </w:pPr>
      <w:r w:rsidRPr="00DE3EDA">
        <w:rPr>
          <w:rFonts w:ascii="Arial" w:hAnsi="Arial" w:cs="Arial"/>
          <w:sz w:val="20"/>
          <w:lang w:val="en-US"/>
        </w:rPr>
        <w:t>In replacing the 2007 Licence Condition, the Licence Condition takes into account the circumstances described above and in doing so allows broadcasters flexibility in record-keeping while also removing the need to report routinely to the ACMA.</w:t>
      </w:r>
    </w:p>
    <w:p w14:paraId="337073FA" w14:textId="77777777" w:rsidR="00DE3EDA" w:rsidRDefault="00DE3EDA" w:rsidP="00F36E8C">
      <w:pPr>
        <w:pStyle w:val="ACMABodyText"/>
        <w:jc w:val="both"/>
        <w:rPr>
          <w:rFonts w:ascii="Arial" w:hAnsi="Arial" w:cs="Arial"/>
          <w:b/>
          <w:sz w:val="20"/>
        </w:rPr>
      </w:pPr>
    </w:p>
    <w:p w14:paraId="0027E860" w14:textId="77777777" w:rsidR="00035D56" w:rsidRPr="00DE3EDA" w:rsidRDefault="00035D56" w:rsidP="00F36E8C">
      <w:pPr>
        <w:pStyle w:val="ACMABodyText"/>
        <w:jc w:val="both"/>
        <w:rPr>
          <w:rFonts w:ascii="Arial" w:hAnsi="Arial" w:cs="Arial"/>
          <w:b/>
          <w:sz w:val="20"/>
        </w:rPr>
      </w:pPr>
      <w:r w:rsidRPr="00DE3EDA">
        <w:rPr>
          <w:rFonts w:ascii="Arial" w:hAnsi="Arial" w:cs="Arial"/>
          <w:b/>
          <w:sz w:val="20"/>
        </w:rPr>
        <w:lastRenderedPageBreak/>
        <w:t>Legislative Basis</w:t>
      </w:r>
    </w:p>
    <w:p w14:paraId="160A58F5" w14:textId="77777777" w:rsidR="008D0347" w:rsidRPr="00DE3EDA" w:rsidRDefault="008D0347" w:rsidP="00F36E8C">
      <w:pPr>
        <w:jc w:val="both"/>
        <w:rPr>
          <w:rFonts w:ascii="Arial" w:hAnsi="Arial" w:cs="Arial"/>
          <w:sz w:val="20"/>
          <w:szCs w:val="20"/>
        </w:rPr>
      </w:pPr>
      <w:r w:rsidRPr="00DE3EDA">
        <w:rPr>
          <w:rFonts w:ascii="Arial" w:hAnsi="Arial" w:cs="Arial"/>
          <w:sz w:val="20"/>
          <w:szCs w:val="20"/>
        </w:rPr>
        <w:t xml:space="preserve">The ACMA imposes the Licence Condition under subsection 43(1) of the </w:t>
      </w:r>
      <w:r w:rsidRPr="00DE3EDA">
        <w:rPr>
          <w:rFonts w:ascii="Arial" w:hAnsi="Arial" w:cs="Arial"/>
          <w:i/>
          <w:sz w:val="20"/>
          <w:szCs w:val="20"/>
        </w:rPr>
        <w:t xml:space="preserve">Broadcasting Services Act 1992 </w:t>
      </w:r>
      <w:r w:rsidRPr="00DE3EDA">
        <w:rPr>
          <w:rFonts w:ascii="Arial" w:hAnsi="Arial" w:cs="Arial"/>
          <w:sz w:val="20"/>
          <w:szCs w:val="20"/>
        </w:rPr>
        <w:t xml:space="preserve">(the </w:t>
      </w:r>
      <w:r w:rsidR="00FA73E3" w:rsidRPr="00DE3EDA">
        <w:rPr>
          <w:rFonts w:ascii="Arial" w:hAnsi="Arial" w:cs="Arial"/>
          <w:sz w:val="20"/>
          <w:szCs w:val="20"/>
        </w:rPr>
        <w:t>Act</w:t>
      </w:r>
      <w:r w:rsidRPr="00DE3EDA">
        <w:rPr>
          <w:rFonts w:ascii="Arial" w:hAnsi="Arial" w:cs="Arial"/>
          <w:sz w:val="20"/>
          <w:szCs w:val="20"/>
        </w:rPr>
        <w:t>).</w:t>
      </w:r>
    </w:p>
    <w:p w14:paraId="26037DAF" w14:textId="77777777" w:rsidR="00CC2E14" w:rsidRPr="00DE3EDA" w:rsidRDefault="00CC2E14" w:rsidP="00DE3EDA">
      <w:pPr>
        <w:spacing w:after="240"/>
        <w:jc w:val="both"/>
        <w:rPr>
          <w:rFonts w:ascii="Arial" w:hAnsi="Arial" w:cs="Arial"/>
          <w:sz w:val="20"/>
          <w:szCs w:val="20"/>
        </w:rPr>
      </w:pPr>
      <w:r w:rsidRPr="00DE3EDA">
        <w:rPr>
          <w:rFonts w:ascii="Arial" w:hAnsi="Arial" w:cs="Arial"/>
          <w:sz w:val="20"/>
          <w:szCs w:val="20"/>
        </w:rPr>
        <w:t xml:space="preserve">Section 43A of the BSA requires the ACMA to have in place at all times a licence condition that has the effect of requiring the licensee of a regional aggregated commercial television broadcasting licence to broadcast a minimum level of material of local significance during specified periods. A regional aggregated commercial television broadcasting licence is defined in the BSA as a commercial television broadcasting licence for the licence areas of Northern New South Wales, Southern New South Wales, Regional Victoria, Eastern Victoria, Western Victoria, Regional Queensland and Tasmania. The licence condition must also define the terms ‘local area’ and ‘material of local significance’, where the definition of ‘material of local significance’ must be broad enough to cover news that relates directly to the local area concerned. </w:t>
      </w:r>
    </w:p>
    <w:p w14:paraId="6EF959C6" w14:textId="77777777" w:rsidR="00035D56" w:rsidRPr="00DE3EDA" w:rsidRDefault="00035D56" w:rsidP="00F36E8C">
      <w:pPr>
        <w:pStyle w:val="ACMABodyText"/>
        <w:jc w:val="both"/>
        <w:rPr>
          <w:rFonts w:ascii="Arial" w:hAnsi="Arial" w:cs="Arial"/>
          <w:b/>
          <w:color w:val="000000" w:themeColor="text1"/>
          <w:sz w:val="20"/>
        </w:rPr>
      </w:pPr>
      <w:r w:rsidRPr="00DE3EDA">
        <w:rPr>
          <w:rFonts w:ascii="Arial" w:hAnsi="Arial" w:cs="Arial"/>
          <w:b/>
          <w:color w:val="000000" w:themeColor="text1"/>
          <w:sz w:val="20"/>
        </w:rPr>
        <w:t>Consultation</w:t>
      </w:r>
    </w:p>
    <w:p w14:paraId="6EF603FA" w14:textId="3A2019D7" w:rsidR="008D0347" w:rsidRPr="00DE3EDA" w:rsidRDefault="008D0347" w:rsidP="00F36E8C">
      <w:pPr>
        <w:pStyle w:val="ACMABodyText"/>
        <w:jc w:val="both"/>
        <w:rPr>
          <w:rFonts w:ascii="Arial" w:hAnsi="Arial" w:cs="Arial"/>
          <w:color w:val="000000" w:themeColor="text1"/>
          <w:sz w:val="20"/>
        </w:rPr>
      </w:pPr>
      <w:r w:rsidRPr="00DE3EDA">
        <w:rPr>
          <w:rFonts w:ascii="Arial" w:hAnsi="Arial" w:cs="Arial"/>
          <w:color w:val="000000" w:themeColor="text1"/>
          <w:sz w:val="20"/>
        </w:rPr>
        <w:t xml:space="preserve">Before deciding to revoke the 2007 Licence Condition and replace it with the Licence Condition, the ACMA took the following steps by way </w:t>
      </w:r>
      <w:r w:rsidR="00AA07B2" w:rsidRPr="00DE3EDA">
        <w:rPr>
          <w:rFonts w:ascii="Arial" w:hAnsi="Arial" w:cs="Arial"/>
          <w:color w:val="000000" w:themeColor="text1"/>
          <w:sz w:val="20"/>
        </w:rPr>
        <w:t xml:space="preserve">of </w:t>
      </w:r>
      <w:r w:rsidRPr="00DE3EDA">
        <w:rPr>
          <w:rFonts w:ascii="Arial" w:hAnsi="Arial" w:cs="Arial"/>
          <w:color w:val="000000" w:themeColor="text1"/>
          <w:sz w:val="20"/>
        </w:rPr>
        <w:t>consultation:</w:t>
      </w:r>
    </w:p>
    <w:p w14:paraId="6F03822E" w14:textId="19EFAB2D" w:rsidR="008D0347" w:rsidRPr="00DE3EDA" w:rsidRDefault="008D0347" w:rsidP="00F36E8C">
      <w:pPr>
        <w:pStyle w:val="ACMABodyText"/>
        <w:numPr>
          <w:ilvl w:val="0"/>
          <w:numId w:val="13"/>
        </w:numPr>
        <w:jc w:val="both"/>
        <w:rPr>
          <w:rFonts w:ascii="Arial" w:hAnsi="Arial" w:cs="Arial"/>
          <w:color w:val="000000" w:themeColor="text1"/>
          <w:sz w:val="20"/>
        </w:rPr>
      </w:pPr>
      <w:r w:rsidRPr="00DE3EDA">
        <w:rPr>
          <w:rFonts w:ascii="Arial" w:hAnsi="Arial" w:cs="Arial"/>
          <w:color w:val="000000" w:themeColor="text1"/>
          <w:sz w:val="20"/>
        </w:rPr>
        <w:t>On 26 March 2014, the ACMA wrote to Free TV Australia and affected licensees, seeking comment on the proposed changes to record-keeping and reporting requirements.</w:t>
      </w:r>
    </w:p>
    <w:p w14:paraId="3CD8B9E1" w14:textId="7D8DC9D9" w:rsidR="009772F9" w:rsidRPr="00DE3EDA" w:rsidRDefault="009772F9" w:rsidP="00F36E8C">
      <w:pPr>
        <w:pStyle w:val="ACMABodyText"/>
        <w:jc w:val="both"/>
        <w:rPr>
          <w:rFonts w:ascii="Arial" w:hAnsi="Arial" w:cs="Arial"/>
          <w:color w:val="000000" w:themeColor="text1"/>
          <w:sz w:val="20"/>
        </w:rPr>
      </w:pPr>
      <w:r w:rsidRPr="00DE3EDA">
        <w:rPr>
          <w:rFonts w:ascii="Arial" w:hAnsi="Arial" w:cs="Arial"/>
          <w:color w:val="000000" w:themeColor="text1"/>
          <w:sz w:val="20"/>
        </w:rPr>
        <w:t xml:space="preserve">The ACMA received formal submissions from Free TV Australia and two licensees as a result of the March 2014 consultation. The submissions received indicated support for the proposed changes and also suggested a further reduction in record-keeping requirements. This suggestion was considered by the ACMA and included in the </w:t>
      </w:r>
      <w:r w:rsidR="00AB308F" w:rsidRPr="00DE3EDA">
        <w:rPr>
          <w:rFonts w:ascii="Arial" w:hAnsi="Arial" w:cs="Arial"/>
          <w:color w:val="000000" w:themeColor="text1"/>
          <w:sz w:val="20"/>
        </w:rPr>
        <w:t>proposed c</w:t>
      </w:r>
      <w:r w:rsidRPr="00DE3EDA">
        <w:rPr>
          <w:rFonts w:ascii="Arial" w:hAnsi="Arial" w:cs="Arial"/>
          <w:color w:val="000000" w:themeColor="text1"/>
          <w:sz w:val="20"/>
        </w:rPr>
        <w:t>ondition</w:t>
      </w:r>
      <w:r w:rsidR="00AB308F" w:rsidRPr="00DE3EDA">
        <w:rPr>
          <w:rFonts w:ascii="Arial" w:hAnsi="Arial" w:cs="Arial"/>
          <w:color w:val="000000" w:themeColor="text1"/>
          <w:sz w:val="20"/>
        </w:rPr>
        <w:t xml:space="preserve"> for consultation</w:t>
      </w:r>
      <w:r w:rsidRPr="00DE3EDA">
        <w:rPr>
          <w:rFonts w:ascii="Arial" w:hAnsi="Arial" w:cs="Arial"/>
          <w:color w:val="000000" w:themeColor="text1"/>
          <w:sz w:val="20"/>
        </w:rPr>
        <w:t>.</w:t>
      </w:r>
    </w:p>
    <w:p w14:paraId="74A6225B" w14:textId="372DF7E6" w:rsidR="008D0347" w:rsidRPr="00DE3EDA" w:rsidRDefault="00DF603D" w:rsidP="00F36E8C">
      <w:pPr>
        <w:pStyle w:val="ACMABodyText"/>
        <w:numPr>
          <w:ilvl w:val="0"/>
          <w:numId w:val="13"/>
        </w:numPr>
        <w:jc w:val="both"/>
        <w:rPr>
          <w:rFonts w:ascii="Arial" w:hAnsi="Arial" w:cs="Arial"/>
          <w:color w:val="000000" w:themeColor="text1"/>
          <w:sz w:val="20"/>
        </w:rPr>
      </w:pPr>
      <w:r w:rsidRPr="00DE3EDA">
        <w:rPr>
          <w:rFonts w:ascii="Arial" w:hAnsi="Arial" w:cs="Arial"/>
          <w:color w:val="000000" w:themeColor="text1"/>
          <w:sz w:val="20"/>
        </w:rPr>
        <w:t>On 16 June</w:t>
      </w:r>
      <w:r w:rsidR="008D0347" w:rsidRPr="00DE3EDA">
        <w:rPr>
          <w:rFonts w:ascii="Arial" w:hAnsi="Arial" w:cs="Arial"/>
          <w:color w:val="000000" w:themeColor="text1"/>
          <w:sz w:val="20"/>
        </w:rPr>
        <w:t xml:space="preserve"> 2014, the ACMA sent the proposed Licence Condition to Free TV Australia and affected licensees and sought comment on</w:t>
      </w:r>
      <w:r w:rsidRPr="00DE3EDA">
        <w:rPr>
          <w:rFonts w:ascii="Arial" w:hAnsi="Arial" w:cs="Arial"/>
          <w:color w:val="000000" w:themeColor="text1"/>
          <w:sz w:val="20"/>
        </w:rPr>
        <w:t xml:space="preserve"> the proposed Licence Condition, while also undertaking a broader public consultation </w:t>
      </w:r>
      <w:r w:rsidR="00AB308F" w:rsidRPr="00DE3EDA">
        <w:rPr>
          <w:rFonts w:ascii="Arial" w:hAnsi="Arial" w:cs="Arial"/>
          <w:color w:val="000000" w:themeColor="text1"/>
          <w:sz w:val="20"/>
        </w:rPr>
        <w:t>via the ACMA’s Issues for Comment webpage</w:t>
      </w:r>
      <w:r w:rsidRPr="00DE3EDA">
        <w:rPr>
          <w:rFonts w:ascii="Arial" w:hAnsi="Arial" w:cs="Arial"/>
          <w:color w:val="000000" w:themeColor="text1"/>
          <w:sz w:val="20"/>
        </w:rPr>
        <w:t>.</w:t>
      </w:r>
    </w:p>
    <w:p w14:paraId="248102CF" w14:textId="798C03D9" w:rsidR="008D0347" w:rsidRPr="00DE3EDA" w:rsidRDefault="00DF603D" w:rsidP="00F36E8C">
      <w:pPr>
        <w:pStyle w:val="ACMABodyText"/>
        <w:numPr>
          <w:ilvl w:val="0"/>
          <w:numId w:val="13"/>
        </w:numPr>
        <w:jc w:val="both"/>
        <w:rPr>
          <w:rFonts w:ascii="Arial" w:hAnsi="Arial" w:cs="Arial"/>
          <w:color w:val="000000" w:themeColor="text1"/>
          <w:sz w:val="20"/>
        </w:rPr>
      </w:pPr>
      <w:r w:rsidRPr="00DE3EDA">
        <w:rPr>
          <w:rFonts w:ascii="Arial" w:hAnsi="Arial" w:cs="Arial"/>
          <w:color w:val="000000" w:themeColor="text1"/>
          <w:sz w:val="20"/>
        </w:rPr>
        <w:t>On 19 J</w:t>
      </w:r>
      <w:r w:rsidR="008A31D4" w:rsidRPr="00DE3EDA">
        <w:rPr>
          <w:rFonts w:ascii="Arial" w:hAnsi="Arial" w:cs="Arial"/>
          <w:color w:val="000000" w:themeColor="text1"/>
          <w:sz w:val="20"/>
        </w:rPr>
        <w:t>u</w:t>
      </w:r>
      <w:r w:rsidRPr="00DE3EDA">
        <w:rPr>
          <w:rFonts w:ascii="Arial" w:hAnsi="Arial" w:cs="Arial"/>
          <w:color w:val="000000" w:themeColor="text1"/>
          <w:sz w:val="20"/>
        </w:rPr>
        <w:t>ne</w:t>
      </w:r>
      <w:r w:rsidR="008D0347" w:rsidRPr="00DE3EDA">
        <w:rPr>
          <w:rFonts w:ascii="Arial" w:hAnsi="Arial" w:cs="Arial"/>
          <w:color w:val="000000" w:themeColor="text1"/>
          <w:sz w:val="20"/>
        </w:rPr>
        <w:t xml:space="preserve"> 2014, the proposed Licence Condition was published in the Gazette.</w:t>
      </w:r>
    </w:p>
    <w:p w14:paraId="148896BA" w14:textId="55676581" w:rsidR="003857EC" w:rsidRPr="00DE3EDA" w:rsidRDefault="00AB308F" w:rsidP="00F36E8C">
      <w:pPr>
        <w:pStyle w:val="ACMABodyText"/>
        <w:jc w:val="both"/>
        <w:rPr>
          <w:rFonts w:ascii="Arial" w:hAnsi="Arial" w:cs="Arial"/>
          <w:color w:val="000000" w:themeColor="text1"/>
          <w:sz w:val="20"/>
        </w:rPr>
      </w:pPr>
      <w:r w:rsidRPr="00DE3EDA">
        <w:rPr>
          <w:rFonts w:ascii="Arial" w:hAnsi="Arial" w:cs="Arial"/>
          <w:color w:val="000000" w:themeColor="text1"/>
          <w:sz w:val="20"/>
        </w:rPr>
        <w:t xml:space="preserve">The ACMA received one formal submission from Free TV Australia on 15 July 2014.  Free TV Australia was generally in support of the proposed Licence Condition, </w:t>
      </w:r>
      <w:r w:rsidR="000F3337">
        <w:rPr>
          <w:rFonts w:ascii="Arial" w:hAnsi="Arial" w:cs="Arial"/>
          <w:color w:val="000000" w:themeColor="text1"/>
          <w:sz w:val="20"/>
        </w:rPr>
        <w:t xml:space="preserve">while requesting </w:t>
      </w:r>
      <w:r w:rsidR="003857EC" w:rsidRPr="00DE3EDA">
        <w:rPr>
          <w:rFonts w:ascii="Arial" w:hAnsi="Arial" w:cs="Arial"/>
          <w:color w:val="000000" w:themeColor="text1"/>
          <w:sz w:val="20"/>
        </w:rPr>
        <w:t xml:space="preserve">additional consideration </w:t>
      </w:r>
      <w:r w:rsidR="000F3337">
        <w:rPr>
          <w:rFonts w:ascii="Arial" w:hAnsi="Arial" w:cs="Arial"/>
          <w:color w:val="000000" w:themeColor="text1"/>
          <w:sz w:val="20"/>
        </w:rPr>
        <w:t>be given</w:t>
      </w:r>
      <w:r w:rsidR="003857EC" w:rsidRPr="00DE3EDA">
        <w:rPr>
          <w:rFonts w:ascii="Arial" w:hAnsi="Arial" w:cs="Arial"/>
          <w:color w:val="000000" w:themeColor="text1"/>
          <w:sz w:val="20"/>
        </w:rPr>
        <w:t xml:space="preserve"> to discretionary powers of the ACMA and the potential for exemptions to local content requirements to allow broadcasters to cover significant events such as </w:t>
      </w:r>
      <w:r w:rsidR="000F3337">
        <w:rPr>
          <w:rFonts w:ascii="Arial" w:hAnsi="Arial" w:cs="Arial"/>
          <w:color w:val="000000" w:themeColor="text1"/>
          <w:sz w:val="20"/>
        </w:rPr>
        <w:t xml:space="preserve">major </w:t>
      </w:r>
      <w:r w:rsidR="003857EC" w:rsidRPr="00DE3EDA">
        <w:rPr>
          <w:rFonts w:ascii="Arial" w:hAnsi="Arial" w:cs="Arial"/>
          <w:color w:val="000000" w:themeColor="text1"/>
          <w:sz w:val="20"/>
        </w:rPr>
        <w:t>sporting events or events of national significance.</w:t>
      </w:r>
    </w:p>
    <w:p w14:paraId="04557B85" w14:textId="6BCA340D" w:rsidR="001E7F94" w:rsidRPr="00DE3EDA" w:rsidRDefault="003857EC" w:rsidP="00DE3EDA">
      <w:pPr>
        <w:pStyle w:val="ACMABodyText"/>
        <w:spacing w:after="240"/>
        <w:jc w:val="both"/>
        <w:rPr>
          <w:rFonts w:ascii="Arial" w:hAnsi="Arial" w:cs="Arial"/>
          <w:color w:val="000000" w:themeColor="text1"/>
          <w:sz w:val="20"/>
        </w:rPr>
      </w:pPr>
      <w:r w:rsidRPr="00DE3EDA">
        <w:rPr>
          <w:rFonts w:ascii="Arial" w:hAnsi="Arial" w:cs="Arial"/>
          <w:color w:val="000000" w:themeColor="text1"/>
          <w:sz w:val="20"/>
        </w:rPr>
        <w:t xml:space="preserve">In determining the 2014 Licence Condition, the ACMA has had regard to </w:t>
      </w:r>
      <w:r w:rsidR="000F3337">
        <w:rPr>
          <w:rFonts w:ascii="Arial" w:hAnsi="Arial" w:cs="Arial"/>
          <w:color w:val="000000" w:themeColor="text1"/>
          <w:sz w:val="20"/>
        </w:rPr>
        <w:t>all</w:t>
      </w:r>
      <w:r w:rsidRPr="00DE3EDA">
        <w:rPr>
          <w:rFonts w:ascii="Arial" w:hAnsi="Arial" w:cs="Arial"/>
          <w:color w:val="000000" w:themeColor="text1"/>
          <w:sz w:val="20"/>
        </w:rPr>
        <w:t xml:space="preserve"> matters</w:t>
      </w:r>
      <w:r w:rsidR="000F3337">
        <w:rPr>
          <w:rFonts w:ascii="Arial" w:hAnsi="Arial" w:cs="Arial"/>
          <w:color w:val="000000" w:themeColor="text1"/>
          <w:sz w:val="20"/>
        </w:rPr>
        <w:t xml:space="preserve"> raised during consultation</w:t>
      </w:r>
      <w:r w:rsidRPr="00DE3EDA">
        <w:rPr>
          <w:rFonts w:ascii="Arial" w:hAnsi="Arial" w:cs="Arial"/>
          <w:color w:val="000000" w:themeColor="text1"/>
          <w:sz w:val="20"/>
        </w:rPr>
        <w:t xml:space="preserve">. </w:t>
      </w:r>
      <w:r w:rsidR="00AB308F" w:rsidRPr="00DE3EDA">
        <w:rPr>
          <w:rFonts w:ascii="Arial" w:hAnsi="Arial" w:cs="Arial"/>
          <w:color w:val="000000" w:themeColor="text1"/>
          <w:sz w:val="20"/>
        </w:rPr>
        <w:t xml:space="preserve"> </w:t>
      </w:r>
    </w:p>
    <w:p w14:paraId="5E705942" w14:textId="77777777" w:rsidR="00035D56" w:rsidRPr="00DE3EDA" w:rsidRDefault="00035D56" w:rsidP="00F36E8C">
      <w:pPr>
        <w:pStyle w:val="ACMABodyText"/>
        <w:jc w:val="both"/>
        <w:rPr>
          <w:rFonts w:ascii="Arial" w:hAnsi="Arial" w:cs="Arial"/>
          <w:color w:val="000000" w:themeColor="text1"/>
          <w:sz w:val="20"/>
        </w:rPr>
      </w:pPr>
      <w:r w:rsidRPr="00DE3EDA">
        <w:rPr>
          <w:rFonts w:ascii="Arial" w:hAnsi="Arial" w:cs="Arial"/>
          <w:b/>
          <w:color w:val="000000" w:themeColor="text1"/>
          <w:sz w:val="20"/>
        </w:rPr>
        <w:t>Operation</w:t>
      </w:r>
    </w:p>
    <w:p w14:paraId="171D1ECF" w14:textId="77777777" w:rsidR="002827F8" w:rsidRPr="00DE3EDA" w:rsidRDefault="002827F8" w:rsidP="00F36E8C">
      <w:pPr>
        <w:pStyle w:val="ACMABodyText"/>
        <w:jc w:val="both"/>
        <w:rPr>
          <w:rFonts w:ascii="Arial" w:hAnsi="Arial" w:cs="Arial"/>
          <w:color w:val="000000" w:themeColor="text1"/>
          <w:sz w:val="20"/>
        </w:rPr>
      </w:pPr>
      <w:r w:rsidRPr="00DE3EDA">
        <w:rPr>
          <w:rFonts w:ascii="Arial" w:hAnsi="Arial" w:cs="Arial"/>
          <w:color w:val="000000" w:themeColor="text1"/>
          <w:sz w:val="20"/>
        </w:rPr>
        <w:t xml:space="preserve">Subsections 10(2), 10(3) and 10(4) of the 2007 Licence Condition set out the </w:t>
      </w:r>
      <w:r w:rsidR="004A735A" w:rsidRPr="00DE3EDA">
        <w:rPr>
          <w:rFonts w:ascii="Arial" w:hAnsi="Arial" w:cs="Arial"/>
          <w:color w:val="000000" w:themeColor="text1"/>
          <w:sz w:val="20"/>
        </w:rPr>
        <w:t xml:space="preserve">previous </w:t>
      </w:r>
      <w:r w:rsidRPr="00DE3EDA">
        <w:rPr>
          <w:rFonts w:ascii="Arial" w:hAnsi="Arial" w:cs="Arial"/>
          <w:color w:val="000000" w:themeColor="text1"/>
          <w:sz w:val="20"/>
        </w:rPr>
        <w:t xml:space="preserve">record-keeping requirements. </w:t>
      </w:r>
      <w:r w:rsidR="004A735A" w:rsidRPr="00DE3EDA">
        <w:rPr>
          <w:rFonts w:ascii="Arial" w:hAnsi="Arial" w:cs="Arial"/>
          <w:color w:val="000000" w:themeColor="text1"/>
          <w:sz w:val="20"/>
        </w:rPr>
        <w:t xml:space="preserve">These requirements have been amended </w:t>
      </w:r>
      <w:r w:rsidRPr="00DE3EDA">
        <w:rPr>
          <w:rFonts w:ascii="Arial" w:hAnsi="Arial" w:cs="Arial"/>
          <w:color w:val="000000" w:themeColor="text1"/>
          <w:sz w:val="20"/>
        </w:rPr>
        <w:t>in the Licence Condition with the effect that</w:t>
      </w:r>
      <w:r w:rsidR="004A735A" w:rsidRPr="00DE3EDA">
        <w:rPr>
          <w:rFonts w:ascii="Arial" w:hAnsi="Arial" w:cs="Arial"/>
          <w:color w:val="000000" w:themeColor="text1"/>
          <w:sz w:val="20"/>
        </w:rPr>
        <w:t xml:space="preserve"> now under</w:t>
      </w:r>
      <w:r w:rsidRPr="00DE3EDA">
        <w:rPr>
          <w:rFonts w:ascii="Arial" w:hAnsi="Arial" w:cs="Arial"/>
          <w:color w:val="000000" w:themeColor="text1"/>
          <w:sz w:val="20"/>
        </w:rPr>
        <w:t>:</w:t>
      </w:r>
    </w:p>
    <w:p w14:paraId="533398E8" w14:textId="53F9D7FB" w:rsidR="004A735A" w:rsidRPr="00DE3EDA" w:rsidRDefault="002827F8" w:rsidP="00F36E8C">
      <w:pPr>
        <w:pStyle w:val="ACMABodyText"/>
        <w:numPr>
          <w:ilvl w:val="0"/>
          <w:numId w:val="14"/>
        </w:numPr>
        <w:jc w:val="both"/>
        <w:rPr>
          <w:rFonts w:ascii="Arial" w:hAnsi="Arial" w:cs="Arial"/>
          <w:color w:val="000000" w:themeColor="text1"/>
          <w:sz w:val="20"/>
        </w:rPr>
      </w:pPr>
      <w:r w:rsidRPr="00DE3EDA">
        <w:rPr>
          <w:rFonts w:ascii="Arial" w:hAnsi="Arial" w:cs="Arial"/>
          <w:color w:val="000000" w:themeColor="text1"/>
          <w:sz w:val="20"/>
        </w:rPr>
        <w:t>Subsection</w:t>
      </w:r>
      <w:r w:rsidR="00C367D8" w:rsidRPr="00DE3EDA">
        <w:rPr>
          <w:rFonts w:ascii="Arial" w:hAnsi="Arial" w:cs="Arial"/>
          <w:color w:val="000000" w:themeColor="text1"/>
          <w:sz w:val="20"/>
        </w:rPr>
        <w:t>s</w:t>
      </w:r>
      <w:r w:rsidRPr="00DE3EDA">
        <w:rPr>
          <w:rFonts w:ascii="Arial" w:hAnsi="Arial" w:cs="Arial"/>
          <w:color w:val="000000" w:themeColor="text1"/>
          <w:sz w:val="20"/>
        </w:rPr>
        <w:t xml:space="preserve"> 10</w:t>
      </w:r>
      <w:r w:rsidR="00C367D8" w:rsidRPr="00DE3EDA">
        <w:rPr>
          <w:rFonts w:ascii="Arial" w:hAnsi="Arial" w:cs="Arial"/>
          <w:color w:val="000000" w:themeColor="text1"/>
          <w:sz w:val="20"/>
        </w:rPr>
        <w:t xml:space="preserve">(1) and </w:t>
      </w:r>
      <w:r w:rsidRPr="00DE3EDA">
        <w:rPr>
          <w:rFonts w:ascii="Arial" w:hAnsi="Arial" w:cs="Arial"/>
          <w:color w:val="000000" w:themeColor="text1"/>
          <w:sz w:val="20"/>
        </w:rPr>
        <w:t>(2): Audio</w:t>
      </w:r>
      <w:r w:rsidR="00C421FD" w:rsidRPr="00DE3EDA">
        <w:rPr>
          <w:rFonts w:ascii="Arial" w:hAnsi="Arial" w:cs="Arial"/>
          <w:color w:val="000000" w:themeColor="text1"/>
          <w:sz w:val="20"/>
        </w:rPr>
        <w:t>-</w:t>
      </w:r>
      <w:r w:rsidRPr="00DE3EDA">
        <w:rPr>
          <w:rFonts w:ascii="Arial" w:hAnsi="Arial" w:cs="Arial"/>
          <w:color w:val="000000" w:themeColor="text1"/>
          <w:sz w:val="20"/>
        </w:rPr>
        <w:t xml:space="preserve">visual records </w:t>
      </w:r>
      <w:r w:rsidR="00626EE0" w:rsidRPr="00DE3EDA">
        <w:rPr>
          <w:rFonts w:ascii="Arial" w:hAnsi="Arial" w:cs="Arial"/>
          <w:color w:val="000000" w:themeColor="text1"/>
          <w:sz w:val="20"/>
        </w:rPr>
        <w:t>are</w:t>
      </w:r>
      <w:r w:rsidRPr="00DE3EDA">
        <w:rPr>
          <w:rFonts w:ascii="Arial" w:hAnsi="Arial" w:cs="Arial"/>
          <w:color w:val="000000" w:themeColor="text1"/>
          <w:sz w:val="20"/>
        </w:rPr>
        <w:t xml:space="preserve"> </w:t>
      </w:r>
      <w:r w:rsidR="004A735A" w:rsidRPr="00DE3EDA">
        <w:rPr>
          <w:rFonts w:ascii="Arial" w:hAnsi="Arial" w:cs="Arial"/>
          <w:color w:val="000000" w:themeColor="text1"/>
          <w:sz w:val="20"/>
        </w:rPr>
        <w:t>only</w:t>
      </w:r>
      <w:r w:rsidR="00626EE0" w:rsidRPr="00DE3EDA">
        <w:rPr>
          <w:rFonts w:ascii="Arial" w:hAnsi="Arial" w:cs="Arial"/>
          <w:color w:val="000000" w:themeColor="text1"/>
          <w:sz w:val="20"/>
        </w:rPr>
        <w:t xml:space="preserve"> required to</w:t>
      </w:r>
      <w:r w:rsidR="004A735A" w:rsidRPr="00DE3EDA">
        <w:rPr>
          <w:rFonts w:ascii="Arial" w:hAnsi="Arial" w:cs="Arial"/>
          <w:color w:val="000000" w:themeColor="text1"/>
          <w:sz w:val="20"/>
        </w:rPr>
        <w:t xml:space="preserve"> be kept for 30 days </w:t>
      </w:r>
      <w:r w:rsidRPr="00DE3EDA">
        <w:rPr>
          <w:rFonts w:ascii="Arial" w:hAnsi="Arial" w:cs="Arial"/>
          <w:color w:val="000000" w:themeColor="text1"/>
          <w:sz w:val="20"/>
        </w:rPr>
        <w:t>after the end of the timing period to which the record relates (or as directed), rather than 6 weeks as required by the 2007 Licence Condition;</w:t>
      </w:r>
      <w:r w:rsidR="00D11414" w:rsidRPr="00DE3EDA">
        <w:rPr>
          <w:rFonts w:ascii="Arial" w:hAnsi="Arial" w:cs="Arial"/>
          <w:color w:val="000000" w:themeColor="text1"/>
          <w:sz w:val="20"/>
        </w:rPr>
        <w:t xml:space="preserve"> and</w:t>
      </w:r>
    </w:p>
    <w:p w14:paraId="7D7DCE79" w14:textId="183B8792" w:rsidR="004A735A" w:rsidRPr="00DE3EDA" w:rsidRDefault="00C367D8" w:rsidP="00F36E8C">
      <w:pPr>
        <w:pStyle w:val="ACMABodyText"/>
        <w:numPr>
          <w:ilvl w:val="0"/>
          <w:numId w:val="14"/>
        </w:numPr>
        <w:jc w:val="both"/>
        <w:rPr>
          <w:rFonts w:ascii="Arial" w:hAnsi="Arial" w:cs="Arial"/>
          <w:color w:val="000000" w:themeColor="text1"/>
          <w:sz w:val="20"/>
        </w:rPr>
      </w:pPr>
      <w:r w:rsidRPr="00DE3EDA">
        <w:rPr>
          <w:rFonts w:ascii="Arial" w:hAnsi="Arial" w:cs="Arial"/>
          <w:color w:val="000000" w:themeColor="text1"/>
          <w:sz w:val="20"/>
        </w:rPr>
        <w:lastRenderedPageBreak/>
        <w:t>Subsection 10(2</w:t>
      </w:r>
      <w:r w:rsidR="002827F8" w:rsidRPr="00DE3EDA">
        <w:rPr>
          <w:rFonts w:ascii="Arial" w:hAnsi="Arial" w:cs="Arial"/>
          <w:color w:val="000000" w:themeColor="text1"/>
          <w:sz w:val="20"/>
        </w:rPr>
        <w:t>)</w:t>
      </w:r>
      <w:r w:rsidRPr="00DE3EDA">
        <w:rPr>
          <w:rFonts w:ascii="Arial" w:hAnsi="Arial" w:cs="Arial"/>
          <w:color w:val="000000" w:themeColor="text1"/>
          <w:sz w:val="20"/>
        </w:rPr>
        <w:t>(b): The records must be sufficient as to verify the times</w:t>
      </w:r>
      <w:r w:rsidR="000F3337">
        <w:rPr>
          <w:rFonts w:ascii="Arial" w:hAnsi="Arial" w:cs="Arial"/>
          <w:color w:val="000000" w:themeColor="text1"/>
          <w:sz w:val="20"/>
        </w:rPr>
        <w:t xml:space="preserve"> of broadcast</w:t>
      </w:r>
      <w:r w:rsidRPr="00DE3EDA">
        <w:rPr>
          <w:rFonts w:ascii="Arial" w:hAnsi="Arial" w:cs="Arial"/>
          <w:color w:val="000000" w:themeColor="text1"/>
          <w:sz w:val="20"/>
        </w:rPr>
        <w:t xml:space="preserve">, and the content, </w:t>
      </w:r>
      <w:r w:rsidR="000F3337">
        <w:rPr>
          <w:rFonts w:ascii="Arial" w:hAnsi="Arial" w:cs="Arial"/>
          <w:color w:val="000000" w:themeColor="text1"/>
          <w:sz w:val="20"/>
        </w:rPr>
        <w:t xml:space="preserve">of the material </w:t>
      </w:r>
      <w:r w:rsidRPr="00DE3EDA">
        <w:rPr>
          <w:rFonts w:ascii="Arial" w:hAnsi="Arial" w:cs="Arial"/>
          <w:color w:val="000000" w:themeColor="text1"/>
          <w:sz w:val="20"/>
        </w:rPr>
        <w:t>the licensee claims as broadcast material for the purposes of accumulating points.</w:t>
      </w:r>
      <w:r w:rsidR="002827F8" w:rsidRPr="00DE3EDA">
        <w:rPr>
          <w:rFonts w:ascii="Arial" w:hAnsi="Arial" w:cs="Arial"/>
          <w:color w:val="000000" w:themeColor="text1"/>
          <w:sz w:val="20"/>
        </w:rPr>
        <w:t xml:space="preserve"> Previously, the 2007 Licence Condition mandated that these records </w:t>
      </w:r>
      <w:r w:rsidR="00D11414" w:rsidRPr="00DE3EDA">
        <w:rPr>
          <w:rFonts w:ascii="Arial" w:hAnsi="Arial" w:cs="Arial"/>
          <w:color w:val="000000" w:themeColor="text1"/>
          <w:sz w:val="20"/>
        </w:rPr>
        <w:t xml:space="preserve">must </w:t>
      </w:r>
      <w:r w:rsidR="002827F8" w:rsidRPr="00DE3EDA">
        <w:rPr>
          <w:rFonts w:ascii="Arial" w:hAnsi="Arial" w:cs="Arial"/>
          <w:color w:val="000000" w:themeColor="text1"/>
          <w:sz w:val="20"/>
        </w:rPr>
        <w:t>b</w:t>
      </w:r>
      <w:r w:rsidR="004A735A" w:rsidRPr="00DE3EDA">
        <w:rPr>
          <w:rFonts w:ascii="Arial" w:hAnsi="Arial" w:cs="Arial"/>
          <w:color w:val="000000" w:themeColor="text1"/>
          <w:sz w:val="20"/>
        </w:rPr>
        <w:t>e made in writing</w:t>
      </w:r>
      <w:r w:rsidR="00D11414" w:rsidRPr="00DE3EDA">
        <w:rPr>
          <w:rFonts w:ascii="Arial" w:hAnsi="Arial" w:cs="Arial"/>
          <w:color w:val="000000" w:themeColor="text1"/>
          <w:sz w:val="20"/>
        </w:rPr>
        <w:t>.</w:t>
      </w:r>
    </w:p>
    <w:p w14:paraId="380FAD86" w14:textId="6DCF9A40" w:rsidR="002827F8" w:rsidRPr="00DE3EDA" w:rsidRDefault="002827F8" w:rsidP="00F36E8C">
      <w:pPr>
        <w:pStyle w:val="ACMABodyText"/>
        <w:jc w:val="both"/>
        <w:rPr>
          <w:rFonts w:ascii="Arial" w:hAnsi="Arial" w:cs="Arial"/>
          <w:color w:val="000000" w:themeColor="text1"/>
          <w:sz w:val="20"/>
        </w:rPr>
      </w:pPr>
      <w:r w:rsidRPr="00DE3EDA">
        <w:rPr>
          <w:rFonts w:ascii="Arial" w:hAnsi="Arial" w:cs="Arial"/>
          <w:color w:val="000000" w:themeColor="text1"/>
          <w:sz w:val="20"/>
        </w:rPr>
        <w:t xml:space="preserve">Subsection 10(5) of the 2007 Licence Condition required </w:t>
      </w:r>
      <w:r w:rsidR="00626EE0" w:rsidRPr="00DE3EDA">
        <w:rPr>
          <w:rFonts w:ascii="Arial" w:hAnsi="Arial" w:cs="Arial"/>
          <w:color w:val="000000" w:themeColor="text1"/>
          <w:sz w:val="20"/>
        </w:rPr>
        <w:t>an affected licensee</w:t>
      </w:r>
      <w:r w:rsidRPr="00DE3EDA">
        <w:rPr>
          <w:rFonts w:ascii="Arial" w:hAnsi="Arial" w:cs="Arial"/>
          <w:color w:val="000000" w:themeColor="text1"/>
          <w:sz w:val="20"/>
        </w:rPr>
        <w:t xml:space="preserve"> to inform the ACMA of the points accumulated for each of its local areas, and set out the due date for this information in an attached table. </w:t>
      </w:r>
      <w:r w:rsidR="000F3337">
        <w:rPr>
          <w:rFonts w:ascii="Arial" w:hAnsi="Arial" w:cs="Arial"/>
          <w:color w:val="000000" w:themeColor="text1"/>
          <w:sz w:val="20"/>
        </w:rPr>
        <w:t>T</w:t>
      </w:r>
      <w:r w:rsidRPr="00DE3EDA">
        <w:rPr>
          <w:rFonts w:ascii="Arial" w:hAnsi="Arial" w:cs="Arial"/>
          <w:color w:val="000000" w:themeColor="text1"/>
          <w:sz w:val="20"/>
        </w:rPr>
        <w:t>his requirement does not appear in the Licence Condition.</w:t>
      </w:r>
    </w:p>
    <w:p w14:paraId="036D4B40" w14:textId="36C11F69" w:rsidR="0071507A" w:rsidRPr="00DE3EDA" w:rsidRDefault="002827F8" w:rsidP="00DE3EDA">
      <w:pPr>
        <w:pStyle w:val="ACMABodyText"/>
        <w:spacing w:after="240"/>
        <w:jc w:val="both"/>
        <w:rPr>
          <w:rFonts w:ascii="Arial" w:hAnsi="Arial" w:cs="Arial"/>
          <w:color w:val="000000" w:themeColor="text1"/>
          <w:sz w:val="20"/>
        </w:rPr>
      </w:pPr>
      <w:r w:rsidRPr="00DE3EDA">
        <w:rPr>
          <w:rFonts w:ascii="Arial" w:hAnsi="Arial" w:cs="Arial"/>
          <w:color w:val="000000" w:themeColor="text1"/>
          <w:sz w:val="20"/>
        </w:rPr>
        <w:t xml:space="preserve">Subsection 10(8) of the 2007 Licence Condition allowed the ACMA to publish information given by the licensee under subsection 10(5) of the 2007 Licence Condition. As this information is no longer required to be given to the ACMA, </w:t>
      </w:r>
      <w:r w:rsidR="000F3337">
        <w:rPr>
          <w:rFonts w:ascii="Arial" w:hAnsi="Arial" w:cs="Arial"/>
          <w:color w:val="000000" w:themeColor="text1"/>
          <w:sz w:val="20"/>
        </w:rPr>
        <w:t>no</w:t>
      </w:r>
      <w:r w:rsidRPr="00DE3EDA">
        <w:rPr>
          <w:rFonts w:ascii="Arial" w:hAnsi="Arial" w:cs="Arial"/>
          <w:color w:val="000000" w:themeColor="text1"/>
          <w:sz w:val="20"/>
        </w:rPr>
        <w:t xml:space="preserve"> equivalent </w:t>
      </w:r>
      <w:r w:rsidR="000F3337">
        <w:rPr>
          <w:rFonts w:ascii="Arial" w:hAnsi="Arial" w:cs="Arial"/>
          <w:color w:val="000000" w:themeColor="text1"/>
          <w:sz w:val="20"/>
        </w:rPr>
        <w:t>provision</w:t>
      </w:r>
      <w:r w:rsidRPr="00DE3EDA">
        <w:rPr>
          <w:rFonts w:ascii="Arial" w:hAnsi="Arial" w:cs="Arial"/>
          <w:color w:val="000000" w:themeColor="text1"/>
          <w:sz w:val="20"/>
        </w:rPr>
        <w:t xml:space="preserve"> appear</w:t>
      </w:r>
      <w:r w:rsidR="000F3337">
        <w:rPr>
          <w:rFonts w:ascii="Arial" w:hAnsi="Arial" w:cs="Arial"/>
          <w:color w:val="000000" w:themeColor="text1"/>
          <w:sz w:val="20"/>
        </w:rPr>
        <w:t>s</w:t>
      </w:r>
      <w:r w:rsidRPr="00DE3EDA">
        <w:rPr>
          <w:rFonts w:ascii="Arial" w:hAnsi="Arial" w:cs="Arial"/>
          <w:color w:val="000000" w:themeColor="text1"/>
          <w:sz w:val="20"/>
        </w:rPr>
        <w:t xml:space="preserve"> in the Licence Condition.</w:t>
      </w:r>
      <w:r w:rsidR="0071507A" w:rsidRPr="00DE3EDA">
        <w:rPr>
          <w:rFonts w:ascii="Arial" w:hAnsi="Arial" w:cs="Arial"/>
          <w:color w:val="000000" w:themeColor="text1"/>
          <w:sz w:val="20"/>
        </w:rPr>
        <w:t xml:space="preserve"> </w:t>
      </w:r>
    </w:p>
    <w:p w14:paraId="12EC9185" w14:textId="732336B7" w:rsidR="0071507A" w:rsidRPr="00DE3EDA" w:rsidRDefault="00C421FD" w:rsidP="00F36E8C">
      <w:pPr>
        <w:pStyle w:val="ACMABodyText"/>
        <w:jc w:val="both"/>
        <w:rPr>
          <w:rFonts w:ascii="Arial" w:hAnsi="Arial" w:cs="Arial"/>
          <w:b/>
          <w:color w:val="000000" w:themeColor="text1"/>
          <w:sz w:val="20"/>
        </w:rPr>
      </w:pPr>
      <w:r w:rsidRPr="00DE3EDA">
        <w:rPr>
          <w:rFonts w:ascii="Arial" w:hAnsi="Arial" w:cs="Arial"/>
          <w:b/>
          <w:color w:val="000000" w:themeColor="text1"/>
          <w:sz w:val="20"/>
        </w:rPr>
        <w:t>Regulatory Impact Analysis</w:t>
      </w:r>
    </w:p>
    <w:p w14:paraId="13B3D153" w14:textId="646AF666" w:rsidR="002827F8" w:rsidRPr="003A22B7" w:rsidRDefault="00C421FD" w:rsidP="003A22B7">
      <w:pPr>
        <w:pStyle w:val="ACMABodyText"/>
        <w:spacing w:after="240"/>
        <w:jc w:val="both"/>
        <w:rPr>
          <w:rFonts w:ascii="Arial" w:hAnsi="Arial" w:cs="Arial"/>
          <w:color w:val="000000" w:themeColor="text1"/>
          <w:sz w:val="20"/>
        </w:rPr>
      </w:pPr>
      <w:r w:rsidRPr="00DE3EDA">
        <w:rPr>
          <w:rFonts w:ascii="Arial" w:hAnsi="Arial" w:cs="Arial"/>
          <w:color w:val="000000" w:themeColor="text1"/>
          <w:sz w:val="20"/>
        </w:rPr>
        <w:t xml:space="preserve">The ACMA undertook a preliminary assessment to determine whether or not a regulatory impact </w:t>
      </w:r>
      <w:r w:rsidR="000F3337">
        <w:rPr>
          <w:rFonts w:ascii="Arial" w:hAnsi="Arial" w:cs="Arial"/>
          <w:color w:val="000000" w:themeColor="text1"/>
          <w:sz w:val="20"/>
        </w:rPr>
        <w:t>statement was</w:t>
      </w:r>
      <w:r w:rsidRPr="00DE3EDA">
        <w:rPr>
          <w:rFonts w:ascii="Arial" w:hAnsi="Arial" w:cs="Arial"/>
          <w:color w:val="000000" w:themeColor="text1"/>
          <w:sz w:val="20"/>
        </w:rPr>
        <w:t xml:space="preserve"> necessary. On the basis of this preliminary assessment, the Office of Best Practice Regulation (OBPR) has determined that the proposed regulatory change in this instance is minor or machinery in nature, and </w:t>
      </w:r>
      <w:r w:rsidR="000F3337">
        <w:rPr>
          <w:rFonts w:ascii="Arial" w:hAnsi="Arial" w:cs="Arial"/>
          <w:color w:val="000000" w:themeColor="text1"/>
          <w:sz w:val="20"/>
        </w:rPr>
        <w:t>so</w:t>
      </w:r>
      <w:r w:rsidRPr="00DE3EDA">
        <w:rPr>
          <w:rFonts w:ascii="Arial" w:hAnsi="Arial" w:cs="Arial"/>
          <w:color w:val="000000" w:themeColor="text1"/>
          <w:sz w:val="20"/>
        </w:rPr>
        <w:t xml:space="preserve"> no further regulatory impact analysis is required. </w:t>
      </w:r>
    </w:p>
    <w:p w14:paraId="747213EC" w14:textId="77777777" w:rsidR="0071507A" w:rsidRPr="00DE3EDA" w:rsidRDefault="0071507A" w:rsidP="00F36E8C">
      <w:pPr>
        <w:pStyle w:val="ACMABodyText"/>
        <w:jc w:val="both"/>
        <w:rPr>
          <w:rFonts w:ascii="Arial" w:hAnsi="Arial" w:cs="Arial"/>
          <w:b/>
          <w:sz w:val="20"/>
        </w:rPr>
      </w:pPr>
      <w:r w:rsidRPr="00DE3EDA">
        <w:rPr>
          <w:rFonts w:ascii="Arial" w:hAnsi="Arial" w:cs="Arial"/>
          <w:b/>
          <w:sz w:val="20"/>
        </w:rPr>
        <w:t>Statement of Compatibility</w:t>
      </w:r>
    </w:p>
    <w:p w14:paraId="57733C78" w14:textId="6000C969" w:rsidR="0071507A" w:rsidRPr="00DE3EDA" w:rsidRDefault="0071507A" w:rsidP="00DE3EDA">
      <w:pPr>
        <w:spacing w:after="240"/>
        <w:jc w:val="both"/>
        <w:rPr>
          <w:rFonts w:ascii="Arial" w:hAnsi="Arial" w:cs="Arial"/>
          <w:sz w:val="20"/>
          <w:szCs w:val="20"/>
        </w:rPr>
      </w:pPr>
      <w:r w:rsidRPr="00DE3EDA">
        <w:rPr>
          <w:rFonts w:ascii="Arial" w:hAnsi="Arial" w:cs="Arial"/>
          <w:sz w:val="20"/>
          <w:szCs w:val="20"/>
        </w:rPr>
        <w:t xml:space="preserve">Subsection 9(1) of the </w:t>
      </w:r>
      <w:r w:rsidRPr="00DE3EDA">
        <w:rPr>
          <w:rFonts w:ascii="Arial" w:hAnsi="Arial" w:cs="Arial"/>
          <w:i/>
          <w:sz w:val="20"/>
          <w:szCs w:val="20"/>
        </w:rPr>
        <w:t>Human Rights (Parliamentary Scrutiny) Act 2011</w:t>
      </w:r>
      <w:r w:rsidRPr="00DE3EDA">
        <w:rPr>
          <w:rFonts w:ascii="Arial" w:hAnsi="Arial" w:cs="Arial"/>
          <w:sz w:val="20"/>
          <w:szCs w:val="20"/>
        </w:rPr>
        <w:t xml:space="preserve"> requires the rule maker in relation to a legislative instrument to which section 42 (disallowance) of the </w:t>
      </w:r>
      <w:r w:rsidR="00193016" w:rsidRPr="00DE3EDA">
        <w:rPr>
          <w:rFonts w:ascii="Arial" w:hAnsi="Arial" w:cs="Arial"/>
          <w:i/>
          <w:sz w:val="20"/>
          <w:szCs w:val="20"/>
        </w:rPr>
        <w:t>Legislative Instruments Act 2003</w:t>
      </w:r>
      <w:r w:rsidR="00193016" w:rsidRPr="00DE3EDA">
        <w:rPr>
          <w:rFonts w:ascii="Arial" w:hAnsi="Arial" w:cs="Arial"/>
          <w:sz w:val="20"/>
          <w:szCs w:val="20"/>
        </w:rPr>
        <w:t xml:space="preserve"> </w:t>
      </w:r>
      <w:r w:rsidRPr="00DE3EDA">
        <w:rPr>
          <w:rFonts w:ascii="Arial" w:hAnsi="Arial" w:cs="Arial"/>
          <w:sz w:val="20"/>
          <w:szCs w:val="20"/>
        </w:rPr>
        <w:t>Act applies to cause a statement of compatibility</w:t>
      </w:r>
      <w:r w:rsidR="000F3337">
        <w:rPr>
          <w:rFonts w:ascii="Arial" w:hAnsi="Arial" w:cs="Arial"/>
          <w:sz w:val="20"/>
          <w:szCs w:val="20"/>
        </w:rPr>
        <w:t xml:space="preserve"> with human rights</w:t>
      </w:r>
      <w:r w:rsidRPr="00DE3EDA">
        <w:rPr>
          <w:rFonts w:ascii="Arial" w:hAnsi="Arial" w:cs="Arial"/>
          <w:sz w:val="20"/>
          <w:szCs w:val="20"/>
        </w:rPr>
        <w:t xml:space="preserve"> to be prepared in respect of that legislative instrument. The statement is at Attachment</w:t>
      </w:r>
      <w:r w:rsidR="002827F8" w:rsidRPr="00DE3EDA">
        <w:rPr>
          <w:rFonts w:ascii="Arial" w:hAnsi="Arial" w:cs="Arial"/>
          <w:sz w:val="20"/>
          <w:szCs w:val="20"/>
        </w:rPr>
        <w:t xml:space="preserve"> </w:t>
      </w:r>
      <w:r w:rsidR="00C421FD" w:rsidRPr="00DE3EDA">
        <w:rPr>
          <w:rFonts w:ascii="Arial" w:hAnsi="Arial" w:cs="Arial"/>
          <w:sz w:val="20"/>
          <w:szCs w:val="20"/>
        </w:rPr>
        <w:t>A</w:t>
      </w:r>
      <w:r w:rsidRPr="00DE3EDA">
        <w:rPr>
          <w:rFonts w:ascii="Arial" w:hAnsi="Arial" w:cs="Arial"/>
          <w:sz w:val="20"/>
          <w:szCs w:val="20"/>
        </w:rPr>
        <w:t>.</w:t>
      </w:r>
    </w:p>
    <w:p w14:paraId="0B3BDF69" w14:textId="77777777" w:rsidR="0071507A" w:rsidRPr="00DE3EDA" w:rsidRDefault="0071507A" w:rsidP="0071507A">
      <w:pPr>
        <w:pStyle w:val="ACMABodyText"/>
        <w:rPr>
          <w:rFonts w:ascii="Arial" w:hAnsi="Arial" w:cs="Arial"/>
          <w:b/>
          <w:sz w:val="20"/>
        </w:rPr>
      </w:pPr>
      <w:r w:rsidRPr="00DE3EDA">
        <w:rPr>
          <w:rFonts w:ascii="Arial" w:hAnsi="Arial" w:cs="Arial"/>
          <w:b/>
          <w:sz w:val="20"/>
        </w:rPr>
        <w:t>Documents incorporated by reference</w:t>
      </w:r>
    </w:p>
    <w:p w14:paraId="12F6814F" w14:textId="77777777" w:rsidR="0071507A" w:rsidRPr="00DE3EDA" w:rsidRDefault="0071507A" w:rsidP="00DE3EDA">
      <w:pPr>
        <w:pStyle w:val="ACMABodyText"/>
        <w:spacing w:after="240"/>
        <w:rPr>
          <w:rFonts w:ascii="Arial" w:hAnsi="Arial" w:cs="Arial"/>
          <w:sz w:val="20"/>
        </w:rPr>
      </w:pPr>
      <w:r w:rsidRPr="00DE3EDA">
        <w:rPr>
          <w:rFonts w:ascii="Arial" w:hAnsi="Arial" w:cs="Arial"/>
          <w:sz w:val="20"/>
        </w:rPr>
        <w:t xml:space="preserve">None. </w:t>
      </w:r>
    </w:p>
    <w:p w14:paraId="15CB7617" w14:textId="77777777" w:rsidR="0071507A" w:rsidRPr="00DE3EDA" w:rsidRDefault="00035D56" w:rsidP="00035D56">
      <w:pPr>
        <w:pStyle w:val="ACMABodyText"/>
        <w:rPr>
          <w:rFonts w:ascii="Arial" w:hAnsi="Arial" w:cs="Arial"/>
          <w:b/>
          <w:sz w:val="20"/>
        </w:rPr>
      </w:pPr>
      <w:r w:rsidRPr="00DE3EDA">
        <w:rPr>
          <w:rFonts w:ascii="Arial" w:hAnsi="Arial" w:cs="Arial"/>
          <w:b/>
          <w:sz w:val="20"/>
        </w:rPr>
        <w:t xml:space="preserve">NOTES ON THE </w:t>
      </w:r>
      <w:r w:rsidR="00B13FBE" w:rsidRPr="00DE3EDA">
        <w:rPr>
          <w:rFonts w:ascii="Arial" w:hAnsi="Arial" w:cs="Arial"/>
          <w:b/>
          <w:sz w:val="20"/>
        </w:rPr>
        <w:t>LICENCE CONDITION</w:t>
      </w:r>
    </w:p>
    <w:p w14:paraId="397E0149" w14:textId="77777777" w:rsidR="00035D56" w:rsidRPr="00DE3EDA" w:rsidRDefault="00035D56" w:rsidP="00035D56">
      <w:pPr>
        <w:pStyle w:val="ACMABodyText"/>
        <w:rPr>
          <w:rFonts w:ascii="Arial" w:hAnsi="Arial" w:cs="Arial"/>
          <w:b/>
          <w:sz w:val="20"/>
        </w:rPr>
      </w:pPr>
      <w:r w:rsidRPr="00DE3EDA">
        <w:rPr>
          <w:rFonts w:ascii="Arial" w:hAnsi="Arial" w:cs="Arial"/>
          <w:b/>
          <w:sz w:val="20"/>
        </w:rPr>
        <w:t>Section 1</w:t>
      </w:r>
      <w:r w:rsidR="001B37D3" w:rsidRPr="00DE3EDA">
        <w:rPr>
          <w:rFonts w:ascii="Arial" w:hAnsi="Arial" w:cs="Arial"/>
          <w:b/>
          <w:sz w:val="20"/>
        </w:rPr>
        <w:tab/>
      </w:r>
      <w:r w:rsidRPr="00DE3EDA">
        <w:rPr>
          <w:rFonts w:ascii="Arial" w:hAnsi="Arial" w:cs="Arial"/>
          <w:b/>
          <w:sz w:val="20"/>
        </w:rPr>
        <w:t xml:space="preserve">Name of </w:t>
      </w:r>
      <w:r w:rsidR="00B13FBE" w:rsidRPr="00DE3EDA">
        <w:rPr>
          <w:rFonts w:ascii="Arial" w:hAnsi="Arial" w:cs="Arial"/>
          <w:b/>
          <w:sz w:val="20"/>
        </w:rPr>
        <w:t>Notice</w:t>
      </w:r>
    </w:p>
    <w:p w14:paraId="32041873" w14:textId="77777777" w:rsidR="00035D56" w:rsidRPr="00DE3EDA" w:rsidRDefault="00035D56" w:rsidP="00035D56">
      <w:pPr>
        <w:pStyle w:val="ACMABodyText"/>
        <w:rPr>
          <w:rFonts w:ascii="Arial" w:hAnsi="Arial" w:cs="Arial"/>
          <w:sz w:val="20"/>
        </w:rPr>
      </w:pPr>
      <w:r w:rsidRPr="00DE3EDA">
        <w:rPr>
          <w:rFonts w:ascii="Arial" w:hAnsi="Arial" w:cs="Arial"/>
          <w:sz w:val="20"/>
        </w:rPr>
        <w:t>Section 1 provides that the name of the instrument is the</w:t>
      </w:r>
      <w:r w:rsidR="00B13FBE" w:rsidRPr="00DE3EDA">
        <w:rPr>
          <w:rFonts w:ascii="Arial" w:hAnsi="Arial" w:cs="Arial"/>
          <w:sz w:val="20"/>
        </w:rPr>
        <w:t xml:space="preserve"> </w:t>
      </w:r>
      <w:r w:rsidR="00B13FBE" w:rsidRPr="00DE3EDA">
        <w:rPr>
          <w:rFonts w:ascii="Arial" w:hAnsi="Arial" w:cs="Arial"/>
          <w:i/>
          <w:sz w:val="20"/>
        </w:rPr>
        <w:t>Broadcasting Services (Additional Television Licence Condition) Notice 2014</w:t>
      </w:r>
      <w:r w:rsidRPr="00DE3EDA">
        <w:rPr>
          <w:rFonts w:ascii="Arial" w:hAnsi="Arial" w:cs="Arial"/>
          <w:sz w:val="20"/>
        </w:rPr>
        <w:t>.</w:t>
      </w:r>
    </w:p>
    <w:p w14:paraId="622ABFD4" w14:textId="77777777" w:rsidR="00035D56" w:rsidRPr="00DE3EDA" w:rsidRDefault="00035D56" w:rsidP="00035D56">
      <w:pPr>
        <w:pStyle w:val="ACMABodyText"/>
        <w:rPr>
          <w:rFonts w:ascii="Arial" w:hAnsi="Arial" w:cs="Arial"/>
          <w:b/>
          <w:sz w:val="20"/>
        </w:rPr>
      </w:pPr>
      <w:r w:rsidRPr="00DE3EDA">
        <w:rPr>
          <w:rFonts w:ascii="Arial" w:hAnsi="Arial" w:cs="Arial"/>
          <w:b/>
          <w:sz w:val="20"/>
        </w:rPr>
        <w:t>Section 2</w:t>
      </w:r>
      <w:r w:rsidR="001B37D3" w:rsidRPr="00DE3EDA">
        <w:rPr>
          <w:rFonts w:ascii="Arial" w:hAnsi="Arial" w:cs="Arial"/>
          <w:b/>
          <w:sz w:val="20"/>
        </w:rPr>
        <w:tab/>
      </w:r>
      <w:r w:rsidRPr="00DE3EDA">
        <w:rPr>
          <w:rFonts w:ascii="Arial" w:hAnsi="Arial" w:cs="Arial"/>
          <w:b/>
          <w:sz w:val="20"/>
        </w:rPr>
        <w:t>Commencement</w:t>
      </w:r>
    </w:p>
    <w:p w14:paraId="1D0E0FDE" w14:textId="767B987E" w:rsidR="00035D56" w:rsidRPr="00DE3EDA" w:rsidRDefault="00035D56" w:rsidP="00035D56">
      <w:pPr>
        <w:pStyle w:val="ACMABodyText"/>
        <w:rPr>
          <w:rFonts w:ascii="Arial" w:hAnsi="Arial" w:cs="Arial"/>
          <w:i/>
          <w:sz w:val="20"/>
        </w:rPr>
      </w:pPr>
      <w:r w:rsidRPr="00DE3EDA">
        <w:rPr>
          <w:rFonts w:ascii="Arial" w:hAnsi="Arial" w:cs="Arial"/>
          <w:sz w:val="20"/>
        </w:rPr>
        <w:t xml:space="preserve">Section 2 provides that the </w:t>
      </w:r>
      <w:r w:rsidR="000F3337">
        <w:rPr>
          <w:rFonts w:ascii="Arial" w:hAnsi="Arial" w:cs="Arial"/>
          <w:sz w:val="20"/>
        </w:rPr>
        <w:t>Licence Condition</w:t>
      </w:r>
      <w:r w:rsidRPr="00DE3EDA">
        <w:rPr>
          <w:rFonts w:ascii="Arial" w:hAnsi="Arial" w:cs="Arial"/>
          <w:sz w:val="20"/>
        </w:rPr>
        <w:t xml:space="preserve"> commences on </w:t>
      </w:r>
      <w:r w:rsidR="00D76E75" w:rsidRPr="00DE3EDA">
        <w:rPr>
          <w:rFonts w:ascii="Arial" w:hAnsi="Arial" w:cs="Arial"/>
          <w:sz w:val="20"/>
        </w:rPr>
        <w:t>1 October 2014</w:t>
      </w:r>
      <w:r w:rsidRPr="00DE3EDA">
        <w:rPr>
          <w:rFonts w:ascii="Arial" w:hAnsi="Arial" w:cs="Arial"/>
          <w:sz w:val="20"/>
        </w:rPr>
        <w:t>.</w:t>
      </w:r>
    </w:p>
    <w:p w14:paraId="3F83880C" w14:textId="77777777" w:rsidR="00035D56" w:rsidRPr="00DE3EDA" w:rsidRDefault="00035D56" w:rsidP="00FA73E3">
      <w:pPr>
        <w:pStyle w:val="ACMABodyText"/>
        <w:rPr>
          <w:rFonts w:ascii="Arial" w:hAnsi="Arial" w:cs="Arial"/>
          <w:b/>
          <w:i/>
          <w:sz w:val="20"/>
        </w:rPr>
      </w:pPr>
      <w:r w:rsidRPr="00DE3EDA">
        <w:rPr>
          <w:rFonts w:ascii="Arial" w:hAnsi="Arial" w:cs="Arial"/>
          <w:b/>
          <w:sz w:val="20"/>
        </w:rPr>
        <w:t>Section 3</w:t>
      </w:r>
      <w:r w:rsidR="001B37D3" w:rsidRPr="00DE3EDA">
        <w:rPr>
          <w:rFonts w:ascii="Arial" w:hAnsi="Arial" w:cs="Arial"/>
          <w:b/>
          <w:sz w:val="20"/>
        </w:rPr>
        <w:tab/>
      </w:r>
      <w:r w:rsidR="00FA73E3" w:rsidRPr="00DE3EDA">
        <w:rPr>
          <w:rFonts w:ascii="Arial" w:hAnsi="Arial" w:cs="Arial"/>
          <w:b/>
          <w:sz w:val="20"/>
        </w:rPr>
        <w:t>Revocation</w:t>
      </w:r>
    </w:p>
    <w:p w14:paraId="34070A61" w14:textId="77777777" w:rsidR="00035D56" w:rsidRPr="00DE3EDA" w:rsidRDefault="00035D56" w:rsidP="00035D56">
      <w:pPr>
        <w:pStyle w:val="ACMABodyText"/>
        <w:rPr>
          <w:rFonts w:ascii="Arial" w:hAnsi="Arial" w:cs="Arial"/>
          <w:sz w:val="20"/>
        </w:rPr>
      </w:pPr>
      <w:r w:rsidRPr="00DE3EDA">
        <w:rPr>
          <w:rFonts w:ascii="Arial" w:hAnsi="Arial" w:cs="Arial"/>
          <w:sz w:val="20"/>
        </w:rPr>
        <w:t>Section 3 provides that</w:t>
      </w:r>
      <w:r w:rsidR="00FA73E3" w:rsidRPr="00DE3EDA">
        <w:rPr>
          <w:rFonts w:ascii="Arial" w:hAnsi="Arial" w:cs="Arial"/>
          <w:sz w:val="20"/>
        </w:rPr>
        <w:t xml:space="preserve"> the</w:t>
      </w:r>
      <w:r w:rsidRPr="00DE3EDA">
        <w:rPr>
          <w:rFonts w:ascii="Arial" w:hAnsi="Arial" w:cs="Arial"/>
          <w:sz w:val="20"/>
        </w:rPr>
        <w:t xml:space="preserve"> </w:t>
      </w:r>
      <w:r w:rsidR="00FA73E3" w:rsidRPr="00DE3EDA">
        <w:rPr>
          <w:rFonts w:ascii="Arial" w:hAnsi="Arial" w:cs="Arial"/>
          <w:i/>
          <w:sz w:val="20"/>
        </w:rPr>
        <w:t>Broadcasting Services (Additional Television Licence Condition) Notice 8 November 2007</w:t>
      </w:r>
      <w:r w:rsidR="00FA73E3" w:rsidRPr="00DE3EDA">
        <w:rPr>
          <w:rFonts w:ascii="Arial" w:hAnsi="Arial" w:cs="Arial"/>
          <w:sz w:val="20"/>
        </w:rPr>
        <w:t xml:space="preserve"> is revoked.</w:t>
      </w:r>
    </w:p>
    <w:p w14:paraId="0D25F2CC" w14:textId="7E961A1F" w:rsidR="00FA73E3" w:rsidRPr="00DE3EDA" w:rsidRDefault="00FA73E3" w:rsidP="00FA73E3">
      <w:pPr>
        <w:pStyle w:val="ACMABodyText"/>
        <w:rPr>
          <w:rFonts w:ascii="Arial" w:hAnsi="Arial" w:cs="Arial"/>
          <w:b/>
          <w:i/>
          <w:sz w:val="20"/>
        </w:rPr>
      </w:pPr>
      <w:r w:rsidRPr="00DE3EDA">
        <w:rPr>
          <w:rFonts w:ascii="Arial" w:hAnsi="Arial" w:cs="Arial"/>
          <w:b/>
          <w:sz w:val="20"/>
        </w:rPr>
        <w:t>Section 4</w:t>
      </w:r>
      <w:r w:rsidRPr="00DE3EDA">
        <w:rPr>
          <w:rFonts w:ascii="Arial" w:hAnsi="Arial" w:cs="Arial"/>
          <w:b/>
          <w:sz w:val="20"/>
        </w:rPr>
        <w:tab/>
      </w:r>
      <w:r w:rsidR="000F3337">
        <w:rPr>
          <w:rFonts w:ascii="Arial" w:hAnsi="Arial" w:cs="Arial"/>
          <w:b/>
          <w:sz w:val="20"/>
        </w:rPr>
        <w:t>Transitional</w:t>
      </w:r>
    </w:p>
    <w:p w14:paraId="03E0417F" w14:textId="3F4625C5" w:rsidR="00FA73E3" w:rsidRPr="00DE3EDA" w:rsidRDefault="00FA73E3" w:rsidP="00035D56">
      <w:pPr>
        <w:pStyle w:val="ACMABodyText"/>
        <w:rPr>
          <w:rFonts w:ascii="Arial" w:hAnsi="Arial" w:cs="Arial"/>
          <w:sz w:val="20"/>
        </w:rPr>
      </w:pPr>
      <w:r w:rsidRPr="00DE3EDA">
        <w:rPr>
          <w:rFonts w:ascii="Arial" w:hAnsi="Arial" w:cs="Arial"/>
          <w:sz w:val="20"/>
        </w:rPr>
        <w:lastRenderedPageBreak/>
        <w:t xml:space="preserve">Section 4 provides that </w:t>
      </w:r>
      <w:r w:rsidR="00391F73">
        <w:rPr>
          <w:rFonts w:ascii="Arial" w:hAnsi="Arial" w:cs="Arial"/>
          <w:sz w:val="20"/>
        </w:rPr>
        <w:t xml:space="preserve">an obligation to make or keep records </w:t>
      </w:r>
      <w:r w:rsidR="000F3337">
        <w:rPr>
          <w:rFonts w:ascii="Arial" w:hAnsi="Arial" w:cs="Arial"/>
          <w:sz w:val="20"/>
        </w:rPr>
        <w:t>under</w:t>
      </w:r>
      <w:r w:rsidR="00391F73">
        <w:rPr>
          <w:rFonts w:ascii="Arial" w:hAnsi="Arial" w:cs="Arial"/>
          <w:sz w:val="20"/>
        </w:rPr>
        <w:t xml:space="preserve"> the</w:t>
      </w:r>
      <w:r w:rsidR="000F3337">
        <w:rPr>
          <w:rFonts w:ascii="Arial" w:hAnsi="Arial" w:cs="Arial"/>
          <w:sz w:val="20"/>
        </w:rPr>
        <w:t xml:space="preserve"> </w:t>
      </w:r>
      <w:r w:rsidR="000F3337" w:rsidRPr="00DE3EDA">
        <w:rPr>
          <w:rFonts w:ascii="Arial" w:hAnsi="Arial" w:cs="Arial"/>
          <w:i/>
          <w:sz w:val="20"/>
        </w:rPr>
        <w:t>Broadcasting Services (Additional Television Licence Condition) Notice 8 November 2007</w:t>
      </w:r>
      <w:r w:rsidR="000F3337" w:rsidRPr="000F3337">
        <w:rPr>
          <w:rFonts w:ascii="Arial" w:hAnsi="Arial" w:cs="Arial"/>
          <w:sz w:val="20"/>
        </w:rPr>
        <w:t xml:space="preserve"> is taken to be </w:t>
      </w:r>
      <w:r w:rsidR="000F3337">
        <w:rPr>
          <w:rFonts w:ascii="Arial" w:hAnsi="Arial" w:cs="Arial"/>
          <w:sz w:val="20"/>
        </w:rPr>
        <w:t xml:space="preserve">an obligation </w:t>
      </w:r>
      <w:r w:rsidR="00391F73">
        <w:rPr>
          <w:rFonts w:ascii="Arial" w:hAnsi="Arial" w:cs="Arial"/>
          <w:sz w:val="20"/>
        </w:rPr>
        <w:t xml:space="preserve">in relation those records </w:t>
      </w:r>
      <w:r w:rsidR="000F3337">
        <w:rPr>
          <w:rFonts w:ascii="Arial" w:hAnsi="Arial" w:cs="Arial"/>
          <w:sz w:val="20"/>
        </w:rPr>
        <w:t>under section 10 of this Licence Condition</w:t>
      </w:r>
      <w:r w:rsidRPr="00DE3EDA">
        <w:rPr>
          <w:rFonts w:ascii="Arial" w:hAnsi="Arial" w:cs="Arial"/>
          <w:sz w:val="20"/>
        </w:rPr>
        <w:t>.</w:t>
      </w:r>
    </w:p>
    <w:p w14:paraId="4D3D6041" w14:textId="77777777" w:rsidR="00FA73E3" w:rsidRPr="00DE3EDA" w:rsidRDefault="00FA73E3" w:rsidP="00FA73E3">
      <w:pPr>
        <w:pStyle w:val="ACMABodyText"/>
        <w:rPr>
          <w:rFonts w:ascii="Arial" w:hAnsi="Arial" w:cs="Arial"/>
          <w:b/>
          <w:i/>
          <w:sz w:val="20"/>
        </w:rPr>
      </w:pPr>
      <w:r w:rsidRPr="00DE3EDA">
        <w:rPr>
          <w:rFonts w:ascii="Arial" w:hAnsi="Arial" w:cs="Arial"/>
          <w:b/>
          <w:sz w:val="20"/>
        </w:rPr>
        <w:t>Section 5</w:t>
      </w:r>
      <w:r w:rsidRPr="00DE3EDA">
        <w:rPr>
          <w:rFonts w:ascii="Arial" w:hAnsi="Arial" w:cs="Arial"/>
          <w:b/>
          <w:sz w:val="20"/>
        </w:rPr>
        <w:tab/>
        <w:t>Interpretation</w:t>
      </w:r>
    </w:p>
    <w:p w14:paraId="46A28384" w14:textId="2956F7A7" w:rsidR="00FA73E3" w:rsidRPr="00DE3EDA" w:rsidRDefault="00FA73E3" w:rsidP="00FA73E3">
      <w:pPr>
        <w:pStyle w:val="ACMABodyText"/>
        <w:rPr>
          <w:rFonts w:ascii="Arial" w:hAnsi="Arial" w:cs="Arial"/>
          <w:sz w:val="20"/>
        </w:rPr>
      </w:pPr>
      <w:r w:rsidRPr="00DE3EDA">
        <w:rPr>
          <w:rFonts w:ascii="Arial" w:hAnsi="Arial" w:cs="Arial"/>
          <w:sz w:val="20"/>
        </w:rPr>
        <w:t xml:space="preserve">Section 5 sets out the meaning of various terms used in the </w:t>
      </w:r>
      <w:r w:rsidR="000F3337">
        <w:rPr>
          <w:rFonts w:ascii="Arial" w:hAnsi="Arial" w:cs="Arial"/>
          <w:sz w:val="20"/>
        </w:rPr>
        <w:t>Licence Condition</w:t>
      </w:r>
      <w:r w:rsidRPr="00DE3EDA">
        <w:rPr>
          <w:rFonts w:ascii="Arial" w:hAnsi="Arial" w:cs="Arial"/>
          <w:sz w:val="20"/>
        </w:rPr>
        <w:t>.</w:t>
      </w:r>
    </w:p>
    <w:p w14:paraId="7B699358" w14:textId="00D59529" w:rsidR="00FA73E3" w:rsidRPr="00DE3EDA" w:rsidRDefault="00FA73E3" w:rsidP="00FA73E3">
      <w:pPr>
        <w:pStyle w:val="ACMABodyText"/>
        <w:rPr>
          <w:rFonts w:ascii="Arial" w:hAnsi="Arial" w:cs="Arial"/>
          <w:b/>
          <w:sz w:val="20"/>
        </w:rPr>
      </w:pPr>
      <w:r w:rsidRPr="00DE3EDA">
        <w:rPr>
          <w:rFonts w:ascii="Arial" w:hAnsi="Arial" w:cs="Arial"/>
          <w:b/>
          <w:sz w:val="20"/>
        </w:rPr>
        <w:t>Section 6</w:t>
      </w:r>
      <w:r w:rsidRPr="00DE3EDA">
        <w:rPr>
          <w:rFonts w:ascii="Arial" w:hAnsi="Arial" w:cs="Arial"/>
          <w:b/>
          <w:sz w:val="20"/>
        </w:rPr>
        <w:tab/>
        <w:t>Purpose</w:t>
      </w:r>
      <w:r w:rsidR="000F3337">
        <w:rPr>
          <w:rFonts w:ascii="Arial" w:hAnsi="Arial" w:cs="Arial"/>
          <w:b/>
          <w:sz w:val="20"/>
        </w:rPr>
        <w:t xml:space="preserve"> of Notice</w:t>
      </w:r>
    </w:p>
    <w:p w14:paraId="1C46A183" w14:textId="086782A2" w:rsidR="00FA73E3" w:rsidRPr="00DE3EDA" w:rsidRDefault="00FA73E3" w:rsidP="00FA73E3">
      <w:pPr>
        <w:pStyle w:val="ACMABodyText"/>
        <w:rPr>
          <w:rFonts w:ascii="Arial" w:hAnsi="Arial" w:cs="Arial"/>
          <w:sz w:val="20"/>
        </w:rPr>
      </w:pPr>
      <w:r w:rsidRPr="00DE3EDA">
        <w:rPr>
          <w:rFonts w:ascii="Arial" w:hAnsi="Arial" w:cs="Arial"/>
          <w:sz w:val="20"/>
        </w:rPr>
        <w:t xml:space="preserve">Section 6 specifies the service licence numbers to which the </w:t>
      </w:r>
      <w:r w:rsidR="000F3337">
        <w:rPr>
          <w:rFonts w:ascii="Arial" w:hAnsi="Arial" w:cs="Arial"/>
          <w:sz w:val="20"/>
        </w:rPr>
        <w:t>Licence Condition</w:t>
      </w:r>
      <w:r w:rsidRPr="00DE3EDA">
        <w:rPr>
          <w:rFonts w:ascii="Arial" w:hAnsi="Arial" w:cs="Arial"/>
          <w:sz w:val="20"/>
        </w:rPr>
        <w:t xml:space="preserve"> applies.</w:t>
      </w:r>
    </w:p>
    <w:p w14:paraId="5CAEF2E2" w14:textId="77777777" w:rsidR="00FA73E3" w:rsidRPr="00DE3EDA" w:rsidRDefault="00FA73E3" w:rsidP="00FA73E3">
      <w:pPr>
        <w:pStyle w:val="ACMABodyText"/>
        <w:rPr>
          <w:rFonts w:ascii="Arial" w:hAnsi="Arial" w:cs="Arial"/>
          <w:b/>
          <w:sz w:val="20"/>
        </w:rPr>
      </w:pPr>
      <w:r w:rsidRPr="00DE3EDA">
        <w:rPr>
          <w:rFonts w:ascii="Arial" w:hAnsi="Arial" w:cs="Arial"/>
          <w:b/>
          <w:sz w:val="20"/>
        </w:rPr>
        <w:t>Section 7</w:t>
      </w:r>
      <w:r w:rsidRPr="00DE3EDA">
        <w:rPr>
          <w:rFonts w:ascii="Arial" w:hAnsi="Arial" w:cs="Arial"/>
          <w:b/>
          <w:sz w:val="20"/>
        </w:rPr>
        <w:tab/>
        <w:t>Local areas</w:t>
      </w:r>
    </w:p>
    <w:p w14:paraId="3EA8AF34" w14:textId="060B46D7" w:rsidR="00FA73E3" w:rsidRPr="00DE3EDA" w:rsidRDefault="00FA73E3" w:rsidP="00FA73E3">
      <w:pPr>
        <w:pStyle w:val="ACMABodyText"/>
        <w:rPr>
          <w:rFonts w:ascii="Arial" w:hAnsi="Arial" w:cs="Arial"/>
          <w:b/>
          <w:sz w:val="20"/>
        </w:rPr>
      </w:pPr>
      <w:r w:rsidRPr="00DE3EDA">
        <w:rPr>
          <w:rFonts w:ascii="Arial" w:hAnsi="Arial" w:cs="Arial"/>
          <w:sz w:val="20"/>
        </w:rPr>
        <w:t xml:space="preserve">Section 7 specifies the areas of the commercial television broadcasting licences to which the </w:t>
      </w:r>
      <w:r w:rsidR="00E42863">
        <w:rPr>
          <w:rFonts w:ascii="Arial" w:hAnsi="Arial" w:cs="Arial"/>
          <w:sz w:val="20"/>
        </w:rPr>
        <w:t>Licence Condition</w:t>
      </w:r>
      <w:r w:rsidRPr="00DE3EDA">
        <w:rPr>
          <w:rFonts w:ascii="Arial" w:hAnsi="Arial" w:cs="Arial"/>
          <w:sz w:val="20"/>
        </w:rPr>
        <w:t xml:space="preserve"> relates.</w:t>
      </w:r>
    </w:p>
    <w:p w14:paraId="68563554" w14:textId="77777777" w:rsidR="00FA73E3" w:rsidRPr="00DE3EDA" w:rsidRDefault="00FA73E3" w:rsidP="00FA73E3">
      <w:pPr>
        <w:pStyle w:val="ACMABodyText"/>
        <w:rPr>
          <w:rFonts w:ascii="Arial" w:hAnsi="Arial" w:cs="Arial"/>
          <w:b/>
          <w:sz w:val="20"/>
        </w:rPr>
      </w:pPr>
      <w:r w:rsidRPr="00DE3EDA">
        <w:rPr>
          <w:rFonts w:ascii="Arial" w:hAnsi="Arial" w:cs="Arial"/>
          <w:b/>
          <w:sz w:val="20"/>
        </w:rPr>
        <w:t>Section 8</w:t>
      </w:r>
      <w:r w:rsidRPr="00DE3EDA">
        <w:rPr>
          <w:rFonts w:ascii="Arial" w:hAnsi="Arial" w:cs="Arial"/>
          <w:b/>
          <w:sz w:val="20"/>
        </w:rPr>
        <w:tab/>
        <w:t>Material of local significance</w:t>
      </w:r>
    </w:p>
    <w:p w14:paraId="4E48D6BE" w14:textId="77777777" w:rsidR="00FA73E3" w:rsidRPr="00DE3EDA" w:rsidRDefault="00FA73E3" w:rsidP="00FA73E3">
      <w:pPr>
        <w:pStyle w:val="ACMABodyText"/>
        <w:rPr>
          <w:rFonts w:ascii="Arial" w:hAnsi="Arial" w:cs="Arial"/>
          <w:b/>
          <w:sz w:val="20"/>
        </w:rPr>
      </w:pPr>
      <w:r w:rsidRPr="00DE3EDA">
        <w:rPr>
          <w:rFonts w:ascii="Arial" w:hAnsi="Arial" w:cs="Arial"/>
          <w:sz w:val="20"/>
        </w:rPr>
        <w:t>Section 8 defines material of local significance.</w:t>
      </w:r>
    </w:p>
    <w:p w14:paraId="5B632132" w14:textId="77777777" w:rsidR="00FA73E3" w:rsidRPr="00DE3EDA" w:rsidRDefault="00FA73E3" w:rsidP="00FA73E3">
      <w:pPr>
        <w:pStyle w:val="ACMABodyText"/>
        <w:jc w:val="both"/>
        <w:rPr>
          <w:rFonts w:ascii="Arial" w:hAnsi="Arial" w:cs="Arial"/>
          <w:b/>
          <w:sz w:val="20"/>
        </w:rPr>
      </w:pPr>
      <w:r w:rsidRPr="00DE3EDA">
        <w:rPr>
          <w:rFonts w:ascii="Arial" w:hAnsi="Arial" w:cs="Arial"/>
          <w:b/>
          <w:sz w:val="20"/>
        </w:rPr>
        <w:t>Section 9</w:t>
      </w:r>
      <w:r w:rsidRPr="00DE3EDA">
        <w:rPr>
          <w:rFonts w:ascii="Arial" w:hAnsi="Arial" w:cs="Arial"/>
          <w:b/>
          <w:sz w:val="20"/>
        </w:rPr>
        <w:tab/>
        <w:t>Licensee must broadcast material of local significance</w:t>
      </w:r>
    </w:p>
    <w:p w14:paraId="04FD63C5" w14:textId="77777777" w:rsidR="00FA73E3" w:rsidRPr="00DE3EDA" w:rsidRDefault="00FA73E3" w:rsidP="00FA73E3">
      <w:pPr>
        <w:pStyle w:val="ACMABodyText"/>
        <w:rPr>
          <w:rFonts w:ascii="Arial" w:hAnsi="Arial" w:cs="Arial"/>
          <w:b/>
          <w:sz w:val="20"/>
        </w:rPr>
      </w:pPr>
      <w:r w:rsidRPr="00DE3EDA">
        <w:rPr>
          <w:rFonts w:ascii="Arial" w:hAnsi="Arial" w:cs="Arial"/>
          <w:sz w:val="20"/>
        </w:rPr>
        <w:t xml:space="preserve">Section 9 sets out the obligation on specified licensees to broadcast material of local significance </w:t>
      </w:r>
      <w:r w:rsidR="00C33BD7" w:rsidRPr="00DE3EDA">
        <w:rPr>
          <w:rFonts w:ascii="Arial" w:hAnsi="Arial" w:cs="Arial"/>
          <w:sz w:val="20"/>
        </w:rPr>
        <w:t>in accordance with Schedule 2.</w:t>
      </w:r>
    </w:p>
    <w:p w14:paraId="07E91F90" w14:textId="77777777" w:rsidR="00FA73E3" w:rsidRPr="00DE3EDA" w:rsidRDefault="00FA73E3" w:rsidP="00FA73E3">
      <w:pPr>
        <w:pStyle w:val="ACMABodyText"/>
        <w:rPr>
          <w:rFonts w:ascii="Arial" w:hAnsi="Arial" w:cs="Arial"/>
          <w:b/>
          <w:sz w:val="20"/>
        </w:rPr>
      </w:pPr>
      <w:r w:rsidRPr="00DE3EDA">
        <w:rPr>
          <w:rFonts w:ascii="Arial" w:hAnsi="Arial" w:cs="Arial"/>
          <w:b/>
          <w:sz w:val="20"/>
        </w:rPr>
        <w:t xml:space="preserve">Section </w:t>
      </w:r>
      <w:r w:rsidR="00C33BD7" w:rsidRPr="00DE3EDA">
        <w:rPr>
          <w:rFonts w:ascii="Arial" w:hAnsi="Arial" w:cs="Arial"/>
          <w:b/>
          <w:sz w:val="20"/>
        </w:rPr>
        <w:t>10</w:t>
      </w:r>
      <w:r w:rsidRPr="00DE3EDA">
        <w:rPr>
          <w:rFonts w:ascii="Arial" w:hAnsi="Arial" w:cs="Arial"/>
          <w:b/>
          <w:sz w:val="20"/>
        </w:rPr>
        <w:tab/>
      </w:r>
      <w:r w:rsidR="00C33BD7" w:rsidRPr="00DE3EDA">
        <w:rPr>
          <w:rFonts w:ascii="Arial" w:hAnsi="Arial" w:cs="Arial"/>
          <w:b/>
          <w:sz w:val="20"/>
        </w:rPr>
        <w:t>Records and reporting to the ACMA</w:t>
      </w:r>
    </w:p>
    <w:p w14:paraId="156C841F" w14:textId="77777777" w:rsidR="00FA73E3" w:rsidRPr="00DE3EDA" w:rsidRDefault="00FA73E3" w:rsidP="00FA73E3">
      <w:pPr>
        <w:pStyle w:val="ACMABodyText"/>
        <w:rPr>
          <w:rFonts w:ascii="Arial" w:hAnsi="Arial" w:cs="Arial"/>
          <w:b/>
          <w:sz w:val="20"/>
        </w:rPr>
      </w:pPr>
      <w:r w:rsidRPr="00DE3EDA">
        <w:rPr>
          <w:rFonts w:ascii="Arial" w:hAnsi="Arial" w:cs="Arial"/>
          <w:sz w:val="20"/>
        </w:rPr>
        <w:t xml:space="preserve">Section </w:t>
      </w:r>
      <w:r w:rsidR="00C33BD7" w:rsidRPr="00DE3EDA">
        <w:rPr>
          <w:rFonts w:ascii="Arial" w:hAnsi="Arial" w:cs="Arial"/>
          <w:sz w:val="20"/>
        </w:rPr>
        <w:t xml:space="preserve">10 sets out record-keeping and reporting requirements. </w:t>
      </w:r>
    </w:p>
    <w:p w14:paraId="7F156490" w14:textId="3E284F40" w:rsidR="00FA73E3" w:rsidRPr="00DE3EDA" w:rsidRDefault="00C33BD7" w:rsidP="00FA73E3">
      <w:pPr>
        <w:pStyle w:val="ACMABodyText"/>
        <w:rPr>
          <w:rFonts w:ascii="Arial" w:hAnsi="Arial" w:cs="Arial"/>
          <w:b/>
          <w:sz w:val="20"/>
        </w:rPr>
      </w:pPr>
      <w:r w:rsidRPr="00DE3EDA">
        <w:rPr>
          <w:rFonts w:ascii="Arial" w:hAnsi="Arial" w:cs="Arial"/>
          <w:b/>
          <w:sz w:val="20"/>
        </w:rPr>
        <w:t>S</w:t>
      </w:r>
      <w:r w:rsidR="00FA73E3" w:rsidRPr="00DE3EDA">
        <w:rPr>
          <w:rFonts w:ascii="Arial" w:hAnsi="Arial" w:cs="Arial"/>
          <w:b/>
          <w:sz w:val="20"/>
        </w:rPr>
        <w:t>c</w:t>
      </w:r>
      <w:r w:rsidRPr="00DE3EDA">
        <w:rPr>
          <w:rFonts w:ascii="Arial" w:hAnsi="Arial" w:cs="Arial"/>
          <w:b/>
          <w:sz w:val="20"/>
        </w:rPr>
        <w:t xml:space="preserve">hedule 1 </w:t>
      </w:r>
      <w:r w:rsidR="00E42863">
        <w:rPr>
          <w:rFonts w:ascii="Arial" w:hAnsi="Arial" w:cs="Arial"/>
          <w:b/>
          <w:sz w:val="20"/>
        </w:rPr>
        <w:tab/>
      </w:r>
      <w:r w:rsidRPr="00DE3EDA">
        <w:rPr>
          <w:rFonts w:ascii="Arial" w:hAnsi="Arial" w:cs="Arial"/>
          <w:b/>
          <w:sz w:val="20"/>
        </w:rPr>
        <w:t xml:space="preserve">Areas of commercial television broadcasting licences </w:t>
      </w:r>
    </w:p>
    <w:p w14:paraId="72BFD734" w14:textId="79A94C3E" w:rsidR="00FA73E3" w:rsidRPr="00DE3EDA" w:rsidRDefault="00FA73E3" w:rsidP="00FA73E3">
      <w:pPr>
        <w:pStyle w:val="ACMABodyText"/>
        <w:rPr>
          <w:rFonts w:ascii="Arial" w:hAnsi="Arial" w:cs="Arial"/>
          <w:b/>
          <w:sz w:val="20"/>
        </w:rPr>
      </w:pPr>
      <w:r w:rsidRPr="00DE3EDA">
        <w:rPr>
          <w:rFonts w:ascii="Arial" w:hAnsi="Arial" w:cs="Arial"/>
          <w:sz w:val="20"/>
        </w:rPr>
        <w:t>S</w:t>
      </w:r>
      <w:r w:rsidR="00C33BD7" w:rsidRPr="00DE3EDA">
        <w:rPr>
          <w:rFonts w:ascii="Arial" w:hAnsi="Arial" w:cs="Arial"/>
          <w:sz w:val="20"/>
        </w:rPr>
        <w:t xml:space="preserve">chedule 1 sets out the areas of the commercial television broadcasting licences to which the </w:t>
      </w:r>
      <w:r w:rsidR="00E42863">
        <w:rPr>
          <w:rFonts w:ascii="Arial" w:hAnsi="Arial" w:cs="Arial"/>
          <w:sz w:val="20"/>
        </w:rPr>
        <w:t>Licence Condition</w:t>
      </w:r>
      <w:r w:rsidR="00C33BD7" w:rsidRPr="00DE3EDA">
        <w:rPr>
          <w:rFonts w:ascii="Arial" w:hAnsi="Arial" w:cs="Arial"/>
          <w:sz w:val="20"/>
        </w:rPr>
        <w:t xml:space="preserve"> relates.</w:t>
      </w:r>
    </w:p>
    <w:p w14:paraId="44AFDF80" w14:textId="2B7515DB" w:rsidR="00C33BD7" w:rsidRPr="00DE3EDA" w:rsidRDefault="00C33BD7" w:rsidP="00C33BD7">
      <w:pPr>
        <w:pStyle w:val="ACMABodyText"/>
        <w:rPr>
          <w:rFonts w:ascii="Arial" w:hAnsi="Arial" w:cs="Arial"/>
          <w:b/>
          <w:sz w:val="20"/>
        </w:rPr>
      </w:pPr>
      <w:r w:rsidRPr="00DE3EDA">
        <w:rPr>
          <w:rFonts w:ascii="Arial" w:hAnsi="Arial" w:cs="Arial"/>
          <w:b/>
          <w:sz w:val="20"/>
        </w:rPr>
        <w:t xml:space="preserve">Schedule 2 </w:t>
      </w:r>
      <w:r w:rsidR="00E42863">
        <w:rPr>
          <w:rFonts w:ascii="Arial" w:hAnsi="Arial" w:cs="Arial"/>
          <w:b/>
          <w:sz w:val="20"/>
        </w:rPr>
        <w:tab/>
      </w:r>
      <w:r w:rsidRPr="00DE3EDA">
        <w:rPr>
          <w:rFonts w:ascii="Arial" w:hAnsi="Arial" w:cs="Arial"/>
          <w:b/>
          <w:sz w:val="20"/>
        </w:rPr>
        <w:t xml:space="preserve">The points system </w:t>
      </w:r>
    </w:p>
    <w:p w14:paraId="2A1E03D9" w14:textId="77777777" w:rsidR="00C33BD7" w:rsidRPr="00DE3EDA" w:rsidRDefault="00C33BD7" w:rsidP="00C33BD7">
      <w:pPr>
        <w:pStyle w:val="ACMABodyText"/>
        <w:rPr>
          <w:rFonts w:ascii="Arial" w:hAnsi="Arial" w:cs="Arial"/>
          <w:b/>
          <w:sz w:val="20"/>
        </w:rPr>
      </w:pPr>
      <w:r w:rsidRPr="00DE3EDA">
        <w:rPr>
          <w:rFonts w:ascii="Arial" w:hAnsi="Arial" w:cs="Arial"/>
          <w:sz w:val="20"/>
        </w:rPr>
        <w:t xml:space="preserve">Schedule 2 sets out the points </w:t>
      </w:r>
      <w:r w:rsidR="00D31E00" w:rsidRPr="00DE3EDA">
        <w:rPr>
          <w:rFonts w:ascii="Arial" w:hAnsi="Arial" w:cs="Arial"/>
          <w:sz w:val="20"/>
        </w:rPr>
        <w:t>that can be accumulated for each item of material of local significance broadcast and the minimum total of points that must be accumulated to comply with section 9</w:t>
      </w:r>
      <w:r w:rsidRPr="00DE3EDA">
        <w:rPr>
          <w:rFonts w:ascii="Arial" w:hAnsi="Arial" w:cs="Arial"/>
          <w:sz w:val="20"/>
        </w:rPr>
        <w:t>.</w:t>
      </w:r>
    </w:p>
    <w:p w14:paraId="5C866735" w14:textId="45D43099" w:rsidR="00D31E00" w:rsidRPr="00DE3EDA" w:rsidRDefault="00D31E00" w:rsidP="00D31E00">
      <w:pPr>
        <w:pStyle w:val="ACMABodyText"/>
        <w:rPr>
          <w:rFonts w:ascii="Arial" w:hAnsi="Arial" w:cs="Arial"/>
          <w:b/>
          <w:sz w:val="20"/>
        </w:rPr>
      </w:pPr>
      <w:r w:rsidRPr="00DE3EDA">
        <w:rPr>
          <w:rFonts w:ascii="Arial" w:hAnsi="Arial" w:cs="Arial"/>
          <w:b/>
          <w:sz w:val="20"/>
        </w:rPr>
        <w:t xml:space="preserve">Schedule 3 </w:t>
      </w:r>
      <w:r w:rsidR="00E42863">
        <w:rPr>
          <w:rFonts w:ascii="Arial" w:hAnsi="Arial" w:cs="Arial"/>
          <w:b/>
          <w:sz w:val="20"/>
        </w:rPr>
        <w:tab/>
      </w:r>
      <w:r w:rsidRPr="00DE3EDA">
        <w:rPr>
          <w:rFonts w:ascii="Arial" w:hAnsi="Arial" w:cs="Arial"/>
          <w:b/>
          <w:sz w:val="20"/>
        </w:rPr>
        <w:t xml:space="preserve">Explanatory comments  </w:t>
      </w:r>
    </w:p>
    <w:p w14:paraId="48FD8E04" w14:textId="6EDED1D1" w:rsidR="00C421FD" w:rsidRPr="00DE3EDA" w:rsidRDefault="00D31E00" w:rsidP="00FA73E3">
      <w:pPr>
        <w:pStyle w:val="ACMABodyText"/>
        <w:rPr>
          <w:rFonts w:ascii="Arial" w:hAnsi="Arial" w:cs="Arial"/>
          <w:sz w:val="20"/>
        </w:rPr>
      </w:pPr>
      <w:r w:rsidRPr="00DE3EDA">
        <w:rPr>
          <w:rFonts w:ascii="Arial" w:hAnsi="Arial" w:cs="Arial"/>
          <w:sz w:val="20"/>
        </w:rPr>
        <w:t xml:space="preserve">Schedule 3 provides explanatory comments for sections 7 and 8 and </w:t>
      </w:r>
      <w:r w:rsidR="00E42863">
        <w:rPr>
          <w:rFonts w:ascii="Arial" w:hAnsi="Arial" w:cs="Arial"/>
          <w:sz w:val="20"/>
        </w:rPr>
        <w:t>S</w:t>
      </w:r>
      <w:r w:rsidRPr="00DE3EDA">
        <w:rPr>
          <w:rFonts w:ascii="Arial" w:hAnsi="Arial" w:cs="Arial"/>
          <w:sz w:val="20"/>
        </w:rPr>
        <w:t>chedules 1 and 2.</w:t>
      </w:r>
    </w:p>
    <w:p w14:paraId="5EF7AAF0" w14:textId="77777777" w:rsidR="00C421FD" w:rsidRDefault="00C421FD" w:rsidP="00FA73E3">
      <w:pPr>
        <w:pStyle w:val="ACMABodyText"/>
      </w:pPr>
    </w:p>
    <w:p w14:paraId="5E659739" w14:textId="77777777" w:rsidR="00C421FD" w:rsidRDefault="00C421FD" w:rsidP="00FA73E3">
      <w:pPr>
        <w:pStyle w:val="ACMABodyText"/>
      </w:pPr>
    </w:p>
    <w:p w14:paraId="7A673DF8" w14:textId="77777777" w:rsidR="00C421FD" w:rsidRDefault="00C421FD" w:rsidP="00FA73E3">
      <w:pPr>
        <w:pStyle w:val="ACMABodyText"/>
      </w:pPr>
    </w:p>
    <w:p w14:paraId="65C1523F" w14:textId="77777777" w:rsidR="00C421FD" w:rsidRDefault="00C421FD" w:rsidP="00FA73E3">
      <w:pPr>
        <w:pStyle w:val="ACMABodyText"/>
      </w:pPr>
    </w:p>
    <w:p w14:paraId="447D1E2B" w14:textId="77777777" w:rsidR="00C421FD" w:rsidRDefault="00C421FD" w:rsidP="00FA73E3">
      <w:pPr>
        <w:pStyle w:val="ACMABodyText"/>
      </w:pPr>
    </w:p>
    <w:p w14:paraId="0EFB24F3" w14:textId="77777777" w:rsidR="00C421FD" w:rsidRDefault="00C421FD" w:rsidP="00FA73E3">
      <w:pPr>
        <w:pStyle w:val="ACMABodyText"/>
      </w:pPr>
    </w:p>
    <w:p w14:paraId="53C54323" w14:textId="77777777" w:rsidR="00C421FD" w:rsidRDefault="00C421FD" w:rsidP="00FA73E3">
      <w:pPr>
        <w:pStyle w:val="ACMABodyText"/>
      </w:pPr>
    </w:p>
    <w:p w14:paraId="51AD6CC8" w14:textId="77777777" w:rsidR="00C421FD" w:rsidRDefault="00C421FD" w:rsidP="00FA73E3">
      <w:pPr>
        <w:pStyle w:val="ACMABodyText"/>
      </w:pPr>
    </w:p>
    <w:p w14:paraId="5E13E546" w14:textId="77777777" w:rsidR="00C421FD" w:rsidRDefault="00C421FD" w:rsidP="00FA73E3">
      <w:pPr>
        <w:pStyle w:val="ACMABodyText"/>
        <w:sectPr w:rsidR="00C421FD" w:rsidSect="004857DF">
          <w:pgSz w:w="11899" w:h="16838"/>
          <w:pgMar w:top="1440" w:right="1644" w:bottom="1440" w:left="1644" w:header="720" w:footer="720" w:gutter="0"/>
          <w:cols w:space="720"/>
          <w:docGrid w:linePitch="360"/>
        </w:sectPr>
      </w:pPr>
    </w:p>
    <w:p w14:paraId="04640F01" w14:textId="77777777" w:rsidR="00C421FD" w:rsidRPr="009A0B38" w:rsidRDefault="00C421FD" w:rsidP="00C421FD">
      <w:pPr>
        <w:jc w:val="center"/>
        <w:rPr>
          <w:rFonts w:ascii="Arial" w:hAnsi="Arial" w:cs="Arial"/>
          <w:b/>
          <w:szCs w:val="20"/>
        </w:rPr>
      </w:pPr>
      <w:r w:rsidRPr="009A0B38">
        <w:rPr>
          <w:rFonts w:ascii="Arial" w:hAnsi="Arial" w:cs="Arial"/>
          <w:b/>
          <w:szCs w:val="20"/>
        </w:rPr>
        <w:lastRenderedPageBreak/>
        <w:t>Statement of Compatibility with Human Rights</w:t>
      </w:r>
    </w:p>
    <w:p w14:paraId="0DA05CA7" w14:textId="77777777" w:rsidR="00C421FD" w:rsidRPr="009A0B38" w:rsidRDefault="00C421FD" w:rsidP="00C421FD">
      <w:pPr>
        <w:spacing w:before="120"/>
        <w:jc w:val="center"/>
        <w:rPr>
          <w:rFonts w:ascii="Arial" w:hAnsi="Arial" w:cs="Arial"/>
          <w:i/>
          <w:sz w:val="20"/>
          <w:szCs w:val="20"/>
        </w:rPr>
      </w:pPr>
      <w:r w:rsidRPr="009A0B38">
        <w:rPr>
          <w:rFonts w:ascii="Arial" w:hAnsi="Arial" w:cs="Arial"/>
          <w:sz w:val="20"/>
          <w:szCs w:val="20"/>
        </w:rPr>
        <w:t>Prepared in accordance with Part 3 of the</w:t>
      </w:r>
      <w:r w:rsidRPr="009A0B38">
        <w:rPr>
          <w:rFonts w:ascii="Arial" w:hAnsi="Arial" w:cs="Arial"/>
          <w:i/>
          <w:sz w:val="20"/>
          <w:szCs w:val="20"/>
        </w:rPr>
        <w:t xml:space="preserve"> Human Rights (Parliamentary Scrutiny) Act 2011</w:t>
      </w:r>
    </w:p>
    <w:p w14:paraId="4CDDE39D" w14:textId="77777777" w:rsidR="00C421FD" w:rsidRPr="009A0B38" w:rsidRDefault="00C421FD" w:rsidP="00C421FD">
      <w:pPr>
        <w:tabs>
          <w:tab w:val="left" w:pos="5025"/>
        </w:tabs>
        <w:spacing w:before="120"/>
        <w:jc w:val="center"/>
        <w:rPr>
          <w:rFonts w:ascii="Arial" w:hAnsi="Arial" w:cs="Arial"/>
          <w:b/>
          <w:i/>
          <w:sz w:val="20"/>
          <w:szCs w:val="20"/>
        </w:rPr>
      </w:pPr>
      <w:r w:rsidRPr="009A0B38">
        <w:rPr>
          <w:rFonts w:ascii="Arial" w:hAnsi="Arial" w:cs="Arial"/>
          <w:b/>
          <w:i/>
          <w:sz w:val="20"/>
          <w:szCs w:val="20"/>
        </w:rPr>
        <w:t>Broadcasting Services (Additional Television Licence Condition) Notice 2014</w:t>
      </w:r>
    </w:p>
    <w:p w14:paraId="640F0E15" w14:textId="77777777" w:rsidR="00C421FD" w:rsidRPr="009A0B38" w:rsidRDefault="00C421FD" w:rsidP="00F36E8C">
      <w:pPr>
        <w:jc w:val="both"/>
        <w:rPr>
          <w:rFonts w:ascii="Arial" w:hAnsi="Arial" w:cs="Arial"/>
          <w:b/>
          <w:sz w:val="20"/>
          <w:szCs w:val="20"/>
        </w:rPr>
      </w:pPr>
      <w:r w:rsidRPr="009A0B38">
        <w:rPr>
          <w:rFonts w:ascii="Arial" w:hAnsi="Arial" w:cs="Arial"/>
          <w:sz w:val="20"/>
          <w:szCs w:val="20"/>
        </w:rPr>
        <w:t xml:space="preserve">This Legislative Instrument is compatible with the human rights and freedoms recognised or declared in the international instruments listed in section 3 of the </w:t>
      </w:r>
      <w:r w:rsidRPr="009A0B38">
        <w:rPr>
          <w:rFonts w:ascii="Arial" w:hAnsi="Arial" w:cs="Arial"/>
          <w:i/>
          <w:sz w:val="20"/>
          <w:szCs w:val="20"/>
        </w:rPr>
        <w:t>Human Rights (Parliamentary Scrutiny) Act 2011</w:t>
      </w:r>
      <w:r w:rsidRPr="009A0B38">
        <w:rPr>
          <w:rFonts w:ascii="Arial" w:hAnsi="Arial" w:cs="Arial"/>
          <w:sz w:val="20"/>
          <w:szCs w:val="20"/>
        </w:rPr>
        <w:t>.</w:t>
      </w:r>
      <w:bookmarkStart w:id="0" w:name="_GoBack"/>
      <w:bookmarkEnd w:id="0"/>
    </w:p>
    <w:p w14:paraId="309C2175" w14:textId="77777777" w:rsidR="00C421FD" w:rsidRPr="009A0B38" w:rsidRDefault="00C421FD" w:rsidP="00F36E8C">
      <w:pPr>
        <w:spacing w:before="240"/>
        <w:jc w:val="both"/>
        <w:rPr>
          <w:rFonts w:ascii="Arial" w:hAnsi="Arial" w:cs="Arial"/>
          <w:b/>
          <w:sz w:val="20"/>
          <w:szCs w:val="20"/>
        </w:rPr>
      </w:pPr>
      <w:r w:rsidRPr="009A0B38">
        <w:rPr>
          <w:rFonts w:ascii="Arial" w:hAnsi="Arial" w:cs="Arial"/>
          <w:b/>
          <w:sz w:val="20"/>
          <w:szCs w:val="20"/>
        </w:rPr>
        <w:t>Overview of the Legislative Instrument</w:t>
      </w:r>
    </w:p>
    <w:p w14:paraId="04C52E9A" w14:textId="77777777" w:rsidR="00C421FD" w:rsidRPr="009A0B38" w:rsidRDefault="00C421FD" w:rsidP="00F36E8C">
      <w:pPr>
        <w:jc w:val="both"/>
        <w:rPr>
          <w:rFonts w:ascii="Arial" w:hAnsi="Arial" w:cs="Arial"/>
          <w:sz w:val="20"/>
          <w:szCs w:val="20"/>
        </w:rPr>
      </w:pPr>
      <w:r w:rsidRPr="009A0B38">
        <w:rPr>
          <w:rFonts w:ascii="Arial" w:hAnsi="Arial" w:cs="Arial"/>
          <w:sz w:val="20"/>
          <w:szCs w:val="20"/>
        </w:rPr>
        <w:t xml:space="preserve">This Legislative Instrument replaces the </w:t>
      </w:r>
      <w:r w:rsidRPr="009A0B38">
        <w:rPr>
          <w:rFonts w:ascii="Arial" w:hAnsi="Arial" w:cs="Arial"/>
          <w:i/>
          <w:sz w:val="20"/>
          <w:szCs w:val="20"/>
        </w:rPr>
        <w:t xml:space="preserve">Broadcasting Services (Additional Television Licence Condition) Notice 8 November 2007 </w:t>
      </w:r>
      <w:r w:rsidRPr="009A0B38">
        <w:rPr>
          <w:rFonts w:ascii="Arial" w:hAnsi="Arial" w:cs="Arial"/>
          <w:sz w:val="20"/>
          <w:szCs w:val="20"/>
        </w:rPr>
        <w:t>(the 2007 Licence Condition).</w:t>
      </w:r>
    </w:p>
    <w:p w14:paraId="6BEE9893" w14:textId="729B42FB" w:rsidR="00C421FD" w:rsidRPr="009A0B38" w:rsidRDefault="00C421FD" w:rsidP="00F36E8C">
      <w:pPr>
        <w:jc w:val="both"/>
        <w:rPr>
          <w:rFonts w:ascii="Arial" w:hAnsi="Arial" w:cs="Arial"/>
          <w:sz w:val="20"/>
          <w:szCs w:val="20"/>
        </w:rPr>
      </w:pPr>
      <w:r w:rsidRPr="009A0B38">
        <w:rPr>
          <w:rFonts w:ascii="Arial" w:hAnsi="Arial" w:cs="Arial"/>
          <w:sz w:val="20"/>
          <w:szCs w:val="20"/>
        </w:rPr>
        <w:t xml:space="preserve">Section 43A of the </w:t>
      </w:r>
      <w:r w:rsidR="00E42863" w:rsidRPr="00E42863">
        <w:rPr>
          <w:rFonts w:ascii="Arial" w:hAnsi="Arial" w:cs="Arial"/>
          <w:i/>
          <w:sz w:val="20"/>
          <w:szCs w:val="20"/>
        </w:rPr>
        <w:t>Broadcasting Services Act 1992</w:t>
      </w:r>
      <w:r w:rsidR="00E42863">
        <w:rPr>
          <w:rFonts w:ascii="Arial" w:hAnsi="Arial" w:cs="Arial"/>
          <w:sz w:val="20"/>
          <w:szCs w:val="20"/>
        </w:rPr>
        <w:t xml:space="preserve"> (the </w:t>
      </w:r>
      <w:r w:rsidRPr="009A0B38">
        <w:rPr>
          <w:rFonts w:ascii="Arial" w:hAnsi="Arial" w:cs="Arial"/>
          <w:sz w:val="20"/>
          <w:szCs w:val="20"/>
        </w:rPr>
        <w:t>BSA</w:t>
      </w:r>
      <w:r w:rsidR="00E42863">
        <w:rPr>
          <w:rFonts w:ascii="Arial" w:hAnsi="Arial" w:cs="Arial"/>
          <w:sz w:val="20"/>
          <w:szCs w:val="20"/>
        </w:rPr>
        <w:t>)</w:t>
      </w:r>
      <w:r w:rsidRPr="009A0B38">
        <w:rPr>
          <w:rFonts w:ascii="Arial" w:hAnsi="Arial" w:cs="Arial"/>
          <w:sz w:val="20"/>
          <w:szCs w:val="20"/>
        </w:rPr>
        <w:t xml:space="preserve"> requires the ACMA to have in place at all times a licence condition that has the effect of requiring the licensee of a regional aggregated commercial television broadcasting licence to broadcast a minimum level of material of local significance during specified periods.</w:t>
      </w:r>
    </w:p>
    <w:p w14:paraId="741F09F4" w14:textId="0B379F7F" w:rsidR="00C421FD" w:rsidRPr="009A0B38" w:rsidRDefault="00C421FD" w:rsidP="00F36E8C">
      <w:pPr>
        <w:jc w:val="both"/>
        <w:rPr>
          <w:rFonts w:ascii="Arial" w:hAnsi="Arial" w:cs="Arial"/>
          <w:sz w:val="20"/>
          <w:szCs w:val="20"/>
        </w:rPr>
      </w:pPr>
      <w:r w:rsidRPr="009A0B38">
        <w:rPr>
          <w:rFonts w:ascii="Arial" w:hAnsi="Arial" w:cs="Arial"/>
          <w:sz w:val="20"/>
          <w:szCs w:val="20"/>
        </w:rPr>
        <w:t xml:space="preserve">This Legislative Instrument, like the 2007 Licence Condition, is a licence condition determined under section 43 of the BSA, as required by section 43A of the BSA. This Legislative Instrument defines material of local significance and mandates its broadcast, while also defining local areas and stipulating certain record keeping requirements. </w:t>
      </w:r>
    </w:p>
    <w:p w14:paraId="3D02AC6F" w14:textId="77777777" w:rsidR="00C421FD" w:rsidRPr="009A0B38" w:rsidRDefault="00C421FD" w:rsidP="00E42863">
      <w:pPr>
        <w:jc w:val="both"/>
        <w:rPr>
          <w:rFonts w:ascii="Arial" w:hAnsi="Arial" w:cs="Arial"/>
          <w:b/>
          <w:sz w:val="20"/>
          <w:szCs w:val="20"/>
        </w:rPr>
      </w:pPr>
      <w:r w:rsidRPr="009A0B38">
        <w:rPr>
          <w:rFonts w:ascii="Arial" w:hAnsi="Arial" w:cs="Arial"/>
          <w:b/>
          <w:sz w:val="20"/>
          <w:szCs w:val="20"/>
        </w:rPr>
        <w:t>Human rights implications</w:t>
      </w:r>
    </w:p>
    <w:p w14:paraId="2A9DFA1D" w14:textId="77777777" w:rsidR="00C421FD" w:rsidRPr="009A0B38" w:rsidRDefault="00C421FD" w:rsidP="00F36E8C">
      <w:pPr>
        <w:spacing w:before="120"/>
        <w:jc w:val="both"/>
        <w:rPr>
          <w:rFonts w:ascii="Arial" w:hAnsi="Arial" w:cs="Arial"/>
          <w:sz w:val="20"/>
          <w:szCs w:val="20"/>
        </w:rPr>
      </w:pPr>
      <w:r w:rsidRPr="009A0B38">
        <w:rPr>
          <w:rFonts w:ascii="Arial" w:hAnsi="Arial" w:cs="Arial"/>
          <w:sz w:val="20"/>
          <w:szCs w:val="20"/>
        </w:rPr>
        <w:t xml:space="preserve">Australia is a party to a number of international human rights treaties. </w:t>
      </w:r>
    </w:p>
    <w:p w14:paraId="0990F192" w14:textId="77777777" w:rsidR="00C421FD" w:rsidRPr="009A0B38" w:rsidRDefault="00C421FD" w:rsidP="00F36E8C">
      <w:pPr>
        <w:spacing w:before="240"/>
        <w:jc w:val="both"/>
        <w:rPr>
          <w:rFonts w:ascii="Arial" w:hAnsi="Arial" w:cs="Arial"/>
          <w:b/>
          <w:sz w:val="20"/>
          <w:szCs w:val="20"/>
        </w:rPr>
      </w:pPr>
      <w:r w:rsidRPr="009A0B38">
        <w:rPr>
          <w:rFonts w:ascii="Arial" w:hAnsi="Arial" w:cs="Arial"/>
          <w:sz w:val="20"/>
          <w:szCs w:val="20"/>
        </w:rPr>
        <w:t xml:space="preserve">In developing this Legislative Instrument, the human rights implications have been considered in the context of </w:t>
      </w:r>
      <w:r w:rsidRPr="009A0B38">
        <w:rPr>
          <w:rFonts w:ascii="Arial" w:hAnsi="Arial" w:cs="Arial"/>
          <w:b/>
          <w:sz w:val="20"/>
          <w:szCs w:val="20"/>
        </w:rPr>
        <w:t>the International Covenant on Civil and Political Rights (ICCPR)</w:t>
      </w:r>
      <w:r w:rsidRPr="009A0B38">
        <w:rPr>
          <w:rFonts w:ascii="Arial" w:hAnsi="Arial" w:cs="Arial"/>
          <w:sz w:val="20"/>
          <w:szCs w:val="20"/>
        </w:rPr>
        <w:t>.</w:t>
      </w:r>
    </w:p>
    <w:p w14:paraId="18902903" w14:textId="493D8536" w:rsidR="00C421FD" w:rsidRPr="009A0B38" w:rsidRDefault="00C421FD" w:rsidP="00F36E8C">
      <w:pPr>
        <w:spacing w:before="120" w:line="276" w:lineRule="auto"/>
        <w:jc w:val="both"/>
        <w:rPr>
          <w:rFonts w:ascii="Arial" w:hAnsi="Arial" w:cs="Arial"/>
          <w:sz w:val="20"/>
          <w:szCs w:val="20"/>
        </w:rPr>
      </w:pPr>
      <w:r w:rsidRPr="009A0B38">
        <w:rPr>
          <w:rFonts w:ascii="Arial" w:hAnsi="Arial" w:cs="Arial"/>
          <w:sz w:val="20"/>
          <w:szCs w:val="20"/>
        </w:rPr>
        <w:t>This Legislative Instrument does not limit any of the applicable rights or freedoms. The Legislative Instrument engages and promotes human rights recognised in the ICCPR including the right to freedom of expression, including the freedom to receive information and ideas of all kinds, regardless of frontiers, either orally, in writing or in print, in the form of art, or through any other chosen media (Article 19(2) of the ICCPR</w:t>
      </w:r>
      <w:r w:rsidR="00E42863">
        <w:rPr>
          <w:rFonts w:ascii="Arial" w:hAnsi="Arial" w:cs="Arial"/>
          <w:sz w:val="20"/>
          <w:szCs w:val="20"/>
        </w:rPr>
        <w:t>)</w:t>
      </w:r>
      <w:r w:rsidRPr="009A0B38">
        <w:rPr>
          <w:rFonts w:ascii="Arial" w:hAnsi="Arial" w:cs="Arial"/>
          <w:sz w:val="20"/>
          <w:szCs w:val="20"/>
        </w:rPr>
        <w:t>.</w:t>
      </w:r>
    </w:p>
    <w:p w14:paraId="6D8209B1" w14:textId="49B3F68C" w:rsidR="00C421FD" w:rsidRPr="009A0B38" w:rsidRDefault="00C421FD" w:rsidP="00F36E8C">
      <w:pPr>
        <w:spacing w:before="120" w:line="276" w:lineRule="auto"/>
        <w:jc w:val="both"/>
        <w:rPr>
          <w:rFonts w:ascii="Arial" w:hAnsi="Arial" w:cs="Arial"/>
          <w:sz w:val="20"/>
          <w:szCs w:val="20"/>
        </w:rPr>
      </w:pPr>
      <w:r w:rsidRPr="009A0B38">
        <w:rPr>
          <w:rFonts w:ascii="Arial" w:hAnsi="Arial" w:cs="Arial"/>
          <w:sz w:val="20"/>
          <w:szCs w:val="20"/>
        </w:rPr>
        <w:t>By requiring the licensees of regional aggregated commercial television broadcasting licences to broadcast a minimum level of material of local significance, this Legislative Instrument promotes the freedom to receive information and ideas of local significance</w:t>
      </w:r>
      <w:r w:rsidR="00E42863">
        <w:rPr>
          <w:rFonts w:ascii="Arial" w:hAnsi="Arial" w:cs="Arial"/>
          <w:sz w:val="20"/>
          <w:szCs w:val="20"/>
        </w:rPr>
        <w:t>,</w:t>
      </w:r>
      <w:r w:rsidRPr="009A0B38">
        <w:rPr>
          <w:rFonts w:ascii="Arial" w:hAnsi="Arial" w:cs="Arial"/>
          <w:sz w:val="20"/>
          <w:szCs w:val="20"/>
        </w:rPr>
        <w:t xml:space="preserve"> disseminated through television programs to people living in regional areas of Australia. </w:t>
      </w:r>
    </w:p>
    <w:p w14:paraId="30BAAE95" w14:textId="77777777" w:rsidR="00C421FD" w:rsidRPr="009A0B38" w:rsidRDefault="00C421FD" w:rsidP="00F36E8C">
      <w:pPr>
        <w:spacing w:before="240"/>
        <w:jc w:val="both"/>
        <w:rPr>
          <w:rFonts w:ascii="Arial" w:hAnsi="Arial" w:cs="Arial"/>
          <w:b/>
          <w:sz w:val="20"/>
          <w:szCs w:val="20"/>
        </w:rPr>
      </w:pPr>
      <w:r w:rsidRPr="009A0B38">
        <w:rPr>
          <w:rFonts w:ascii="Arial" w:hAnsi="Arial" w:cs="Arial"/>
          <w:b/>
          <w:sz w:val="20"/>
          <w:szCs w:val="20"/>
        </w:rPr>
        <w:t>Conclusion</w:t>
      </w:r>
    </w:p>
    <w:p w14:paraId="14D2C83D" w14:textId="066DA4ED" w:rsidR="00C421FD" w:rsidRPr="009A0B38" w:rsidRDefault="00C421FD" w:rsidP="00F36E8C">
      <w:pPr>
        <w:spacing w:before="240"/>
        <w:jc w:val="both"/>
        <w:rPr>
          <w:rFonts w:ascii="Arial" w:hAnsi="Arial" w:cs="Arial"/>
          <w:sz w:val="20"/>
          <w:szCs w:val="20"/>
        </w:rPr>
      </w:pPr>
      <w:r w:rsidRPr="009A0B38">
        <w:rPr>
          <w:rFonts w:ascii="Arial" w:hAnsi="Arial" w:cs="Arial"/>
          <w:sz w:val="20"/>
          <w:szCs w:val="20"/>
        </w:rPr>
        <w:lastRenderedPageBreak/>
        <w:t xml:space="preserve">This Legislative Instrument is compatible with human rights as it facilitates the receipt of information of local significance disseminated through television programs to people living in regional areas of Australia. </w:t>
      </w:r>
    </w:p>
    <w:p w14:paraId="2A4F62FA" w14:textId="375CD504" w:rsidR="00C421FD" w:rsidRDefault="00C421FD" w:rsidP="00BF7692">
      <w:pPr>
        <w:spacing w:before="240"/>
        <w:jc w:val="center"/>
      </w:pPr>
      <w:r w:rsidRPr="009A0B38">
        <w:rPr>
          <w:rFonts w:ascii="Arial" w:hAnsi="Arial" w:cs="Arial"/>
          <w:b/>
          <w:sz w:val="20"/>
          <w:szCs w:val="20"/>
        </w:rPr>
        <w:t>Australian Communications and Media Authority</w:t>
      </w:r>
    </w:p>
    <w:sectPr w:rsidR="00C421FD" w:rsidSect="004857DF">
      <w:headerReference w:type="default" r:id="rId13"/>
      <w:pgSz w:w="11899" w:h="16838"/>
      <w:pgMar w:top="1440" w:right="1644" w:bottom="1440"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E139" w14:textId="77777777" w:rsidR="00C528A2" w:rsidRDefault="00C528A2">
      <w:r>
        <w:separator/>
      </w:r>
    </w:p>
  </w:endnote>
  <w:endnote w:type="continuationSeparator" w:id="0">
    <w:p w14:paraId="6CB444D1" w14:textId="77777777" w:rsidR="00C528A2" w:rsidRDefault="00C5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9F38" w14:textId="77777777" w:rsidR="00C528A2" w:rsidRDefault="00C528A2">
      <w:r>
        <w:separator/>
      </w:r>
    </w:p>
  </w:footnote>
  <w:footnote w:type="continuationSeparator" w:id="0">
    <w:p w14:paraId="5C8DF95F" w14:textId="77777777" w:rsidR="00C528A2" w:rsidRDefault="00C5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3A63" w14:textId="3979A555" w:rsidR="00C421FD" w:rsidRPr="00C421FD" w:rsidRDefault="00C421FD">
    <w:pPr>
      <w:pStyle w:val="Header"/>
      <w:rPr>
        <w:rFonts w:ascii="Arial" w:hAnsi="Arial" w:cs="Arial"/>
        <w:sz w:val="20"/>
        <w:szCs w:val="20"/>
        <w:lang w:val="en-US"/>
      </w:rPr>
    </w:pPr>
    <w:r w:rsidRPr="00C421FD">
      <w:rPr>
        <w:rFonts w:ascii="Arial" w:hAnsi="Arial" w:cs="Arial"/>
        <w:sz w:val="20"/>
        <w:szCs w:val="20"/>
        <w:lang w:val="en-US"/>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F81"/>
    <w:multiLevelType w:val="hybridMultilevel"/>
    <w:tmpl w:val="884A1BC8"/>
    <w:lvl w:ilvl="0" w:tplc="32204036">
      <w:start w:val="1"/>
      <w:numFmt w:val="decimal"/>
      <w:pStyle w:val="LegislationLvl1"/>
      <w:lvlText w:val="%1"/>
      <w:lvlJc w:val="left"/>
      <w:pPr>
        <w:tabs>
          <w:tab w:val="num" w:pos="1080"/>
        </w:tabs>
        <w:ind w:left="1080" w:hanging="720"/>
      </w:pPr>
      <w:rPr>
        <w:rFonts w:cs="Times New Roman" w:hint="default"/>
      </w:rPr>
    </w:lvl>
    <w:lvl w:ilvl="1" w:tplc="93C69154">
      <w:start w:val="1"/>
      <w:numFmt w:val="decimal"/>
      <w:pStyle w:val="LegislationLvl2"/>
      <w:lvlText w:val="(%2)"/>
      <w:lvlJc w:val="left"/>
      <w:pPr>
        <w:tabs>
          <w:tab w:val="num" w:pos="1440"/>
        </w:tabs>
        <w:ind w:left="1440" w:hanging="360"/>
      </w:pPr>
      <w:rPr>
        <w:rFonts w:cs="Times New Roman" w:hint="default"/>
      </w:rPr>
    </w:lvl>
    <w:lvl w:ilvl="2" w:tplc="BD8A0056">
      <w:start w:val="1"/>
      <w:numFmt w:val="lowerLetter"/>
      <w:pStyle w:val="LegislationLvl3"/>
      <w:lvlText w:val="(%3)"/>
      <w:lvlJc w:val="left"/>
      <w:pPr>
        <w:tabs>
          <w:tab w:val="num" w:pos="2340"/>
        </w:tabs>
        <w:ind w:left="2340" w:hanging="360"/>
      </w:pPr>
      <w:rPr>
        <w:rFonts w:cs="Times New Roman" w:hint="default"/>
      </w:rPr>
    </w:lvl>
    <w:lvl w:ilvl="3" w:tplc="BF665EE0">
      <w:start w:val="1"/>
      <w:numFmt w:val="lowerRoman"/>
      <w:pStyle w:val="LegislationLvl4"/>
      <w:lvlText w:val="(%4)"/>
      <w:lvlJc w:val="right"/>
      <w:pPr>
        <w:tabs>
          <w:tab w:val="num" w:pos="2700"/>
        </w:tabs>
        <w:ind w:left="2700" w:hanging="18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495C"/>
    <w:multiLevelType w:val="hybridMultilevel"/>
    <w:tmpl w:val="1D8498B0"/>
    <w:lvl w:ilvl="0" w:tplc="A332420E">
      <w:start w:val="1"/>
      <w:numFmt w:val="lowerLetter"/>
      <w:pStyle w:val="ACMAletteredlist"/>
      <w:lvlText w:val="%1."/>
      <w:lvlJc w:val="left"/>
      <w:pPr>
        <w:tabs>
          <w:tab w:val="num" w:pos="360"/>
        </w:tabs>
        <w:ind w:left="360" w:hanging="360"/>
      </w:pPr>
      <w:rPr>
        <w:rFonts w:cs="Times New Roman"/>
      </w:rPr>
    </w:lvl>
    <w:lvl w:ilvl="1" w:tplc="8EDAE56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A81D5F"/>
    <w:multiLevelType w:val="hybridMultilevel"/>
    <w:tmpl w:val="D9C4DF86"/>
    <w:lvl w:ilvl="0" w:tplc="6924032C">
      <w:start w:val="1"/>
      <w:numFmt w:val="bullet"/>
      <w:pStyle w:val="ACMABulletLevel2"/>
      <w:lvlText w:val=""/>
      <w:lvlJc w:val="left"/>
      <w:pPr>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D1869"/>
    <w:multiLevelType w:val="hybridMultilevel"/>
    <w:tmpl w:val="44CCDBB4"/>
    <w:lvl w:ilvl="0" w:tplc="B4DE576E">
      <w:start w:val="1"/>
      <w:numFmt w:val="decimal"/>
      <w:pStyle w:val="ACMA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5A5080"/>
    <w:multiLevelType w:val="hybridMultilevel"/>
    <w:tmpl w:val="24705096"/>
    <w:lvl w:ilvl="0" w:tplc="2668C79A">
      <w:start w:val="1"/>
      <w:numFmt w:val="bullet"/>
      <w:pStyle w:val="ACMABulletLevel1"/>
      <w:lvlText w:val="●"/>
      <w:lvlJc w:val="left"/>
      <w:pPr>
        <w:ind w:left="357" w:hanging="357"/>
      </w:pPr>
      <w:rPr>
        <w:rFonts w:ascii="Times New Roman" w:hAnsi="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80F4AED"/>
    <w:multiLevelType w:val="hybridMultilevel"/>
    <w:tmpl w:val="67B2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011853"/>
    <w:multiLevelType w:val="hybridMultilevel"/>
    <w:tmpl w:val="CF1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D64FAE"/>
    <w:multiLevelType w:val="hybridMultilevel"/>
    <w:tmpl w:val="BF78F5A2"/>
    <w:lvl w:ilvl="0" w:tplc="A44C943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73D62CD4"/>
    <w:multiLevelType w:val="hybridMultilevel"/>
    <w:tmpl w:val="5C90593A"/>
    <w:lvl w:ilvl="0" w:tplc="D4648230">
      <w:start w:val="1"/>
      <w:numFmt w:val="decimal"/>
      <w:lvlText w:val="%1."/>
      <w:lvlJc w:val="left"/>
      <w:pPr>
        <w:tabs>
          <w:tab w:val="num" w:pos="540"/>
        </w:tabs>
        <w:ind w:left="540" w:hanging="360"/>
      </w:pPr>
      <w:rPr>
        <w:rFonts w:hint="default"/>
        <w:b w:val="0"/>
      </w:rPr>
    </w:lvl>
    <w:lvl w:ilvl="1" w:tplc="0C090001">
      <w:start w:val="1"/>
      <w:numFmt w:val="bullet"/>
      <w:lvlText w:val=""/>
      <w:lvlJc w:val="left"/>
      <w:pPr>
        <w:tabs>
          <w:tab w:val="num" w:pos="1080"/>
        </w:tabs>
        <w:ind w:left="1080" w:hanging="360"/>
      </w:pPr>
      <w:rPr>
        <w:rFonts w:ascii="Symbol" w:hAnsi="Symbol" w:hint="default"/>
      </w:rPr>
    </w:lvl>
    <w:lvl w:ilvl="2" w:tplc="EBD053C4">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2"/>
  </w:num>
  <w:num w:numId="4">
    <w:abstractNumId w:val="4"/>
  </w:num>
  <w:num w:numId="5">
    <w:abstractNumId w:val="1"/>
  </w:num>
  <w:num w:numId="6">
    <w:abstractNumId w:val="0"/>
    <w:lvlOverride w:ilvl="0">
      <w:startOverride w:val="1"/>
    </w:lvlOverride>
  </w:num>
  <w:num w:numId="7">
    <w:abstractNumId w:val="0"/>
  </w:num>
  <w:num w:numId="8">
    <w:abstractNumId w:val="0"/>
  </w:num>
  <w:num w:numId="9">
    <w:abstractNumId w:val="0"/>
  </w:num>
  <w:num w:numId="10">
    <w:abstractNumId w:val="5"/>
  </w:num>
  <w:num w:numId="11">
    <w:abstractNumId w:val="3"/>
  </w:num>
  <w:num w:numId="12">
    <w:abstractNumId w:val="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A3"/>
    <w:rsid w:val="00000A90"/>
    <w:rsid w:val="00002BB6"/>
    <w:rsid w:val="00003B2E"/>
    <w:rsid w:val="0001157C"/>
    <w:rsid w:val="000173A3"/>
    <w:rsid w:val="00023C63"/>
    <w:rsid w:val="00031988"/>
    <w:rsid w:val="00035125"/>
    <w:rsid w:val="00035D56"/>
    <w:rsid w:val="000617F8"/>
    <w:rsid w:val="00065401"/>
    <w:rsid w:val="00076143"/>
    <w:rsid w:val="00091734"/>
    <w:rsid w:val="000B46DC"/>
    <w:rsid w:val="000B4753"/>
    <w:rsid w:val="000B5490"/>
    <w:rsid w:val="000C062C"/>
    <w:rsid w:val="000C5660"/>
    <w:rsid w:val="000F3337"/>
    <w:rsid w:val="000F36E7"/>
    <w:rsid w:val="00114AF7"/>
    <w:rsid w:val="00115305"/>
    <w:rsid w:val="00140C53"/>
    <w:rsid w:val="00166CB7"/>
    <w:rsid w:val="0017687A"/>
    <w:rsid w:val="00193016"/>
    <w:rsid w:val="001942C0"/>
    <w:rsid w:val="00195928"/>
    <w:rsid w:val="001A20EB"/>
    <w:rsid w:val="001B10E8"/>
    <w:rsid w:val="001B37D3"/>
    <w:rsid w:val="001B5582"/>
    <w:rsid w:val="001B7C81"/>
    <w:rsid w:val="001C5DF3"/>
    <w:rsid w:val="001E4F74"/>
    <w:rsid w:val="001E7F94"/>
    <w:rsid w:val="001F31EE"/>
    <w:rsid w:val="001F7739"/>
    <w:rsid w:val="00211B3A"/>
    <w:rsid w:val="00242169"/>
    <w:rsid w:val="00244210"/>
    <w:rsid w:val="00251F9B"/>
    <w:rsid w:val="00252F48"/>
    <w:rsid w:val="002649D2"/>
    <w:rsid w:val="00275C75"/>
    <w:rsid w:val="002827F8"/>
    <w:rsid w:val="002A3634"/>
    <w:rsid w:val="002B54A2"/>
    <w:rsid w:val="002C512D"/>
    <w:rsid w:val="002C6E08"/>
    <w:rsid w:val="002D1A9B"/>
    <w:rsid w:val="002E31D3"/>
    <w:rsid w:val="002F4BEE"/>
    <w:rsid w:val="00300E65"/>
    <w:rsid w:val="00303EBD"/>
    <w:rsid w:val="003164DC"/>
    <w:rsid w:val="003200A2"/>
    <w:rsid w:val="00323AE4"/>
    <w:rsid w:val="00326C66"/>
    <w:rsid w:val="0033716A"/>
    <w:rsid w:val="00340057"/>
    <w:rsid w:val="00344895"/>
    <w:rsid w:val="00345F4E"/>
    <w:rsid w:val="0034682B"/>
    <w:rsid w:val="00356437"/>
    <w:rsid w:val="0036606E"/>
    <w:rsid w:val="00381059"/>
    <w:rsid w:val="003857EC"/>
    <w:rsid w:val="00391F73"/>
    <w:rsid w:val="00392E5E"/>
    <w:rsid w:val="003A166D"/>
    <w:rsid w:val="003A16CE"/>
    <w:rsid w:val="003A20E9"/>
    <w:rsid w:val="003A22B7"/>
    <w:rsid w:val="003A6167"/>
    <w:rsid w:val="003D6355"/>
    <w:rsid w:val="003E0F51"/>
    <w:rsid w:val="003E440A"/>
    <w:rsid w:val="00401003"/>
    <w:rsid w:val="00403496"/>
    <w:rsid w:val="004038A1"/>
    <w:rsid w:val="004239A6"/>
    <w:rsid w:val="004321F5"/>
    <w:rsid w:val="00482CE8"/>
    <w:rsid w:val="004857DF"/>
    <w:rsid w:val="00486486"/>
    <w:rsid w:val="00486D38"/>
    <w:rsid w:val="004A49D5"/>
    <w:rsid w:val="004A735A"/>
    <w:rsid w:val="004B41DF"/>
    <w:rsid w:val="004B75B7"/>
    <w:rsid w:val="004D443A"/>
    <w:rsid w:val="004D6B9A"/>
    <w:rsid w:val="004E2A42"/>
    <w:rsid w:val="00510025"/>
    <w:rsid w:val="00513C08"/>
    <w:rsid w:val="00517FC0"/>
    <w:rsid w:val="00540B30"/>
    <w:rsid w:val="005439F6"/>
    <w:rsid w:val="00570313"/>
    <w:rsid w:val="00573B74"/>
    <w:rsid w:val="005834BA"/>
    <w:rsid w:val="005870EA"/>
    <w:rsid w:val="00590FBB"/>
    <w:rsid w:val="005932A8"/>
    <w:rsid w:val="005A7398"/>
    <w:rsid w:val="005B5451"/>
    <w:rsid w:val="005B5499"/>
    <w:rsid w:val="005D0BE2"/>
    <w:rsid w:val="005E009B"/>
    <w:rsid w:val="005F731E"/>
    <w:rsid w:val="00612C53"/>
    <w:rsid w:val="00625C0C"/>
    <w:rsid w:val="00626EE0"/>
    <w:rsid w:val="00627E25"/>
    <w:rsid w:val="00631676"/>
    <w:rsid w:val="00640439"/>
    <w:rsid w:val="00657063"/>
    <w:rsid w:val="00663702"/>
    <w:rsid w:val="00672966"/>
    <w:rsid w:val="00681840"/>
    <w:rsid w:val="0069266E"/>
    <w:rsid w:val="00695725"/>
    <w:rsid w:val="006A202D"/>
    <w:rsid w:val="006C6A0E"/>
    <w:rsid w:val="006E48ED"/>
    <w:rsid w:val="006E7821"/>
    <w:rsid w:val="006F1ADA"/>
    <w:rsid w:val="0071507A"/>
    <w:rsid w:val="0075322D"/>
    <w:rsid w:val="0076690E"/>
    <w:rsid w:val="00781760"/>
    <w:rsid w:val="00784BF1"/>
    <w:rsid w:val="00787DB9"/>
    <w:rsid w:val="007971E5"/>
    <w:rsid w:val="007A5EDE"/>
    <w:rsid w:val="007C2538"/>
    <w:rsid w:val="007C411E"/>
    <w:rsid w:val="007D0E9D"/>
    <w:rsid w:val="007E06F0"/>
    <w:rsid w:val="007E2D97"/>
    <w:rsid w:val="00801C2F"/>
    <w:rsid w:val="00826489"/>
    <w:rsid w:val="00841D05"/>
    <w:rsid w:val="00845526"/>
    <w:rsid w:val="008725F3"/>
    <w:rsid w:val="008A31D4"/>
    <w:rsid w:val="008A3C4C"/>
    <w:rsid w:val="008B7235"/>
    <w:rsid w:val="008C49D0"/>
    <w:rsid w:val="008C7C3C"/>
    <w:rsid w:val="008D0347"/>
    <w:rsid w:val="008E1359"/>
    <w:rsid w:val="008F538F"/>
    <w:rsid w:val="008F570B"/>
    <w:rsid w:val="008F7A43"/>
    <w:rsid w:val="00920311"/>
    <w:rsid w:val="0093314F"/>
    <w:rsid w:val="0094220A"/>
    <w:rsid w:val="00966FAD"/>
    <w:rsid w:val="009772F9"/>
    <w:rsid w:val="009871F1"/>
    <w:rsid w:val="00996DE7"/>
    <w:rsid w:val="0099756B"/>
    <w:rsid w:val="009A75EC"/>
    <w:rsid w:val="009B4513"/>
    <w:rsid w:val="009D361B"/>
    <w:rsid w:val="00A17199"/>
    <w:rsid w:val="00A24A9F"/>
    <w:rsid w:val="00A37E1C"/>
    <w:rsid w:val="00A41052"/>
    <w:rsid w:val="00A546B8"/>
    <w:rsid w:val="00A74D05"/>
    <w:rsid w:val="00AA07B2"/>
    <w:rsid w:val="00AA440A"/>
    <w:rsid w:val="00AB308F"/>
    <w:rsid w:val="00AB78CE"/>
    <w:rsid w:val="00AC0227"/>
    <w:rsid w:val="00AD7D0B"/>
    <w:rsid w:val="00AE7406"/>
    <w:rsid w:val="00B02FEE"/>
    <w:rsid w:val="00B13FBE"/>
    <w:rsid w:val="00B224A6"/>
    <w:rsid w:val="00B3653C"/>
    <w:rsid w:val="00B40B3E"/>
    <w:rsid w:val="00B63804"/>
    <w:rsid w:val="00B64DF6"/>
    <w:rsid w:val="00B77509"/>
    <w:rsid w:val="00B848B7"/>
    <w:rsid w:val="00BA15D5"/>
    <w:rsid w:val="00BA3EB7"/>
    <w:rsid w:val="00BA4794"/>
    <w:rsid w:val="00BA79F1"/>
    <w:rsid w:val="00BF1094"/>
    <w:rsid w:val="00BF1119"/>
    <w:rsid w:val="00BF7692"/>
    <w:rsid w:val="00BF7D71"/>
    <w:rsid w:val="00C019AD"/>
    <w:rsid w:val="00C15FCB"/>
    <w:rsid w:val="00C33BD7"/>
    <w:rsid w:val="00C367D8"/>
    <w:rsid w:val="00C421FD"/>
    <w:rsid w:val="00C528A2"/>
    <w:rsid w:val="00C537C7"/>
    <w:rsid w:val="00C723A1"/>
    <w:rsid w:val="00C761F6"/>
    <w:rsid w:val="00C76789"/>
    <w:rsid w:val="00C81970"/>
    <w:rsid w:val="00C86DAE"/>
    <w:rsid w:val="00C96880"/>
    <w:rsid w:val="00C970A0"/>
    <w:rsid w:val="00CA1BDC"/>
    <w:rsid w:val="00CA6ED6"/>
    <w:rsid w:val="00CB66C6"/>
    <w:rsid w:val="00CC2E14"/>
    <w:rsid w:val="00CC7643"/>
    <w:rsid w:val="00CE69DD"/>
    <w:rsid w:val="00CF268B"/>
    <w:rsid w:val="00CF69DF"/>
    <w:rsid w:val="00D11414"/>
    <w:rsid w:val="00D31E00"/>
    <w:rsid w:val="00D320A5"/>
    <w:rsid w:val="00D63D0B"/>
    <w:rsid w:val="00D7149F"/>
    <w:rsid w:val="00D76E75"/>
    <w:rsid w:val="00DB5559"/>
    <w:rsid w:val="00DC21F0"/>
    <w:rsid w:val="00DE3EDA"/>
    <w:rsid w:val="00DE4686"/>
    <w:rsid w:val="00DF603D"/>
    <w:rsid w:val="00E018ED"/>
    <w:rsid w:val="00E170D1"/>
    <w:rsid w:val="00E316B5"/>
    <w:rsid w:val="00E42863"/>
    <w:rsid w:val="00E44D5C"/>
    <w:rsid w:val="00E56F04"/>
    <w:rsid w:val="00E60AAB"/>
    <w:rsid w:val="00E70BC3"/>
    <w:rsid w:val="00E7249E"/>
    <w:rsid w:val="00E75084"/>
    <w:rsid w:val="00EA17A1"/>
    <w:rsid w:val="00EB5436"/>
    <w:rsid w:val="00EB79B0"/>
    <w:rsid w:val="00ED31D1"/>
    <w:rsid w:val="00EF27ED"/>
    <w:rsid w:val="00EF5276"/>
    <w:rsid w:val="00F36E8C"/>
    <w:rsid w:val="00F44B6C"/>
    <w:rsid w:val="00F521B5"/>
    <w:rsid w:val="00F9080A"/>
    <w:rsid w:val="00FA73E3"/>
    <w:rsid w:val="00FB08CD"/>
    <w:rsid w:val="00FB1745"/>
    <w:rsid w:val="00FC443F"/>
    <w:rsid w:val="00FD1BCB"/>
    <w:rsid w:val="00FE12D3"/>
    <w:rsid w:val="00FE1BE3"/>
    <w:rsid w:val="00FE34A5"/>
    <w:rsid w:val="00FE48A0"/>
    <w:rsid w:val="00FE7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8120B"/>
  <w15:docId w15:val="{E472F1C6-60DF-4368-97C6-BB85ECF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MABodyText"/>
    <w:qFormat/>
    <w:rsid w:val="001F31EE"/>
    <w:pPr>
      <w:spacing w:before="80" w:after="120" w:line="280" w:lineRule="atLeast"/>
    </w:pPr>
    <w:rPr>
      <w:sz w:val="24"/>
      <w:szCs w:val="24"/>
      <w:lang w:eastAsia="en-US"/>
    </w:rPr>
  </w:style>
  <w:style w:type="paragraph" w:styleId="Heading1">
    <w:name w:val="heading 1"/>
    <w:basedOn w:val="ACMAHeading1"/>
    <w:next w:val="ACMABodyText"/>
    <w:link w:val="Heading1Char"/>
    <w:uiPriority w:val="99"/>
    <w:qFormat/>
    <w:rsid w:val="001F31EE"/>
    <w:pPr>
      <w:outlineLvl w:val="0"/>
    </w:pPr>
    <w:rPr>
      <w:rFonts w:cs="Arial"/>
      <w:bCs/>
    </w:rPr>
  </w:style>
  <w:style w:type="paragraph" w:styleId="Heading2">
    <w:name w:val="heading 2"/>
    <w:basedOn w:val="Normal"/>
    <w:next w:val="Normal"/>
    <w:link w:val="Heading2Char"/>
    <w:uiPriority w:val="9"/>
    <w:semiHidden/>
    <w:unhideWhenUsed/>
    <w:qFormat/>
    <w:rsid w:val="00166C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EE"/>
    <w:rPr>
      <w:rFonts w:asciiTheme="majorHAnsi" w:eastAsiaTheme="majorEastAsia" w:hAnsiTheme="majorHAnsi" w:cstheme="majorBidi"/>
      <w:b/>
      <w:bCs/>
      <w:kern w:val="32"/>
      <w:sz w:val="32"/>
      <w:szCs w:val="32"/>
      <w:lang w:eastAsia="en-US"/>
    </w:rPr>
  </w:style>
  <w:style w:type="paragraph" w:customStyle="1" w:styleId="ACMABodyText">
    <w:name w:val="ACMA Body Text"/>
    <w:link w:val="ACMABodyTextChar"/>
    <w:rsid w:val="001F31EE"/>
    <w:pPr>
      <w:suppressAutoHyphens/>
      <w:spacing w:before="80" w:after="120" w:line="280" w:lineRule="atLeast"/>
    </w:pPr>
    <w:rPr>
      <w:sz w:val="24"/>
      <w:szCs w:val="20"/>
      <w:lang w:eastAsia="en-US"/>
    </w:rPr>
  </w:style>
  <w:style w:type="paragraph" w:customStyle="1" w:styleId="ACMAHeading1">
    <w:name w:val="ACMA Heading 1"/>
    <w:next w:val="ACMABodyText"/>
    <w:uiPriority w:val="99"/>
    <w:rsid w:val="001F31EE"/>
    <w:pPr>
      <w:keepNext/>
      <w:suppressAutoHyphens/>
      <w:spacing w:before="320" w:after="0" w:line="240" w:lineRule="auto"/>
      <w:outlineLvl w:val="1"/>
    </w:pPr>
    <w:rPr>
      <w:rFonts w:ascii="Arial" w:hAnsi="Arial"/>
      <w:b/>
      <w:sz w:val="32"/>
      <w:szCs w:val="32"/>
      <w:lang w:val="en-US" w:eastAsia="en-US"/>
    </w:rPr>
  </w:style>
  <w:style w:type="paragraph" w:customStyle="1" w:styleId="ACMABulletLevel1">
    <w:name w:val="ACMA Bullet Level 1"/>
    <w:uiPriority w:val="99"/>
    <w:rsid w:val="001F31EE"/>
    <w:pPr>
      <w:numPr>
        <w:numId w:val="10"/>
      </w:numPr>
      <w:tabs>
        <w:tab w:val="num" w:pos="1008"/>
      </w:tabs>
      <w:spacing w:after="120" w:line="240" w:lineRule="auto"/>
      <w:ind w:left="1008" w:hanging="360"/>
    </w:pPr>
    <w:rPr>
      <w:sz w:val="24"/>
      <w:szCs w:val="20"/>
      <w:lang w:eastAsia="en-US"/>
    </w:rPr>
  </w:style>
  <w:style w:type="paragraph" w:customStyle="1" w:styleId="ACMABulletLevel2">
    <w:name w:val="ACMA Bullet Level 2"/>
    <w:uiPriority w:val="99"/>
    <w:rsid w:val="001F31EE"/>
    <w:pPr>
      <w:numPr>
        <w:numId w:val="11"/>
      </w:numPr>
      <w:tabs>
        <w:tab w:val="num" w:pos="1008"/>
      </w:tabs>
      <w:spacing w:after="120" w:line="240" w:lineRule="auto"/>
      <w:ind w:left="1368" w:hanging="360"/>
    </w:pPr>
    <w:rPr>
      <w:sz w:val="24"/>
      <w:szCs w:val="20"/>
      <w:lang w:eastAsia="en-US"/>
    </w:rPr>
  </w:style>
  <w:style w:type="paragraph" w:customStyle="1" w:styleId="ACMAChapterHeading">
    <w:name w:val="ACMA Chapter Heading"/>
    <w:next w:val="ACMABodyText"/>
    <w:uiPriority w:val="99"/>
    <w:rsid w:val="001F31EE"/>
    <w:pPr>
      <w:keepNext/>
      <w:suppressAutoHyphens/>
      <w:spacing w:before="2160" w:after="480" w:line="240" w:lineRule="auto"/>
      <w:outlineLvl w:val="0"/>
    </w:pPr>
    <w:rPr>
      <w:sz w:val="56"/>
      <w:szCs w:val="56"/>
      <w:lang w:eastAsia="en-US"/>
    </w:rPr>
  </w:style>
  <w:style w:type="paragraph" w:customStyle="1" w:styleId="ACMAConclusion">
    <w:name w:val="ACMA Conclusion"/>
    <w:uiPriority w:val="99"/>
    <w:rsid w:val="001F31EE"/>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szCs w:val="20"/>
      <w:lang w:eastAsia="en-US"/>
    </w:rPr>
  </w:style>
  <w:style w:type="paragraph" w:customStyle="1" w:styleId="ACMAContentsHeading">
    <w:name w:val="ACMA Contents Heading"/>
    <w:uiPriority w:val="99"/>
    <w:rsid w:val="001F31EE"/>
    <w:pPr>
      <w:spacing w:before="2160" w:after="480" w:line="240" w:lineRule="auto"/>
    </w:pPr>
    <w:rPr>
      <w:sz w:val="56"/>
      <w:szCs w:val="56"/>
      <w:lang w:val="en-US" w:eastAsia="en-US"/>
    </w:rPr>
  </w:style>
  <w:style w:type="paragraph" w:customStyle="1" w:styleId="ACMAFooterEven">
    <w:name w:val="ACMA Footer (Even)"/>
    <w:uiPriority w:val="99"/>
    <w:rsid w:val="001F31EE"/>
    <w:pPr>
      <w:pBdr>
        <w:top w:val="single" w:sz="2" w:space="4" w:color="auto"/>
      </w:pBdr>
      <w:tabs>
        <w:tab w:val="right" w:pos="8959"/>
      </w:tabs>
      <w:spacing w:after="0" w:line="240" w:lineRule="auto"/>
    </w:pPr>
    <w:rPr>
      <w:sz w:val="20"/>
      <w:szCs w:val="20"/>
      <w:lang w:eastAsia="en-US"/>
    </w:rPr>
  </w:style>
  <w:style w:type="paragraph" w:customStyle="1" w:styleId="ACMAFooterOdd">
    <w:name w:val="ACMA Footer (Odd)"/>
    <w:uiPriority w:val="99"/>
    <w:rsid w:val="001F31EE"/>
    <w:pPr>
      <w:pBdr>
        <w:top w:val="single" w:sz="2" w:space="4" w:color="auto"/>
      </w:pBdr>
      <w:tabs>
        <w:tab w:val="right" w:pos="8959"/>
      </w:tabs>
      <w:spacing w:after="0" w:line="240" w:lineRule="auto"/>
    </w:pPr>
    <w:rPr>
      <w:sz w:val="20"/>
      <w:szCs w:val="20"/>
      <w:lang w:eastAsia="en-US"/>
    </w:rPr>
  </w:style>
  <w:style w:type="paragraph" w:customStyle="1" w:styleId="ACMAFootnote">
    <w:name w:val="ACMA Footnote"/>
    <w:uiPriority w:val="99"/>
    <w:rsid w:val="001F31EE"/>
    <w:pPr>
      <w:spacing w:after="0" w:line="240" w:lineRule="auto"/>
      <w:ind w:left="144" w:hanging="144"/>
    </w:pPr>
    <w:rPr>
      <w:sz w:val="16"/>
      <w:szCs w:val="20"/>
      <w:lang w:eastAsia="en-US"/>
    </w:rPr>
  </w:style>
  <w:style w:type="paragraph" w:customStyle="1" w:styleId="ACMAHeaderEven">
    <w:name w:val="ACMA Header (Even)"/>
    <w:uiPriority w:val="99"/>
    <w:rsid w:val="001F31EE"/>
    <w:pPr>
      <w:spacing w:after="0" w:line="240" w:lineRule="auto"/>
    </w:pPr>
    <w:rPr>
      <w:i/>
      <w:sz w:val="20"/>
      <w:szCs w:val="20"/>
      <w:lang w:val="en-US" w:eastAsia="en-US"/>
    </w:rPr>
  </w:style>
  <w:style w:type="paragraph" w:customStyle="1" w:styleId="ACMAHeaderOdd">
    <w:name w:val="ACMA Header (Odd)"/>
    <w:uiPriority w:val="99"/>
    <w:rsid w:val="001F31EE"/>
    <w:pPr>
      <w:spacing w:after="0" w:line="240" w:lineRule="auto"/>
      <w:jc w:val="right"/>
    </w:pPr>
    <w:rPr>
      <w:i/>
      <w:sz w:val="20"/>
      <w:szCs w:val="20"/>
      <w:lang w:val="en-US" w:eastAsia="en-US"/>
    </w:rPr>
  </w:style>
  <w:style w:type="paragraph" w:customStyle="1" w:styleId="ACMAHeading2">
    <w:name w:val="ACMA Heading 2"/>
    <w:next w:val="ACMABodyText"/>
    <w:uiPriority w:val="99"/>
    <w:rsid w:val="001F31EE"/>
    <w:pPr>
      <w:keepNext/>
      <w:suppressAutoHyphens/>
      <w:spacing w:before="240" w:after="0" w:line="240" w:lineRule="auto"/>
      <w:outlineLvl w:val="2"/>
    </w:pPr>
    <w:rPr>
      <w:rFonts w:ascii="Arial" w:hAnsi="Arial"/>
      <w:b/>
      <w:caps/>
      <w:sz w:val="26"/>
      <w:szCs w:val="26"/>
      <w:lang w:val="en-US" w:eastAsia="en-US"/>
    </w:rPr>
  </w:style>
  <w:style w:type="paragraph" w:customStyle="1" w:styleId="ACMAHeading3">
    <w:name w:val="ACMA Heading 3"/>
    <w:next w:val="ACMABodyText"/>
    <w:uiPriority w:val="99"/>
    <w:rsid w:val="001F31EE"/>
    <w:pPr>
      <w:keepNext/>
      <w:suppressAutoHyphens/>
      <w:spacing w:before="240" w:after="0" w:line="240" w:lineRule="auto"/>
      <w:outlineLvl w:val="3"/>
    </w:pPr>
    <w:rPr>
      <w:rFonts w:ascii="Arial" w:hAnsi="Arial"/>
      <w:b/>
      <w:sz w:val="24"/>
      <w:szCs w:val="20"/>
      <w:lang w:val="en-US" w:eastAsia="en-US"/>
    </w:rPr>
  </w:style>
  <w:style w:type="paragraph" w:customStyle="1" w:styleId="ACMAHeading4">
    <w:name w:val="ACMA Heading 4"/>
    <w:next w:val="ACMABodyText"/>
    <w:uiPriority w:val="99"/>
    <w:rsid w:val="001F31EE"/>
    <w:pPr>
      <w:keepNext/>
      <w:suppressAutoHyphens/>
      <w:spacing w:before="80" w:after="0" w:line="240" w:lineRule="auto"/>
      <w:outlineLvl w:val="4"/>
    </w:pPr>
    <w:rPr>
      <w:rFonts w:ascii="Arial" w:hAnsi="Arial"/>
      <w:b/>
      <w:i/>
      <w:sz w:val="20"/>
      <w:szCs w:val="20"/>
      <w:lang w:eastAsia="en-US"/>
    </w:rPr>
  </w:style>
  <w:style w:type="paragraph" w:customStyle="1" w:styleId="ACMAletteredlist">
    <w:name w:val="ACMA lettered list"/>
    <w:uiPriority w:val="99"/>
    <w:rsid w:val="001F31EE"/>
    <w:pPr>
      <w:numPr>
        <w:numId w:val="3"/>
      </w:numPr>
      <w:tabs>
        <w:tab w:val="clear" w:pos="360"/>
      </w:tabs>
      <w:spacing w:before="20" w:after="20" w:line="240" w:lineRule="auto"/>
    </w:pPr>
    <w:rPr>
      <w:sz w:val="24"/>
      <w:szCs w:val="20"/>
      <w:lang w:eastAsia="en-US"/>
    </w:rPr>
  </w:style>
  <w:style w:type="paragraph" w:customStyle="1" w:styleId="ACMANumberedList">
    <w:name w:val="ACMA Numbered List"/>
    <w:uiPriority w:val="99"/>
    <w:rsid w:val="001F31EE"/>
    <w:pPr>
      <w:numPr>
        <w:numId w:val="4"/>
      </w:numPr>
      <w:tabs>
        <w:tab w:val="clear" w:pos="720"/>
      </w:tabs>
      <w:spacing w:before="20" w:after="20" w:line="240" w:lineRule="auto"/>
      <w:ind w:left="360"/>
    </w:pPr>
    <w:rPr>
      <w:sz w:val="24"/>
      <w:szCs w:val="20"/>
      <w:lang w:eastAsia="en-US"/>
    </w:rPr>
  </w:style>
  <w:style w:type="paragraph" w:customStyle="1" w:styleId="ACMAQuote">
    <w:name w:val="ACMA Quote"/>
    <w:uiPriority w:val="99"/>
    <w:rsid w:val="001F31EE"/>
    <w:pPr>
      <w:spacing w:after="0" w:line="240" w:lineRule="atLeast"/>
      <w:ind w:left="562" w:right="562"/>
    </w:pPr>
    <w:rPr>
      <w:szCs w:val="20"/>
      <w:lang w:eastAsia="en-US"/>
    </w:rPr>
  </w:style>
  <w:style w:type="paragraph" w:customStyle="1" w:styleId="ACMAReportDate">
    <w:name w:val="ACMA Report Date"/>
    <w:uiPriority w:val="99"/>
    <w:rsid w:val="001F31EE"/>
    <w:pPr>
      <w:spacing w:after="0" w:line="240" w:lineRule="auto"/>
    </w:pPr>
    <w:rPr>
      <w:sz w:val="20"/>
      <w:szCs w:val="20"/>
      <w:lang w:eastAsia="en-US"/>
    </w:rPr>
  </w:style>
  <w:style w:type="paragraph" w:customStyle="1" w:styleId="ACMAReportImprint">
    <w:name w:val="ACMA Report Imprint"/>
    <w:uiPriority w:val="99"/>
    <w:rsid w:val="001F31EE"/>
    <w:pPr>
      <w:spacing w:after="80" w:line="240" w:lineRule="auto"/>
    </w:pPr>
    <w:rPr>
      <w:rFonts w:cs="Arial"/>
      <w:sz w:val="20"/>
      <w:szCs w:val="20"/>
      <w:lang w:eastAsia="en-US"/>
    </w:rPr>
  </w:style>
  <w:style w:type="paragraph" w:customStyle="1" w:styleId="ACMAReportSubtitle">
    <w:name w:val="ACMA Report Subtitle"/>
    <w:uiPriority w:val="99"/>
    <w:rsid w:val="001F31EE"/>
    <w:pPr>
      <w:spacing w:before="1440" w:after="0" w:line="240" w:lineRule="auto"/>
    </w:pPr>
    <w:rPr>
      <w:sz w:val="36"/>
      <w:szCs w:val="20"/>
      <w:lang w:eastAsia="en-US"/>
    </w:rPr>
  </w:style>
  <w:style w:type="paragraph" w:customStyle="1" w:styleId="ACMAReportTitle">
    <w:name w:val="ACMA Report Title"/>
    <w:uiPriority w:val="99"/>
    <w:rsid w:val="001F31EE"/>
    <w:pPr>
      <w:spacing w:before="1980" w:after="0" w:line="240" w:lineRule="auto"/>
    </w:pPr>
    <w:rPr>
      <w:sz w:val="80"/>
      <w:szCs w:val="20"/>
      <w:lang w:eastAsia="en-US"/>
    </w:rPr>
  </w:style>
  <w:style w:type="paragraph" w:customStyle="1" w:styleId="ACMATableBullet">
    <w:name w:val="ACMA Table Bullet"/>
    <w:uiPriority w:val="99"/>
    <w:rsid w:val="001F31EE"/>
    <w:pPr>
      <w:numPr>
        <w:numId w:val="12"/>
      </w:numPr>
      <w:tabs>
        <w:tab w:val="clear" w:pos="720"/>
        <w:tab w:val="num" w:pos="1008"/>
      </w:tabs>
      <w:spacing w:before="40" w:after="40" w:line="240" w:lineRule="auto"/>
      <w:ind w:left="1008"/>
    </w:pPr>
    <w:rPr>
      <w:rFonts w:ascii="Arial" w:hAnsi="Arial"/>
      <w:sz w:val="20"/>
      <w:szCs w:val="20"/>
      <w:lang w:eastAsia="en-US"/>
    </w:rPr>
  </w:style>
  <w:style w:type="paragraph" w:customStyle="1" w:styleId="ACMATableCaption">
    <w:name w:val="ACMA Table Caption"/>
    <w:uiPriority w:val="99"/>
    <w:rsid w:val="001F31EE"/>
    <w:pPr>
      <w:spacing w:after="120" w:line="240" w:lineRule="auto"/>
    </w:pPr>
    <w:rPr>
      <w:rFonts w:ascii="Arial" w:hAnsi="Arial"/>
      <w:sz w:val="20"/>
      <w:szCs w:val="20"/>
      <w:lang w:eastAsia="en-US"/>
    </w:rPr>
  </w:style>
  <w:style w:type="paragraph" w:customStyle="1" w:styleId="ACMATableHeading">
    <w:name w:val="ACMA Table Heading"/>
    <w:uiPriority w:val="99"/>
    <w:rsid w:val="001F31EE"/>
    <w:pPr>
      <w:spacing w:before="40" w:after="40" w:line="240" w:lineRule="auto"/>
    </w:pPr>
    <w:rPr>
      <w:rFonts w:ascii="Arial" w:hAnsi="Arial"/>
      <w:b/>
      <w:sz w:val="20"/>
      <w:szCs w:val="20"/>
      <w:lang w:eastAsia="en-US"/>
    </w:rPr>
  </w:style>
  <w:style w:type="paragraph" w:customStyle="1" w:styleId="ACMATableNumber">
    <w:name w:val="ACMA Table Number"/>
    <w:uiPriority w:val="99"/>
    <w:rsid w:val="001F31EE"/>
    <w:pPr>
      <w:spacing w:before="160" w:after="0" w:line="240" w:lineRule="auto"/>
    </w:pPr>
    <w:rPr>
      <w:rFonts w:ascii="Arial" w:hAnsi="Arial"/>
      <w:b/>
      <w:sz w:val="20"/>
      <w:szCs w:val="20"/>
      <w:lang w:eastAsia="en-US"/>
    </w:rPr>
  </w:style>
  <w:style w:type="paragraph" w:customStyle="1" w:styleId="ACMATableText">
    <w:name w:val="ACMA Table Text"/>
    <w:uiPriority w:val="99"/>
    <w:rsid w:val="001F31EE"/>
    <w:pPr>
      <w:spacing w:before="40" w:after="40" w:line="240" w:lineRule="auto"/>
    </w:pPr>
    <w:rPr>
      <w:rFonts w:ascii="Arial" w:hAnsi="Arial"/>
      <w:sz w:val="20"/>
      <w:szCs w:val="20"/>
      <w:lang w:eastAsia="en-US"/>
    </w:rPr>
  </w:style>
  <w:style w:type="paragraph" w:customStyle="1" w:styleId="LegislationLvl1">
    <w:name w:val="Legislation Lvl 1"/>
    <w:uiPriority w:val="99"/>
    <w:rsid w:val="001F31EE"/>
    <w:pPr>
      <w:numPr>
        <w:numId w:val="6"/>
      </w:numPr>
      <w:tabs>
        <w:tab w:val="clear" w:pos="1080"/>
        <w:tab w:val="num" w:pos="851"/>
      </w:tabs>
      <w:spacing w:after="0" w:line="240" w:lineRule="auto"/>
      <w:ind w:left="850" w:hanging="493"/>
    </w:pPr>
    <w:rPr>
      <w:bCs/>
      <w:szCs w:val="20"/>
      <w:lang w:eastAsia="en-US"/>
    </w:rPr>
  </w:style>
  <w:style w:type="paragraph" w:customStyle="1" w:styleId="LegislationLvl2">
    <w:name w:val="Legislation Lvl 2"/>
    <w:uiPriority w:val="99"/>
    <w:rsid w:val="001F31EE"/>
    <w:pPr>
      <w:numPr>
        <w:ilvl w:val="1"/>
        <w:numId w:val="7"/>
      </w:numPr>
      <w:tabs>
        <w:tab w:val="clear" w:pos="1440"/>
        <w:tab w:val="num" w:pos="1418"/>
      </w:tabs>
      <w:spacing w:after="0" w:line="240" w:lineRule="auto"/>
      <w:ind w:left="1418" w:hanging="567"/>
    </w:pPr>
    <w:rPr>
      <w:szCs w:val="20"/>
      <w:lang w:eastAsia="en-US"/>
    </w:rPr>
  </w:style>
  <w:style w:type="paragraph" w:customStyle="1" w:styleId="LegislationLvl3">
    <w:name w:val="Legislation Lvl 3"/>
    <w:uiPriority w:val="99"/>
    <w:rsid w:val="001F31EE"/>
    <w:pPr>
      <w:numPr>
        <w:ilvl w:val="2"/>
        <w:numId w:val="8"/>
      </w:numPr>
      <w:tabs>
        <w:tab w:val="clear" w:pos="2340"/>
        <w:tab w:val="num" w:pos="1985"/>
      </w:tabs>
      <w:spacing w:after="0" w:line="240" w:lineRule="auto"/>
      <w:ind w:left="1985" w:hanging="567"/>
    </w:pPr>
    <w:rPr>
      <w:szCs w:val="20"/>
      <w:lang w:eastAsia="en-US"/>
    </w:rPr>
  </w:style>
  <w:style w:type="paragraph" w:customStyle="1" w:styleId="LegislationLvl4">
    <w:name w:val="Legislation Lvl 4"/>
    <w:uiPriority w:val="99"/>
    <w:rsid w:val="001F31EE"/>
    <w:pPr>
      <w:numPr>
        <w:ilvl w:val="3"/>
        <w:numId w:val="9"/>
      </w:numPr>
      <w:tabs>
        <w:tab w:val="clear" w:pos="2700"/>
        <w:tab w:val="num" w:pos="2694"/>
      </w:tabs>
      <w:spacing w:after="0" w:line="240" w:lineRule="auto"/>
      <w:ind w:left="2694" w:hanging="426"/>
    </w:pPr>
    <w:rPr>
      <w:szCs w:val="20"/>
      <w:lang w:eastAsia="en-US"/>
    </w:rPr>
  </w:style>
  <w:style w:type="paragraph" w:styleId="FootnoteText">
    <w:name w:val="footnote text"/>
    <w:aliases w:val="ACMA Footnote Text"/>
    <w:basedOn w:val="Normal"/>
    <w:link w:val="FootnoteTextChar"/>
    <w:uiPriority w:val="99"/>
    <w:rsid w:val="001F31EE"/>
    <w:pPr>
      <w:tabs>
        <w:tab w:val="left" w:pos="284"/>
      </w:tabs>
      <w:spacing w:before="0" w:after="0" w:line="240" w:lineRule="auto"/>
      <w:ind w:left="288" w:hanging="288"/>
    </w:pPr>
    <w:rPr>
      <w:sz w:val="20"/>
      <w:szCs w:val="20"/>
    </w:rPr>
  </w:style>
  <w:style w:type="character" w:customStyle="1" w:styleId="FootnoteTextChar">
    <w:name w:val="Footnote Text Char"/>
    <w:aliases w:val="ACMA Footnote Text Char"/>
    <w:basedOn w:val="DefaultParagraphFont"/>
    <w:link w:val="FootnoteText"/>
    <w:uiPriority w:val="99"/>
    <w:semiHidden/>
    <w:rsid w:val="001F31EE"/>
    <w:rPr>
      <w:sz w:val="20"/>
      <w:szCs w:val="20"/>
      <w:lang w:eastAsia="en-US"/>
    </w:rPr>
  </w:style>
  <w:style w:type="paragraph" w:customStyle="1" w:styleId="Pre-NumberedLegisLvl1">
    <w:name w:val="Pre-Numbered Legis Lvl 1"/>
    <w:uiPriority w:val="99"/>
    <w:rsid w:val="001F31EE"/>
    <w:pPr>
      <w:spacing w:after="0" w:line="240" w:lineRule="auto"/>
      <w:ind w:left="850" w:hanging="493"/>
    </w:pPr>
    <w:rPr>
      <w:szCs w:val="20"/>
      <w:lang w:eastAsia="en-US"/>
    </w:rPr>
  </w:style>
  <w:style w:type="paragraph" w:customStyle="1" w:styleId="Pre-NumberedLegisLvl2">
    <w:name w:val="Pre-Numbered Legis Lvl 2"/>
    <w:uiPriority w:val="99"/>
    <w:rsid w:val="001F31EE"/>
    <w:pPr>
      <w:spacing w:after="0" w:line="240" w:lineRule="auto"/>
      <w:ind w:left="1367" w:hanging="516"/>
    </w:pPr>
    <w:rPr>
      <w:szCs w:val="20"/>
      <w:lang w:eastAsia="en-US"/>
    </w:rPr>
  </w:style>
  <w:style w:type="paragraph" w:customStyle="1" w:styleId="Pre-NumberedLegisLvl3">
    <w:name w:val="Pre-Numbered Legis Lvl 3"/>
    <w:uiPriority w:val="99"/>
    <w:rsid w:val="001F31EE"/>
    <w:pPr>
      <w:spacing w:after="0" w:line="240" w:lineRule="auto"/>
      <w:ind w:left="1985" w:hanging="567"/>
    </w:pPr>
    <w:rPr>
      <w:szCs w:val="20"/>
      <w:lang w:eastAsia="en-US"/>
    </w:rPr>
  </w:style>
  <w:style w:type="paragraph" w:customStyle="1" w:styleId="Pre-NumberedLegisLvl4">
    <w:name w:val="Pre-Numbered Legis Lvl 4"/>
    <w:uiPriority w:val="99"/>
    <w:rsid w:val="001F31EE"/>
    <w:pPr>
      <w:spacing w:after="0" w:line="240" w:lineRule="auto"/>
      <w:ind w:left="2721" w:hanging="680"/>
    </w:pPr>
    <w:rPr>
      <w:szCs w:val="20"/>
      <w:lang w:eastAsia="en-US"/>
    </w:rPr>
  </w:style>
  <w:style w:type="paragraph" w:styleId="TOC1">
    <w:name w:val="toc 1"/>
    <w:aliases w:val="ACMA 1"/>
    <w:basedOn w:val="Normal"/>
    <w:uiPriority w:val="99"/>
    <w:rsid w:val="001F31EE"/>
    <w:pPr>
      <w:spacing w:before="360" w:after="0" w:line="240" w:lineRule="auto"/>
    </w:pPr>
    <w:rPr>
      <w:rFonts w:ascii="Arial" w:hAnsi="Arial"/>
      <w:b/>
      <w:bCs/>
      <w:caps/>
      <w:sz w:val="20"/>
      <w:szCs w:val="28"/>
    </w:rPr>
  </w:style>
  <w:style w:type="paragraph" w:styleId="TOC2">
    <w:name w:val="toc 2"/>
    <w:aliases w:val="ACMA 2"/>
    <w:basedOn w:val="Normal"/>
    <w:uiPriority w:val="99"/>
    <w:rsid w:val="001F31EE"/>
    <w:pPr>
      <w:spacing w:before="240" w:after="0" w:line="240" w:lineRule="auto"/>
    </w:pPr>
    <w:rPr>
      <w:bCs/>
      <w:sz w:val="22"/>
    </w:rPr>
  </w:style>
  <w:style w:type="paragraph" w:styleId="TOC3">
    <w:name w:val="toc 3"/>
    <w:aliases w:val="ACMA 3"/>
    <w:basedOn w:val="Normal"/>
    <w:uiPriority w:val="99"/>
    <w:rsid w:val="001F31EE"/>
    <w:pPr>
      <w:spacing w:before="0" w:after="0" w:line="240" w:lineRule="auto"/>
      <w:ind w:left="198"/>
    </w:pPr>
    <w:rPr>
      <w:sz w:val="22"/>
    </w:rPr>
  </w:style>
  <w:style w:type="character" w:styleId="Hyperlink">
    <w:name w:val="Hyperlink"/>
    <w:basedOn w:val="DefaultParagraphFont"/>
    <w:uiPriority w:val="99"/>
    <w:rsid w:val="001F31EE"/>
    <w:rPr>
      <w:rFonts w:cs="Times New Roman"/>
      <w:color w:val="0000FF"/>
      <w:u w:val="single"/>
    </w:rPr>
  </w:style>
  <w:style w:type="table" w:styleId="TableGrid">
    <w:name w:val="Table Grid"/>
    <w:basedOn w:val="TableNormal"/>
    <w:uiPriority w:val="99"/>
    <w:rsid w:val="001F31EE"/>
    <w:pPr>
      <w:spacing w:before="80" w:after="120"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ImprintLast">
    <w:name w:val="ACMA Report Imprint Last"/>
    <w:basedOn w:val="ACMAReportImprint"/>
    <w:uiPriority w:val="99"/>
    <w:rsid w:val="001F31EE"/>
    <w:pPr>
      <w:spacing w:before="480" w:after="420"/>
    </w:pPr>
  </w:style>
  <w:style w:type="paragraph" w:styleId="Footer">
    <w:name w:val="footer"/>
    <w:basedOn w:val="Normal"/>
    <w:link w:val="FooterChar"/>
    <w:uiPriority w:val="99"/>
    <w:rsid w:val="001F31EE"/>
    <w:pPr>
      <w:tabs>
        <w:tab w:val="center" w:pos="4320"/>
        <w:tab w:val="right" w:pos="8640"/>
      </w:tabs>
    </w:pPr>
  </w:style>
  <w:style w:type="character" w:customStyle="1" w:styleId="FooterChar">
    <w:name w:val="Footer Char"/>
    <w:basedOn w:val="DefaultParagraphFont"/>
    <w:link w:val="Footer"/>
    <w:uiPriority w:val="99"/>
    <w:semiHidden/>
    <w:rsid w:val="001F31EE"/>
    <w:rPr>
      <w:sz w:val="24"/>
      <w:szCs w:val="24"/>
      <w:lang w:eastAsia="en-US"/>
    </w:rPr>
  </w:style>
  <w:style w:type="character" w:styleId="PageNumber">
    <w:name w:val="page number"/>
    <w:basedOn w:val="DefaultParagraphFont"/>
    <w:uiPriority w:val="99"/>
    <w:rsid w:val="001F31EE"/>
    <w:rPr>
      <w:rFonts w:ascii="Times New Roman" w:hAnsi="Times New Roman" w:cs="Times New Roman"/>
      <w:sz w:val="20"/>
      <w:szCs w:val="20"/>
    </w:rPr>
  </w:style>
  <w:style w:type="character" w:styleId="FootnoteReference">
    <w:name w:val="footnote reference"/>
    <w:basedOn w:val="DefaultParagraphFont"/>
    <w:uiPriority w:val="99"/>
    <w:semiHidden/>
    <w:rsid w:val="001F31EE"/>
    <w:rPr>
      <w:rFonts w:cs="Times New Roman"/>
      <w:vertAlign w:val="superscript"/>
    </w:rPr>
  </w:style>
  <w:style w:type="character" w:customStyle="1" w:styleId="ACMABodyTextChar">
    <w:name w:val="ACMA Body Text Char"/>
    <w:basedOn w:val="DefaultParagraphFont"/>
    <w:link w:val="ACMABodyText"/>
    <w:rsid w:val="00BA79F1"/>
    <w:rPr>
      <w:sz w:val="24"/>
      <w:szCs w:val="20"/>
      <w:lang w:eastAsia="en-US"/>
    </w:rPr>
  </w:style>
  <w:style w:type="character" w:styleId="CommentReference">
    <w:name w:val="annotation reference"/>
    <w:basedOn w:val="DefaultParagraphFont"/>
    <w:uiPriority w:val="99"/>
    <w:semiHidden/>
    <w:unhideWhenUsed/>
    <w:rsid w:val="00251F9B"/>
    <w:rPr>
      <w:sz w:val="16"/>
      <w:szCs w:val="16"/>
    </w:rPr>
  </w:style>
  <w:style w:type="paragraph" w:styleId="CommentText">
    <w:name w:val="annotation text"/>
    <w:basedOn w:val="Normal"/>
    <w:link w:val="CommentTextChar"/>
    <w:uiPriority w:val="99"/>
    <w:semiHidden/>
    <w:unhideWhenUsed/>
    <w:rsid w:val="00251F9B"/>
    <w:rPr>
      <w:sz w:val="20"/>
      <w:szCs w:val="20"/>
    </w:rPr>
  </w:style>
  <w:style w:type="character" w:customStyle="1" w:styleId="CommentTextChar">
    <w:name w:val="Comment Text Char"/>
    <w:basedOn w:val="DefaultParagraphFont"/>
    <w:link w:val="CommentText"/>
    <w:uiPriority w:val="99"/>
    <w:semiHidden/>
    <w:rsid w:val="00251F9B"/>
    <w:rPr>
      <w:sz w:val="20"/>
      <w:szCs w:val="20"/>
      <w:lang w:eastAsia="en-US"/>
    </w:rPr>
  </w:style>
  <w:style w:type="paragraph" w:styleId="CommentSubject">
    <w:name w:val="annotation subject"/>
    <w:basedOn w:val="CommentText"/>
    <w:next w:val="CommentText"/>
    <w:link w:val="CommentSubjectChar"/>
    <w:uiPriority w:val="99"/>
    <w:semiHidden/>
    <w:unhideWhenUsed/>
    <w:rsid w:val="00251F9B"/>
    <w:rPr>
      <w:b/>
      <w:bCs/>
    </w:rPr>
  </w:style>
  <w:style w:type="character" w:customStyle="1" w:styleId="CommentSubjectChar">
    <w:name w:val="Comment Subject Char"/>
    <w:basedOn w:val="CommentTextChar"/>
    <w:link w:val="CommentSubject"/>
    <w:uiPriority w:val="99"/>
    <w:semiHidden/>
    <w:rsid w:val="00251F9B"/>
    <w:rPr>
      <w:b/>
      <w:bCs/>
      <w:sz w:val="20"/>
      <w:szCs w:val="20"/>
      <w:lang w:eastAsia="en-US"/>
    </w:rPr>
  </w:style>
  <w:style w:type="paragraph" w:styleId="BalloonText">
    <w:name w:val="Balloon Text"/>
    <w:basedOn w:val="Normal"/>
    <w:link w:val="BalloonTextChar"/>
    <w:uiPriority w:val="99"/>
    <w:semiHidden/>
    <w:unhideWhenUsed/>
    <w:rsid w:val="00251F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9B"/>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166CB7"/>
    <w:rPr>
      <w:rFonts w:asciiTheme="majorHAnsi" w:eastAsiaTheme="majorEastAsia" w:hAnsiTheme="majorHAnsi" w:cstheme="majorBidi"/>
      <w:color w:val="365F91" w:themeColor="accent1" w:themeShade="BF"/>
      <w:sz w:val="26"/>
      <w:szCs w:val="26"/>
      <w:lang w:eastAsia="en-US"/>
    </w:rPr>
  </w:style>
  <w:style w:type="paragraph" w:styleId="Header">
    <w:name w:val="header"/>
    <w:basedOn w:val="Normal"/>
    <w:link w:val="HeaderChar"/>
    <w:uiPriority w:val="99"/>
    <w:unhideWhenUsed/>
    <w:rsid w:val="00C421F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421FD"/>
    <w:rPr>
      <w:sz w:val="24"/>
      <w:szCs w:val="24"/>
      <w:lang w:eastAsia="en-US"/>
    </w:rPr>
  </w:style>
  <w:style w:type="paragraph" w:styleId="ListParagraph">
    <w:name w:val="List Paragraph"/>
    <w:basedOn w:val="Normal"/>
    <w:uiPriority w:val="34"/>
    <w:qFormat/>
    <w:rsid w:val="00C421FD"/>
    <w:pPr>
      <w:spacing w:before="0" w:after="0" w:line="240" w:lineRule="auto"/>
      <w:ind w:left="720"/>
      <w:contextualSpacing/>
    </w:pPr>
    <w:rPr>
      <w:rFonts w:ascii="Arial" w:hAnsi="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33047a-93aa-421b-8aef-52cbfb63cf36" ContentTypeId="0x01010070E27D6A746B5B48ADF22C2128054D5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KNAH4PPFC442-2667-336</_dlc_DocId>
    <_dlc_DocIdUrl xmlns="6db8f3c6-01a1-4322-b043-a3b2a190f7a8">
      <Url>http://collaboration/organisation/Auth/Chair/Auth/_layouts/DocIdRedir.aspx?ID=KNAH4PPFC442-2667-336</Url>
      <Description>KNAH4PPFC442-2667-336</Description>
    </_dlc_DocIdUrl>
    <Record_x0020_Number xmlns="83630db1-6fc2-4dfd-b3fe-d61d34e1440c">ER2014/067649</Record_x0020_Number>
    <Legacy_x0020_Record_x0020_Number xmlns="83630db1-6fc2-4dfd-b3fe-d61d34e1440c" xsi:nil="true"/>
    <IconOverlay xmlns="http://schemas.microsoft.com/sharepoint/v4" xsi:nil="true"/>
    <Category xmlns="5e268b55-9e20-462b-aba6-694451a37717">(none)</Category>
  </documentManagement>
</p:properties>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A693152E1C35154185216143C34A3F31" ma:contentTypeVersion="35" ma:contentTypeDescription="A document enhanced so that it is automatically captured by RecordPoint." ma:contentTypeScope="" ma:versionID="1b072fbd30c1a63ea8e63a2c0385c599">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e5cb7b8efecd42c539099e757c2687b6"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16BB-2DA0-434E-A687-F4291FDB7B88}">
  <ds:schemaRefs>
    <ds:schemaRef ds:uri="Microsoft.SharePoint.Taxonomy.ContentTypeSync"/>
  </ds:schemaRefs>
</ds:datastoreItem>
</file>

<file path=customXml/itemProps2.xml><?xml version="1.0" encoding="utf-8"?>
<ds:datastoreItem xmlns:ds="http://schemas.openxmlformats.org/officeDocument/2006/customXml" ds:itemID="{7C148417-3EA9-4AC4-B84A-3CE5D52FF1E0}">
  <ds:schemaRefs>
    <ds:schemaRef ds:uri="http://schemas.microsoft.com/sharepoint/events"/>
  </ds:schemaRefs>
</ds:datastoreItem>
</file>

<file path=customXml/itemProps3.xml><?xml version="1.0" encoding="utf-8"?>
<ds:datastoreItem xmlns:ds="http://schemas.openxmlformats.org/officeDocument/2006/customXml" ds:itemID="{AB3A5D92-44D6-4FE8-A5F5-0234A0FC57D9}">
  <ds:schemaRefs>
    <ds:schemaRef ds:uri="http://schemas.microsoft.com/sharepoint/v3/contenttype/forms"/>
  </ds:schemaRefs>
</ds:datastoreItem>
</file>

<file path=customXml/itemProps4.xml><?xml version="1.0" encoding="utf-8"?>
<ds:datastoreItem xmlns:ds="http://schemas.openxmlformats.org/officeDocument/2006/customXml" ds:itemID="{3099F378-B373-46F0-8C12-D337692D9FF7}">
  <ds:schemaRefs>
    <ds:schemaRef ds:uri="http://purl.org/dc/elements/1.1/"/>
    <ds:schemaRef ds:uri="83630db1-6fc2-4dfd-b3fe-d61d34e1440c"/>
    <ds:schemaRef ds:uri="6db8f3c6-01a1-4322-b043-a3b2a190f7a8"/>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4"/>
    <ds:schemaRef ds:uri="5e268b55-9e20-462b-aba6-694451a37717"/>
  </ds:schemaRefs>
</ds:datastoreItem>
</file>

<file path=customXml/itemProps5.xml><?xml version="1.0" encoding="utf-8"?>
<ds:datastoreItem xmlns:ds="http://schemas.openxmlformats.org/officeDocument/2006/customXml" ds:itemID="{FDE23AF6-A28E-448F-AD37-BC87537A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4B6546-7CD4-4F44-9F48-3A4B1FC7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ACMA Normal Template</vt:lpstr>
    </vt:vector>
  </TitlesOfParts>
  <Company>Australian Communications Media Authority</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 Normal Template</dc:title>
  <dc:creator>nskill</dc:creator>
  <cp:lastModifiedBy>Julie Chandra</cp:lastModifiedBy>
  <cp:revision>2</cp:revision>
  <cp:lastPrinted>2006-11-13T00:51:00Z</cp:lastPrinted>
  <dcterms:created xsi:type="dcterms:W3CDTF">2014-09-19T05:35:00Z</dcterms:created>
  <dcterms:modified xsi:type="dcterms:W3CDTF">2014-09-19T05:35:00Z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0a3260b8-20f8-4204-aa01-7e065a2d6ba2</vt:lpwstr>
  </property>
  <property fmtid="{D5CDD505-2E9C-101B-9397-08002B2CF9AE}" pid="3" name="ContentTypeId">
    <vt:lpwstr>0x01010070E27D6A746B5B48ADF22C2128054D5500A693152E1C35154185216143C34A3F31</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{aa02821a-f0b7-4f59-9c9d-33ae55ea486f}</vt:lpwstr>
  </property>
  <property fmtid="{D5CDD505-2E9C-101B-9397-08002B2CF9AE}" pid="7" name="RecordPoint_RecordFormat">
    <vt:lpwstr/>
  </property>
  <property fmtid="{D5CDD505-2E9C-101B-9397-08002B2CF9AE}" pid="8" name="RecordPoint_SubmissionCompleted">
    <vt:lpwstr>2014-05-07T14:41:42.1475398+10:00</vt:lpwstr>
  </property>
  <property fmtid="{D5CDD505-2E9C-101B-9397-08002B2CF9AE}" pid="9" name="RecordPoint_ActiveItemMoved">
    <vt:lpwstr/>
  </property>
  <property fmtid="{D5CDD505-2E9C-101B-9397-08002B2CF9AE}" pid="10" name="RecordPoint_ActiveItemUniqueId">
    <vt:lpwstr>{0a3260b8-20f8-4204-aa01-7e065a2d6ba2}</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