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B1C6B" w:rsidRDefault="00193461" w:rsidP="0048364F">
      <w:pPr>
        <w:rPr>
          <w:sz w:val="28"/>
        </w:rPr>
      </w:pPr>
      <w:r w:rsidRPr="00EB1C6B">
        <w:rPr>
          <w:noProof/>
          <w:lang w:eastAsia="en-AU"/>
        </w:rPr>
        <w:drawing>
          <wp:inline distT="0" distB="0" distL="0" distR="0" wp14:anchorId="3D99C9E2" wp14:editId="4FE2C52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B1C6B" w:rsidRDefault="0048364F" w:rsidP="0048364F">
      <w:pPr>
        <w:rPr>
          <w:sz w:val="19"/>
        </w:rPr>
      </w:pPr>
    </w:p>
    <w:p w:rsidR="0048364F" w:rsidRPr="00EB1C6B" w:rsidRDefault="003E56A4" w:rsidP="0048364F">
      <w:pPr>
        <w:pStyle w:val="ShortT"/>
      </w:pPr>
      <w:r w:rsidRPr="00EB1C6B">
        <w:t>Industrial Chemicals (Notification and Assessment) Amendment (Rotterdam Convention) Regulation</w:t>
      </w:r>
      <w:r w:rsidR="00EB1C6B" w:rsidRPr="00EB1C6B">
        <w:t> </w:t>
      </w:r>
      <w:r w:rsidRPr="00EB1C6B">
        <w:t>2014</w:t>
      </w:r>
    </w:p>
    <w:p w:rsidR="0048364F" w:rsidRPr="00EB1C6B" w:rsidRDefault="0048364F" w:rsidP="0048364F"/>
    <w:p w:rsidR="0048364F" w:rsidRPr="00EB1C6B" w:rsidRDefault="00A4361F" w:rsidP="00680F17">
      <w:pPr>
        <w:pStyle w:val="InstNo"/>
      </w:pPr>
      <w:r w:rsidRPr="00EB1C6B">
        <w:t>Select Legislative Instrument</w:t>
      </w:r>
      <w:r w:rsidR="00154EAC" w:rsidRPr="00EB1C6B">
        <w:t xml:space="preserve"> </w:t>
      </w:r>
      <w:bookmarkStart w:id="0" w:name="BKCheck15B_1"/>
      <w:bookmarkEnd w:id="0"/>
      <w:r w:rsidR="00D0104A" w:rsidRPr="00EB1C6B">
        <w:fldChar w:fldCharType="begin"/>
      </w:r>
      <w:r w:rsidR="00D0104A" w:rsidRPr="00EB1C6B">
        <w:instrText xml:space="preserve"> DOCPROPERTY  ActNo </w:instrText>
      </w:r>
      <w:r w:rsidR="00D0104A" w:rsidRPr="00EB1C6B">
        <w:fldChar w:fldCharType="separate"/>
      </w:r>
      <w:r w:rsidR="00612D53">
        <w:t>No. 143, 2014</w:t>
      </w:r>
      <w:r w:rsidR="00D0104A" w:rsidRPr="00EB1C6B">
        <w:fldChar w:fldCharType="end"/>
      </w:r>
    </w:p>
    <w:p w:rsidR="003E56A4" w:rsidRPr="00EB1C6B" w:rsidRDefault="003E56A4" w:rsidP="000C5962">
      <w:pPr>
        <w:pStyle w:val="SignCoverPageStart"/>
        <w:spacing w:before="240"/>
        <w:rPr>
          <w:szCs w:val="22"/>
        </w:rPr>
      </w:pPr>
      <w:r w:rsidRPr="00EB1C6B">
        <w:rPr>
          <w:szCs w:val="22"/>
        </w:rPr>
        <w:t xml:space="preserve">I, General the Honourable Sir Peter Cosgrove AK MC (Ret’d), </w:t>
      </w:r>
      <w:r w:rsidR="00EB1C6B" w:rsidRPr="00EB1C6B">
        <w:rPr>
          <w:szCs w:val="22"/>
        </w:rPr>
        <w:t>Governor</w:t>
      </w:r>
      <w:r w:rsidR="00EB1C6B">
        <w:rPr>
          <w:szCs w:val="22"/>
        </w:rPr>
        <w:noBreakHyphen/>
      </w:r>
      <w:r w:rsidR="00EB1C6B" w:rsidRPr="00EB1C6B">
        <w:rPr>
          <w:szCs w:val="22"/>
        </w:rPr>
        <w:t>General</w:t>
      </w:r>
      <w:r w:rsidRPr="00EB1C6B">
        <w:rPr>
          <w:szCs w:val="22"/>
        </w:rPr>
        <w:t xml:space="preserve"> of the Commonwealth of Australia, acting with the advice of the Federal Executive Council, make the following regulation.</w:t>
      </w:r>
    </w:p>
    <w:p w:rsidR="003E56A4" w:rsidRPr="00EB1C6B" w:rsidRDefault="003E56A4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EB1C6B">
        <w:rPr>
          <w:szCs w:val="22"/>
        </w:rPr>
        <w:t xml:space="preserve">Dated </w:t>
      </w:r>
      <w:bookmarkStart w:id="1" w:name="BKCheck15B_2"/>
      <w:bookmarkEnd w:id="1"/>
      <w:r w:rsidRPr="00EB1C6B">
        <w:rPr>
          <w:szCs w:val="22"/>
        </w:rPr>
        <w:fldChar w:fldCharType="begin"/>
      </w:r>
      <w:r w:rsidRPr="00EB1C6B">
        <w:rPr>
          <w:szCs w:val="22"/>
        </w:rPr>
        <w:instrText xml:space="preserve"> DOCPROPERTY  DateMade </w:instrText>
      </w:r>
      <w:r w:rsidRPr="00EB1C6B">
        <w:rPr>
          <w:szCs w:val="22"/>
        </w:rPr>
        <w:fldChar w:fldCharType="separate"/>
      </w:r>
      <w:r w:rsidR="00612D53">
        <w:rPr>
          <w:szCs w:val="22"/>
        </w:rPr>
        <w:t>02 October 2014</w:t>
      </w:r>
      <w:r w:rsidRPr="00EB1C6B">
        <w:rPr>
          <w:szCs w:val="22"/>
        </w:rPr>
        <w:fldChar w:fldCharType="end"/>
      </w:r>
    </w:p>
    <w:p w:rsidR="003E56A4" w:rsidRPr="00EB1C6B" w:rsidRDefault="003E56A4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B1C6B">
        <w:rPr>
          <w:szCs w:val="22"/>
        </w:rPr>
        <w:t>Peter Cosgrove</w:t>
      </w:r>
    </w:p>
    <w:p w:rsidR="003E56A4" w:rsidRPr="00EB1C6B" w:rsidRDefault="00EB1C6B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B1C6B">
        <w:rPr>
          <w:szCs w:val="22"/>
        </w:rPr>
        <w:t>Governor</w:t>
      </w:r>
      <w:r>
        <w:rPr>
          <w:szCs w:val="22"/>
        </w:rPr>
        <w:noBreakHyphen/>
      </w:r>
      <w:r w:rsidRPr="00EB1C6B">
        <w:rPr>
          <w:szCs w:val="22"/>
        </w:rPr>
        <w:t>General</w:t>
      </w:r>
    </w:p>
    <w:p w:rsidR="003E56A4" w:rsidRPr="00EB1C6B" w:rsidRDefault="003E56A4" w:rsidP="00E214A5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EB1C6B">
        <w:rPr>
          <w:szCs w:val="22"/>
        </w:rPr>
        <w:t>By His Excellency’s Command</w:t>
      </w:r>
    </w:p>
    <w:p w:rsidR="003E56A4" w:rsidRPr="00EB1C6B" w:rsidRDefault="00D53033" w:rsidP="00E214A5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EB1C6B">
        <w:rPr>
          <w:szCs w:val="22"/>
        </w:rPr>
        <w:t>Fiona Nash</w:t>
      </w:r>
    </w:p>
    <w:p w:rsidR="003E56A4" w:rsidRPr="00EB1C6B" w:rsidRDefault="00D53033" w:rsidP="000C5962">
      <w:pPr>
        <w:pStyle w:val="SignCoverPageEnd"/>
        <w:rPr>
          <w:i/>
          <w:szCs w:val="22"/>
        </w:rPr>
      </w:pPr>
      <w:r w:rsidRPr="00EB1C6B">
        <w:rPr>
          <w:szCs w:val="22"/>
        </w:rPr>
        <w:t>Assistant Minister for Health</w:t>
      </w:r>
    </w:p>
    <w:p w:rsidR="003E56A4" w:rsidRPr="00EB1C6B" w:rsidRDefault="003E56A4" w:rsidP="003E56A4"/>
    <w:p w:rsidR="0048364F" w:rsidRPr="00EB1C6B" w:rsidRDefault="0048364F" w:rsidP="0048364F">
      <w:pPr>
        <w:pStyle w:val="Header"/>
        <w:tabs>
          <w:tab w:val="clear" w:pos="4150"/>
          <w:tab w:val="clear" w:pos="8307"/>
        </w:tabs>
      </w:pPr>
      <w:r w:rsidRPr="00EB1C6B">
        <w:rPr>
          <w:rStyle w:val="CharAmSchNo"/>
        </w:rPr>
        <w:t xml:space="preserve"> </w:t>
      </w:r>
      <w:r w:rsidRPr="00EB1C6B">
        <w:rPr>
          <w:rStyle w:val="CharAmSchText"/>
        </w:rPr>
        <w:t xml:space="preserve"> </w:t>
      </w:r>
    </w:p>
    <w:p w:rsidR="0048364F" w:rsidRPr="00EB1C6B" w:rsidRDefault="0048364F" w:rsidP="0048364F">
      <w:pPr>
        <w:pStyle w:val="Header"/>
        <w:tabs>
          <w:tab w:val="clear" w:pos="4150"/>
          <w:tab w:val="clear" w:pos="8307"/>
        </w:tabs>
      </w:pPr>
      <w:r w:rsidRPr="00EB1C6B">
        <w:rPr>
          <w:rStyle w:val="CharAmPartNo"/>
        </w:rPr>
        <w:t xml:space="preserve"> </w:t>
      </w:r>
      <w:r w:rsidRPr="00EB1C6B">
        <w:rPr>
          <w:rStyle w:val="CharAmPartText"/>
        </w:rPr>
        <w:t xml:space="preserve"> </w:t>
      </w:r>
    </w:p>
    <w:p w:rsidR="0048364F" w:rsidRPr="00EB1C6B" w:rsidRDefault="0048364F" w:rsidP="0048364F">
      <w:pPr>
        <w:sectPr w:rsidR="0048364F" w:rsidRPr="00EB1C6B" w:rsidSect="00403B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B1C6B" w:rsidRDefault="0048364F" w:rsidP="001C6B24">
      <w:pPr>
        <w:rPr>
          <w:sz w:val="36"/>
        </w:rPr>
      </w:pPr>
      <w:r w:rsidRPr="00EB1C6B">
        <w:rPr>
          <w:sz w:val="36"/>
        </w:rPr>
        <w:lastRenderedPageBreak/>
        <w:t>Contents</w:t>
      </w:r>
    </w:p>
    <w:bookmarkStart w:id="2" w:name="BKCheck15B_3"/>
    <w:bookmarkEnd w:id="2"/>
    <w:p w:rsidR="00EB1C6B" w:rsidRPr="00EB1C6B" w:rsidRDefault="00EB1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C6B">
        <w:fldChar w:fldCharType="begin"/>
      </w:r>
      <w:r w:rsidRPr="00EB1C6B">
        <w:instrText xml:space="preserve"> TOC \o "1-9" </w:instrText>
      </w:r>
      <w:r w:rsidRPr="00EB1C6B">
        <w:fldChar w:fldCharType="separate"/>
      </w:r>
      <w:r w:rsidRPr="00EB1C6B">
        <w:rPr>
          <w:noProof/>
        </w:rPr>
        <w:t>1</w:t>
      </w:r>
      <w:r w:rsidRPr="00EB1C6B">
        <w:rPr>
          <w:noProof/>
        </w:rPr>
        <w:tab/>
        <w:t>Name of regulation</w:t>
      </w:r>
      <w:r w:rsidRPr="00EB1C6B">
        <w:rPr>
          <w:noProof/>
        </w:rPr>
        <w:tab/>
      </w:r>
      <w:r w:rsidRPr="00EB1C6B">
        <w:rPr>
          <w:noProof/>
        </w:rPr>
        <w:fldChar w:fldCharType="begin"/>
      </w:r>
      <w:r w:rsidRPr="00EB1C6B">
        <w:rPr>
          <w:noProof/>
        </w:rPr>
        <w:instrText xml:space="preserve"> PAGEREF _Toc391987927 \h </w:instrText>
      </w:r>
      <w:r w:rsidRPr="00EB1C6B">
        <w:rPr>
          <w:noProof/>
        </w:rPr>
      </w:r>
      <w:r w:rsidRPr="00EB1C6B">
        <w:rPr>
          <w:noProof/>
        </w:rPr>
        <w:fldChar w:fldCharType="separate"/>
      </w:r>
      <w:r w:rsidR="00612D53">
        <w:rPr>
          <w:noProof/>
        </w:rPr>
        <w:t>1</w:t>
      </w:r>
      <w:r w:rsidRPr="00EB1C6B">
        <w:rPr>
          <w:noProof/>
        </w:rPr>
        <w:fldChar w:fldCharType="end"/>
      </w:r>
    </w:p>
    <w:p w:rsidR="00EB1C6B" w:rsidRPr="00EB1C6B" w:rsidRDefault="00EB1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C6B">
        <w:rPr>
          <w:noProof/>
        </w:rPr>
        <w:t>2</w:t>
      </w:r>
      <w:r w:rsidRPr="00EB1C6B">
        <w:rPr>
          <w:noProof/>
        </w:rPr>
        <w:tab/>
        <w:t>Commencement</w:t>
      </w:r>
      <w:r w:rsidRPr="00EB1C6B">
        <w:rPr>
          <w:noProof/>
        </w:rPr>
        <w:tab/>
      </w:r>
      <w:r w:rsidRPr="00EB1C6B">
        <w:rPr>
          <w:noProof/>
        </w:rPr>
        <w:fldChar w:fldCharType="begin"/>
      </w:r>
      <w:r w:rsidRPr="00EB1C6B">
        <w:rPr>
          <w:noProof/>
        </w:rPr>
        <w:instrText xml:space="preserve"> PAGEREF _Toc391987928 \h </w:instrText>
      </w:r>
      <w:r w:rsidRPr="00EB1C6B">
        <w:rPr>
          <w:noProof/>
        </w:rPr>
      </w:r>
      <w:r w:rsidRPr="00EB1C6B">
        <w:rPr>
          <w:noProof/>
        </w:rPr>
        <w:fldChar w:fldCharType="separate"/>
      </w:r>
      <w:r w:rsidR="00612D53">
        <w:rPr>
          <w:noProof/>
        </w:rPr>
        <w:t>1</w:t>
      </w:r>
      <w:r w:rsidRPr="00EB1C6B">
        <w:rPr>
          <w:noProof/>
        </w:rPr>
        <w:fldChar w:fldCharType="end"/>
      </w:r>
    </w:p>
    <w:p w:rsidR="00EB1C6B" w:rsidRPr="00EB1C6B" w:rsidRDefault="00EB1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C6B">
        <w:rPr>
          <w:noProof/>
        </w:rPr>
        <w:t>3</w:t>
      </w:r>
      <w:r w:rsidRPr="00EB1C6B">
        <w:rPr>
          <w:noProof/>
        </w:rPr>
        <w:tab/>
        <w:t>Authority</w:t>
      </w:r>
      <w:r w:rsidRPr="00EB1C6B">
        <w:rPr>
          <w:noProof/>
        </w:rPr>
        <w:tab/>
      </w:r>
      <w:r w:rsidRPr="00EB1C6B">
        <w:rPr>
          <w:noProof/>
        </w:rPr>
        <w:fldChar w:fldCharType="begin"/>
      </w:r>
      <w:r w:rsidRPr="00EB1C6B">
        <w:rPr>
          <w:noProof/>
        </w:rPr>
        <w:instrText xml:space="preserve"> PAGEREF _Toc391987929 \h </w:instrText>
      </w:r>
      <w:r w:rsidRPr="00EB1C6B">
        <w:rPr>
          <w:noProof/>
        </w:rPr>
      </w:r>
      <w:r w:rsidRPr="00EB1C6B">
        <w:rPr>
          <w:noProof/>
        </w:rPr>
        <w:fldChar w:fldCharType="separate"/>
      </w:r>
      <w:r w:rsidR="00612D53">
        <w:rPr>
          <w:noProof/>
        </w:rPr>
        <w:t>1</w:t>
      </w:r>
      <w:r w:rsidRPr="00EB1C6B">
        <w:rPr>
          <w:noProof/>
        </w:rPr>
        <w:fldChar w:fldCharType="end"/>
      </w:r>
    </w:p>
    <w:p w:rsidR="00EB1C6B" w:rsidRPr="00EB1C6B" w:rsidRDefault="00EB1C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1C6B">
        <w:rPr>
          <w:noProof/>
        </w:rPr>
        <w:t>4</w:t>
      </w:r>
      <w:r w:rsidRPr="00EB1C6B">
        <w:rPr>
          <w:noProof/>
        </w:rPr>
        <w:tab/>
        <w:t>Schedule(s)</w:t>
      </w:r>
      <w:r w:rsidRPr="00EB1C6B">
        <w:rPr>
          <w:noProof/>
        </w:rPr>
        <w:tab/>
      </w:r>
      <w:r w:rsidRPr="00EB1C6B">
        <w:rPr>
          <w:noProof/>
        </w:rPr>
        <w:fldChar w:fldCharType="begin"/>
      </w:r>
      <w:r w:rsidRPr="00EB1C6B">
        <w:rPr>
          <w:noProof/>
        </w:rPr>
        <w:instrText xml:space="preserve"> PAGEREF _Toc391987930 \h </w:instrText>
      </w:r>
      <w:r w:rsidRPr="00EB1C6B">
        <w:rPr>
          <w:noProof/>
        </w:rPr>
      </w:r>
      <w:r w:rsidRPr="00EB1C6B">
        <w:rPr>
          <w:noProof/>
        </w:rPr>
        <w:fldChar w:fldCharType="separate"/>
      </w:r>
      <w:r w:rsidR="00612D53">
        <w:rPr>
          <w:noProof/>
        </w:rPr>
        <w:t>1</w:t>
      </w:r>
      <w:r w:rsidRPr="00EB1C6B">
        <w:rPr>
          <w:noProof/>
        </w:rPr>
        <w:fldChar w:fldCharType="end"/>
      </w:r>
    </w:p>
    <w:p w:rsidR="00EB1C6B" w:rsidRPr="00EB1C6B" w:rsidRDefault="00EB1C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B1C6B">
        <w:rPr>
          <w:noProof/>
        </w:rPr>
        <w:t>Schedule 1—Amendments</w:t>
      </w:r>
      <w:r w:rsidRPr="00EB1C6B">
        <w:rPr>
          <w:b w:val="0"/>
          <w:noProof/>
          <w:sz w:val="18"/>
        </w:rPr>
        <w:tab/>
      </w:r>
      <w:r w:rsidRPr="00EB1C6B">
        <w:rPr>
          <w:b w:val="0"/>
          <w:noProof/>
          <w:sz w:val="18"/>
        </w:rPr>
        <w:fldChar w:fldCharType="begin"/>
      </w:r>
      <w:r w:rsidRPr="00EB1C6B">
        <w:rPr>
          <w:b w:val="0"/>
          <w:noProof/>
          <w:sz w:val="18"/>
        </w:rPr>
        <w:instrText xml:space="preserve"> PAGEREF _Toc391987931 \h </w:instrText>
      </w:r>
      <w:r w:rsidRPr="00EB1C6B">
        <w:rPr>
          <w:b w:val="0"/>
          <w:noProof/>
          <w:sz w:val="18"/>
        </w:rPr>
      </w:r>
      <w:r w:rsidRPr="00EB1C6B">
        <w:rPr>
          <w:b w:val="0"/>
          <w:noProof/>
          <w:sz w:val="18"/>
        </w:rPr>
        <w:fldChar w:fldCharType="separate"/>
      </w:r>
      <w:r w:rsidR="00612D53">
        <w:rPr>
          <w:b w:val="0"/>
          <w:noProof/>
          <w:sz w:val="18"/>
        </w:rPr>
        <w:t>2</w:t>
      </w:r>
      <w:r w:rsidRPr="00EB1C6B">
        <w:rPr>
          <w:b w:val="0"/>
          <w:noProof/>
          <w:sz w:val="18"/>
        </w:rPr>
        <w:fldChar w:fldCharType="end"/>
      </w:r>
    </w:p>
    <w:p w:rsidR="00EB1C6B" w:rsidRPr="00EB1C6B" w:rsidRDefault="00EB1C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1C6B">
        <w:rPr>
          <w:noProof/>
        </w:rPr>
        <w:t>Industrial Chemicals (Notification and Assessment) Regulations 1990</w:t>
      </w:r>
      <w:r w:rsidRPr="00EB1C6B">
        <w:rPr>
          <w:i w:val="0"/>
          <w:noProof/>
          <w:sz w:val="18"/>
        </w:rPr>
        <w:tab/>
      </w:r>
      <w:r w:rsidRPr="00EB1C6B">
        <w:rPr>
          <w:i w:val="0"/>
          <w:noProof/>
          <w:sz w:val="18"/>
        </w:rPr>
        <w:fldChar w:fldCharType="begin"/>
      </w:r>
      <w:r w:rsidRPr="00EB1C6B">
        <w:rPr>
          <w:i w:val="0"/>
          <w:noProof/>
          <w:sz w:val="18"/>
        </w:rPr>
        <w:instrText xml:space="preserve"> PAGEREF _Toc391987932 \h </w:instrText>
      </w:r>
      <w:r w:rsidRPr="00EB1C6B">
        <w:rPr>
          <w:i w:val="0"/>
          <w:noProof/>
          <w:sz w:val="18"/>
        </w:rPr>
      </w:r>
      <w:r w:rsidRPr="00EB1C6B">
        <w:rPr>
          <w:i w:val="0"/>
          <w:noProof/>
          <w:sz w:val="18"/>
        </w:rPr>
        <w:fldChar w:fldCharType="separate"/>
      </w:r>
      <w:r w:rsidR="00612D53">
        <w:rPr>
          <w:i w:val="0"/>
          <w:noProof/>
          <w:sz w:val="18"/>
        </w:rPr>
        <w:t>2</w:t>
      </w:r>
      <w:r w:rsidRPr="00EB1C6B">
        <w:rPr>
          <w:i w:val="0"/>
          <w:noProof/>
          <w:sz w:val="18"/>
        </w:rPr>
        <w:fldChar w:fldCharType="end"/>
      </w:r>
    </w:p>
    <w:p w:rsidR="00833416" w:rsidRPr="00EB1C6B" w:rsidRDefault="00EB1C6B" w:rsidP="0048364F">
      <w:r w:rsidRPr="00EB1C6B">
        <w:fldChar w:fldCharType="end"/>
      </w:r>
    </w:p>
    <w:p w:rsidR="00722023" w:rsidRPr="00EB1C6B" w:rsidRDefault="00722023" w:rsidP="0048364F">
      <w:pPr>
        <w:sectPr w:rsidR="00722023" w:rsidRPr="00EB1C6B" w:rsidSect="00403B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B1C6B" w:rsidRDefault="0048364F" w:rsidP="0048364F">
      <w:pPr>
        <w:pStyle w:val="ActHead5"/>
      </w:pPr>
      <w:bookmarkStart w:id="3" w:name="_Toc391987927"/>
      <w:r w:rsidRPr="00EB1C6B">
        <w:rPr>
          <w:rStyle w:val="CharSectno"/>
        </w:rPr>
        <w:lastRenderedPageBreak/>
        <w:t>1</w:t>
      </w:r>
      <w:r w:rsidRPr="00EB1C6B">
        <w:t xml:space="preserve">  </w:t>
      </w:r>
      <w:r w:rsidR="004F676E" w:rsidRPr="00EB1C6B">
        <w:t xml:space="preserve">Name of </w:t>
      </w:r>
      <w:r w:rsidR="003E56A4" w:rsidRPr="00EB1C6B">
        <w:t>regulation</w:t>
      </w:r>
      <w:bookmarkEnd w:id="3"/>
    </w:p>
    <w:p w:rsidR="0048364F" w:rsidRPr="00EB1C6B" w:rsidRDefault="0048364F" w:rsidP="0048364F">
      <w:pPr>
        <w:pStyle w:val="subsection"/>
      </w:pPr>
      <w:r w:rsidRPr="00EB1C6B">
        <w:tab/>
      </w:r>
      <w:r w:rsidRPr="00EB1C6B">
        <w:tab/>
        <w:t>Th</w:t>
      </w:r>
      <w:r w:rsidR="00F24C35" w:rsidRPr="00EB1C6B">
        <w:t>is</w:t>
      </w:r>
      <w:r w:rsidRPr="00EB1C6B">
        <w:t xml:space="preserve"> </w:t>
      </w:r>
      <w:r w:rsidR="003E56A4" w:rsidRPr="00EB1C6B">
        <w:t>regulation</w:t>
      </w:r>
      <w:r w:rsidRPr="00EB1C6B">
        <w:t xml:space="preserve"> </w:t>
      </w:r>
      <w:r w:rsidR="00F24C35" w:rsidRPr="00EB1C6B">
        <w:t>is</w:t>
      </w:r>
      <w:r w:rsidR="003801D0" w:rsidRPr="00EB1C6B">
        <w:t xml:space="preserve"> the</w:t>
      </w:r>
      <w:r w:rsidRPr="00EB1C6B">
        <w:t xml:space="preserve"> </w:t>
      </w:r>
      <w:bookmarkStart w:id="4" w:name="BKCheck15B_4"/>
      <w:bookmarkEnd w:id="4"/>
      <w:r w:rsidR="00CB0180" w:rsidRPr="00EB1C6B">
        <w:rPr>
          <w:i/>
        </w:rPr>
        <w:fldChar w:fldCharType="begin"/>
      </w:r>
      <w:r w:rsidR="00CB0180" w:rsidRPr="00EB1C6B">
        <w:rPr>
          <w:i/>
        </w:rPr>
        <w:instrText xml:space="preserve"> STYLEREF  ShortT </w:instrText>
      </w:r>
      <w:r w:rsidR="00CB0180" w:rsidRPr="00EB1C6B">
        <w:rPr>
          <w:i/>
        </w:rPr>
        <w:fldChar w:fldCharType="separate"/>
      </w:r>
      <w:r w:rsidR="00612D53">
        <w:rPr>
          <w:i/>
          <w:noProof/>
        </w:rPr>
        <w:t>Industrial Chemicals (Notification and Assessment) Amendment (Rotterdam Convention) Regulation 2014</w:t>
      </w:r>
      <w:r w:rsidR="00CB0180" w:rsidRPr="00EB1C6B">
        <w:rPr>
          <w:i/>
        </w:rPr>
        <w:fldChar w:fldCharType="end"/>
      </w:r>
      <w:r w:rsidRPr="00EB1C6B">
        <w:t>.</w:t>
      </w:r>
    </w:p>
    <w:p w:rsidR="0048364F" w:rsidRPr="00EB1C6B" w:rsidRDefault="0048364F" w:rsidP="0048364F">
      <w:pPr>
        <w:pStyle w:val="ActHead5"/>
      </w:pPr>
      <w:bookmarkStart w:id="5" w:name="_Toc391987928"/>
      <w:r w:rsidRPr="00EB1C6B">
        <w:rPr>
          <w:rStyle w:val="CharSectno"/>
        </w:rPr>
        <w:t>2</w:t>
      </w:r>
      <w:r w:rsidRPr="00EB1C6B">
        <w:t xml:space="preserve">  Commencement</w:t>
      </w:r>
      <w:bookmarkEnd w:id="5"/>
    </w:p>
    <w:p w:rsidR="004F676E" w:rsidRPr="00EB1C6B" w:rsidRDefault="004F676E" w:rsidP="004F676E">
      <w:pPr>
        <w:pStyle w:val="subsection"/>
      </w:pPr>
      <w:bookmarkStart w:id="6" w:name="_GoBack"/>
      <w:r w:rsidRPr="00EB1C6B">
        <w:tab/>
      </w:r>
      <w:r w:rsidRPr="00EB1C6B">
        <w:tab/>
        <w:t>Th</w:t>
      </w:r>
      <w:r w:rsidR="00F24C35" w:rsidRPr="00EB1C6B">
        <w:t>is</w:t>
      </w:r>
      <w:r w:rsidRPr="00EB1C6B">
        <w:t xml:space="preserve"> </w:t>
      </w:r>
      <w:r w:rsidR="003E56A4" w:rsidRPr="00EB1C6B">
        <w:t>regulation</w:t>
      </w:r>
      <w:r w:rsidRPr="00EB1C6B">
        <w:t xml:space="preserve"> commence</w:t>
      </w:r>
      <w:r w:rsidR="00D17B17" w:rsidRPr="00EB1C6B">
        <w:t>s</w:t>
      </w:r>
      <w:r w:rsidRPr="00EB1C6B">
        <w:t xml:space="preserve"> on </w:t>
      </w:r>
      <w:r w:rsidR="00A26DBE" w:rsidRPr="00EB1C6B">
        <w:t xml:space="preserve">the </w:t>
      </w:r>
      <w:r w:rsidR="003E56A4" w:rsidRPr="00EB1C6B">
        <w:t>day after it is registered</w:t>
      </w:r>
      <w:r w:rsidRPr="00EB1C6B">
        <w:t>.</w:t>
      </w:r>
      <w:bookmarkEnd w:id="6"/>
    </w:p>
    <w:p w:rsidR="007769D4" w:rsidRPr="00EB1C6B" w:rsidRDefault="007769D4" w:rsidP="007769D4">
      <w:pPr>
        <w:pStyle w:val="ActHead5"/>
      </w:pPr>
      <w:bookmarkStart w:id="7" w:name="_Toc391987929"/>
      <w:r w:rsidRPr="00EB1C6B">
        <w:rPr>
          <w:rStyle w:val="CharSectno"/>
        </w:rPr>
        <w:t>3</w:t>
      </w:r>
      <w:r w:rsidRPr="00EB1C6B">
        <w:t xml:space="preserve">  Authority</w:t>
      </w:r>
      <w:bookmarkEnd w:id="7"/>
    </w:p>
    <w:p w:rsidR="007769D4" w:rsidRPr="00EB1C6B" w:rsidRDefault="007769D4" w:rsidP="007769D4">
      <w:pPr>
        <w:pStyle w:val="subsection"/>
      </w:pPr>
      <w:r w:rsidRPr="00EB1C6B">
        <w:tab/>
      </w:r>
      <w:r w:rsidRPr="00EB1C6B">
        <w:tab/>
      </w:r>
      <w:r w:rsidR="00AF0336" w:rsidRPr="00EB1C6B">
        <w:t xml:space="preserve">This </w:t>
      </w:r>
      <w:r w:rsidR="003E56A4" w:rsidRPr="00EB1C6B">
        <w:t>regulation</w:t>
      </w:r>
      <w:r w:rsidR="00AF0336" w:rsidRPr="00EB1C6B">
        <w:t xml:space="preserve"> is made under the </w:t>
      </w:r>
      <w:r w:rsidR="003E56A4" w:rsidRPr="00EB1C6B">
        <w:rPr>
          <w:i/>
        </w:rPr>
        <w:t>Industrial Chemicals (Notification and Assessment) Act 1989</w:t>
      </w:r>
      <w:r w:rsidR="00D83D21" w:rsidRPr="00EB1C6B">
        <w:rPr>
          <w:i/>
        </w:rPr>
        <w:t>.</w:t>
      </w:r>
    </w:p>
    <w:p w:rsidR="00557C7A" w:rsidRPr="00EB1C6B" w:rsidRDefault="007769D4" w:rsidP="00557C7A">
      <w:pPr>
        <w:pStyle w:val="ActHead5"/>
      </w:pPr>
      <w:bookmarkStart w:id="8" w:name="_Toc391987930"/>
      <w:r w:rsidRPr="00EB1C6B">
        <w:rPr>
          <w:rStyle w:val="CharSectno"/>
        </w:rPr>
        <w:t>4</w:t>
      </w:r>
      <w:r w:rsidR="00557C7A" w:rsidRPr="00EB1C6B">
        <w:t xml:space="preserve">  </w:t>
      </w:r>
      <w:r w:rsidR="00B332B8" w:rsidRPr="00EB1C6B">
        <w:t>Schedule(s)</w:t>
      </w:r>
      <w:bookmarkEnd w:id="8"/>
    </w:p>
    <w:p w:rsidR="00557C7A" w:rsidRPr="00EB1C6B" w:rsidRDefault="00557C7A" w:rsidP="00557C7A">
      <w:pPr>
        <w:pStyle w:val="subsection"/>
      </w:pPr>
      <w:r w:rsidRPr="00EB1C6B">
        <w:tab/>
      </w:r>
      <w:r w:rsidRPr="00EB1C6B">
        <w:tab/>
      </w:r>
      <w:r w:rsidR="00CD7ECB" w:rsidRPr="00EB1C6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B1C6B" w:rsidRDefault="0048364F" w:rsidP="00FF3089">
      <w:pPr>
        <w:pStyle w:val="ActHead6"/>
        <w:pageBreakBefore/>
      </w:pPr>
      <w:bookmarkStart w:id="9" w:name="_Toc391987931"/>
      <w:bookmarkStart w:id="10" w:name="opcAmSched"/>
      <w:bookmarkStart w:id="11" w:name="opcCurrentFind"/>
      <w:r w:rsidRPr="00EB1C6B">
        <w:rPr>
          <w:rStyle w:val="CharAmSchNo"/>
        </w:rPr>
        <w:lastRenderedPageBreak/>
        <w:t>Schedule</w:t>
      </w:r>
      <w:r w:rsidR="00EB1C6B" w:rsidRPr="00EB1C6B">
        <w:rPr>
          <w:rStyle w:val="CharAmSchNo"/>
        </w:rPr>
        <w:t> </w:t>
      </w:r>
      <w:r w:rsidRPr="00EB1C6B">
        <w:rPr>
          <w:rStyle w:val="CharAmSchNo"/>
        </w:rPr>
        <w:t>1</w:t>
      </w:r>
      <w:r w:rsidRPr="00EB1C6B">
        <w:t>—</w:t>
      </w:r>
      <w:r w:rsidR="00460499" w:rsidRPr="00EB1C6B">
        <w:rPr>
          <w:rStyle w:val="CharAmSchText"/>
        </w:rPr>
        <w:t>Amendments</w:t>
      </w:r>
      <w:bookmarkEnd w:id="9"/>
    </w:p>
    <w:bookmarkEnd w:id="10"/>
    <w:bookmarkEnd w:id="11"/>
    <w:p w:rsidR="0004044E" w:rsidRPr="00EB1C6B" w:rsidRDefault="0004044E" w:rsidP="0004044E">
      <w:pPr>
        <w:pStyle w:val="Header"/>
      </w:pPr>
      <w:r w:rsidRPr="00EB1C6B">
        <w:rPr>
          <w:rStyle w:val="CharAmPartNo"/>
        </w:rPr>
        <w:t xml:space="preserve"> </w:t>
      </w:r>
      <w:r w:rsidRPr="00EB1C6B">
        <w:rPr>
          <w:rStyle w:val="CharAmPartText"/>
        </w:rPr>
        <w:t xml:space="preserve"> </w:t>
      </w:r>
    </w:p>
    <w:p w:rsidR="003E56A4" w:rsidRPr="00EB1C6B" w:rsidRDefault="003E56A4" w:rsidP="003E56A4">
      <w:pPr>
        <w:pStyle w:val="ActHead9"/>
      </w:pPr>
      <w:bookmarkStart w:id="12" w:name="_Toc391987932"/>
      <w:r w:rsidRPr="00EB1C6B">
        <w:t>Industrial Chemicals (Notification and Assessment) Regulations</w:t>
      </w:r>
      <w:r w:rsidR="00EB1C6B" w:rsidRPr="00EB1C6B">
        <w:t> </w:t>
      </w:r>
      <w:r w:rsidRPr="00EB1C6B">
        <w:t>1990</w:t>
      </w:r>
      <w:bookmarkEnd w:id="12"/>
    </w:p>
    <w:p w:rsidR="006D3667" w:rsidRPr="00EB1C6B" w:rsidRDefault="00BB6E79" w:rsidP="006C2C12">
      <w:pPr>
        <w:pStyle w:val="ItemHead"/>
        <w:tabs>
          <w:tab w:val="left" w:pos="6663"/>
        </w:tabs>
      </w:pPr>
      <w:r w:rsidRPr="00EB1C6B">
        <w:t xml:space="preserve">1  </w:t>
      </w:r>
      <w:r w:rsidR="000D5E70" w:rsidRPr="00EB1C6B">
        <w:t>Regulation</w:t>
      </w:r>
      <w:r w:rsidR="00EB1C6B" w:rsidRPr="00EB1C6B">
        <w:t> </w:t>
      </w:r>
      <w:r w:rsidR="000D5E70" w:rsidRPr="00EB1C6B">
        <w:t>2</w:t>
      </w:r>
    </w:p>
    <w:p w:rsidR="000D5E70" w:rsidRPr="00EB1C6B" w:rsidRDefault="000D5E70" w:rsidP="000D5E70">
      <w:pPr>
        <w:pStyle w:val="Item"/>
      </w:pPr>
      <w:r w:rsidRPr="00EB1C6B">
        <w:t>Insert:</w:t>
      </w:r>
    </w:p>
    <w:p w:rsidR="000D5E70" w:rsidRPr="00EB1C6B" w:rsidRDefault="000D5E70" w:rsidP="000D5E70">
      <w:pPr>
        <w:pStyle w:val="Definition"/>
      </w:pPr>
      <w:r w:rsidRPr="00EB1C6B">
        <w:rPr>
          <w:b/>
          <w:i/>
        </w:rPr>
        <w:t>Rotterdam Convention</w:t>
      </w:r>
      <w:r w:rsidRPr="00EB1C6B">
        <w:t xml:space="preserve"> means the Rotterdam Convention on the Prior Informed Consent Procedure for Certain Hazardous Chemicals and Pesticides in International Trade, done at Rotterdam on 10</w:t>
      </w:r>
      <w:r w:rsidR="00EB1C6B" w:rsidRPr="00EB1C6B">
        <w:t> </w:t>
      </w:r>
      <w:r w:rsidRPr="00EB1C6B">
        <w:t>September 1998, as amended by any amendment of the Convention that has entered into force for Australia.</w:t>
      </w:r>
    </w:p>
    <w:p w:rsidR="000D5E70" w:rsidRPr="00EB1C6B" w:rsidRDefault="000D5E70" w:rsidP="000D5E70">
      <w:pPr>
        <w:pStyle w:val="Definition"/>
        <w:rPr>
          <w:color w:val="000000"/>
        </w:rPr>
      </w:pPr>
      <w:r w:rsidRPr="00EB1C6B">
        <w:rPr>
          <w:b/>
          <w:i/>
          <w:color w:val="000000"/>
        </w:rPr>
        <w:t>Stockholm Convention</w:t>
      </w:r>
      <w:r w:rsidRPr="00EB1C6B">
        <w:rPr>
          <w:color w:val="000000"/>
        </w:rPr>
        <w:t xml:space="preserve"> means the Stockholm Convention on Persistent Organic Pollutants, done at Stockholm on 2</w:t>
      </w:r>
      <w:r w:rsidR="00977D7D" w:rsidRPr="00EB1C6B">
        <w:rPr>
          <w:color w:val="000000"/>
        </w:rPr>
        <w:t>2</w:t>
      </w:r>
      <w:r w:rsidR="00EB1C6B" w:rsidRPr="00EB1C6B">
        <w:rPr>
          <w:color w:val="000000"/>
        </w:rPr>
        <w:t> </w:t>
      </w:r>
      <w:r w:rsidRPr="00EB1C6B">
        <w:rPr>
          <w:color w:val="000000"/>
        </w:rPr>
        <w:t>May 2001, as amended by any amendment of the Convention that has entered into force in Australia.</w:t>
      </w:r>
    </w:p>
    <w:p w:rsidR="000D5E70" w:rsidRPr="00EB1C6B" w:rsidRDefault="000D5E70" w:rsidP="000D5E70">
      <w:pPr>
        <w:pStyle w:val="ItemHead"/>
      </w:pPr>
      <w:r w:rsidRPr="00EB1C6B">
        <w:t>2  Subregulation</w:t>
      </w:r>
      <w:r w:rsidR="00EB1C6B" w:rsidRPr="00EB1C6B">
        <w:t> </w:t>
      </w:r>
      <w:r w:rsidRPr="00EB1C6B">
        <w:t>11B(1)</w:t>
      </w:r>
    </w:p>
    <w:p w:rsidR="000D5E70" w:rsidRPr="00EB1C6B" w:rsidRDefault="000D5E70" w:rsidP="000D5E70">
      <w:pPr>
        <w:pStyle w:val="Item"/>
      </w:pPr>
      <w:r w:rsidRPr="00EB1C6B">
        <w:t>Omit “(1)</w:t>
      </w:r>
      <w:r w:rsidR="00B00B70" w:rsidRPr="00EB1C6B">
        <w:t xml:space="preserve"> For</w:t>
      </w:r>
      <w:r w:rsidRPr="00EB1C6B">
        <w:t>”</w:t>
      </w:r>
      <w:r w:rsidR="00B00B70" w:rsidRPr="00EB1C6B">
        <w:t>, substitute “For”</w:t>
      </w:r>
      <w:r w:rsidRPr="00EB1C6B">
        <w:t>.</w:t>
      </w:r>
    </w:p>
    <w:p w:rsidR="000D5E70" w:rsidRPr="00EB1C6B" w:rsidRDefault="000D5E70" w:rsidP="000D5E70">
      <w:pPr>
        <w:pStyle w:val="ItemHead"/>
      </w:pPr>
      <w:r w:rsidRPr="00EB1C6B">
        <w:t>3  Subregulation</w:t>
      </w:r>
      <w:r w:rsidR="00EB1C6B" w:rsidRPr="00EB1C6B">
        <w:t> </w:t>
      </w:r>
      <w:r w:rsidRPr="00EB1C6B">
        <w:t>11B(2)</w:t>
      </w:r>
    </w:p>
    <w:p w:rsidR="000D5E70" w:rsidRPr="00EB1C6B" w:rsidRDefault="000D5E70" w:rsidP="000D5E70">
      <w:pPr>
        <w:pStyle w:val="Item"/>
      </w:pPr>
      <w:r w:rsidRPr="00EB1C6B">
        <w:t>Repeal the subregulation.</w:t>
      </w:r>
    </w:p>
    <w:p w:rsidR="000D5E70" w:rsidRPr="00EB1C6B" w:rsidRDefault="000D5E70" w:rsidP="000D5E70">
      <w:pPr>
        <w:pStyle w:val="ItemHead"/>
      </w:pPr>
      <w:r w:rsidRPr="00EB1C6B">
        <w:t>4  At the end of subregulation</w:t>
      </w:r>
      <w:r w:rsidR="00EB1C6B" w:rsidRPr="00EB1C6B">
        <w:t> </w:t>
      </w:r>
      <w:r w:rsidRPr="00EB1C6B">
        <w:t>11C(1)</w:t>
      </w:r>
    </w:p>
    <w:p w:rsidR="000D5E70" w:rsidRPr="00EB1C6B" w:rsidRDefault="000D5E70" w:rsidP="000D5E70">
      <w:pPr>
        <w:pStyle w:val="Item"/>
      </w:pPr>
      <w:r w:rsidRPr="00EB1C6B">
        <w:t>Add:</w:t>
      </w:r>
    </w:p>
    <w:p w:rsidR="000D5E70" w:rsidRPr="00EB1C6B" w:rsidRDefault="000D5E70" w:rsidP="000D5E70">
      <w:pPr>
        <w:pStyle w:val="paragraph"/>
      </w:pPr>
      <w:r w:rsidRPr="00EB1C6B">
        <w:tab/>
        <w:t>; (g)</w:t>
      </w:r>
      <w:r w:rsidRPr="00EB1C6B">
        <w:tab/>
        <w:t>commercial pentabromodiphenyl ether (including tetrabromodiphenyl ether and pentabromodiphenyl ether);</w:t>
      </w:r>
    </w:p>
    <w:p w:rsidR="000D5E70" w:rsidRPr="00EB1C6B" w:rsidRDefault="000D5E70" w:rsidP="000D5E70">
      <w:pPr>
        <w:pStyle w:val="paragraph"/>
      </w:pPr>
      <w:r w:rsidRPr="00EB1C6B">
        <w:tab/>
        <w:t>(h)</w:t>
      </w:r>
      <w:r w:rsidRPr="00EB1C6B">
        <w:tab/>
        <w:t>commercial octabromodiphenyl ether (including hexabromodiphenyl ether and heptabromodiphenyl ether);</w:t>
      </w:r>
    </w:p>
    <w:p w:rsidR="000D5E70" w:rsidRPr="00EB1C6B" w:rsidRDefault="000D5E70" w:rsidP="000D5E70">
      <w:pPr>
        <w:pStyle w:val="paragraph"/>
      </w:pPr>
      <w:r w:rsidRPr="00EB1C6B">
        <w:tab/>
        <w:t>(i)</w:t>
      </w:r>
      <w:r w:rsidRPr="00EB1C6B">
        <w:tab/>
        <w:t>perfluorooctane sulfonic acid;</w:t>
      </w:r>
    </w:p>
    <w:p w:rsidR="000D5E70" w:rsidRPr="00EB1C6B" w:rsidRDefault="000D5E70" w:rsidP="000D5E70">
      <w:pPr>
        <w:pStyle w:val="paragraph"/>
      </w:pPr>
      <w:r w:rsidRPr="00EB1C6B">
        <w:tab/>
        <w:t>(j)</w:t>
      </w:r>
      <w:r w:rsidRPr="00EB1C6B">
        <w:tab/>
        <w:t>perfluorooctane sulfonates, perfluorooctane sulfonamides and perfluorooctane sulfonyls, including the following:</w:t>
      </w:r>
    </w:p>
    <w:p w:rsidR="000D5E70" w:rsidRPr="00EB1C6B" w:rsidRDefault="000D5E70" w:rsidP="000D5E70">
      <w:pPr>
        <w:pStyle w:val="paragraphsub"/>
      </w:pPr>
      <w:r w:rsidRPr="00EB1C6B">
        <w:tab/>
        <w:t>(i)</w:t>
      </w:r>
      <w:r w:rsidRPr="00EB1C6B">
        <w:tab/>
        <w:t>potassium perfluorooctane sulfonate;</w:t>
      </w:r>
    </w:p>
    <w:p w:rsidR="000D5E70" w:rsidRPr="00EB1C6B" w:rsidRDefault="000D5E70" w:rsidP="000D5E70">
      <w:pPr>
        <w:pStyle w:val="paragraphsub"/>
      </w:pPr>
      <w:r w:rsidRPr="00EB1C6B">
        <w:tab/>
        <w:t>(ii)</w:t>
      </w:r>
      <w:r w:rsidRPr="00EB1C6B">
        <w:tab/>
        <w:t>lithium perfluorooctane sulfonate;</w:t>
      </w:r>
    </w:p>
    <w:p w:rsidR="000D5E70" w:rsidRPr="00EB1C6B" w:rsidRDefault="000D5E70" w:rsidP="000D5E70">
      <w:pPr>
        <w:pStyle w:val="paragraphsub"/>
      </w:pPr>
      <w:r w:rsidRPr="00EB1C6B">
        <w:tab/>
        <w:t>(iii)</w:t>
      </w:r>
      <w:r w:rsidRPr="00EB1C6B">
        <w:tab/>
        <w:t>ammonium perfluorooctane sulfonate;</w:t>
      </w:r>
    </w:p>
    <w:p w:rsidR="000D5E70" w:rsidRPr="00EB1C6B" w:rsidRDefault="000D5E70" w:rsidP="000D5E70">
      <w:pPr>
        <w:pStyle w:val="paragraphsub"/>
      </w:pPr>
      <w:r w:rsidRPr="00EB1C6B">
        <w:tab/>
        <w:t>(iv)</w:t>
      </w:r>
      <w:r w:rsidRPr="00EB1C6B">
        <w:tab/>
        <w:t>diethanolammonium perfluorooctane sulfonate;</w:t>
      </w:r>
    </w:p>
    <w:p w:rsidR="000D5E70" w:rsidRPr="00EB1C6B" w:rsidRDefault="000D5E70" w:rsidP="000D5E70">
      <w:pPr>
        <w:pStyle w:val="paragraphsub"/>
      </w:pPr>
      <w:r w:rsidRPr="00EB1C6B">
        <w:lastRenderedPageBreak/>
        <w:tab/>
        <w:t>(v)</w:t>
      </w:r>
      <w:r w:rsidRPr="00EB1C6B">
        <w:tab/>
        <w:t>tetraethylammonium perfluorooctane sulfonate;</w:t>
      </w:r>
    </w:p>
    <w:p w:rsidR="000D5E70" w:rsidRPr="00EB1C6B" w:rsidRDefault="000D5E70" w:rsidP="000D5E70">
      <w:pPr>
        <w:pStyle w:val="paragraphsub"/>
      </w:pPr>
      <w:r w:rsidRPr="00EB1C6B">
        <w:tab/>
        <w:t>(vi)</w:t>
      </w:r>
      <w:r w:rsidRPr="00EB1C6B">
        <w:tab/>
        <w:t>didecyldimethylammonium perfluorooctane sulfonate;</w:t>
      </w:r>
    </w:p>
    <w:p w:rsidR="000D5E70" w:rsidRPr="00EB1C6B" w:rsidRDefault="000D5E70" w:rsidP="000D5E70">
      <w:pPr>
        <w:pStyle w:val="paragraphsub"/>
      </w:pPr>
      <w:r w:rsidRPr="00EB1C6B">
        <w:tab/>
        <w:t>(vii)</w:t>
      </w:r>
      <w:r w:rsidRPr="00EB1C6B">
        <w:tab/>
        <w:t>N</w:t>
      </w:r>
      <w:r w:rsidR="00EB1C6B">
        <w:noBreakHyphen/>
      </w:r>
      <w:r w:rsidRPr="00EB1C6B">
        <w:t>ethylperfluorooctane sulfonamide;</w:t>
      </w:r>
    </w:p>
    <w:p w:rsidR="000D5E70" w:rsidRPr="00EB1C6B" w:rsidRDefault="000D5E70" w:rsidP="000D5E70">
      <w:pPr>
        <w:pStyle w:val="paragraphsub"/>
      </w:pPr>
      <w:r w:rsidRPr="00EB1C6B">
        <w:tab/>
        <w:t>(viii)</w:t>
      </w:r>
      <w:r w:rsidRPr="00EB1C6B">
        <w:tab/>
        <w:t>N</w:t>
      </w:r>
      <w:r w:rsidR="00EB1C6B">
        <w:noBreakHyphen/>
      </w:r>
      <w:r w:rsidRPr="00EB1C6B">
        <w:t>methylperfluorooctane sulfonamide;</w:t>
      </w:r>
    </w:p>
    <w:p w:rsidR="000D5E70" w:rsidRPr="00EB1C6B" w:rsidRDefault="006B1AFE" w:rsidP="000D5E70">
      <w:pPr>
        <w:pStyle w:val="paragraphsub"/>
      </w:pPr>
      <w:r w:rsidRPr="00EB1C6B">
        <w:tab/>
      </w:r>
      <w:r w:rsidR="000D5E70" w:rsidRPr="00EB1C6B">
        <w:t>(</w:t>
      </w:r>
      <w:r w:rsidRPr="00EB1C6B">
        <w:t>i</w:t>
      </w:r>
      <w:r w:rsidR="000D5E70" w:rsidRPr="00EB1C6B">
        <w:t>x)</w:t>
      </w:r>
      <w:r w:rsidRPr="00EB1C6B">
        <w:tab/>
      </w:r>
      <w:r w:rsidR="000D5E70" w:rsidRPr="00EB1C6B">
        <w:t>N</w:t>
      </w:r>
      <w:r w:rsidR="00EB1C6B">
        <w:noBreakHyphen/>
      </w:r>
      <w:r w:rsidRPr="00EB1C6B">
        <w:t>e</w:t>
      </w:r>
      <w:r w:rsidR="000D5E70" w:rsidRPr="00EB1C6B">
        <w:t>thyl</w:t>
      </w:r>
      <w:r w:rsidR="00EB1C6B">
        <w:noBreakHyphen/>
      </w:r>
      <w:r w:rsidR="000D5E70" w:rsidRPr="00EB1C6B">
        <w:t>N</w:t>
      </w:r>
      <w:r w:rsidR="00EB1C6B">
        <w:noBreakHyphen/>
      </w:r>
      <w:r w:rsidR="000D5E70" w:rsidRPr="00EB1C6B">
        <w:t>(2</w:t>
      </w:r>
      <w:r w:rsidR="00EB1C6B">
        <w:noBreakHyphen/>
      </w:r>
      <w:r w:rsidR="000D5E70" w:rsidRPr="00EB1C6B">
        <w:t>hydroxyethyl) perfluorooctane sulfonamide</w:t>
      </w:r>
      <w:r w:rsidRPr="00EB1C6B">
        <w:t>;</w:t>
      </w:r>
    </w:p>
    <w:p w:rsidR="000D5E70" w:rsidRPr="00EB1C6B" w:rsidRDefault="006B1AFE" w:rsidP="000D5E70">
      <w:pPr>
        <w:pStyle w:val="paragraphsub"/>
      </w:pPr>
      <w:r w:rsidRPr="00EB1C6B">
        <w:tab/>
      </w:r>
      <w:r w:rsidR="000D5E70" w:rsidRPr="00EB1C6B">
        <w:t>(x)</w:t>
      </w:r>
      <w:r w:rsidRPr="00EB1C6B">
        <w:tab/>
      </w:r>
      <w:r w:rsidR="000D5E70" w:rsidRPr="00EB1C6B">
        <w:t>N</w:t>
      </w:r>
      <w:r w:rsidR="00EB1C6B">
        <w:noBreakHyphen/>
      </w:r>
      <w:r w:rsidR="000D5E70" w:rsidRPr="00EB1C6B">
        <w:t>(2</w:t>
      </w:r>
      <w:r w:rsidR="00EB1C6B">
        <w:noBreakHyphen/>
      </w:r>
      <w:r w:rsidRPr="00EB1C6B">
        <w:t>h</w:t>
      </w:r>
      <w:r w:rsidR="000D5E70" w:rsidRPr="00EB1C6B">
        <w:t>ydroxyethyl)</w:t>
      </w:r>
      <w:r w:rsidR="00EB1C6B">
        <w:noBreakHyphen/>
      </w:r>
      <w:r w:rsidR="000D5E70" w:rsidRPr="00EB1C6B">
        <w:t>N</w:t>
      </w:r>
      <w:r w:rsidR="00EB1C6B">
        <w:noBreakHyphen/>
      </w:r>
      <w:r w:rsidR="000D5E70" w:rsidRPr="00EB1C6B">
        <w:t>methylperfluorooctane sulfonamide</w:t>
      </w:r>
      <w:r w:rsidRPr="00EB1C6B">
        <w:t>;</w:t>
      </w:r>
    </w:p>
    <w:p w:rsidR="000D5E70" w:rsidRPr="00EB1C6B" w:rsidRDefault="006B1AFE" w:rsidP="00F850DC">
      <w:pPr>
        <w:pStyle w:val="paragraphsub"/>
      </w:pPr>
      <w:r w:rsidRPr="00EB1C6B">
        <w:tab/>
      </w:r>
      <w:r w:rsidR="000D5E70" w:rsidRPr="00EB1C6B">
        <w:t>(xi)</w:t>
      </w:r>
      <w:r w:rsidRPr="00EB1C6B">
        <w:tab/>
        <w:t>p</w:t>
      </w:r>
      <w:r w:rsidR="000D5E70" w:rsidRPr="00EB1C6B">
        <w:t>erfluorooctane sulfonyl fluoride</w:t>
      </w:r>
      <w:r w:rsidRPr="00EB1C6B">
        <w:t>.</w:t>
      </w:r>
    </w:p>
    <w:p w:rsidR="006B1AFE" w:rsidRPr="00EB1C6B" w:rsidRDefault="006B1AFE" w:rsidP="006B1AFE">
      <w:pPr>
        <w:pStyle w:val="ItemHead"/>
      </w:pPr>
      <w:r w:rsidRPr="00EB1C6B">
        <w:t>5  Subregulation</w:t>
      </w:r>
      <w:r w:rsidR="00EB1C6B" w:rsidRPr="00EB1C6B">
        <w:t> </w:t>
      </w:r>
      <w:r w:rsidRPr="00EB1C6B">
        <w:t>11</w:t>
      </w:r>
      <w:r w:rsidR="00210B41" w:rsidRPr="00EB1C6B">
        <w:t>C</w:t>
      </w:r>
      <w:r w:rsidRPr="00EB1C6B">
        <w:t>(3)</w:t>
      </w:r>
    </w:p>
    <w:p w:rsidR="006B1AFE" w:rsidRPr="00EB1C6B" w:rsidRDefault="006B1AFE" w:rsidP="006B1AFE">
      <w:pPr>
        <w:pStyle w:val="Item"/>
      </w:pPr>
      <w:r w:rsidRPr="00EB1C6B">
        <w:t>Repeal the subregulation, substitute:</w:t>
      </w:r>
    </w:p>
    <w:p w:rsidR="006B1AFE" w:rsidRPr="00EB1C6B" w:rsidRDefault="006B1AFE" w:rsidP="006B1AFE">
      <w:pPr>
        <w:pStyle w:val="subsection"/>
      </w:pPr>
      <w:r w:rsidRPr="00EB1C6B">
        <w:tab/>
        <w:t>(3)</w:t>
      </w:r>
      <w:r w:rsidRPr="00EB1C6B">
        <w:tab/>
        <w:t xml:space="preserve">The introduction of an industrial chemical mentioned in </w:t>
      </w:r>
      <w:r w:rsidR="00EB1C6B" w:rsidRPr="00EB1C6B">
        <w:t>paragraph (</w:t>
      </w:r>
      <w:r w:rsidRPr="00EB1C6B">
        <w:t>1)(a), (f), (g), (h), (i) or (j) is prohibited unless the Director has given written approval for its introduction at or before the time of the proposed introduction.</w:t>
      </w:r>
    </w:p>
    <w:p w:rsidR="006B1AFE" w:rsidRPr="00EB1C6B" w:rsidRDefault="006B1AFE" w:rsidP="00D53033">
      <w:pPr>
        <w:pStyle w:val="notetext"/>
      </w:pPr>
      <w:r w:rsidRPr="00EB1C6B">
        <w:t>Note:</w:t>
      </w:r>
      <w:r w:rsidRPr="00EB1C6B">
        <w:tab/>
        <w:t>Section</w:t>
      </w:r>
      <w:r w:rsidR="00EB1C6B" w:rsidRPr="00EB1C6B">
        <w:t> </w:t>
      </w:r>
      <w:r w:rsidRPr="00EB1C6B">
        <w:t xml:space="preserve">21 of the Act (which relates to the introduction of new industrial chemicals) may also apply to the introduction of an industrial chemical mentioned in </w:t>
      </w:r>
      <w:r w:rsidR="00EB1C6B" w:rsidRPr="00EB1C6B">
        <w:t>paragraph (</w:t>
      </w:r>
      <w:r w:rsidRPr="00EB1C6B">
        <w:t xml:space="preserve">1)(a), (h) or (i) or </w:t>
      </w:r>
      <w:r w:rsidR="00EB1C6B" w:rsidRPr="00EB1C6B">
        <w:t>subparagraph (</w:t>
      </w:r>
      <w:r w:rsidRPr="00EB1C6B">
        <w:t>1)(j)(vi) or (vii).</w:t>
      </w:r>
    </w:p>
    <w:sectPr w:rsidR="006B1AFE" w:rsidRPr="00EB1C6B" w:rsidSect="00403B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A4" w:rsidRDefault="003E56A4" w:rsidP="0048364F">
      <w:pPr>
        <w:spacing w:line="240" w:lineRule="auto"/>
      </w:pPr>
      <w:r>
        <w:separator/>
      </w:r>
    </w:p>
  </w:endnote>
  <w:endnote w:type="continuationSeparator" w:id="0">
    <w:p w:rsidR="003E56A4" w:rsidRDefault="003E56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03BBD" w:rsidRDefault="0048364F" w:rsidP="00403B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3BBD">
      <w:rPr>
        <w:i/>
        <w:sz w:val="18"/>
      </w:rPr>
      <w:t xml:space="preserve"> </w:t>
    </w:r>
    <w:r w:rsidR="00403BBD" w:rsidRPr="00403BBD">
      <w:rPr>
        <w:i/>
        <w:sz w:val="18"/>
      </w:rPr>
      <w:t>OPC60606 -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BD" w:rsidRDefault="00403BBD" w:rsidP="00403BBD">
    <w:pPr>
      <w:pStyle w:val="Footer"/>
    </w:pPr>
    <w:r w:rsidRPr="00403BBD">
      <w:rPr>
        <w:i/>
        <w:sz w:val="18"/>
      </w:rPr>
      <w:t>OPC60606 -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403BBD" w:rsidRDefault="007A7F9F" w:rsidP="00486382">
    <w:pPr>
      <w:pStyle w:val="Footer"/>
      <w:rPr>
        <w:sz w:val="18"/>
      </w:rPr>
    </w:pPr>
  </w:p>
  <w:p w:rsidR="00486382" w:rsidRPr="00403BBD" w:rsidRDefault="00403BBD" w:rsidP="00403BBD">
    <w:pPr>
      <w:pStyle w:val="Footer"/>
      <w:rPr>
        <w:sz w:val="18"/>
      </w:rPr>
    </w:pPr>
    <w:r w:rsidRPr="00403BBD">
      <w:rPr>
        <w:i/>
        <w:sz w:val="18"/>
      </w:rPr>
      <w:t>OPC60606 -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03BB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03BB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03BB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03BBD">
            <w:rPr>
              <w:rFonts w:cs="Times New Roman"/>
              <w:i/>
              <w:sz w:val="18"/>
            </w:rPr>
            <w:fldChar w:fldCharType="begin"/>
          </w:r>
          <w:r w:rsidRPr="00403BBD">
            <w:rPr>
              <w:rFonts w:cs="Times New Roman"/>
              <w:i/>
              <w:sz w:val="18"/>
            </w:rPr>
            <w:instrText xml:space="preserve"> PAGE </w:instrText>
          </w:r>
          <w:r w:rsidRPr="00403BBD">
            <w:rPr>
              <w:rFonts w:cs="Times New Roman"/>
              <w:i/>
              <w:sz w:val="18"/>
            </w:rPr>
            <w:fldChar w:fldCharType="separate"/>
          </w:r>
          <w:r w:rsidR="00355902">
            <w:rPr>
              <w:rFonts w:cs="Times New Roman"/>
              <w:i/>
              <w:noProof/>
              <w:sz w:val="18"/>
            </w:rPr>
            <w:t>ii</w:t>
          </w:r>
          <w:r w:rsidRPr="00403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03BB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3BBD">
            <w:rPr>
              <w:rFonts w:cs="Times New Roman"/>
              <w:i/>
              <w:sz w:val="18"/>
            </w:rPr>
            <w:fldChar w:fldCharType="begin"/>
          </w:r>
          <w:r w:rsidRPr="00403BBD">
            <w:rPr>
              <w:rFonts w:cs="Times New Roman"/>
              <w:i/>
              <w:sz w:val="18"/>
            </w:rPr>
            <w:instrText xml:space="preserve"> DOCPROPERTY ShortT </w:instrText>
          </w:r>
          <w:r w:rsidRPr="00403BBD">
            <w:rPr>
              <w:rFonts w:cs="Times New Roman"/>
              <w:i/>
              <w:sz w:val="18"/>
            </w:rPr>
            <w:fldChar w:fldCharType="separate"/>
          </w:r>
          <w:r w:rsidR="00612D53">
            <w:rPr>
              <w:rFonts w:cs="Times New Roman"/>
              <w:i/>
              <w:sz w:val="18"/>
            </w:rPr>
            <w:t>Industrial Chemicals (Notification and Assessment) Amendment (Rotterdam Convention) Regulation 2014</w:t>
          </w:r>
          <w:r w:rsidRPr="00403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03BB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03BBD">
            <w:rPr>
              <w:rFonts w:cs="Times New Roman"/>
              <w:i/>
              <w:sz w:val="18"/>
            </w:rPr>
            <w:fldChar w:fldCharType="begin"/>
          </w:r>
          <w:r w:rsidRPr="00403BBD">
            <w:rPr>
              <w:rFonts w:cs="Times New Roman"/>
              <w:i/>
              <w:sz w:val="18"/>
            </w:rPr>
            <w:instrText xml:space="preserve"> DOCPROPERTY ActNo </w:instrText>
          </w:r>
          <w:r w:rsidRPr="00403BBD">
            <w:rPr>
              <w:rFonts w:cs="Times New Roman"/>
              <w:i/>
              <w:sz w:val="18"/>
            </w:rPr>
            <w:fldChar w:fldCharType="separate"/>
          </w:r>
          <w:r w:rsidR="00612D53">
            <w:rPr>
              <w:rFonts w:cs="Times New Roman"/>
              <w:i/>
              <w:sz w:val="18"/>
            </w:rPr>
            <w:t>No. 143, 2014</w:t>
          </w:r>
          <w:r w:rsidRPr="00403BB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403BBD" w:rsidRDefault="00403BBD" w:rsidP="00403BBD">
    <w:pPr>
      <w:rPr>
        <w:rFonts w:cs="Times New Roman"/>
        <w:i/>
        <w:sz w:val="18"/>
      </w:rPr>
    </w:pPr>
    <w:r w:rsidRPr="00403BBD">
      <w:rPr>
        <w:rFonts w:cs="Times New Roman"/>
        <w:i/>
        <w:sz w:val="18"/>
      </w:rPr>
      <w:t>OPC60606 -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12D53">
            <w:rPr>
              <w:i/>
              <w:sz w:val="18"/>
            </w:rPr>
            <w:t>No. 143,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D53">
            <w:rPr>
              <w:i/>
              <w:sz w:val="18"/>
            </w:rPr>
            <w:t>Industrial Chemicals (Notification and Assessment) Amendment (Rotterdam Convention)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6D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403BBD" w:rsidP="00403BBD">
    <w:pPr>
      <w:rPr>
        <w:i/>
        <w:sz w:val="18"/>
      </w:rPr>
    </w:pPr>
    <w:r w:rsidRPr="00403BBD">
      <w:rPr>
        <w:rFonts w:cs="Times New Roman"/>
        <w:i/>
        <w:sz w:val="18"/>
      </w:rPr>
      <w:t>OPC60606 -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03BB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03BB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03BB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03BBD">
            <w:rPr>
              <w:rFonts w:cs="Times New Roman"/>
              <w:i/>
              <w:sz w:val="18"/>
            </w:rPr>
            <w:fldChar w:fldCharType="begin"/>
          </w:r>
          <w:r w:rsidRPr="00403BBD">
            <w:rPr>
              <w:rFonts w:cs="Times New Roman"/>
              <w:i/>
              <w:sz w:val="18"/>
            </w:rPr>
            <w:instrText xml:space="preserve"> PAGE </w:instrText>
          </w:r>
          <w:r w:rsidRPr="00403BBD">
            <w:rPr>
              <w:rFonts w:cs="Times New Roman"/>
              <w:i/>
              <w:sz w:val="18"/>
            </w:rPr>
            <w:fldChar w:fldCharType="separate"/>
          </w:r>
          <w:r w:rsidR="00146D1C">
            <w:rPr>
              <w:rFonts w:cs="Times New Roman"/>
              <w:i/>
              <w:noProof/>
              <w:sz w:val="18"/>
            </w:rPr>
            <w:t>2</w:t>
          </w:r>
          <w:r w:rsidRPr="00403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03BB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3BBD">
            <w:rPr>
              <w:rFonts w:cs="Times New Roman"/>
              <w:i/>
              <w:sz w:val="18"/>
            </w:rPr>
            <w:fldChar w:fldCharType="begin"/>
          </w:r>
          <w:r w:rsidRPr="00403BBD">
            <w:rPr>
              <w:rFonts w:cs="Times New Roman"/>
              <w:i/>
              <w:sz w:val="18"/>
            </w:rPr>
            <w:instrText xml:space="preserve"> DOCPROPERTY ShortT </w:instrText>
          </w:r>
          <w:r w:rsidRPr="00403BBD">
            <w:rPr>
              <w:rFonts w:cs="Times New Roman"/>
              <w:i/>
              <w:sz w:val="18"/>
            </w:rPr>
            <w:fldChar w:fldCharType="separate"/>
          </w:r>
          <w:r w:rsidR="00612D53">
            <w:rPr>
              <w:rFonts w:cs="Times New Roman"/>
              <w:i/>
              <w:sz w:val="18"/>
            </w:rPr>
            <w:t>Industrial Chemicals (Notification and Assessment) Amendment (Rotterdam Convention) Regulation 2014</w:t>
          </w:r>
          <w:r w:rsidRPr="00403BB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03BB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03BBD">
            <w:rPr>
              <w:rFonts w:cs="Times New Roman"/>
              <w:i/>
              <w:sz w:val="18"/>
            </w:rPr>
            <w:fldChar w:fldCharType="begin"/>
          </w:r>
          <w:r w:rsidRPr="00403BBD">
            <w:rPr>
              <w:rFonts w:cs="Times New Roman"/>
              <w:i/>
              <w:sz w:val="18"/>
            </w:rPr>
            <w:instrText xml:space="preserve"> DOCPROPERTY ActNo </w:instrText>
          </w:r>
          <w:r w:rsidRPr="00403BBD">
            <w:rPr>
              <w:rFonts w:cs="Times New Roman"/>
              <w:i/>
              <w:sz w:val="18"/>
            </w:rPr>
            <w:fldChar w:fldCharType="separate"/>
          </w:r>
          <w:r w:rsidR="00612D53">
            <w:rPr>
              <w:rFonts w:cs="Times New Roman"/>
              <w:i/>
              <w:sz w:val="18"/>
            </w:rPr>
            <w:t>No. 143, 2014</w:t>
          </w:r>
          <w:r w:rsidRPr="00403BB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403BBD" w:rsidRDefault="00403BBD" w:rsidP="00403BBD">
    <w:pPr>
      <w:rPr>
        <w:rFonts w:cs="Times New Roman"/>
        <w:i/>
        <w:sz w:val="18"/>
      </w:rPr>
    </w:pPr>
    <w:r w:rsidRPr="00403BBD">
      <w:rPr>
        <w:rFonts w:cs="Times New Roman"/>
        <w:i/>
        <w:sz w:val="18"/>
      </w:rPr>
      <w:t>OPC60606 -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12D53">
            <w:rPr>
              <w:i/>
              <w:sz w:val="18"/>
            </w:rPr>
            <w:t>No. 143,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D53">
            <w:rPr>
              <w:i/>
              <w:sz w:val="18"/>
            </w:rPr>
            <w:t>Industrial Chemicals (Notification and Assessment) Amendment (Rotterdam Convention)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6D1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403BBD" w:rsidP="00403BBD">
    <w:pPr>
      <w:rPr>
        <w:i/>
        <w:sz w:val="18"/>
      </w:rPr>
    </w:pPr>
    <w:r w:rsidRPr="00403BBD">
      <w:rPr>
        <w:rFonts w:cs="Times New Roman"/>
        <w:i/>
        <w:sz w:val="18"/>
      </w:rPr>
      <w:t>OPC60606 -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12D53">
            <w:rPr>
              <w:i/>
              <w:sz w:val="18"/>
            </w:rPr>
            <w:t>No. 143,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2D53">
            <w:rPr>
              <w:i/>
              <w:sz w:val="18"/>
            </w:rPr>
            <w:t>Industrial Chemicals (Notification and Assessment) Amendment (Rotterdam Convention)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59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A4" w:rsidRDefault="003E56A4" w:rsidP="0048364F">
      <w:pPr>
        <w:spacing w:line="240" w:lineRule="auto"/>
      </w:pPr>
      <w:r>
        <w:separator/>
      </w:r>
    </w:p>
  </w:footnote>
  <w:footnote w:type="continuationSeparator" w:id="0">
    <w:p w:rsidR="003E56A4" w:rsidRDefault="003E56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46D1C">
      <w:rPr>
        <w:b/>
        <w:sz w:val="20"/>
      </w:rPr>
      <w:fldChar w:fldCharType="separate"/>
    </w:r>
    <w:r w:rsidR="00146D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46D1C">
      <w:rPr>
        <w:sz w:val="20"/>
      </w:rPr>
      <w:fldChar w:fldCharType="separate"/>
    </w:r>
    <w:r w:rsidR="00146D1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46D1C">
      <w:rPr>
        <w:sz w:val="20"/>
      </w:rPr>
      <w:fldChar w:fldCharType="separate"/>
    </w:r>
    <w:r w:rsidR="00146D1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46D1C">
      <w:rPr>
        <w:b/>
        <w:sz w:val="20"/>
      </w:rPr>
      <w:fldChar w:fldCharType="separate"/>
    </w:r>
    <w:r w:rsidR="00146D1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A4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D5E70"/>
    <w:rsid w:val="000E7F87"/>
    <w:rsid w:val="000F21C1"/>
    <w:rsid w:val="000F7427"/>
    <w:rsid w:val="0010745C"/>
    <w:rsid w:val="00116975"/>
    <w:rsid w:val="00146D1C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C6B24"/>
    <w:rsid w:val="001D4229"/>
    <w:rsid w:val="001D7F83"/>
    <w:rsid w:val="001E16D0"/>
    <w:rsid w:val="001E3590"/>
    <w:rsid w:val="001E562E"/>
    <w:rsid w:val="001E7407"/>
    <w:rsid w:val="001F6924"/>
    <w:rsid w:val="00201D27"/>
    <w:rsid w:val="00210B41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0ED4"/>
    <w:rsid w:val="00304E75"/>
    <w:rsid w:val="003072FA"/>
    <w:rsid w:val="0031713F"/>
    <w:rsid w:val="00323E28"/>
    <w:rsid w:val="003379E4"/>
    <w:rsid w:val="003415D3"/>
    <w:rsid w:val="00352B0F"/>
    <w:rsid w:val="00355902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6A4"/>
    <w:rsid w:val="003E5FF5"/>
    <w:rsid w:val="003F4CA9"/>
    <w:rsid w:val="003F567B"/>
    <w:rsid w:val="004010E7"/>
    <w:rsid w:val="00401403"/>
    <w:rsid w:val="00403BBD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77607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2D53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1AFE"/>
    <w:rsid w:val="006B262A"/>
    <w:rsid w:val="006C2C12"/>
    <w:rsid w:val="006C3FFF"/>
    <w:rsid w:val="006C7F8C"/>
    <w:rsid w:val="006D3667"/>
    <w:rsid w:val="006D4325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2C3D"/>
    <w:rsid w:val="007E7D4A"/>
    <w:rsid w:val="00826DA5"/>
    <w:rsid w:val="00833416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32A33"/>
    <w:rsid w:val="00977D7D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0B70"/>
    <w:rsid w:val="00B032D8"/>
    <w:rsid w:val="00B14975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95763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3033"/>
    <w:rsid w:val="00D63EF6"/>
    <w:rsid w:val="00D70DFB"/>
    <w:rsid w:val="00D766DF"/>
    <w:rsid w:val="00D83D21"/>
    <w:rsid w:val="00D84B58"/>
    <w:rsid w:val="00D925D1"/>
    <w:rsid w:val="00DD77FE"/>
    <w:rsid w:val="00E05704"/>
    <w:rsid w:val="00E05C46"/>
    <w:rsid w:val="00E214A5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1C6B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850DC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1C6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1C6B"/>
  </w:style>
  <w:style w:type="paragraph" w:customStyle="1" w:styleId="OPCParaBase">
    <w:name w:val="OPCParaBase"/>
    <w:qFormat/>
    <w:rsid w:val="00EB1C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1C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1C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1C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1C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1C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1C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1C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1C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1C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1C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1C6B"/>
  </w:style>
  <w:style w:type="paragraph" w:customStyle="1" w:styleId="Blocks">
    <w:name w:val="Blocks"/>
    <w:aliases w:val="bb"/>
    <w:basedOn w:val="OPCParaBase"/>
    <w:qFormat/>
    <w:rsid w:val="00EB1C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1C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1C6B"/>
    <w:rPr>
      <w:i/>
    </w:rPr>
  </w:style>
  <w:style w:type="paragraph" w:customStyle="1" w:styleId="BoxList">
    <w:name w:val="BoxList"/>
    <w:aliases w:val="bl"/>
    <w:basedOn w:val="BoxText"/>
    <w:qFormat/>
    <w:rsid w:val="00EB1C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1C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1C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1C6B"/>
    <w:pPr>
      <w:ind w:left="1985" w:hanging="851"/>
    </w:pPr>
  </w:style>
  <w:style w:type="character" w:customStyle="1" w:styleId="CharAmPartNo">
    <w:name w:val="CharAmPartNo"/>
    <w:basedOn w:val="OPCCharBase"/>
    <w:qFormat/>
    <w:rsid w:val="00EB1C6B"/>
  </w:style>
  <w:style w:type="character" w:customStyle="1" w:styleId="CharAmPartText">
    <w:name w:val="CharAmPartText"/>
    <w:basedOn w:val="OPCCharBase"/>
    <w:qFormat/>
    <w:rsid w:val="00EB1C6B"/>
  </w:style>
  <w:style w:type="character" w:customStyle="1" w:styleId="CharAmSchNo">
    <w:name w:val="CharAmSchNo"/>
    <w:basedOn w:val="OPCCharBase"/>
    <w:qFormat/>
    <w:rsid w:val="00EB1C6B"/>
  </w:style>
  <w:style w:type="character" w:customStyle="1" w:styleId="CharAmSchText">
    <w:name w:val="CharAmSchText"/>
    <w:basedOn w:val="OPCCharBase"/>
    <w:qFormat/>
    <w:rsid w:val="00EB1C6B"/>
  </w:style>
  <w:style w:type="character" w:customStyle="1" w:styleId="CharBoldItalic">
    <w:name w:val="CharBoldItalic"/>
    <w:basedOn w:val="OPCCharBase"/>
    <w:uiPriority w:val="1"/>
    <w:qFormat/>
    <w:rsid w:val="00EB1C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1C6B"/>
  </w:style>
  <w:style w:type="character" w:customStyle="1" w:styleId="CharChapText">
    <w:name w:val="CharChapText"/>
    <w:basedOn w:val="OPCCharBase"/>
    <w:uiPriority w:val="1"/>
    <w:qFormat/>
    <w:rsid w:val="00EB1C6B"/>
  </w:style>
  <w:style w:type="character" w:customStyle="1" w:styleId="CharDivNo">
    <w:name w:val="CharDivNo"/>
    <w:basedOn w:val="OPCCharBase"/>
    <w:uiPriority w:val="1"/>
    <w:qFormat/>
    <w:rsid w:val="00EB1C6B"/>
  </w:style>
  <w:style w:type="character" w:customStyle="1" w:styleId="CharDivText">
    <w:name w:val="CharDivText"/>
    <w:basedOn w:val="OPCCharBase"/>
    <w:uiPriority w:val="1"/>
    <w:qFormat/>
    <w:rsid w:val="00EB1C6B"/>
  </w:style>
  <w:style w:type="character" w:customStyle="1" w:styleId="CharItalic">
    <w:name w:val="CharItalic"/>
    <w:basedOn w:val="OPCCharBase"/>
    <w:uiPriority w:val="1"/>
    <w:qFormat/>
    <w:rsid w:val="00EB1C6B"/>
    <w:rPr>
      <w:i/>
    </w:rPr>
  </w:style>
  <w:style w:type="character" w:customStyle="1" w:styleId="CharPartNo">
    <w:name w:val="CharPartNo"/>
    <w:basedOn w:val="OPCCharBase"/>
    <w:uiPriority w:val="1"/>
    <w:qFormat/>
    <w:rsid w:val="00EB1C6B"/>
  </w:style>
  <w:style w:type="character" w:customStyle="1" w:styleId="CharPartText">
    <w:name w:val="CharPartText"/>
    <w:basedOn w:val="OPCCharBase"/>
    <w:uiPriority w:val="1"/>
    <w:qFormat/>
    <w:rsid w:val="00EB1C6B"/>
  </w:style>
  <w:style w:type="character" w:customStyle="1" w:styleId="CharSectno">
    <w:name w:val="CharSectno"/>
    <w:basedOn w:val="OPCCharBase"/>
    <w:qFormat/>
    <w:rsid w:val="00EB1C6B"/>
  </w:style>
  <w:style w:type="character" w:customStyle="1" w:styleId="CharSubdNo">
    <w:name w:val="CharSubdNo"/>
    <w:basedOn w:val="OPCCharBase"/>
    <w:uiPriority w:val="1"/>
    <w:qFormat/>
    <w:rsid w:val="00EB1C6B"/>
  </w:style>
  <w:style w:type="character" w:customStyle="1" w:styleId="CharSubdText">
    <w:name w:val="CharSubdText"/>
    <w:basedOn w:val="OPCCharBase"/>
    <w:uiPriority w:val="1"/>
    <w:qFormat/>
    <w:rsid w:val="00EB1C6B"/>
  </w:style>
  <w:style w:type="paragraph" w:customStyle="1" w:styleId="CTA--">
    <w:name w:val="CTA --"/>
    <w:basedOn w:val="OPCParaBase"/>
    <w:next w:val="Normal"/>
    <w:rsid w:val="00EB1C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1C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1C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1C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1C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1C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1C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1C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1C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1C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1C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1C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1C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1C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1C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1C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1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1C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1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1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1C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1C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1C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1C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1C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1C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1C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1C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1C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1C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1C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1C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1C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1C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1C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1C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1C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1C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1C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1C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1C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1C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1C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1C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1C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1C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1C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1C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1C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1C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1C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1C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1C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1C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1C6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1C6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1C6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1C6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1C6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1C6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1C6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1C6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1C6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1C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1C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1C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1C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1C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1C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1C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1C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1C6B"/>
    <w:rPr>
      <w:sz w:val="16"/>
    </w:rPr>
  </w:style>
  <w:style w:type="table" w:customStyle="1" w:styleId="CFlag">
    <w:name w:val="CFlag"/>
    <w:basedOn w:val="TableNormal"/>
    <w:uiPriority w:val="99"/>
    <w:rsid w:val="00EB1C6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1C6B"/>
    <w:rPr>
      <w:color w:val="0000FF"/>
      <w:u w:val="single"/>
    </w:rPr>
  </w:style>
  <w:style w:type="table" w:styleId="TableGrid">
    <w:name w:val="Table Grid"/>
    <w:basedOn w:val="TableNormal"/>
    <w:uiPriority w:val="59"/>
    <w:rsid w:val="00EB1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B1C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B1C6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B1C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1C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1C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1C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1C6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B1C6B"/>
  </w:style>
  <w:style w:type="paragraph" w:customStyle="1" w:styleId="CompiledActNo">
    <w:name w:val="CompiledActNo"/>
    <w:basedOn w:val="OPCParaBase"/>
    <w:next w:val="Normal"/>
    <w:rsid w:val="00EB1C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1C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1C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B1C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B1C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1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B1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1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B1C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1C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1C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1C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1C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1C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1C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1C6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1C6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1C6B"/>
  </w:style>
  <w:style w:type="character" w:customStyle="1" w:styleId="CharSubPartNoCASA">
    <w:name w:val="CharSubPartNo(CASA)"/>
    <w:basedOn w:val="OPCCharBase"/>
    <w:uiPriority w:val="1"/>
    <w:rsid w:val="00EB1C6B"/>
  </w:style>
  <w:style w:type="paragraph" w:customStyle="1" w:styleId="ENoteTTIndentHeadingSub">
    <w:name w:val="ENoteTTIndentHeadingSub"/>
    <w:aliases w:val="enTTHis"/>
    <w:basedOn w:val="OPCParaBase"/>
    <w:rsid w:val="00EB1C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1C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1C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1C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B1C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1C6B"/>
    <w:rPr>
      <w:sz w:val="22"/>
    </w:rPr>
  </w:style>
  <w:style w:type="paragraph" w:customStyle="1" w:styleId="SOTextNote">
    <w:name w:val="SO TextNote"/>
    <w:aliases w:val="sont"/>
    <w:basedOn w:val="SOText"/>
    <w:qFormat/>
    <w:rsid w:val="00EB1C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1C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1C6B"/>
    <w:rPr>
      <w:sz w:val="22"/>
    </w:rPr>
  </w:style>
  <w:style w:type="paragraph" w:customStyle="1" w:styleId="FileName">
    <w:name w:val="FileName"/>
    <w:basedOn w:val="Normal"/>
    <w:rsid w:val="00EB1C6B"/>
  </w:style>
  <w:style w:type="paragraph" w:customStyle="1" w:styleId="TableHeading">
    <w:name w:val="TableHeading"/>
    <w:aliases w:val="th"/>
    <w:basedOn w:val="OPCParaBase"/>
    <w:next w:val="Tabletext"/>
    <w:rsid w:val="00EB1C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1C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1C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1C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1C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1C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1C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1C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1C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1C6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1C6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1C6B"/>
  </w:style>
  <w:style w:type="paragraph" w:customStyle="1" w:styleId="OPCParaBase">
    <w:name w:val="OPCParaBase"/>
    <w:qFormat/>
    <w:rsid w:val="00EB1C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1C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1C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1C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1C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1C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1C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1C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1C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1C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1C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1C6B"/>
  </w:style>
  <w:style w:type="paragraph" w:customStyle="1" w:styleId="Blocks">
    <w:name w:val="Blocks"/>
    <w:aliases w:val="bb"/>
    <w:basedOn w:val="OPCParaBase"/>
    <w:qFormat/>
    <w:rsid w:val="00EB1C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1C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1C6B"/>
    <w:rPr>
      <w:i/>
    </w:rPr>
  </w:style>
  <w:style w:type="paragraph" w:customStyle="1" w:styleId="BoxList">
    <w:name w:val="BoxList"/>
    <w:aliases w:val="bl"/>
    <w:basedOn w:val="BoxText"/>
    <w:qFormat/>
    <w:rsid w:val="00EB1C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1C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1C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1C6B"/>
    <w:pPr>
      <w:ind w:left="1985" w:hanging="851"/>
    </w:pPr>
  </w:style>
  <w:style w:type="character" w:customStyle="1" w:styleId="CharAmPartNo">
    <w:name w:val="CharAmPartNo"/>
    <w:basedOn w:val="OPCCharBase"/>
    <w:qFormat/>
    <w:rsid w:val="00EB1C6B"/>
  </w:style>
  <w:style w:type="character" w:customStyle="1" w:styleId="CharAmPartText">
    <w:name w:val="CharAmPartText"/>
    <w:basedOn w:val="OPCCharBase"/>
    <w:qFormat/>
    <w:rsid w:val="00EB1C6B"/>
  </w:style>
  <w:style w:type="character" w:customStyle="1" w:styleId="CharAmSchNo">
    <w:name w:val="CharAmSchNo"/>
    <w:basedOn w:val="OPCCharBase"/>
    <w:qFormat/>
    <w:rsid w:val="00EB1C6B"/>
  </w:style>
  <w:style w:type="character" w:customStyle="1" w:styleId="CharAmSchText">
    <w:name w:val="CharAmSchText"/>
    <w:basedOn w:val="OPCCharBase"/>
    <w:qFormat/>
    <w:rsid w:val="00EB1C6B"/>
  </w:style>
  <w:style w:type="character" w:customStyle="1" w:styleId="CharBoldItalic">
    <w:name w:val="CharBoldItalic"/>
    <w:basedOn w:val="OPCCharBase"/>
    <w:uiPriority w:val="1"/>
    <w:qFormat/>
    <w:rsid w:val="00EB1C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1C6B"/>
  </w:style>
  <w:style w:type="character" w:customStyle="1" w:styleId="CharChapText">
    <w:name w:val="CharChapText"/>
    <w:basedOn w:val="OPCCharBase"/>
    <w:uiPriority w:val="1"/>
    <w:qFormat/>
    <w:rsid w:val="00EB1C6B"/>
  </w:style>
  <w:style w:type="character" w:customStyle="1" w:styleId="CharDivNo">
    <w:name w:val="CharDivNo"/>
    <w:basedOn w:val="OPCCharBase"/>
    <w:uiPriority w:val="1"/>
    <w:qFormat/>
    <w:rsid w:val="00EB1C6B"/>
  </w:style>
  <w:style w:type="character" w:customStyle="1" w:styleId="CharDivText">
    <w:name w:val="CharDivText"/>
    <w:basedOn w:val="OPCCharBase"/>
    <w:uiPriority w:val="1"/>
    <w:qFormat/>
    <w:rsid w:val="00EB1C6B"/>
  </w:style>
  <w:style w:type="character" w:customStyle="1" w:styleId="CharItalic">
    <w:name w:val="CharItalic"/>
    <w:basedOn w:val="OPCCharBase"/>
    <w:uiPriority w:val="1"/>
    <w:qFormat/>
    <w:rsid w:val="00EB1C6B"/>
    <w:rPr>
      <w:i/>
    </w:rPr>
  </w:style>
  <w:style w:type="character" w:customStyle="1" w:styleId="CharPartNo">
    <w:name w:val="CharPartNo"/>
    <w:basedOn w:val="OPCCharBase"/>
    <w:uiPriority w:val="1"/>
    <w:qFormat/>
    <w:rsid w:val="00EB1C6B"/>
  </w:style>
  <w:style w:type="character" w:customStyle="1" w:styleId="CharPartText">
    <w:name w:val="CharPartText"/>
    <w:basedOn w:val="OPCCharBase"/>
    <w:uiPriority w:val="1"/>
    <w:qFormat/>
    <w:rsid w:val="00EB1C6B"/>
  </w:style>
  <w:style w:type="character" w:customStyle="1" w:styleId="CharSectno">
    <w:name w:val="CharSectno"/>
    <w:basedOn w:val="OPCCharBase"/>
    <w:qFormat/>
    <w:rsid w:val="00EB1C6B"/>
  </w:style>
  <w:style w:type="character" w:customStyle="1" w:styleId="CharSubdNo">
    <w:name w:val="CharSubdNo"/>
    <w:basedOn w:val="OPCCharBase"/>
    <w:uiPriority w:val="1"/>
    <w:qFormat/>
    <w:rsid w:val="00EB1C6B"/>
  </w:style>
  <w:style w:type="character" w:customStyle="1" w:styleId="CharSubdText">
    <w:name w:val="CharSubdText"/>
    <w:basedOn w:val="OPCCharBase"/>
    <w:uiPriority w:val="1"/>
    <w:qFormat/>
    <w:rsid w:val="00EB1C6B"/>
  </w:style>
  <w:style w:type="paragraph" w:customStyle="1" w:styleId="CTA--">
    <w:name w:val="CTA --"/>
    <w:basedOn w:val="OPCParaBase"/>
    <w:next w:val="Normal"/>
    <w:rsid w:val="00EB1C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1C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1C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1C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1C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1C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1C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1C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1C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1C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1C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1C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1C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1C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B1C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1C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1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1C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1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1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1C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1C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1C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1C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1C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1C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1C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1C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1C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1C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1C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1C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1C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1C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1C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1C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1C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1C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1C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1C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1C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1C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1C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1C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1C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1C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1C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1C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1C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1C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1C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1C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1C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1C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1C6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1C6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1C6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1C6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1C6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1C6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B1C6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1C6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1C6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1C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1C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1C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1C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1C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1C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1C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1C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1C6B"/>
    <w:rPr>
      <w:sz w:val="16"/>
    </w:rPr>
  </w:style>
  <w:style w:type="table" w:customStyle="1" w:styleId="CFlag">
    <w:name w:val="CFlag"/>
    <w:basedOn w:val="TableNormal"/>
    <w:uiPriority w:val="99"/>
    <w:rsid w:val="00EB1C6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1C6B"/>
    <w:rPr>
      <w:color w:val="0000FF"/>
      <w:u w:val="single"/>
    </w:rPr>
  </w:style>
  <w:style w:type="table" w:styleId="TableGrid">
    <w:name w:val="Table Grid"/>
    <w:basedOn w:val="TableNormal"/>
    <w:uiPriority w:val="59"/>
    <w:rsid w:val="00EB1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B1C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B1C6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B1C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1C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1C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1C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1C6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B1C6B"/>
  </w:style>
  <w:style w:type="paragraph" w:customStyle="1" w:styleId="CompiledActNo">
    <w:name w:val="CompiledActNo"/>
    <w:basedOn w:val="OPCParaBase"/>
    <w:next w:val="Normal"/>
    <w:rsid w:val="00EB1C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1C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1C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B1C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B1C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1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B1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1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B1C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1C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1C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1C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1C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1C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B1C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1C6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1C6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1C6B"/>
  </w:style>
  <w:style w:type="character" w:customStyle="1" w:styleId="CharSubPartNoCASA">
    <w:name w:val="CharSubPartNo(CASA)"/>
    <w:basedOn w:val="OPCCharBase"/>
    <w:uiPriority w:val="1"/>
    <w:rsid w:val="00EB1C6B"/>
  </w:style>
  <w:style w:type="paragraph" w:customStyle="1" w:styleId="ENoteTTIndentHeadingSub">
    <w:name w:val="ENoteTTIndentHeadingSub"/>
    <w:aliases w:val="enTTHis"/>
    <w:basedOn w:val="OPCParaBase"/>
    <w:rsid w:val="00EB1C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1C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1C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1C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B1C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1C6B"/>
    <w:rPr>
      <w:sz w:val="22"/>
    </w:rPr>
  </w:style>
  <w:style w:type="paragraph" w:customStyle="1" w:styleId="SOTextNote">
    <w:name w:val="SO TextNote"/>
    <w:aliases w:val="sont"/>
    <w:basedOn w:val="SOText"/>
    <w:qFormat/>
    <w:rsid w:val="00EB1C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1C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1C6B"/>
    <w:rPr>
      <w:sz w:val="22"/>
    </w:rPr>
  </w:style>
  <w:style w:type="paragraph" w:customStyle="1" w:styleId="FileName">
    <w:name w:val="FileName"/>
    <w:basedOn w:val="Normal"/>
    <w:rsid w:val="00EB1C6B"/>
  </w:style>
  <w:style w:type="paragraph" w:customStyle="1" w:styleId="TableHeading">
    <w:name w:val="TableHeading"/>
    <w:aliases w:val="th"/>
    <w:basedOn w:val="OPCParaBase"/>
    <w:next w:val="Tabletext"/>
    <w:rsid w:val="00EB1C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1C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1C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1C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1C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1C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1C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1C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1C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1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1C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448</Words>
  <Characters>2958</Characters>
  <Application>Microsoft Office Word</Application>
  <DocSecurity>0</DocSecurity>
  <PresentationFormat/>
  <Lines>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(Notification and Assessment) Amendment (Rotterdam Convention) Regulation 2014</vt:lpstr>
    </vt:vector>
  </TitlesOfParts>
  <Manager/>
  <Company/>
  <LinksUpToDate>false</LinksUpToDate>
  <CharactersWithSpaces>3386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2014-06-04T06:33:00Z</cp:lastPrinted>
  <dcterms:created xsi:type="dcterms:W3CDTF">2014-09-26T01:36:00Z</dcterms:created>
  <dcterms:modified xsi:type="dcterms:W3CDTF">2014-09-26T01:36:00Z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143, 2014</vt:lpwstr>
  </property>
  <property fmtid="{D5CDD505-2E9C-101B-9397-08002B2CF9AE}" pid="3" name="ShortT">
    <vt:lpwstr>Industrial Chemicals (Notification and Assessment) Amendment (Rotterdam Convention)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02 October 2014</vt:lpwstr>
  </property>
  <property fmtid="{D5CDD505-2E9C-101B-9397-08002B2CF9AE}" pid="10" name="Authority">
    <vt:lpwstr/>
  </property>
  <property fmtid="{D5CDD505-2E9C-101B-9397-08002B2CF9AE}" pid="11" name="ID">
    <vt:lpwstr>OPC60606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Industrial Chemicals (Notification and Assessment) Act 1989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Industrial Chemicals (Notification and Assessment) Amendment (Rotterdam Convention) Regulation 2014</vt:lpwstr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02 October 2014</vt:lpwstr>
  </property>
</Properties>
</file>