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A73EA7" w:rsidRDefault="00DA186E" w:rsidP="00715914">
      <w:pPr>
        <w:rPr>
          <w:sz w:val="28"/>
        </w:rPr>
      </w:pPr>
      <w:bookmarkStart w:id="0" w:name="OPCCaretStart"/>
      <w:bookmarkEnd w:id="0"/>
      <w:r w:rsidRPr="00A73EA7">
        <w:rPr>
          <w:noProof/>
          <w:lang w:eastAsia="en-AU"/>
        </w:rPr>
        <w:drawing>
          <wp:inline distT="0" distB="0" distL="0" distR="0" wp14:anchorId="59906615" wp14:editId="13A92885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A73EA7" w:rsidRDefault="00715914" w:rsidP="00715914">
      <w:pPr>
        <w:rPr>
          <w:sz w:val="19"/>
        </w:rPr>
      </w:pPr>
    </w:p>
    <w:p w:rsidR="00715914" w:rsidRPr="00A73EA7" w:rsidRDefault="001B5063" w:rsidP="00715914">
      <w:pPr>
        <w:pStyle w:val="ShortT"/>
      </w:pPr>
      <w:r w:rsidRPr="00A73EA7">
        <w:t>Protection of Cultural Objects on Loan Regulation</w:t>
      </w:r>
      <w:r w:rsidR="00A73EA7" w:rsidRPr="00A73EA7">
        <w:t> </w:t>
      </w:r>
      <w:r w:rsidRPr="00A73EA7">
        <w:t>201</w:t>
      </w:r>
      <w:r w:rsidR="005A0787" w:rsidRPr="00A73EA7">
        <w:t>4</w:t>
      </w:r>
    </w:p>
    <w:p w:rsidR="00715914" w:rsidRPr="00A73EA7" w:rsidRDefault="00715914" w:rsidP="00715914"/>
    <w:p w:rsidR="00715914" w:rsidRPr="00A73EA7" w:rsidRDefault="001C5F34" w:rsidP="006475DA">
      <w:pPr>
        <w:pStyle w:val="InstNo"/>
      </w:pPr>
      <w:r w:rsidRPr="00A73EA7">
        <w:t>Select Legislative Instrument</w:t>
      </w:r>
      <w:r w:rsidR="008861ED" w:rsidRPr="00A73EA7">
        <w:t xml:space="preserve"> </w:t>
      </w:r>
      <w:bookmarkStart w:id="1" w:name="BKCheck15B_1"/>
      <w:bookmarkEnd w:id="1"/>
      <w:r w:rsidR="00016130" w:rsidRPr="00A73EA7">
        <w:fldChar w:fldCharType="begin"/>
      </w:r>
      <w:r w:rsidR="00016130" w:rsidRPr="00A73EA7">
        <w:instrText xml:space="preserve"> DOCPROPERTY  ActNo </w:instrText>
      </w:r>
      <w:r w:rsidR="00016130" w:rsidRPr="00A73EA7">
        <w:fldChar w:fldCharType="separate"/>
      </w:r>
      <w:r w:rsidR="0098039C">
        <w:t>No. 142, 2014</w:t>
      </w:r>
      <w:r w:rsidR="00016130" w:rsidRPr="00A73EA7">
        <w:fldChar w:fldCharType="end"/>
      </w:r>
    </w:p>
    <w:p w:rsidR="007C4F49" w:rsidRPr="00A73EA7" w:rsidRDefault="007C4F49" w:rsidP="00BA2E9D">
      <w:pPr>
        <w:pStyle w:val="SignCoverPageStart"/>
        <w:spacing w:before="240"/>
        <w:rPr>
          <w:szCs w:val="22"/>
        </w:rPr>
      </w:pPr>
      <w:r w:rsidRPr="00A73EA7">
        <w:rPr>
          <w:szCs w:val="22"/>
        </w:rPr>
        <w:t xml:space="preserve">I, General the Honourable Sir Peter Cosgrove AK MC (Ret’d), </w:t>
      </w:r>
      <w:r w:rsidR="00A73EA7" w:rsidRPr="00A73EA7">
        <w:rPr>
          <w:szCs w:val="22"/>
        </w:rPr>
        <w:t>Governor</w:t>
      </w:r>
      <w:r w:rsidR="00A73EA7">
        <w:rPr>
          <w:szCs w:val="22"/>
        </w:rPr>
        <w:noBreakHyphen/>
      </w:r>
      <w:r w:rsidR="00A73EA7" w:rsidRPr="00A73EA7">
        <w:rPr>
          <w:szCs w:val="22"/>
        </w:rPr>
        <w:t>General</w:t>
      </w:r>
      <w:r w:rsidRPr="00A73EA7">
        <w:rPr>
          <w:szCs w:val="22"/>
        </w:rPr>
        <w:t xml:space="preserve"> of the Commonwealth of Australia, acting with the advice of the Federal Executive Council, make the following regulation.</w:t>
      </w:r>
    </w:p>
    <w:p w:rsidR="007C4F49" w:rsidRPr="00A73EA7" w:rsidRDefault="007C4F49" w:rsidP="00BA2E9D">
      <w:pPr>
        <w:keepNext/>
        <w:spacing w:before="720" w:line="240" w:lineRule="atLeast"/>
        <w:ind w:right="397"/>
        <w:jc w:val="both"/>
        <w:rPr>
          <w:szCs w:val="22"/>
        </w:rPr>
      </w:pPr>
      <w:r w:rsidRPr="00A73EA7">
        <w:rPr>
          <w:szCs w:val="22"/>
        </w:rPr>
        <w:t xml:space="preserve">Dated </w:t>
      </w:r>
      <w:bookmarkStart w:id="2" w:name="BKCheck15B_2"/>
      <w:bookmarkEnd w:id="2"/>
      <w:r w:rsidRPr="00A73EA7">
        <w:rPr>
          <w:szCs w:val="22"/>
        </w:rPr>
        <w:fldChar w:fldCharType="begin"/>
      </w:r>
      <w:r w:rsidRPr="00A73EA7">
        <w:rPr>
          <w:szCs w:val="22"/>
        </w:rPr>
        <w:instrText xml:space="preserve"> DOCPROPERTY  DateMade </w:instrText>
      </w:r>
      <w:r w:rsidRPr="00A73EA7">
        <w:rPr>
          <w:szCs w:val="22"/>
        </w:rPr>
        <w:fldChar w:fldCharType="separate"/>
      </w:r>
      <w:r w:rsidR="0098039C">
        <w:rPr>
          <w:szCs w:val="22"/>
        </w:rPr>
        <w:t>02 October 2014</w:t>
      </w:r>
      <w:r w:rsidRPr="00A73EA7">
        <w:rPr>
          <w:szCs w:val="22"/>
        </w:rPr>
        <w:fldChar w:fldCharType="end"/>
      </w:r>
    </w:p>
    <w:p w:rsidR="007C4F49" w:rsidRPr="00A73EA7" w:rsidRDefault="007C4F49" w:rsidP="00BA2E9D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A73EA7">
        <w:rPr>
          <w:szCs w:val="22"/>
        </w:rPr>
        <w:t>Peter Cosgrove</w:t>
      </w:r>
    </w:p>
    <w:p w:rsidR="007C4F49" w:rsidRPr="00A73EA7" w:rsidRDefault="00A73EA7" w:rsidP="00BA2E9D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A73EA7">
        <w:rPr>
          <w:szCs w:val="22"/>
        </w:rPr>
        <w:t>Governor</w:t>
      </w:r>
      <w:r>
        <w:rPr>
          <w:szCs w:val="22"/>
        </w:rPr>
        <w:noBreakHyphen/>
      </w:r>
      <w:r w:rsidRPr="00A73EA7">
        <w:rPr>
          <w:szCs w:val="22"/>
        </w:rPr>
        <w:t>General</w:t>
      </w:r>
    </w:p>
    <w:p w:rsidR="007C4F49" w:rsidRPr="00A73EA7" w:rsidRDefault="007C4F49" w:rsidP="00BA2E9D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A73EA7">
        <w:rPr>
          <w:szCs w:val="22"/>
        </w:rPr>
        <w:t>By His Excellency’s Command</w:t>
      </w:r>
    </w:p>
    <w:p w:rsidR="007C4F49" w:rsidRPr="00A73EA7" w:rsidRDefault="007C4F49" w:rsidP="00BA2E9D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A73EA7">
        <w:rPr>
          <w:szCs w:val="22"/>
        </w:rPr>
        <w:t>George Brandis QC</w:t>
      </w:r>
    </w:p>
    <w:p w:rsidR="007C4F49" w:rsidRPr="00A73EA7" w:rsidRDefault="007C4F49" w:rsidP="00BA2E9D">
      <w:pPr>
        <w:pStyle w:val="SignCoverPageEnd"/>
        <w:rPr>
          <w:szCs w:val="22"/>
        </w:rPr>
      </w:pPr>
      <w:r w:rsidRPr="00A73EA7">
        <w:rPr>
          <w:szCs w:val="22"/>
        </w:rPr>
        <w:t>Minister for the Arts</w:t>
      </w:r>
    </w:p>
    <w:p w:rsidR="007C4F49" w:rsidRPr="00A73EA7" w:rsidRDefault="007C4F49" w:rsidP="007C4F49"/>
    <w:p w:rsidR="00715914" w:rsidRPr="00A73EA7" w:rsidRDefault="00715914" w:rsidP="00715914">
      <w:pPr>
        <w:pStyle w:val="Header"/>
        <w:tabs>
          <w:tab w:val="clear" w:pos="4150"/>
          <w:tab w:val="clear" w:pos="8307"/>
        </w:tabs>
      </w:pPr>
      <w:r w:rsidRPr="00A73EA7">
        <w:rPr>
          <w:rStyle w:val="CharChapNo"/>
        </w:rPr>
        <w:t xml:space="preserve"> </w:t>
      </w:r>
      <w:r w:rsidRPr="00A73EA7">
        <w:rPr>
          <w:rStyle w:val="CharChapText"/>
        </w:rPr>
        <w:t xml:space="preserve"> </w:t>
      </w:r>
    </w:p>
    <w:p w:rsidR="00715914" w:rsidRPr="00A73EA7" w:rsidRDefault="00715914" w:rsidP="00715914">
      <w:pPr>
        <w:pStyle w:val="Header"/>
        <w:tabs>
          <w:tab w:val="clear" w:pos="4150"/>
          <w:tab w:val="clear" w:pos="8307"/>
        </w:tabs>
      </w:pPr>
      <w:r w:rsidRPr="00A73EA7">
        <w:rPr>
          <w:rStyle w:val="CharPartNo"/>
        </w:rPr>
        <w:t xml:space="preserve"> </w:t>
      </w:r>
      <w:r w:rsidRPr="00A73EA7">
        <w:rPr>
          <w:rStyle w:val="CharPartText"/>
        </w:rPr>
        <w:t xml:space="preserve"> </w:t>
      </w:r>
    </w:p>
    <w:p w:rsidR="00715914" w:rsidRPr="00A73EA7" w:rsidRDefault="00715914" w:rsidP="00715914">
      <w:pPr>
        <w:pStyle w:val="Header"/>
        <w:tabs>
          <w:tab w:val="clear" w:pos="4150"/>
          <w:tab w:val="clear" w:pos="8307"/>
        </w:tabs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715914" w:rsidRPr="00A73EA7" w:rsidRDefault="00715914" w:rsidP="00715914">
      <w:pPr>
        <w:sectPr w:rsidR="00715914" w:rsidRPr="00A73EA7" w:rsidSect="00AA1E9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715914" w:rsidRPr="00A73EA7" w:rsidRDefault="00715914" w:rsidP="00307369">
      <w:pPr>
        <w:rPr>
          <w:sz w:val="36"/>
        </w:rPr>
      </w:pPr>
      <w:r w:rsidRPr="00A73EA7">
        <w:rPr>
          <w:sz w:val="36"/>
        </w:rPr>
        <w:lastRenderedPageBreak/>
        <w:t>Contents</w:t>
      </w:r>
    </w:p>
    <w:bookmarkStart w:id="3" w:name="BKCheck15B_3"/>
    <w:bookmarkEnd w:id="3"/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sz w:val="20"/>
        </w:rPr>
        <w:fldChar w:fldCharType="begin"/>
      </w:r>
      <w:r w:rsidRPr="00A73EA7">
        <w:rPr>
          <w:sz w:val="20"/>
        </w:rPr>
        <w:instrText xml:space="preserve"> TOC \o "1-9" </w:instrText>
      </w:r>
      <w:r w:rsidRPr="00A73EA7">
        <w:rPr>
          <w:sz w:val="20"/>
        </w:rPr>
        <w:fldChar w:fldCharType="separate"/>
      </w: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1—Preliminary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_Toc397940188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1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</w:t>
      </w:r>
      <w:r w:rsidRPr="00A73EA7">
        <w:rPr>
          <w:noProof/>
        </w:rPr>
        <w:tab/>
        <w:t>Name of regulation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_Toc397940189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2</w:t>
      </w:r>
      <w:r w:rsidRPr="00A73EA7">
        <w:rPr>
          <w:noProof/>
        </w:rPr>
        <w:tab/>
        <w:t>Commencement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_Toc397940190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3</w:t>
      </w:r>
      <w:r w:rsidRPr="00A73EA7">
        <w:rPr>
          <w:noProof/>
        </w:rPr>
        <w:tab/>
        <w:t>Authority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_Toc397940191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4</w:t>
      </w:r>
      <w:r w:rsidRPr="00A73EA7">
        <w:rPr>
          <w:noProof/>
        </w:rPr>
        <w:tab/>
        <w:t>Definitions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_Toc397940192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5</w:t>
      </w:r>
      <w:r w:rsidRPr="00A73EA7">
        <w:rPr>
          <w:noProof/>
        </w:rPr>
        <w:tab/>
        <w:t>Parents of borrowing institutions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_Toc397940193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2—Borrowing institutions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_Toc397940194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3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6</w:t>
      </w:r>
      <w:r w:rsidRPr="00A73EA7">
        <w:rPr>
          <w:noProof/>
        </w:rPr>
        <w:tab/>
        <w:t>Prescribed borrowing institutions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_Toc397940195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3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3—Protected persons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_Toc397940196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4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7</w:t>
      </w:r>
      <w:r w:rsidRPr="00A73EA7">
        <w:rPr>
          <w:noProof/>
        </w:rPr>
        <w:tab/>
        <w:t>Prescribed service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_Toc397940197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4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4—Approval of institutions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_Toc397940198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5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8</w:t>
      </w:r>
      <w:r w:rsidRPr="00A73EA7">
        <w:rPr>
          <w:noProof/>
        </w:rPr>
        <w:tab/>
        <w:t>Matters Minister must consider in approving a borrowing institution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_Toc397940199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5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5—Consultation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_Toc397940200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7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9</w:t>
      </w:r>
      <w:r w:rsidRPr="00A73EA7">
        <w:rPr>
          <w:noProof/>
        </w:rPr>
        <w:tab/>
        <w:t>Consultation policies and procedures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_Toc397940201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7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10</w:t>
      </w:r>
      <w:r w:rsidRPr="00A73EA7">
        <w:rPr>
          <w:noProof/>
        </w:rPr>
        <w:tab/>
        <w:t>Form of consultation and who must be consulted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_Toc397940202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8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6—Publishing information about objects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_Toc397940203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9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11</w:t>
      </w:r>
      <w:r w:rsidRPr="00A73EA7">
        <w:rPr>
          <w:noProof/>
        </w:rPr>
        <w:tab/>
        <w:t>Publishing information about objects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_Toc397940204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9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12</w:t>
      </w:r>
      <w:r w:rsidRPr="00A73EA7">
        <w:rPr>
          <w:noProof/>
        </w:rPr>
        <w:tab/>
        <w:t>Exemption from publishing information about an object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_Toc397940205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10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13</w:t>
      </w:r>
      <w:r w:rsidRPr="00A73EA7">
        <w:rPr>
          <w:noProof/>
        </w:rPr>
        <w:tab/>
        <w:t>Including hyperlinks instead of publishing information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_Toc397940206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14</w:t>
      </w:r>
      <w:r w:rsidRPr="00A73EA7">
        <w:rPr>
          <w:noProof/>
        </w:rPr>
        <w:tab/>
        <w:t>Correcting errors or omissions in published information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_Toc397940207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11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7—Actions to be taken by borrowing institution or parent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_Toc397940208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12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15</w:t>
      </w:r>
      <w:r w:rsidRPr="00A73EA7">
        <w:rPr>
          <w:noProof/>
        </w:rPr>
        <w:tab/>
        <w:t>Information requests and claims in relation to an object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_Toc397940209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12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8—Report to Minister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_Toc397940210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14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16</w:t>
      </w:r>
      <w:r w:rsidRPr="00A73EA7">
        <w:rPr>
          <w:noProof/>
        </w:rPr>
        <w:tab/>
        <w:t>Report to Minister on activities of borrowing institution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_Toc397940211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14</w:t>
      </w:r>
      <w:r w:rsidRPr="00A73EA7">
        <w:rPr>
          <w:noProof/>
        </w:rPr>
        <w:fldChar w:fldCharType="end"/>
      </w:r>
    </w:p>
    <w:p w:rsidR="00B344A4" w:rsidRPr="00A73EA7" w:rsidRDefault="00B344A4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A73EA7">
        <w:rPr>
          <w:noProof/>
        </w:rPr>
        <w:t>Part</w:t>
      </w:r>
      <w:r w:rsidR="00A73EA7" w:rsidRPr="00A73EA7">
        <w:rPr>
          <w:noProof/>
        </w:rPr>
        <w:t> </w:t>
      </w:r>
      <w:r w:rsidRPr="00A73EA7">
        <w:rPr>
          <w:noProof/>
        </w:rPr>
        <w:t>9—Miscellaneous</w:t>
      </w:r>
      <w:r w:rsidRPr="00A73EA7">
        <w:rPr>
          <w:b w:val="0"/>
          <w:noProof/>
          <w:sz w:val="18"/>
        </w:rPr>
        <w:tab/>
      </w:r>
      <w:r w:rsidRPr="00A73EA7">
        <w:rPr>
          <w:b w:val="0"/>
          <w:noProof/>
          <w:sz w:val="18"/>
        </w:rPr>
        <w:fldChar w:fldCharType="begin"/>
      </w:r>
      <w:r w:rsidRPr="00A73EA7">
        <w:rPr>
          <w:b w:val="0"/>
          <w:noProof/>
          <w:sz w:val="18"/>
        </w:rPr>
        <w:instrText xml:space="preserve"> PAGEREF _Toc397940212 \h </w:instrText>
      </w:r>
      <w:r w:rsidRPr="00A73EA7">
        <w:rPr>
          <w:b w:val="0"/>
          <w:noProof/>
          <w:sz w:val="18"/>
        </w:rPr>
      </w:r>
      <w:r w:rsidRPr="00A73EA7">
        <w:rPr>
          <w:b w:val="0"/>
          <w:noProof/>
          <w:sz w:val="18"/>
        </w:rPr>
        <w:fldChar w:fldCharType="separate"/>
      </w:r>
      <w:r w:rsidR="0098039C">
        <w:rPr>
          <w:b w:val="0"/>
          <w:noProof/>
          <w:sz w:val="18"/>
        </w:rPr>
        <w:t>16</w:t>
      </w:r>
      <w:r w:rsidRPr="00A73EA7">
        <w:rPr>
          <w:b w:val="0"/>
          <w:noProof/>
          <w:sz w:val="18"/>
        </w:rPr>
        <w:fldChar w:fldCharType="end"/>
      </w:r>
    </w:p>
    <w:p w:rsidR="00B344A4" w:rsidRPr="00A73EA7" w:rsidRDefault="00B344A4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A73EA7">
        <w:rPr>
          <w:noProof/>
        </w:rPr>
        <w:t>17</w:t>
      </w:r>
      <w:r w:rsidRPr="00A73EA7">
        <w:rPr>
          <w:noProof/>
        </w:rPr>
        <w:tab/>
        <w:t>Delegation</w:t>
      </w:r>
      <w:r w:rsidRPr="00A73EA7">
        <w:rPr>
          <w:noProof/>
        </w:rPr>
        <w:tab/>
      </w:r>
      <w:r w:rsidRPr="00A73EA7">
        <w:rPr>
          <w:noProof/>
        </w:rPr>
        <w:fldChar w:fldCharType="begin"/>
      </w:r>
      <w:r w:rsidRPr="00A73EA7">
        <w:rPr>
          <w:noProof/>
        </w:rPr>
        <w:instrText xml:space="preserve"> PAGEREF _Toc397940213 \h </w:instrText>
      </w:r>
      <w:r w:rsidRPr="00A73EA7">
        <w:rPr>
          <w:noProof/>
        </w:rPr>
      </w:r>
      <w:r w:rsidRPr="00A73EA7">
        <w:rPr>
          <w:noProof/>
        </w:rPr>
        <w:fldChar w:fldCharType="separate"/>
      </w:r>
      <w:r w:rsidR="0098039C">
        <w:rPr>
          <w:noProof/>
        </w:rPr>
        <w:t>16</w:t>
      </w:r>
      <w:r w:rsidRPr="00A73EA7">
        <w:rPr>
          <w:noProof/>
        </w:rPr>
        <w:fldChar w:fldCharType="end"/>
      </w:r>
    </w:p>
    <w:p w:rsidR="00A802BC" w:rsidRPr="00A73EA7" w:rsidRDefault="00B344A4" w:rsidP="00307369">
      <w:pPr>
        <w:rPr>
          <w:sz w:val="20"/>
        </w:rPr>
      </w:pPr>
      <w:r w:rsidRPr="00A73EA7">
        <w:rPr>
          <w:sz w:val="20"/>
        </w:rPr>
        <w:fldChar w:fldCharType="end"/>
      </w:r>
    </w:p>
    <w:p w:rsidR="00715914" w:rsidRPr="00A73EA7" w:rsidRDefault="00715914" w:rsidP="00715914">
      <w:pPr>
        <w:sectPr w:rsidR="00715914" w:rsidRPr="00A73EA7" w:rsidSect="00AA1E9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234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715914" w:rsidRPr="00A73EA7" w:rsidRDefault="00715914" w:rsidP="00715914">
      <w:pPr>
        <w:pStyle w:val="ActHead2"/>
      </w:pPr>
      <w:bookmarkStart w:id="4" w:name="_Toc397940188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Pr="00A73EA7">
        <w:rPr>
          <w:rStyle w:val="CharPartNo"/>
        </w:rPr>
        <w:t>1</w:t>
      </w:r>
      <w:r w:rsidRPr="00A73EA7">
        <w:t>—</w:t>
      </w:r>
      <w:r w:rsidRPr="00A73EA7">
        <w:rPr>
          <w:rStyle w:val="CharPartText"/>
        </w:rPr>
        <w:t>Preliminary</w:t>
      </w:r>
      <w:bookmarkEnd w:id="4"/>
    </w:p>
    <w:p w:rsidR="00715914" w:rsidRPr="00A73EA7" w:rsidRDefault="00715914" w:rsidP="00715914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715914" w:rsidRPr="00A73EA7" w:rsidRDefault="00DB0B3C" w:rsidP="00715914">
      <w:pPr>
        <w:pStyle w:val="ActHead5"/>
      </w:pPr>
      <w:bookmarkStart w:id="5" w:name="_Toc397940189"/>
      <w:r w:rsidRPr="00A73EA7">
        <w:rPr>
          <w:rStyle w:val="CharSectno"/>
        </w:rPr>
        <w:t>1</w:t>
      </w:r>
      <w:r w:rsidR="00715914" w:rsidRPr="00A73EA7">
        <w:t xml:space="preserve">  </w:t>
      </w:r>
      <w:r w:rsidR="00CE493D" w:rsidRPr="00A73EA7">
        <w:t xml:space="preserve">Name of </w:t>
      </w:r>
      <w:r w:rsidR="001B5063" w:rsidRPr="00A73EA7">
        <w:t>regulation</w:t>
      </w:r>
      <w:bookmarkEnd w:id="5"/>
    </w:p>
    <w:p w:rsidR="00715914" w:rsidRPr="00A73EA7" w:rsidRDefault="00715914" w:rsidP="00715914">
      <w:pPr>
        <w:pStyle w:val="subsection"/>
      </w:pPr>
      <w:r w:rsidRPr="00A73EA7">
        <w:tab/>
      </w:r>
      <w:r w:rsidRPr="00A73EA7">
        <w:tab/>
        <w:t xml:space="preserve">This </w:t>
      </w:r>
      <w:r w:rsidR="001B5063" w:rsidRPr="00A73EA7">
        <w:t>regulation</w:t>
      </w:r>
      <w:r w:rsidRPr="00A73EA7">
        <w:t xml:space="preserve"> </w:t>
      </w:r>
      <w:r w:rsidR="00CE493D" w:rsidRPr="00A73EA7">
        <w:t xml:space="preserve">is the </w:t>
      </w:r>
      <w:bookmarkStart w:id="6" w:name="BKCheck15B_4"/>
      <w:bookmarkEnd w:id="6"/>
      <w:r w:rsidR="00CE038B" w:rsidRPr="00A73EA7">
        <w:rPr>
          <w:i/>
        </w:rPr>
        <w:fldChar w:fldCharType="begin"/>
      </w:r>
      <w:r w:rsidR="00CE038B" w:rsidRPr="00A73EA7">
        <w:rPr>
          <w:i/>
        </w:rPr>
        <w:instrText xml:space="preserve"> STYLEREF  ShortT </w:instrText>
      </w:r>
      <w:r w:rsidR="00CE038B" w:rsidRPr="00A73EA7">
        <w:rPr>
          <w:i/>
        </w:rPr>
        <w:fldChar w:fldCharType="separate"/>
      </w:r>
      <w:r w:rsidR="0098039C">
        <w:rPr>
          <w:i/>
          <w:noProof/>
        </w:rPr>
        <w:t>Protection of Cultural Objects on Loan Regulation 2014</w:t>
      </w:r>
      <w:r w:rsidR="00CE038B" w:rsidRPr="00A73EA7">
        <w:rPr>
          <w:i/>
        </w:rPr>
        <w:fldChar w:fldCharType="end"/>
      </w:r>
      <w:r w:rsidRPr="00A73EA7">
        <w:t>.</w:t>
      </w:r>
    </w:p>
    <w:p w:rsidR="00715914" w:rsidRPr="00A73EA7" w:rsidRDefault="00DB0B3C" w:rsidP="00715914">
      <w:pPr>
        <w:pStyle w:val="ActHead5"/>
      </w:pPr>
      <w:bookmarkStart w:id="7" w:name="_Toc397940190"/>
      <w:r w:rsidRPr="00A73EA7">
        <w:rPr>
          <w:rStyle w:val="CharSectno"/>
        </w:rPr>
        <w:t>2</w:t>
      </w:r>
      <w:r w:rsidR="00715914" w:rsidRPr="00A73EA7">
        <w:t xml:space="preserve">  Commencement</w:t>
      </w:r>
      <w:bookmarkEnd w:id="7"/>
    </w:p>
    <w:p w:rsidR="007E163D" w:rsidRPr="00A73EA7" w:rsidRDefault="00CE493D" w:rsidP="00B90150">
      <w:pPr>
        <w:pStyle w:val="subsection"/>
      </w:pPr>
      <w:bookmarkStart w:id="8" w:name="_GoBack"/>
      <w:r w:rsidRPr="00A73EA7">
        <w:tab/>
      </w:r>
      <w:r w:rsidRPr="00A73EA7">
        <w:tab/>
        <w:t xml:space="preserve">This </w:t>
      </w:r>
      <w:r w:rsidR="001B5063" w:rsidRPr="00A73EA7">
        <w:t>regulation</w:t>
      </w:r>
      <w:r w:rsidRPr="00A73EA7">
        <w:t xml:space="preserve"> commences on the </w:t>
      </w:r>
      <w:r w:rsidR="001B5063" w:rsidRPr="00A73EA7">
        <w:t>day after it is registered</w:t>
      </w:r>
      <w:r w:rsidR="000019A2" w:rsidRPr="00A73EA7">
        <w:t>.</w:t>
      </w:r>
      <w:bookmarkEnd w:id="8"/>
    </w:p>
    <w:p w:rsidR="00CE493D" w:rsidRPr="00A73EA7" w:rsidRDefault="00DB0B3C" w:rsidP="00E85C54">
      <w:pPr>
        <w:pStyle w:val="ActHead5"/>
      </w:pPr>
      <w:bookmarkStart w:id="9" w:name="_Toc397940191"/>
      <w:r w:rsidRPr="00A73EA7">
        <w:rPr>
          <w:rStyle w:val="CharSectno"/>
        </w:rPr>
        <w:t>3</w:t>
      </w:r>
      <w:r w:rsidR="00E85C54" w:rsidRPr="00A73EA7">
        <w:t xml:space="preserve">  Authority</w:t>
      </w:r>
      <w:bookmarkEnd w:id="9"/>
    </w:p>
    <w:p w:rsidR="007A6816" w:rsidRPr="00A73EA7" w:rsidRDefault="00E85C54" w:rsidP="00E85C54">
      <w:pPr>
        <w:pStyle w:val="subsection"/>
      </w:pPr>
      <w:r w:rsidRPr="00A73EA7">
        <w:tab/>
      </w:r>
      <w:r w:rsidRPr="00A73EA7">
        <w:tab/>
        <w:t xml:space="preserve">This </w:t>
      </w:r>
      <w:r w:rsidR="001B5063" w:rsidRPr="00A73EA7">
        <w:t>regulation</w:t>
      </w:r>
      <w:r w:rsidRPr="00A73EA7">
        <w:t xml:space="preserve"> is made under </w:t>
      </w:r>
      <w:r w:rsidR="001B39BC" w:rsidRPr="00A73EA7">
        <w:t xml:space="preserve">the </w:t>
      </w:r>
      <w:r w:rsidR="001B5063" w:rsidRPr="00A73EA7">
        <w:rPr>
          <w:i/>
        </w:rPr>
        <w:t>Protection of Cultural Objects on Loan Act 2013</w:t>
      </w:r>
      <w:r w:rsidR="00EC01C1" w:rsidRPr="00A73EA7">
        <w:t>.</w:t>
      </w:r>
    </w:p>
    <w:p w:rsidR="008A349B" w:rsidRPr="00A73EA7" w:rsidRDefault="00DB0B3C" w:rsidP="008A349B">
      <w:pPr>
        <w:pStyle w:val="ActHead5"/>
      </w:pPr>
      <w:bookmarkStart w:id="10" w:name="_Toc397940192"/>
      <w:r w:rsidRPr="00A73EA7">
        <w:rPr>
          <w:rStyle w:val="CharSectno"/>
        </w:rPr>
        <w:t>4</w:t>
      </w:r>
      <w:r w:rsidR="008A349B" w:rsidRPr="00A73EA7">
        <w:t xml:space="preserve">  </w:t>
      </w:r>
      <w:r w:rsidR="004C0080" w:rsidRPr="00A73EA7">
        <w:t>Definitions</w:t>
      </w:r>
      <w:bookmarkEnd w:id="10"/>
    </w:p>
    <w:p w:rsidR="00006375" w:rsidRPr="00A73EA7" w:rsidRDefault="00006375" w:rsidP="00006375">
      <w:pPr>
        <w:pStyle w:val="notetext"/>
      </w:pPr>
      <w:r w:rsidRPr="00A73EA7">
        <w:t>Note:</w:t>
      </w:r>
      <w:r w:rsidRPr="00A73EA7">
        <w:tab/>
        <w:t>A number of expressions used in this regulation are defined in the Act, including the following:</w:t>
      </w:r>
    </w:p>
    <w:p w:rsidR="00006375" w:rsidRPr="00A73EA7" w:rsidRDefault="00006375" w:rsidP="00006375">
      <w:pPr>
        <w:pStyle w:val="notepara"/>
      </w:pPr>
      <w:r w:rsidRPr="00A73EA7">
        <w:t>(a)</w:t>
      </w:r>
      <w:r w:rsidRPr="00A73EA7">
        <w:tab/>
        <w:t>borrowing institution;</w:t>
      </w:r>
    </w:p>
    <w:p w:rsidR="00006375" w:rsidRPr="00A73EA7" w:rsidRDefault="00006375" w:rsidP="00006375">
      <w:pPr>
        <w:pStyle w:val="notepara"/>
      </w:pPr>
      <w:r w:rsidRPr="00A73EA7">
        <w:t>(b)</w:t>
      </w:r>
      <w:r w:rsidRPr="00A73EA7">
        <w:tab/>
        <w:t>lender;</w:t>
      </w:r>
    </w:p>
    <w:p w:rsidR="00006375" w:rsidRPr="00A73EA7" w:rsidRDefault="00006375" w:rsidP="00006375">
      <w:pPr>
        <w:pStyle w:val="notepara"/>
      </w:pPr>
      <w:r w:rsidRPr="00A73EA7">
        <w:t>(c)</w:t>
      </w:r>
      <w:r w:rsidRPr="00A73EA7">
        <w:tab/>
        <w:t>loan;</w:t>
      </w:r>
    </w:p>
    <w:p w:rsidR="00006375" w:rsidRPr="00A73EA7" w:rsidRDefault="00006375" w:rsidP="00006375">
      <w:pPr>
        <w:pStyle w:val="notepara"/>
      </w:pPr>
      <w:r w:rsidRPr="00A73EA7">
        <w:t>(d)</w:t>
      </w:r>
      <w:r w:rsidRPr="00A73EA7">
        <w:tab/>
        <w:t>parent.</w:t>
      </w:r>
    </w:p>
    <w:p w:rsidR="004C0080" w:rsidRPr="00A73EA7" w:rsidRDefault="004C0080" w:rsidP="004C0080">
      <w:pPr>
        <w:pStyle w:val="subsection"/>
      </w:pPr>
      <w:r w:rsidRPr="00A73EA7">
        <w:tab/>
      </w:r>
      <w:r w:rsidRPr="00A73EA7">
        <w:tab/>
        <w:t>In this regulation:</w:t>
      </w:r>
    </w:p>
    <w:p w:rsidR="00AF5AF0" w:rsidRPr="00A73EA7" w:rsidRDefault="00AF5AF0" w:rsidP="004C0080">
      <w:pPr>
        <w:pStyle w:val="Definition"/>
        <w:rPr>
          <w:i/>
        </w:rPr>
      </w:pPr>
      <w:r w:rsidRPr="00A73EA7">
        <w:rPr>
          <w:b/>
          <w:i/>
        </w:rPr>
        <w:t xml:space="preserve">Aboriginal person </w:t>
      </w:r>
      <w:r w:rsidRPr="00A73EA7">
        <w:t xml:space="preserve">has the same meaning as in the </w:t>
      </w:r>
      <w:r w:rsidRPr="00A73EA7">
        <w:rPr>
          <w:i/>
        </w:rPr>
        <w:t>Aboriginal and Torres Strait Islander Act 2005</w:t>
      </w:r>
      <w:r w:rsidRPr="00A73EA7">
        <w:t>.</w:t>
      </w:r>
    </w:p>
    <w:p w:rsidR="004C0080" w:rsidRPr="00A73EA7" w:rsidRDefault="004C0080" w:rsidP="004C0080">
      <w:pPr>
        <w:pStyle w:val="Definition"/>
      </w:pPr>
      <w:r w:rsidRPr="00A73EA7">
        <w:rPr>
          <w:b/>
          <w:i/>
        </w:rPr>
        <w:t>Act</w:t>
      </w:r>
      <w:r w:rsidRPr="00A73EA7">
        <w:t xml:space="preserve"> means the </w:t>
      </w:r>
      <w:r w:rsidRPr="00A73EA7">
        <w:rPr>
          <w:i/>
        </w:rPr>
        <w:t>Protection of Cultural Objects on Loan Act 2013</w:t>
      </w:r>
      <w:r w:rsidRPr="00A73EA7">
        <w:t>.</w:t>
      </w:r>
    </w:p>
    <w:p w:rsidR="00AF5AF0" w:rsidRPr="00A73EA7" w:rsidRDefault="00AF5AF0" w:rsidP="004C0080">
      <w:pPr>
        <w:pStyle w:val="Definition"/>
      </w:pPr>
      <w:r w:rsidRPr="00A73EA7">
        <w:rPr>
          <w:b/>
          <w:i/>
        </w:rPr>
        <w:t>Torres Strait Islander</w:t>
      </w:r>
      <w:r w:rsidRPr="00A73EA7">
        <w:t xml:space="preserve"> has the same meaning as in the </w:t>
      </w:r>
      <w:r w:rsidRPr="00A73EA7">
        <w:rPr>
          <w:i/>
        </w:rPr>
        <w:t>Aboriginal and Torres Strait Islander Act 2005</w:t>
      </w:r>
      <w:r w:rsidRPr="00A73EA7">
        <w:t>.</w:t>
      </w:r>
    </w:p>
    <w:p w:rsidR="00BE64D8" w:rsidRPr="00A73EA7" w:rsidRDefault="00DB0B3C" w:rsidP="00BE64D8">
      <w:pPr>
        <w:pStyle w:val="ActHead5"/>
      </w:pPr>
      <w:bookmarkStart w:id="11" w:name="_Toc397940193"/>
      <w:r w:rsidRPr="00A73EA7">
        <w:rPr>
          <w:rStyle w:val="CharSectno"/>
        </w:rPr>
        <w:t>5</w:t>
      </w:r>
      <w:r w:rsidR="00BE64D8" w:rsidRPr="00A73EA7">
        <w:t xml:space="preserve">  Parents of borrowing institutions</w:t>
      </w:r>
      <w:bookmarkEnd w:id="11"/>
    </w:p>
    <w:p w:rsidR="00BE64D8" w:rsidRPr="00A73EA7" w:rsidRDefault="00BE64D8" w:rsidP="00BE64D8">
      <w:pPr>
        <w:pStyle w:val="subsection"/>
      </w:pPr>
      <w:r w:rsidRPr="00A73EA7">
        <w:tab/>
        <w:t>(1)</w:t>
      </w:r>
      <w:r w:rsidRPr="00A73EA7">
        <w:tab/>
        <w:t xml:space="preserve">This section applies </w:t>
      </w:r>
      <w:r w:rsidR="00CC0BFF" w:rsidRPr="00A73EA7">
        <w:t xml:space="preserve">in relation </w:t>
      </w:r>
      <w:r w:rsidRPr="00A73EA7">
        <w:t>to a borrowing institution that has a parent.</w:t>
      </w:r>
    </w:p>
    <w:p w:rsidR="00BE64D8" w:rsidRPr="00A73EA7" w:rsidRDefault="00A92C57" w:rsidP="00BE64D8">
      <w:pPr>
        <w:pStyle w:val="subsection"/>
      </w:pPr>
      <w:r w:rsidRPr="00A73EA7">
        <w:lastRenderedPageBreak/>
        <w:tab/>
        <w:t>(2)</w:t>
      </w:r>
      <w:r w:rsidRPr="00A73EA7">
        <w:tab/>
        <w:t>If a provision of this r</w:t>
      </w:r>
      <w:r w:rsidR="00BE64D8" w:rsidRPr="00A73EA7">
        <w:t>egulation is expressed to require the borrowing institution to do, or not to do, a thing, th</w:t>
      </w:r>
      <w:r w:rsidR="006B4EFD" w:rsidRPr="00A73EA7">
        <w:t>e</w:t>
      </w:r>
      <w:r w:rsidR="00BE64D8" w:rsidRPr="00A73EA7">
        <w:t xml:space="preserve"> requirement applies to the parent</w:t>
      </w:r>
      <w:r w:rsidR="00C64CF8" w:rsidRPr="00A73EA7">
        <w:t xml:space="preserve"> instead of the institution</w:t>
      </w:r>
      <w:r w:rsidR="00BE64D8" w:rsidRPr="00A73EA7">
        <w:t>.</w:t>
      </w:r>
    </w:p>
    <w:p w:rsidR="00BE64D8" w:rsidRPr="00A73EA7" w:rsidRDefault="00BE64D8" w:rsidP="00BE64D8">
      <w:pPr>
        <w:pStyle w:val="notetext"/>
      </w:pPr>
      <w:r w:rsidRPr="00A73EA7">
        <w:t>Example:</w:t>
      </w:r>
      <w:r w:rsidRPr="00A73EA7">
        <w:tab/>
        <w:t>If a provision requires a borrowing institution to ensure there are policies and procedures in effect, the parent must ensure that those policies and procedures are in effect</w:t>
      </w:r>
      <w:r w:rsidR="00CC0BFF" w:rsidRPr="00A73EA7">
        <w:t xml:space="preserve"> instead of the institution</w:t>
      </w:r>
      <w:r w:rsidRPr="00A73EA7">
        <w:t>.</w:t>
      </w:r>
    </w:p>
    <w:p w:rsidR="00C64CF8" w:rsidRPr="00A73EA7" w:rsidRDefault="00A92C57" w:rsidP="00BE64D8">
      <w:pPr>
        <w:pStyle w:val="subsection"/>
      </w:pPr>
      <w:r w:rsidRPr="00A73EA7">
        <w:tab/>
        <w:t>(3)</w:t>
      </w:r>
      <w:r w:rsidRPr="00A73EA7">
        <w:tab/>
        <w:t>If a provision of this r</w:t>
      </w:r>
      <w:r w:rsidR="00BE64D8" w:rsidRPr="00A73EA7">
        <w:t>egulation authorises a borrowing institution to do a thing, th</w:t>
      </w:r>
      <w:r w:rsidR="006B4EFD" w:rsidRPr="00A73EA7">
        <w:t>e</w:t>
      </w:r>
      <w:r w:rsidR="00BE64D8" w:rsidRPr="00A73EA7">
        <w:t xml:space="preserve"> thing may be done by the parent</w:t>
      </w:r>
      <w:r w:rsidR="00C64CF8" w:rsidRPr="00A73EA7">
        <w:t xml:space="preserve"> instead of by the institution.</w:t>
      </w:r>
    </w:p>
    <w:p w:rsidR="00A778AE" w:rsidRPr="00A73EA7" w:rsidRDefault="00BE64D8" w:rsidP="00BE64D8">
      <w:pPr>
        <w:pStyle w:val="notetext"/>
      </w:pPr>
      <w:r w:rsidRPr="00A73EA7">
        <w:t>Example:</w:t>
      </w:r>
      <w:r w:rsidRPr="00A73EA7">
        <w:tab/>
        <w:t>If a provision authorises a borrowing institution to make an application, the parent m</w:t>
      </w:r>
      <w:r w:rsidR="00A778AE" w:rsidRPr="00A73EA7">
        <w:t>ay make the application</w:t>
      </w:r>
      <w:r w:rsidR="00CC0BFF" w:rsidRPr="00A73EA7">
        <w:t xml:space="preserve"> instead of the institution</w:t>
      </w:r>
      <w:r w:rsidR="00A778AE" w:rsidRPr="00A73EA7">
        <w:t>.</w:t>
      </w:r>
    </w:p>
    <w:p w:rsidR="00BA2E9D" w:rsidRPr="00A73EA7" w:rsidRDefault="00BA2E9D" w:rsidP="00A65724">
      <w:pPr>
        <w:pStyle w:val="ActHead2"/>
        <w:pageBreakBefore/>
      </w:pPr>
      <w:bookmarkStart w:id="12" w:name="_Toc397940194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2</w:t>
      </w:r>
      <w:r w:rsidRPr="00A73EA7">
        <w:t>—</w:t>
      </w:r>
      <w:r w:rsidRPr="00A73EA7">
        <w:rPr>
          <w:rStyle w:val="CharPartText"/>
        </w:rPr>
        <w:t>Borrowing institutions</w:t>
      </w:r>
      <w:bookmarkEnd w:id="12"/>
    </w:p>
    <w:p w:rsidR="00BA2E9D" w:rsidRPr="00A73EA7" w:rsidRDefault="00BA2E9D" w:rsidP="00BA2E9D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BA2E9D" w:rsidRPr="00A73EA7" w:rsidRDefault="00DB0B3C" w:rsidP="00BA2E9D">
      <w:pPr>
        <w:pStyle w:val="ActHead5"/>
      </w:pPr>
      <w:bookmarkStart w:id="13" w:name="_Toc397940195"/>
      <w:r w:rsidRPr="00A73EA7">
        <w:rPr>
          <w:rStyle w:val="CharSectno"/>
        </w:rPr>
        <w:t>6</w:t>
      </w:r>
      <w:r w:rsidR="00BA2E9D" w:rsidRPr="00A73EA7">
        <w:t xml:space="preserve">  Prescribed borrowing institutions</w:t>
      </w:r>
      <w:bookmarkEnd w:id="13"/>
    </w:p>
    <w:p w:rsidR="00BA2E9D" w:rsidRPr="00A73EA7" w:rsidRDefault="00BA2E9D" w:rsidP="00BA2E9D">
      <w:pPr>
        <w:pStyle w:val="subsection"/>
      </w:pPr>
      <w:r w:rsidRPr="00A73EA7">
        <w:tab/>
      </w:r>
      <w:r w:rsidRPr="00A73EA7">
        <w:tab/>
        <w:t xml:space="preserve">For </w:t>
      </w:r>
      <w:r w:rsidR="00A73EA7" w:rsidRPr="00A73EA7">
        <w:t>subparagraph (</w:t>
      </w:r>
      <w:r w:rsidRPr="00A73EA7">
        <w:t xml:space="preserve">b)(ii) of the definition of </w:t>
      </w:r>
      <w:r w:rsidRPr="00A73EA7">
        <w:rPr>
          <w:b/>
          <w:i/>
        </w:rPr>
        <w:t>borrowing institution</w:t>
      </w:r>
      <w:r w:rsidRPr="00A73EA7">
        <w:t xml:space="preserve"> in section</w:t>
      </w:r>
      <w:r w:rsidR="00A73EA7" w:rsidRPr="00A73EA7">
        <w:t> </w:t>
      </w:r>
      <w:r w:rsidRPr="00A73EA7">
        <w:t>5 of the Act, the Museum of Contemporary Art Limited (ABN 15</w:t>
      </w:r>
      <w:r w:rsidR="00A73EA7" w:rsidRPr="00A73EA7">
        <w:t> </w:t>
      </w:r>
      <w:r w:rsidRPr="00A73EA7">
        <w:t>003</w:t>
      </w:r>
      <w:r w:rsidR="00A73EA7" w:rsidRPr="00A73EA7">
        <w:t> </w:t>
      </w:r>
      <w:r w:rsidRPr="00A73EA7">
        <w:t>765</w:t>
      </w:r>
      <w:r w:rsidR="00A73EA7" w:rsidRPr="00A73EA7">
        <w:t> </w:t>
      </w:r>
      <w:r w:rsidRPr="00A73EA7">
        <w:t>517) is prescribed.</w:t>
      </w:r>
    </w:p>
    <w:p w:rsidR="00016130" w:rsidRPr="00A73EA7" w:rsidRDefault="00EE63D1" w:rsidP="00EE63D1">
      <w:pPr>
        <w:pStyle w:val="ActHead2"/>
        <w:pageBreakBefore/>
      </w:pPr>
      <w:bookmarkStart w:id="14" w:name="_Toc397940196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3</w:t>
      </w:r>
      <w:r w:rsidRPr="00A73EA7">
        <w:t>—</w:t>
      </w:r>
      <w:r w:rsidR="008E7B2E" w:rsidRPr="00A73EA7">
        <w:rPr>
          <w:rStyle w:val="CharPartText"/>
        </w:rPr>
        <w:t>P</w:t>
      </w:r>
      <w:r w:rsidR="00BC0B66" w:rsidRPr="00A73EA7">
        <w:rPr>
          <w:rStyle w:val="CharPartText"/>
        </w:rPr>
        <w:t>rotect</w:t>
      </w:r>
      <w:r w:rsidR="00FF0DD3" w:rsidRPr="00A73EA7">
        <w:rPr>
          <w:rStyle w:val="CharPartText"/>
        </w:rPr>
        <w:t>ed p</w:t>
      </w:r>
      <w:r w:rsidR="00A12D53" w:rsidRPr="00A73EA7">
        <w:rPr>
          <w:rStyle w:val="CharPartText"/>
        </w:rPr>
        <w:t>ersons</w:t>
      </w:r>
      <w:bookmarkEnd w:id="14"/>
    </w:p>
    <w:p w:rsidR="005D4DF7" w:rsidRPr="00A73EA7" w:rsidRDefault="005D4DF7" w:rsidP="005D4DF7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BC0B66" w:rsidRPr="00A73EA7" w:rsidRDefault="00DB0B3C" w:rsidP="00C2682E">
      <w:pPr>
        <w:pStyle w:val="ActHead5"/>
      </w:pPr>
      <w:bookmarkStart w:id="15" w:name="_Toc397940197"/>
      <w:r w:rsidRPr="00A73EA7">
        <w:rPr>
          <w:rStyle w:val="CharSectno"/>
        </w:rPr>
        <w:t>7</w:t>
      </w:r>
      <w:r w:rsidR="00392FBA" w:rsidRPr="00A73EA7">
        <w:t xml:space="preserve">  Prescribed service</w:t>
      </w:r>
      <w:bookmarkEnd w:id="15"/>
    </w:p>
    <w:p w:rsidR="00BD48BD" w:rsidRPr="00A73EA7" w:rsidRDefault="00392FBA" w:rsidP="007E7C59">
      <w:pPr>
        <w:pStyle w:val="subsection"/>
      </w:pPr>
      <w:r w:rsidRPr="00A73EA7">
        <w:tab/>
      </w:r>
      <w:r w:rsidRPr="00A73EA7">
        <w:tab/>
        <w:t xml:space="preserve">For </w:t>
      </w:r>
      <w:r w:rsidR="00A73EA7" w:rsidRPr="00A73EA7">
        <w:t>subparagraph (</w:t>
      </w:r>
      <w:r w:rsidR="00DA57F2" w:rsidRPr="00A73EA7">
        <w:t xml:space="preserve">e)(v) of the definition of </w:t>
      </w:r>
      <w:r w:rsidR="00DA57F2" w:rsidRPr="00A73EA7">
        <w:rPr>
          <w:b/>
          <w:i/>
        </w:rPr>
        <w:t>protected person</w:t>
      </w:r>
      <w:r w:rsidR="00DA57F2" w:rsidRPr="00A73EA7">
        <w:t xml:space="preserve"> in section</w:t>
      </w:r>
      <w:r w:rsidR="00A73EA7" w:rsidRPr="00A73EA7">
        <w:t> </w:t>
      </w:r>
      <w:r w:rsidR="00DA57F2" w:rsidRPr="00A73EA7">
        <w:t xml:space="preserve">5 of the Act, the service of </w:t>
      </w:r>
      <w:r w:rsidR="00BD48BD" w:rsidRPr="00A73EA7">
        <w:t>exhibiting the object in Australia is prescribed.</w:t>
      </w:r>
    </w:p>
    <w:p w:rsidR="009C4882" w:rsidRPr="00A73EA7" w:rsidRDefault="009C4882" w:rsidP="009C4882">
      <w:pPr>
        <w:pStyle w:val="ActHead2"/>
        <w:pageBreakBefore/>
      </w:pPr>
      <w:bookmarkStart w:id="16" w:name="_Toc397940198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4</w:t>
      </w:r>
      <w:r w:rsidRPr="00A73EA7">
        <w:t>—</w:t>
      </w:r>
      <w:r w:rsidRPr="00A73EA7">
        <w:rPr>
          <w:rStyle w:val="CharPartText"/>
        </w:rPr>
        <w:t>Approval of institutions</w:t>
      </w:r>
      <w:bookmarkEnd w:id="16"/>
    </w:p>
    <w:p w:rsidR="00676551" w:rsidRPr="00A73EA7" w:rsidRDefault="00676551" w:rsidP="00676551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9C4882" w:rsidRPr="00A73EA7" w:rsidRDefault="00DB0B3C" w:rsidP="009C4882">
      <w:pPr>
        <w:pStyle w:val="ActHead5"/>
      </w:pPr>
      <w:bookmarkStart w:id="17" w:name="_Toc397940199"/>
      <w:r w:rsidRPr="00A73EA7">
        <w:rPr>
          <w:rStyle w:val="CharSectno"/>
        </w:rPr>
        <w:t>8</w:t>
      </w:r>
      <w:r w:rsidR="009C4882" w:rsidRPr="00A73EA7">
        <w:t xml:space="preserve">  Matters Minister must </w:t>
      </w:r>
      <w:r w:rsidR="00CE056C" w:rsidRPr="00A73EA7">
        <w:t>consider</w:t>
      </w:r>
      <w:r w:rsidR="009C4882" w:rsidRPr="00A73EA7">
        <w:t xml:space="preserve"> in approving </w:t>
      </w:r>
      <w:r w:rsidR="00762BF6" w:rsidRPr="00A73EA7">
        <w:t xml:space="preserve">a </w:t>
      </w:r>
      <w:r w:rsidR="009C4882" w:rsidRPr="00A73EA7">
        <w:t>borrowing institution</w:t>
      </w:r>
      <w:bookmarkEnd w:id="17"/>
    </w:p>
    <w:p w:rsidR="009C4882" w:rsidRPr="00A73EA7" w:rsidRDefault="009C4882" w:rsidP="009C4882">
      <w:pPr>
        <w:pStyle w:val="subsection"/>
      </w:pPr>
      <w:r w:rsidRPr="00A73EA7">
        <w:tab/>
      </w:r>
      <w:r w:rsidR="009F4AE3" w:rsidRPr="00A73EA7">
        <w:t>(1)</w:t>
      </w:r>
      <w:r w:rsidRPr="00A73EA7">
        <w:tab/>
        <w:t>For paragraph</w:t>
      </w:r>
      <w:r w:rsidR="00A73EA7" w:rsidRPr="00A73EA7">
        <w:t> </w:t>
      </w:r>
      <w:r w:rsidRPr="00A73EA7">
        <w:t>15(2)(f) of the Act, the</w:t>
      </w:r>
      <w:r w:rsidR="006B4EFD" w:rsidRPr="00A73EA7">
        <w:t xml:space="preserve"> matters that the Minister must consider </w:t>
      </w:r>
      <w:r w:rsidRPr="00A73EA7">
        <w:t>in deciding whether to approve a borrowing institution</w:t>
      </w:r>
      <w:r w:rsidR="006B4EFD" w:rsidRPr="00A73EA7">
        <w:t xml:space="preserve"> are as follows</w:t>
      </w:r>
      <w:r w:rsidRPr="00A73EA7">
        <w:t>:</w:t>
      </w:r>
    </w:p>
    <w:p w:rsidR="006B1791" w:rsidRPr="00A73EA7" w:rsidRDefault="00142017" w:rsidP="006B1791">
      <w:pPr>
        <w:pStyle w:val="paragraph"/>
      </w:pPr>
      <w:r w:rsidRPr="00A73EA7">
        <w:tab/>
        <w:t>(a</w:t>
      </w:r>
      <w:r w:rsidR="006B1791" w:rsidRPr="00A73EA7">
        <w:t>)</w:t>
      </w:r>
      <w:r w:rsidR="006B1791" w:rsidRPr="00A73EA7">
        <w:tab/>
        <w:t>whether the policies and procedures</w:t>
      </w:r>
      <w:r w:rsidRPr="00A73EA7">
        <w:t xml:space="preserve"> </w:t>
      </w:r>
      <w:r w:rsidR="006B1791" w:rsidRPr="00A73EA7">
        <w:t>of the borrowing institution or its parent display a commitment to loans of objects, to which Part</w:t>
      </w:r>
      <w:r w:rsidR="00A73EA7" w:rsidRPr="00A73EA7">
        <w:t> </w:t>
      </w:r>
      <w:r w:rsidR="006B1791" w:rsidRPr="00A73EA7">
        <w:t>2 of the Act would apply, being made to the highest standards of ethical and professional practice and in accordance with applicable laws;</w:t>
      </w:r>
    </w:p>
    <w:p w:rsidR="00EE77BB" w:rsidRPr="00A73EA7" w:rsidRDefault="00142017" w:rsidP="00216B7F">
      <w:pPr>
        <w:pStyle w:val="paragraph"/>
      </w:pPr>
      <w:r w:rsidRPr="00A73EA7">
        <w:tab/>
        <w:t>(b</w:t>
      </w:r>
      <w:r w:rsidR="000E54CC" w:rsidRPr="00A73EA7">
        <w:t>)</w:t>
      </w:r>
      <w:r w:rsidR="000E54CC" w:rsidRPr="00A73EA7">
        <w:tab/>
        <w:t>whether the</w:t>
      </w:r>
      <w:r w:rsidR="006B4EFD" w:rsidRPr="00A73EA7">
        <w:t xml:space="preserve"> </w:t>
      </w:r>
      <w:r w:rsidR="00216B7F" w:rsidRPr="00A73EA7">
        <w:t>policies and</w:t>
      </w:r>
      <w:r w:rsidR="00F148C7" w:rsidRPr="00A73EA7">
        <w:t xml:space="preserve"> </w:t>
      </w:r>
      <w:r w:rsidR="000E54CC" w:rsidRPr="00A73EA7">
        <w:t xml:space="preserve">procedures </w:t>
      </w:r>
      <w:r w:rsidR="006B4EFD" w:rsidRPr="00A73EA7">
        <w:t xml:space="preserve">of the borrowing institution or its parent </w:t>
      </w:r>
      <w:r w:rsidR="00CC0BFF" w:rsidRPr="00A73EA7">
        <w:t>a</w:t>
      </w:r>
      <w:r w:rsidR="00A90359" w:rsidRPr="00A73EA7">
        <w:t>re likely to ensure</w:t>
      </w:r>
      <w:r w:rsidR="009E1F96" w:rsidRPr="00A73EA7">
        <w:t xml:space="preserve"> that</w:t>
      </w:r>
      <w:r w:rsidR="00EE77BB" w:rsidRPr="00A73EA7">
        <w:t>:</w:t>
      </w:r>
    </w:p>
    <w:p w:rsidR="00EE77BB" w:rsidRPr="00A73EA7" w:rsidRDefault="00EE77BB" w:rsidP="00EE77BB">
      <w:pPr>
        <w:pStyle w:val="paragraphsub"/>
      </w:pPr>
      <w:r w:rsidRPr="00A73EA7">
        <w:tab/>
        <w:t>(i)</w:t>
      </w:r>
      <w:r w:rsidRPr="00A73EA7">
        <w:tab/>
        <w:t>proposed lender</w:t>
      </w:r>
      <w:r w:rsidR="009E1F96" w:rsidRPr="00A73EA7">
        <w:t>s</w:t>
      </w:r>
      <w:r w:rsidRPr="00A73EA7">
        <w:t xml:space="preserve"> of </w:t>
      </w:r>
      <w:r w:rsidR="009E1F96" w:rsidRPr="00A73EA7">
        <w:t xml:space="preserve">such </w:t>
      </w:r>
      <w:r w:rsidRPr="00A73EA7">
        <w:t>object</w:t>
      </w:r>
      <w:r w:rsidR="009E1F96" w:rsidRPr="00A73EA7">
        <w:t>s are</w:t>
      </w:r>
      <w:r w:rsidRPr="00A73EA7">
        <w:t xml:space="preserve"> reputable</w:t>
      </w:r>
      <w:r w:rsidR="00D95F71" w:rsidRPr="00A73EA7">
        <w:t xml:space="preserve"> and have </w:t>
      </w:r>
      <w:r w:rsidR="007D03D5" w:rsidRPr="00A73EA7">
        <w:t>legal authority to lend them</w:t>
      </w:r>
      <w:r w:rsidRPr="00A73EA7">
        <w:t>;</w:t>
      </w:r>
      <w:r w:rsidR="00D95F71" w:rsidRPr="00A73EA7">
        <w:t xml:space="preserve"> and</w:t>
      </w:r>
    </w:p>
    <w:p w:rsidR="00EE77BB" w:rsidRPr="00A73EA7" w:rsidRDefault="00EE77BB" w:rsidP="00EE77BB">
      <w:pPr>
        <w:pStyle w:val="paragraphsub"/>
      </w:pPr>
      <w:r w:rsidRPr="00A73EA7">
        <w:tab/>
        <w:t>(ii)</w:t>
      </w:r>
      <w:r w:rsidRPr="00A73EA7">
        <w:tab/>
        <w:t xml:space="preserve">there </w:t>
      </w:r>
      <w:r w:rsidR="009E1F96" w:rsidRPr="00A73EA7">
        <w:t xml:space="preserve">are </w:t>
      </w:r>
      <w:r w:rsidRPr="00A73EA7">
        <w:t>valid export licence</w:t>
      </w:r>
      <w:r w:rsidR="009E1F96" w:rsidRPr="00A73EA7">
        <w:t>s</w:t>
      </w:r>
      <w:r w:rsidRPr="00A73EA7">
        <w:t xml:space="preserve"> or permit</w:t>
      </w:r>
      <w:r w:rsidR="009E1F96" w:rsidRPr="00A73EA7">
        <w:t>s</w:t>
      </w:r>
      <w:r w:rsidR="00D95F71" w:rsidRPr="00A73EA7">
        <w:t xml:space="preserve"> </w:t>
      </w:r>
      <w:r w:rsidR="007F098F" w:rsidRPr="00A73EA7">
        <w:t xml:space="preserve">(if required) </w:t>
      </w:r>
      <w:r w:rsidRPr="00A73EA7">
        <w:t>for such object</w:t>
      </w:r>
      <w:r w:rsidR="009E1F96" w:rsidRPr="00A73EA7">
        <w:t>s</w:t>
      </w:r>
      <w:r w:rsidRPr="00A73EA7">
        <w:t xml:space="preserve"> from the countr</w:t>
      </w:r>
      <w:r w:rsidR="00D95F71" w:rsidRPr="00A73EA7">
        <w:t>ies</w:t>
      </w:r>
      <w:r w:rsidRPr="00A73EA7">
        <w:t xml:space="preserve"> in which </w:t>
      </w:r>
      <w:r w:rsidR="009E1F96" w:rsidRPr="00A73EA7">
        <w:t xml:space="preserve">they are located </w:t>
      </w:r>
      <w:r w:rsidRPr="00A73EA7">
        <w:t>before being exported to Australia;</w:t>
      </w:r>
    </w:p>
    <w:p w:rsidR="00E653C3" w:rsidRPr="00A73EA7" w:rsidRDefault="00307330" w:rsidP="00307330">
      <w:pPr>
        <w:pStyle w:val="paragraph"/>
      </w:pPr>
      <w:r w:rsidRPr="00A73EA7">
        <w:tab/>
        <w:t>(</w:t>
      </w:r>
      <w:r w:rsidR="00142017" w:rsidRPr="00A73EA7">
        <w:t>c</w:t>
      </w:r>
      <w:r w:rsidRPr="00A73EA7">
        <w:t>)</w:t>
      </w:r>
      <w:r w:rsidRPr="00A73EA7">
        <w:tab/>
        <w:t xml:space="preserve">whether the policies and procedures mentioned in </w:t>
      </w:r>
      <w:r w:rsidR="00A73EA7" w:rsidRPr="00A73EA7">
        <w:t>paragraphs (</w:t>
      </w:r>
      <w:r w:rsidR="00142017" w:rsidRPr="00A73EA7">
        <w:t>a</w:t>
      </w:r>
      <w:r w:rsidRPr="00A73EA7">
        <w:t>)</w:t>
      </w:r>
      <w:r w:rsidR="00142017" w:rsidRPr="00A73EA7">
        <w:t xml:space="preserve"> and (b</w:t>
      </w:r>
      <w:r w:rsidR="006B1791" w:rsidRPr="00A73EA7">
        <w:t>)</w:t>
      </w:r>
      <w:r w:rsidRPr="00A73EA7">
        <w:t xml:space="preserve"> require </w:t>
      </w:r>
      <w:r w:rsidR="006B4EFD" w:rsidRPr="00A73EA7">
        <w:t xml:space="preserve">adequate </w:t>
      </w:r>
      <w:r w:rsidR="00E653C3" w:rsidRPr="00A73EA7">
        <w:t xml:space="preserve">provenance and due diligence research </w:t>
      </w:r>
      <w:r w:rsidR="006B4EFD" w:rsidRPr="00A73EA7">
        <w:t>of a kind</w:t>
      </w:r>
      <w:r w:rsidR="00E653C3" w:rsidRPr="00A73EA7">
        <w:t xml:space="preserve"> mentioned in </w:t>
      </w:r>
      <w:r w:rsidR="00A73EA7" w:rsidRPr="00A73EA7">
        <w:t>subsection (</w:t>
      </w:r>
      <w:r w:rsidR="00E653C3" w:rsidRPr="00A73EA7">
        <w:t xml:space="preserve">2) to be conducted in relation to </w:t>
      </w:r>
      <w:r w:rsidR="009E1F96" w:rsidRPr="00A73EA7">
        <w:t xml:space="preserve">such </w:t>
      </w:r>
      <w:r w:rsidR="00E653C3" w:rsidRPr="00A73EA7">
        <w:t>objects</w:t>
      </w:r>
      <w:r w:rsidR="006B4EFD" w:rsidRPr="00A73EA7">
        <w:t>.</w:t>
      </w:r>
    </w:p>
    <w:p w:rsidR="00307330" w:rsidRPr="00A73EA7" w:rsidRDefault="00E653C3" w:rsidP="00E653C3">
      <w:pPr>
        <w:pStyle w:val="subsection"/>
      </w:pPr>
      <w:r w:rsidRPr="00A73EA7">
        <w:tab/>
        <w:t>(2)</w:t>
      </w:r>
      <w:r w:rsidRPr="00A73EA7">
        <w:tab/>
        <w:t xml:space="preserve">For </w:t>
      </w:r>
      <w:r w:rsidR="00A73EA7" w:rsidRPr="00A73EA7">
        <w:t>paragraph (</w:t>
      </w:r>
      <w:r w:rsidRPr="00A73EA7">
        <w:t>1)(</w:t>
      </w:r>
      <w:r w:rsidR="00142017" w:rsidRPr="00A73EA7">
        <w:t>c</w:t>
      </w:r>
      <w:r w:rsidRPr="00A73EA7">
        <w:t>), provenance and due diligence research involves doing su</w:t>
      </w:r>
      <w:r w:rsidR="00307330" w:rsidRPr="00A73EA7">
        <w:t xml:space="preserve">ch of the following as may be appropriate in the circumstances of </w:t>
      </w:r>
      <w:r w:rsidR="003308D3" w:rsidRPr="00A73EA7">
        <w:t>a</w:t>
      </w:r>
      <w:r w:rsidR="00307330" w:rsidRPr="00A73EA7">
        <w:t xml:space="preserve"> proposed loan of an object:</w:t>
      </w:r>
    </w:p>
    <w:p w:rsidR="00307330" w:rsidRPr="00A73EA7" w:rsidRDefault="006D4E56" w:rsidP="00E653C3">
      <w:pPr>
        <w:pStyle w:val="paragraph"/>
      </w:pPr>
      <w:r w:rsidRPr="00A73EA7">
        <w:tab/>
        <w:t>(a)</w:t>
      </w:r>
      <w:r w:rsidRPr="00A73EA7">
        <w:tab/>
      </w:r>
      <w:r w:rsidR="00307330" w:rsidRPr="00A73EA7">
        <w:t xml:space="preserve">conducting checks into the matters mentioned in </w:t>
      </w:r>
      <w:r w:rsidR="00A73EA7" w:rsidRPr="00A73EA7">
        <w:t>subparagraphs (</w:t>
      </w:r>
      <w:r w:rsidR="003308D3" w:rsidRPr="00A73EA7">
        <w:t>1)</w:t>
      </w:r>
      <w:r w:rsidR="00307330" w:rsidRPr="00A73EA7">
        <w:t>(</w:t>
      </w:r>
      <w:r w:rsidR="00142017" w:rsidRPr="00A73EA7">
        <w:t>b</w:t>
      </w:r>
      <w:r w:rsidR="00307330" w:rsidRPr="00A73EA7">
        <w:t>)(</w:t>
      </w:r>
      <w:r w:rsidR="00E653C3" w:rsidRPr="00A73EA7">
        <w:t>i</w:t>
      </w:r>
      <w:r w:rsidR="00307330" w:rsidRPr="00A73EA7">
        <w:t xml:space="preserve">) </w:t>
      </w:r>
      <w:r w:rsidR="006B1791" w:rsidRPr="00A73EA7">
        <w:t>and (ii)</w:t>
      </w:r>
      <w:r w:rsidR="007D03D5" w:rsidRPr="00A73EA7">
        <w:t xml:space="preserve"> in so far as they relate to the object</w:t>
      </w:r>
      <w:r w:rsidR="00307330" w:rsidRPr="00A73EA7">
        <w:t>;</w:t>
      </w:r>
    </w:p>
    <w:p w:rsidR="00307330" w:rsidRPr="00A73EA7" w:rsidRDefault="006D4E56" w:rsidP="00E653C3">
      <w:pPr>
        <w:pStyle w:val="paragraph"/>
      </w:pPr>
      <w:r w:rsidRPr="00A73EA7">
        <w:tab/>
        <w:t>(b)</w:t>
      </w:r>
      <w:r w:rsidRPr="00A73EA7">
        <w:tab/>
      </w:r>
      <w:r w:rsidR="00307330" w:rsidRPr="00A73EA7">
        <w:t>co</w:t>
      </w:r>
      <w:r w:rsidR="00762BF6" w:rsidRPr="00A73EA7">
        <w:t>nsidering</w:t>
      </w:r>
      <w:r w:rsidR="00307330" w:rsidRPr="00A73EA7">
        <w:t xml:space="preserve"> documentary evidence </w:t>
      </w:r>
      <w:r w:rsidR="00762BF6" w:rsidRPr="00A73EA7">
        <w:t xml:space="preserve">of the object’s history of </w:t>
      </w:r>
      <w:r w:rsidR="00307330" w:rsidRPr="00A73EA7">
        <w:t>ownership</w:t>
      </w:r>
      <w:r w:rsidR="00762BF6" w:rsidRPr="00A73EA7">
        <w:t xml:space="preserve"> and export (having regard to the object’s country of origin and other countries in which it has been located)</w:t>
      </w:r>
      <w:r w:rsidR="00307330" w:rsidRPr="00A73EA7">
        <w:t>;</w:t>
      </w:r>
    </w:p>
    <w:p w:rsidR="00762BF6" w:rsidRPr="00A73EA7" w:rsidRDefault="006D4E56" w:rsidP="00762BF6">
      <w:pPr>
        <w:pStyle w:val="paragraph"/>
      </w:pPr>
      <w:r w:rsidRPr="00A73EA7">
        <w:tab/>
        <w:t>(c)</w:t>
      </w:r>
      <w:r w:rsidRPr="00A73EA7">
        <w:tab/>
      </w:r>
      <w:r w:rsidR="00762BF6" w:rsidRPr="00A73EA7">
        <w:t>examining information about the lender, and current and previous owners;</w:t>
      </w:r>
    </w:p>
    <w:p w:rsidR="006D4E56" w:rsidRPr="00A73EA7" w:rsidRDefault="006D4E56" w:rsidP="006D4E56">
      <w:pPr>
        <w:pStyle w:val="paragraph"/>
      </w:pPr>
      <w:r w:rsidRPr="00A73EA7">
        <w:lastRenderedPageBreak/>
        <w:tab/>
        <w:t>(d)</w:t>
      </w:r>
      <w:r w:rsidRPr="00A73EA7">
        <w:tab/>
        <w:t>checking that the object is not mentioned in databases or registers of lost or stolen objects;</w:t>
      </w:r>
    </w:p>
    <w:p w:rsidR="00307330" w:rsidRPr="00A73EA7" w:rsidRDefault="006D4E56" w:rsidP="00E653C3">
      <w:pPr>
        <w:pStyle w:val="paragraph"/>
      </w:pPr>
      <w:r w:rsidRPr="00A73EA7">
        <w:tab/>
        <w:t>(e)</w:t>
      </w:r>
      <w:r w:rsidRPr="00A73EA7">
        <w:tab/>
      </w:r>
      <w:r w:rsidR="00307330" w:rsidRPr="00A73EA7">
        <w:t>considering secondary documentation, such as archival material and images;</w:t>
      </w:r>
    </w:p>
    <w:p w:rsidR="00307330" w:rsidRPr="00A73EA7" w:rsidRDefault="006D4E56" w:rsidP="00E653C3">
      <w:pPr>
        <w:pStyle w:val="paragraph"/>
      </w:pPr>
      <w:r w:rsidRPr="00A73EA7">
        <w:tab/>
        <w:t>(f)</w:t>
      </w:r>
      <w:r w:rsidRPr="00A73EA7">
        <w:tab/>
      </w:r>
      <w:r w:rsidR="00307330" w:rsidRPr="00A73EA7">
        <w:t>examining the exhibition and publication history of the object;</w:t>
      </w:r>
    </w:p>
    <w:p w:rsidR="006D4E56" w:rsidRPr="00A73EA7" w:rsidRDefault="006D4E56" w:rsidP="00E653C3">
      <w:pPr>
        <w:pStyle w:val="paragraph"/>
      </w:pPr>
      <w:r w:rsidRPr="00A73EA7">
        <w:tab/>
        <w:t>(</w:t>
      </w:r>
      <w:r w:rsidR="007F2230" w:rsidRPr="00A73EA7">
        <w:t>g</w:t>
      </w:r>
      <w:r w:rsidRPr="00A73EA7">
        <w:t>)</w:t>
      </w:r>
      <w:r w:rsidRPr="00A73EA7">
        <w:tab/>
        <w:t>examining the object, or detailed descriptions or photos of the object;</w:t>
      </w:r>
    </w:p>
    <w:p w:rsidR="006D4E56" w:rsidRPr="00A73EA7" w:rsidRDefault="007F2230" w:rsidP="00345EB8">
      <w:pPr>
        <w:pStyle w:val="paragraph"/>
      </w:pPr>
      <w:r w:rsidRPr="00A73EA7">
        <w:tab/>
        <w:t>(h</w:t>
      </w:r>
      <w:r w:rsidR="006D4E56" w:rsidRPr="00A73EA7">
        <w:t>)</w:t>
      </w:r>
      <w:r w:rsidR="006D4E56" w:rsidRPr="00A73EA7">
        <w:tab/>
      </w:r>
      <w:r w:rsidR="00345EB8" w:rsidRPr="00A73EA7">
        <w:t xml:space="preserve">consulting experts in relation to any or all of the </w:t>
      </w:r>
      <w:r w:rsidR="006D4E56" w:rsidRPr="00A73EA7">
        <w:t>matters set out in the preceding paragraphs of this subsection.</w:t>
      </w:r>
    </w:p>
    <w:p w:rsidR="00D05C78" w:rsidRPr="00A73EA7" w:rsidRDefault="00D05C78" w:rsidP="00D05C78">
      <w:pPr>
        <w:pStyle w:val="subsection"/>
      </w:pPr>
      <w:r w:rsidRPr="00A73EA7">
        <w:tab/>
        <w:t>(3)</w:t>
      </w:r>
      <w:r w:rsidRPr="00A73EA7">
        <w:tab/>
        <w:t>The borrowing institution must ensure that the policies</w:t>
      </w:r>
      <w:r w:rsidR="006046C7" w:rsidRPr="00A73EA7">
        <w:t xml:space="preserve"> referred to in </w:t>
      </w:r>
      <w:r w:rsidR="00A73EA7" w:rsidRPr="00A73EA7">
        <w:t>subsection (</w:t>
      </w:r>
      <w:r w:rsidR="006046C7" w:rsidRPr="00A73EA7">
        <w:t xml:space="preserve">1) </w:t>
      </w:r>
      <w:r w:rsidRPr="00A73EA7">
        <w:t>are published on the borrowing institution’s website.</w:t>
      </w:r>
    </w:p>
    <w:p w:rsidR="00B35698" w:rsidRPr="00A73EA7" w:rsidRDefault="00EE63D1" w:rsidP="00EE63D1">
      <w:pPr>
        <w:pStyle w:val="ActHead2"/>
        <w:pageBreakBefore/>
      </w:pPr>
      <w:bookmarkStart w:id="18" w:name="_Toc397940200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5</w:t>
      </w:r>
      <w:r w:rsidRPr="00A73EA7">
        <w:t>—</w:t>
      </w:r>
      <w:r w:rsidRPr="00A73EA7">
        <w:rPr>
          <w:rStyle w:val="CharPartText"/>
        </w:rPr>
        <w:t>Consult</w:t>
      </w:r>
      <w:r w:rsidR="00B9588A" w:rsidRPr="00A73EA7">
        <w:rPr>
          <w:rStyle w:val="CharPartText"/>
        </w:rPr>
        <w:t>ation</w:t>
      </w:r>
      <w:bookmarkEnd w:id="18"/>
    </w:p>
    <w:p w:rsidR="005D4DF7" w:rsidRPr="00A73EA7" w:rsidRDefault="005D4DF7" w:rsidP="005D4DF7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F22CD5" w:rsidRPr="00A73EA7" w:rsidRDefault="00DB0B3C" w:rsidP="00F22CD5">
      <w:pPr>
        <w:pStyle w:val="ActHead5"/>
      </w:pPr>
      <w:bookmarkStart w:id="19" w:name="_Toc397940201"/>
      <w:r w:rsidRPr="00A73EA7">
        <w:rPr>
          <w:rStyle w:val="CharSectno"/>
        </w:rPr>
        <w:t>9</w:t>
      </w:r>
      <w:r w:rsidR="00F22CD5" w:rsidRPr="00A73EA7">
        <w:t xml:space="preserve">  Consultation policies and procedures</w:t>
      </w:r>
      <w:bookmarkEnd w:id="19"/>
    </w:p>
    <w:p w:rsidR="0049650A" w:rsidRPr="00A73EA7" w:rsidRDefault="0003771C" w:rsidP="00F22CD5">
      <w:pPr>
        <w:pStyle w:val="subsection"/>
      </w:pPr>
      <w:r w:rsidRPr="00A73EA7">
        <w:tab/>
      </w:r>
      <w:r w:rsidR="00C41A4C" w:rsidRPr="00A73EA7">
        <w:t>(1)</w:t>
      </w:r>
      <w:r w:rsidR="00C41A4C" w:rsidRPr="00A73EA7">
        <w:tab/>
        <w:t>A</w:t>
      </w:r>
      <w:r w:rsidR="00342E36" w:rsidRPr="00A73EA7">
        <w:t xml:space="preserve"> </w:t>
      </w:r>
      <w:r w:rsidRPr="00A73EA7">
        <w:t xml:space="preserve">borrowing institution must </w:t>
      </w:r>
      <w:r w:rsidR="008E5386" w:rsidRPr="00A73EA7">
        <w:t xml:space="preserve">ensure that there are </w:t>
      </w:r>
      <w:r w:rsidRPr="00A73EA7">
        <w:t xml:space="preserve">written policies and procedures in effect that set out the consultation processes that </w:t>
      </w:r>
      <w:r w:rsidR="00B1531F" w:rsidRPr="00A73EA7">
        <w:t>w</w:t>
      </w:r>
      <w:r w:rsidR="00DC096B" w:rsidRPr="00A73EA7">
        <w:t xml:space="preserve">ill </w:t>
      </w:r>
      <w:r w:rsidR="00B1531F" w:rsidRPr="00A73EA7">
        <w:t xml:space="preserve">be </w:t>
      </w:r>
      <w:r w:rsidR="00DC096B" w:rsidRPr="00A73EA7">
        <w:t>use</w:t>
      </w:r>
      <w:r w:rsidR="00B1531F" w:rsidRPr="00A73EA7">
        <w:t>d</w:t>
      </w:r>
      <w:r w:rsidR="00DC096B" w:rsidRPr="00A73EA7">
        <w:t xml:space="preserve"> if </w:t>
      </w:r>
      <w:r w:rsidR="005A007C" w:rsidRPr="00A73EA7">
        <w:t>the institution or a parent of the institution</w:t>
      </w:r>
      <w:r w:rsidR="00DC096B" w:rsidRPr="00A73EA7">
        <w:t xml:space="preserve"> proposes the loan of</w:t>
      </w:r>
      <w:r w:rsidRPr="00A73EA7">
        <w:t xml:space="preserve"> an object to which Part</w:t>
      </w:r>
      <w:r w:rsidR="00A73EA7" w:rsidRPr="00A73EA7">
        <w:t> </w:t>
      </w:r>
      <w:r w:rsidRPr="00A73EA7">
        <w:t>2</w:t>
      </w:r>
      <w:r w:rsidR="0059124F" w:rsidRPr="00A73EA7">
        <w:t xml:space="preserve"> </w:t>
      </w:r>
      <w:r w:rsidRPr="00A73EA7">
        <w:t>of the Act will apply.</w:t>
      </w:r>
    </w:p>
    <w:p w:rsidR="00B1531F" w:rsidRPr="00A73EA7" w:rsidRDefault="00B1531F" w:rsidP="00B1531F">
      <w:pPr>
        <w:pStyle w:val="notetext"/>
      </w:pPr>
      <w:r w:rsidRPr="00A73EA7">
        <w:t>Note:</w:t>
      </w:r>
      <w:r w:rsidRPr="00A73EA7">
        <w:tab/>
        <w:t xml:space="preserve">For how this </w:t>
      </w:r>
      <w:r w:rsidR="008E096B" w:rsidRPr="00A73EA7">
        <w:t>rule a</w:t>
      </w:r>
      <w:r w:rsidRPr="00A73EA7">
        <w:t>pplies if the borrowing institution has a parent, see section</w:t>
      </w:r>
      <w:r w:rsidR="00A73EA7" w:rsidRPr="00A73EA7">
        <w:t> </w:t>
      </w:r>
      <w:r w:rsidR="00DB0B3C" w:rsidRPr="00A73EA7">
        <w:t>5</w:t>
      </w:r>
      <w:r w:rsidRPr="00A73EA7">
        <w:t>.</w:t>
      </w:r>
    </w:p>
    <w:p w:rsidR="00CE46D7" w:rsidRPr="00A73EA7" w:rsidRDefault="0003771C" w:rsidP="00F22CD5">
      <w:pPr>
        <w:pStyle w:val="subsection"/>
      </w:pPr>
      <w:r w:rsidRPr="00A73EA7">
        <w:tab/>
        <w:t>(</w:t>
      </w:r>
      <w:r w:rsidR="00001A59" w:rsidRPr="00A73EA7">
        <w:t>2</w:t>
      </w:r>
      <w:r w:rsidRPr="00A73EA7">
        <w:t>)</w:t>
      </w:r>
      <w:r w:rsidRPr="00A73EA7">
        <w:tab/>
        <w:t>The policies and procedures must set out the consultation process</w:t>
      </w:r>
      <w:r w:rsidR="005A007C" w:rsidRPr="00A73EA7">
        <w:t>es</w:t>
      </w:r>
      <w:r w:rsidRPr="00A73EA7">
        <w:t xml:space="preserve"> that</w:t>
      </w:r>
      <w:r w:rsidR="002E3E9A" w:rsidRPr="00A73EA7">
        <w:t xml:space="preserve"> </w:t>
      </w:r>
      <w:r w:rsidR="00296C38" w:rsidRPr="00A73EA7">
        <w:t xml:space="preserve">will </w:t>
      </w:r>
      <w:r w:rsidR="005A007C" w:rsidRPr="00A73EA7">
        <w:t xml:space="preserve">be </w:t>
      </w:r>
      <w:r w:rsidR="00296C38" w:rsidRPr="00A73EA7">
        <w:t>use</w:t>
      </w:r>
      <w:r w:rsidR="005A007C" w:rsidRPr="00A73EA7">
        <w:t>d</w:t>
      </w:r>
      <w:r w:rsidR="00296C38" w:rsidRPr="00A73EA7">
        <w:t xml:space="preserve"> </w:t>
      </w:r>
      <w:r w:rsidR="005A007C" w:rsidRPr="00A73EA7">
        <w:t>if</w:t>
      </w:r>
      <w:r w:rsidR="00342E36" w:rsidRPr="00A73EA7">
        <w:t xml:space="preserve"> </w:t>
      </w:r>
      <w:r w:rsidR="005A007C" w:rsidRPr="00A73EA7">
        <w:t xml:space="preserve">such </w:t>
      </w:r>
      <w:r w:rsidR="0001170A" w:rsidRPr="00A73EA7">
        <w:t>an</w:t>
      </w:r>
      <w:r w:rsidR="00342E36" w:rsidRPr="00A73EA7">
        <w:t xml:space="preserve"> </w:t>
      </w:r>
      <w:r w:rsidR="000D19AA" w:rsidRPr="00A73EA7">
        <w:t>object</w:t>
      </w:r>
      <w:r w:rsidR="00A87DF1" w:rsidRPr="00A73EA7">
        <w:t>:</w:t>
      </w:r>
    </w:p>
    <w:p w:rsidR="0059124F" w:rsidRPr="00A73EA7" w:rsidRDefault="0059124F" w:rsidP="0059124F">
      <w:pPr>
        <w:pStyle w:val="paragraph"/>
      </w:pPr>
      <w:r w:rsidRPr="00A73EA7">
        <w:tab/>
        <w:t>(a)</w:t>
      </w:r>
      <w:r w:rsidRPr="00A73EA7">
        <w:tab/>
        <w:t>relates to an individual, family group or community in Australia; or</w:t>
      </w:r>
    </w:p>
    <w:p w:rsidR="0059124F" w:rsidRPr="00A73EA7" w:rsidRDefault="0059124F" w:rsidP="0059124F">
      <w:pPr>
        <w:pStyle w:val="paragraph"/>
      </w:pPr>
      <w:r w:rsidRPr="00A73EA7">
        <w:tab/>
        <w:t>(b)</w:t>
      </w:r>
      <w:r w:rsidRPr="00A73EA7">
        <w:tab/>
        <w:t xml:space="preserve">relates to an Aboriginal person or </w:t>
      </w:r>
      <w:r w:rsidR="005A007C" w:rsidRPr="00A73EA7">
        <w:t xml:space="preserve">a </w:t>
      </w:r>
      <w:r w:rsidRPr="00A73EA7">
        <w:t>Torres Strait Islander; or</w:t>
      </w:r>
    </w:p>
    <w:p w:rsidR="0059124F" w:rsidRPr="00A73EA7" w:rsidRDefault="0059124F" w:rsidP="0059124F">
      <w:pPr>
        <w:pStyle w:val="paragraph"/>
      </w:pPr>
      <w:r w:rsidRPr="00A73EA7">
        <w:tab/>
        <w:t>(c)</w:t>
      </w:r>
      <w:r w:rsidRPr="00A73EA7">
        <w:tab/>
        <w:t>is relevant to an archive of a State or Territory.</w:t>
      </w:r>
    </w:p>
    <w:p w:rsidR="00CE46D7" w:rsidRPr="00A73EA7" w:rsidRDefault="0059124F" w:rsidP="00150B46">
      <w:pPr>
        <w:pStyle w:val="subsection"/>
      </w:pPr>
      <w:r w:rsidRPr="00A73EA7">
        <w:tab/>
      </w:r>
      <w:r w:rsidR="00D721D6" w:rsidRPr="00A73EA7">
        <w:t>(</w:t>
      </w:r>
      <w:r w:rsidR="00001A59" w:rsidRPr="00A73EA7">
        <w:t>3</w:t>
      </w:r>
      <w:r w:rsidR="00D721D6" w:rsidRPr="00A73EA7">
        <w:t>)</w:t>
      </w:r>
      <w:r w:rsidR="00D721D6" w:rsidRPr="00A73EA7">
        <w:tab/>
      </w:r>
      <w:r w:rsidR="007E3C23" w:rsidRPr="00A73EA7">
        <w:t xml:space="preserve">The policies and procedures must include a requirement </w:t>
      </w:r>
      <w:r w:rsidR="005A007C" w:rsidRPr="00A73EA7">
        <w:t>for the f</w:t>
      </w:r>
      <w:r w:rsidR="004D2362" w:rsidRPr="00A73EA7">
        <w:t xml:space="preserve">ollowing matters </w:t>
      </w:r>
      <w:r w:rsidR="005A007C" w:rsidRPr="00A73EA7">
        <w:t xml:space="preserve">to be considered in </w:t>
      </w:r>
      <w:r w:rsidR="004D2362" w:rsidRPr="00A73EA7">
        <w:t xml:space="preserve">deciding whether or not to </w:t>
      </w:r>
      <w:r w:rsidR="00CE46D7" w:rsidRPr="00A73EA7">
        <w:t xml:space="preserve">consult </w:t>
      </w:r>
      <w:r w:rsidR="005A007C" w:rsidRPr="00A73EA7">
        <w:t>in relation to the proposed loan of such an object</w:t>
      </w:r>
      <w:r w:rsidR="00CE46D7" w:rsidRPr="00A73EA7">
        <w:t>:</w:t>
      </w:r>
    </w:p>
    <w:p w:rsidR="007759B4" w:rsidRPr="00A73EA7" w:rsidRDefault="007759B4" w:rsidP="007759B4">
      <w:pPr>
        <w:pStyle w:val="paragraph"/>
      </w:pPr>
      <w:r w:rsidRPr="00A73EA7">
        <w:tab/>
        <w:t>(a)</w:t>
      </w:r>
      <w:r w:rsidRPr="00A73EA7">
        <w:tab/>
        <w:t>whether the object has historical significance to a particular individual, group, event, place or activity;</w:t>
      </w:r>
    </w:p>
    <w:p w:rsidR="007759B4" w:rsidRPr="00A73EA7" w:rsidRDefault="007759B4" w:rsidP="007759B4">
      <w:pPr>
        <w:pStyle w:val="paragraph"/>
      </w:pPr>
      <w:r w:rsidRPr="00A73EA7">
        <w:tab/>
        <w:t>(b)</w:t>
      </w:r>
      <w:r w:rsidRPr="00A73EA7">
        <w:tab/>
        <w:t>whether there are specific family associations with the object;</w:t>
      </w:r>
    </w:p>
    <w:p w:rsidR="007759B4" w:rsidRPr="00A73EA7" w:rsidRDefault="007759B4" w:rsidP="007759B4">
      <w:pPr>
        <w:pStyle w:val="paragraph"/>
      </w:pPr>
      <w:r w:rsidRPr="00A73EA7">
        <w:tab/>
        <w:t>(c)</w:t>
      </w:r>
      <w:r w:rsidRPr="00A73EA7">
        <w:tab/>
        <w:t>whether the object has social or spiritual significance to a particular community in Australia;</w:t>
      </w:r>
    </w:p>
    <w:p w:rsidR="007759B4" w:rsidRPr="00A73EA7" w:rsidRDefault="007759B4" w:rsidP="007759B4">
      <w:pPr>
        <w:pStyle w:val="paragraph"/>
      </w:pPr>
      <w:r w:rsidRPr="00A73EA7">
        <w:tab/>
        <w:t>(d)</w:t>
      </w:r>
      <w:r w:rsidRPr="00A73EA7">
        <w:tab/>
        <w:t>whether there is a demonstrated attachment between the object and an individual, family</w:t>
      </w:r>
      <w:r w:rsidR="00006375" w:rsidRPr="00A73EA7">
        <w:t xml:space="preserve"> group</w:t>
      </w:r>
      <w:r w:rsidRPr="00A73EA7">
        <w:t xml:space="preserve"> or community in Australia;</w:t>
      </w:r>
    </w:p>
    <w:p w:rsidR="008F2736" w:rsidRPr="00A73EA7" w:rsidRDefault="007759B4" w:rsidP="007759B4">
      <w:pPr>
        <w:pStyle w:val="paragraph"/>
      </w:pPr>
      <w:r w:rsidRPr="00A73EA7">
        <w:tab/>
        <w:t>(e)</w:t>
      </w:r>
      <w:r w:rsidRPr="00A73EA7">
        <w:tab/>
        <w:t>whether the object embodies beliefs, ideas, customs, traditions, practices or stories that are important to a particular comm</w:t>
      </w:r>
      <w:r w:rsidR="008F2736" w:rsidRPr="00A73EA7">
        <w:t>unity in Australia.</w:t>
      </w:r>
    </w:p>
    <w:p w:rsidR="00F22CD5" w:rsidRPr="00A73EA7" w:rsidRDefault="00F22CD5" w:rsidP="00F22CD5">
      <w:pPr>
        <w:pStyle w:val="subsection"/>
      </w:pPr>
      <w:r w:rsidRPr="00A73EA7">
        <w:tab/>
        <w:t>(</w:t>
      </w:r>
      <w:r w:rsidR="006046C7" w:rsidRPr="00A73EA7">
        <w:t>4</w:t>
      </w:r>
      <w:r w:rsidRPr="00A73EA7">
        <w:t>)</w:t>
      </w:r>
      <w:r w:rsidRPr="00A73EA7">
        <w:tab/>
        <w:t>The policies and procedures must no</w:t>
      </w:r>
      <w:r w:rsidR="00A60918" w:rsidRPr="00A73EA7">
        <w:t>t be inconsistent with section</w:t>
      </w:r>
      <w:r w:rsidR="00A73EA7" w:rsidRPr="00A73EA7">
        <w:t> </w:t>
      </w:r>
      <w:r w:rsidR="00DB0B3C" w:rsidRPr="00A73EA7">
        <w:t>10</w:t>
      </w:r>
      <w:r w:rsidRPr="00A73EA7">
        <w:t>.</w:t>
      </w:r>
    </w:p>
    <w:p w:rsidR="006046C7" w:rsidRPr="00A73EA7" w:rsidRDefault="006046C7" w:rsidP="006046C7">
      <w:pPr>
        <w:pStyle w:val="subsection"/>
      </w:pPr>
      <w:r w:rsidRPr="00A73EA7">
        <w:lastRenderedPageBreak/>
        <w:tab/>
        <w:t>(5)</w:t>
      </w:r>
      <w:r w:rsidRPr="00A73EA7">
        <w:tab/>
        <w:t xml:space="preserve">The borrowing institution must ensure that </w:t>
      </w:r>
      <w:r w:rsidR="007D03D5" w:rsidRPr="00A73EA7">
        <w:t xml:space="preserve">the </w:t>
      </w:r>
      <w:r w:rsidRPr="00A73EA7">
        <w:t xml:space="preserve">policies referred to in </w:t>
      </w:r>
      <w:r w:rsidR="00A73EA7" w:rsidRPr="00A73EA7">
        <w:t>subsection (</w:t>
      </w:r>
      <w:r w:rsidRPr="00A73EA7">
        <w:t>1) are published on the borrowing institution’s website.</w:t>
      </w:r>
    </w:p>
    <w:p w:rsidR="00F402DA" w:rsidRPr="00A73EA7" w:rsidRDefault="00DB0B3C" w:rsidP="0062482A">
      <w:pPr>
        <w:pStyle w:val="ActHead5"/>
      </w:pPr>
      <w:bookmarkStart w:id="20" w:name="_Toc397940202"/>
      <w:r w:rsidRPr="00A73EA7">
        <w:rPr>
          <w:rStyle w:val="CharSectno"/>
        </w:rPr>
        <w:t>10</w:t>
      </w:r>
      <w:r w:rsidR="00A33D05" w:rsidRPr="00A73EA7">
        <w:t xml:space="preserve">  </w:t>
      </w:r>
      <w:r w:rsidR="005333E9" w:rsidRPr="00A73EA7">
        <w:t>Form of consultation and who must be consulted</w:t>
      </w:r>
      <w:bookmarkEnd w:id="20"/>
    </w:p>
    <w:p w:rsidR="00CB3575" w:rsidRPr="00A73EA7" w:rsidRDefault="00A86358" w:rsidP="007463BF">
      <w:pPr>
        <w:pStyle w:val="subsection"/>
      </w:pPr>
      <w:r w:rsidRPr="00A73EA7">
        <w:tab/>
      </w:r>
      <w:r w:rsidR="00A60918" w:rsidRPr="00A73EA7">
        <w:t>(1)</w:t>
      </w:r>
      <w:r w:rsidR="00A60918" w:rsidRPr="00A73EA7">
        <w:tab/>
      </w:r>
      <w:r w:rsidR="00BF5CE0" w:rsidRPr="00A73EA7">
        <w:t xml:space="preserve">Consultation </w:t>
      </w:r>
      <w:r w:rsidR="0038617B" w:rsidRPr="00A73EA7">
        <w:t>undertaken</w:t>
      </w:r>
      <w:r w:rsidR="00D03600" w:rsidRPr="00A73EA7">
        <w:t xml:space="preserve"> in relation to </w:t>
      </w:r>
      <w:r w:rsidR="009E0A24" w:rsidRPr="00A73EA7">
        <w:t xml:space="preserve">the proposed loan of </w:t>
      </w:r>
      <w:r w:rsidR="00D03600" w:rsidRPr="00A73EA7">
        <w:t xml:space="preserve">an object </w:t>
      </w:r>
      <w:r w:rsidR="00BF5CE0" w:rsidRPr="00A73EA7">
        <w:t>must:</w:t>
      </w:r>
    </w:p>
    <w:p w:rsidR="00EB22FB" w:rsidRPr="00A73EA7" w:rsidRDefault="00EB22FB" w:rsidP="00EB22FB">
      <w:pPr>
        <w:pStyle w:val="paragraph"/>
      </w:pPr>
      <w:r w:rsidRPr="00A73EA7">
        <w:tab/>
        <w:t>(a)</w:t>
      </w:r>
      <w:r w:rsidRPr="00A73EA7">
        <w:tab/>
        <w:t xml:space="preserve">give </w:t>
      </w:r>
      <w:r w:rsidR="003E242E" w:rsidRPr="00A73EA7">
        <w:t xml:space="preserve">the </w:t>
      </w:r>
      <w:r w:rsidR="00006375" w:rsidRPr="00A73EA7">
        <w:t>individual</w:t>
      </w:r>
      <w:r w:rsidRPr="00A73EA7">
        <w:t>, group or bod</w:t>
      </w:r>
      <w:r w:rsidR="003E242E" w:rsidRPr="00A73EA7">
        <w:t>y</w:t>
      </w:r>
      <w:r w:rsidRPr="00A73EA7">
        <w:t xml:space="preserve"> </w:t>
      </w:r>
      <w:r w:rsidR="005333E9" w:rsidRPr="00A73EA7">
        <w:t xml:space="preserve">being </w:t>
      </w:r>
      <w:r w:rsidRPr="00A73EA7">
        <w:t>consulted an adequate opportunity to comment; and</w:t>
      </w:r>
    </w:p>
    <w:p w:rsidR="00EB22FB" w:rsidRPr="00A73EA7" w:rsidRDefault="00EB22FB" w:rsidP="00EB22FB">
      <w:pPr>
        <w:pStyle w:val="paragraph"/>
      </w:pPr>
      <w:r w:rsidRPr="00A73EA7">
        <w:tab/>
        <w:t>(b)</w:t>
      </w:r>
      <w:r w:rsidRPr="00A73EA7">
        <w:tab/>
        <w:t>be appropriate</w:t>
      </w:r>
      <w:r w:rsidR="00742C59" w:rsidRPr="00A73EA7">
        <w:t xml:space="preserve"> for</w:t>
      </w:r>
      <w:r w:rsidRPr="00A73EA7">
        <w:t xml:space="preserve"> the object</w:t>
      </w:r>
      <w:r w:rsidR="00B71F37" w:rsidRPr="00A73EA7">
        <w:t xml:space="preserve"> proposed to be loaned </w:t>
      </w:r>
      <w:r w:rsidRPr="00A73EA7">
        <w:t xml:space="preserve">and </w:t>
      </w:r>
      <w:r w:rsidR="00742C59" w:rsidRPr="00A73EA7">
        <w:t xml:space="preserve">the </w:t>
      </w:r>
      <w:r w:rsidR="00006375" w:rsidRPr="00A73EA7">
        <w:t>individual</w:t>
      </w:r>
      <w:r w:rsidR="00742C59" w:rsidRPr="00A73EA7">
        <w:t xml:space="preserve">, group or body being </w:t>
      </w:r>
      <w:r w:rsidR="00731B33" w:rsidRPr="00A73EA7">
        <w:t>consulted</w:t>
      </w:r>
      <w:r w:rsidRPr="00A73EA7">
        <w:t>; and</w:t>
      </w:r>
    </w:p>
    <w:p w:rsidR="00E74FBE" w:rsidRPr="00A73EA7" w:rsidRDefault="00EB22FB" w:rsidP="00E74FBE">
      <w:pPr>
        <w:pStyle w:val="paragraph"/>
      </w:pPr>
      <w:r w:rsidRPr="00A73EA7">
        <w:tab/>
        <w:t>(c)</w:t>
      </w:r>
      <w:r w:rsidRPr="00A73EA7">
        <w:tab/>
        <w:t xml:space="preserve">be respectful and meaningful to the </w:t>
      </w:r>
      <w:r w:rsidR="00006375" w:rsidRPr="00A73EA7">
        <w:t>individual</w:t>
      </w:r>
      <w:r w:rsidRPr="00A73EA7">
        <w:t xml:space="preserve">, group or body </w:t>
      </w:r>
      <w:r w:rsidR="00BF5CE0" w:rsidRPr="00A73EA7">
        <w:t>being consulted</w:t>
      </w:r>
      <w:r w:rsidR="00E74FBE" w:rsidRPr="00A73EA7">
        <w:t>.</w:t>
      </w:r>
    </w:p>
    <w:p w:rsidR="0068794F" w:rsidRPr="00A73EA7" w:rsidRDefault="00E74FBE" w:rsidP="00E74FBE">
      <w:pPr>
        <w:pStyle w:val="subsection"/>
      </w:pPr>
      <w:r w:rsidRPr="00A73EA7">
        <w:tab/>
      </w:r>
      <w:r w:rsidR="00EB22FB" w:rsidRPr="00A73EA7">
        <w:t>(2)</w:t>
      </w:r>
      <w:r w:rsidR="00EB22FB" w:rsidRPr="00A73EA7">
        <w:tab/>
      </w:r>
      <w:r w:rsidR="00D03600" w:rsidRPr="00A73EA7">
        <w:t xml:space="preserve">Consultation undertaken in relation to </w:t>
      </w:r>
      <w:r w:rsidR="009E0A24" w:rsidRPr="00A73EA7">
        <w:t xml:space="preserve">the proposed loan of </w:t>
      </w:r>
      <w:r w:rsidR="00D03600" w:rsidRPr="00A73EA7">
        <w:t>an object must be with</w:t>
      </w:r>
      <w:r w:rsidR="0090687E" w:rsidRPr="00A73EA7">
        <w:t>:</w:t>
      </w:r>
    </w:p>
    <w:p w:rsidR="009F2206" w:rsidRPr="00A73EA7" w:rsidRDefault="0068794F" w:rsidP="0068794F">
      <w:pPr>
        <w:pStyle w:val="paragraph"/>
      </w:pPr>
      <w:r w:rsidRPr="00A73EA7">
        <w:tab/>
        <w:t>(a)</w:t>
      </w:r>
      <w:r w:rsidRPr="00A73EA7">
        <w:tab/>
      </w:r>
      <w:r w:rsidR="009E0A24" w:rsidRPr="00A73EA7">
        <w:t xml:space="preserve">any </w:t>
      </w:r>
      <w:r w:rsidR="009F2206" w:rsidRPr="00A73EA7">
        <w:t>individual, family group or community in Australia</w:t>
      </w:r>
      <w:r w:rsidR="009E0A24" w:rsidRPr="00A73EA7">
        <w:t xml:space="preserve"> </w:t>
      </w:r>
      <w:r w:rsidR="009F2206" w:rsidRPr="00A73EA7">
        <w:t xml:space="preserve">to which the object relates; </w:t>
      </w:r>
      <w:r w:rsidR="007A64B9" w:rsidRPr="00A73EA7">
        <w:t>and</w:t>
      </w:r>
    </w:p>
    <w:p w:rsidR="003A5B6D" w:rsidRPr="00A73EA7" w:rsidRDefault="009F2206" w:rsidP="0068794F">
      <w:pPr>
        <w:pStyle w:val="paragraph"/>
      </w:pPr>
      <w:r w:rsidRPr="00A73EA7">
        <w:tab/>
        <w:t>(b</w:t>
      </w:r>
      <w:r w:rsidR="007A64B9" w:rsidRPr="00A73EA7">
        <w:t>)</w:t>
      </w:r>
      <w:r w:rsidRPr="00A73EA7">
        <w:tab/>
      </w:r>
      <w:r w:rsidR="0068794F" w:rsidRPr="00A73EA7">
        <w:t xml:space="preserve">if the </w:t>
      </w:r>
      <w:r w:rsidR="0090687E" w:rsidRPr="00A73EA7">
        <w:t xml:space="preserve">object relates to </w:t>
      </w:r>
      <w:r w:rsidR="00001A59" w:rsidRPr="00A73EA7">
        <w:t>a</w:t>
      </w:r>
      <w:r w:rsidR="008F37C0" w:rsidRPr="00A73EA7">
        <w:t>n individual</w:t>
      </w:r>
      <w:r w:rsidR="00001A59" w:rsidRPr="00A73EA7">
        <w:t xml:space="preserve"> who is an Aboriginal person or a Torres Strait Islander</w:t>
      </w:r>
      <w:r w:rsidR="0090687E" w:rsidRPr="00A73EA7">
        <w:t>—</w:t>
      </w:r>
      <w:r w:rsidR="003A5B6D" w:rsidRPr="00A73EA7">
        <w:t xml:space="preserve">that </w:t>
      </w:r>
      <w:r w:rsidR="008F37C0" w:rsidRPr="00A73EA7">
        <w:t>individual</w:t>
      </w:r>
      <w:r w:rsidR="003A5B6D" w:rsidRPr="00A73EA7">
        <w:t xml:space="preserve"> or representative</w:t>
      </w:r>
      <w:r w:rsidR="00B57F05" w:rsidRPr="00A73EA7">
        <w:t>s</w:t>
      </w:r>
      <w:r w:rsidR="003A5B6D" w:rsidRPr="00A73EA7">
        <w:t xml:space="preserve"> of that </w:t>
      </w:r>
      <w:r w:rsidR="008F37C0" w:rsidRPr="00A73EA7">
        <w:t xml:space="preserve">individual </w:t>
      </w:r>
      <w:r w:rsidR="003A5B6D" w:rsidRPr="00A73EA7">
        <w:t>(or both); and</w:t>
      </w:r>
    </w:p>
    <w:p w:rsidR="0090687E" w:rsidRPr="00A73EA7" w:rsidRDefault="007A64B9" w:rsidP="0090687E">
      <w:pPr>
        <w:pStyle w:val="paragraph"/>
      </w:pPr>
      <w:r w:rsidRPr="00A73EA7">
        <w:tab/>
        <w:t>(c</w:t>
      </w:r>
      <w:r w:rsidR="0090687E" w:rsidRPr="00A73EA7">
        <w:t>)</w:t>
      </w:r>
      <w:r w:rsidR="0090687E" w:rsidRPr="00A73EA7">
        <w:tab/>
        <w:t xml:space="preserve">if the object relates to </w:t>
      </w:r>
      <w:r w:rsidR="006F5764" w:rsidRPr="00A73EA7">
        <w:t>a State or Territory archive</w:t>
      </w:r>
      <w:r w:rsidR="0090687E" w:rsidRPr="00A73EA7">
        <w:t>—the person or body responsible for th</w:t>
      </w:r>
      <w:r w:rsidR="003A5B6D" w:rsidRPr="00A73EA7">
        <w:t>at archive</w:t>
      </w:r>
      <w:r w:rsidRPr="00A73EA7">
        <w:t>.</w:t>
      </w:r>
    </w:p>
    <w:p w:rsidR="0090687E" w:rsidRPr="00A73EA7" w:rsidRDefault="0090687E" w:rsidP="0090687E">
      <w:pPr>
        <w:pStyle w:val="subsection"/>
      </w:pPr>
      <w:r w:rsidRPr="00A73EA7">
        <w:tab/>
        <w:t>(</w:t>
      </w:r>
      <w:r w:rsidR="00E74FBE" w:rsidRPr="00A73EA7">
        <w:t>3</w:t>
      </w:r>
      <w:r w:rsidRPr="00A73EA7">
        <w:t>)</w:t>
      </w:r>
      <w:r w:rsidRPr="00A73EA7">
        <w:tab/>
      </w:r>
      <w:r w:rsidR="00A73EA7" w:rsidRPr="00A73EA7">
        <w:t>Subsection (</w:t>
      </w:r>
      <w:r w:rsidR="00E74FBE" w:rsidRPr="00A73EA7">
        <w:t>2</w:t>
      </w:r>
      <w:r w:rsidRPr="00A73EA7">
        <w:t xml:space="preserve">) </w:t>
      </w:r>
      <w:r w:rsidR="003A5B6D" w:rsidRPr="00A73EA7">
        <w:t>does not</w:t>
      </w:r>
      <w:r w:rsidRPr="00A73EA7">
        <w:t xml:space="preserve"> limit who</w:t>
      </w:r>
      <w:r w:rsidR="00A21D83" w:rsidRPr="00A73EA7">
        <w:t xml:space="preserve"> may be consulted in relation to </w:t>
      </w:r>
      <w:r w:rsidR="003A5B6D" w:rsidRPr="00A73EA7">
        <w:t>the proposed loan of an object</w:t>
      </w:r>
      <w:r w:rsidR="000618A3" w:rsidRPr="00A73EA7">
        <w:t>.</w:t>
      </w:r>
    </w:p>
    <w:p w:rsidR="00EE63D1" w:rsidRPr="00A73EA7" w:rsidRDefault="00EE63D1" w:rsidP="00EE63D1">
      <w:pPr>
        <w:pStyle w:val="ActHead2"/>
        <w:pageBreakBefore/>
      </w:pPr>
      <w:bookmarkStart w:id="21" w:name="_Toc397940203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6</w:t>
      </w:r>
      <w:r w:rsidRPr="00A73EA7">
        <w:t>—</w:t>
      </w:r>
      <w:r w:rsidR="00D926A8" w:rsidRPr="00A73EA7">
        <w:rPr>
          <w:rStyle w:val="CharPartText"/>
        </w:rPr>
        <w:t>Publi</w:t>
      </w:r>
      <w:r w:rsidR="00E51867" w:rsidRPr="00A73EA7">
        <w:rPr>
          <w:rStyle w:val="CharPartText"/>
        </w:rPr>
        <w:t>shing</w:t>
      </w:r>
      <w:r w:rsidR="00D926A8" w:rsidRPr="00A73EA7">
        <w:rPr>
          <w:rStyle w:val="CharPartText"/>
        </w:rPr>
        <w:t xml:space="preserve"> information</w:t>
      </w:r>
      <w:r w:rsidR="00E51867" w:rsidRPr="00A73EA7">
        <w:rPr>
          <w:rStyle w:val="CharPartText"/>
        </w:rPr>
        <w:t xml:space="preserve"> about objects</w:t>
      </w:r>
      <w:bookmarkEnd w:id="21"/>
    </w:p>
    <w:p w:rsidR="005D4DF7" w:rsidRPr="00A73EA7" w:rsidRDefault="00172136" w:rsidP="00172136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C26FFE" w:rsidRPr="00A73EA7" w:rsidRDefault="00DB0B3C" w:rsidP="00C26FFE">
      <w:pPr>
        <w:pStyle w:val="ActHead5"/>
      </w:pPr>
      <w:bookmarkStart w:id="22" w:name="_Toc397940204"/>
      <w:r w:rsidRPr="00A73EA7">
        <w:rPr>
          <w:rStyle w:val="CharSectno"/>
        </w:rPr>
        <w:t>11</w:t>
      </w:r>
      <w:r w:rsidR="00C26FFE" w:rsidRPr="00A73EA7">
        <w:t xml:space="preserve">  </w:t>
      </w:r>
      <w:r w:rsidR="00E51867" w:rsidRPr="00A73EA7">
        <w:t>Publishing information about objects</w:t>
      </w:r>
      <w:bookmarkEnd w:id="22"/>
    </w:p>
    <w:p w:rsidR="00E74FBE" w:rsidRPr="00A73EA7" w:rsidRDefault="00FD4B54" w:rsidP="0013281D">
      <w:pPr>
        <w:pStyle w:val="subsection"/>
      </w:pPr>
      <w:r w:rsidRPr="00A73EA7">
        <w:tab/>
        <w:t>(1)</w:t>
      </w:r>
      <w:r w:rsidRPr="00A73EA7">
        <w:tab/>
      </w:r>
      <w:r w:rsidR="00DD5E78" w:rsidRPr="00A73EA7">
        <w:t>A</w:t>
      </w:r>
      <w:r w:rsidR="007F72BE" w:rsidRPr="00A73EA7">
        <w:t xml:space="preserve"> borrowing institution</w:t>
      </w:r>
      <w:r w:rsidR="005C351F" w:rsidRPr="00A73EA7">
        <w:t xml:space="preserve"> </w:t>
      </w:r>
      <w:r w:rsidR="007F72BE" w:rsidRPr="00A73EA7">
        <w:t xml:space="preserve">must </w:t>
      </w:r>
      <w:r w:rsidR="009258E3" w:rsidRPr="00A73EA7">
        <w:t xml:space="preserve">ensure that the following information is </w:t>
      </w:r>
      <w:r w:rsidR="0013281D" w:rsidRPr="00A73EA7">
        <w:t>publish</w:t>
      </w:r>
      <w:r w:rsidR="009258E3" w:rsidRPr="00A73EA7">
        <w:t>ed</w:t>
      </w:r>
      <w:r w:rsidR="0013281D" w:rsidRPr="00A73EA7">
        <w:t xml:space="preserve"> on the institution’s website </w:t>
      </w:r>
      <w:r w:rsidR="009258E3" w:rsidRPr="00A73EA7">
        <w:t>about each</w:t>
      </w:r>
      <w:r w:rsidR="00E74FBE" w:rsidRPr="00A73EA7">
        <w:t xml:space="preserve"> object </w:t>
      </w:r>
      <w:r w:rsidR="007D03D5" w:rsidRPr="00A73EA7">
        <w:t xml:space="preserve">that is the subject of a proposed loan to the institution or its parent and </w:t>
      </w:r>
      <w:r w:rsidR="00CC0BFF" w:rsidRPr="00A73EA7">
        <w:t>to which Part</w:t>
      </w:r>
      <w:r w:rsidR="00A73EA7" w:rsidRPr="00A73EA7">
        <w:t> </w:t>
      </w:r>
      <w:r w:rsidR="00CC0BFF" w:rsidRPr="00A73EA7">
        <w:t>2 of the Act will apply</w:t>
      </w:r>
      <w:r w:rsidR="00E74FBE" w:rsidRPr="00A73EA7">
        <w:t>:</w:t>
      </w:r>
    </w:p>
    <w:p w:rsidR="00457627" w:rsidRPr="00A73EA7" w:rsidRDefault="009743DF" w:rsidP="00D66B7A">
      <w:pPr>
        <w:pStyle w:val="paragraph"/>
      </w:pPr>
      <w:r w:rsidRPr="00A73EA7">
        <w:tab/>
        <w:t>(a)</w:t>
      </w:r>
      <w:r w:rsidRPr="00A73EA7">
        <w:tab/>
      </w:r>
      <w:r w:rsidR="00457627" w:rsidRPr="00A73EA7">
        <w:t>a photograph of the object;</w:t>
      </w:r>
    </w:p>
    <w:p w:rsidR="009743DF" w:rsidRPr="00A73EA7" w:rsidRDefault="00457627" w:rsidP="00D66B7A">
      <w:pPr>
        <w:pStyle w:val="paragraph"/>
      </w:pPr>
      <w:r w:rsidRPr="00A73EA7">
        <w:tab/>
        <w:t>(b)</w:t>
      </w:r>
      <w:r w:rsidRPr="00A73EA7">
        <w:tab/>
      </w:r>
      <w:r w:rsidR="005A6D56" w:rsidRPr="00A73EA7">
        <w:t>one of the following:</w:t>
      </w:r>
    </w:p>
    <w:p w:rsidR="009743DF" w:rsidRPr="00A73EA7" w:rsidRDefault="009743DF" w:rsidP="009743DF">
      <w:pPr>
        <w:pStyle w:val="paragraphsub"/>
      </w:pPr>
      <w:r w:rsidRPr="00A73EA7">
        <w:tab/>
        <w:t>(i)</w:t>
      </w:r>
      <w:r w:rsidRPr="00A73EA7">
        <w:tab/>
      </w:r>
      <w:r w:rsidR="005A6D56" w:rsidRPr="00A73EA7">
        <w:t xml:space="preserve">the name of the </w:t>
      </w:r>
      <w:r w:rsidR="00502CB7" w:rsidRPr="00A73EA7">
        <w:t xml:space="preserve">lender </w:t>
      </w:r>
      <w:r w:rsidR="00D66B7A" w:rsidRPr="00A73EA7">
        <w:t>of the object</w:t>
      </w:r>
      <w:r w:rsidRPr="00A73EA7">
        <w:t>;</w:t>
      </w:r>
    </w:p>
    <w:p w:rsidR="00502CB7" w:rsidRPr="00A73EA7" w:rsidRDefault="009743DF" w:rsidP="009743DF">
      <w:pPr>
        <w:pStyle w:val="paragraphsub"/>
      </w:pPr>
      <w:r w:rsidRPr="00A73EA7">
        <w:tab/>
        <w:t>(ii)</w:t>
      </w:r>
      <w:r w:rsidRPr="00A73EA7">
        <w:tab/>
      </w:r>
      <w:r w:rsidR="005A6D56" w:rsidRPr="00A73EA7">
        <w:t xml:space="preserve">the name of the </w:t>
      </w:r>
      <w:r w:rsidR="00502CB7" w:rsidRPr="00A73EA7">
        <w:t>person authorised to act on the lender’s behalf;</w:t>
      </w:r>
    </w:p>
    <w:p w:rsidR="005A6D56" w:rsidRPr="00A73EA7" w:rsidRDefault="005A6D56" w:rsidP="009743DF">
      <w:pPr>
        <w:pStyle w:val="paragraphsub"/>
      </w:pPr>
      <w:r w:rsidRPr="00A73EA7">
        <w:tab/>
        <w:t>(iii)</w:t>
      </w:r>
      <w:r w:rsidRPr="00A73EA7">
        <w:tab/>
        <w:t>the statement “private lender”, “private collection” or a similar description;</w:t>
      </w:r>
    </w:p>
    <w:p w:rsidR="00502CB7" w:rsidRPr="00A73EA7" w:rsidRDefault="00457627" w:rsidP="00502CB7">
      <w:pPr>
        <w:pStyle w:val="paragraph"/>
      </w:pPr>
      <w:r w:rsidRPr="00A73EA7">
        <w:tab/>
        <w:t>(c</w:t>
      </w:r>
      <w:r w:rsidR="00502CB7" w:rsidRPr="00A73EA7">
        <w:t>)</w:t>
      </w:r>
      <w:r w:rsidR="00502CB7" w:rsidRPr="00A73EA7">
        <w:tab/>
        <w:t>a description of the object sufficient to identify it, including</w:t>
      </w:r>
      <w:r w:rsidR="00D66B7A" w:rsidRPr="00A73EA7">
        <w:t xml:space="preserve"> </w:t>
      </w:r>
      <w:r w:rsidR="009743DF" w:rsidRPr="00A73EA7">
        <w:t>as mu</w:t>
      </w:r>
      <w:r w:rsidR="000C4634" w:rsidRPr="00A73EA7">
        <w:t>c</w:t>
      </w:r>
      <w:r w:rsidR="009743DF" w:rsidRPr="00A73EA7">
        <w:t xml:space="preserve">h of </w:t>
      </w:r>
      <w:r w:rsidR="00D66B7A" w:rsidRPr="00A73EA7">
        <w:t>the following information</w:t>
      </w:r>
      <w:r w:rsidR="009743DF" w:rsidRPr="00A73EA7">
        <w:t xml:space="preserve"> as the </w:t>
      </w:r>
      <w:r w:rsidR="00B47368" w:rsidRPr="00A73EA7">
        <w:t>borr</w:t>
      </w:r>
      <w:r w:rsidR="000C6368" w:rsidRPr="00A73EA7">
        <w:t xml:space="preserve">owing </w:t>
      </w:r>
      <w:r w:rsidR="007D03D5" w:rsidRPr="00A73EA7">
        <w:t xml:space="preserve">institution or its parent </w:t>
      </w:r>
      <w:r w:rsidR="009E1F96" w:rsidRPr="00A73EA7">
        <w:t>is able to ascertain</w:t>
      </w:r>
      <w:r w:rsidR="00D04913" w:rsidRPr="00A73EA7">
        <w:t>:</w:t>
      </w:r>
    </w:p>
    <w:p w:rsidR="00502CB7" w:rsidRPr="00A73EA7" w:rsidRDefault="00502CB7" w:rsidP="00502CB7">
      <w:pPr>
        <w:pStyle w:val="paragraphsub"/>
      </w:pPr>
      <w:r w:rsidRPr="00A73EA7">
        <w:tab/>
        <w:t>(i)</w:t>
      </w:r>
      <w:r w:rsidRPr="00A73EA7">
        <w:tab/>
      </w:r>
      <w:r w:rsidR="00D66B7A" w:rsidRPr="00A73EA7">
        <w:t>the type of object;</w:t>
      </w:r>
    </w:p>
    <w:p w:rsidR="001454AE" w:rsidRPr="00A73EA7" w:rsidRDefault="001454AE" w:rsidP="00502CB7">
      <w:pPr>
        <w:pStyle w:val="paragraphsub"/>
      </w:pPr>
      <w:r w:rsidRPr="00A73EA7">
        <w:tab/>
        <w:t>(ii)</w:t>
      </w:r>
      <w:r w:rsidRPr="00A73EA7">
        <w:tab/>
        <w:t xml:space="preserve">the name and nationality of the artist, </w:t>
      </w:r>
      <w:r w:rsidR="00345EB8" w:rsidRPr="00A73EA7">
        <w:t>creator</w:t>
      </w:r>
      <w:r w:rsidRPr="00A73EA7">
        <w:t xml:space="preserve"> or </w:t>
      </w:r>
      <w:r w:rsidR="00345EB8" w:rsidRPr="00A73EA7">
        <w:t>manufacturer</w:t>
      </w:r>
      <w:r w:rsidR="009743DF" w:rsidRPr="00A73EA7">
        <w:t xml:space="preserve"> of the object</w:t>
      </w:r>
      <w:r w:rsidR="00D66B7A" w:rsidRPr="00A73EA7">
        <w:t>;</w:t>
      </w:r>
    </w:p>
    <w:p w:rsidR="001454AE" w:rsidRPr="00A73EA7" w:rsidRDefault="001454AE" w:rsidP="00502CB7">
      <w:pPr>
        <w:pStyle w:val="paragraphsub"/>
      </w:pPr>
      <w:r w:rsidRPr="00A73EA7">
        <w:tab/>
        <w:t>(iii)</w:t>
      </w:r>
      <w:r w:rsidRPr="00A73EA7">
        <w:tab/>
        <w:t>th</w:t>
      </w:r>
      <w:r w:rsidR="00D66B7A" w:rsidRPr="00A73EA7">
        <w:t>e title of the object;</w:t>
      </w:r>
    </w:p>
    <w:p w:rsidR="001454AE" w:rsidRPr="00A73EA7" w:rsidRDefault="001454AE" w:rsidP="00502CB7">
      <w:pPr>
        <w:pStyle w:val="paragraphsub"/>
      </w:pPr>
      <w:r w:rsidRPr="00A73EA7">
        <w:tab/>
        <w:t>(iv)</w:t>
      </w:r>
      <w:r w:rsidRPr="00A73EA7">
        <w:tab/>
        <w:t>the dimensions of the object;</w:t>
      </w:r>
    </w:p>
    <w:p w:rsidR="001454AE" w:rsidRPr="00A73EA7" w:rsidRDefault="001454AE" w:rsidP="00502CB7">
      <w:pPr>
        <w:pStyle w:val="paragraphsub"/>
      </w:pPr>
      <w:r w:rsidRPr="00A73EA7">
        <w:tab/>
        <w:t>(v)</w:t>
      </w:r>
      <w:r w:rsidRPr="00A73EA7">
        <w:tab/>
        <w:t>the date on which</w:t>
      </w:r>
      <w:r w:rsidR="00D05C78" w:rsidRPr="00A73EA7">
        <w:t>, or the period during which,</w:t>
      </w:r>
      <w:r w:rsidRPr="00A73EA7">
        <w:t xml:space="preserve"> the object was</w:t>
      </w:r>
      <w:r w:rsidR="00D05C78" w:rsidRPr="00A73EA7">
        <w:t xml:space="preserve">, or is likely to have been, </w:t>
      </w:r>
      <w:r w:rsidR="00345EB8" w:rsidRPr="00A73EA7">
        <w:t xml:space="preserve">created or </w:t>
      </w:r>
      <w:r w:rsidR="00D05C78" w:rsidRPr="00A73EA7">
        <w:t>manufactured</w:t>
      </w:r>
      <w:r w:rsidR="00FE3569" w:rsidRPr="00A73EA7">
        <w:t>;</w:t>
      </w:r>
    </w:p>
    <w:p w:rsidR="00FE3569" w:rsidRPr="00A73EA7" w:rsidRDefault="00FE3569" w:rsidP="00502CB7">
      <w:pPr>
        <w:pStyle w:val="paragraphsub"/>
      </w:pPr>
      <w:r w:rsidRPr="00A73EA7">
        <w:tab/>
        <w:t>(vi)</w:t>
      </w:r>
      <w:r w:rsidRPr="00A73EA7">
        <w:tab/>
        <w:t>a description of</w:t>
      </w:r>
      <w:r w:rsidR="009743DF" w:rsidRPr="00A73EA7">
        <w:t xml:space="preserve"> </w:t>
      </w:r>
      <w:r w:rsidR="002D616D" w:rsidRPr="00A73EA7">
        <w:t>significant</w:t>
      </w:r>
      <w:r w:rsidRPr="00A73EA7">
        <w:t xml:space="preserve"> marks or inscriptions on the object;</w:t>
      </w:r>
    </w:p>
    <w:p w:rsidR="00FE3569" w:rsidRPr="00A73EA7" w:rsidRDefault="00FE3569" w:rsidP="00502CB7">
      <w:pPr>
        <w:pStyle w:val="paragraphsub"/>
      </w:pPr>
      <w:r w:rsidRPr="00A73EA7">
        <w:tab/>
        <w:t>(vii)</w:t>
      </w:r>
      <w:r w:rsidRPr="00A73EA7">
        <w:tab/>
        <w:t>the place or likely place the obje</w:t>
      </w:r>
      <w:r w:rsidR="00D66B7A" w:rsidRPr="00A73EA7">
        <w:t>ct was created or manufactured;</w:t>
      </w:r>
    </w:p>
    <w:p w:rsidR="00FE3569" w:rsidRPr="00A73EA7" w:rsidRDefault="00FE3569" w:rsidP="00502CB7">
      <w:pPr>
        <w:pStyle w:val="paragraphsub"/>
      </w:pPr>
      <w:r w:rsidRPr="00A73EA7">
        <w:tab/>
        <w:t>(viii)</w:t>
      </w:r>
      <w:r w:rsidRPr="00A73EA7">
        <w:tab/>
        <w:t>if the object consists of archaeological or pal</w:t>
      </w:r>
      <w:r w:rsidR="008F37C0" w:rsidRPr="00A73EA7">
        <w:t>a</w:t>
      </w:r>
      <w:r w:rsidRPr="00A73EA7">
        <w:t>eontological material—the place where the object was foun</w:t>
      </w:r>
      <w:r w:rsidR="00D66B7A" w:rsidRPr="00A73EA7">
        <w:t>d or likely to have been found;</w:t>
      </w:r>
    </w:p>
    <w:p w:rsidR="00FE3569" w:rsidRPr="00A73EA7" w:rsidRDefault="00FE3569" w:rsidP="00502CB7">
      <w:pPr>
        <w:pStyle w:val="paragraphsub"/>
      </w:pPr>
      <w:r w:rsidRPr="00A73EA7">
        <w:tab/>
        <w:t>(ix)</w:t>
      </w:r>
      <w:r w:rsidRPr="00A73EA7">
        <w:tab/>
        <w:t xml:space="preserve">the date and place the object was acquired by </w:t>
      </w:r>
      <w:r w:rsidR="005F0559" w:rsidRPr="00A73EA7">
        <w:t>its cur</w:t>
      </w:r>
      <w:r w:rsidR="009743DF" w:rsidRPr="00A73EA7">
        <w:t>rent owner</w:t>
      </w:r>
      <w:r w:rsidR="005F0559" w:rsidRPr="00A73EA7">
        <w:t>;</w:t>
      </w:r>
    </w:p>
    <w:p w:rsidR="005F0559" w:rsidRPr="00A73EA7" w:rsidRDefault="005F0559" w:rsidP="00502CB7">
      <w:pPr>
        <w:pStyle w:val="paragraphsub"/>
      </w:pPr>
      <w:r w:rsidRPr="00A73EA7">
        <w:lastRenderedPageBreak/>
        <w:tab/>
        <w:t>(</w:t>
      </w:r>
      <w:r w:rsidR="00267508" w:rsidRPr="00A73EA7">
        <w:t>x)</w:t>
      </w:r>
      <w:r w:rsidR="00267508" w:rsidRPr="00A73EA7">
        <w:tab/>
        <w:t>the date and place the object was acquired by the person who owned the object immediately before the object’s current owner;</w:t>
      </w:r>
    </w:p>
    <w:p w:rsidR="00FE3569" w:rsidRPr="00A73EA7" w:rsidRDefault="009A1B86" w:rsidP="009A1B86">
      <w:pPr>
        <w:pStyle w:val="paragraph"/>
      </w:pPr>
      <w:r w:rsidRPr="00A73EA7">
        <w:tab/>
        <w:t>(</w:t>
      </w:r>
      <w:r w:rsidR="00457627" w:rsidRPr="00A73EA7">
        <w:t>d</w:t>
      </w:r>
      <w:r w:rsidRPr="00A73EA7">
        <w:t>)</w:t>
      </w:r>
      <w:r w:rsidRPr="00A73EA7">
        <w:tab/>
      </w:r>
      <w:r w:rsidR="000C4634" w:rsidRPr="00A73EA7">
        <w:t>each</w:t>
      </w:r>
      <w:r w:rsidR="00FE3569" w:rsidRPr="00A73EA7">
        <w:t xml:space="preserve"> address in Australia </w:t>
      </w:r>
      <w:r w:rsidR="000C4634" w:rsidRPr="00A73EA7">
        <w:t>at which</w:t>
      </w:r>
      <w:r w:rsidR="00FE3569" w:rsidRPr="00A73EA7">
        <w:t xml:space="preserve"> the object is to be displayed</w:t>
      </w:r>
      <w:r w:rsidR="00131077" w:rsidRPr="00A73EA7">
        <w:t xml:space="preserve"> </w:t>
      </w:r>
      <w:r w:rsidR="00267508" w:rsidRPr="00A73EA7">
        <w:t xml:space="preserve">and the period </w:t>
      </w:r>
      <w:r w:rsidR="00D05C78" w:rsidRPr="00A73EA7">
        <w:t>during which</w:t>
      </w:r>
      <w:r w:rsidR="00267508" w:rsidRPr="00A73EA7">
        <w:t xml:space="preserve"> the object wil</w:t>
      </w:r>
      <w:r w:rsidR="00D66B7A" w:rsidRPr="00A73EA7">
        <w:t>l be displayed at th</w:t>
      </w:r>
      <w:r w:rsidR="004465B5" w:rsidRPr="00A73EA7">
        <w:t>e</w:t>
      </w:r>
      <w:r w:rsidR="00D66B7A" w:rsidRPr="00A73EA7">
        <w:t xml:space="preserve"> address;</w:t>
      </w:r>
    </w:p>
    <w:p w:rsidR="00FE3569" w:rsidRPr="00A73EA7" w:rsidRDefault="009A1B86" w:rsidP="00021223">
      <w:pPr>
        <w:pStyle w:val="paragraph"/>
      </w:pPr>
      <w:r w:rsidRPr="00A73EA7">
        <w:tab/>
        <w:t>(</w:t>
      </w:r>
      <w:r w:rsidR="00457627" w:rsidRPr="00A73EA7">
        <w:t>e</w:t>
      </w:r>
      <w:r w:rsidRPr="00A73EA7">
        <w:t>)</w:t>
      </w:r>
      <w:r w:rsidRPr="00A73EA7">
        <w:tab/>
      </w:r>
      <w:r w:rsidR="000618A3" w:rsidRPr="00A73EA7">
        <w:t>the</w:t>
      </w:r>
      <w:r w:rsidR="000C4634" w:rsidRPr="00A73EA7">
        <w:t xml:space="preserve"> </w:t>
      </w:r>
      <w:r w:rsidR="00FE3569" w:rsidRPr="00A73EA7">
        <w:t xml:space="preserve">title of </w:t>
      </w:r>
      <w:r w:rsidR="000618A3" w:rsidRPr="00A73EA7">
        <w:t xml:space="preserve">the </w:t>
      </w:r>
      <w:r w:rsidR="00FE3569" w:rsidRPr="00A73EA7">
        <w:t xml:space="preserve">temporary public exhibition </w:t>
      </w:r>
      <w:r w:rsidR="000618A3" w:rsidRPr="00A73EA7">
        <w:t xml:space="preserve">or exhibitions </w:t>
      </w:r>
      <w:r w:rsidR="00D05C78" w:rsidRPr="00A73EA7">
        <w:t>at</w:t>
      </w:r>
      <w:r w:rsidR="000C4634" w:rsidRPr="00A73EA7">
        <w:t xml:space="preserve"> which</w:t>
      </w:r>
      <w:r w:rsidR="00FE3569" w:rsidRPr="00A73EA7">
        <w:t xml:space="preserve"> the object </w:t>
      </w:r>
      <w:r w:rsidR="005F0559" w:rsidRPr="00A73EA7">
        <w:t xml:space="preserve">is to </w:t>
      </w:r>
      <w:r w:rsidR="00FE3569" w:rsidRPr="00A73EA7">
        <w:t>be displayed</w:t>
      </w:r>
      <w:r w:rsidR="00457627" w:rsidRPr="00A73EA7">
        <w:t>.</w:t>
      </w:r>
    </w:p>
    <w:p w:rsidR="008E096B" w:rsidRPr="00A73EA7" w:rsidRDefault="008E096B" w:rsidP="008E096B">
      <w:pPr>
        <w:pStyle w:val="notetext"/>
      </w:pPr>
      <w:r w:rsidRPr="00A73EA7">
        <w:t>Note:</w:t>
      </w:r>
      <w:r w:rsidRPr="00A73EA7">
        <w:tab/>
        <w:t>For how this rule applies if the borrowing institution has a parent, see section</w:t>
      </w:r>
      <w:r w:rsidR="00A73EA7" w:rsidRPr="00A73EA7">
        <w:t> </w:t>
      </w:r>
      <w:r w:rsidR="00DB0B3C" w:rsidRPr="00A73EA7">
        <w:t>5</w:t>
      </w:r>
      <w:r w:rsidRPr="00A73EA7">
        <w:t>.</w:t>
      </w:r>
    </w:p>
    <w:p w:rsidR="004B60AB" w:rsidRPr="00A73EA7" w:rsidRDefault="00D66B7A" w:rsidP="004B60AB">
      <w:pPr>
        <w:pStyle w:val="subsection"/>
      </w:pPr>
      <w:r w:rsidRPr="00A73EA7">
        <w:tab/>
        <w:t>(2)</w:t>
      </w:r>
      <w:r w:rsidRPr="00A73EA7">
        <w:tab/>
      </w:r>
      <w:r w:rsidR="004D2362" w:rsidRPr="00A73EA7">
        <w:t>The information must</w:t>
      </w:r>
      <w:r w:rsidR="004B60AB" w:rsidRPr="00A73EA7">
        <w:t>:</w:t>
      </w:r>
    </w:p>
    <w:p w:rsidR="00D66B7A" w:rsidRPr="00A73EA7" w:rsidRDefault="004B60AB" w:rsidP="004B60AB">
      <w:pPr>
        <w:pStyle w:val="paragraph"/>
      </w:pPr>
      <w:r w:rsidRPr="00A73EA7">
        <w:tab/>
      </w:r>
      <w:r w:rsidR="00D66B7A" w:rsidRPr="00A73EA7">
        <w:t>(a)</w:t>
      </w:r>
      <w:r w:rsidR="00D66B7A" w:rsidRPr="00A73EA7">
        <w:tab/>
      </w:r>
      <w:r w:rsidR="006729CF" w:rsidRPr="00A73EA7">
        <w:t>be</w:t>
      </w:r>
      <w:r w:rsidR="00D66B7A" w:rsidRPr="00A73EA7">
        <w:t xml:space="preserve"> </w:t>
      </w:r>
      <w:r w:rsidR="000C4634" w:rsidRPr="00A73EA7">
        <w:t>published</w:t>
      </w:r>
      <w:r w:rsidR="00655994" w:rsidRPr="00A73EA7">
        <w:t xml:space="preserve"> </w:t>
      </w:r>
      <w:r w:rsidR="004465B5" w:rsidRPr="00A73EA7">
        <w:t xml:space="preserve">on the </w:t>
      </w:r>
      <w:r w:rsidR="001E7709" w:rsidRPr="00A73EA7">
        <w:t xml:space="preserve">borrowing </w:t>
      </w:r>
      <w:r w:rsidR="004465B5" w:rsidRPr="00A73EA7">
        <w:t xml:space="preserve">institution’s website </w:t>
      </w:r>
      <w:r w:rsidR="00D66B7A" w:rsidRPr="00A73EA7">
        <w:t>at least 4 weeks before the object is to be imported into Australia; and</w:t>
      </w:r>
    </w:p>
    <w:p w:rsidR="00D66B7A" w:rsidRPr="00A73EA7" w:rsidRDefault="00D66B7A" w:rsidP="00D66B7A">
      <w:pPr>
        <w:pStyle w:val="paragraph"/>
      </w:pPr>
      <w:r w:rsidRPr="00A73EA7">
        <w:tab/>
        <w:t>(b)</w:t>
      </w:r>
      <w:r w:rsidRPr="00A73EA7">
        <w:tab/>
        <w:t>remain on the institution’s website until the object is exported from Australia.</w:t>
      </w:r>
    </w:p>
    <w:p w:rsidR="00DD5E78" w:rsidRPr="00A73EA7" w:rsidRDefault="00DD5E78" w:rsidP="00DD5E78">
      <w:pPr>
        <w:pStyle w:val="subsection"/>
      </w:pPr>
      <w:r w:rsidRPr="00A73EA7">
        <w:tab/>
        <w:t>(3)</w:t>
      </w:r>
      <w:r w:rsidRPr="00A73EA7">
        <w:tab/>
        <w:t>This section does not apply in relation to information covered by a permission granted under section</w:t>
      </w:r>
      <w:r w:rsidR="00A73EA7" w:rsidRPr="00A73EA7">
        <w:t> </w:t>
      </w:r>
      <w:r w:rsidR="00DB0B3C" w:rsidRPr="00A73EA7">
        <w:t>12</w:t>
      </w:r>
      <w:r w:rsidRPr="00A73EA7">
        <w:t>.</w:t>
      </w:r>
    </w:p>
    <w:p w:rsidR="00FF0DD3" w:rsidRPr="00A73EA7" w:rsidRDefault="00DB0B3C" w:rsidP="00FF0DD3">
      <w:pPr>
        <w:pStyle w:val="ActHead5"/>
      </w:pPr>
      <w:bookmarkStart w:id="23" w:name="_Toc397940205"/>
      <w:r w:rsidRPr="00A73EA7">
        <w:rPr>
          <w:rStyle w:val="CharSectno"/>
        </w:rPr>
        <w:t>12</w:t>
      </w:r>
      <w:r w:rsidR="00FF0DD3" w:rsidRPr="00A73EA7">
        <w:t xml:space="preserve">  Exemption from </w:t>
      </w:r>
      <w:r w:rsidR="000C4634" w:rsidRPr="00A73EA7">
        <w:t>publishing</w:t>
      </w:r>
      <w:r w:rsidR="004F7449" w:rsidRPr="00A73EA7">
        <w:t xml:space="preserve"> information about </w:t>
      </w:r>
      <w:r w:rsidR="00C859D0" w:rsidRPr="00A73EA7">
        <w:t xml:space="preserve">an </w:t>
      </w:r>
      <w:r w:rsidR="004F7449" w:rsidRPr="00A73EA7">
        <w:t>object</w:t>
      </w:r>
      <w:bookmarkEnd w:id="23"/>
    </w:p>
    <w:p w:rsidR="00FF0DD3" w:rsidRPr="00A73EA7" w:rsidRDefault="00FF0DD3" w:rsidP="00FF0DD3">
      <w:pPr>
        <w:pStyle w:val="subsection"/>
      </w:pPr>
      <w:r w:rsidRPr="00A73EA7">
        <w:tab/>
        <w:t>(1)</w:t>
      </w:r>
      <w:r w:rsidRPr="00A73EA7">
        <w:tab/>
      </w:r>
      <w:r w:rsidR="000C6368" w:rsidRPr="00A73EA7">
        <w:t xml:space="preserve">A </w:t>
      </w:r>
      <w:r w:rsidR="007A64B9" w:rsidRPr="00A73EA7">
        <w:t>borrowing institution</w:t>
      </w:r>
      <w:r w:rsidR="004B60AB" w:rsidRPr="00A73EA7">
        <w:t xml:space="preserve"> </w:t>
      </w:r>
      <w:r w:rsidRPr="00A73EA7">
        <w:t xml:space="preserve">may apply to the Minister for permission </w:t>
      </w:r>
      <w:r w:rsidR="009E4B2F" w:rsidRPr="00A73EA7">
        <w:t xml:space="preserve">not to </w:t>
      </w:r>
      <w:r w:rsidR="000C4634" w:rsidRPr="00A73EA7">
        <w:t>publish</w:t>
      </w:r>
      <w:r w:rsidR="008A6CF7" w:rsidRPr="00A73EA7">
        <w:t xml:space="preserve"> on the institution’s website</w:t>
      </w:r>
      <w:r w:rsidR="009E4B2F" w:rsidRPr="00A73EA7">
        <w:t xml:space="preserve"> </w:t>
      </w:r>
      <w:r w:rsidR="000C4634" w:rsidRPr="00A73EA7">
        <w:t xml:space="preserve">some or all of the </w:t>
      </w:r>
      <w:r w:rsidRPr="00A73EA7">
        <w:t>information mentioned in subsection</w:t>
      </w:r>
      <w:r w:rsidR="00A73EA7" w:rsidRPr="00A73EA7">
        <w:t> </w:t>
      </w:r>
      <w:r w:rsidR="00DB0B3C" w:rsidRPr="00A73EA7">
        <w:t>11</w:t>
      </w:r>
      <w:r w:rsidRPr="00A73EA7">
        <w:t>(1)</w:t>
      </w:r>
      <w:r w:rsidR="00D05C78" w:rsidRPr="00A73EA7">
        <w:t xml:space="preserve"> about an object</w:t>
      </w:r>
      <w:r w:rsidRPr="00A73EA7">
        <w:t>.</w:t>
      </w:r>
    </w:p>
    <w:p w:rsidR="008E096B" w:rsidRPr="00A73EA7" w:rsidRDefault="008E096B" w:rsidP="008E096B">
      <w:pPr>
        <w:pStyle w:val="notetext"/>
      </w:pPr>
      <w:r w:rsidRPr="00A73EA7">
        <w:t>Note:</w:t>
      </w:r>
      <w:r w:rsidRPr="00A73EA7">
        <w:tab/>
        <w:t>For how this rule applies if the borrowing institution has a parent, see section</w:t>
      </w:r>
      <w:r w:rsidR="00A73EA7" w:rsidRPr="00A73EA7">
        <w:t> </w:t>
      </w:r>
      <w:r w:rsidR="00DB0B3C" w:rsidRPr="00A73EA7">
        <w:t>5</w:t>
      </w:r>
      <w:r w:rsidRPr="00A73EA7">
        <w:t>.</w:t>
      </w:r>
    </w:p>
    <w:p w:rsidR="00FF0DD3" w:rsidRPr="00A73EA7" w:rsidRDefault="00FF0DD3" w:rsidP="00FF0DD3">
      <w:pPr>
        <w:pStyle w:val="subsection"/>
      </w:pPr>
      <w:r w:rsidRPr="00A73EA7">
        <w:tab/>
        <w:t>(2)</w:t>
      </w:r>
      <w:r w:rsidRPr="00A73EA7">
        <w:tab/>
        <w:t>The application must:</w:t>
      </w:r>
    </w:p>
    <w:p w:rsidR="00FF0DD3" w:rsidRPr="00A73EA7" w:rsidRDefault="00FF0DD3" w:rsidP="00FF0DD3">
      <w:pPr>
        <w:pStyle w:val="paragraph"/>
      </w:pPr>
      <w:r w:rsidRPr="00A73EA7">
        <w:tab/>
        <w:t>(a)</w:t>
      </w:r>
      <w:r w:rsidRPr="00A73EA7">
        <w:tab/>
        <w:t>be in writing; and</w:t>
      </w:r>
    </w:p>
    <w:p w:rsidR="000C4634" w:rsidRPr="00A73EA7" w:rsidRDefault="000C4634" w:rsidP="00FF0DD3">
      <w:pPr>
        <w:pStyle w:val="paragraph"/>
      </w:pPr>
      <w:r w:rsidRPr="00A73EA7">
        <w:tab/>
        <w:t>(b)</w:t>
      </w:r>
      <w:r w:rsidRPr="00A73EA7">
        <w:tab/>
        <w:t>set out:</w:t>
      </w:r>
    </w:p>
    <w:p w:rsidR="000C4634" w:rsidRPr="00A73EA7" w:rsidRDefault="000C4634" w:rsidP="000C4634">
      <w:pPr>
        <w:pStyle w:val="paragraphsub"/>
      </w:pPr>
      <w:r w:rsidRPr="00A73EA7">
        <w:tab/>
        <w:t>(i)</w:t>
      </w:r>
      <w:r w:rsidRPr="00A73EA7">
        <w:tab/>
      </w:r>
      <w:r w:rsidR="00FF0DD3" w:rsidRPr="00A73EA7">
        <w:t>the information that the</w:t>
      </w:r>
      <w:r w:rsidR="0058540E" w:rsidRPr="00A73EA7">
        <w:t xml:space="preserve"> applicant </w:t>
      </w:r>
      <w:r w:rsidR="00FF0DD3" w:rsidRPr="00A73EA7">
        <w:t>does not wish to</w:t>
      </w:r>
      <w:r w:rsidR="0081684D" w:rsidRPr="00A73EA7">
        <w:t xml:space="preserve"> </w:t>
      </w:r>
      <w:r w:rsidR="005A007C" w:rsidRPr="00A73EA7">
        <w:t xml:space="preserve">be </w:t>
      </w:r>
      <w:r w:rsidRPr="00A73EA7">
        <w:t>publish</w:t>
      </w:r>
      <w:r w:rsidR="005A007C" w:rsidRPr="00A73EA7">
        <w:t>ed</w:t>
      </w:r>
      <w:r w:rsidRPr="00A73EA7">
        <w:t>;</w:t>
      </w:r>
      <w:r w:rsidR="0081684D" w:rsidRPr="00A73EA7">
        <w:t xml:space="preserve"> and</w:t>
      </w:r>
    </w:p>
    <w:p w:rsidR="00FF0DD3" w:rsidRPr="00A73EA7" w:rsidRDefault="000C4634" w:rsidP="000C4634">
      <w:pPr>
        <w:pStyle w:val="paragraphsub"/>
      </w:pPr>
      <w:r w:rsidRPr="00A73EA7">
        <w:tab/>
        <w:t>(ii)</w:t>
      </w:r>
      <w:r w:rsidRPr="00A73EA7">
        <w:tab/>
      </w:r>
      <w:r w:rsidR="00051C96" w:rsidRPr="00A73EA7">
        <w:t xml:space="preserve">the </w:t>
      </w:r>
      <w:r w:rsidR="00FF0DD3" w:rsidRPr="00A73EA7">
        <w:t>reason</w:t>
      </w:r>
      <w:r w:rsidRPr="00A73EA7">
        <w:t>s for the application</w:t>
      </w:r>
      <w:r w:rsidR="00457627" w:rsidRPr="00A73EA7">
        <w:t xml:space="preserve"> and supporting information</w:t>
      </w:r>
      <w:r w:rsidR="00FF0DD3" w:rsidRPr="00A73EA7">
        <w:t>; and</w:t>
      </w:r>
    </w:p>
    <w:p w:rsidR="00FF0DD3" w:rsidRPr="00A73EA7" w:rsidRDefault="00FF0DD3" w:rsidP="00FF0DD3">
      <w:pPr>
        <w:pStyle w:val="paragraph"/>
      </w:pPr>
      <w:r w:rsidRPr="00A73EA7">
        <w:tab/>
        <w:t>(</w:t>
      </w:r>
      <w:r w:rsidR="00051C96" w:rsidRPr="00A73EA7">
        <w:t>c</w:t>
      </w:r>
      <w:r w:rsidRPr="00A73EA7">
        <w:t>)</w:t>
      </w:r>
      <w:r w:rsidRPr="00A73EA7">
        <w:tab/>
        <w:t xml:space="preserve">be made </w:t>
      </w:r>
      <w:r w:rsidR="00457627" w:rsidRPr="00A73EA7">
        <w:t xml:space="preserve">as soon as practicable </w:t>
      </w:r>
      <w:r w:rsidRPr="00A73EA7">
        <w:t>before the object is to be imported into Australia.</w:t>
      </w:r>
    </w:p>
    <w:p w:rsidR="00FF0DD3" w:rsidRPr="00A73EA7" w:rsidRDefault="00FF0DD3" w:rsidP="00FF0DD3">
      <w:pPr>
        <w:pStyle w:val="subsection"/>
      </w:pPr>
      <w:r w:rsidRPr="00A73EA7">
        <w:tab/>
        <w:t>(3)</w:t>
      </w:r>
      <w:r w:rsidRPr="00A73EA7">
        <w:tab/>
        <w:t>The Minister m</w:t>
      </w:r>
      <w:r w:rsidR="003A5B6D" w:rsidRPr="00A73EA7">
        <w:t>ust</w:t>
      </w:r>
      <w:r w:rsidR="002E5F69" w:rsidRPr="00A73EA7">
        <w:t xml:space="preserve">, by written notice given to the applicant, </w:t>
      </w:r>
      <w:r w:rsidR="003A5B6D" w:rsidRPr="00A73EA7">
        <w:t xml:space="preserve">either </w:t>
      </w:r>
      <w:r w:rsidRPr="00A73EA7">
        <w:t xml:space="preserve">grant or refuse </w:t>
      </w:r>
      <w:r w:rsidR="00831BDA" w:rsidRPr="00A73EA7">
        <w:t xml:space="preserve">to grant </w:t>
      </w:r>
      <w:r w:rsidR="000C4634" w:rsidRPr="00A73EA7">
        <w:t xml:space="preserve">the </w:t>
      </w:r>
      <w:r w:rsidR="00DD5E78" w:rsidRPr="00A73EA7">
        <w:t>permission</w:t>
      </w:r>
      <w:r w:rsidR="00D04913" w:rsidRPr="00A73EA7">
        <w:t>.</w:t>
      </w:r>
    </w:p>
    <w:p w:rsidR="002E5F69" w:rsidRPr="00A73EA7" w:rsidRDefault="000C4634" w:rsidP="00FF0DD3">
      <w:pPr>
        <w:pStyle w:val="subsection"/>
      </w:pPr>
      <w:r w:rsidRPr="00A73EA7">
        <w:lastRenderedPageBreak/>
        <w:tab/>
        <w:t>(4)</w:t>
      </w:r>
      <w:r w:rsidRPr="00A73EA7">
        <w:tab/>
        <w:t xml:space="preserve">If the Minister refuses </w:t>
      </w:r>
      <w:r w:rsidR="00DD5E78" w:rsidRPr="00A73EA7">
        <w:t xml:space="preserve">to grant </w:t>
      </w:r>
      <w:r w:rsidRPr="00A73EA7">
        <w:t xml:space="preserve">the </w:t>
      </w:r>
      <w:r w:rsidR="00DD5E78" w:rsidRPr="00A73EA7">
        <w:t>permission</w:t>
      </w:r>
      <w:r w:rsidRPr="00A73EA7">
        <w:t xml:space="preserve">, the </w:t>
      </w:r>
      <w:r w:rsidR="002E5F69" w:rsidRPr="00A73EA7">
        <w:t>notice must include reasons for the refusal.</w:t>
      </w:r>
    </w:p>
    <w:p w:rsidR="00C2682E" w:rsidRPr="00A73EA7" w:rsidRDefault="00DB0B3C" w:rsidP="004B208A">
      <w:pPr>
        <w:pStyle w:val="ActHead5"/>
      </w:pPr>
      <w:bookmarkStart w:id="24" w:name="_Toc397940206"/>
      <w:r w:rsidRPr="00A73EA7">
        <w:rPr>
          <w:rStyle w:val="CharSectno"/>
        </w:rPr>
        <w:t>13</w:t>
      </w:r>
      <w:r w:rsidR="004B208A" w:rsidRPr="00A73EA7">
        <w:t xml:space="preserve">  In</w:t>
      </w:r>
      <w:r w:rsidR="00831BDA" w:rsidRPr="00A73EA7">
        <w:t xml:space="preserve">cluding hyperlinks </w:t>
      </w:r>
      <w:r w:rsidR="005957A0" w:rsidRPr="00A73EA7">
        <w:t>instead of publishing information</w:t>
      </w:r>
      <w:bookmarkEnd w:id="24"/>
    </w:p>
    <w:p w:rsidR="00FE50D7" w:rsidRPr="00A73EA7" w:rsidRDefault="004B208A" w:rsidP="00FE50D7">
      <w:pPr>
        <w:pStyle w:val="subsection"/>
      </w:pPr>
      <w:r w:rsidRPr="00A73EA7">
        <w:tab/>
        <w:t>(1)</w:t>
      </w:r>
      <w:r w:rsidRPr="00A73EA7">
        <w:tab/>
      </w:r>
      <w:r w:rsidR="004F7449" w:rsidRPr="00A73EA7">
        <w:t>This section applies if</w:t>
      </w:r>
      <w:r w:rsidR="00F42922" w:rsidRPr="00A73EA7">
        <w:t>:</w:t>
      </w:r>
    </w:p>
    <w:p w:rsidR="003969A2" w:rsidRPr="00A73EA7" w:rsidRDefault="00F42222" w:rsidP="00F42222">
      <w:pPr>
        <w:pStyle w:val="paragraph"/>
      </w:pPr>
      <w:r w:rsidRPr="00A73EA7">
        <w:tab/>
        <w:t>(a)</w:t>
      </w:r>
      <w:r w:rsidRPr="00A73EA7">
        <w:tab/>
      </w:r>
      <w:r w:rsidR="003969A2" w:rsidRPr="00A73EA7">
        <w:t>a</w:t>
      </w:r>
      <w:r w:rsidR="0063161B" w:rsidRPr="00A73EA7">
        <w:t xml:space="preserve"> </w:t>
      </w:r>
      <w:r w:rsidR="003969A2" w:rsidRPr="00A73EA7">
        <w:t>combination of 2 or more of the following propose the loan of an object under a</w:t>
      </w:r>
      <w:r w:rsidR="006046C7" w:rsidRPr="00A73EA7">
        <w:t xml:space="preserve"> temporary loan</w:t>
      </w:r>
      <w:r w:rsidR="003969A2" w:rsidRPr="00A73EA7">
        <w:t xml:space="preserve"> </w:t>
      </w:r>
      <w:r w:rsidR="006046C7" w:rsidRPr="00A73EA7">
        <w:t>arrangement</w:t>
      </w:r>
      <w:r w:rsidR="003969A2" w:rsidRPr="00A73EA7">
        <w:t xml:space="preserve"> with the same lender or exhibition facilitator:</w:t>
      </w:r>
    </w:p>
    <w:p w:rsidR="00F42222" w:rsidRPr="00A73EA7" w:rsidRDefault="003969A2" w:rsidP="003969A2">
      <w:pPr>
        <w:pStyle w:val="paragraphsub"/>
      </w:pPr>
      <w:r w:rsidRPr="00A73EA7">
        <w:tab/>
        <w:t>(i)</w:t>
      </w:r>
      <w:r w:rsidRPr="00A73EA7">
        <w:tab/>
        <w:t>a borrowing institution;</w:t>
      </w:r>
    </w:p>
    <w:p w:rsidR="003969A2" w:rsidRPr="00A73EA7" w:rsidRDefault="003969A2" w:rsidP="003969A2">
      <w:pPr>
        <w:pStyle w:val="paragraphsub"/>
      </w:pPr>
      <w:r w:rsidRPr="00A73EA7">
        <w:tab/>
        <w:t>(ii)</w:t>
      </w:r>
      <w:r w:rsidRPr="00A73EA7">
        <w:tab/>
        <w:t>the parent of a borrowing institution; and</w:t>
      </w:r>
    </w:p>
    <w:p w:rsidR="008311B5" w:rsidRPr="00A73EA7" w:rsidRDefault="00D869DA" w:rsidP="00FE50D7">
      <w:pPr>
        <w:pStyle w:val="paragraph"/>
      </w:pPr>
      <w:r w:rsidRPr="00A73EA7">
        <w:tab/>
        <w:t>(</w:t>
      </w:r>
      <w:r w:rsidR="00457627" w:rsidRPr="00A73EA7">
        <w:t>b</w:t>
      </w:r>
      <w:r w:rsidRPr="00A73EA7">
        <w:t>)</w:t>
      </w:r>
      <w:r w:rsidRPr="00A73EA7">
        <w:tab/>
        <w:t>the object</w:t>
      </w:r>
      <w:r w:rsidR="00D53709" w:rsidRPr="00A73EA7">
        <w:t xml:space="preserve"> </w:t>
      </w:r>
      <w:r w:rsidR="00D05C78" w:rsidRPr="00A73EA7">
        <w:t>is to</w:t>
      </w:r>
      <w:r w:rsidR="00D53709" w:rsidRPr="00A73EA7">
        <w:t xml:space="preserve"> </w:t>
      </w:r>
      <w:r w:rsidR="009A7F56" w:rsidRPr="00A73EA7">
        <w:t>remain in Australia until</w:t>
      </w:r>
      <w:r w:rsidR="00730DA6" w:rsidRPr="00A73EA7">
        <w:t xml:space="preserve"> the</w:t>
      </w:r>
      <w:r w:rsidR="00B430BF" w:rsidRPr="00A73EA7">
        <w:t xml:space="preserve"> </w:t>
      </w:r>
      <w:r w:rsidR="00C859D0" w:rsidRPr="00A73EA7">
        <w:t>arrangement has</w:t>
      </w:r>
      <w:r w:rsidR="00730DA6" w:rsidRPr="00A73EA7">
        <w:t xml:space="preserve"> expired.</w:t>
      </w:r>
    </w:p>
    <w:p w:rsidR="00831BDA" w:rsidRPr="00A73EA7" w:rsidRDefault="002F4B27" w:rsidP="00831BDA">
      <w:pPr>
        <w:pStyle w:val="subsection"/>
      </w:pPr>
      <w:r w:rsidRPr="00A73EA7">
        <w:tab/>
      </w:r>
      <w:r w:rsidR="00531309" w:rsidRPr="00A73EA7">
        <w:t>(2)</w:t>
      </w:r>
      <w:r w:rsidR="00531309" w:rsidRPr="00A73EA7">
        <w:tab/>
      </w:r>
      <w:r w:rsidR="00831BDA" w:rsidRPr="00A73EA7">
        <w:t xml:space="preserve">A borrowing institution </w:t>
      </w:r>
      <w:r w:rsidR="0039787F" w:rsidRPr="00A73EA7">
        <w:t xml:space="preserve">referred to in </w:t>
      </w:r>
      <w:r w:rsidR="00A73EA7" w:rsidRPr="00A73EA7">
        <w:t>subsection (</w:t>
      </w:r>
      <w:r w:rsidR="00831BDA" w:rsidRPr="00A73EA7">
        <w:t>1)</w:t>
      </w:r>
      <w:r w:rsidR="005A007C" w:rsidRPr="00A73EA7">
        <w:t xml:space="preserve">, or a parent of such an institution, </w:t>
      </w:r>
      <w:r w:rsidR="00831BDA" w:rsidRPr="00A73EA7">
        <w:t>is taken to compl</w:t>
      </w:r>
      <w:r w:rsidR="006D6AF2" w:rsidRPr="00A73EA7">
        <w:t>y</w:t>
      </w:r>
      <w:r w:rsidR="00831BDA" w:rsidRPr="00A73EA7">
        <w:t xml:space="preserve"> with section</w:t>
      </w:r>
      <w:r w:rsidR="00A73EA7" w:rsidRPr="00A73EA7">
        <w:t> </w:t>
      </w:r>
      <w:r w:rsidR="00DB0B3C" w:rsidRPr="00A73EA7">
        <w:t>11</w:t>
      </w:r>
      <w:r w:rsidR="00200F5C" w:rsidRPr="00A73EA7">
        <w:t xml:space="preserve"> in relation to the object</w:t>
      </w:r>
      <w:r w:rsidR="00831BDA" w:rsidRPr="00A73EA7">
        <w:t xml:space="preserve"> if:</w:t>
      </w:r>
    </w:p>
    <w:p w:rsidR="008E096B" w:rsidRPr="00A73EA7" w:rsidRDefault="00831BDA" w:rsidP="00831BDA">
      <w:pPr>
        <w:pStyle w:val="paragraph"/>
      </w:pPr>
      <w:r w:rsidRPr="00A73EA7">
        <w:tab/>
      </w:r>
      <w:r w:rsidR="00DD5E78" w:rsidRPr="00A73EA7">
        <w:t>(</w:t>
      </w:r>
      <w:r w:rsidR="00BD770A" w:rsidRPr="00A73EA7">
        <w:t>a</w:t>
      </w:r>
      <w:r w:rsidR="00DD5E78" w:rsidRPr="00A73EA7">
        <w:t>)</w:t>
      </w:r>
      <w:r w:rsidR="00DD5E78" w:rsidRPr="00A73EA7">
        <w:tab/>
      </w:r>
      <w:r w:rsidR="0039787F" w:rsidRPr="00A73EA7">
        <w:t>the</w:t>
      </w:r>
      <w:r w:rsidR="008E096B" w:rsidRPr="00A73EA7">
        <w:t>re is included</w:t>
      </w:r>
      <w:r w:rsidR="004B60AB" w:rsidRPr="00A73EA7">
        <w:t xml:space="preserve"> on the institution’s website</w:t>
      </w:r>
      <w:r w:rsidR="006D6AF2" w:rsidRPr="00A73EA7">
        <w:t xml:space="preserve"> a hyperlink to information </w:t>
      </w:r>
      <w:r w:rsidR="00200F5C" w:rsidRPr="00A73EA7">
        <w:t xml:space="preserve">about the object </w:t>
      </w:r>
      <w:r w:rsidR="00147E24" w:rsidRPr="00A73EA7">
        <w:t xml:space="preserve">published </w:t>
      </w:r>
      <w:r w:rsidR="00F63267" w:rsidRPr="00A73EA7">
        <w:t xml:space="preserve">in accordance with </w:t>
      </w:r>
      <w:r w:rsidR="0039787F" w:rsidRPr="00A73EA7">
        <w:t>s</w:t>
      </w:r>
      <w:r w:rsidRPr="00A73EA7">
        <w:t>ection</w:t>
      </w:r>
      <w:r w:rsidR="00A73EA7" w:rsidRPr="00A73EA7">
        <w:t> </w:t>
      </w:r>
      <w:r w:rsidR="00DB0B3C" w:rsidRPr="00A73EA7">
        <w:t>11</w:t>
      </w:r>
      <w:r w:rsidRPr="00A73EA7">
        <w:t xml:space="preserve"> </w:t>
      </w:r>
      <w:r w:rsidR="005A007C" w:rsidRPr="00A73EA7">
        <w:t>on the website of on</w:t>
      </w:r>
      <w:r w:rsidR="00F63267" w:rsidRPr="00A73EA7">
        <w:t>e of the other borrowing institutions</w:t>
      </w:r>
      <w:r w:rsidR="005A007C" w:rsidRPr="00A73EA7">
        <w:t xml:space="preserve"> referred to in </w:t>
      </w:r>
      <w:r w:rsidR="00A73EA7" w:rsidRPr="00A73EA7">
        <w:t>paragraph (</w:t>
      </w:r>
      <w:r w:rsidR="004F5963" w:rsidRPr="00A73EA7">
        <w:t>1)(a)</w:t>
      </w:r>
      <w:r w:rsidR="00006375" w:rsidRPr="00A73EA7">
        <w:t xml:space="preserve"> of this section</w:t>
      </w:r>
      <w:r w:rsidR="008E096B" w:rsidRPr="00A73EA7">
        <w:t>; and</w:t>
      </w:r>
    </w:p>
    <w:p w:rsidR="00C032EE" w:rsidRPr="00A73EA7" w:rsidRDefault="008E096B" w:rsidP="00831BDA">
      <w:pPr>
        <w:pStyle w:val="paragraph"/>
      </w:pPr>
      <w:r w:rsidRPr="00A73EA7">
        <w:tab/>
        <w:t>(b)</w:t>
      </w:r>
      <w:r w:rsidRPr="00A73EA7">
        <w:tab/>
        <w:t xml:space="preserve">the hyperlink is included </w:t>
      </w:r>
      <w:r w:rsidR="00BD770A" w:rsidRPr="00A73EA7">
        <w:t xml:space="preserve">as soon as practicable after </w:t>
      </w:r>
      <w:r w:rsidR="00B57F05" w:rsidRPr="00A73EA7">
        <w:t>th</w:t>
      </w:r>
      <w:r w:rsidRPr="00A73EA7">
        <w:t>e</w:t>
      </w:r>
      <w:r w:rsidR="00B57F05" w:rsidRPr="00A73EA7">
        <w:t xml:space="preserve"> information</w:t>
      </w:r>
      <w:r w:rsidR="00BD770A" w:rsidRPr="00A73EA7">
        <w:t xml:space="preserve"> is published</w:t>
      </w:r>
      <w:r w:rsidRPr="00A73EA7">
        <w:t xml:space="preserve"> on the other website</w:t>
      </w:r>
      <w:r w:rsidR="0039787F" w:rsidRPr="00A73EA7">
        <w:t>; and</w:t>
      </w:r>
    </w:p>
    <w:p w:rsidR="00147E24" w:rsidRPr="00A73EA7" w:rsidRDefault="0039787F" w:rsidP="00BD770A">
      <w:pPr>
        <w:pStyle w:val="paragraph"/>
      </w:pPr>
      <w:r w:rsidRPr="00A73EA7">
        <w:tab/>
        <w:t>(</w:t>
      </w:r>
      <w:r w:rsidR="008E096B" w:rsidRPr="00A73EA7">
        <w:t>c</w:t>
      </w:r>
      <w:r w:rsidRPr="00A73EA7">
        <w:t>)</w:t>
      </w:r>
      <w:r w:rsidRPr="00A73EA7">
        <w:tab/>
        <w:t>the hyperlink</w:t>
      </w:r>
      <w:r w:rsidR="00BD770A" w:rsidRPr="00A73EA7">
        <w:t xml:space="preserve"> </w:t>
      </w:r>
      <w:r w:rsidR="00147E24" w:rsidRPr="00A73EA7">
        <w:t>remain</w:t>
      </w:r>
      <w:r w:rsidR="003E2554" w:rsidRPr="00A73EA7">
        <w:t>s</w:t>
      </w:r>
      <w:r w:rsidR="00147E24" w:rsidRPr="00A73EA7">
        <w:t xml:space="preserve"> on the website until the object is exported from Australia.</w:t>
      </w:r>
    </w:p>
    <w:p w:rsidR="00E8006E" w:rsidRPr="00A73EA7" w:rsidRDefault="00DB0B3C" w:rsidP="00E8006E">
      <w:pPr>
        <w:pStyle w:val="ActHead5"/>
      </w:pPr>
      <w:bookmarkStart w:id="25" w:name="_Toc397940207"/>
      <w:r w:rsidRPr="00A73EA7">
        <w:rPr>
          <w:rStyle w:val="CharSectno"/>
        </w:rPr>
        <w:t>14</w:t>
      </w:r>
      <w:r w:rsidR="00E8006E" w:rsidRPr="00A73EA7">
        <w:t xml:space="preserve">  Correcti</w:t>
      </w:r>
      <w:r w:rsidR="0039787F" w:rsidRPr="00A73EA7">
        <w:t>ng</w:t>
      </w:r>
      <w:r w:rsidR="00E8006E" w:rsidRPr="00A73EA7">
        <w:t xml:space="preserve"> errors or omission</w:t>
      </w:r>
      <w:r w:rsidR="007A64B9" w:rsidRPr="00A73EA7">
        <w:t>s</w:t>
      </w:r>
      <w:r w:rsidR="00E8006E" w:rsidRPr="00A73EA7">
        <w:t xml:space="preserve"> in </w:t>
      </w:r>
      <w:r w:rsidR="00B71F37" w:rsidRPr="00A73EA7">
        <w:t>published information</w:t>
      </w:r>
      <w:bookmarkEnd w:id="25"/>
    </w:p>
    <w:p w:rsidR="008E096B" w:rsidRPr="00A73EA7" w:rsidRDefault="00E8006E" w:rsidP="008E096B">
      <w:pPr>
        <w:pStyle w:val="subsection"/>
      </w:pPr>
      <w:r w:rsidRPr="00A73EA7">
        <w:tab/>
      </w:r>
      <w:r w:rsidR="008E096B" w:rsidRPr="00A73EA7">
        <w:tab/>
        <w:t>A borrowing institution must ensure that its website is updated to correct any error or omission in information published on the website in accordance with section</w:t>
      </w:r>
      <w:r w:rsidR="00A73EA7" w:rsidRPr="00A73EA7">
        <w:t> </w:t>
      </w:r>
      <w:r w:rsidR="00DB0B3C" w:rsidRPr="00A73EA7">
        <w:t>11</w:t>
      </w:r>
      <w:r w:rsidR="008E096B" w:rsidRPr="00A73EA7">
        <w:t xml:space="preserve"> as soon as practicable after becoming aware of the error or omission.</w:t>
      </w:r>
    </w:p>
    <w:p w:rsidR="008E096B" w:rsidRPr="00A73EA7" w:rsidRDefault="008E096B" w:rsidP="008E096B">
      <w:pPr>
        <w:pStyle w:val="notetext"/>
      </w:pPr>
      <w:r w:rsidRPr="00A73EA7">
        <w:t>Note:</w:t>
      </w:r>
      <w:r w:rsidRPr="00A73EA7">
        <w:tab/>
        <w:t>For how this rule applies if the borrowing institution has a parent, see section</w:t>
      </w:r>
      <w:r w:rsidR="00A73EA7" w:rsidRPr="00A73EA7">
        <w:t> </w:t>
      </w:r>
      <w:r w:rsidR="00DB0B3C" w:rsidRPr="00A73EA7">
        <w:t>5</w:t>
      </w:r>
      <w:r w:rsidRPr="00A73EA7">
        <w:t>.</w:t>
      </w:r>
    </w:p>
    <w:p w:rsidR="00EE63D1" w:rsidRPr="00A73EA7" w:rsidRDefault="00FF0DD3" w:rsidP="00F41080">
      <w:pPr>
        <w:pStyle w:val="ActHead2"/>
        <w:pageBreakBefore/>
      </w:pPr>
      <w:bookmarkStart w:id="26" w:name="_Toc397940208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7</w:t>
      </w:r>
      <w:r w:rsidR="00EE63D1" w:rsidRPr="00A73EA7">
        <w:t>—</w:t>
      </w:r>
      <w:r w:rsidR="00C267FE" w:rsidRPr="00A73EA7">
        <w:rPr>
          <w:rStyle w:val="CharPartText"/>
        </w:rPr>
        <w:t>Actions to be tak</w:t>
      </w:r>
      <w:r w:rsidR="00CE74F7" w:rsidRPr="00A73EA7">
        <w:rPr>
          <w:rStyle w:val="CharPartText"/>
        </w:rPr>
        <w:t>en</w:t>
      </w:r>
      <w:r w:rsidR="00C267FE" w:rsidRPr="00A73EA7">
        <w:rPr>
          <w:rStyle w:val="CharPartText"/>
        </w:rPr>
        <w:t xml:space="preserve"> by </w:t>
      </w:r>
      <w:r w:rsidR="000A146B" w:rsidRPr="00A73EA7">
        <w:rPr>
          <w:rStyle w:val="CharPartText"/>
        </w:rPr>
        <w:t>borrowing institution or parent</w:t>
      </w:r>
      <w:bookmarkEnd w:id="26"/>
    </w:p>
    <w:p w:rsidR="00172136" w:rsidRPr="00A73EA7" w:rsidRDefault="00172136" w:rsidP="00172136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EE63D1" w:rsidRPr="00A73EA7" w:rsidRDefault="00DB0B3C" w:rsidP="00B57A67">
      <w:pPr>
        <w:pStyle w:val="ActHead5"/>
      </w:pPr>
      <w:bookmarkStart w:id="27" w:name="_Toc397940209"/>
      <w:r w:rsidRPr="00A73EA7">
        <w:rPr>
          <w:rStyle w:val="CharSectno"/>
        </w:rPr>
        <w:t>15</w:t>
      </w:r>
      <w:r w:rsidR="00172136" w:rsidRPr="00A73EA7">
        <w:t xml:space="preserve">  </w:t>
      </w:r>
      <w:r w:rsidR="00517E82" w:rsidRPr="00A73EA7">
        <w:t>Information requests and c</w:t>
      </w:r>
      <w:r w:rsidR="009F6558" w:rsidRPr="00A73EA7">
        <w:t>laims</w:t>
      </w:r>
      <w:r w:rsidR="00517E82" w:rsidRPr="00A73EA7">
        <w:t xml:space="preserve"> </w:t>
      </w:r>
      <w:r w:rsidR="009F6558" w:rsidRPr="00A73EA7">
        <w:t>in relation to an object</w:t>
      </w:r>
      <w:bookmarkEnd w:id="27"/>
    </w:p>
    <w:p w:rsidR="00BC363F" w:rsidRPr="00A73EA7" w:rsidRDefault="00B57A67" w:rsidP="004C39E1">
      <w:pPr>
        <w:pStyle w:val="subsection"/>
      </w:pPr>
      <w:r w:rsidRPr="00A73EA7">
        <w:tab/>
      </w:r>
      <w:r w:rsidR="00797B8A" w:rsidRPr="00A73EA7">
        <w:t>(1)</w:t>
      </w:r>
      <w:r w:rsidRPr="00A73EA7">
        <w:tab/>
      </w:r>
      <w:r w:rsidR="00BC363F" w:rsidRPr="00A73EA7">
        <w:t xml:space="preserve">This section applies to </w:t>
      </w:r>
      <w:r w:rsidR="004C39E1" w:rsidRPr="00A73EA7">
        <w:t>a borrowing institution</w:t>
      </w:r>
      <w:r w:rsidR="004F5963" w:rsidRPr="00A73EA7">
        <w:t xml:space="preserve"> </w:t>
      </w:r>
      <w:r w:rsidR="004C39E1" w:rsidRPr="00A73EA7">
        <w:t>if:</w:t>
      </w:r>
    </w:p>
    <w:p w:rsidR="00BC363F" w:rsidRPr="00A73EA7" w:rsidRDefault="00BC363F" w:rsidP="00BC363F">
      <w:pPr>
        <w:pStyle w:val="paragraph"/>
      </w:pPr>
      <w:r w:rsidRPr="00A73EA7">
        <w:tab/>
        <w:t>(a)</w:t>
      </w:r>
      <w:r w:rsidRPr="00A73EA7">
        <w:tab/>
        <w:t>an object to which Part</w:t>
      </w:r>
      <w:r w:rsidR="00A73EA7" w:rsidRPr="00A73EA7">
        <w:t> </w:t>
      </w:r>
      <w:r w:rsidRPr="00A73EA7">
        <w:t>2 of the Act applies</w:t>
      </w:r>
      <w:r w:rsidR="004F5963" w:rsidRPr="00A73EA7">
        <w:t xml:space="preserve"> is on loan to the institution or its parent</w:t>
      </w:r>
      <w:r w:rsidRPr="00A73EA7">
        <w:t>; and</w:t>
      </w:r>
    </w:p>
    <w:p w:rsidR="00BC363F" w:rsidRPr="00A73EA7" w:rsidRDefault="00BC363F" w:rsidP="00BC363F">
      <w:pPr>
        <w:pStyle w:val="paragraph"/>
      </w:pPr>
      <w:r w:rsidRPr="00A73EA7">
        <w:tab/>
        <w:t>(b)</w:t>
      </w:r>
      <w:r w:rsidRPr="00A73EA7">
        <w:tab/>
      </w:r>
      <w:r w:rsidR="00CF50F4" w:rsidRPr="00A73EA7">
        <w:t>the institution or parent receives</w:t>
      </w:r>
      <w:r w:rsidRPr="00A73EA7">
        <w:t>:</w:t>
      </w:r>
    </w:p>
    <w:p w:rsidR="00BC363F" w:rsidRPr="00A73EA7" w:rsidRDefault="004B1121" w:rsidP="00BC363F">
      <w:pPr>
        <w:pStyle w:val="paragraphsub"/>
      </w:pPr>
      <w:r w:rsidRPr="00A73EA7">
        <w:tab/>
        <w:t>(i)</w:t>
      </w:r>
      <w:r w:rsidRPr="00A73EA7">
        <w:tab/>
      </w:r>
      <w:r w:rsidR="00CF50F4" w:rsidRPr="00A73EA7">
        <w:t xml:space="preserve">a written request for information about the object from </w:t>
      </w:r>
      <w:r w:rsidR="00B57F05" w:rsidRPr="00A73EA7">
        <w:t>one or more persons who may have an interest in the object</w:t>
      </w:r>
      <w:r w:rsidR="00BC363F" w:rsidRPr="00A73EA7">
        <w:t>; or</w:t>
      </w:r>
    </w:p>
    <w:p w:rsidR="00BC363F" w:rsidRPr="00A73EA7" w:rsidRDefault="00D82D8D" w:rsidP="00BC363F">
      <w:pPr>
        <w:pStyle w:val="paragraphsub"/>
      </w:pPr>
      <w:r w:rsidRPr="00A73EA7">
        <w:tab/>
        <w:t>(ii)</w:t>
      </w:r>
      <w:r w:rsidRPr="00A73EA7">
        <w:tab/>
      </w:r>
      <w:r w:rsidR="00CF50F4" w:rsidRPr="00A73EA7">
        <w:t xml:space="preserve">a written claim that one or more persons have </w:t>
      </w:r>
      <w:r w:rsidR="00015D2E" w:rsidRPr="00A73EA7">
        <w:t>an interest in the object;</w:t>
      </w:r>
      <w:r w:rsidR="006E6996" w:rsidRPr="00A73EA7">
        <w:t xml:space="preserve"> and</w:t>
      </w:r>
    </w:p>
    <w:p w:rsidR="00CF50F4" w:rsidRPr="00A73EA7" w:rsidRDefault="00015D2E" w:rsidP="00015D2E">
      <w:pPr>
        <w:pStyle w:val="paragraph"/>
      </w:pPr>
      <w:r w:rsidRPr="00A73EA7">
        <w:tab/>
        <w:t>(c)</w:t>
      </w:r>
      <w:r w:rsidRPr="00A73EA7">
        <w:tab/>
        <w:t>the object has not been exported from Australia before the requ</w:t>
      </w:r>
      <w:r w:rsidR="001E32B5" w:rsidRPr="00A73EA7">
        <w:t>est or</w:t>
      </w:r>
      <w:r w:rsidRPr="00A73EA7">
        <w:t xml:space="preserve"> claim is received</w:t>
      </w:r>
      <w:r w:rsidR="00CF50F4" w:rsidRPr="00A73EA7">
        <w:t>.</w:t>
      </w:r>
    </w:p>
    <w:p w:rsidR="00607BCD" w:rsidRPr="00A73EA7" w:rsidRDefault="00607BCD" w:rsidP="00607BCD">
      <w:pPr>
        <w:pStyle w:val="subsection"/>
      </w:pPr>
      <w:r w:rsidRPr="00A73EA7">
        <w:tab/>
        <w:t>(2)</w:t>
      </w:r>
      <w:r w:rsidRPr="00A73EA7">
        <w:tab/>
        <w:t>The borrowing institution</w:t>
      </w:r>
      <w:r w:rsidR="00296182" w:rsidRPr="00A73EA7">
        <w:t xml:space="preserve"> must</w:t>
      </w:r>
      <w:r w:rsidRPr="00A73EA7">
        <w:t xml:space="preserve">, within 28 days </w:t>
      </w:r>
      <w:r w:rsidR="004F5963" w:rsidRPr="00A73EA7">
        <w:t>after</w:t>
      </w:r>
      <w:r w:rsidR="00296182" w:rsidRPr="00A73EA7">
        <w:t xml:space="preserve"> </w:t>
      </w:r>
      <w:r w:rsidRPr="00A73EA7">
        <w:t>the request or claim</w:t>
      </w:r>
      <w:r w:rsidR="004F5963" w:rsidRPr="00A73EA7">
        <w:t xml:space="preserve"> is received</w:t>
      </w:r>
      <w:r w:rsidR="00296182" w:rsidRPr="00A73EA7">
        <w:t>, give the person or persons</w:t>
      </w:r>
      <w:r w:rsidRPr="00A73EA7">
        <w:t>:</w:t>
      </w:r>
    </w:p>
    <w:p w:rsidR="00607BCD" w:rsidRPr="00A73EA7" w:rsidRDefault="00607BCD" w:rsidP="00607BCD">
      <w:pPr>
        <w:pStyle w:val="paragraph"/>
      </w:pPr>
      <w:r w:rsidRPr="00A73EA7">
        <w:tab/>
        <w:t>(a)</w:t>
      </w:r>
      <w:r w:rsidRPr="00A73EA7">
        <w:tab/>
        <w:t xml:space="preserve">the website address where information </w:t>
      </w:r>
      <w:r w:rsidR="00296182" w:rsidRPr="00A73EA7">
        <w:t xml:space="preserve">about the object </w:t>
      </w:r>
      <w:r w:rsidR="00CF50F4" w:rsidRPr="00A73EA7">
        <w:t xml:space="preserve">is published as </w:t>
      </w:r>
      <w:r w:rsidRPr="00A73EA7">
        <w:t xml:space="preserve">required </w:t>
      </w:r>
      <w:r w:rsidR="00296182" w:rsidRPr="00A73EA7">
        <w:t>by section</w:t>
      </w:r>
      <w:r w:rsidR="00A73EA7" w:rsidRPr="00A73EA7">
        <w:t> </w:t>
      </w:r>
      <w:r w:rsidR="00DB0B3C" w:rsidRPr="00A73EA7">
        <w:t>11</w:t>
      </w:r>
      <w:r w:rsidRPr="00A73EA7">
        <w:t>; and</w:t>
      </w:r>
    </w:p>
    <w:p w:rsidR="004F5963" w:rsidRPr="00A73EA7" w:rsidRDefault="00607BCD" w:rsidP="00296182">
      <w:pPr>
        <w:pStyle w:val="paragraph"/>
      </w:pPr>
      <w:r w:rsidRPr="00A73EA7">
        <w:tab/>
        <w:t>(b)</w:t>
      </w:r>
      <w:r w:rsidRPr="00A73EA7">
        <w:tab/>
        <w:t xml:space="preserve">information held by the institution or </w:t>
      </w:r>
      <w:r w:rsidR="004F5963" w:rsidRPr="00A73EA7">
        <w:t>its</w:t>
      </w:r>
      <w:r w:rsidRPr="00A73EA7">
        <w:t xml:space="preserve"> parent as a result of </w:t>
      </w:r>
      <w:r w:rsidR="004F5963" w:rsidRPr="00A73EA7">
        <w:t xml:space="preserve">provenance and due diligence research conducted </w:t>
      </w:r>
      <w:r w:rsidR="00512E62" w:rsidRPr="00A73EA7">
        <w:t>in accordance with the policies and procedures mentioned in paragraph</w:t>
      </w:r>
      <w:r w:rsidR="00A73EA7" w:rsidRPr="00A73EA7">
        <w:t> </w:t>
      </w:r>
      <w:r w:rsidR="00DB0B3C" w:rsidRPr="00A73EA7">
        <w:t>8</w:t>
      </w:r>
      <w:r w:rsidR="00512E62" w:rsidRPr="00A73EA7">
        <w:t>(1)(c</w:t>
      </w:r>
      <w:r w:rsidR="00200F5C" w:rsidRPr="00A73EA7">
        <w:t>)</w:t>
      </w:r>
      <w:r w:rsidR="004F5963" w:rsidRPr="00A73EA7">
        <w:t>.</w:t>
      </w:r>
    </w:p>
    <w:p w:rsidR="00176C46" w:rsidRPr="00A73EA7" w:rsidRDefault="00176C46" w:rsidP="00176C46">
      <w:pPr>
        <w:pStyle w:val="notetext"/>
      </w:pPr>
      <w:r w:rsidRPr="00A73EA7">
        <w:t>Note:</w:t>
      </w:r>
      <w:r w:rsidRPr="00A73EA7">
        <w:tab/>
        <w:t>For how this rule applies if the borrowing institution has a parent, see section</w:t>
      </w:r>
      <w:r w:rsidR="00A73EA7" w:rsidRPr="00A73EA7">
        <w:t> </w:t>
      </w:r>
      <w:r w:rsidR="00DB0B3C" w:rsidRPr="00A73EA7">
        <w:t>5</w:t>
      </w:r>
      <w:r w:rsidRPr="00A73EA7">
        <w:t>.</w:t>
      </w:r>
    </w:p>
    <w:p w:rsidR="004307CF" w:rsidRPr="00A73EA7" w:rsidRDefault="004307CF" w:rsidP="004307CF">
      <w:pPr>
        <w:pStyle w:val="subsection"/>
      </w:pPr>
      <w:r w:rsidRPr="00A73EA7">
        <w:tab/>
        <w:t>(3)</w:t>
      </w:r>
      <w:r w:rsidRPr="00A73EA7">
        <w:tab/>
      </w:r>
      <w:r w:rsidR="00A73EA7" w:rsidRPr="00A73EA7">
        <w:t>Paragraph (</w:t>
      </w:r>
      <w:r w:rsidRPr="00A73EA7">
        <w:t xml:space="preserve">2)(b) does not apply if the borrowing institution is satisfied, having regard to the nature of the information and the </w:t>
      </w:r>
      <w:r w:rsidR="008D381D" w:rsidRPr="00A73EA7">
        <w:t xml:space="preserve">nature and </w:t>
      </w:r>
      <w:r w:rsidRPr="00A73EA7">
        <w:t xml:space="preserve">circumstances of the request or claim, that it is not appropriate </w:t>
      </w:r>
      <w:r w:rsidR="009C4882" w:rsidRPr="00A73EA7">
        <w:t>for the information to be given.</w:t>
      </w:r>
    </w:p>
    <w:p w:rsidR="008C00DE" w:rsidRPr="00A73EA7" w:rsidRDefault="001E32B5" w:rsidP="00857B14">
      <w:pPr>
        <w:pStyle w:val="subsection"/>
      </w:pPr>
      <w:r w:rsidRPr="00A73EA7">
        <w:tab/>
        <w:t>(</w:t>
      </w:r>
      <w:r w:rsidR="004307CF" w:rsidRPr="00A73EA7">
        <w:t>4</w:t>
      </w:r>
      <w:r w:rsidRPr="00A73EA7">
        <w:t>)</w:t>
      </w:r>
      <w:r w:rsidRPr="00A73EA7">
        <w:tab/>
      </w:r>
      <w:r w:rsidR="00BB6981" w:rsidRPr="00A73EA7">
        <w:t>If the borrowing institution or parent receive</w:t>
      </w:r>
      <w:r w:rsidR="00407C64" w:rsidRPr="00A73EA7">
        <w:t>s</w:t>
      </w:r>
      <w:r w:rsidR="00BB6981" w:rsidRPr="00A73EA7">
        <w:t xml:space="preserve"> a claim mentioned in </w:t>
      </w:r>
      <w:r w:rsidR="00A73EA7" w:rsidRPr="00A73EA7">
        <w:t>subparagraph (</w:t>
      </w:r>
      <w:r w:rsidR="00BB6981" w:rsidRPr="00A73EA7">
        <w:t>1)(b)(ii), the borrowing institution must</w:t>
      </w:r>
      <w:r w:rsidR="00CF50F4" w:rsidRPr="00A73EA7">
        <w:t xml:space="preserve"> give the Minister</w:t>
      </w:r>
      <w:r w:rsidR="00614B93" w:rsidRPr="00A73EA7">
        <w:t>:</w:t>
      </w:r>
    </w:p>
    <w:p w:rsidR="008C00DE" w:rsidRPr="00A73EA7" w:rsidRDefault="00857B14" w:rsidP="00857B14">
      <w:pPr>
        <w:pStyle w:val="paragraph"/>
      </w:pPr>
      <w:r w:rsidRPr="00A73EA7">
        <w:tab/>
        <w:t>(a</w:t>
      </w:r>
      <w:r w:rsidR="008C00DE" w:rsidRPr="00A73EA7">
        <w:t>)</w:t>
      </w:r>
      <w:r w:rsidR="008C00DE" w:rsidRPr="00A73EA7">
        <w:tab/>
      </w:r>
      <w:r w:rsidR="00CF50F4" w:rsidRPr="00A73EA7">
        <w:t xml:space="preserve">written notice </w:t>
      </w:r>
      <w:r w:rsidR="00614B93" w:rsidRPr="00A73EA7">
        <w:t>of the claim; and</w:t>
      </w:r>
    </w:p>
    <w:p w:rsidR="00CF50F4" w:rsidRPr="00A73EA7" w:rsidRDefault="00857B14" w:rsidP="00857B14">
      <w:pPr>
        <w:pStyle w:val="paragraph"/>
      </w:pPr>
      <w:r w:rsidRPr="00A73EA7">
        <w:lastRenderedPageBreak/>
        <w:tab/>
        <w:t>(b</w:t>
      </w:r>
      <w:r w:rsidR="008C00DE" w:rsidRPr="00A73EA7">
        <w:t>)</w:t>
      </w:r>
      <w:r w:rsidR="008C00DE" w:rsidRPr="00A73EA7">
        <w:tab/>
      </w:r>
      <w:r w:rsidR="00CF50F4" w:rsidRPr="00A73EA7">
        <w:t xml:space="preserve">on request by the </w:t>
      </w:r>
      <w:r w:rsidR="008C00DE" w:rsidRPr="00A73EA7">
        <w:t>Minister</w:t>
      </w:r>
      <w:r w:rsidR="00CF50F4" w:rsidRPr="00A73EA7">
        <w:t>—</w:t>
      </w:r>
      <w:r w:rsidR="008C00DE" w:rsidRPr="00A73EA7">
        <w:t>a copy of the claim</w:t>
      </w:r>
      <w:r w:rsidR="00CF50F4" w:rsidRPr="00A73EA7">
        <w:t>.</w:t>
      </w:r>
    </w:p>
    <w:p w:rsidR="00EE63D1" w:rsidRPr="00A73EA7" w:rsidRDefault="00F41080" w:rsidP="00F41080">
      <w:pPr>
        <w:pStyle w:val="ActHead2"/>
        <w:pageBreakBefore/>
      </w:pPr>
      <w:bookmarkStart w:id="28" w:name="_Toc397940210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8</w:t>
      </w:r>
      <w:r w:rsidR="00EE63D1" w:rsidRPr="00A73EA7">
        <w:t>—</w:t>
      </w:r>
      <w:r w:rsidR="00EE63D1" w:rsidRPr="00A73EA7">
        <w:rPr>
          <w:rStyle w:val="CharPartText"/>
        </w:rPr>
        <w:t>Report to Minister</w:t>
      </w:r>
      <w:bookmarkEnd w:id="28"/>
    </w:p>
    <w:p w:rsidR="00172136" w:rsidRPr="00A73EA7" w:rsidRDefault="00172136" w:rsidP="00172136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AC4CE3" w:rsidRPr="00A73EA7" w:rsidRDefault="00DB0B3C" w:rsidP="00AC4CE3">
      <w:pPr>
        <w:pStyle w:val="ActHead5"/>
      </w:pPr>
      <w:bookmarkStart w:id="29" w:name="_Toc397940211"/>
      <w:r w:rsidRPr="00A73EA7">
        <w:rPr>
          <w:rStyle w:val="CharSectno"/>
        </w:rPr>
        <w:t>16</w:t>
      </w:r>
      <w:r w:rsidR="00AC4CE3" w:rsidRPr="00A73EA7">
        <w:t xml:space="preserve">  </w:t>
      </w:r>
      <w:r w:rsidR="00F41080" w:rsidRPr="00A73EA7">
        <w:t>Report to Minister on a</w:t>
      </w:r>
      <w:r w:rsidR="00AC4CE3" w:rsidRPr="00A73EA7">
        <w:t>ctivities of borrowing institution</w:t>
      </w:r>
      <w:bookmarkEnd w:id="29"/>
    </w:p>
    <w:p w:rsidR="00EA595F" w:rsidRPr="00A73EA7" w:rsidRDefault="00AC4CE3" w:rsidP="00AC4CE3">
      <w:pPr>
        <w:pStyle w:val="subsection"/>
      </w:pPr>
      <w:r w:rsidRPr="00A73EA7">
        <w:tab/>
        <w:t>(1)</w:t>
      </w:r>
      <w:r w:rsidRPr="00A73EA7">
        <w:tab/>
      </w:r>
      <w:r w:rsidR="000C6368" w:rsidRPr="00A73EA7">
        <w:t xml:space="preserve">A </w:t>
      </w:r>
      <w:r w:rsidR="005C71D3" w:rsidRPr="00A73EA7">
        <w:t>borrowing institution</w:t>
      </w:r>
      <w:r w:rsidR="00A5335D" w:rsidRPr="00A73EA7">
        <w:t xml:space="preserve"> </w:t>
      </w:r>
      <w:r w:rsidRPr="00A73EA7">
        <w:t>must</w:t>
      </w:r>
      <w:r w:rsidR="00EA595F" w:rsidRPr="00A73EA7">
        <w:t xml:space="preserve"> ensure that:</w:t>
      </w:r>
    </w:p>
    <w:p w:rsidR="00EA595F" w:rsidRPr="00A73EA7" w:rsidRDefault="00EA595F" w:rsidP="00EA595F">
      <w:pPr>
        <w:pStyle w:val="paragraph"/>
      </w:pPr>
      <w:r w:rsidRPr="00A73EA7">
        <w:tab/>
        <w:t>(a)</w:t>
      </w:r>
      <w:r w:rsidRPr="00A73EA7">
        <w:tab/>
        <w:t xml:space="preserve">a report is prepared on the activities of the borrowing institution during </w:t>
      </w:r>
      <w:r w:rsidR="009C4882" w:rsidRPr="00A73EA7">
        <w:t>each</w:t>
      </w:r>
      <w:r w:rsidRPr="00A73EA7">
        <w:t xml:space="preserve"> financial year</w:t>
      </w:r>
      <w:r w:rsidR="0040423A" w:rsidRPr="00A73EA7">
        <w:t xml:space="preserve"> in relation to the loan, or proposed loan, of </w:t>
      </w:r>
      <w:r w:rsidRPr="00A73EA7">
        <w:t>objects to which Part</w:t>
      </w:r>
      <w:r w:rsidR="00A73EA7" w:rsidRPr="00A73EA7">
        <w:t> </w:t>
      </w:r>
      <w:r w:rsidRPr="00A73EA7">
        <w:t>2 of the Act applies; and</w:t>
      </w:r>
    </w:p>
    <w:p w:rsidR="00EA595F" w:rsidRPr="00A73EA7" w:rsidRDefault="0040423A" w:rsidP="00EA595F">
      <w:pPr>
        <w:pStyle w:val="paragraph"/>
      </w:pPr>
      <w:r w:rsidRPr="00A73EA7">
        <w:tab/>
        <w:t>(b</w:t>
      </w:r>
      <w:r w:rsidR="00EA595F" w:rsidRPr="00A73EA7">
        <w:t>)</w:t>
      </w:r>
      <w:r w:rsidR="00EA595F" w:rsidRPr="00A73EA7">
        <w:tab/>
        <w:t xml:space="preserve">the report is given to the Minister </w:t>
      </w:r>
      <w:r w:rsidR="002C7DE3" w:rsidRPr="00A73EA7">
        <w:t>by</w:t>
      </w:r>
      <w:r w:rsidR="00EA595F" w:rsidRPr="00A73EA7">
        <w:t xml:space="preserve"> </w:t>
      </w:r>
      <w:r w:rsidR="00AA33A0" w:rsidRPr="00A73EA7">
        <w:t>the next 31</w:t>
      </w:r>
      <w:r w:rsidR="00A73EA7" w:rsidRPr="00A73EA7">
        <w:t> </w:t>
      </w:r>
      <w:r w:rsidR="00AA33A0" w:rsidRPr="00A73EA7">
        <w:t>October after the financial year</w:t>
      </w:r>
      <w:r w:rsidR="00EA595F" w:rsidRPr="00A73EA7">
        <w:t>.</w:t>
      </w:r>
    </w:p>
    <w:p w:rsidR="00176C46" w:rsidRPr="00A73EA7" w:rsidRDefault="00176C46" w:rsidP="00176C46">
      <w:pPr>
        <w:pStyle w:val="notetext"/>
      </w:pPr>
      <w:r w:rsidRPr="00A73EA7">
        <w:t>Note:</w:t>
      </w:r>
      <w:r w:rsidRPr="00A73EA7">
        <w:tab/>
        <w:t>For how this rule applies if the borrowing institution has a parent, see section</w:t>
      </w:r>
      <w:r w:rsidR="00A73EA7" w:rsidRPr="00A73EA7">
        <w:t> </w:t>
      </w:r>
      <w:r w:rsidR="00DB0B3C" w:rsidRPr="00A73EA7">
        <w:t>5</w:t>
      </w:r>
      <w:r w:rsidRPr="00A73EA7">
        <w:t>.</w:t>
      </w:r>
    </w:p>
    <w:p w:rsidR="00AC4CE3" w:rsidRPr="00A73EA7" w:rsidRDefault="009B5D7B" w:rsidP="00AC4CE3">
      <w:pPr>
        <w:pStyle w:val="subsection"/>
      </w:pPr>
      <w:r w:rsidRPr="00A73EA7">
        <w:tab/>
        <w:t>(2)</w:t>
      </w:r>
      <w:r w:rsidRPr="00A73EA7">
        <w:tab/>
      </w:r>
      <w:r w:rsidR="007046AA" w:rsidRPr="00A73EA7">
        <w:t xml:space="preserve">The borrowing institution’s </w:t>
      </w:r>
      <w:r w:rsidR="00507193" w:rsidRPr="00A73EA7">
        <w:t>report</w:t>
      </w:r>
      <w:r w:rsidR="00EA595F" w:rsidRPr="00A73EA7">
        <w:t xml:space="preserve"> </w:t>
      </w:r>
      <w:r w:rsidR="009C4882" w:rsidRPr="00A73EA7">
        <w:t xml:space="preserve">for a financial year </w:t>
      </w:r>
      <w:r w:rsidR="00EA595F" w:rsidRPr="00A73EA7">
        <w:t>must include</w:t>
      </w:r>
      <w:r w:rsidR="00507193" w:rsidRPr="00A73EA7">
        <w:t>:</w:t>
      </w:r>
    </w:p>
    <w:p w:rsidR="009B5D7B" w:rsidRPr="00A73EA7" w:rsidRDefault="009B5D7B" w:rsidP="009B5D7B">
      <w:pPr>
        <w:pStyle w:val="paragraph"/>
      </w:pPr>
      <w:r w:rsidRPr="00A73EA7">
        <w:tab/>
        <w:t>(a)</w:t>
      </w:r>
      <w:r w:rsidRPr="00A73EA7">
        <w:tab/>
        <w:t xml:space="preserve">the following information </w:t>
      </w:r>
      <w:r w:rsidR="00EA595F" w:rsidRPr="00A73EA7">
        <w:t>for each exhibition</w:t>
      </w:r>
      <w:r w:rsidRPr="00A73EA7">
        <w:t xml:space="preserve"> </w:t>
      </w:r>
      <w:r w:rsidR="000C6368" w:rsidRPr="00A73EA7">
        <w:t xml:space="preserve">in which </w:t>
      </w:r>
      <w:r w:rsidR="00960AA2" w:rsidRPr="00A73EA7">
        <w:t xml:space="preserve">the institution </w:t>
      </w:r>
      <w:r w:rsidR="009C4882" w:rsidRPr="00A73EA7">
        <w:t>was</w:t>
      </w:r>
      <w:r w:rsidR="00960AA2" w:rsidRPr="00A73EA7">
        <w:t xml:space="preserve"> involved during </w:t>
      </w:r>
      <w:r w:rsidR="00200F5C" w:rsidRPr="00A73EA7">
        <w:t>the financial year that included</w:t>
      </w:r>
      <w:r w:rsidR="00960AA2" w:rsidRPr="00A73EA7">
        <w:t xml:space="preserve"> an object to which Part</w:t>
      </w:r>
      <w:r w:rsidR="00A73EA7" w:rsidRPr="00A73EA7">
        <w:t> </w:t>
      </w:r>
      <w:r w:rsidR="00960AA2" w:rsidRPr="00A73EA7">
        <w:t>2 of the Act applies</w:t>
      </w:r>
      <w:r w:rsidRPr="00A73EA7">
        <w:t>:</w:t>
      </w:r>
    </w:p>
    <w:p w:rsidR="009B5D7B" w:rsidRPr="00A73EA7" w:rsidRDefault="009B5D7B" w:rsidP="009B5D7B">
      <w:pPr>
        <w:pStyle w:val="paragraphsub"/>
      </w:pPr>
      <w:r w:rsidRPr="00A73EA7">
        <w:tab/>
        <w:t>(</w:t>
      </w:r>
      <w:r w:rsidR="00507193" w:rsidRPr="00A73EA7">
        <w:t>i)</w:t>
      </w:r>
      <w:r w:rsidR="00507193" w:rsidRPr="00A73EA7">
        <w:tab/>
        <w:t>the title of the exhibition;</w:t>
      </w:r>
    </w:p>
    <w:p w:rsidR="009B5D7B" w:rsidRPr="00A73EA7" w:rsidRDefault="009B5D7B" w:rsidP="009B5D7B">
      <w:pPr>
        <w:pStyle w:val="paragraphsub"/>
      </w:pPr>
      <w:r w:rsidRPr="00A73EA7">
        <w:tab/>
        <w:t>(ii)</w:t>
      </w:r>
      <w:r w:rsidRPr="00A73EA7">
        <w:tab/>
      </w:r>
      <w:r w:rsidR="0040423A" w:rsidRPr="00A73EA7">
        <w:t xml:space="preserve">a description of </w:t>
      </w:r>
      <w:r w:rsidR="00EA595F" w:rsidRPr="00A73EA7">
        <w:t xml:space="preserve">the </w:t>
      </w:r>
      <w:r w:rsidRPr="00A73EA7">
        <w:t>objec</w:t>
      </w:r>
      <w:r w:rsidR="005E0426" w:rsidRPr="00A73EA7">
        <w:t>t</w:t>
      </w:r>
      <w:r w:rsidR="00507193" w:rsidRPr="00A73EA7">
        <w:t>;</w:t>
      </w:r>
    </w:p>
    <w:p w:rsidR="009B5D7B" w:rsidRPr="00A73EA7" w:rsidRDefault="009B5D7B" w:rsidP="009B5D7B">
      <w:pPr>
        <w:pStyle w:val="paragraphsub"/>
      </w:pPr>
      <w:r w:rsidRPr="00A73EA7">
        <w:tab/>
        <w:t>(iii)</w:t>
      </w:r>
      <w:r w:rsidRPr="00A73EA7">
        <w:tab/>
      </w:r>
      <w:r w:rsidR="00EA595F" w:rsidRPr="00A73EA7">
        <w:t xml:space="preserve">each </w:t>
      </w:r>
      <w:r w:rsidR="00387D90" w:rsidRPr="00A73EA7">
        <w:t>location</w:t>
      </w:r>
      <w:r w:rsidR="00507193" w:rsidRPr="00A73EA7">
        <w:t xml:space="preserve"> </w:t>
      </w:r>
      <w:r w:rsidR="00EA595F" w:rsidRPr="00A73EA7">
        <w:t xml:space="preserve">at which </w:t>
      </w:r>
      <w:r w:rsidR="00507193" w:rsidRPr="00A73EA7">
        <w:t>the exhibition was held;</w:t>
      </w:r>
    </w:p>
    <w:p w:rsidR="00373E26" w:rsidRPr="00A73EA7" w:rsidRDefault="009B5D7B" w:rsidP="009B5D7B">
      <w:pPr>
        <w:pStyle w:val="paragraphsub"/>
      </w:pPr>
      <w:r w:rsidRPr="00A73EA7">
        <w:tab/>
        <w:t>(iv)</w:t>
      </w:r>
      <w:r w:rsidRPr="00A73EA7">
        <w:tab/>
      </w:r>
      <w:r w:rsidR="003E7B3E" w:rsidRPr="00A73EA7">
        <w:t>the date</w:t>
      </w:r>
      <w:r w:rsidR="00373E26" w:rsidRPr="00A73EA7">
        <w:t xml:space="preserve"> </w:t>
      </w:r>
      <w:r w:rsidR="003E7B3E" w:rsidRPr="00A73EA7">
        <w:t>on which the object was imported</w:t>
      </w:r>
      <w:r w:rsidR="00373E26" w:rsidRPr="00A73EA7">
        <w:t xml:space="preserve"> into Australia;</w:t>
      </w:r>
    </w:p>
    <w:p w:rsidR="003E7B3E" w:rsidRPr="00A73EA7" w:rsidRDefault="00373E26" w:rsidP="009B5D7B">
      <w:pPr>
        <w:pStyle w:val="paragraphsub"/>
      </w:pPr>
      <w:r w:rsidRPr="00A73EA7">
        <w:tab/>
        <w:t>(v)</w:t>
      </w:r>
      <w:r w:rsidRPr="00A73EA7">
        <w:tab/>
        <w:t>the date on which the object was, or is to be, exported from Australia</w:t>
      </w:r>
      <w:r w:rsidR="003E7B3E" w:rsidRPr="00A73EA7">
        <w:t>;</w:t>
      </w:r>
    </w:p>
    <w:p w:rsidR="00272534" w:rsidRPr="00A73EA7" w:rsidRDefault="003E7B3E" w:rsidP="009B5D7B">
      <w:pPr>
        <w:pStyle w:val="paragraphsub"/>
      </w:pPr>
      <w:r w:rsidRPr="00A73EA7">
        <w:tab/>
        <w:t>(v</w:t>
      </w:r>
      <w:r w:rsidR="00373E26" w:rsidRPr="00A73EA7">
        <w:t>i</w:t>
      </w:r>
      <w:r w:rsidRPr="00A73EA7">
        <w:t>)</w:t>
      </w:r>
      <w:r w:rsidRPr="00A73EA7">
        <w:tab/>
      </w:r>
      <w:r w:rsidR="009B5D7B" w:rsidRPr="00A73EA7">
        <w:t xml:space="preserve">the </w:t>
      </w:r>
      <w:r w:rsidR="00EA595F" w:rsidRPr="00A73EA7">
        <w:t xml:space="preserve">date on which </w:t>
      </w:r>
      <w:r w:rsidRPr="00A73EA7">
        <w:t xml:space="preserve">the </w:t>
      </w:r>
      <w:r w:rsidR="009B5D7B" w:rsidRPr="00A73EA7">
        <w:t>exhibition commenced</w:t>
      </w:r>
      <w:r w:rsidR="00517E82" w:rsidRPr="00A73EA7">
        <w:t>;</w:t>
      </w:r>
    </w:p>
    <w:p w:rsidR="00BB05CC" w:rsidRPr="00A73EA7" w:rsidRDefault="00272534" w:rsidP="009B5D7B">
      <w:pPr>
        <w:pStyle w:val="paragraphsub"/>
      </w:pPr>
      <w:r w:rsidRPr="00A73EA7">
        <w:tab/>
        <w:t>(vii)</w:t>
      </w:r>
      <w:r w:rsidRPr="00A73EA7">
        <w:tab/>
        <w:t>the date on which the exhibition ended or is to end;</w:t>
      </w:r>
    </w:p>
    <w:p w:rsidR="009B5D7B" w:rsidRPr="00A73EA7" w:rsidRDefault="00BB05CC" w:rsidP="009B5D7B">
      <w:pPr>
        <w:pStyle w:val="paragraphsub"/>
      </w:pPr>
      <w:r w:rsidRPr="00A73EA7">
        <w:tab/>
        <w:t>(vi</w:t>
      </w:r>
      <w:r w:rsidR="00272534" w:rsidRPr="00A73EA7">
        <w:t>i</w:t>
      </w:r>
      <w:r w:rsidRPr="00A73EA7">
        <w:t>i)</w:t>
      </w:r>
      <w:r w:rsidRPr="00A73EA7">
        <w:tab/>
      </w:r>
      <w:r w:rsidR="00EA595F" w:rsidRPr="00A73EA7">
        <w:t xml:space="preserve">the </w:t>
      </w:r>
      <w:r w:rsidR="009B5D7B" w:rsidRPr="00A73EA7">
        <w:t xml:space="preserve">number of visitors who attended </w:t>
      </w:r>
      <w:r w:rsidR="00A271E8" w:rsidRPr="00A73EA7">
        <w:t xml:space="preserve">the </w:t>
      </w:r>
      <w:r w:rsidR="00507193" w:rsidRPr="00A73EA7">
        <w:t>exhibition</w:t>
      </w:r>
      <w:r w:rsidR="00272534" w:rsidRPr="00A73EA7">
        <w:t xml:space="preserve"> during the financial year</w:t>
      </w:r>
      <w:r w:rsidR="00507193" w:rsidRPr="00A73EA7">
        <w:t>;</w:t>
      </w:r>
      <w:r w:rsidR="00387D90" w:rsidRPr="00A73EA7">
        <w:t xml:space="preserve"> and</w:t>
      </w:r>
    </w:p>
    <w:p w:rsidR="00DF0F84" w:rsidRPr="00A73EA7" w:rsidRDefault="00BA0738" w:rsidP="00BA0738">
      <w:pPr>
        <w:pStyle w:val="paragraph"/>
      </w:pPr>
      <w:r w:rsidRPr="00A73EA7">
        <w:tab/>
      </w:r>
      <w:r w:rsidR="00A5335D" w:rsidRPr="00A73EA7">
        <w:t>(</w:t>
      </w:r>
      <w:r w:rsidR="00DF0F84" w:rsidRPr="00A73EA7">
        <w:t>b)</w:t>
      </w:r>
      <w:r w:rsidR="00DF0F84" w:rsidRPr="00A73EA7">
        <w:tab/>
        <w:t>details of any provenance or due diligence research</w:t>
      </w:r>
      <w:r w:rsidR="00DF0F84" w:rsidRPr="00A73EA7">
        <w:rPr>
          <w:i/>
        </w:rPr>
        <w:t xml:space="preserve"> </w:t>
      </w:r>
      <w:r w:rsidR="00200F5C" w:rsidRPr="00A73EA7">
        <w:t xml:space="preserve">conducted </w:t>
      </w:r>
      <w:r w:rsidR="00512E62" w:rsidRPr="00A73EA7">
        <w:t xml:space="preserve">in accordance with the policies and procedures </w:t>
      </w:r>
      <w:r w:rsidR="009E1F96" w:rsidRPr="00A73EA7">
        <w:t>mentioned in paragraph</w:t>
      </w:r>
      <w:r w:rsidR="00A73EA7" w:rsidRPr="00A73EA7">
        <w:t> </w:t>
      </w:r>
      <w:r w:rsidR="00DB0B3C" w:rsidRPr="00A73EA7">
        <w:t>8</w:t>
      </w:r>
      <w:r w:rsidR="009E1F96" w:rsidRPr="00A73EA7">
        <w:t>(1)(</w:t>
      </w:r>
      <w:r w:rsidR="00512E62" w:rsidRPr="00A73EA7">
        <w:t>c</w:t>
      </w:r>
      <w:r w:rsidR="00200F5C" w:rsidRPr="00A73EA7">
        <w:t>)</w:t>
      </w:r>
      <w:r w:rsidR="00DF0F84" w:rsidRPr="00A73EA7">
        <w:t>; and</w:t>
      </w:r>
    </w:p>
    <w:p w:rsidR="00387D90" w:rsidRPr="00A73EA7" w:rsidRDefault="009B5D7B" w:rsidP="009B5D7B">
      <w:pPr>
        <w:pStyle w:val="paragraph"/>
      </w:pPr>
      <w:r w:rsidRPr="00A73EA7">
        <w:tab/>
        <w:t>(</w:t>
      </w:r>
      <w:r w:rsidR="00A5335D" w:rsidRPr="00A73EA7">
        <w:t>c</w:t>
      </w:r>
      <w:r w:rsidRPr="00A73EA7">
        <w:t>)</w:t>
      </w:r>
      <w:r w:rsidRPr="00A73EA7">
        <w:tab/>
      </w:r>
      <w:r w:rsidR="00387D90" w:rsidRPr="00A73EA7">
        <w:t xml:space="preserve">details of </w:t>
      </w:r>
      <w:r w:rsidR="00EA595F" w:rsidRPr="00A73EA7">
        <w:t xml:space="preserve">any </w:t>
      </w:r>
      <w:r w:rsidR="00387D90" w:rsidRPr="00A73EA7">
        <w:t>consultation undertake</w:t>
      </w:r>
      <w:r w:rsidR="00EA595F" w:rsidRPr="00A73EA7">
        <w:t>n</w:t>
      </w:r>
      <w:r w:rsidR="00387D90" w:rsidRPr="00A73EA7">
        <w:t xml:space="preserve"> in accordance with Part</w:t>
      </w:r>
      <w:r w:rsidR="00A73EA7" w:rsidRPr="00A73EA7">
        <w:t> </w:t>
      </w:r>
      <w:r w:rsidR="007F2230" w:rsidRPr="00A73EA7">
        <w:t>5</w:t>
      </w:r>
      <w:r w:rsidR="00387D90" w:rsidRPr="00A73EA7">
        <w:t>; and</w:t>
      </w:r>
    </w:p>
    <w:p w:rsidR="00C422D3" w:rsidRPr="00A73EA7" w:rsidRDefault="00A5335D" w:rsidP="009F6558">
      <w:pPr>
        <w:pStyle w:val="paragraph"/>
      </w:pPr>
      <w:r w:rsidRPr="00A73EA7">
        <w:lastRenderedPageBreak/>
        <w:tab/>
        <w:t>(d</w:t>
      </w:r>
      <w:r w:rsidR="006C258A" w:rsidRPr="00A73EA7">
        <w:t>)</w:t>
      </w:r>
      <w:r w:rsidR="006C258A" w:rsidRPr="00A73EA7">
        <w:tab/>
      </w:r>
      <w:r w:rsidR="0040423A" w:rsidRPr="00A73EA7">
        <w:t xml:space="preserve">if information was </w:t>
      </w:r>
      <w:r w:rsidR="00E63F6B" w:rsidRPr="00A73EA7">
        <w:t>published on the institution’s website in accordance with section</w:t>
      </w:r>
      <w:r w:rsidR="00A73EA7" w:rsidRPr="00A73EA7">
        <w:t> </w:t>
      </w:r>
      <w:r w:rsidR="00DB0B3C" w:rsidRPr="00A73EA7">
        <w:t>11</w:t>
      </w:r>
      <w:r w:rsidR="00E63F6B" w:rsidRPr="00A73EA7">
        <w:t>—</w:t>
      </w:r>
      <w:r w:rsidR="00C422D3" w:rsidRPr="00A73EA7">
        <w:t>a copy of th</w:t>
      </w:r>
      <w:r w:rsidR="00E63F6B" w:rsidRPr="00A73EA7">
        <w:t>at information</w:t>
      </w:r>
      <w:r w:rsidR="00C422D3" w:rsidRPr="00A73EA7">
        <w:t>; and</w:t>
      </w:r>
    </w:p>
    <w:p w:rsidR="00E63F6B" w:rsidRPr="00A73EA7" w:rsidRDefault="00A5335D" w:rsidP="009F6558">
      <w:pPr>
        <w:pStyle w:val="paragraph"/>
      </w:pPr>
      <w:r w:rsidRPr="00A73EA7">
        <w:tab/>
        <w:t>(e</w:t>
      </w:r>
      <w:r w:rsidR="00E63F6B" w:rsidRPr="00A73EA7">
        <w:t>)</w:t>
      </w:r>
      <w:r w:rsidR="00E63F6B" w:rsidRPr="00A73EA7">
        <w:tab/>
        <w:t xml:space="preserve">if a hyperlink </w:t>
      </w:r>
      <w:r w:rsidR="00200F5C" w:rsidRPr="00A73EA7">
        <w:t xml:space="preserve">to information about an object </w:t>
      </w:r>
      <w:r w:rsidR="00E63F6B" w:rsidRPr="00A73EA7">
        <w:t xml:space="preserve">was included on the institution’s website </w:t>
      </w:r>
      <w:r w:rsidRPr="00A73EA7">
        <w:t xml:space="preserve">in accordance with </w:t>
      </w:r>
      <w:r w:rsidR="00E63F6B" w:rsidRPr="00A73EA7">
        <w:t>section</w:t>
      </w:r>
      <w:r w:rsidR="00A73EA7" w:rsidRPr="00A73EA7">
        <w:t> </w:t>
      </w:r>
      <w:r w:rsidR="00DB0B3C" w:rsidRPr="00A73EA7">
        <w:t>13</w:t>
      </w:r>
      <w:r w:rsidR="00E63F6B" w:rsidRPr="00A73EA7">
        <w:t>—a statement to that effect; and</w:t>
      </w:r>
    </w:p>
    <w:p w:rsidR="009F6558" w:rsidRPr="00A73EA7" w:rsidRDefault="00C422D3" w:rsidP="00C422D3">
      <w:pPr>
        <w:pStyle w:val="paragraph"/>
      </w:pPr>
      <w:r w:rsidRPr="00A73EA7">
        <w:tab/>
        <w:t>(</w:t>
      </w:r>
      <w:r w:rsidR="00A5335D" w:rsidRPr="00A73EA7">
        <w:t>f</w:t>
      </w:r>
      <w:r w:rsidRPr="00A73EA7">
        <w:t>)</w:t>
      </w:r>
      <w:r w:rsidRPr="00A73EA7">
        <w:tab/>
        <w:t xml:space="preserve">a statement that the information </w:t>
      </w:r>
      <w:r w:rsidR="00E63F6B" w:rsidRPr="00A73EA7">
        <w:t xml:space="preserve">published as mentioned in </w:t>
      </w:r>
      <w:r w:rsidR="00A73EA7" w:rsidRPr="00A73EA7">
        <w:t>paragraph (</w:t>
      </w:r>
      <w:r w:rsidR="00A5335D" w:rsidRPr="00A73EA7">
        <w:t>d</w:t>
      </w:r>
      <w:r w:rsidR="00E63F6B" w:rsidRPr="00A73EA7">
        <w:t xml:space="preserve">), or the </w:t>
      </w:r>
      <w:r w:rsidR="0040423A" w:rsidRPr="00A73EA7">
        <w:t xml:space="preserve">hyperlink </w:t>
      </w:r>
      <w:r w:rsidR="00E63F6B" w:rsidRPr="00A73EA7">
        <w:t>inclu</w:t>
      </w:r>
      <w:r w:rsidR="00A5335D" w:rsidRPr="00A73EA7">
        <w:t xml:space="preserve">ded as mentioned in </w:t>
      </w:r>
      <w:r w:rsidR="00A73EA7" w:rsidRPr="00A73EA7">
        <w:t>paragraph (</w:t>
      </w:r>
      <w:r w:rsidR="00A5335D" w:rsidRPr="00A73EA7">
        <w:t>e</w:t>
      </w:r>
      <w:r w:rsidR="00E63F6B" w:rsidRPr="00A73EA7">
        <w:t xml:space="preserve">), remained on the institution’s website </w:t>
      </w:r>
      <w:r w:rsidRPr="00A73EA7">
        <w:t>for at least the period required</w:t>
      </w:r>
      <w:r w:rsidR="00E63F6B" w:rsidRPr="00A73EA7">
        <w:t xml:space="preserve"> und</w:t>
      </w:r>
      <w:r w:rsidR="00676551" w:rsidRPr="00A73EA7">
        <w:t>er Part</w:t>
      </w:r>
      <w:r w:rsidR="00A73EA7" w:rsidRPr="00A73EA7">
        <w:t> </w:t>
      </w:r>
      <w:r w:rsidR="007F2230" w:rsidRPr="00A73EA7">
        <w:t>6</w:t>
      </w:r>
      <w:r w:rsidRPr="00A73EA7">
        <w:t>, and any information that may confirm th</w:t>
      </w:r>
      <w:r w:rsidR="008D381D" w:rsidRPr="00A73EA7">
        <w:t>at</w:t>
      </w:r>
      <w:r w:rsidRPr="00A73EA7">
        <w:t xml:space="preserve"> statement.</w:t>
      </w:r>
    </w:p>
    <w:p w:rsidR="00777FA9" w:rsidRPr="00A73EA7" w:rsidRDefault="00777FA9" w:rsidP="009F6558">
      <w:pPr>
        <w:pStyle w:val="subsection"/>
      </w:pPr>
      <w:r w:rsidRPr="00A73EA7">
        <w:tab/>
        <w:t>(3</w:t>
      </w:r>
      <w:r w:rsidR="006C258A" w:rsidRPr="00A73EA7">
        <w:t>)</w:t>
      </w:r>
      <w:r w:rsidR="006C258A" w:rsidRPr="00A73EA7">
        <w:tab/>
      </w:r>
      <w:r w:rsidRPr="00A73EA7">
        <w:t>If a</w:t>
      </w:r>
      <w:r w:rsidR="00C74BD7" w:rsidRPr="00A73EA7">
        <w:t xml:space="preserve"> request </w:t>
      </w:r>
      <w:r w:rsidR="00E63F6B" w:rsidRPr="00A73EA7">
        <w:t>or</w:t>
      </w:r>
      <w:r w:rsidR="00C74BD7" w:rsidRPr="00A73EA7">
        <w:t xml:space="preserve"> </w:t>
      </w:r>
      <w:r w:rsidR="00374B2F" w:rsidRPr="00A73EA7">
        <w:t>claim</w:t>
      </w:r>
      <w:r w:rsidRPr="00A73EA7">
        <w:t xml:space="preserve"> </w:t>
      </w:r>
      <w:r w:rsidR="00160EC4" w:rsidRPr="00A73EA7">
        <w:t>mentioned in section</w:t>
      </w:r>
      <w:r w:rsidR="00A73EA7" w:rsidRPr="00A73EA7">
        <w:t> </w:t>
      </w:r>
      <w:r w:rsidR="00DB0B3C" w:rsidRPr="00A73EA7">
        <w:t>15</w:t>
      </w:r>
      <w:r w:rsidR="00160EC4" w:rsidRPr="00A73EA7">
        <w:t xml:space="preserve"> was received by </w:t>
      </w:r>
      <w:r w:rsidR="00A5335D" w:rsidRPr="00A73EA7">
        <w:t xml:space="preserve">a borrowing </w:t>
      </w:r>
      <w:r w:rsidR="00160EC4" w:rsidRPr="00A73EA7">
        <w:t xml:space="preserve">institution </w:t>
      </w:r>
      <w:r w:rsidR="00A5335D" w:rsidRPr="00A73EA7">
        <w:t>or a parent of a borrowing institution d</w:t>
      </w:r>
      <w:r w:rsidR="00160EC4" w:rsidRPr="00A73EA7">
        <w:t>uring the financial year</w:t>
      </w:r>
      <w:r w:rsidRPr="00A73EA7">
        <w:t>, the report</w:t>
      </w:r>
      <w:r w:rsidR="00A5335D" w:rsidRPr="00A73EA7">
        <w:t xml:space="preserve"> under this section</w:t>
      </w:r>
      <w:r w:rsidRPr="00A73EA7">
        <w:t xml:space="preserve"> must include information about:</w:t>
      </w:r>
    </w:p>
    <w:p w:rsidR="006C258A" w:rsidRPr="00A73EA7" w:rsidRDefault="00777FA9" w:rsidP="00777FA9">
      <w:pPr>
        <w:pStyle w:val="paragraph"/>
      </w:pPr>
      <w:r w:rsidRPr="00A73EA7">
        <w:tab/>
        <w:t>(a)</w:t>
      </w:r>
      <w:r w:rsidRPr="00A73EA7">
        <w:tab/>
        <w:t xml:space="preserve">the </w:t>
      </w:r>
      <w:r w:rsidR="00C74BD7" w:rsidRPr="00A73EA7">
        <w:t>request</w:t>
      </w:r>
      <w:r w:rsidRPr="00A73EA7">
        <w:t xml:space="preserve"> or claim; and</w:t>
      </w:r>
    </w:p>
    <w:p w:rsidR="00374B2F" w:rsidRPr="00A73EA7" w:rsidRDefault="00374B2F" w:rsidP="00777FA9">
      <w:pPr>
        <w:pStyle w:val="paragraph"/>
      </w:pPr>
      <w:r w:rsidRPr="00A73EA7">
        <w:tab/>
        <w:t>(</w:t>
      </w:r>
      <w:r w:rsidR="00777FA9" w:rsidRPr="00A73EA7">
        <w:t>b</w:t>
      </w:r>
      <w:r w:rsidRPr="00A73EA7">
        <w:t>)</w:t>
      </w:r>
      <w:r w:rsidRPr="00A73EA7">
        <w:tab/>
        <w:t xml:space="preserve">the action taken </w:t>
      </w:r>
      <w:r w:rsidR="00E3712C" w:rsidRPr="00A73EA7">
        <w:t>in accordance with section</w:t>
      </w:r>
      <w:r w:rsidR="00A73EA7" w:rsidRPr="00A73EA7">
        <w:t> </w:t>
      </w:r>
      <w:r w:rsidR="00DB0B3C" w:rsidRPr="00A73EA7">
        <w:t>15</w:t>
      </w:r>
      <w:r w:rsidR="00E3712C" w:rsidRPr="00A73EA7">
        <w:t xml:space="preserve"> </w:t>
      </w:r>
      <w:r w:rsidRPr="00A73EA7">
        <w:t xml:space="preserve">in relation to </w:t>
      </w:r>
      <w:r w:rsidR="00797B8A" w:rsidRPr="00A73EA7">
        <w:t xml:space="preserve">the </w:t>
      </w:r>
      <w:r w:rsidR="00C74BD7" w:rsidRPr="00A73EA7">
        <w:t>request</w:t>
      </w:r>
      <w:r w:rsidR="00387D90" w:rsidRPr="00A73EA7">
        <w:t xml:space="preserve"> or claim</w:t>
      </w:r>
      <w:r w:rsidRPr="00A73EA7">
        <w:t>.</w:t>
      </w:r>
    </w:p>
    <w:p w:rsidR="00E2010F" w:rsidRPr="00A73EA7" w:rsidRDefault="00E2010F" w:rsidP="00E2010F">
      <w:pPr>
        <w:pStyle w:val="ActHead2"/>
        <w:pageBreakBefore/>
      </w:pPr>
      <w:bookmarkStart w:id="30" w:name="_Toc397940212"/>
      <w:r w:rsidRPr="00A73EA7">
        <w:rPr>
          <w:rStyle w:val="CharPartNo"/>
        </w:rPr>
        <w:lastRenderedPageBreak/>
        <w:t>Part</w:t>
      </w:r>
      <w:r w:rsidR="00A73EA7" w:rsidRPr="00A73EA7">
        <w:rPr>
          <w:rStyle w:val="CharPartNo"/>
        </w:rPr>
        <w:t> </w:t>
      </w:r>
      <w:r w:rsidR="007F2230" w:rsidRPr="00A73EA7">
        <w:rPr>
          <w:rStyle w:val="CharPartNo"/>
        </w:rPr>
        <w:t>9</w:t>
      </w:r>
      <w:r w:rsidRPr="00A73EA7">
        <w:t>—</w:t>
      </w:r>
      <w:r w:rsidRPr="00A73EA7">
        <w:rPr>
          <w:rStyle w:val="CharPartText"/>
        </w:rPr>
        <w:t>Miscellaneous</w:t>
      </w:r>
      <w:bookmarkEnd w:id="30"/>
    </w:p>
    <w:p w:rsidR="00E2010F" w:rsidRPr="00A73EA7" w:rsidRDefault="00E2010F" w:rsidP="00E2010F">
      <w:pPr>
        <w:pStyle w:val="Header"/>
      </w:pPr>
      <w:r w:rsidRPr="00A73EA7">
        <w:rPr>
          <w:rStyle w:val="CharDivNo"/>
        </w:rPr>
        <w:t xml:space="preserve"> </w:t>
      </w:r>
      <w:r w:rsidRPr="00A73EA7">
        <w:rPr>
          <w:rStyle w:val="CharDivText"/>
        </w:rPr>
        <w:t xml:space="preserve"> </w:t>
      </w:r>
    </w:p>
    <w:p w:rsidR="00E2010F" w:rsidRPr="00A73EA7" w:rsidRDefault="00DB0B3C" w:rsidP="00E2010F">
      <w:pPr>
        <w:pStyle w:val="ActHead5"/>
      </w:pPr>
      <w:bookmarkStart w:id="31" w:name="_Toc397940213"/>
      <w:r w:rsidRPr="00A73EA7">
        <w:rPr>
          <w:rStyle w:val="CharSectno"/>
        </w:rPr>
        <w:t>17</w:t>
      </w:r>
      <w:r w:rsidR="00E2010F" w:rsidRPr="00A73EA7">
        <w:t xml:space="preserve">  Delegation</w:t>
      </w:r>
      <w:bookmarkEnd w:id="31"/>
    </w:p>
    <w:p w:rsidR="00E2010F" w:rsidRPr="00A73EA7" w:rsidRDefault="00E2010F" w:rsidP="00E2010F">
      <w:pPr>
        <w:pStyle w:val="subsection"/>
      </w:pPr>
      <w:r w:rsidRPr="00A73EA7">
        <w:tab/>
      </w:r>
      <w:r w:rsidRPr="00A73EA7">
        <w:tab/>
        <w:t xml:space="preserve">The Minister may, by writing, delegate all or any of his or her functions and powers under this </w:t>
      </w:r>
      <w:r w:rsidR="00F14273" w:rsidRPr="00A73EA7">
        <w:t>r</w:t>
      </w:r>
      <w:r w:rsidRPr="00A73EA7">
        <w:t>egulation to an SES employee or acting SES employee in the Department.</w:t>
      </w:r>
    </w:p>
    <w:p w:rsidR="00E2010F" w:rsidRPr="00A73EA7" w:rsidRDefault="00E2010F" w:rsidP="00E2010F">
      <w:pPr>
        <w:pStyle w:val="notetext"/>
      </w:pPr>
      <w:r w:rsidRPr="00A73EA7">
        <w:t>Note:</w:t>
      </w:r>
      <w:r w:rsidRPr="00A73EA7">
        <w:tab/>
        <w:t xml:space="preserve">The expressions </w:t>
      </w:r>
      <w:r w:rsidRPr="00A73EA7">
        <w:rPr>
          <w:b/>
          <w:i/>
        </w:rPr>
        <w:t>SES employee</w:t>
      </w:r>
      <w:r w:rsidRPr="00A73EA7">
        <w:rPr>
          <w:b/>
        </w:rPr>
        <w:t xml:space="preserve"> </w:t>
      </w:r>
      <w:r w:rsidRPr="00A73EA7">
        <w:t xml:space="preserve">and </w:t>
      </w:r>
      <w:r w:rsidRPr="00A73EA7">
        <w:rPr>
          <w:b/>
          <w:i/>
        </w:rPr>
        <w:t>acting SES employee</w:t>
      </w:r>
      <w:r w:rsidRPr="00A73EA7">
        <w:t xml:space="preserve"> are defined in section</w:t>
      </w:r>
      <w:r w:rsidR="00A73EA7" w:rsidRPr="00A73EA7">
        <w:t> </w:t>
      </w:r>
      <w:r w:rsidRPr="00A73EA7">
        <w:t xml:space="preserve">2B of the </w:t>
      </w:r>
      <w:r w:rsidRPr="00A73EA7">
        <w:rPr>
          <w:i/>
        </w:rPr>
        <w:t>Acts Interpretation Act 1901</w:t>
      </w:r>
      <w:r w:rsidRPr="00A73EA7">
        <w:t>.</w:t>
      </w:r>
    </w:p>
    <w:sectPr w:rsidR="00E2010F" w:rsidRPr="00A73EA7" w:rsidSect="00AA1E9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/>
      <w:pgMar w:top="2234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7C0" w:rsidRDefault="008F37C0" w:rsidP="00715914">
      <w:pPr>
        <w:spacing w:line="240" w:lineRule="auto"/>
      </w:pPr>
      <w:r>
        <w:separator/>
      </w:r>
    </w:p>
  </w:endnote>
  <w:endnote w:type="continuationSeparator" w:id="0">
    <w:p w:rsidR="008F37C0" w:rsidRDefault="008F37C0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AA1E90" w:rsidRDefault="008F37C0" w:rsidP="00AA1E90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A1E90">
      <w:rPr>
        <w:i/>
        <w:sz w:val="18"/>
      </w:rPr>
      <w:t xml:space="preserve"> </w:t>
    </w:r>
    <w:r w:rsidR="00AA1E90" w:rsidRPr="00AA1E90">
      <w:rPr>
        <w:i/>
        <w:sz w:val="18"/>
      </w:rPr>
      <w:t>OPC60244 -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Default="008F37C0" w:rsidP="00E44C17">
    <w:pPr>
      <w:pStyle w:val="Footer"/>
    </w:pPr>
  </w:p>
  <w:p w:rsidR="008F37C0" w:rsidRPr="00E44C17" w:rsidRDefault="00AA1E90" w:rsidP="00AA1E90">
    <w:pPr>
      <w:pStyle w:val="Footer"/>
    </w:pPr>
    <w:r w:rsidRPr="00AA1E90">
      <w:rPr>
        <w:i/>
        <w:sz w:val="18"/>
      </w:rPr>
      <w:t>OPC60244 -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ED79B6" w:rsidRDefault="008F37C0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AA1E90" w:rsidRDefault="008F37C0" w:rsidP="00851BB5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F37C0" w:rsidRPr="00AA1E90" w:rsidTr="002B0EA5">
      <w:tc>
        <w:tcPr>
          <w:tcW w:w="1383" w:type="dxa"/>
        </w:tcPr>
        <w:p w:rsidR="008F37C0" w:rsidRPr="00AA1E90" w:rsidRDefault="008F37C0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AA1E90">
            <w:rPr>
              <w:rFonts w:cs="Times New Roman"/>
              <w:i/>
              <w:sz w:val="18"/>
            </w:rPr>
            <w:fldChar w:fldCharType="begin"/>
          </w:r>
          <w:r w:rsidRPr="00AA1E90">
            <w:rPr>
              <w:rFonts w:cs="Times New Roman"/>
              <w:i/>
              <w:sz w:val="18"/>
            </w:rPr>
            <w:instrText xml:space="preserve"> DOCPROPERTY ActNo </w:instrText>
          </w:r>
          <w:r w:rsidRPr="00AA1E90">
            <w:rPr>
              <w:rFonts w:cs="Times New Roman"/>
              <w:i/>
              <w:sz w:val="18"/>
            </w:rPr>
            <w:fldChar w:fldCharType="separate"/>
          </w:r>
          <w:r w:rsidR="0098039C">
            <w:rPr>
              <w:rFonts w:cs="Times New Roman"/>
              <w:i/>
              <w:sz w:val="18"/>
            </w:rPr>
            <w:t>No. 142, 2014</w:t>
          </w:r>
          <w:r w:rsidRPr="00AA1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7C0" w:rsidRPr="00AA1E90" w:rsidRDefault="008F37C0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A1E90">
            <w:rPr>
              <w:rFonts w:cs="Times New Roman"/>
              <w:i/>
              <w:sz w:val="18"/>
            </w:rPr>
            <w:fldChar w:fldCharType="begin"/>
          </w:r>
          <w:r w:rsidRPr="00AA1E90">
            <w:rPr>
              <w:rFonts w:cs="Times New Roman"/>
              <w:i/>
              <w:sz w:val="18"/>
            </w:rPr>
            <w:instrText xml:space="preserve"> DOCPROPERTY ShortT </w:instrText>
          </w:r>
          <w:r w:rsidRPr="00AA1E90">
            <w:rPr>
              <w:rFonts w:cs="Times New Roman"/>
              <w:i/>
              <w:sz w:val="18"/>
            </w:rPr>
            <w:fldChar w:fldCharType="separate"/>
          </w:r>
          <w:r w:rsidR="0098039C">
            <w:rPr>
              <w:rFonts w:cs="Times New Roman"/>
              <w:i/>
              <w:sz w:val="18"/>
            </w:rPr>
            <w:t>Protection of Cultural Objects on Loan Regulation 2014</w:t>
          </w:r>
          <w:r w:rsidRPr="00AA1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F37C0" w:rsidRPr="00AA1E90" w:rsidRDefault="008F37C0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A1E90">
            <w:rPr>
              <w:rFonts w:cs="Times New Roman"/>
              <w:i/>
              <w:sz w:val="18"/>
            </w:rPr>
            <w:fldChar w:fldCharType="begin"/>
          </w:r>
          <w:r w:rsidRPr="00AA1E90">
            <w:rPr>
              <w:rFonts w:cs="Times New Roman"/>
              <w:i/>
              <w:sz w:val="18"/>
            </w:rPr>
            <w:instrText xml:space="preserve"> PAGE </w:instrText>
          </w:r>
          <w:r w:rsidRPr="00AA1E90">
            <w:rPr>
              <w:rFonts w:cs="Times New Roman"/>
              <w:i/>
              <w:sz w:val="18"/>
            </w:rPr>
            <w:fldChar w:fldCharType="separate"/>
          </w:r>
          <w:r w:rsidR="009E47C7">
            <w:rPr>
              <w:rFonts w:cs="Times New Roman"/>
              <w:i/>
              <w:noProof/>
              <w:sz w:val="18"/>
            </w:rPr>
            <w:t>xvi</w:t>
          </w:r>
          <w:r w:rsidRPr="00AA1E9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F37C0" w:rsidRPr="00AA1E90" w:rsidRDefault="00AA1E90" w:rsidP="00AA1E90">
    <w:pPr>
      <w:rPr>
        <w:rFonts w:cs="Times New Roman"/>
        <w:i/>
        <w:sz w:val="18"/>
      </w:rPr>
    </w:pPr>
    <w:r w:rsidRPr="00AA1E90">
      <w:rPr>
        <w:rFonts w:cs="Times New Roman"/>
        <w:i/>
        <w:sz w:val="18"/>
      </w:rPr>
      <w:t>OPC60244 -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3278F2" w:rsidRDefault="008F37C0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4"/>
      <w:gridCol w:w="5386"/>
      <w:gridCol w:w="1383"/>
    </w:tblGrid>
    <w:tr w:rsidR="008F37C0" w:rsidTr="003278F2">
      <w:tc>
        <w:tcPr>
          <w:tcW w:w="534" w:type="dxa"/>
        </w:tcPr>
        <w:p w:rsidR="008F37C0" w:rsidRDefault="008F37C0" w:rsidP="002B0EA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77E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5386" w:type="dxa"/>
        </w:tcPr>
        <w:p w:rsidR="008F37C0" w:rsidRDefault="008F37C0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39C">
            <w:rPr>
              <w:i/>
              <w:sz w:val="18"/>
            </w:rPr>
            <w:t>Protection of Cultural Objects on Loan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F37C0" w:rsidRDefault="008F37C0" w:rsidP="008861ED">
          <w:pPr>
            <w:spacing w:line="0" w:lineRule="atLeast"/>
            <w:jc w:val="righ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8039C">
            <w:rPr>
              <w:i/>
              <w:sz w:val="18"/>
            </w:rPr>
            <w:t>No. 142, 2014</w:t>
          </w:r>
          <w:r w:rsidRPr="007A1328">
            <w:rPr>
              <w:i/>
              <w:sz w:val="18"/>
            </w:rPr>
            <w:fldChar w:fldCharType="end"/>
          </w:r>
        </w:p>
      </w:tc>
    </w:tr>
  </w:tbl>
  <w:p w:rsidR="008F37C0" w:rsidRPr="00ED79B6" w:rsidRDefault="00AA1E90" w:rsidP="00AA1E90">
    <w:pPr>
      <w:rPr>
        <w:i/>
        <w:sz w:val="18"/>
      </w:rPr>
    </w:pPr>
    <w:r w:rsidRPr="00AA1E90">
      <w:rPr>
        <w:rFonts w:cs="Times New Roman"/>
        <w:i/>
        <w:sz w:val="18"/>
      </w:rPr>
      <w:t>OPC60244 -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AA1E90" w:rsidRDefault="008F37C0" w:rsidP="00B54457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8F37C0" w:rsidRPr="00AA1E90" w:rsidTr="002B0EA5">
      <w:tc>
        <w:tcPr>
          <w:tcW w:w="533" w:type="dxa"/>
        </w:tcPr>
        <w:p w:rsidR="008F37C0" w:rsidRPr="00AA1E90" w:rsidRDefault="008F37C0" w:rsidP="002B0EA5">
          <w:pPr>
            <w:spacing w:line="0" w:lineRule="atLeast"/>
            <w:rPr>
              <w:rFonts w:cs="Times New Roman"/>
              <w:i/>
              <w:sz w:val="18"/>
            </w:rPr>
          </w:pPr>
          <w:r w:rsidRPr="00AA1E90">
            <w:rPr>
              <w:rFonts w:cs="Times New Roman"/>
              <w:i/>
              <w:sz w:val="18"/>
            </w:rPr>
            <w:fldChar w:fldCharType="begin"/>
          </w:r>
          <w:r w:rsidRPr="00AA1E90">
            <w:rPr>
              <w:rFonts w:cs="Times New Roman"/>
              <w:i/>
              <w:sz w:val="18"/>
            </w:rPr>
            <w:instrText xml:space="preserve"> PAGE </w:instrText>
          </w:r>
          <w:r w:rsidRPr="00AA1E90">
            <w:rPr>
              <w:rFonts w:cs="Times New Roman"/>
              <w:i/>
              <w:sz w:val="18"/>
            </w:rPr>
            <w:fldChar w:fldCharType="separate"/>
          </w:r>
          <w:r w:rsidR="00F177E3">
            <w:rPr>
              <w:rFonts w:cs="Times New Roman"/>
              <w:i/>
              <w:noProof/>
              <w:sz w:val="18"/>
            </w:rPr>
            <w:t>16</w:t>
          </w:r>
          <w:r w:rsidRPr="00AA1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7C0" w:rsidRPr="00AA1E90" w:rsidRDefault="008F37C0" w:rsidP="002B0EA5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AA1E90">
            <w:rPr>
              <w:rFonts w:cs="Times New Roman"/>
              <w:i/>
              <w:sz w:val="18"/>
            </w:rPr>
            <w:fldChar w:fldCharType="begin"/>
          </w:r>
          <w:r w:rsidRPr="00AA1E90">
            <w:rPr>
              <w:rFonts w:cs="Times New Roman"/>
              <w:i/>
              <w:sz w:val="18"/>
            </w:rPr>
            <w:instrText xml:space="preserve"> DOCPROPERTY ShortT </w:instrText>
          </w:r>
          <w:r w:rsidRPr="00AA1E90">
            <w:rPr>
              <w:rFonts w:cs="Times New Roman"/>
              <w:i/>
              <w:sz w:val="18"/>
            </w:rPr>
            <w:fldChar w:fldCharType="separate"/>
          </w:r>
          <w:r w:rsidR="0098039C">
            <w:rPr>
              <w:rFonts w:cs="Times New Roman"/>
              <w:i/>
              <w:sz w:val="18"/>
            </w:rPr>
            <w:t>Protection of Cultural Objects on Loan Regulation 2014</w:t>
          </w:r>
          <w:r w:rsidRPr="00AA1E90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</w:tcPr>
        <w:p w:rsidR="008F37C0" w:rsidRPr="00AA1E90" w:rsidRDefault="008F37C0" w:rsidP="002B0EA5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AA1E90">
            <w:rPr>
              <w:rFonts w:cs="Times New Roman"/>
              <w:i/>
              <w:sz w:val="18"/>
            </w:rPr>
            <w:fldChar w:fldCharType="begin"/>
          </w:r>
          <w:r w:rsidRPr="00AA1E90">
            <w:rPr>
              <w:rFonts w:cs="Times New Roman"/>
              <w:i/>
              <w:sz w:val="18"/>
            </w:rPr>
            <w:instrText xml:space="preserve"> DOCPROPERTY ActNo </w:instrText>
          </w:r>
          <w:r w:rsidRPr="00AA1E90">
            <w:rPr>
              <w:rFonts w:cs="Times New Roman"/>
              <w:i/>
              <w:sz w:val="18"/>
            </w:rPr>
            <w:fldChar w:fldCharType="separate"/>
          </w:r>
          <w:r w:rsidR="0098039C">
            <w:rPr>
              <w:rFonts w:cs="Times New Roman"/>
              <w:i/>
              <w:sz w:val="18"/>
            </w:rPr>
            <w:t>No. 142, 2014</w:t>
          </w:r>
          <w:r w:rsidRPr="00AA1E90">
            <w:rPr>
              <w:rFonts w:cs="Times New Roman"/>
              <w:i/>
              <w:sz w:val="18"/>
            </w:rPr>
            <w:fldChar w:fldCharType="end"/>
          </w:r>
        </w:p>
      </w:tc>
    </w:tr>
  </w:tbl>
  <w:p w:rsidR="008F37C0" w:rsidRPr="00AA1E90" w:rsidRDefault="00AA1E90" w:rsidP="00AA1E90">
    <w:pPr>
      <w:rPr>
        <w:rFonts w:cs="Times New Roman"/>
        <w:i/>
        <w:sz w:val="18"/>
      </w:rPr>
    </w:pPr>
    <w:r w:rsidRPr="00AA1E90">
      <w:rPr>
        <w:rFonts w:cs="Times New Roman"/>
        <w:i/>
        <w:sz w:val="18"/>
      </w:rPr>
      <w:t>OPC60244 -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2B0EA5" w:rsidRDefault="008F37C0" w:rsidP="00B54457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F37C0" w:rsidTr="002B0EA5">
      <w:tc>
        <w:tcPr>
          <w:tcW w:w="1383" w:type="dxa"/>
        </w:tcPr>
        <w:p w:rsidR="008F37C0" w:rsidRDefault="008F37C0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8039C">
            <w:rPr>
              <w:i/>
              <w:sz w:val="18"/>
            </w:rPr>
            <w:t>No. 142,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7C0" w:rsidRDefault="008F37C0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39C">
            <w:rPr>
              <w:i/>
              <w:sz w:val="18"/>
            </w:rPr>
            <w:t>Protection of Cultural Objects on Loan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F37C0" w:rsidRDefault="008F37C0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177E3">
            <w:rPr>
              <w:i/>
              <w:noProof/>
              <w:sz w:val="18"/>
            </w:rPr>
            <w:t>15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7C0" w:rsidRPr="00ED79B6" w:rsidRDefault="00AA1E90" w:rsidP="00AA1E90">
    <w:pPr>
      <w:rPr>
        <w:i/>
        <w:sz w:val="18"/>
      </w:rPr>
    </w:pPr>
    <w:r w:rsidRPr="00AA1E90">
      <w:rPr>
        <w:rFonts w:cs="Times New Roman"/>
        <w:i/>
        <w:sz w:val="18"/>
      </w:rPr>
      <w:t>OPC60244 -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2B0EA5" w:rsidRDefault="008F37C0" w:rsidP="002B0EA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8F37C0" w:rsidTr="002B0EA5">
      <w:tc>
        <w:tcPr>
          <w:tcW w:w="1383" w:type="dxa"/>
        </w:tcPr>
        <w:p w:rsidR="008F37C0" w:rsidRDefault="008F37C0" w:rsidP="002B0EA5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98039C">
            <w:rPr>
              <w:i/>
              <w:sz w:val="18"/>
            </w:rPr>
            <w:t>No. 142,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</w:tcPr>
        <w:p w:rsidR="008F37C0" w:rsidRDefault="008F37C0" w:rsidP="002B0EA5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8039C">
            <w:rPr>
              <w:i/>
              <w:sz w:val="18"/>
            </w:rPr>
            <w:t>Protection of Cultural Objects on Loan Regulation 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</w:tcPr>
        <w:p w:rsidR="008F37C0" w:rsidRDefault="008F37C0" w:rsidP="002B0EA5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E47C7">
            <w:rPr>
              <w:i/>
              <w:noProof/>
              <w:sz w:val="18"/>
            </w:rPr>
            <w:t>16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8F37C0" w:rsidRPr="00ED79B6" w:rsidRDefault="008F37C0" w:rsidP="00CE51C7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7C0" w:rsidRDefault="008F37C0" w:rsidP="00715914">
      <w:pPr>
        <w:spacing w:line="240" w:lineRule="auto"/>
      </w:pPr>
      <w:r>
        <w:separator/>
      </w:r>
    </w:p>
  </w:footnote>
  <w:footnote w:type="continuationSeparator" w:id="0">
    <w:p w:rsidR="008F37C0" w:rsidRDefault="008F37C0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5F1388" w:rsidRDefault="008F37C0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5F1388" w:rsidRDefault="008F37C0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5F1388" w:rsidRDefault="008F37C0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ED79B6" w:rsidRDefault="008F37C0" w:rsidP="00A802BC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ED79B6" w:rsidRDefault="008F37C0" w:rsidP="00192D25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ED79B6" w:rsidRDefault="008F37C0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Default="008F37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8F37C0" w:rsidRDefault="008F37C0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="00F177E3">
      <w:rPr>
        <w:b/>
        <w:sz w:val="20"/>
      </w:rPr>
      <w:fldChar w:fldCharType="separate"/>
    </w:r>
    <w:r w:rsidR="00F177E3">
      <w:rPr>
        <w:b/>
        <w:noProof/>
        <w:sz w:val="20"/>
      </w:rPr>
      <w:t>Part 9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 w:rsidR="00F177E3">
      <w:rPr>
        <w:sz w:val="20"/>
      </w:rPr>
      <w:fldChar w:fldCharType="separate"/>
    </w:r>
    <w:r w:rsidR="00F177E3">
      <w:rPr>
        <w:noProof/>
        <w:sz w:val="20"/>
      </w:rPr>
      <w:t>Miscellaneous</w:t>
    </w:r>
    <w:r>
      <w:rPr>
        <w:sz w:val="20"/>
      </w:rPr>
      <w:fldChar w:fldCharType="end"/>
    </w:r>
  </w:p>
  <w:p w:rsidR="008F37C0" w:rsidRPr="007A1328" w:rsidRDefault="008F37C0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8F37C0" w:rsidRPr="007A1328" w:rsidRDefault="008F37C0" w:rsidP="00715914">
    <w:pPr>
      <w:rPr>
        <w:b/>
        <w:sz w:val="24"/>
      </w:rPr>
    </w:pPr>
  </w:p>
  <w:p w:rsidR="008F37C0" w:rsidRPr="007A1328" w:rsidRDefault="008F37C0" w:rsidP="00121EB8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039C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177E3">
      <w:rPr>
        <w:noProof/>
        <w:sz w:val="24"/>
      </w:rPr>
      <w:t>17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7A1328" w:rsidRDefault="008F37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8F37C0" w:rsidRPr="007A1328" w:rsidRDefault="008F37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F177E3">
      <w:rPr>
        <w:sz w:val="20"/>
      </w:rPr>
      <w:fldChar w:fldCharType="separate"/>
    </w:r>
    <w:r w:rsidR="00F177E3">
      <w:rPr>
        <w:noProof/>
        <w:sz w:val="20"/>
      </w:rPr>
      <w:t>Report to Minister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F177E3">
      <w:rPr>
        <w:b/>
        <w:sz w:val="20"/>
      </w:rPr>
      <w:fldChar w:fldCharType="separate"/>
    </w:r>
    <w:r w:rsidR="00F177E3">
      <w:rPr>
        <w:b/>
        <w:noProof/>
        <w:sz w:val="20"/>
      </w:rPr>
      <w:t>Part 8</w:t>
    </w:r>
    <w:r>
      <w:rPr>
        <w:b/>
        <w:sz w:val="20"/>
      </w:rPr>
      <w:fldChar w:fldCharType="end"/>
    </w:r>
  </w:p>
  <w:p w:rsidR="008F37C0" w:rsidRPr="007A1328" w:rsidRDefault="008F37C0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8F37C0" w:rsidRPr="007A1328" w:rsidRDefault="008F37C0" w:rsidP="00715914">
    <w:pPr>
      <w:jc w:val="right"/>
      <w:rPr>
        <w:b/>
        <w:sz w:val="24"/>
      </w:rPr>
    </w:pPr>
  </w:p>
  <w:p w:rsidR="008F37C0" w:rsidRPr="007A1328" w:rsidRDefault="008F37C0" w:rsidP="00192D25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98039C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F177E3">
      <w:rPr>
        <w:noProof/>
        <w:sz w:val="24"/>
      </w:rPr>
      <w:t>16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C0" w:rsidRPr="007A1328" w:rsidRDefault="008F37C0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6E49A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7A621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A02B0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22006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F829D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11A0D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610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30099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5CE92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0CD8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2">
    <w:nsid w:val="59B36380"/>
    <w:multiLevelType w:val="hybridMultilevel"/>
    <w:tmpl w:val="05063A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B54C27"/>
    <w:multiLevelType w:val="hybridMultilevel"/>
    <w:tmpl w:val="945C10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063"/>
    <w:rsid w:val="000019A2"/>
    <w:rsid w:val="00001A59"/>
    <w:rsid w:val="00004238"/>
    <w:rsid w:val="00006375"/>
    <w:rsid w:val="000077EE"/>
    <w:rsid w:val="00010F2F"/>
    <w:rsid w:val="0001170A"/>
    <w:rsid w:val="00011B7F"/>
    <w:rsid w:val="000136AF"/>
    <w:rsid w:val="00015D2E"/>
    <w:rsid w:val="00016130"/>
    <w:rsid w:val="00021223"/>
    <w:rsid w:val="000229F4"/>
    <w:rsid w:val="00025135"/>
    <w:rsid w:val="00025FE4"/>
    <w:rsid w:val="00031AA5"/>
    <w:rsid w:val="00032463"/>
    <w:rsid w:val="00034097"/>
    <w:rsid w:val="00034E8D"/>
    <w:rsid w:val="0003771C"/>
    <w:rsid w:val="00046351"/>
    <w:rsid w:val="00051C96"/>
    <w:rsid w:val="0005348C"/>
    <w:rsid w:val="00057C37"/>
    <w:rsid w:val="000614BF"/>
    <w:rsid w:val="000618A3"/>
    <w:rsid w:val="00065AC6"/>
    <w:rsid w:val="000668D9"/>
    <w:rsid w:val="00066C06"/>
    <w:rsid w:val="00080262"/>
    <w:rsid w:val="00086D6A"/>
    <w:rsid w:val="0009118F"/>
    <w:rsid w:val="00091C4B"/>
    <w:rsid w:val="000976A6"/>
    <w:rsid w:val="00097C78"/>
    <w:rsid w:val="000A146B"/>
    <w:rsid w:val="000A413E"/>
    <w:rsid w:val="000A6C6A"/>
    <w:rsid w:val="000B59B0"/>
    <w:rsid w:val="000C2E91"/>
    <w:rsid w:val="000C4634"/>
    <w:rsid w:val="000C6368"/>
    <w:rsid w:val="000D05EF"/>
    <w:rsid w:val="000D19AA"/>
    <w:rsid w:val="000D48CE"/>
    <w:rsid w:val="000D4B38"/>
    <w:rsid w:val="000E0D9E"/>
    <w:rsid w:val="000E2261"/>
    <w:rsid w:val="000E3683"/>
    <w:rsid w:val="000E3D05"/>
    <w:rsid w:val="000E405E"/>
    <w:rsid w:val="000E4DF3"/>
    <w:rsid w:val="000E54CC"/>
    <w:rsid w:val="000E5793"/>
    <w:rsid w:val="000F21C1"/>
    <w:rsid w:val="000F5D96"/>
    <w:rsid w:val="000F6006"/>
    <w:rsid w:val="00103A77"/>
    <w:rsid w:val="0010745C"/>
    <w:rsid w:val="00112C34"/>
    <w:rsid w:val="001209CE"/>
    <w:rsid w:val="00121963"/>
    <w:rsid w:val="00121EB8"/>
    <w:rsid w:val="00131077"/>
    <w:rsid w:val="001311FD"/>
    <w:rsid w:val="0013281D"/>
    <w:rsid w:val="00133230"/>
    <w:rsid w:val="00134BBD"/>
    <w:rsid w:val="00142017"/>
    <w:rsid w:val="0014542C"/>
    <w:rsid w:val="001454AE"/>
    <w:rsid w:val="001475B8"/>
    <w:rsid w:val="00147E24"/>
    <w:rsid w:val="00150B46"/>
    <w:rsid w:val="001609FF"/>
    <w:rsid w:val="00160EC4"/>
    <w:rsid w:val="0016125C"/>
    <w:rsid w:val="00164493"/>
    <w:rsid w:val="00166C2F"/>
    <w:rsid w:val="00170577"/>
    <w:rsid w:val="00170AC8"/>
    <w:rsid w:val="001713AA"/>
    <w:rsid w:val="00171835"/>
    <w:rsid w:val="00172136"/>
    <w:rsid w:val="00172781"/>
    <w:rsid w:val="001741DA"/>
    <w:rsid w:val="0017526B"/>
    <w:rsid w:val="001753EC"/>
    <w:rsid w:val="00176C46"/>
    <w:rsid w:val="00187DD7"/>
    <w:rsid w:val="00192D25"/>
    <w:rsid w:val="001939E1"/>
    <w:rsid w:val="00195382"/>
    <w:rsid w:val="00197DEE"/>
    <w:rsid w:val="00197F26"/>
    <w:rsid w:val="001A0C35"/>
    <w:rsid w:val="001A34C1"/>
    <w:rsid w:val="001B1611"/>
    <w:rsid w:val="001B1BB7"/>
    <w:rsid w:val="001B39BC"/>
    <w:rsid w:val="001B5063"/>
    <w:rsid w:val="001B693A"/>
    <w:rsid w:val="001C5F34"/>
    <w:rsid w:val="001C69C4"/>
    <w:rsid w:val="001C7469"/>
    <w:rsid w:val="001D027F"/>
    <w:rsid w:val="001D2AD3"/>
    <w:rsid w:val="001D2EB8"/>
    <w:rsid w:val="001D37EF"/>
    <w:rsid w:val="001D43A3"/>
    <w:rsid w:val="001D7DA4"/>
    <w:rsid w:val="001E247B"/>
    <w:rsid w:val="001E32B5"/>
    <w:rsid w:val="001E3590"/>
    <w:rsid w:val="001E3E0B"/>
    <w:rsid w:val="001E50B9"/>
    <w:rsid w:val="001E7407"/>
    <w:rsid w:val="001E75AB"/>
    <w:rsid w:val="001E7709"/>
    <w:rsid w:val="001F1FE6"/>
    <w:rsid w:val="001F5D5E"/>
    <w:rsid w:val="001F6219"/>
    <w:rsid w:val="001F6CA5"/>
    <w:rsid w:val="001F7DAE"/>
    <w:rsid w:val="002000A5"/>
    <w:rsid w:val="00200F5C"/>
    <w:rsid w:val="00204BDC"/>
    <w:rsid w:val="00204FAB"/>
    <w:rsid w:val="00207D47"/>
    <w:rsid w:val="002115AA"/>
    <w:rsid w:val="0021189F"/>
    <w:rsid w:val="00214D06"/>
    <w:rsid w:val="00216B7F"/>
    <w:rsid w:val="002248BC"/>
    <w:rsid w:val="00226FAE"/>
    <w:rsid w:val="0023028C"/>
    <w:rsid w:val="00230585"/>
    <w:rsid w:val="00231665"/>
    <w:rsid w:val="0023181C"/>
    <w:rsid w:val="00231E11"/>
    <w:rsid w:val="00231FB8"/>
    <w:rsid w:val="002348CF"/>
    <w:rsid w:val="0024010F"/>
    <w:rsid w:val="00240749"/>
    <w:rsid w:val="00241E2B"/>
    <w:rsid w:val="002444CD"/>
    <w:rsid w:val="00244FF9"/>
    <w:rsid w:val="00255F37"/>
    <w:rsid w:val="002564A4"/>
    <w:rsid w:val="00257E7D"/>
    <w:rsid w:val="00260BC0"/>
    <w:rsid w:val="00261029"/>
    <w:rsid w:val="002624EB"/>
    <w:rsid w:val="00267508"/>
    <w:rsid w:val="00272534"/>
    <w:rsid w:val="00275CB9"/>
    <w:rsid w:val="002776D7"/>
    <w:rsid w:val="0028004F"/>
    <w:rsid w:val="002812E7"/>
    <w:rsid w:val="00282EDE"/>
    <w:rsid w:val="00285644"/>
    <w:rsid w:val="00286529"/>
    <w:rsid w:val="002874B4"/>
    <w:rsid w:val="00287C6D"/>
    <w:rsid w:val="0029130C"/>
    <w:rsid w:val="00296182"/>
    <w:rsid w:val="00296C38"/>
    <w:rsid w:val="00297ECB"/>
    <w:rsid w:val="002A33FD"/>
    <w:rsid w:val="002B0EA5"/>
    <w:rsid w:val="002B35C0"/>
    <w:rsid w:val="002B492B"/>
    <w:rsid w:val="002B7B38"/>
    <w:rsid w:val="002C2ABF"/>
    <w:rsid w:val="002C356F"/>
    <w:rsid w:val="002C4F7A"/>
    <w:rsid w:val="002C79AE"/>
    <w:rsid w:val="002C7DE3"/>
    <w:rsid w:val="002D043A"/>
    <w:rsid w:val="002D1F2D"/>
    <w:rsid w:val="002D616D"/>
    <w:rsid w:val="002D6224"/>
    <w:rsid w:val="002D6F48"/>
    <w:rsid w:val="002D7037"/>
    <w:rsid w:val="002D7EDD"/>
    <w:rsid w:val="002E036D"/>
    <w:rsid w:val="002E28C8"/>
    <w:rsid w:val="002E35AB"/>
    <w:rsid w:val="002E3E9A"/>
    <w:rsid w:val="002E4914"/>
    <w:rsid w:val="002E5F69"/>
    <w:rsid w:val="002F073C"/>
    <w:rsid w:val="002F4AD4"/>
    <w:rsid w:val="002F4B27"/>
    <w:rsid w:val="002F565D"/>
    <w:rsid w:val="002F5EF1"/>
    <w:rsid w:val="002F7C4F"/>
    <w:rsid w:val="00304FC6"/>
    <w:rsid w:val="00307330"/>
    <w:rsid w:val="00307369"/>
    <w:rsid w:val="003074B7"/>
    <w:rsid w:val="00312503"/>
    <w:rsid w:val="00312BC1"/>
    <w:rsid w:val="0032375F"/>
    <w:rsid w:val="00324F59"/>
    <w:rsid w:val="003278F2"/>
    <w:rsid w:val="003308D3"/>
    <w:rsid w:val="00330B7E"/>
    <w:rsid w:val="00335CE2"/>
    <w:rsid w:val="0033752D"/>
    <w:rsid w:val="003415D3"/>
    <w:rsid w:val="00342E36"/>
    <w:rsid w:val="00343FF7"/>
    <w:rsid w:val="0034405F"/>
    <w:rsid w:val="00345EB8"/>
    <w:rsid w:val="003475A9"/>
    <w:rsid w:val="00352B0F"/>
    <w:rsid w:val="00354A60"/>
    <w:rsid w:val="00356BE4"/>
    <w:rsid w:val="00360459"/>
    <w:rsid w:val="0036542F"/>
    <w:rsid w:val="00365DB6"/>
    <w:rsid w:val="00367A4E"/>
    <w:rsid w:val="00373E26"/>
    <w:rsid w:val="00374B2F"/>
    <w:rsid w:val="00380533"/>
    <w:rsid w:val="00380BA6"/>
    <w:rsid w:val="0038268D"/>
    <w:rsid w:val="00383766"/>
    <w:rsid w:val="0038617B"/>
    <w:rsid w:val="00387C0E"/>
    <w:rsid w:val="00387D90"/>
    <w:rsid w:val="00392FBA"/>
    <w:rsid w:val="00393F14"/>
    <w:rsid w:val="00395EC3"/>
    <w:rsid w:val="0039604E"/>
    <w:rsid w:val="003969A2"/>
    <w:rsid w:val="0039787F"/>
    <w:rsid w:val="003A1390"/>
    <w:rsid w:val="003A5B6D"/>
    <w:rsid w:val="003B0D01"/>
    <w:rsid w:val="003C30B9"/>
    <w:rsid w:val="003C3EBF"/>
    <w:rsid w:val="003D0BFE"/>
    <w:rsid w:val="003D28FD"/>
    <w:rsid w:val="003D487B"/>
    <w:rsid w:val="003D5700"/>
    <w:rsid w:val="003D6C4E"/>
    <w:rsid w:val="003E1B23"/>
    <w:rsid w:val="003E242E"/>
    <w:rsid w:val="003E2554"/>
    <w:rsid w:val="003E3A0F"/>
    <w:rsid w:val="003E62E2"/>
    <w:rsid w:val="003E7B3E"/>
    <w:rsid w:val="0040423A"/>
    <w:rsid w:val="00405AAF"/>
    <w:rsid w:val="00407C64"/>
    <w:rsid w:val="004116CD"/>
    <w:rsid w:val="00413CEB"/>
    <w:rsid w:val="0041607E"/>
    <w:rsid w:val="00417EB9"/>
    <w:rsid w:val="00424C61"/>
    <w:rsid w:val="00424CA9"/>
    <w:rsid w:val="00426899"/>
    <w:rsid w:val="004307CF"/>
    <w:rsid w:val="00433049"/>
    <w:rsid w:val="004404A2"/>
    <w:rsid w:val="0044073C"/>
    <w:rsid w:val="00441FE3"/>
    <w:rsid w:val="0044291A"/>
    <w:rsid w:val="004429CF"/>
    <w:rsid w:val="00443399"/>
    <w:rsid w:val="00444DB4"/>
    <w:rsid w:val="00445BCB"/>
    <w:rsid w:val="004465B5"/>
    <w:rsid w:val="004469DF"/>
    <w:rsid w:val="00447D64"/>
    <w:rsid w:val="004534D2"/>
    <w:rsid w:val="00457538"/>
    <w:rsid w:val="00457627"/>
    <w:rsid w:val="0046241A"/>
    <w:rsid w:val="004634D7"/>
    <w:rsid w:val="004662D1"/>
    <w:rsid w:val="00474A17"/>
    <w:rsid w:val="004761D5"/>
    <w:rsid w:val="004819F9"/>
    <w:rsid w:val="00482352"/>
    <w:rsid w:val="00483D3D"/>
    <w:rsid w:val="0048432B"/>
    <w:rsid w:val="00485A0C"/>
    <w:rsid w:val="00485DAF"/>
    <w:rsid w:val="004867B2"/>
    <w:rsid w:val="00487F40"/>
    <w:rsid w:val="00490F4B"/>
    <w:rsid w:val="00493CE9"/>
    <w:rsid w:val="0049455F"/>
    <w:rsid w:val="0049650A"/>
    <w:rsid w:val="00496F97"/>
    <w:rsid w:val="004A01E4"/>
    <w:rsid w:val="004A16C1"/>
    <w:rsid w:val="004A69B5"/>
    <w:rsid w:val="004B1121"/>
    <w:rsid w:val="004B208A"/>
    <w:rsid w:val="004B43FD"/>
    <w:rsid w:val="004B60AB"/>
    <w:rsid w:val="004C0080"/>
    <w:rsid w:val="004C0145"/>
    <w:rsid w:val="004C2A05"/>
    <w:rsid w:val="004C39E1"/>
    <w:rsid w:val="004C3C13"/>
    <w:rsid w:val="004C6706"/>
    <w:rsid w:val="004D0701"/>
    <w:rsid w:val="004D2362"/>
    <w:rsid w:val="004E2896"/>
    <w:rsid w:val="004E3FAB"/>
    <w:rsid w:val="004E7BEC"/>
    <w:rsid w:val="004F4B72"/>
    <w:rsid w:val="004F5963"/>
    <w:rsid w:val="004F7449"/>
    <w:rsid w:val="00502B14"/>
    <w:rsid w:val="00502CB7"/>
    <w:rsid w:val="00504DD3"/>
    <w:rsid w:val="0050600B"/>
    <w:rsid w:val="00507193"/>
    <w:rsid w:val="00511689"/>
    <w:rsid w:val="00512E62"/>
    <w:rsid w:val="00513ECD"/>
    <w:rsid w:val="00516B8D"/>
    <w:rsid w:val="00517E82"/>
    <w:rsid w:val="00521855"/>
    <w:rsid w:val="00522C4D"/>
    <w:rsid w:val="0052330E"/>
    <w:rsid w:val="00525BE8"/>
    <w:rsid w:val="00531309"/>
    <w:rsid w:val="00532DBC"/>
    <w:rsid w:val="005333E9"/>
    <w:rsid w:val="0053796B"/>
    <w:rsid w:val="00537FBC"/>
    <w:rsid w:val="00543148"/>
    <w:rsid w:val="00543303"/>
    <w:rsid w:val="00543CD8"/>
    <w:rsid w:val="00546927"/>
    <w:rsid w:val="00551854"/>
    <w:rsid w:val="00552A75"/>
    <w:rsid w:val="0056638D"/>
    <w:rsid w:val="005807FF"/>
    <w:rsid w:val="00582875"/>
    <w:rsid w:val="00584723"/>
    <w:rsid w:val="00584811"/>
    <w:rsid w:val="00585361"/>
    <w:rsid w:val="0058540E"/>
    <w:rsid w:val="0059124F"/>
    <w:rsid w:val="00593AA6"/>
    <w:rsid w:val="00594161"/>
    <w:rsid w:val="005941BA"/>
    <w:rsid w:val="00594749"/>
    <w:rsid w:val="005957A0"/>
    <w:rsid w:val="0059723F"/>
    <w:rsid w:val="005A007C"/>
    <w:rsid w:val="005A0787"/>
    <w:rsid w:val="005A16E1"/>
    <w:rsid w:val="005A1E8F"/>
    <w:rsid w:val="005A35EF"/>
    <w:rsid w:val="005A3F82"/>
    <w:rsid w:val="005A4726"/>
    <w:rsid w:val="005A6D56"/>
    <w:rsid w:val="005A7899"/>
    <w:rsid w:val="005B0152"/>
    <w:rsid w:val="005B1EF2"/>
    <w:rsid w:val="005B3C5A"/>
    <w:rsid w:val="005B4067"/>
    <w:rsid w:val="005B4BF3"/>
    <w:rsid w:val="005C0994"/>
    <w:rsid w:val="005C351F"/>
    <w:rsid w:val="005C3F41"/>
    <w:rsid w:val="005C52E3"/>
    <w:rsid w:val="005C66B5"/>
    <w:rsid w:val="005C71D3"/>
    <w:rsid w:val="005D02BC"/>
    <w:rsid w:val="005D1AFC"/>
    <w:rsid w:val="005D2447"/>
    <w:rsid w:val="005D2D09"/>
    <w:rsid w:val="005D3E84"/>
    <w:rsid w:val="005D4DF7"/>
    <w:rsid w:val="005E00E8"/>
    <w:rsid w:val="005E0421"/>
    <w:rsid w:val="005E0426"/>
    <w:rsid w:val="005E092B"/>
    <w:rsid w:val="005E2A78"/>
    <w:rsid w:val="005E52A9"/>
    <w:rsid w:val="005E6593"/>
    <w:rsid w:val="005E66FD"/>
    <w:rsid w:val="005F0559"/>
    <w:rsid w:val="005F09C4"/>
    <w:rsid w:val="005F18E9"/>
    <w:rsid w:val="005F2B58"/>
    <w:rsid w:val="005F61C2"/>
    <w:rsid w:val="005F6B71"/>
    <w:rsid w:val="005F7B71"/>
    <w:rsid w:val="00600219"/>
    <w:rsid w:val="00600A4C"/>
    <w:rsid w:val="0060233E"/>
    <w:rsid w:val="006046C7"/>
    <w:rsid w:val="00607BCD"/>
    <w:rsid w:val="0061191C"/>
    <w:rsid w:val="00614B93"/>
    <w:rsid w:val="00615149"/>
    <w:rsid w:val="00617DBB"/>
    <w:rsid w:val="0062482A"/>
    <w:rsid w:val="00630CF4"/>
    <w:rsid w:val="0063161B"/>
    <w:rsid w:val="006320CA"/>
    <w:rsid w:val="0063523C"/>
    <w:rsid w:val="006428FA"/>
    <w:rsid w:val="006435EE"/>
    <w:rsid w:val="006455C5"/>
    <w:rsid w:val="006475DA"/>
    <w:rsid w:val="00655994"/>
    <w:rsid w:val="00665D2B"/>
    <w:rsid w:val="006729CF"/>
    <w:rsid w:val="00673E6F"/>
    <w:rsid w:val="00674825"/>
    <w:rsid w:val="00676457"/>
    <w:rsid w:val="00676551"/>
    <w:rsid w:val="00677CC2"/>
    <w:rsid w:val="00677FFA"/>
    <w:rsid w:val="006831F9"/>
    <w:rsid w:val="00684575"/>
    <w:rsid w:val="0068794F"/>
    <w:rsid w:val="006901A2"/>
    <w:rsid w:val="006905DE"/>
    <w:rsid w:val="0069207B"/>
    <w:rsid w:val="0069249F"/>
    <w:rsid w:val="00694C9A"/>
    <w:rsid w:val="006966E4"/>
    <w:rsid w:val="006A392D"/>
    <w:rsid w:val="006A4C47"/>
    <w:rsid w:val="006A581F"/>
    <w:rsid w:val="006B135C"/>
    <w:rsid w:val="006B1791"/>
    <w:rsid w:val="006B4EFD"/>
    <w:rsid w:val="006B711F"/>
    <w:rsid w:val="006B7CE6"/>
    <w:rsid w:val="006B7CE9"/>
    <w:rsid w:val="006C0278"/>
    <w:rsid w:val="006C258A"/>
    <w:rsid w:val="006C3466"/>
    <w:rsid w:val="006C7F8C"/>
    <w:rsid w:val="006D02BD"/>
    <w:rsid w:val="006D4E56"/>
    <w:rsid w:val="006D5BB1"/>
    <w:rsid w:val="006D6AF2"/>
    <w:rsid w:val="006D7810"/>
    <w:rsid w:val="006E4718"/>
    <w:rsid w:val="006E561D"/>
    <w:rsid w:val="006E5800"/>
    <w:rsid w:val="006E59E2"/>
    <w:rsid w:val="006E6996"/>
    <w:rsid w:val="006E6CC8"/>
    <w:rsid w:val="006F1DEF"/>
    <w:rsid w:val="006F318F"/>
    <w:rsid w:val="006F3481"/>
    <w:rsid w:val="006F47C1"/>
    <w:rsid w:val="006F5764"/>
    <w:rsid w:val="006F7229"/>
    <w:rsid w:val="00700B2C"/>
    <w:rsid w:val="007046AA"/>
    <w:rsid w:val="007106C4"/>
    <w:rsid w:val="00713084"/>
    <w:rsid w:val="00714A31"/>
    <w:rsid w:val="00715914"/>
    <w:rsid w:val="00717F1E"/>
    <w:rsid w:val="007209ED"/>
    <w:rsid w:val="00723802"/>
    <w:rsid w:val="00723F11"/>
    <w:rsid w:val="007245F4"/>
    <w:rsid w:val="00730DA6"/>
    <w:rsid w:val="00731B33"/>
    <w:rsid w:val="00731E00"/>
    <w:rsid w:val="007335E0"/>
    <w:rsid w:val="00735CC7"/>
    <w:rsid w:val="00736F44"/>
    <w:rsid w:val="00742C59"/>
    <w:rsid w:val="007440B7"/>
    <w:rsid w:val="007463BF"/>
    <w:rsid w:val="00747FC7"/>
    <w:rsid w:val="007553B3"/>
    <w:rsid w:val="00762BF6"/>
    <w:rsid w:val="00762C8F"/>
    <w:rsid w:val="00762FF9"/>
    <w:rsid w:val="00763282"/>
    <w:rsid w:val="00764CDD"/>
    <w:rsid w:val="007715C9"/>
    <w:rsid w:val="0077300F"/>
    <w:rsid w:val="00774EDD"/>
    <w:rsid w:val="007757EC"/>
    <w:rsid w:val="007759B4"/>
    <w:rsid w:val="0077600A"/>
    <w:rsid w:val="00777FA9"/>
    <w:rsid w:val="00785BEB"/>
    <w:rsid w:val="00790E8F"/>
    <w:rsid w:val="00790E96"/>
    <w:rsid w:val="00797B8A"/>
    <w:rsid w:val="00797C27"/>
    <w:rsid w:val="007A07A1"/>
    <w:rsid w:val="007A14C9"/>
    <w:rsid w:val="007A3095"/>
    <w:rsid w:val="007A64B9"/>
    <w:rsid w:val="007A6816"/>
    <w:rsid w:val="007B1404"/>
    <w:rsid w:val="007B356C"/>
    <w:rsid w:val="007B7BE0"/>
    <w:rsid w:val="007C4925"/>
    <w:rsid w:val="007C4B54"/>
    <w:rsid w:val="007C4F37"/>
    <w:rsid w:val="007C4F49"/>
    <w:rsid w:val="007D03D5"/>
    <w:rsid w:val="007D48F3"/>
    <w:rsid w:val="007D519E"/>
    <w:rsid w:val="007E163D"/>
    <w:rsid w:val="007E198F"/>
    <w:rsid w:val="007E3C23"/>
    <w:rsid w:val="007E7C59"/>
    <w:rsid w:val="007F098F"/>
    <w:rsid w:val="007F2230"/>
    <w:rsid w:val="007F29CB"/>
    <w:rsid w:val="007F72BE"/>
    <w:rsid w:val="00804F3F"/>
    <w:rsid w:val="0081185D"/>
    <w:rsid w:val="00811AA6"/>
    <w:rsid w:val="0081684D"/>
    <w:rsid w:val="00816875"/>
    <w:rsid w:val="0082147E"/>
    <w:rsid w:val="00824A4A"/>
    <w:rsid w:val="008311B5"/>
    <w:rsid w:val="00831BDA"/>
    <w:rsid w:val="00832890"/>
    <w:rsid w:val="00836AD2"/>
    <w:rsid w:val="00836F53"/>
    <w:rsid w:val="00840904"/>
    <w:rsid w:val="00843457"/>
    <w:rsid w:val="00851BB5"/>
    <w:rsid w:val="00853230"/>
    <w:rsid w:val="0085365A"/>
    <w:rsid w:val="00856A31"/>
    <w:rsid w:val="00857B14"/>
    <w:rsid w:val="0086349E"/>
    <w:rsid w:val="008754D0"/>
    <w:rsid w:val="00877E19"/>
    <w:rsid w:val="0088095D"/>
    <w:rsid w:val="00881993"/>
    <w:rsid w:val="00884FDE"/>
    <w:rsid w:val="008861ED"/>
    <w:rsid w:val="00891052"/>
    <w:rsid w:val="008963DA"/>
    <w:rsid w:val="00897791"/>
    <w:rsid w:val="008A10A2"/>
    <w:rsid w:val="008A1556"/>
    <w:rsid w:val="008A349B"/>
    <w:rsid w:val="008A34E8"/>
    <w:rsid w:val="008A3E5C"/>
    <w:rsid w:val="008A4EA6"/>
    <w:rsid w:val="008A6CF7"/>
    <w:rsid w:val="008B0229"/>
    <w:rsid w:val="008B45EE"/>
    <w:rsid w:val="008C00DE"/>
    <w:rsid w:val="008C16B7"/>
    <w:rsid w:val="008C1F2A"/>
    <w:rsid w:val="008C5AF4"/>
    <w:rsid w:val="008C73EE"/>
    <w:rsid w:val="008C7DB9"/>
    <w:rsid w:val="008D0EE0"/>
    <w:rsid w:val="008D381D"/>
    <w:rsid w:val="008D4C68"/>
    <w:rsid w:val="008E096B"/>
    <w:rsid w:val="008E0D02"/>
    <w:rsid w:val="008E4310"/>
    <w:rsid w:val="008E5386"/>
    <w:rsid w:val="008E7031"/>
    <w:rsid w:val="008E7B2E"/>
    <w:rsid w:val="008F2736"/>
    <w:rsid w:val="008F37C0"/>
    <w:rsid w:val="008F54E7"/>
    <w:rsid w:val="008F58A3"/>
    <w:rsid w:val="008F5C75"/>
    <w:rsid w:val="008F6E1F"/>
    <w:rsid w:val="008F7153"/>
    <w:rsid w:val="00903422"/>
    <w:rsid w:val="00904313"/>
    <w:rsid w:val="0090687E"/>
    <w:rsid w:val="009202FF"/>
    <w:rsid w:val="00925261"/>
    <w:rsid w:val="009258E3"/>
    <w:rsid w:val="009259A7"/>
    <w:rsid w:val="00926377"/>
    <w:rsid w:val="00930A3E"/>
    <w:rsid w:val="00931C61"/>
    <w:rsid w:val="00932377"/>
    <w:rsid w:val="00933461"/>
    <w:rsid w:val="0093586E"/>
    <w:rsid w:val="00936A68"/>
    <w:rsid w:val="00947D5A"/>
    <w:rsid w:val="00947D9A"/>
    <w:rsid w:val="00947E4A"/>
    <w:rsid w:val="00950467"/>
    <w:rsid w:val="00951326"/>
    <w:rsid w:val="009532A5"/>
    <w:rsid w:val="0095463C"/>
    <w:rsid w:val="0095596D"/>
    <w:rsid w:val="0095597A"/>
    <w:rsid w:val="00960AA2"/>
    <w:rsid w:val="009622E1"/>
    <w:rsid w:val="009626C2"/>
    <w:rsid w:val="00963074"/>
    <w:rsid w:val="00963A00"/>
    <w:rsid w:val="009642EF"/>
    <w:rsid w:val="00964F54"/>
    <w:rsid w:val="00966252"/>
    <w:rsid w:val="00967AB4"/>
    <w:rsid w:val="00970061"/>
    <w:rsid w:val="00970B0B"/>
    <w:rsid w:val="00970DCB"/>
    <w:rsid w:val="009743DF"/>
    <w:rsid w:val="00976A8E"/>
    <w:rsid w:val="0098039C"/>
    <w:rsid w:val="00981FFE"/>
    <w:rsid w:val="00983E01"/>
    <w:rsid w:val="00985FA7"/>
    <w:rsid w:val="009868E9"/>
    <w:rsid w:val="0099052C"/>
    <w:rsid w:val="0099607B"/>
    <w:rsid w:val="009968D4"/>
    <w:rsid w:val="009A0015"/>
    <w:rsid w:val="009A09C4"/>
    <w:rsid w:val="009A1B86"/>
    <w:rsid w:val="009A36F5"/>
    <w:rsid w:val="009A41E8"/>
    <w:rsid w:val="009A4331"/>
    <w:rsid w:val="009A5A45"/>
    <w:rsid w:val="009A7F56"/>
    <w:rsid w:val="009B2052"/>
    <w:rsid w:val="009B5D7B"/>
    <w:rsid w:val="009C1999"/>
    <w:rsid w:val="009C4882"/>
    <w:rsid w:val="009C4D54"/>
    <w:rsid w:val="009C5AE5"/>
    <w:rsid w:val="009D0A41"/>
    <w:rsid w:val="009D6ECF"/>
    <w:rsid w:val="009E0A24"/>
    <w:rsid w:val="009E1F96"/>
    <w:rsid w:val="009E31EA"/>
    <w:rsid w:val="009E47C7"/>
    <w:rsid w:val="009E4B2F"/>
    <w:rsid w:val="009F16D3"/>
    <w:rsid w:val="009F2206"/>
    <w:rsid w:val="009F3BE9"/>
    <w:rsid w:val="009F4AE3"/>
    <w:rsid w:val="009F5DE1"/>
    <w:rsid w:val="009F6147"/>
    <w:rsid w:val="009F6558"/>
    <w:rsid w:val="00A03BF4"/>
    <w:rsid w:val="00A12D53"/>
    <w:rsid w:val="00A13BC9"/>
    <w:rsid w:val="00A202BC"/>
    <w:rsid w:val="00A206AB"/>
    <w:rsid w:val="00A21D83"/>
    <w:rsid w:val="00A22C98"/>
    <w:rsid w:val="00A231E2"/>
    <w:rsid w:val="00A271E8"/>
    <w:rsid w:val="00A33D05"/>
    <w:rsid w:val="00A357CB"/>
    <w:rsid w:val="00A418A6"/>
    <w:rsid w:val="00A43CB6"/>
    <w:rsid w:val="00A45BF7"/>
    <w:rsid w:val="00A5335D"/>
    <w:rsid w:val="00A54CE5"/>
    <w:rsid w:val="00A563E9"/>
    <w:rsid w:val="00A60918"/>
    <w:rsid w:val="00A64912"/>
    <w:rsid w:val="00A64D9A"/>
    <w:rsid w:val="00A65724"/>
    <w:rsid w:val="00A65DE4"/>
    <w:rsid w:val="00A70999"/>
    <w:rsid w:val="00A70A2D"/>
    <w:rsid w:val="00A70A74"/>
    <w:rsid w:val="00A73EA7"/>
    <w:rsid w:val="00A7447A"/>
    <w:rsid w:val="00A76184"/>
    <w:rsid w:val="00A7624F"/>
    <w:rsid w:val="00A778AE"/>
    <w:rsid w:val="00A802BC"/>
    <w:rsid w:val="00A829FC"/>
    <w:rsid w:val="00A837DA"/>
    <w:rsid w:val="00A84DE4"/>
    <w:rsid w:val="00A86358"/>
    <w:rsid w:val="00A872DC"/>
    <w:rsid w:val="00A87DF1"/>
    <w:rsid w:val="00A90359"/>
    <w:rsid w:val="00A91C81"/>
    <w:rsid w:val="00A92C57"/>
    <w:rsid w:val="00AA1E90"/>
    <w:rsid w:val="00AA33A0"/>
    <w:rsid w:val="00AA5E26"/>
    <w:rsid w:val="00AB0711"/>
    <w:rsid w:val="00AB3D66"/>
    <w:rsid w:val="00AC03E1"/>
    <w:rsid w:val="00AC4CE3"/>
    <w:rsid w:val="00AC7A91"/>
    <w:rsid w:val="00AD01F6"/>
    <w:rsid w:val="00AD37C6"/>
    <w:rsid w:val="00AD5641"/>
    <w:rsid w:val="00AE441F"/>
    <w:rsid w:val="00AE70E7"/>
    <w:rsid w:val="00AF06CF"/>
    <w:rsid w:val="00AF56C1"/>
    <w:rsid w:val="00AF5AF0"/>
    <w:rsid w:val="00B01FD5"/>
    <w:rsid w:val="00B029C2"/>
    <w:rsid w:val="00B05D40"/>
    <w:rsid w:val="00B06837"/>
    <w:rsid w:val="00B07451"/>
    <w:rsid w:val="00B136FC"/>
    <w:rsid w:val="00B1531F"/>
    <w:rsid w:val="00B1535F"/>
    <w:rsid w:val="00B1741E"/>
    <w:rsid w:val="00B17E98"/>
    <w:rsid w:val="00B20503"/>
    <w:rsid w:val="00B21F29"/>
    <w:rsid w:val="00B233E3"/>
    <w:rsid w:val="00B27396"/>
    <w:rsid w:val="00B33B3C"/>
    <w:rsid w:val="00B344A4"/>
    <w:rsid w:val="00B35698"/>
    <w:rsid w:val="00B41448"/>
    <w:rsid w:val="00B430BF"/>
    <w:rsid w:val="00B46132"/>
    <w:rsid w:val="00B47368"/>
    <w:rsid w:val="00B47FE5"/>
    <w:rsid w:val="00B506AE"/>
    <w:rsid w:val="00B51CB9"/>
    <w:rsid w:val="00B52575"/>
    <w:rsid w:val="00B53326"/>
    <w:rsid w:val="00B53E76"/>
    <w:rsid w:val="00B54457"/>
    <w:rsid w:val="00B54C38"/>
    <w:rsid w:val="00B55601"/>
    <w:rsid w:val="00B55FA8"/>
    <w:rsid w:val="00B57A67"/>
    <w:rsid w:val="00B57F05"/>
    <w:rsid w:val="00B624EB"/>
    <w:rsid w:val="00B62BA0"/>
    <w:rsid w:val="00B63834"/>
    <w:rsid w:val="00B63A60"/>
    <w:rsid w:val="00B71F37"/>
    <w:rsid w:val="00B73BC9"/>
    <w:rsid w:val="00B74D60"/>
    <w:rsid w:val="00B75218"/>
    <w:rsid w:val="00B770A0"/>
    <w:rsid w:val="00B80199"/>
    <w:rsid w:val="00B85842"/>
    <w:rsid w:val="00B90150"/>
    <w:rsid w:val="00B940F2"/>
    <w:rsid w:val="00B953D6"/>
    <w:rsid w:val="00B9588A"/>
    <w:rsid w:val="00B96D53"/>
    <w:rsid w:val="00B971CB"/>
    <w:rsid w:val="00BA05D2"/>
    <w:rsid w:val="00BA0738"/>
    <w:rsid w:val="00BA220B"/>
    <w:rsid w:val="00BA2E9D"/>
    <w:rsid w:val="00BA5633"/>
    <w:rsid w:val="00BA5FAE"/>
    <w:rsid w:val="00BA76F0"/>
    <w:rsid w:val="00BB05CC"/>
    <w:rsid w:val="00BB5ECB"/>
    <w:rsid w:val="00BB6981"/>
    <w:rsid w:val="00BB7708"/>
    <w:rsid w:val="00BC0B66"/>
    <w:rsid w:val="00BC363F"/>
    <w:rsid w:val="00BC70D1"/>
    <w:rsid w:val="00BC7D9F"/>
    <w:rsid w:val="00BD2A38"/>
    <w:rsid w:val="00BD3EE1"/>
    <w:rsid w:val="00BD48BD"/>
    <w:rsid w:val="00BD629C"/>
    <w:rsid w:val="00BD68F0"/>
    <w:rsid w:val="00BD770A"/>
    <w:rsid w:val="00BD7DCC"/>
    <w:rsid w:val="00BE5D4C"/>
    <w:rsid w:val="00BE6254"/>
    <w:rsid w:val="00BE64D8"/>
    <w:rsid w:val="00BE719A"/>
    <w:rsid w:val="00BE720A"/>
    <w:rsid w:val="00BF429B"/>
    <w:rsid w:val="00BF5CE0"/>
    <w:rsid w:val="00C03120"/>
    <w:rsid w:val="00C032EE"/>
    <w:rsid w:val="00C06D9F"/>
    <w:rsid w:val="00C107E4"/>
    <w:rsid w:val="00C111E1"/>
    <w:rsid w:val="00C1258F"/>
    <w:rsid w:val="00C13BAB"/>
    <w:rsid w:val="00C1713D"/>
    <w:rsid w:val="00C246E4"/>
    <w:rsid w:val="00C260BF"/>
    <w:rsid w:val="00C267FE"/>
    <w:rsid w:val="00C2682E"/>
    <w:rsid w:val="00C26FFE"/>
    <w:rsid w:val="00C31DE7"/>
    <w:rsid w:val="00C412D9"/>
    <w:rsid w:val="00C41A4C"/>
    <w:rsid w:val="00C422D3"/>
    <w:rsid w:val="00C42BF8"/>
    <w:rsid w:val="00C42E0D"/>
    <w:rsid w:val="00C47B31"/>
    <w:rsid w:val="00C50043"/>
    <w:rsid w:val="00C51A2D"/>
    <w:rsid w:val="00C552F6"/>
    <w:rsid w:val="00C55385"/>
    <w:rsid w:val="00C60A6B"/>
    <w:rsid w:val="00C60B82"/>
    <w:rsid w:val="00C64CF8"/>
    <w:rsid w:val="00C65744"/>
    <w:rsid w:val="00C74BD7"/>
    <w:rsid w:val="00C7573B"/>
    <w:rsid w:val="00C827BA"/>
    <w:rsid w:val="00C859D0"/>
    <w:rsid w:val="00C93280"/>
    <w:rsid w:val="00C95549"/>
    <w:rsid w:val="00C95636"/>
    <w:rsid w:val="00CA0278"/>
    <w:rsid w:val="00CA1C07"/>
    <w:rsid w:val="00CA22F0"/>
    <w:rsid w:val="00CA24D3"/>
    <w:rsid w:val="00CA49E4"/>
    <w:rsid w:val="00CA4FDA"/>
    <w:rsid w:val="00CA67E2"/>
    <w:rsid w:val="00CB3575"/>
    <w:rsid w:val="00CB7F67"/>
    <w:rsid w:val="00CC0BFF"/>
    <w:rsid w:val="00CC4CE9"/>
    <w:rsid w:val="00CC79FE"/>
    <w:rsid w:val="00CD19FC"/>
    <w:rsid w:val="00CD1E04"/>
    <w:rsid w:val="00CD3831"/>
    <w:rsid w:val="00CD61A1"/>
    <w:rsid w:val="00CE038B"/>
    <w:rsid w:val="00CE056C"/>
    <w:rsid w:val="00CE46D7"/>
    <w:rsid w:val="00CE493D"/>
    <w:rsid w:val="00CE51C7"/>
    <w:rsid w:val="00CE6309"/>
    <w:rsid w:val="00CE74F7"/>
    <w:rsid w:val="00CF0BB2"/>
    <w:rsid w:val="00CF0D75"/>
    <w:rsid w:val="00CF1393"/>
    <w:rsid w:val="00CF2B09"/>
    <w:rsid w:val="00CF3EE8"/>
    <w:rsid w:val="00CF3F48"/>
    <w:rsid w:val="00CF43A8"/>
    <w:rsid w:val="00CF50F4"/>
    <w:rsid w:val="00CF59C8"/>
    <w:rsid w:val="00D00024"/>
    <w:rsid w:val="00D0012D"/>
    <w:rsid w:val="00D00D6F"/>
    <w:rsid w:val="00D02222"/>
    <w:rsid w:val="00D02616"/>
    <w:rsid w:val="00D03600"/>
    <w:rsid w:val="00D040EE"/>
    <w:rsid w:val="00D04913"/>
    <w:rsid w:val="00D0518C"/>
    <w:rsid w:val="00D05C78"/>
    <w:rsid w:val="00D0681D"/>
    <w:rsid w:val="00D06D3D"/>
    <w:rsid w:val="00D106A1"/>
    <w:rsid w:val="00D127ED"/>
    <w:rsid w:val="00D13441"/>
    <w:rsid w:val="00D16856"/>
    <w:rsid w:val="00D17521"/>
    <w:rsid w:val="00D21199"/>
    <w:rsid w:val="00D2127E"/>
    <w:rsid w:val="00D215BC"/>
    <w:rsid w:val="00D26695"/>
    <w:rsid w:val="00D32CE3"/>
    <w:rsid w:val="00D34468"/>
    <w:rsid w:val="00D35813"/>
    <w:rsid w:val="00D35D7A"/>
    <w:rsid w:val="00D37056"/>
    <w:rsid w:val="00D40F44"/>
    <w:rsid w:val="00D42C06"/>
    <w:rsid w:val="00D523E9"/>
    <w:rsid w:val="00D52C9B"/>
    <w:rsid w:val="00D53709"/>
    <w:rsid w:val="00D56151"/>
    <w:rsid w:val="00D66B7A"/>
    <w:rsid w:val="00D675E2"/>
    <w:rsid w:val="00D70713"/>
    <w:rsid w:val="00D70DFB"/>
    <w:rsid w:val="00D721D6"/>
    <w:rsid w:val="00D766DF"/>
    <w:rsid w:val="00D825D4"/>
    <w:rsid w:val="00D82D8D"/>
    <w:rsid w:val="00D85BDA"/>
    <w:rsid w:val="00D869DA"/>
    <w:rsid w:val="00D926A8"/>
    <w:rsid w:val="00D92AB3"/>
    <w:rsid w:val="00D93427"/>
    <w:rsid w:val="00D95F71"/>
    <w:rsid w:val="00DA186E"/>
    <w:rsid w:val="00DA57F2"/>
    <w:rsid w:val="00DA695C"/>
    <w:rsid w:val="00DB0B3C"/>
    <w:rsid w:val="00DB288D"/>
    <w:rsid w:val="00DB49F8"/>
    <w:rsid w:val="00DB6179"/>
    <w:rsid w:val="00DB7B40"/>
    <w:rsid w:val="00DC096B"/>
    <w:rsid w:val="00DC4F88"/>
    <w:rsid w:val="00DC5B77"/>
    <w:rsid w:val="00DD2189"/>
    <w:rsid w:val="00DD29C8"/>
    <w:rsid w:val="00DD5E78"/>
    <w:rsid w:val="00DF0F84"/>
    <w:rsid w:val="00E014F5"/>
    <w:rsid w:val="00E05704"/>
    <w:rsid w:val="00E1577D"/>
    <w:rsid w:val="00E15AF4"/>
    <w:rsid w:val="00E2010F"/>
    <w:rsid w:val="00E20344"/>
    <w:rsid w:val="00E26AD7"/>
    <w:rsid w:val="00E2764C"/>
    <w:rsid w:val="00E338EF"/>
    <w:rsid w:val="00E35389"/>
    <w:rsid w:val="00E3712C"/>
    <w:rsid w:val="00E44C17"/>
    <w:rsid w:val="00E51867"/>
    <w:rsid w:val="00E52430"/>
    <w:rsid w:val="00E548E0"/>
    <w:rsid w:val="00E567B9"/>
    <w:rsid w:val="00E6226B"/>
    <w:rsid w:val="00E63ACD"/>
    <w:rsid w:val="00E63F6B"/>
    <w:rsid w:val="00E653C3"/>
    <w:rsid w:val="00E71E89"/>
    <w:rsid w:val="00E74DC7"/>
    <w:rsid w:val="00E74FBE"/>
    <w:rsid w:val="00E75FF5"/>
    <w:rsid w:val="00E8006E"/>
    <w:rsid w:val="00E85C54"/>
    <w:rsid w:val="00E9081A"/>
    <w:rsid w:val="00E94162"/>
    <w:rsid w:val="00E94D5E"/>
    <w:rsid w:val="00E94E49"/>
    <w:rsid w:val="00E964F7"/>
    <w:rsid w:val="00E966AF"/>
    <w:rsid w:val="00E97F31"/>
    <w:rsid w:val="00EA0C7F"/>
    <w:rsid w:val="00EA4541"/>
    <w:rsid w:val="00EA595F"/>
    <w:rsid w:val="00EA7100"/>
    <w:rsid w:val="00EB22FB"/>
    <w:rsid w:val="00EB2A46"/>
    <w:rsid w:val="00EC01C1"/>
    <w:rsid w:val="00EC1E24"/>
    <w:rsid w:val="00ED4AA9"/>
    <w:rsid w:val="00EE0385"/>
    <w:rsid w:val="00EE0958"/>
    <w:rsid w:val="00EE63D1"/>
    <w:rsid w:val="00EE77BB"/>
    <w:rsid w:val="00EE7830"/>
    <w:rsid w:val="00EE7AA9"/>
    <w:rsid w:val="00EE7B1B"/>
    <w:rsid w:val="00EF2E3A"/>
    <w:rsid w:val="00EF3217"/>
    <w:rsid w:val="00EF7BF5"/>
    <w:rsid w:val="00F01D69"/>
    <w:rsid w:val="00F02C09"/>
    <w:rsid w:val="00F02F8E"/>
    <w:rsid w:val="00F052BD"/>
    <w:rsid w:val="00F06C88"/>
    <w:rsid w:val="00F072A7"/>
    <w:rsid w:val="00F078DC"/>
    <w:rsid w:val="00F11192"/>
    <w:rsid w:val="00F12107"/>
    <w:rsid w:val="00F14273"/>
    <w:rsid w:val="00F148C7"/>
    <w:rsid w:val="00F17024"/>
    <w:rsid w:val="00F177E3"/>
    <w:rsid w:val="00F22236"/>
    <w:rsid w:val="00F22CD5"/>
    <w:rsid w:val="00F234B2"/>
    <w:rsid w:val="00F33293"/>
    <w:rsid w:val="00F377A2"/>
    <w:rsid w:val="00F402DA"/>
    <w:rsid w:val="00F41080"/>
    <w:rsid w:val="00F42222"/>
    <w:rsid w:val="00F42922"/>
    <w:rsid w:val="00F42B26"/>
    <w:rsid w:val="00F51155"/>
    <w:rsid w:val="00F51732"/>
    <w:rsid w:val="00F52C3E"/>
    <w:rsid w:val="00F53000"/>
    <w:rsid w:val="00F532A6"/>
    <w:rsid w:val="00F5350D"/>
    <w:rsid w:val="00F56010"/>
    <w:rsid w:val="00F61B89"/>
    <w:rsid w:val="00F63267"/>
    <w:rsid w:val="00F70588"/>
    <w:rsid w:val="00F70DD1"/>
    <w:rsid w:val="00F73BD6"/>
    <w:rsid w:val="00F756A5"/>
    <w:rsid w:val="00F83752"/>
    <w:rsid w:val="00F83989"/>
    <w:rsid w:val="00F943A8"/>
    <w:rsid w:val="00F9632C"/>
    <w:rsid w:val="00FA0925"/>
    <w:rsid w:val="00FA477E"/>
    <w:rsid w:val="00FA66C6"/>
    <w:rsid w:val="00FB5A21"/>
    <w:rsid w:val="00FC3EE3"/>
    <w:rsid w:val="00FC5939"/>
    <w:rsid w:val="00FC5D3E"/>
    <w:rsid w:val="00FD2A59"/>
    <w:rsid w:val="00FD4B54"/>
    <w:rsid w:val="00FD6261"/>
    <w:rsid w:val="00FD7AED"/>
    <w:rsid w:val="00FD7CE8"/>
    <w:rsid w:val="00FE3569"/>
    <w:rsid w:val="00FE50D7"/>
    <w:rsid w:val="00FF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EA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EA7"/>
  </w:style>
  <w:style w:type="paragraph" w:customStyle="1" w:styleId="OPCParaBase">
    <w:name w:val="OPCParaBase"/>
    <w:qFormat/>
    <w:rsid w:val="00A73E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E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E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E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E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E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3E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E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E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E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E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EA7"/>
  </w:style>
  <w:style w:type="paragraph" w:customStyle="1" w:styleId="Blocks">
    <w:name w:val="Blocks"/>
    <w:aliases w:val="bb"/>
    <w:basedOn w:val="OPCParaBase"/>
    <w:qFormat/>
    <w:rsid w:val="00A73E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E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EA7"/>
    <w:rPr>
      <w:i/>
    </w:rPr>
  </w:style>
  <w:style w:type="paragraph" w:customStyle="1" w:styleId="BoxList">
    <w:name w:val="BoxList"/>
    <w:aliases w:val="bl"/>
    <w:basedOn w:val="BoxText"/>
    <w:qFormat/>
    <w:rsid w:val="00A73E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E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E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EA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73EA7"/>
  </w:style>
  <w:style w:type="character" w:customStyle="1" w:styleId="CharAmPartText">
    <w:name w:val="CharAmPartText"/>
    <w:basedOn w:val="OPCCharBase"/>
    <w:uiPriority w:val="1"/>
    <w:qFormat/>
    <w:rsid w:val="00A73EA7"/>
  </w:style>
  <w:style w:type="character" w:customStyle="1" w:styleId="CharAmSchNo">
    <w:name w:val="CharAmSchNo"/>
    <w:basedOn w:val="OPCCharBase"/>
    <w:uiPriority w:val="1"/>
    <w:qFormat/>
    <w:rsid w:val="00A73EA7"/>
  </w:style>
  <w:style w:type="character" w:customStyle="1" w:styleId="CharAmSchText">
    <w:name w:val="CharAmSchText"/>
    <w:basedOn w:val="OPCCharBase"/>
    <w:uiPriority w:val="1"/>
    <w:qFormat/>
    <w:rsid w:val="00A73EA7"/>
  </w:style>
  <w:style w:type="character" w:customStyle="1" w:styleId="CharBoldItalic">
    <w:name w:val="CharBoldItalic"/>
    <w:basedOn w:val="OPCCharBase"/>
    <w:uiPriority w:val="1"/>
    <w:qFormat/>
    <w:rsid w:val="00A73EA7"/>
    <w:rPr>
      <w:b/>
      <w:i/>
    </w:rPr>
  </w:style>
  <w:style w:type="character" w:customStyle="1" w:styleId="CharChapNo">
    <w:name w:val="CharChapNo"/>
    <w:basedOn w:val="OPCCharBase"/>
    <w:qFormat/>
    <w:rsid w:val="00A73EA7"/>
  </w:style>
  <w:style w:type="character" w:customStyle="1" w:styleId="CharChapText">
    <w:name w:val="CharChapText"/>
    <w:basedOn w:val="OPCCharBase"/>
    <w:qFormat/>
    <w:rsid w:val="00A73EA7"/>
  </w:style>
  <w:style w:type="character" w:customStyle="1" w:styleId="CharDivNo">
    <w:name w:val="CharDivNo"/>
    <w:basedOn w:val="OPCCharBase"/>
    <w:qFormat/>
    <w:rsid w:val="00A73EA7"/>
  </w:style>
  <w:style w:type="character" w:customStyle="1" w:styleId="CharDivText">
    <w:name w:val="CharDivText"/>
    <w:basedOn w:val="OPCCharBase"/>
    <w:qFormat/>
    <w:rsid w:val="00A73EA7"/>
  </w:style>
  <w:style w:type="character" w:customStyle="1" w:styleId="CharItalic">
    <w:name w:val="CharItalic"/>
    <w:basedOn w:val="OPCCharBase"/>
    <w:uiPriority w:val="1"/>
    <w:qFormat/>
    <w:rsid w:val="00A73EA7"/>
    <w:rPr>
      <w:i/>
    </w:rPr>
  </w:style>
  <w:style w:type="character" w:customStyle="1" w:styleId="CharPartNo">
    <w:name w:val="CharPartNo"/>
    <w:basedOn w:val="OPCCharBase"/>
    <w:qFormat/>
    <w:rsid w:val="00A73EA7"/>
  </w:style>
  <w:style w:type="character" w:customStyle="1" w:styleId="CharPartText">
    <w:name w:val="CharPartText"/>
    <w:basedOn w:val="OPCCharBase"/>
    <w:qFormat/>
    <w:rsid w:val="00A73EA7"/>
  </w:style>
  <w:style w:type="character" w:customStyle="1" w:styleId="CharSectno">
    <w:name w:val="CharSectno"/>
    <w:basedOn w:val="OPCCharBase"/>
    <w:qFormat/>
    <w:rsid w:val="00A73EA7"/>
  </w:style>
  <w:style w:type="character" w:customStyle="1" w:styleId="CharSubdNo">
    <w:name w:val="CharSubdNo"/>
    <w:basedOn w:val="OPCCharBase"/>
    <w:uiPriority w:val="1"/>
    <w:qFormat/>
    <w:rsid w:val="00A73EA7"/>
  </w:style>
  <w:style w:type="character" w:customStyle="1" w:styleId="CharSubdText">
    <w:name w:val="CharSubdText"/>
    <w:basedOn w:val="OPCCharBase"/>
    <w:uiPriority w:val="1"/>
    <w:qFormat/>
    <w:rsid w:val="00A73EA7"/>
  </w:style>
  <w:style w:type="paragraph" w:customStyle="1" w:styleId="CTA--">
    <w:name w:val="CTA --"/>
    <w:basedOn w:val="OPCParaBase"/>
    <w:next w:val="Normal"/>
    <w:rsid w:val="00A73E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E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E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E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E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E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E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E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E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E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E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E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E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E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73E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EA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3E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E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E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E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E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E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E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E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E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E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E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E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E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E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E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73EA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73E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E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E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E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E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E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E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E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E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E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E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E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E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E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E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E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E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E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E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E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E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E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E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3EA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73EA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3EA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3E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3E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E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E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E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E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E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E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E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3EA7"/>
    <w:rPr>
      <w:sz w:val="16"/>
    </w:rPr>
  </w:style>
  <w:style w:type="table" w:customStyle="1" w:styleId="CFlag">
    <w:name w:val="CFlag"/>
    <w:basedOn w:val="TableNormal"/>
    <w:uiPriority w:val="99"/>
    <w:rsid w:val="00A73EA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73EA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73EA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3E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EA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E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73EA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73EA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EA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3EA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3E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E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3E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3E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3E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E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E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E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E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E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3E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E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73EA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73EA7"/>
  </w:style>
  <w:style w:type="character" w:customStyle="1" w:styleId="CharSubPartNoCASA">
    <w:name w:val="CharSubPartNo(CASA)"/>
    <w:basedOn w:val="OPCCharBase"/>
    <w:uiPriority w:val="1"/>
    <w:rsid w:val="00A73EA7"/>
  </w:style>
  <w:style w:type="paragraph" w:customStyle="1" w:styleId="ENoteTTIndentHeadingSub">
    <w:name w:val="ENoteTTIndentHeadingSub"/>
    <w:aliases w:val="enTTHis"/>
    <w:basedOn w:val="OPCParaBase"/>
    <w:rsid w:val="00A73E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E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E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E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A73EA7"/>
    <w:pPr>
      <w:keepNext/>
      <w:spacing w:before="60" w:line="240" w:lineRule="atLeast"/>
    </w:pPr>
    <w:rPr>
      <w:b/>
      <w:sz w:val="20"/>
    </w:rPr>
  </w:style>
  <w:style w:type="character" w:customStyle="1" w:styleId="charhit">
    <w:name w:val="charhit"/>
    <w:basedOn w:val="DefaultParagraphFont"/>
    <w:rsid w:val="00EC1E24"/>
    <w:rPr>
      <w:b/>
      <w:bCs/>
      <w:color w:val="FF0000"/>
    </w:rPr>
  </w:style>
  <w:style w:type="paragraph" w:customStyle="1" w:styleId="SOText">
    <w:name w:val="SO Text"/>
    <w:aliases w:val="sot"/>
    <w:link w:val="SOTextChar"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EA7"/>
    <w:rPr>
      <w:sz w:val="22"/>
    </w:rPr>
  </w:style>
  <w:style w:type="paragraph" w:customStyle="1" w:styleId="SOTextNote">
    <w:name w:val="SO TextNote"/>
    <w:aliases w:val="sont"/>
    <w:basedOn w:val="SOText"/>
    <w:qFormat/>
    <w:rsid w:val="00A73E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E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EA7"/>
    <w:rPr>
      <w:sz w:val="22"/>
    </w:rPr>
  </w:style>
  <w:style w:type="paragraph" w:customStyle="1" w:styleId="FileName">
    <w:name w:val="FileName"/>
    <w:basedOn w:val="Normal"/>
    <w:rsid w:val="00A73E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E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E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E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E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E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E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E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E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EA7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A73EA7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73EA7"/>
  </w:style>
  <w:style w:type="paragraph" w:customStyle="1" w:styleId="OPCParaBase">
    <w:name w:val="OPCParaBase"/>
    <w:qFormat/>
    <w:rsid w:val="00A73EA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73EA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73EA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A73EA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A73EA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A73EA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A73EA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A73EA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A73EA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A73EA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A73EA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73EA7"/>
  </w:style>
  <w:style w:type="paragraph" w:customStyle="1" w:styleId="Blocks">
    <w:name w:val="Blocks"/>
    <w:aliases w:val="bb"/>
    <w:basedOn w:val="OPCParaBase"/>
    <w:qFormat/>
    <w:rsid w:val="00A73EA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73EA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73EA7"/>
    <w:rPr>
      <w:i/>
    </w:rPr>
  </w:style>
  <w:style w:type="paragraph" w:customStyle="1" w:styleId="BoxList">
    <w:name w:val="BoxList"/>
    <w:aliases w:val="bl"/>
    <w:basedOn w:val="BoxText"/>
    <w:qFormat/>
    <w:rsid w:val="00A73EA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73EA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73EA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73EA7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73EA7"/>
  </w:style>
  <w:style w:type="character" w:customStyle="1" w:styleId="CharAmPartText">
    <w:name w:val="CharAmPartText"/>
    <w:basedOn w:val="OPCCharBase"/>
    <w:uiPriority w:val="1"/>
    <w:qFormat/>
    <w:rsid w:val="00A73EA7"/>
  </w:style>
  <w:style w:type="character" w:customStyle="1" w:styleId="CharAmSchNo">
    <w:name w:val="CharAmSchNo"/>
    <w:basedOn w:val="OPCCharBase"/>
    <w:uiPriority w:val="1"/>
    <w:qFormat/>
    <w:rsid w:val="00A73EA7"/>
  </w:style>
  <w:style w:type="character" w:customStyle="1" w:styleId="CharAmSchText">
    <w:name w:val="CharAmSchText"/>
    <w:basedOn w:val="OPCCharBase"/>
    <w:uiPriority w:val="1"/>
    <w:qFormat/>
    <w:rsid w:val="00A73EA7"/>
  </w:style>
  <w:style w:type="character" w:customStyle="1" w:styleId="CharBoldItalic">
    <w:name w:val="CharBoldItalic"/>
    <w:basedOn w:val="OPCCharBase"/>
    <w:uiPriority w:val="1"/>
    <w:qFormat/>
    <w:rsid w:val="00A73EA7"/>
    <w:rPr>
      <w:b/>
      <w:i/>
    </w:rPr>
  </w:style>
  <w:style w:type="character" w:customStyle="1" w:styleId="CharChapNo">
    <w:name w:val="CharChapNo"/>
    <w:basedOn w:val="OPCCharBase"/>
    <w:qFormat/>
    <w:rsid w:val="00A73EA7"/>
  </w:style>
  <w:style w:type="character" w:customStyle="1" w:styleId="CharChapText">
    <w:name w:val="CharChapText"/>
    <w:basedOn w:val="OPCCharBase"/>
    <w:qFormat/>
    <w:rsid w:val="00A73EA7"/>
  </w:style>
  <w:style w:type="character" w:customStyle="1" w:styleId="CharDivNo">
    <w:name w:val="CharDivNo"/>
    <w:basedOn w:val="OPCCharBase"/>
    <w:qFormat/>
    <w:rsid w:val="00A73EA7"/>
  </w:style>
  <w:style w:type="character" w:customStyle="1" w:styleId="CharDivText">
    <w:name w:val="CharDivText"/>
    <w:basedOn w:val="OPCCharBase"/>
    <w:qFormat/>
    <w:rsid w:val="00A73EA7"/>
  </w:style>
  <w:style w:type="character" w:customStyle="1" w:styleId="CharItalic">
    <w:name w:val="CharItalic"/>
    <w:basedOn w:val="OPCCharBase"/>
    <w:uiPriority w:val="1"/>
    <w:qFormat/>
    <w:rsid w:val="00A73EA7"/>
    <w:rPr>
      <w:i/>
    </w:rPr>
  </w:style>
  <w:style w:type="character" w:customStyle="1" w:styleId="CharPartNo">
    <w:name w:val="CharPartNo"/>
    <w:basedOn w:val="OPCCharBase"/>
    <w:qFormat/>
    <w:rsid w:val="00A73EA7"/>
  </w:style>
  <w:style w:type="character" w:customStyle="1" w:styleId="CharPartText">
    <w:name w:val="CharPartText"/>
    <w:basedOn w:val="OPCCharBase"/>
    <w:qFormat/>
    <w:rsid w:val="00A73EA7"/>
  </w:style>
  <w:style w:type="character" w:customStyle="1" w:styleId="CharSectno">
    <w:name w:val="CharSectno"/>
    <w:basedOn w:val="OPCCharBase"/>
    <w:qFormat/>
    <w:rsid w:val="00A73EA7"/>
  </w:style>
  <w:style w:type="character" w:customStyle="1" w:styleId="CharSubdNo">
    <w:name w:val="CharSubdNo"/>
    <w:basedOn w:val="OPCCharBase"/>
    <w:uiPriority w:val="1"/>
    <w:qFormat/>
    <w:rsid w:val="00A73EA7"/>
  </w:style>
  <w:style w:type="character" w:customStyle="1" w:styleId="CharSubdText">
    <w:name w:val="CharSubdText"/>
    <w:basedOn w:val="OPCCharBase"/>
    <w:uiPriority w:val="1"/>
    <w:qFormat/>
    <w:rsid w:val="00A73EA7"/>
  </w:style>
  <w:style w:type="paragraph" w:customStyle="1" w:styleId="CTA--">
    <w:name w:val="CTA --"/>
    <w:basedOn w:val="OPCParaBase"/>
    <w:next w:val="Normal"/>
    <w:rsid w:val="00A73EA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A73EA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A73EA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A73EA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3EA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3EA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A73EA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A73EA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A73EA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A73EA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A73EA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A73EA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A73EA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A73EA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A73EA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A73EA7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A73EA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A73EA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A73EA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A73EA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A73EA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A73EA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A73EA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A73EA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A73EA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A73EA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A73EA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A73EA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A73EA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A73EA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A73EA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A73EA7"/>
    <w:pPr>
      <w:spacing w:before="122" w:line="240" w:lineRule="auto"/>
      <w:ind w:left="1985" w:hanging="851"/>
    </w:pPr>
    <w:rPr>
      <w:sz w:val="18"/>
    </w:rPr>
  </w:style>
  <w:style w:type="paragraph" w:customStyle="1" w:styleId="Page1">
    <w:name w:val="Page1"/>
    <w:basedOn w:val="OPCParaBase"/>
    <w:rsid w:val="00A73EA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A73EA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73EA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73EA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73EA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73EA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A73EA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A73EA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A73EA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A73EA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A73EA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A73EA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A73EA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A73EA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A73EA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A73EA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A73EA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A73EA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A73EA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A73EA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A73EA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A73EA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A73EA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A73EA7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A73EA7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A73EA7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A73EA7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A73EA7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A73EA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A73EA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A73EA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A73EA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A73EA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A73EA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A73EA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A73EA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A73EA7"/>
    <w:rPr>
      <w:sz w:val="16"/>
    </w:rPr>
  </w:style>
  <w:style w:type="table" w:customStyle="1" w:styleId="CFlag">
    <w:name w:val="CFlag"/>
    <w:basedOn w:val="TableNormal"/>
    <w:uiPriority w:val="99"/>
    <w:rsid w:val="00A73EA7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3E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EA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3E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A73EA7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A73EA7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A73EA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A73EA7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A73EA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2">
    <w:name w:val="NotesHeading 2"/>
    <w:basedOn w:val="OPCParaBase"/>
    <w:next w:val="Normal"/>
    <w:rsid w:val="00A73EA7"/>
    <w:rPr>
      <w:b/>
      <w:sz w:val="28"/>
      <w:szCs w:val="28"/>
    </w:rPr>
  </w:style>
  <w:style w:type="paragraph" w:customStyle="1" w:styleId="NotesHeading1">
    <w:name w:val="NotesHeading 1"/>
    <w:basedOn w:val="OPCParaBase"/>
    <w:next w:val="Normal"/>
    <w:rsid w:val="00A73EA7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A73EA7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A73EA7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A73EA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73EA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A73EA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A73EA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A73EA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A73EA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A73EA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A73EA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A73EA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A73EA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A73EA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A73EA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A73EA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A73EA7"/>
  </w:style>
  <w:style w:type="character" w:customStyle="1" w:styleId="CharSubPartNoCASA">
    <w:name w:val="CharSubPartNo(CASA)"/>
    <w:basedOn w:val="OPCCharBase"/>
    <w:uiPriority w:val="1"/>
    <w:rsid w:val="00A73EA7"/>
  </w:style>
  <w:style w:type="paragraph" w:customStyle="1" w:styleId="ENoteTTIndentHeadingSub">
    <w:name w:val="ENoteTTIndentHeadingSub"/>
    <w:aliases w:val="enTTHis"/>
    <w:basedOn w:val="OPCParaBase"/>
    <w:rsid w:val="00A73EA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A73EA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A73EA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A73EA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TableHeading">
    <w:name w:val="TableHeading"/>
    <w:aliases w:val="th"/>
    <w:basedOn w:val="OPCParaBase"/>
    <w:next w:val="Tabletext"/>
    <w:rsid w:val="00A73EA7"/>
    <w:pPr>
      <w:keepNext/>
      <w:spacing w:before="60" w:line="240" w:lineRule="atLeast"/>
    </w:pPr>
    <w:rPr>
      <w:b/>
      <w:sz w:val="20"/>
    </w:rPr>
  </w:style>
  <w:style w:type="character" w:customStyle="1" w:styleId="charhit">
    <w:name w:val="charhit"/>
    <w:basedOn w:val="DefaultParagraphFont"/>
    <w:rsid w:val="00EC1E24"/>
    <w:rPr>
      <w:b/>
      <w:bCs/>
      <w:color w:val="FF0000"/>
    </w:rPr>
  </w:style>
  <w:style w:type="paragraph" w:customStyle="1" w:styleId="SOText">
    <w:name w:val="SO Text"/>
    <w:aliases w:val="sot"/>
    <w:link w:val="SOTextChar"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A73EA7"/>
    <w:rPr>
      <w:sz w:val="22"/>
    </w:rPr>
  </w:style>
  <w:style w:type="paragraph" w:customStyle="1" w:styleId="SOTextNote">
    <w:name w:val="SO TextNote"/>
    <w:aliases w:val="sont"/>
    <w:basedOn w:val="SOText"/>
    <w:qFormat/>
    <w:rsid w:val="00A73EA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A73EA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A73EA7"/>
    <w:rPr>
      <w:sz w:val="22"/>
    </w:rPr>
  </w:style>
  <w:style w:type="paragraph" w:customStyle="1" w:styleId="FileName">
    <w:name w:val="FileName"/>
    <w:basedOn w:val="Normal"/>
    <w:rsid w:val="00A73EA7"/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A73EA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A73EA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A73EA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A73EA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A73EA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A73EA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A73EA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A73EA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A73EA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A73EA7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0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93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647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730009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93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7830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85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24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28282"/>
                            <w:left w:val="single" w:sz="6" w:space="0" w:color="828282"/>
                            <w:bottom w:val="single" w:sz="6" w:space="0" w:color="828282"/>
                            <w:right w:val="single" w:sz="6" w:space="0" w:color="828282"/>
                          </w:divBdr>
                          <w:divsChild>
                            <w:div w:id="144248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233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94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77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063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524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0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04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1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D81F8-5D72-4A8C-A741-621158865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SLIS_NEW.DOTX</Template>
  <TotalTime>0</TotalTime>
  <Pages>20</Pages>
  <Words>2821</Words>
  <Characters>14271</Characters>
  <Application>Microsoft Office Word</Application>
  <DocSecurity>0</DocSecurity>
  <PresentationFormat/>
  <Lines>389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Protection of Cultural Objects on Loan Regulation 2014</vt:lpstr>
    </vt:vector>
  </TitlesOfParts>
  <Manager/>
  <Company/>
  <LinksUpToDate>false</LinksUpToDate>
  <CharactersWithSpaces>17036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2014-09-02T23:35:00Z</cp:lastPrinted>
  <dcterms:created xsi:type="dcterms:W3CDTF">2014-09-26T01:36:00Z</dcterms:created>
  <dcterms:modified xsi:type="dcterms:W3CDTF">2014-09-26T01:36:00Z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142, 2014</vt:lpwstr>
  </property>
  <property fmtid="{D5CDD505-2E9C-101B-9397-08002B2CF9AE}" pid="3" name="ShortT">
    <vt:lpwstr>Protection of Cultural Objects on Loan Regulation 2014</vt:lpwstr>
  </property>
  <property fmtid="{D5CDD505-2E9C-101B-9397-08002B2CF9AE}" pid="4" name="Header">
    <vt:lpwstr>Section</vt:lpwstr>
  </property>
  <property fmtid="{D5CDD505-2E9C-101B-9397-08002B2CF9AE}" pid="5" name="Class">
    <vt:lpwstr>Regulation</vt:lpwstr>
  </property>
  <property fmtid="{D5CDD505-2E9C-101B-9397-08002B2CF9AE}" pid="6" name="Type">
    <vt:lpwstr>SLI</vt:lpwstr>
  </property>
  <property fmtid="{D5CDD505-2E9C-101B-9397-08002B2CF9AE}" pid="7" name="DocType">
    <vt:lpwstr>NEW</vt:lpwstr>
  </property>
  <property fmtid="{D5CDD505-2E9C-101B-9397-08002B2CF9AE}" pid="8" name="DateMade">
    <vt:lpwstr>02 October 2014</vt:lpwstr>
  </property>
  <property fmtid="{D5CDD505-2E9C-101B-9397-08002B2CF9AE}" pid="9" name="Exco">
    <vt:lpwstr>Yes</vt:lpwstr>
  </property>
  <property fmtid="{D5CDD505-2E9C-101B-9397-08002B2CF9AE}" pid="10" name="Authority">
    <vt:lpwstr/>
  </property>
  <property fmtid="{D5CDD505-2E9C-101B-9397-08002B2CF9AE}" pid="11" name="ID">
    <vt:lpwstr>OPC60244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Protection of Cultural Objects on Loan Act 2013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02 October 2014</vt:lpwstr>
  </property>
</Properties>
</file>