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AA" w:rsidRDefault="00B523AA">
      <w:pPr>
        <w:pStyle w:val="AFMANormal"/>
        <w:ind w:firstLine="720"/>
        <w:jc w:val="center"/>
        <w:rPr>
          <w:b/>
          <w:szCs w:val="24"/>
          <w:u w:val="single"/>
        </w:rPr>
      </w:pPr>
      <w:r>
        <w:rPr>
          <w:b/>
          <w:szCs w:val="24"/>
          <w:u w:val="single"/>
        </w:rPr>
        <w:t>EXPLANATORY STATEMENT</w:t>
      </w:r>
    </w:p>
    <w:p w:rsidR="00B523AA" w:rsidRDefault="006B0396">
      <w:pPr>
        <w:pStyle w:val="AFMANormal"/>
        <w:ind w:firstLine="720"/>
        <w:jc w:val="center"/>
        <w:rPr>
          <w:b/>
          <w:szCs w:val="24"/>
          <w:u w:val="single"/>
        </w:rPr>
      </w:pPr>
      <w:r>
        <w:rPr>
          <w:b/>
          <w:szCs w:val="24"/>
          <w:u w:val="single"/>
        </w:rPr>
        <w:t xml:space="preserve">Select Legislative Instrument No. </w:t>
      </w:r>
      <w:r w:rsidR="007F13B6">
        <w:rPr>
          <w:b/>
          <w:szCs w:val="24"/>
          <w:u w:val="single"/>
        </w:rPr>
        <w:t>141,</w:t>
      </w:r>
      <w:r w:rsidR="008B32FF">
        <w:rPr>
          <w:b/>
          <w:szCs w:val="24"/>
          <w:u w:val="single"/>
        </w:rPr>
        <w:t xml:space="preserve"> 2014</w:t>
      </w:r>
    </w:p>
    <w:p w:rsidR="00B523AA" w:rsidRDefault="00B523AA">
      <w:pPr>
        <w:pStyle w:val="AFMANormal"/>
        <w:jc w:val="center"/>
        <w:rPr>
          <w:szCs w:val="24"/>
        </w:rPr>
      </w:pPr>
      <w:r>
        <w:rPr>
          <w:szCs w:val="24"/>
        </w:rPr>
        <w:t>Issued by the Authority of the Parli</w:t>
      </w:r>
      <w:bookmarkStart w:id="0" w:name="_GoBack"/>
      <w:bookmarkEnd w:id="0"/>
      <w:r>
        <w:rPr>
          <w:szCs w:val="24"/>
        </w:rPr>
        <w:t>amentary Secretary</w:t>
      </w:r>
      <w:r w:rsidR="008B32FF">
        <w:rPr>
          <w:szCs w:val="24"/>
        </w:rPr>
        <w:t xml:space="preserve"> to the Minister </w:t>
      </w:r>
      <w:r>
        <w:rPr>
          <w:szCs w:val="24"/>
        </w:rPr>
        <w:t>for Agriculture</w:t>
      </w:r>
    </w:p>
    <w:p w:rsidR="001A4E5D" w:rsidRDefault="00B523AA" w:rsidP="001A4E5D">
      <w:pPr>
        <w:pStyle w:val="AFMANormal"/>
        <w:jc w:val="center"/>
        <w:rPr>
          <w:i/>
          <w:szCs w:val="24"/>
        </w:rPr>
      </w:pPr>
      <w:r>
        <w:rPr>
          <w:i/>
          <w:szCs w:val="24"/>
        </w:rPr>
        <w:t>Fisheries Management Act 1991</w:t>
      </w:r>
    </w:p>
    <w:p w:rsidR="008B32FF" w:rsidRPr="001A4E5D" w:rsidRDefault="008B32FF" w:rsidP="001A4E5D">
      <w:pPr>
        <w:pStyle w:val="AFMANormal"/>
        <w:jc w:val="center"/>
        <w:rPr>
          <w:szCs w:val="24"/>
        </w:rPr>
      </w:pPr>
      <w:r>
        <w:rPr>
          <w:i/>
          <w:szCs w:val="24"/>
        </w:rPr>
        <w:t>Fisheries Management Regulations 1992</w:t>
      </w:r>
    </w:p>
    <w:p w:rsidR="001A4E5D" w:rsidRPr="001A4E5D" w:rsidRDefault="001A4E5D" w:rsidP="001A4E5D">
      <w:pPr>
        <w:pStyle w:val="AFMANormal"/>
        <w:jc w:val="center"/>
        <w:rPr>
          <w:i/>
          <w:szCs w:val="24"/>
        </w:rPr>
      </w:pPr>
      <w:r w:rsidRPr="001A4E5D">
        <w:rPr>
          <w:i/>
          <w:szCs w:val="24"/>
        </w:rPr>
        <w:t>Fisheries Management</w:t>
      </w:r>
      <w:r w:rsidR="0008539B">
        <w:rPr>
          <w:i/>
          <w:szCs w:val="24"/>
        </w:rPr>
        <w:t xml:space="preserve"> Amendment </w:t>
      </w:r>
      <w:r w:rsidR="00E30394">
        <w:rPr>
          <w:i/>
          <w:szCs w:val="24"/>
        </w:rPr>
        <w:t xml:space="preserve">(2014 Measures No. 1) </w:t>
      </w:r>
      <w:r w:rsidR="0008539B">
        <w:rPr>
          <w:i/>
          <w:szCs w:val="24"/>
        </w:rPr>
        <w:t>Regulation 201</w:t>
      </w:r>
      <w:r w:rsidR="00E30394">
        <w:rPr>
          <w:i/>
          <w:szCs w:val="24"/>
        </w:rPr>
        <w:t>4</w:t>
      </w:r>
      <w:r w:rsidR="0008539B">
        <w:rPr>
          <w:i/>
          <w:szCs w:val="24"/>
        </w:rPr>
        <w:t xml:space="preserve"> </w:t>
      </w:r>
    </w:p>
    <w:p w:rsidR="00B523AA" w:rsidRDefault="00B523AA">
      <w:pPr>
        <w:pStyle w:val="AFMANormal"/>
        <w:jc w:val="left"/>
        <w:rPr>
          <w:szCs w:val="24"/>
        </w:rPr>
      </w:pPr>
      <w:r>
        <w:rPr>
          <w:szCs w:val="24"/>
        </w:rPr>
        <w:t>Section 168</w:t>
      </w:r>
      <w:r w:rsidR="008B32FF">
        <w:rPr>
          <w:szCs w:val="24"/>
        </w:rPr>
        <w:t xml:space="preserve"> </w:t>
      </w:r>
      <w:r>
        <w:rPr>
          <w:szCs w:val="24"/>
        </w:rPr>
        <w:t xml:space="preserve">of the </w:t>
      </w:r>
      <w:r>
        <w:rPr>
          <w:i/>
          <w:szCs w:val="24"/>
        </w:rPr>
        <w:t>Fisheries Management Act 1991</w:t>
      </w:r>
      <w:r>
        <w:rPr>
          <w:szCs w:val="24"/>
        </w:rPr>
        <w:t xml:space="preserve"> (the Management Act) empower the Governor-General to make regulations for the purposes of the Management Act</w:t>
      </w:r>
      <w:r w:rsidR="00C739F0">
        <w:rPr>
          <w:szCs w:val="24"/>
        </w:rPr>
        <w:t xml:space="preserve">. </w:t>
      </w:r>
    </w:p>
    <w:p w:rsidR="0096713F" w:rsidRDefault="00171D91">
      <w:pPr>
        <w:pStyle w:val="AFMANormal"/>
        <w:jc w:val="left"/>
        <w:rPr>
          <w:szCs w:val="24"/>
        </w:rPr>
      </w:pPr>
      <w:r>
        <w:rPr>
          <w:szCs w:val="24"/>
        </w:rPr>
        <w:t>Section 16</w:t>
      </w:r>
      <w:r w:rsidR="00A74568">
        <w:rPr>
          <w:szCs w:val="24"/>
        </w:rPr>
        <w:t>8</w:t>
      </w:r>
      <w:r>
        <w:rPr>
          <w:szCs w:val="24"/>
        </w:rPr>
        <w:t xml:space="preserve"> (2)(e) </w:t>
      </w:r>
      <w:r w:rsidRPr="00171D91">
        <w:rPr>
          <w:szCs w:val="24"/>
        </w:rPr>
        <w:t xml:space="preserve">of the Management Act </w:t>
      </w:r>
      <w:r>
        <w:rPr>
          <w:szCs w:val="24"/>
        </w:rPr>
        <w:t xml:space="preserve">provides for the </w:t>
      </w:r>
      <w:r w:rsidRPr="00171D91">
        <w:rPr>
          <w:szCs w:val="24"/>
        </w:rPr>
        <w:t>imposition and recovery of fees in respect</w:t>
      </w:r>
      <w:r>
        <w:rPr>
          <w:szCs w:val="24"/>
        </w:rPr>
        <w:t xml:space="preserve"> of</w:t>
      </w:r>
      <w:r w:rsidR="00A74568">
        <w:rPr>
          <w:szCs w:val="24"/>
        </w:rPr>
        <w:t xml:space="preserve"> (ii) the making of applications under this Act and (iiia) the giving of a notice to AFMA nominating an Australian boat under paragraph 32(1A)(b) or subsection 32(1B).</w:t>
      </w:r>
      <w:r w:rsidR="00A74568" w:rsidDel="00A74568">
        <w:rPr>
          <w:szCs w:val="24"/>
        </w:rPr>
        <w:t xml:space="preserve"> </w:t>
      </w:r>
    </w:p>
    <w:p w:rsidR="004E5B5A" w:rsidRDefault="004E5B5A">
      <w:pPr>
        <w:pStyle w:val="AFMANormal"/>
        <w:jc w:val="left"/>
        <w:rPr>
          <w:szCs w:val="24"/>
        </w:rPr>
      </w:pPr>
      <w:r>
        <w:rPr>
          <w:szCs w:val="24"/>
        </w:rPr>
        <w:t xml:space="preserve">Section </w:t>
      </w:r>
      <w:r w:rsidRPr="004E5B5A">
        <w:rPr>
          <w:szCs w:val="24"/>
        </w:rPr>
        <w:t>42B</w:t>
      </w:r>
      <w:r w:rsidR="00950BAD">
        <w:rPr>
          <w:szCs w:val="24"/>
        </w:rPr>
        <w:t xml:space="preserve"> of the Management Act provides that regulations may p</w:t>
      </w:r>
      <w:r w:rsidRPr="004E5B5A">
        <w:rPr>
          <w:szCs w:val="24"/>
        </w:rPr>
        <w:t>rescribe conditions that apply to fishing concessions</w:t>
      </w:r>
      <w:r w:rsidR="00950BAD">
        <w:rPr>
          <w:szCs w:val="24"/>
        </w:rPr>
        <w:t xml:space="preserve"> or foreign fishing licences. </w:t>
      </w:r>
    </w:p>
    <w:p w:rsidR="00E30394" w:rsidRPr="00E30394" w:rsidRDefault="004D627E">
      <w:pPr>
        <w:pStyle w:val="AFMANormal"/>
        <w:jc w:val="left"/>
        <w:rPr>
          <w:szCs w:val="24"/>
        </w:rPr>
      </w:pPr>
      <w:bookmarkStart w:id="1" w:name="OLE_LINK1"/>
      <w:bookmarkStart w:id="2" w:name="OLE_LINK2"/>
      <w:r>
        <w:rPr>
          <w:szCs w:val="24"/>
        </w:rPr>
        <w:t>The</w:t>
      </w:r>
      <w:r w:rsidR="00EA1A2A">
        <w:rPr>
          <w:szCs w:val="24"/>
        </w:rPr>
        <w:t xml:space="preserve"> primary purpose </w:t>
      </w:r>
      <w:r w:rsidR="00C06336">
        <w:rPr>
          <w:szCs w:val="24"/>
        </w:rPr>
        <w:t xml:space="preserve">of </w:t>
      </w:r>
      <w:r w:rsidR="00E30394" w:rsidRPr="001A4E5D">
        <w:rPr>
          <w:i/>
          <w:szCs w:val="24"/>
        </w:rPr>
        <w:t>Fisheries Management</w:t>
      </w:r>
      <w:r w:rsidR="00E30394">
        <w:rPr>
          <w:i/>
          <w:szCs w:val="24"/>
        </w:rPr>
        <w:t xml:space="preserve"> Amendment (2014 Measures No. 1) Regulation 2014 </w:t>
      </w:r>
      <w:r w:rsidR="0082202C">
        <w:rPr>
          <w:szCs w:val="24"/>
        </w:rPr>
        <w:t xml:space="preserve">(the Regulation) </w:t>
      </w:r>
      <w:r w:rsidR="00EA1A2A">
        <w:rPr>
          <w:szCs w:val="24"/>
        </w:rPr>
        <w:t>is to</w:t>
      </w:r>
      <w:r>
        <w:rPr>
          <w:szCs w:val="24"/>
        </w:rPr>
        <w:t xml:space="preserve"> </w:t>
      </w:r>
      <w:r w:rsidR="00E30394">
        <w:rPr>
          <w:szCs w:val="24"/>
        </w:rPr>
        <w:t xml:space="preserve">implement three changes to the </w:t>
      </w:r>
      <w:r w:rsidR="00E30394" w:rsidRPr="004D627E">
        <w:rPr>
          <w:i/>
          <w:szCs w:val="24"/>
        </w:rPr>
        <w:t>Fisheries Management Regulations 1992</w:t>
      </w:r>
      <w:r w:rsidR="003024CF">
        <w:rPr>
          <w:i/>
          <w:szCs w:val="24"/>
        </w:rPr>
        <w:t xml:space="preserve"> </w:t>
      </w:r>
      <w:r w:rsidR="003024CF" w:rsidRPr="0065560F">
        <w:rPr>
          <w:szCs w:val="24"/>
        </w:rPr>
        <w:t>(the Principal Regulations)</w:t>
      </w:r>
      <w:r w:rsidR="00E30394">
        <w:rPr>
          <w:szCs w:val="24"/>
        </w:rPr>
        <w:t xml:space="preserve"> in order to reduce complexity, improve flexibility and reduce costs to </w:t>
      </w:r>
      <w:r w:rsidR="00A24AA3" w:rsidRPr="00EE3546">
        <w:rPr>
          <w:szCs w:val="24"/>
        </w:rPr>
        <w:t>the Australian Fisheries Management Authority (AFMA)</w:t>
      </w:r>
      <w:r w:rsidR="00E30394">
        <w:rPr>
          <w:szCs w:val="24"/>
        </w:rPr>
        <w:t xml:space="preserve"> and industry stakeholders. The Regulation </w:t>
      </w:r>
      <w:r w:rsidR="00E30394" w:rsidRPr="00E30394">
        <w:rPr>
          <w:szCs w:val="24"/>
        </w:rPr>
        <w:t>remov</w:t>
      </w:r>
      <w:r w:rsidR="00E30394">
        <w:rPr>
          <w:szCs w:val="24"/>
        </w:rPr>
        <w:t>es</w:t>
      </w:r>
      <w:r w:rsidR="00E30394" w:rsidRPr="00E30394">
        <w:rPr>
          <w:szCs w:val="24"/>
        </w:rPr>
        <w:t xml:space="preserve"> direct charges for online transactions, remov</w:t>
      </w:r>
      <w:r w:rsidR="00E30394">
        <w:rPr>
          <w:szCs w:val="24"/>
        </w:rPr>
        <w:t>es</w:t>
      </w:r>
      <w:r w:rsidR="00E30394" w:rsidRPr="00E30394">
        <w:rPr>
          <w:szCs w:val="24"/>
        </w:rPr>
        <w:t xml:space="preserve"> Scientific Permit application fees and simplifi</w:t>
      </w:r>
      <w:r w:rsidR="00E30394">
        <w:rPr>
          <w:szCs w:val="24"/>
        </w:rPr>
        <w:t>es</w:t>
      </w:r>
      <w:r w:rsidR="00E30394" w:rsidRPr="00E30394">
        <w:rPr>
          <w:szCs w:val="24"/>
        </w:rPr>
        <w:t xml:space="preserve"> the boat nomination process</w:t>
      </w:r>
      <w:r w:rsidR="00E30394">
        <w:rPr>
          <w:szCs w:val="24"/>
        </w:rPr>
        <w:t xml:space="preserve">. </w:t>
      </w:r>
    </w:p>
    <w:bookmarkEnd w:id="1"/>
    <w:bookmarkEnd w:id="2"/>
    <w:p w:rsidR="00E401AB" w:rsidRDefault="00B523AA">
      <w:pPr>
        <w:pStyle w:val="AFMANormal"/>
        <w:jc w:val="left"/>
        <w:rPr>
          <w:szCs w:val="24"/>
        </w:rPr>
      </w:pPr>
      <w:r w:rsidRPr="00EE3546">
        <w:rPr>
          <w:szCs w:val="24"/>
        </w:rPr>
        <w:t>In accordance with government policy and existing legislation, AFMA recovers the costs of management</w:t>
      </w:r>
      <w:r w:rsidR="00582C4F" w:rsidRPr="00EE3546">
        <w:rPr>
          <w:szCs w:val="24"/>
        </w:rPr>
        <w:t xml:space="preserve"> activities</w:t>
      </w:r>
      <w:r w:rsidRPr="00EE3546">
        <w:rPr>
          <w:szCs w:val="24"/>
        </w:rPr>
        <w:t xml:space="preserve"> attributab</w:t>
      </w:r>
      <w:r w:rsidR="00EE3546" w:rsidRPr="00EE3546">
        <w:rPr>
          <w:szCs w:val="24"/>
        </w:rPr>
        <w:t>le to the concession activities</w:t>
      </w:r>
      <w:r w:rsidR="0082202C">
        <w:rPr>
          <w:szCs w:val="24"/>
        </w:rPr>
        <w:t xml:space="preserve"> </w:t>
      </w:r>
      <w:r w:rsidR="0082202C" w:rsidRPr="00EE3546">
        <w:rPr>
          <w:szCs w:val="24"/>
        </w:rPr>
        <w:t>from the holders of fishing concessions</w:t>
      </w:r>
      <w:r w:rsidR="00327984" w:rsidRPr="00EE3546">
        <w:rPr>
          <w:szCs w:val="24"/>
        </w:rPr>
        <w:t>.</w:t>
      </w:r>
      <w:r w:rsidR="00AE0464">
        <w:rPr>
          <w:szCs w:val="24"/>
        </w:rPr>
        <w:t xml:space="preserve"> These activities include the provision of</w:t>
      </w:r>
      <w:r w:rsidR="00E30394">
        <w:rPr>
          <w:szCs w:val="24"/>
        </w:rPr>
        <w:t xml:space="preserve"> licensing services</w:t>
      </w:r>
      <w:r w:rsidR="00A24AA3">
        <w:rPr>
          <w:szCs w:val="24"/>
        </w:rPr>
        <w:t xml:space="preserve"> </w:t>
      </w:r>
      <w:r w:rsidR="00E30394">
        <w:rPr>
          <w:szCs w:val="24"/>
        </w:rPr>
        <w:t xml:space="preserve">through </w:t>
      </w:r>
      <w:r w:rsidR="00A24AA3">
        <w:rPr>
          <w:szCs w:val="24"/>
        </w:rPr>
        <w:t xml:space="preserve">AFMA’s online Licensing service (GoFish). Fees for transactions performed on GoFish are charged on a transaction-by-transaction basis. </w:t>
      </w:r>
      <w:r w:rsidR="00E30394" w:rsidRPr="00E30394">
        <w:rPr>
          <w:szCs w:val="24"/>
        </w:rPr>
        <w:t xml:space="preserve">This is outside the levy base and other fee for service arrangements.  This transaction-by-transaction charging is time consuming and inefficient for both industry and AFMA. </w:t>
      </w:r>
      <w:r w:rsidR="00A24AA3">
        <w:rPr>
          <w:szCs w:val="24"/>
        </w:rPr>
        <w:t>The Regulation</w:t>
      </w:r>
      <w:r w:rsidR="00E30394" w:rsidRPr="00E30394">
        <w:rPr>
          <w:szCs w:val="24"/>
        </w:rPr>
        <w:t xml:space="preserve"> build</w:t>
      </w:r>
      <w:r w:rsidR="00A24AA3">
        <w:rPr>
          <w:szCs w:val="24"/>
        </w:rPr>
        <w:t>s</w:t>
      </w:r>
      <w:r w:rsidR="00E30394" w:rsidRPr="00E30394">
        <w:rPr>
          <w:szCs w:val="24"/>
        </w:rPr>
        <w:t xml:space="preserve"> the costs of this into relevant fishery levy</w:t>
      </w:r>
      <w:r w:rsidR="004F3B23">
        <w:rPr>
          <w:szCs w:val="24"/>
        </w:rPr>
        <w:t xml:space="preserve"> </w:t>
      </w:r>
      <w:r w:rsidR="00E30394" w:rsidRPr="00E30394">
        <w:rPr>
          <w:szCs w:val="24"/>
        </w:rPr>
        <w:t xml:space="preserve">bases and </w:t>
      </w:r>
      <w:r w:rsidR="00A24AA3" w:rsidRPr="00E30394">
        <w:rPr>
          <w:szCs w:val="24"/>
        </w:rPr>
        <w:t>makes</w:t>
      </w:r>
      <w:r w:rsidR="00E30394" w:rsidRPr="00E30394">
        <w:rPr>
          <w:szCs w:val="24"/>
        </w:rPr>
        <w:t xml:space="preserve"> the online service fee free until a more cost-effective collection mechanism is developed. </w:t>
      </w:r>
    </w:p>
    <w:p w:rsidR="00EF2C7C" w:rsidRPr="00EF2C7C" w:rsidRDefault="00EF2C7C" w:rsidP="00EF2C7C">
      <w:pPr>
        <w:pStyle w:val="AFMANormal"/>
        <w:rPr>
          <w:szCs w:val="24"/>
        </w:rPr>
      </w:pPr>
      <w:r w:rsidRPr="00EF2C7C">
        <w:rPr>
          <w:szCs w:val="24"/>
        </w:rPr>
        <w:t xml:space="preserve">Scientific Permit applications are funded through AFMA’s fee for service arrangements on a user-pays basis. Most scientific permit applications are AFMA endorsed research paid for through fishery levies. The scientific organisations conducting the research include the cost of the application fee in the research costs which creates a funding loop where the fishery ends up paying for the cost of the application fee through the levies anyway. </w:t>
      </w:r>
      <w:r>
        <w:rPr>
          <w:szCs w:val="24"/>
        </w:rPr>
        <w:t>The Regulation</w:t>
      </w:r>
      <w:r w:rsidRPr="00EF2C7C">
        <w:rPr>
          <w:szCs w:val="24"/>
        </w:rPr>
        <w:t xml:space="preserve"> remove</w:t>
      </w:r>
      <w:r>
        <w:rPr>
          <w:szCs w:val="24"/>
        </w:rPr>
        <w:t>s</w:t>
      </w:r>
      <w:r w:rsidRPr="00EF2C7C">
        <w:rPr>
          <w:szCs w:val="24"/>
        </w:rPr>
        <w:t xml:space="preserve"> the application fees for </w:t>
      </w:r>
      <w:r w:rsidR="003C36DA">
        <w:rPr>
          <w:szCs w:val="24"/>
        </w:rPr>
        <w:t>Scientific Permits.</w:t>
      </w:r>
    </w:p>
    <w:p w:rsidR="00EF2C7C" w:rsidRDefault="00EF2C7C" w:rsidP="00EF2C7C">
      <w:pPr>
        <w:pStyle w:val="AFMANormal"/>
        <w:jc w:val="left"/>
        <w:rPr>
          <w:szCs w:val="24"/>
        </w:rPr>
      </w:pPr>
      <w:r w:rsidRPr="00EF2C7C">
        <w:rPr>
          <w:szCs w:val="24"/>
        </w:rPr>
        <w:lastRenderedPageBreak/>
        <w:t xml:space="preserve">In </w:t>
      </w:r>
      <w:r w:rsidR="008B32FF">
        <w:rPr>
          <w:szCs w:val="24"/>
        </w:rPr>
        <w:t>some</w:t>
      </w:r>
      <w:r w:rsidR="008B32FF" w:rsidRPr="00EF2C7C">
        <w:rPr>
          <w:szCs w:val="24"/>
        </w:rPr>
        <w:t xml:space="preserve"> </w:t>
      </w:r>
      <w:r w:rsidRPr="00EF2C7C">
        <w:rPr>
          <w:szCs w:val="24"/>
        </w:rPr>
        <w:t>quota-managed fisheries,</w:t>
      </w:r>
      <w:r w:rsidR="008B32FF">
        <w:rPr>
          <w:szCs w:val="24"/>
        </w:rPr>
        <w:t xml:space="preserve"> it is a general condition imposed on all the concessions by the</w:t>
      </w:r>
      <w:r w:rsidR="003024CF">
        <w:rPr>
          <w:szCs w:val="24"/>
        </w:rPr>
        <w:t xml:space="preserve"> Principal</w:t>
      </w:r>
      <w:r w:rsidR="008B32FF">
        <w:rPr>
          <w:szCs w:val="24"/>
        </w:rPr>
        <w:t xml:space="preserve"> Regulations that</w:t>
      </w:r>
      <w:r w:rsidRPr="00EF2C7C">
        <w:rPr>
          <w:szCs w:val="24"/>
        </w:rPr>
        <w:t xml:space="preserve"> concession holders are required to nominate both their overarching access right and their quota</w:t>
      </w:r>
      <w:r w:rsidR="008B32FF">
        <w:rPr>
          <w:szCs w:val="24"/>
        </w:rPr>
        <w:t>,</w:t>
      </w:r>
      <w:r w:rsidRPr="00EF2C7C">
        <w:rPr>
          <w:szCs w:val="24"/>
        </w:rPr>
        <w:t xml:space="preserve"> to a boat</w:t>
      </w:r>
      <w:r w:rsidR="008B32FF">
        <w:rPr>
          <w:szCs w:val="24"/>
        </w:rPr>
        <w:t>,</w:t>
      </w:r>
      <w:r w:rsidRPr="00EF2C7C">
        <w:rPr>
          <w:szCs w:val="24"/>
        </w:rPr>
        <w:t xml:space="preserve"> before they can fish.  In the Eastern Tuna and Billfish Fishery, AFMA has recently trialled a simplified process wherein only the access right</w:t>
      </w:r>
      <w:r w:rsidR="00E66957">
        <w:rPr>
          <w:szCs w:val="24"/>
        </w:rPr>
        <w:t xml:space="preserve"> (but not also the quota concessions)</w:t>
      </w:r>
      <w:r w:rsidRPr="00EF2C7C">
        <w:rPr>
          <w:szCs w:val="24"/>
        </w:rPr>
        <w:t xml:space="preserve"> </w:t>
      </w:r>
      <w:r w:rsidR="00E66957">
        <w:rPr>
          <w:szCs w:val="24"/>
        </w:rPr>
        <w:t xml:space="preserve">needed </w:t>
      </w:r>
      <w:r w:rsidRPr="00EF2C7C">
        <w:rPr>
          <w:szCs w:val="24"/>
        </w:rPr>
        <w:t xml:space="preserve">a boat </w:t>
      </w:r>
      <w:r w:rsidR="00E66957">
        <w:rPr>
          <w:szCs w:val="24"/>
        </w:rPr>
        <w:t xml:space="preserve">nominated to the concession </w:t>
      </w:r>
      <w:r w:rsidRPr="00EF2C7C">
        <w:rPr>
          <w:szCs w:val="24"/>
        </w:rPr>
        <w:t xml:space="preserve">before commencing fishing.  The result of the trial has been greater operational flexibility for vessels and reduced quota market impediments (e.g. if an operator has multiple boats they can all utilise quota from the same pool).  This also removes the need for concession holders to allocate their quota after each lease or to move quota around within their companies thereby greatly reducing the number of transactions with AFMA in order to do business.  The </w:t>
      </w:r>
      <w:r w:rsidR="00770A9C">
        <w:rPr>
          <w:szCs w:val="24"/>
        </w:rPr>
        <w:t>Regulation removes the requirement to nominate quota to a boat in fisheries that have a separate access right and enables quota pooling across boats.</w:t>
      </w:r>
    </w:p>
    <w:p w:rsidR="00B523AA" w:rsidRDefault="00B523AA">
      <w:pPr>
        <w:pStyle w:val="AFMANormal"/>
        <w:jc w:val="left"/>
        <w:rPr>
          <w:b/>
          <w:szCs w:val="24"/>
        </w:rPr>
      </w:pPr>
      <w:r>
        <w:rPr>
          <w:b/>
          <w:szCs w:val="24"/>
        </w:rPr>
        <w:t>Consultation with fishery stakeholders</w:t>
      </w:r>
    </w:p>
    <w:p w:rsidR="00A24AA3" w:rsidRDefault="00A24AA3" w:rsidP="00A24AA3">
      <w:pPr>
        <w:pStyle w:val="AFMANormal"/>
        <w:jc w:val="left"/>
      </w:pPr>
      <w:r w:rsidRPr="00A24AA3">
        <w:rPr>
          <w:szCs w:val="24"/>
        </w:rPr>
        <w:t>AFMA has consulted</w:t>
      </w:r>
      <w:r w:rsidR="00216C2D">
        <w:rPr>
          <w:szCs w:val="24"/>
        </w:rPr>
        <w:t xml:space="preserve"> through email and written correspondence</w:t>
      </w:r>
      <w:r w:rsidRPr="00A24AA3">
        <w:rPr>
          <w:szCs w:val="24"/>
        </w:rPr>
        <w:t xml:space="preserve"> with the Commonwealth Fisheries Association </w:t>
      </w:r>
      <w:r w:rsidR="00216C2D">
        <w:rPr>
          <w:szCs w:val="24"/>
        </w:rPr>
        <w:t xml:space="preserve">(CFA) </w:t>
      </w:r>
      <w:r w:rsidRPr="00A24AA3">
        <w:rPr>
          <w:szCs w:val="24"/>
        </w:rPr>
        <w:t xml:space="preserve">and received positive feedback and support to implement the opportunities outlined </w:t>
      </w:r>
      <w:r w:rsidR="00770A9C">
        <w:rPr>
          <w:szCs w:val="24"/>
        </w:rPr>
        <w:t xml:space="preserve">in </w:t>
      </w:r>
      <w:r>
        <w:rPr>
          <w:szCs w:val="24"/>
        </w:rPr>
        <w:t>the Regulation</w:t>
      </w:r>
      <w:r w:rsidRPr="00A24AA3">
        <w:rPr>
          <w:szCs w:val="24"/>
        </w:rPr>
        <w:t xml:space="preserve">. </w:t>
      </w:r>
      <w:r w:rsidR="00216C2D">
        <w:rPr>
          <w:szCs w:val="24"/>
        </w:rPr>
        <w:t>The CFA acknowledged and congratulated AFMA on proposing the improvements to these processes.</w:t>
      </w:r>
    </w:p>
    <w:p w:rsidR="001E695B" w:rsidRDefault="001E695B" w:rsidP="00FE5AD6">
      <w:pPr>
        <w:pStyle w:val="AFMANormal"/>
        <w:keepNext/>
        <w:spacing w:before="0"/>
        <w:rPr>
          <w:b/>
          <w:sz w:val="22"/>
          <w:szCs w:val="22"/>
        </w:rPr>
      </w:pPr>
    </w:p>
    <w:p w:rsidR="00FE5AD6" w:rsidRPr="0092602F" w:rsidRDefault="00FE5AD6" w:rsidP="00FE5AD6">
      <w:pPr>
        <w:pStyle w:val="AFMANormal"/>
        <w:keepNext/>
        <w:spacing w:before="0" w:after="240"/>
        <w:rPr>
          <w:b/>
          <w:sz w:val="22"/>
          <w:szCs w:val="22"/>
        </w:rPr>
      </w:pPr>
      <w:r w:rsidRPr="0092602F">
        <w:rPr>
          <w:b/>
          <w:sz w:val="22"/>
          <w:szCs w:val="22"/>
        </w:rPr>
        <w:t>Regulation Impact Statement</w:t>
      </w:r>
    </w:p>
    <w:p w:rsidR="00FE5AD6" w:rsidRDefault="00FE5AD6" w:rsidP="00FE5AD6">
      <w:pPr>
        <w:pStyle w:val="AFMANormal"/>
        <w:spacing w:before="0" w:after="220"/>
        <w:rPr>
          <w:sz w:val="22"/>
          <w:szCs w:val="22"/>
        </w:rPr>
      </w:pPr>
      <w:r w:rsidRPr="000C24FA">
        <w:rPr>
          <w:sz w:val="22"/>
          <w:szCs w:val="22"/>
        </w:rPr>
        <w:t>The Office of</w:t>
      </w:r>
      <w:r>
        <w:rPr>
          <w:sz w:val="22"/>
          <w:szCs w:val="22"/>
        </w:rPr>
        <w:t xml:space="preserve"> Best Practice Regulation OBPR</w:t>
      </w:r>
      <w:r w:rsidRPr="000C24FA">
        <w:rPr>
          <w:sz w:val="22"/>
          <w:szCs w:val="22"/>
        </w:rPr>
        <w:t xml:space="preserve"> advised that a Regulation Impact Statement was not required for </w:t>
      </w:r>
      <w:r>
        <w:rPr>
          <w:sz w:val="22"/>
          <w:szCs w:val="22"/>
        </w:rPr>
        <w:t>the Regulation (ID: 1</w:t>
      </w:r>
      <w:r w:rsidR="00A24AA3">
        <w:rPr>
          <w:sz w:val="22"/>
          <w:szCs w:val="22"/>
        </w:rPr>
        <w:t>7206</w:t>
      </w:r>
      <w:r>
        <w:rPr>
          <w:sz w:val="22"/>
          <w:szCs w:val="22"/>
        </w:rPr>
        <w:t>).</w:t>
      </w:r>
      <w:r w:rsidRPr="000C24FA">
        <w:rPr>
          <w:sz w:val="22"/>
          <w:szCs w:val="22"/>
        </w:rPr>
        <w:t xml:space="preserve">  </w:t>
      </w:r>
    </w:p>
    <w:p w:rsidR="00FE5AD6" w:rsidRPr="00505FFE" w:rsidRDefault="00FE5AD6" w:rsidP="00FE5AD6">
      <w:pPr>
        <w:spacing w:before="100" w:beforeAutospacing="1" w:after="100" w:afterAutospacing="1"/>
        <w:rPr>
          <w:b/>
          <w:sz w:val="22"/>
          <w:szCs w:val="22"/>
        </w:rPr>
      </w:pPr>
      <w:r w:rsidRPr="00505FFE">
        <w:rPr>
          <w:b/>
          <w:sz w:val="22"/>
          <w:szCs w:val="22"/>
        </w:rPr>
        <w:t xml:space="preserve">Statement of compatibility prepared in accordance with Part 3 of the </w:t>
      </w:r>
      <w:r w:rsidRPr="00505FFE">
        <w:rPr>
          <w:b/>
          <w:i/>
          <w:sz w:val="22"/>
          <w:szCs w:val="22"/>
        </w:rPr>
        <w:t xml:space="preserve">Human Rights (Parliamentary Scrutiny) Act 2011 </w:t>
      </w:r>
    </w:p>
    <w:p w:rsidR="00171D91" w:rsidRDefault="00FE5AD6" w:rsidP="002D737E">
      <w:pPr>
        <w:pStyle w:val="heading0"/>
        <w:keepNext/>
      </w:pPr>
      <w:r>
        <w:rPr>
          <w:sz w:val="22"/>
          <w:szCs w:val="22"/>
        </w:rPr>
        <w:t>AFMA</w:t>
      </w:r>
      <w:r w:rsidRPr="00505FFE">
        <w:rPr>
          <w:sz w:val="22"/>
          <w:szCs w:val="22"/>
        </w:rPr>
        <w:t xml:space="preserve"> assesses under section 3 of the </w:t>
      </w:r>
      <w:r w:rsidRPr="00505FFE">
        <w:rPr>
          <w:i/>
          <w:iCs/>
          <w:sz w:val="22"/>
          <w:szCs w:val="22"/>
        </w:rPr>
        <w:t xml:space="preserve">Human Rights (Parliamentary Scrutiny) Act 2011 </w:t>
      </w:r>
      <w:r w:rsidRPr="00505FFE">
        <w:rPr>
          <w:iCs/>
          <w:sz w:val="22"/>
          <w:szCs w:val="22"/>
        </w:rPr>
        <w:t xml:space="preserve">that </w:t>
      </w:r>
      <w:r>
        <w:rPr>
          <w:iCs/>
          <w:sz w:val="22"/>
          <w:szCs w:val="22"/>
        </w:rPr>
        <w:t xml:space="preserve">the Regulation </w:t>
      </w:r>
      <w:r w:rsidRPr="00505FFE">
        <w:rPr>
          <w:iCs/>
          <w:sz w:val="22"/>
          <w:szCs w:val="22"/>
        </w:rPr>
        <w:t>is compatible with human rights</w:t>
      </w:r>
      <w:r w:rsidRPr="00505FFE">
        <w:rPr>
          <w:sz w:val="22"/>
          <w:szCs w:val="22"/>
        </w:rPr>
        <w:t xml:space="preserve">. </w:t>
      </w:r>
      <w:r>
        <w:rPr>
          <w:sz w:val="22"/>
          <w:szCs w:val="22"/>
        </w:rPr>
        <w:t xml:space="preserve">AFMA’s </w:t>
      </w:r>
      <w:r w:rsidRPr="00505FFE">
        <w:rPr>
          <w:sz w:val="22"/>
          <w:szCs w:val="22"/>
        </w:rPr>
        <w:t xml:space="preserve">Statement of Compatibility is </w:t>
      </w:r>
      <w:r w:rsidR="003D6662">
        <w:t xml:space="preserve">set out in </w:t>
      </w:r>
      <w:r w:rsidR="003D6662" w:rsidRPr="00C75124">
        <w:rPr>
          <w:u w:val="single"/>
        </w:rPr>
        <w:t>Attachment</w:t>
      </w:r>
      <w:r w:rsidR="003D6662">
        <w:rPr>
          <w:u w:val="single"/>
        </w:rPr>
        <w:t> </w:t>
      </w:r>
      <w:r>
        <w:rPr>
          <w:u w:val="single"/>
        </w:rPr>
        <w:t>A</w:t>
      </w:r>
      <w:r w:rsidR="003D6662">
        <w:t>.</w:t>
      </w:r>
    </w:p>
    <w:p w:rsidR="00171D91" w:rsidRDefault="00171D91" w:rsidP="002D737E">
      <w:pPr>
        <w:pStyle w:val="heading0"/>
        <w:keepNext/>
      </w:pPr>
      <w:r>
        <w:t xml:space="preserve">The Amendment Regulation is a legislative instrument for the purposes of the </w:t>
      </w:r>
      <w:r w:rsidR="00954830">
        <w:br/>
      </w:r>
      <w:r w:rsidRPr="00831F95">
        <w:rPr>
          <w:i/>
        </w:rPr>
        <w:t>Legislative Instruments Act 2003</w:t>
      </w:r>
      <w:r>
        <w:t>.</w:t>
      </w:r>
    </w:p>
    <w:p w:rsidR="00171D91" w:rsidRDefault="00171D91">
      <w:pPr>
        <w:rPr>
          <w:sz w:val="24"/>
          <w:szCs w:val="24"/>
          <w:lang w:eastAsia="en-AU"/>
        </w:rPr>
      </w:pPr>
      <w:r>
        <w:br w:type="page"/>
      </w:r>
    </w:p>
    <w:p w:rsidR="00BF425E" w:rsidRPr="001A4E5D" w:rsidRDefault="00975922" w:rsidP="002D737E">
      <w:pPr>
        <w:pStyle w:val="AFMANormal"/>
        <w:rPr>
          <w:i/>
          <w:szCs w:val="24"/>
        </w:rPr>
      </w:pPr>
      <w:r w:rsidRPr="002E5B99">
        <w:rPr>
          <w:b/>
          <w:szCs w:val="24"/>
          <w:u w:val="single"/>
        </w:rPr>
        <w:t xml:space="preserve">Details of the </w:t>
      </w:r>
      <w:r w:rsidR="00770A9C" w:rsidRPr="00770A9C">
        <w:rPr>
          <w:b/>
          <w:i/>
          <w:szCs w:val="24"/>
          <w:u w:val="single"/>
        </w:rPr>
        <w:t>Fisheries Management Amendment (2014 Measures No. 1) Regulation 2014</w:t>
      </w:r>
    </w:p>
    <w:p w:rsidR="00FE5AD6" w:rsidRDefault="00FE5AD6" w:rsidP="00FE5AD6">
      <w:pPr>
        <w:pStyle w:val="AFMANormal"/>
        <w:spacing w:before="0" w:after="240"/>
        <w:rPr>
          <w:sz w:val="22"/>
          <w:szCs w:val="22"/>
        </w:rPr>
      </w:pPr>
    </w:p>
    <w:p w:rsidR="00FE5AD6" w:rsidRPr="0092602F" w:rsidRDefault="00FE5AD6" w:rsidP="00FE5AD6">
      <w:pPr>
        <w:pStyle w:val="AFMANormal"/>
        <w:spacing w:before="0" w:after="240"/>
        <w:rPr>
          <w:sz w:val="22"/>
          <w:szCs w:val="22"/>
        </w:rPr>
      </w:pPr>
      <w:r w:rsidRPr="0092602F">
        <w:rPr>
          <w:sz w:val="22"/>
          <w:szCs w:val="22"/>
        </w:rPr>
        <w:t xml:space="preserve">Details of the </w:t>
      </w:r>
      <w:r>
        <w:rPr>
          <w:sz w:val="22"/>
          <w:szCs w:val="22"/>
        </w:rPr>
        <w:t>Regulation</w:t>
      </w:r>
      <w:r w:rsidRPr="0092602F">
        <w:rPr>
          <w:sz w:val="22"/>
          <w:szCs w:val="22"/>
        </w:rPr>
        <w:t xml:space="preserve"> are set out below:</w:t>
      </w:r>
    </w:p>
    <w:p w:rsidR="00B523AA" w:rsidRDefault="00FE5AD6">
      <w:pPr>
        <w:pStyle w:val="AFMANormal"/>
        <w:jc w:val="left"/>
        <w:rPr>
          <w:szCs w:val="24"/>
        </w:rPr>
      </w:pPr>
      <w:r>
        <w:rPr>
          <w:szCs w:val="24"/>
          <w:u w:val="single"/>
        </w:rPr>
        <w:t>Part</w:t>
      </w:r>
      <w:r w:rsidR="00B523AA">
        <w:rPr>
          <w:szCs w:val="24"/>
          <w:u w:val="single"/>
        </w:rPr>
        <w:t xml:space="preserve"> 1 – Name of Regulation</w:t>
      </w:r>
      <w:r w:rsidR="00B523AA">
        <w:rPr>
          <w:szCs w:val="24"/>
        </w:rPr>
        <w:t xml:space="preserve"> </w:t>
      </w:r>
    </w:p>
    <w:p w:rsidR="00B523AA" w:rsidRPr="002E3636" w:rsidRDefault="00B523AA" w:rsidP="002E3636">
      <w:pPr>
        <w:pStyle w:val="AFMANormal"/>
        <w:jc w:val="left"/>
        <w:rPr>
          <w:i/>
          <w:szCs w:val="24"/>
        </w:rPr>
      </w:pPr>
      <w:r>
        <w:rPr>
          <w:szCs w:val="24"/>
        </w:rPr>
        <w:t xml:space="preserve">This </w:t>
      </w:r>
      <w:r w:rsidR="00FE5AD6">
        <w:rPr>
          <w:szCs w:val="24"/>
        </w:rPr>
        <w:t xml:space="preserve">part </w:t>
      </w:r>
      <w:r>
        <w:rPr>
          <w:szCs w:val="24"/>
        </w:rPr>
        <w:t xml:space="preserve">provides for the Regulation to be cited as the </w:t>
      </w:r>
      <w:r w:rsidR="00770A9C" w:rsidRPr="00770A9C">
        <w:rPr>
          <w:i/>
          <w:szCs w:val="24"/>
        </w:rPr>
        <w:t>Fisheries Management Amendment (2014 Measures No. 1) Regulation 2014</w:t>
      </w:r>
      <w:r w:rsidR="00770A9C">
        <w:rPr>
          <w:szCs w:val="24"/>
        </w:rPr>
        <w:t>.</w:t>
      </w:r>
      <w:r w:rsidR="00770A9C" w:rsidRPr="00770A9C">
        <w:rPr>
          <w:szCs w:val="24"/>
        </w:rPr>
        <w:t xml:space="preserve"> </w:t>
      </w:r>
    </w:p>
    <w:p w:rsidR="00B523AA" w:rsidRDefault="00FE5AD6">
      <w:pPr>
        <w:pStyle w:val="AFMANormal"/>
        <w:jc w:val="left"/>
        <w:rPr>
          <w:szCs w:val="24"/>
        </w:rPr>
      </w:pPr>
      <w:r>
        <w:rPr>
          <w:szCs w:val="24"/>
          <w:u w:val="single"/>
        </w:rPr>
        <w:t>Part</w:t>
      </w:r>
      <w:r w:rsidR="00B523AA">
        <w:rPr>
          <w:szCs w:val="24"/>
          <w:u w:val="single"/>
        </w:rPr>
        <w:t xml:space="preserve"> 2 – Commencement</w:t>
      </w:r>
      <w:r w:rsidR="00B523AA">
        <w:rPr>
          <w:szCs w:val="24"/>
        </w:rPr>
        <w:t xml:space="preserve"> </w:t>
      </w:r>
    </w:p>
    <w:p w:rsidR="00B523AA" w:rsidRDefault="00B523AA">
      <w:pPr>
        <w:pStyle w:val="AFMANormal"/>
        <w:jc w:val="left"/>
        <w:rPr>
          <w:szCs w:val="24"/>
        </w:rPr>
      </w:pPr>
      <w:r>
        <w:rPr>
          <w:szCs w:val="24"/>
        </w:rPr>
        <w:t xml:space="preserve">This </w:t>
      </w:r>
      <w:r w:rsidR="00FE5AD6">
        <w:rPr>
          <w:szCs w:val="24"/>
        </w:rPr>
        <w:t xml:space="preserve">part </w:t>
      </w:r>
      <w:r>
        <w:rPr>
          <w:szCs w:val="24"/>
        </w:rPr>
        <w:t>provides that the Regulation commence</w:t>
      </w:r>
      <w:r w:rsidR="00FE5AD6">
        <w:rPr>
          <w:szCs w:val="24"/>
        </w:rPr>
        <w:t>s</w:t>
      </w:r>
      <w:r>
        <w:rPr>
          <w:szCs w:val="24"/>
        </w:rPr>
        <w:t xml:space="preserve"> on the day after it </w:t>
      </w:r>
      <w:r w:rsidR="00FE5AD6">
        <w:rPr>
          <w:szCs w:val="24"/>
        </w:rPr>
        <w:t>is</w:t>
      </w:r>
      <w:r>
        <w:rPr>
          <w:szCs w:val="24"/>
        </w:rPr>
        <w:t xml:space="preserve"> registered.</w:t>
      </w:r>
    </w:p>
    <w:p w:rsidR="00B523AA" w:rsidRDefault="00FE5AD6">
      <w:pPr>
        <w:pStyle w:val="AFMANormal"/>
        <w:jc w:val="left"/>
        <w:rPr>
          <w:szCs w:val="24"/>
        </w:rPr>
      </w:pPr>
      <w:r>
        <w:rPr>
          <w:szCs w:val="24"/>
          <w:u w:val="single"/>
        </w:rPr>
        <w:t>Part</w:t>
      </w:r>
      <w:r w:rsidR="00B523AA">
        <w:rPr>
          <w:szCs w:val="24"/>
          <w:u w:val="single"/>
        </w:rPr>
        <w:t xml:space="preserve"> 3 – </w:t>
      </w:r>
      <w:r w:rsidR="002E3636">
        <w:rPr>
          <w:szCs w:val="24"/>
          <w:u w:val="single"/>
        </w:rPr>
        <w:t>Authority</w:t>
      </w:r>
      <w:r w:rsidR="00B523AA">
        <w:rPr>
          <w:szCs w:val="24"/>
        </w:rPr>
        <w:t xml:space="preserve"> </w:t>
      </w:r>
    </w:p>
    <w:p w:rsidR="00B523AA" w:rsidRDefault="00B523AA">
      <w:pPr>
        <w:pStyle w:val="AFMANormal"/>
        <w:jc w:val="left"/>
        <w:rPr>
          <w:szCs w:val="24"/>
        </w:rPr>
      </w:pPr>
      <w:r>
        <w:rPr>
          <w:szCs w:val="24"/>
        </w:rPr>
        <w:t xml:space="preserve">This </w:t>
      </w:r>
      <w:r w:rsidR="00FE5AD6">
        <w:rPr>
          <w:szCs w:val="24"/>
        </w:rPr>
        <w:t xml:space="preserve">part </w:t>
      </w:r>
      <w:r w:rsidR="002E3636">
        <w:rPr>
          <w:szCs w:val="24"/>
        </w:rPr>
        <w:t xml:space="preserve">provides </w:t>
      </w:r>
      <w:r w:rsidR="00FE5AD6">
        <w:rPr>
          <w:szCs w:val="24"/>
        </w:rPr>
        <w:t xml:space="preserve">that </w:t>
      </w:r>
      <w:r w:rsidR="002E3636">
        <w:rPr>
          <w:szCs w:val="24"/>
        </w:rPr>
        <w:t xml:space="preserve">the </w:t>
      </w:r>
      <w:r w:rsidR="00FE5AD6">
        <w:rPr>
          <w:szCs w:val="24"/>
        </w:rPr>
        <w:t>R</w:t>
      </w:r>
      <w:r w:rsidR="002E3636">
        <w:rPr>
          <w:szCs w:val="24"/>
        </w:rPr>
        <w:t xml:space="preserve">egulation is made under the </w:t>
      </w:r>
      <w:r w:rsidR="002E3636" w:rsidRPr="002E3636">
        <w:rPr>
          <w:i/>
          <w:szCs w:val="24"/>
        </w:rPr>
        <w:t>Fisheries Management Act 1991</w:t>
      </w:r>
    </w:p>
    <w:p w:rsidR="00B523AA" w:rsidRDefault="00FE5AD6">
      <w:pPr>
        <w:pStyle w:val="AFMANormal"/>
        <w:jc w:val="left"/>
        <w:rPr>
          <w:szCs w:val="24"/>
          <w:u w:val="single"/>
        </w:rPr>
      </w:pPr>
      <w:r>
        <w:rPr>
          <w:szCs w:val="24"/>
          <w:u w:val="single"/>
        </w:rPr>
        <w:t>Part</w:t>
      </w:r>
      <w:r w:rsidR="00B523AA">
        <w:rPr>
          <w:szCs w:val="24"/>
          <w:u w:val="single"/>
        </w:rPr>
        <w:t xml:space="preserve"> 4 – </w:t>
      </w:r>
      <w:r w:rsidR="002E3636">
        <w:rPr>
          <w:szCs w:val="24"/>
          <w:u w:val="single"/>
        </w:rPr>
        <w:t>Schedule(s)</w:t>
      </w:r>
    </w:p>
    <w:p w:rsidR="004670F5" w:rsidRPr="004670F5" w:rsidRDefault="00FE5AD6">
      <w:pPr>
        <w:pStyle w:val="AFMANormal"/>
        <w:jc w:val="left"/>
        <w:rPr>
          <w:szCs w:val="24"/>
        </w:rPr>
      </w:pPr>
      <w:r>
        <w:rPr>
          <w:szCs w:val="24"/>
        </w:rPr>
        <w:t>This part p</w:t>
      </w:r>
      <w:r w:rsidR="004670F5" w:rsidRPr="004670F5">
        <w:rPr>
          <w:szCs w:val="24"/>
        </w:rPr>
        <w:t>rovides that</w:t>
      </w:r>
      <w:r w:rsidR="004670F5">
        <w:rPr>
          <w:szCs w:val="24"/>
        </w:rPr>
        <w:t xml:space="preserve"> </w:t>
      </w:r>
      <w:r w:rsidR="00704CCF">
        <w:rPr>
          <w:szCs w:val="24"/>
        </w:rPr>
        <w:t xml:space="preserve">the </w:t>
      </w:r>
      <w:r w:rsidR="00704CCF" w:rsidRPr="002D737E">
        <w:rPr>
          <w:i/>
          <w:szCs w:val="24"/>
        </w:rPr>
        <w:t>Fisheries Management Regulations 1992</w:t>
      </w:r>
      <w:r w:rsidR="004670F5" w:rsidRPr="004670F5">
        <w:rPr>
          <w:szCs w:val="24"/>
        </w:rPr>
        <w:t xml:space="preserve"> is amended or repealed as set out in the applicable items in the Schedule concerned, and any other item in a Schedule to this instrument has effect according to its terms.</w:t>
      </w:r>
    </w:p>
    <w:p w:rsidR="00704CCF" w:rsidRPr="0065560F" w:rsidRDefault="00704CCF" w:rsidP="00704CCF">
      <w:pPr>
        <w:pStyle w:val="AFMANormal"/>
        <w:jc w:val="left"/>
        <w:rPr>
          <w:szCs w:val="24"/>
        </w:rPr>
      </w:pPr>
      <w:r w:rsidRPr="0065560F">
        <w:rPr>
          <w:szCs w:val="24"/>
          <w:u w:val="single"/>
        </w:rPr>
        <w:t>Schedule 1 item 1</w:t>
      </w:r>
      <w:r w:rsidRPr="0065560F">
        <w:rPr>
          <w:szCs w:val="24"/>
        </w:rPr>
        <w:t xml:space="preserve"> – </w:t>
      </w:r>
      <w:r w:rsidR="00770A9C" w:rsidRPr="0065560F">
        <w:rPr>
          <w:szCs w:val="24"/>
        </w:rPr>
        <w:t xml:space="preserve">inserts </w:t>
      </w:r>
      <w:r w:rsidR="003024CF" w:rsidRPr="0065560F">
        <w:rPr>
          <w:szCs w:val="24"/>
        </w:rPr>
        <w:t xml:space="preserve">new </w:t>
      </w:r>
      <w:r w:rsidR="00770A9C" w:rsidRPr="0065560F">
        <w:rPr>
          <w:szCs w:val="24"/>
        </w:rPr>
        <w:t>definitions for</w:t>
      </w:r>
      <w:r w:rsidR="003024CF" w:rsidRPr="0065560F">
        <w:rPr>
          <w:szCs w:val="24"/>
        </w:rPr>
        <w:t xml:space="preserve"> each of a</w:t>
      </w:r>
      <w:r w:rsidR="00770A9C" w:rsidRPr="0065560F">
        <w:rPr>
          <w:szCs w:val="24"/>
        </w:rPr>
        <w:t xml:space="preserve"> boat statutory fishing right, designated quota statutory fishing right, gear statutory fishing right and quota statutory fishing right into </w:t>
      </w:r>
      <w:r w:rsidR="008A1F88" w:rsidRPr="0065560F">
        <w:rPr>
          <w:szCs w:val="24"/>
        </w:rPr>
        <w:t>Subregulation 3(1)</w:t>
      </w:r>
      <w:r w:rsidR="003024CF" w:rsidRPr="0065560F">
        <w:rPr>
          <w:szCs w:val="24"/>
        </w:rPr>
        <w:t xml:space="preserve"> of the Principal Regulations</w:t>
      </w:r>
      <w:r w:rsidR="008A1F88" w:rsidRPr="0065560F">
        <w:rPr>
          <w:szCs w:val="24"/>
        </w:rPr>
        <w:t xml:space="preserve">. </w:t>
      </w:r>
    </w:p>
    <w:p w:rsidR="00704CCF" w:rsidRPr="0065560F" w:rsidRDefault="00704CCF" w:rsidP="00704CCF">
      <w:pPr>
        <w:pStyle w:val="AFMANormal"/>
        <w:jc w:val="left"/>
        <w:rPr>
          <w:szCs w:val="24"/>
        </w:rPr>
      </w:pPr>
      <w:r w:rsidRPr="0065560F">
        <w:rPr>
          <w:szCs w:val="24"/>
          <w:u w:val="single"/>
        </w:rPr>
        <w:t>Schedule 1 item 2</w:t>
      </w:r>
      <w:r w:rsidRPr="0065560F">
        <w:rPr>
          <w:szCs w:val="24"/>
        </w:rPr>
        <w:t xml:space="preserve"> – repeals </w:t>
      </w:r>
      <w:r w:rsidR="008A1F88" w:rsidRPr="0065560F">
        <w:rPr>
          <w:szCs w:val="24"/>
        </w:rPr>
        <w:t xml:space="preserve">the heading for Subdivision 1 of Division 1 of Part 3A </w:t>
      </w:r>
    </w:p>
    <w:p w:rsidR="00704CCF" w:rsidRPr="0065560F" w:rsidRDefault="00704CCF" w:rsidP="00704CCF">
      <w:pPr>
        <w:pStyle w:val="AFMANormal"/>
        <w:jc w:val="left"/>
        <w:rPr>
          <w:szCs w:val="24"/>
        </w:rPr>
      </w:pPr>
      <w:r w:rsidRPr="0065560F">
        <w:rPr>
          <w:szCs w:val="24"/>
          <w:u w:val="single"/>
        </w:rPr>
        <w:t>Schedule 1 item 3</w:t>
      </w:r>
      <w:r w:rsidRPr="0065560F">
        <w:rPr>
          <w:szCs w:val="24"/>
        </w:rPr>
        <w:t xml:space="preserve"> – </w:t>
      </w:r>
      <w:r w:rsidR="008A1F88" w:rsidRPr="0065560F">
        <w:rPr>
          <w:szCs w:val="24"/>
        </w:rPr>
        <w:t>repeals Subdivision 2 of Division 1 of Part 3A an</w:t>
      </w:r>
      <w:r w:rsidR="00E94153" w:rsidRPr="0065560F">
        <w:rPr>
          <w:szCs w:val="24"/>
        </w:rPr>
        <w:t xml:space="preserve">d substitutes a new Subdivision. The Subdivision </w:t>
      </w:r>
      <w:r w:rsidR="00165EED" w:rsidRPr="0065560F">
        <w:rPr>
          <w:szCs w:val="24"/>
        </w:rPr>
        <w:t>requires</w:t>
      </w:r>
      <w:r w:rsidR="003024CF" w:rsidRPr="0065560F">
        <w:rPr>
          <w:szCs w:val="24"/>
        </w:rPr>
        <w:t xml:space="preserve"> as a deemed condition of each fishing concession,</w:t>
      </w:r>
      <w:r w:rsidR="00165EED" w:rsidRPr="0065560F">
        <w:rPr>
          <w:szCs w:val="24"/>
        </w:rPr>
        <w:t xml:space="preserve"> </w:t>
      </w:r>
      <w:r w:rsidR="00E94153" w:rsidRPr="0065560F">
        <w:rPr>
          <w:szCs w:val="24"/>
        </w:rPr>
        <w:t>the nomination of boats to</w:t>
      </w:r>
      <w:r w:rsidR="00165EED" w:rsidRPr="0065560F">
        <w:rPr>
          <w:szCs w:val="24"/>
        </w:rPr>
        <w:t xml:space="preserve"> all</w:t>
      </w:r>
      <w:r w:rsidR="0065560F">
        <w:rPr>
          <w:szCs w:val="24"/>
        </w:rPr>
        <w:t xml:space="preserve"> </w:t>
      </w:r>
      <w:r w:rsidR="00E94153" w:rsidRPr="0065560F">
        <w:rPr>
          <w:szCs w:val="24"/>
        </w:rPr>
        <w:t xml:space="preserve">fishing concessions </w:t>
      </w:r>
      <w:r w:rsidR="00165EED" w:rsidRPr="0065560F">
        <w:rPr>
          <w:szCs w:val="24"/>
        </w:rPr>
        <w:t xml:space="preserve">with the exception of </w:t>
      </w:r>
      <w:r w:rsidR="003024CF" w:rsidRPr="0065560F">
        <w:rPr>
          <w:szCs w:val="24"/>
        </w:rPr>
        <w:t>those</w:t>
      </w:r>
      <w:r w:rsidR="00165EED" w:rsidRPr="0065560F">
        <w:rPr>
          <w:szCs w:val="24"/>
        </w:rPr>
        <w:t xml:space="preserve"> quota fishing concessions</w:t>
      </w:r>
      <w:r w:rsidR="003024CF" w:rsidRPr="0065560F">
        <w:rPr>
          <w:szCs w:val="24"/>
        </w:rPr>
        <w:t xml:space="preserve"> not “designated”</w:t>
      </w:r>
      <w:r w:rsidR="00165EED" w:rsidRPr="0065560F">
        <w:rPr>
          <w:szCs w:val="24"/>
        </w:rPr>
        <w:t xml:space="preserve"> </w:t>
      </w:r>
      <w:r w:rsidR="00E94153" w:rsidRPr="0065560F">
        <w:rPr>
          <w:szCs w:val="24"/>
        </w:rPr>
        <w:t xml:space="preserve">and </w:t>
      </w:r>
      <w:r w:rsidR="008B32FF" w:rsidRPr="0065560F">
        <w:rPr>
          <w:szCs w:val="24"/>
        </w:rPr>
        <w:t xml:space="preserve">for </w:t>
      </w:r>
      <w:r w:rsidR="00E94153" w:rsidRPr="0065560F">
        <w:rPr>
          <w:szCs w:val="24"/>
        </w:rPr>
        <w:t xml:space="preserve">the revocation of </w:t>
      </w:r>
      <w:r w:rsidR="003024CF" w:rsidRPr="0065560F">
        <w:rPr>
          <w:szCs w:val="24"/>
        </w:rPr>
        <w:t>such</w:t>
      </w:r>
      <w:r w:rsidR="008B32FF" w:rsidRPr="0065560F">
        <w:rPr>
          <w:szCs w:val="24"/>
        </w:rPr>
        <w:t xml:space="preserve"> </w:t>
      </w:r>
      <w:r w:rsidR="00E94153" w:rsidRPr="0065560F">
        <w:rPr>
          <w:szCs w:val="24"/>
        </w:rPr>
        <w:t>nominations.</w:t>
      </w:r>
    </w:p>
    <w:p w:rsidR="00704CCF" w:rsidRPr="0065560F" w:rsidRDefault="00704CCF" w:rsidP="00704CCF">
      <w:pPr>
        <w:pStyle w:val="AFMANormal"/>
        <w:jc w:val="left"/>
        <w:rPr>
          <w:szCs w:val="24"/>
        </w:rPr>
      </w:pPr>
      <w:r w:rsidRPr="0065560F">
        <w:rPr>
          <w:szCs w:val="24"/>
          <w:u w:val="single"/>
        </w:rPr>
        <w:t>Schedule 1 item 4</w:t>
      </w:r>
      <w:r w:rsidRPr="0065560F">
        <w:rPr>
          <w:szCs w:val="24"/>
        </w:rPr>
        <w:t xml:space="preserve"> – repeals </w:t>
      </w:r>
      <w:r w:rsidR="00E94153" w:rsidRPr="0065560F">
        <w:rPr>
          <w:szCs w:val="24"/>
        </w:rPr>
        <w:t>Division 12 of Part 3A which is made redundant by item 3.</w:t>
      </w:r>
    </w:p>
    <w:p w:rsidR="00B523AA" w:rsidRPr="0065560F" w:rsidRDefault="002E3636">
      <w:pPr>
        <w:pStyle w:val="AFMANormal"/>
        <w:jc w:val="left"/>
        <w:rPr>
          <w:szCs w:val="24"/>
        </w:rPr>
      </w:pPr>
      <w:r w:rsidRPr="0065560F">
        <w:rPr>
          <w:szCs w:val="24"/>
          <w:u w:val="single"/>
        </w:rPr>
        <w:t>Schedule 1</w:t>
      </w:r>
      <w:r w:rsidR="001522DB" w:rsidRPr="0065560F">
        <w:rPr>
          <w:szCs w:val="24"/>
          <w:u w:val="single"/>
        </w:rPr>
        <w:t xml:space="preserve"> item </w:t>
      </w:r>
      <w:r w:rsidR="00704CCF" w:rsidRPr="0065560F">
        <w:rPr>
          <w:szCs w:val="24"/>
          <w:u w:val="single"/>
        </w:rPr>
        <w:t>5</w:t>
      </w:r>
      <w:r w:rsidR="00E43FCE" w:rsidRPr="0065560F">
        <w:rPr>
          <w:szCs w:val="24"/>
        </w:rPr>
        <w:t xml:space="preserve"> </w:t>
      </w:r>
      <w:r w:rsidR="00D12245" w:rsidRPr="0065560F">
        <w:rPr>
          <w:szCs w:val="24"/>
        </w:rPr>
        <w:t>–</w:t>
      </w:r>
      <w:r w:rsidR="00E43FCE" w:rsidRPr="0065560F">
        <w:rPr>
          <w:szCs w:val="24"/>
        </w:rPr>
        <w:t xml:space="preserve"> </w:t>
      </w:r>
      <w:r w:rsidR="007F2E28" w:rsidRPr="0065560F">
        <w:rPr>
          <w:szCs w:val="24"/>
        </w:rPr>
        <w:t>inserts after Part 13 transitional provisions</w:t>
      </w:r>
      <w:r w:rsidR="00165EED" w:rsidRPr="0065560F">
        <w:rPr>
          <w:szCs w:val="24"/>
        </w:rPr>
        <w:t xml:space="preserve"> applying to existing nominations.</w:t>
      </w:r>
      <w:r w:rsidR="00D12245" w:rsidRPr="0065560F">
        <w:rPr>
          <w:szCs w:val="24"/>
        </w:rPr>
        <w:t xml:space="preserve"> </w:t>
      </w:r>
    </w:p>
    <w:p w:rsidR="00787B7D" w:rsidRPr="0065560F" w:rsidRDefault="001522DB" w:rsidP="001522DB">
      <w:pPr>
        <w:pStyle w:val="AFMANormal"/>
        <w:jc w:val="left"/>
        <w:rPr>
          <w:szCs w:val="24"/>
        </w:rPr>
      </w:pPr>
      <w:r w:rsidRPr="0065560F">
        <w:rPr>
          <w:szCs w:val="24"/>
          <w:u w:val="single"/>
        </w:rPr>
        <w:t xml:space="preserve">Schedule 1 item </w:t>
      </w:r>
      <w:r w:rsidR="00704CCF" w:rsidRPr="0065560F">
        <w:rPr>
          <w:szCs w:val="24"/>
          <w:u w:val="single"/>
        </w:rPr>
        <w:t>6</w:t>
      </w:r>
      <w:r w:rsidR="009227CE" w:rsidRPr="0065560F">
        <w:rPr>
          <w:szCs w:val="24"/>
        </w:rPr>
        <w:t xml:space="preserve"> </w:t>
      </w:r>
      <w:r w:rsidR="00EA43C6" w:rsidRPr="0065560F">
        <w:rPr>
          <w:szCs w:val="24"/>
        </w:rPr>
        <w:t xml:space="preserve">– </w:t>
      </w:r>
      <w:r w:rsidR="007F2E28" w:rsidRPr="0065560F">
        <w:rPr>
          <w:szCs w:val="24"/>
        </w:rPr>
        <w:t>repeals Part 2 of Schedule 2</w:t>
      </w:r>
      <w:r w:rsidR="008B32FF" w:rsidRPr="0065560F">
        <w:rPr>
          <w:szCs w:val="24"/>
        </w:rPr>
        <w:t xml:space="preserve"> being the Schedule of Fees</w:t>
      </w:r>
      <w:r w:rsidR="007F2E28" w:rsidRPr="0065560F">
        <w:rPr>
          <w:szCs w:val="24"/>
        </w:rPr>
        <w:t xml:space="preserve"> (table items 1 to 17, including the subheadings) </w:t>
      </w:r>
      <w:r w:rsidR="00787B7D" w:rsidRPr="0065560F">
        <w:rPr>
          <w:szCs w:val="24"/>
        </w:rPr>
        <w:t>and substitutes</w:t>
      </w:r>
      <w:r w:rsidR="007F2E28" w:rsidRPr="0065560F">
        <w:rPr>
          <w:szCs w:val="24"/>
        </w:rPr>
        <w:t xml:space="preserve"> new </w:t>
      </w:r>
      <w:r w:rsidR="00787B7D" w:rsidRPr="0065560F">
        <w:rPr>
          <w:szCs w:val="24"/>
        </w:rPr>
        <w:t>items and subheadings</w:t>
      </w:r>
      <w:r w:rsidR="007F2E28" w:rsidRPr="0065560F">
        <w:rPr>
          <w:szCs w:val="24"/>
        </w:rPr>
        <w:t xml:space="preserve">. The </w:t>
      </w:r>
      <w:r w:rsidR="00787B7D" w:rsidRPr="0065560F">
        <w:rPr>
          <w:szCs w:val="24"/>
        </w:rPr>
        <w:t>items and subheadings</w:t>
      </w:r>
      <w:r w:rsidR="007F2E28" w:rsidRPr="0065560F">
        <w:rPr>
          <w:szCs w:val="24"/>
        </w:rPr>
        <w:t xml:space="preserve"> </w:t>
      </w:r>
      <w:r w:rsidR="00165EED" w:rsidRPr="0065560F">
        <w:rPr>
          <w:szCs w:val="24"/>
        </w:rPr>
        <w:t>remove</w:t>
      </w:r>
      <w:r w:rsidR="008B32FF" w:rsidRPr="0065560F">
        <w:rPr>
          <w:szCs w:val="24"/>
        </w:rPr>
        <w:t xml:space="preserve"> </w:t>
      </w:r>
      <w:r w:rsidR="007F2E28" w:rsidRPr="0065560F">
        <w:rPr>
          <w:szCs w:val="24"/>
        </w:rPr>
        <w:t xml:space="preserve">fees that </w:t>
      </w:r>
      <w:r w:rsidR="00E66957" w:rsidRPr="0065560F">
        <w:rPr>
          <w:szCs w:val="24"/>
        </w:rPr>
        <w:t xml:space="preserve">previously </w:t>
      </w:r>
      <w:r w:rsidR="00165EED" w:rsidRPr="0065560F">
        <w:rPr>
          <w:szCs w:val="24"/>
        </w:rPr>
        <w:t>applied to</w:t>
      </w:r>
      <w:r w:rsidR="0065560F">
        <w:rPr>
          <w:szCs w:val="24"/>
        </w:rPr>
        <w:t xml:space="preserve"> </w:t>
      </w:r>
      <w:r w:rsidR="00165EED" w:rsidRPr="0065560F">
        <w:rPr>
          <w:szCs w:val="24"/>
        </w:rPr>
        <w:t xml:space="preserve">some </w:t>
      </w:r>
      <w:r w:rsidR="00787B7D" w:rsidRPr="0065560F">
        <w:rPr>
          <w:szCs w:val="24"/>
        </w:rPr>
        <w:t>dealings with</w:t>
      </w:r>
      <w:r w:rsidR="00E66957" w:rsidRPr="0065560F">
        <w:rPr>
          <w:szCs w:val="24"/>
        </w:rPr>
        <w:t xml:space="preserve"> fishing</w:t>
      </w:r>
      <w:r w:rsidR="00787B7D" w:rsidRPr="0065560F">
        <w:rPr>
          <w:szCs w:val="24"/>
        </w:rPr>
        <w:t xml:space="preserve"> permits</w:t>
      </w:r>
      <w:r w:rsidR="00E66957" w:rsidRPr="0065560F">
        <w:rPr>
          <w:szCs w:val="24"/>
        </w:rPr>
        <w:t>, scientific permits</w:t>
      </w:r>
      <w:r w:rsidR="00787B7D" w:rsidRPr="0065560F">
        <w:rPr>
          <w:szCs w:val="24"/>
        </w:rPr>
        <w:t xml:space="preserve"> and</w:t>
      </w:r>
      <w:r w:rsidR="007F2E28" w:rsidRPr="0065560F">
        <w:rPr>
          <w:szCs w:val="24"/>
        </w:rPr>
        <w:t xml:space="preserve"> statutory fishing rights</w:t>
      </w:r>
      <w:r w:rsidR="00787B7D" w:rsidRPr="0065560F">
        <w:rPr>
          <w:szCs w:val="24"/>
        </w:rPr>
        <w:t xml:space="preserve">. </w:t>
      </w:r>
    </w:p>
    <w:p w:rsidR="001522DB" w:rsidRPr="00E43FCE" w:rsidRDefault="001522DB" w:rsidP="001522DB">
      <w:pPr>
        <w:pStyle w:val="AFMANormal"/>
        <w:jc w:val="left"/>
        <w:rPr>
          <w:szCs w:val="24"/>
        </w:rPr>
      </w:pPr>
      <w:r w:rsidRPr="0065560F">
        <w:rPr>
          <w:szCs w:val="24"/>
          <w:u w:val="single"/>
        </w:rPr>
        <w:t xml:space="preserve">Schedule 1 item </w:t>
      </w:r>
      <w:r w:rsidR="00704CCF" w:rsidRPr="0065560F">
        <w:rPr>
          <w:szCs w:val="24"/>
          <w:u w:val="single"/>
        </w:rPr>
        <w:t>7</w:t>
      </w:r>
      <w:r w:rsidR="00EA43C6" w:rsidRPr="0065560F">
        <w:rPr>
          <w:szCs w:val="24"/>
        </w:rPr>
        <w:t xml:space="preserve"> – </w:t>
      </w:r>
      <w:r w:rsidR="00787B7D" w:rsidRPr="0065560F">
        <w:rPr>
          <w:szCs w:val="24"/>
        </w:rPr>
        <w:t>Omit</w:t>
      </w:r>
      <w:r w:rsidR="00165EED" w:rsidRPr="0065560F">
        <w:rPr>
          <w:szCs w:val="24"/>
        </w:rPr>
        <w:t>s</w:t>
      </w:r>
      <w:r w:rsidR="00787B7D" w:rsidRPr="0065560F">
        <w:rPr>
          <w:szCs w:val="24"/>
        </w:rPr>
        <w:t xml:space="preserve"> “No fee”, </w:t>
      </w:r>
      <w:r w:rsidR="00165EED" w:rsidRPr="0065560F">
        <w:rPr>
          <w:szCs w:val="24"/>
        </w:rPr>
        <w:t xml:space="preserve">and </w:t>
      </w:r>
      <w:r w:rsidR="00787B7D" w:rsidRPr="0065560F">
        <w:rPr>
          <w:szCs w:val="24"/>
        </w:rPr>
        <w:t>substitute</w:t>
      </w:r>
      <w:r w:rsidR="00165EED" w:rsidRPr="0065560F">
        <w:rPr>
          <w:szCs w:val="24"/>
        </w:rPr>
        <w:t>s</w:t>
      </w:r>
      <w:r w:rsidR="00787B7D" w:rsidRPr="0065560F">
        <w:rPr>
          <w:szCs w:val="24"/>
        </w:rPr>
        <w:t xml:space="preserve"> “Nil” in Part 2 of Schedule 2 (table items 20 to 40, 45 and 46)</w:t>
      </w:r>
      <w:r w:rsidR="00165EED" w:rsidRPr="0065560F">
        <w:rPr>
          <w:szCs w:val="24"/>
        </w:rPr>
        <w:t xml:space="preserve"> to maintain consistency</w:t>
      </w:r>
      <w:r w:rsidR="00E66957" w:rsidRPr="0065560F">
        <w:rPr>
          <w:szCs w:val="24"/>
        </w:rPr>
        <w:t xml:space="preserve"> of expression</w:t>
      </w:r>
      <w:r w:rsidR="00165EED" w:rsidRPr="0065560F">
        <w:rPr>
          <w:szCs w:val="24"/>
        </w:rPr>
        <w:t xml:space="preserve"> in the table</w:t>
      </w:r>
      <w:r w:rsidR="00787B7D" w:rsidRPr="0065560F">
        <w:rPr>
          <w:szCs w:val="24"/>
        </w:rPr>
        <w:t>.</w:t>
      </w:r>
    </w:p>
    <w:p w:rsidR="009E00D9" w:rsidRPr="00237E32" w:rsidRDefault="00AF61B7">
      <w:pPr>
        <w:rPr>
          <w:sz w:val="24"/>
          <w:szCs w:val="24"/>
        </w:rPr>
      </w:pPr>
      <w:r>
        <w:rPr>
          <w:sz w:val="24"/>
          <w:szCs w:val="24"/>
        </w:rPr>
        <w:br w:type="page"/>
      </w:r>
    </w:p>
    <w:p w:rsidR="00237E32" w:rsidRPr="00E10EF7" w:rsidRDefault="00237E32" w:rsidP="002D737E">
      <w:pPr>
        <w:pStyle w:val="AFMANormal"/>
        <w:jc w:val="right"/>
        <w:rPr>
          <w:b/>
          <w:szCs w:val="24"/>
          <w:u w:val="single"/>
        </w:rPr>
      </w:pPr>
      <w:r w:rsidRPr="00E10EF7">
        <w:rPr>
          <w:b/>
          <w:szCs w:val="24"/>
          <w:u w:val="single"/>
        </w:rPr>
        <w:t>ATTACHMENT</w:t>
      </w:r>
      <w:r>
        <w:rPr>
          <w:b/>
          <w:szCs w:val="24"/>
          <w:u w:val="single"/>
        </w:rPr>
        <w:t> </w:t>
      </w:r>
      <w:r w:rsidR="003024B8">
        <w:rPr>
          <w:b/>
          <w:szCs w:val="24"/>
          <w:u w:val="single"/>
        </w:rPr>
        <w:t>A</w:t>
      </w:r>
    </w:p>
    <w:p w:rsidR="00B523AA" w:rsidRPr="00237E32" w:rsidRDefault="00B523AA">
      <w:pPr>
        <w:rPr>
          <w:sz w:val="24"/>
          <w:szCs w:val="24"/>
        </w:rPr>
      </w:pPr>
    </w:p>
    <w:p w:rsidR="00BB0602" w:rsidRPr="00E4135E" w:rsidRDefault="00BB0602" w:rsidP="00BB0602">
      <w:pPr>
        <w:spacing w:before="360" w:after="120"/>
        <w:jc w:val="center"/>
        <w:rPr>
          <w:b/>
          <w:sz w:val="28"/>
          <w:szCs w:val="28"/>
        </w:rPr>
      </w:pPr>
      <w:r w:rsidRPr="00E4135E">
        <w:rPr>
          <w:b/>
          <w:sz w:val="28"/>
          <w:szCs w:val="28"/>
        </w:rPr>
        <w:t>Statement of Compatibility with Human Rights</w:t>
      </w:r>
    </w:p>
    <w:p w:rsidR="00BB0602" w:rsidRPr="00BB0602" w:rsidRDefault="00BB0602" w:rsidP="00BB0602">
      <w:pPr>
        <w:spacing w:before="120" w:after="120"/>
        <w:jc w:val="center"/>
        <w:rPr>
          <w:sz w:val="24"/>
          <w:szCs w:val="24"/>
        </w:rPr>
      </w:pPr>
      <w:r w:rsidRPr="00BB0602">
        <w:rPr>
          <w:i/>
          <w:sz w:val="24"/>
          <w:szCs w:val="24"/>
        </w:rPr>
        <w:t>Prepared in accordance with Part 3 of the Human Rights (Parliamentary Scrutiny) Act 2011</w:t>
      </w:r>
    </w:p>
    <w:p w:rsidR="00BB0602" w:rsidRPr="00BB0602" w:rsidRDefault="00BB0602" w:rsidP="00BB0602">
      <w:pPr>
        <w:spacing w:before="120" w:after="120"/>
        <w:jc w:val="center"/>
        <w:rPr>
          <w:sz w:val="24"/>
          <w:szCs w:val="24"/>
        </w:rPr>
      </w:pPr>
    </w:p>
    <w:p w:rsidR="00BB0602" w:rsidRPr="00BB0602" w:rsidRDefault="008440E5" w:rsidP="00BB0602">
      <w:pPr>
        <w:spacing w:before="240"/>
        <w:ind w:left="-357"/>
        <w:jc w:val="center"/>
        <w:rPr>
          <w:b/>
          <w:sz w:val="24"/>
          <w:szCs w:val="24"/>
        </w:rPr>
      </w:pPr>
      <w:r w:rsidRPr="008440E5">
        <w:rPr>
          <w:b/>
          <w:sz w:val="24"/>
          <w:szCs w:val="24"/>
        </w:rPr>
        <w:t>Fisheries Management Amendment (2014 Measures No. 1) Regulation 2014</w:t>
      </w:r>
    </w:p>
    <w:p w:rsidR="00BB0602" w:rsidRPr="00BB0602" w:rsidRDefault="00BB0602" w:rsidP="00BB0602">
      <w:pPr>
        <w:jc w:val="center"/>
        <w:rPr>
          <w:sz w:val="24"/>
          <w:szCs w:val="24"/>
        </w:rPr>
      </w:pPr>
    </w:p>
    <w:p w:rsidR="00F13720" w:rsidRDefault="00BB0602" w:rsidP="00F13720">
      <w:pPr>
        <w:spacing w:before="120"/>
        <w:jc w:val="center"/>
        <w:rPr>
          <w:sz w:val="24"/>
          <w:szCs w:val="24"/>
        </w:rPr>
      </w:pPr>
      <w:r w:rsidRPr="00BB0602">
        <w:rPr>
          <w:sz w:val="24"/>
          <w:szCs w:val="24"/>
        </w:rPr>
        <w:t xml:space="preserve">This Legislative Instrument is compatible with the human rights and freedoms recognised or declared in the international instruments listed in section 3 of the </w:t>
      </w:r>
    </w:p>
    <w:p w:rsidR="00BB0602" w:rsidRPr="00BB0602" w:rsidRDefault="00BB0602" w:rsidP="00F13720">
      <w:pPr>
        <w:spacing w:after="120"/>
        <w:jc w:val="center"/>
        <w:rPr>
          <w:sz w:val="24"/>
          <w:szCs w:val="24"/>
        </w:rPr>
      </w:pPr>
      <w:r w:rsidRPr="00BB0602">
        <w:rPr>
          <w:i/>
          <w:sz w:val="24"/>
          <w:szCs w:val="24"/>
        </w:rPr>
        <w:t>Human Rights (Parliamentary Scrutiny) Act 2011</w:t>
      </w:r>
      <w:r w:rsidRPr="00BB0602">
        <w:rPr>
          <w:sz w:val="24"/>
          <w:szCs w:val="24"/>
        </w:rPr>
        <w:t>.</w:t>
      </w:r>
    </w:p>
    <w:p w:rsidR="00BB0602" w:rsidRPr="00BB0602" w:rsidRDefault="00BB0602" w:rsidP="00BB0602">
      <w:pPr>
        <w:rPr>
          <w:sz w:val="24"/>
          <w:szCs w:val="24"/>
        </w:rPr>
      </w:pPr>
    </w:p>
    <w:p w:rsidR="00BB0602" w:rsidRPr="00BB0602" w:rsidRDefault="00BB0602" w:rsidP="00BB0602">
      <w:pPr>
        <w:spacing w:before="120" w:after="120"/>
        <w:jc w:val="both"/>
        <w:rPr>
          <w:b/>
          <w:sz w:val="24"/>
        </w:rPr>
      </w:pPr>
      <w:r w:rsidRPr="00BB0602">
        <w:rPr>
          <w:b/>
          <w:sz w:val="24"/>
        </w:rPr>
        <w:t>Overview of the Legislative Instrument</w:t>
      </w:r>
    </w:p>
    <w:p w:rsidR="00C47265" w:rsidRPr="00E43FCE" w:rsidRDefault="00BB0602" w:rsidP="00C47265">
      <w:pPr>
        <w:pStyle w:val="AFMANormal"/>
        <w:jc w:val="left"/>
        <w:rPr>
          <w:szCs w:val="24"/>
        </w:rPr>
      </w:pPr>
      <w:r w:rsidRPr="00BB0602">
        <w:rPr>
          <w:szCs w:val="24"/>
        </w:rPr>
        <w:t xml:space="preserve">The </w:t>
      </w:r>
      <w:r w:rsidR="00FE5AD6">
        <w:rPr>
          <w:szCs w:val="24"/>
        </w:rPr>
        <w:t>Legislative Instrument</w:t>
      </w:r>
      <w:r w:rsidR="00FE5AD6" w:rsidRPr="00BB0602">
        <w:rPr>
          <w:szCs w:val="24"/>
        </w:rPr>
        <w:t xml:space="preserve"> </w:t>
      </w:r>
      <w:r w:rsidR="008440E5" w:rsidRPr="008440E5">
        <w:rPr>
          <w:szCs w:val="24"/>
        </w:rPr>
        <w:t>simplifies the boat nomination process</w:t>
      </w:r>
      <w:r w:rsidR="008440E5">
        <w:rPr>
          <w:szCs w:val="24"/>
        </w:rPr>
        <w:t xml:space="preserve"> and</w:t>
      </w:r>
      <w:r w:rsidR="008440E5" w:rsidRPr="008440E5">
        <w:rPr>
          <w:szCs w:val="24"/>
        </w:rPr>
        <w:t xml:space="preserve"> </w:t>
      </w:r>
      <w:r w:rsidR="00C47265">
        <w:rPr>
          <w:szCs w:val="24"/>
        </w:rPr>
        <w:t>set</w:t>
      </w:r>
      <w:r w:rsidR="00FE5AD6">
        <w:rPr>
          <w:szCs w:val="24"/>
        </w:rPr>
        <w:t>s</w:t>
      </w:r>
      <w:r w:rsidR="00C47265">
        <w:rPr>
          <w:szCs w:val="24"/>
        </w:rPr>
        <w:t xml:space="preserve"> the fees that will</w:t>
      </w:r>
      <w:r w:rsidR="008440E5">
        <w:rPr>
          <w:szCs w:val="24"/>
        </w:rPr>
        <w:t xml:space="preserve"> apply to dealings with permits and</w:t>
      </w:r>
      <w:r w:rsidR="00C47265">
        <w:rPr>
          <w:szCs w:val="24"/>
        </w:rPr>
        <w:t xml:space="preserve"> statutory fishing rights. </w:t>
      </w:r>
    </w:p>
    <w:p w:rsidR="00BB0602" w:rsidRPr="00BB0602" w:rsidRDefault="00BB0602" w:rsidP="00BB0602">
      <w:pPr>
        <w:rPr>
          <w:i/>
          <w:sz w:val="24"/>
          <w:szCs w:val="24"/>
        </w:rPr>
      </w:pPr>
    </w:p>
    <w:p w:rsidR="00BB0602" w:rsidRPr="00BB0602" w:rsidRDefault="00BB0602" w:rsidP="00BB0602">
      <w:pPr>
        <w:rPr>
          <w:sz w:val="24"/>
          <w:szCs w:val="24"/>
        </w:rPr>
      </w:pPr>
    </w:p>
    <w:p w:rsidR="00BB0602" w:rsidRPr="00BB0602" w:rsidRDefault="00BB0602" w:rsidP="00BB0602">
      <w:pPr>
        <w:spacing w:after="120"/>
        <w:jc w:val="both"/>
        <w:rPr>
          <w:b/>
          <w:sz w:val="24"/>
          <w:szCs w:val="24"/>
        </w:rPr>
      </w:pPr>
      <w:r w:rsidRPr="00BB0602">
        <w:rPr>
          <w:b/>
          <w:sz w:val="24"/>
          <w:szCs w:val="24"/>
        </w:rPr>
        <w:t>Human rights implications</w:t>
      </w:r>
    </w:p>
    <w:p w:rsidR="00BB0602" w:rsidRPr="00BB0602" w:rsidRDefault="00BB0602" w:rsidP="00BB0602">
      <w:pPr>
        <w:rPr>
          <w:sz w:val="24"/>
          <w:szCs w:val="24"/>
        </w:rPr>
      </w:pPr>
      <w:r w:rsidRPr="00BB0602">
        <w:rPr>
          <w:sz w:val="24"/>
          <w:szCs w:val="24"/>
        </w:rPr>
        <w:t>This Legislative Instrument does not engage any of the applicable rights or freedoms.</w:t>
      </w:r>
    </w:p>
    <w:p w:rsidR="00BB0602" w:rsidRPr="00BB0602" w:rsidRDefault="00BB0602" w:rsidP="00BB0602">
      <w:pPr>
        <w:rPr>
          <w:sz w:val="24"/>
          <w:szCs w:val="24"/>
        </w:rPr>
      </w:pPr>
    </w:p>
    <w:p w:rsidR="00BB0602" w:rsidRPr="00BB0602" w:rsidRDefault="00BB0602" w:rsidP="00BB0602">
      <w:pPr>
        <w:spacing w:after="120"/>
        <w:jc w:val="both"/>
        <w:rPr>
          <w:b/>
          <w:sz w:val="24"/>
          <w:szCs w:val="24"/>
        </w:rPr>
      </w:pPr>
      <w:r w:rsidRPr="00BB0602">
        <w:rPr>
          <w:b/>
          <w:sz w:val="24"/>
          <w:szCs w:val="24"/>
        </w:rPr>
        <w:t>Conclusion</w:t>
      </w:r>
    </w:p>
    <w:p w:rsidR="00BB0602" w:rsidRPr="00BB0602" w:rsidRDefault="00BB0602" w:rsidP="00BB0602">
      <w:pPr>
        <w:rPr>
          <w:sz w:val="24"/>
          <w:szCs w:val="24"/>
        </w:rPr>
      </w:pPr>
      <w:r w:rsidRPr="00BB0602">
        <w:rPr>
          <w:sz w:val="24"/>
          <w:szCs w:val="24"/>
        </w:rPr>
        <w:t>This Legislative Instrument is compatible with human rights as it does not raise any human rights issues.</w:t>
      </w:r>
    </w:p>
    <w:p w:rsidR="00BB0602" w:rsidRDefault="00BB0602" w:rsidP="00BB0602">
      <w:pPr>
        <w:rPr>
          <w:sz w:val="24"/>
          <w:szCs w:val="24"/>
        </w:rPr>
      </w:pPr>
    </w:p>
    <w:p w:rsidR="00FE5AD6" w:rsidRDefault="00FE5AD6" w:rsidP="00BB0602">
      <w:pPr>
        <w:rPr>
          <w:sz w:val="24"/>
          <w:szCs w:val="24"/>
        </w:rPr>
      </w:pPr>
    </w:p>
    <w:p w:rsidR="00FE5AD6" w:rsidRDefault="00FE5AD6" w:rsidP="00BB0602">
      <w:pPr>
        <w:rPr>
          <w:sz w:val="24"/>
          <w:szCs w:val="24"/>
        </w:rPr>
      </w:pPr>
    </w:p>
    <w:p w:rsidR="00FE5AD6" w:rsidRPr="00BB0602" w:rsidRDefault="00FE5AD6" w:rsidP="00BB0602">
      <w:pPr>
        <w:rPr>
          <w:sz w:val="24"/>
          <w:szCs w:val="24"/>
        </w:rPr>
      </w:pPr>
    </w:p>
    <w:p w:rsidR="00BB0602" w:rsidRPr="00BB0602" w:rsidRDefault="00BB0602" w:rsidP="00BB0602">
      <w:pPr>
        <w:rPr>
          <w:sz w:val="24"/>
          <w:szCs w:val="24"/>
        </w:rPr>
      </w:pPr>
    </w:p>
    <w:p w:rsidR="00BB0602" w:rsidRPr="00BB0602" w:rsidRDefault="00787B7D" w:rsidP="00BB0602">
      <w:pPr>
        <w:jc w:val="center"/>
        <w:rPr>
          <w:b/>
          <w:bCs/>
          <w:sz w:val="24"/>
          <w:szCs w:val="24"/>
        </w:rPr>
      </w:pPr>
      <w:r>
        <w:rPr>
          <w:b/>
          <w:bCs/>
          <w:sz w:val="24"/>
          <w:szCs w:val="24"/>
        </w:rPr>
        <w:t xml:space="preserve">Senator </w:t>
      </w:r>
      <w:r w:rsidR="008440E5">
        <w:rPr>
          <w:b/>
          <w:bCs/>
          <w:sz w:val="24"/>
          <w:szCs w:val="24"/>
        </w:rPr>
        <w:t>t</w:t>
      </w:r>
      <w:r w:rsidR="00BB0602" w:rsidRPr="00BB0602">
        <w:rPr>
          <w:b/>
          <w:bCs/>
          <w:sz w:val="24"/>
          <w:szCs w:val="24"/>
        </w:rPr>
        <w:t xml:space="preserve">he Hon. </w:t>
      </w:r>
      <w:r>
        <w:rPr>
          <w:b/>
          <w:bCs/>
          <w:sz w:val="24"/>
          <w:szCs w:val="24"/>
        </w:rPr>
        <w:t>Richard Colbeck</w:t>
      </w:r>
    </w:p>
    <w:p w:rsidR="00BB0602" w:rsidRPr="00BB0602" w:rsidRDefault="00BB0602" w:rsidP="00BB0602">
      <w:pPr>
        <w:jc w:val="center"/>
        <w:rPr>
          <w:b/>
          <w:bCs/>
          <w:sz w:val="24"/>
          <w:szCs w:val="24"/>
        </w:rPr>
      </w:pPr>
      <w:r w:rsidRPr="00BB0602">
        <w:rPr>
          <w:b/>
          <w:bCs/>
          <w:sz w:val="24"/>
          <w:szCs w:val="24"/>
        </w:rPr>
        <w:t xml:space="preserve">Parliamentary </w:t>
      </w:r>
      <w:r w:rsidR="008440E5">
        <w:rPr>
          <w:b/>
          <w:bCs/>
          <w:sz w:val="24"/>
          <w:szCs w:val="24"/>
        </w:rPr>
        <w:t xml:space="preserve">Secretary to the Minister for </w:t>
      </w:r>
      <w:r w:rsidRPr="00BB0602">
        <w:rPr>
          <w:b/>
          <w:bCs/>
          <w:sz w:val="24"/>
          <w:szCs w:val="24"/>
        </w:rPr>
        <w:t>Agriculture</w:t>
      </w:r>
    </w:p>
    <w:p w:rsidR="00BB0602" w:rsidRPr="00BB0602" w:rsidRDefault="00BB0602" w:rsidP="00BB0602">
      <w:pPr>
        <w:rPr>
          <w:sz w:val="24"/>
        </w:rPr>
      </w:pPr>
    </w:p>
    <w:p w:rsidR="00237E32" w:rsidRPr="00237E32" w:rsidRDefault="00237E32">
      <w:pPr>
        <w:rPr>
          <w:sz w:val="24"/>
          <w:szCs w:val="24"/>
        </w:rPr>
      </w:pPr>
    </w:p>
    <w:sectPr w:rsidR="00237E32" w:rsidRPr="00237E32" w:rsidSect="006E011A">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33" w:rsidRDefault="00DA6133">
      <w:r>
        <w:separator/>
      </w:r>
    </w:p>
  </w:endnote>
  <w:endnote w:type="continuationSeparator" w:id="0">
    <w:p w:rsidR="00DA6133" w:rsidRDefault="00DA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1A" w:rsidRPr="006E011A" w:rsidRDefault="002A55F2" w:rsidP="006E011A">
    <w:pPr>
      <w:pStyle w:val="Footer"/>
      <w:jc w:val="center"/>
      <w:rPr>
        <w:sz w:val="22"/>
        <w:szCs w:val="22"/>
      </w:rPr>
    </w:pPr>
    <w:r w:rsidRPr="006E011A">
      <w:rPr>
        <w:sz w:val="22"/>
        <w:szCs w:val="22"/>
      </w:rPr>
      <w:fldChar w:fldCharType="begin"/>
    </w:r>
    <w:r w:rsidR="006E011A" w:rsidRPr="006E011A">
      <w:rPr>
        <w:sz w:val="22"/>
        <w:szCs w:val="22"/>
      </w:rPr>
      <w:instrText xml:space="preserve"> PAGE   \* MERGEFORMAT </w:instrText>
    </w:r>
    <w:r w:rsidRPr="006E011A">
      <w:rPr>
        <w:sz w:val="22"/>
        <w:szCs w:val="22"/>
      </w:rPr>
      <w:fldChar w:fldCharType="separate"/>
    </w:r>
    <w:r w:rsidR="007F13B6">
      <w:rPr>
        <w:noProof/>
        <w:sz w:val="22"/>
        <w:szCs w:val="22"/>
      </w:rPr>
      <w:t>2</w:t>
    </w:r>
    <w:r w:rsidRPr="006E011A">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33" w:rsidRDefault="00DA6133">
      <w:r>
        <w:separator/>
      </w:r>
    </w:p>
  </w:footnote>
  <w:footnote w:type="continuationSeparator" w:id="0">
    <w:p w:rsidR="00DA6133" w:rsidRDefault="00DA61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72E3"/>
    <w:multiLevelType w:val="hybridMultilevel"/>
    <w:tmpl w:val="3C2A7AC0"/>
    <w:lvl w:ilvl="0" w:tplc="9452A36A">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E56BD4"/>
    <w:multiLevelType w:val="hybridMultilevel"/>
    <w:tmpl w:val="7B82CFCE"/>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1">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12"/>
  </w:num>
  <w:num w:numId="5">
    <w:abstractNumId w:val="6"/>
  </w:num>
  <w:num w:numId="6">
    <w:abstractNumId w:val="9"/>
  </w:num>
  <w:num w:numId="7">
    <w:abstractNumId w:val="5"/>
  </w:num>
  <w:num w:numId="8">
    <w:abstractNumId w:val="1"/>
  </w:num>
  <w:num w:numId="9">
    <w:abstractNumId w:val="0"/>
  </w:num>
  <w:num w:numId="10">
    <w:abstractNumId w:val="4"/>
  </w:num>
  <w:num w:numId="11">
    <w:abstractNumId w:val="10"/>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F1D03"/>
    <w:rsid w:val="0006714B"/>
    <w:rsid w:val="0008539B"/>
    <w:rsid w:val="00085407"/>
    <w:rsid w:val="000A34FE"/>
    <w:rsid w:val="000B1E12"/>
    <w:rsid w:val="000B7465"/>
    <w:rsid w:val="000D7D1E"/>
    <w:rsid w:val="000E150D"/>
    <w:rsid w:val="000E25FE"/>
    <w:rsid w:val="000E4767"/>
    <w:rsid w:val="001242D0"/>
    <w:rsid w:val="00125CD3"/>
    <w:rsid w:val="001522DB"/>
    <w:rsid w:val="0016456D"/>
    <w:rsid w:val="00165EED"/>
    <w:rsid w:val="00171D91"/>
    <w:rsid w:val="00191AFE"/>
    <w:rsid w:val="001A4E5D"/>
    <w:rsid w:val="001C34A4"/>
    <w:rsid w:val="001E35FE"/>
    <w:rsid w:val="001E50DB"/>
    <w:rsid w:val="001E695B"/>
    <w:rsid w:val="001F1D03"/>
    <w:rsid w:val="00216C2D"/>
    <w:rsid w:val="00237E32"/>
    <w:rsid w:val="00276471"/>
    <w:rsid w:val="00290F97"/>
    <w:rsid w:val="002957DE"/>
    <w:rsid w:val="002A55F2"/>
    <w:rsid w:val="002A59AC"/>
    <w:rsid w:val="002D62DA"/>
    <w:rsid w:val="002D737E"/>
    <w:rsid w:val="002E3636"/>
    <w:rsid w:val="002E5B99"/>
    <w:rsid w:val="003024B8"/>
    <w:rsid w:val="003024CF"/>
    <w:rsid w:val="00327476"/>
    <w:rsid w:val="00327984"/>
    <w:rsid w:val="00335C9D"/>
    <w:rsid w:val="00341F60"/>
    <w:rsid w:val="00356BE9"/>
    <w:rsid w:val="0039679C"/>
    <w:rsid w:val="003C36DA"/>
    <w:rsid w:val="003D2277"/>
    <w:rsid w:val="003D6662"/>
    <w:rsid w:val="003F0C2A"/>
    <w:rsid w:val="00420A82"/>
    <w:rsid w:val="004670F5"/>
    <w:rsid w:val="00496F3C"/>
    <w:rsid w:val="004A7BDF"/>
    <w:rsid w:val="004D627E"/>
    <w:rsid w:val="004E51F7"/>
    <w:rsid w:val="004E53FB"/>
    <w:rsid w:val="004E5B5A"/>
    <w:rsid w:val="004F3B23"/>
    <w:rsid w:val="00515D1C"/>
    <w:rsid w:val="005531D0"/>
    <w:rsid w:val="00561230"/>
    <w:rsid w:val="00580C63"/>
    <w:rsid w:val="00582C4F"/>
    <w:rsid w:val="005B4995"/>
    <w:rsid w:val="005B6685"/>
    <w:rsid w:val="005C5898"/>
    <w:rsid w:val="005E2E61"/>
    <w:rsid w:val="005E7956"/>
    <w:rsid w:val="0065560F"/>
    <w:rsid w:val="006613C0"/>
    <w:rsid w:val="006B0396"/>
    <w:rsid w:val="006B63A8"/>
    <w:rsid w:val="006C7455"/>
    <w:rsid w:val="006E011A"/>
    <w:rsid w:val="006F215C"/>
    <w:rsid w:val="00701D5D"/>
    <w:rsid w:val="00704CCF"/>
    <w:rsid w:val="00712420"/>
    <w:rsid w:val="00735ABB"/>
    <w:rsid w:val="00754CC7"/>
    <w:rsid w:val="00756425"/>
    <w:rsid w:val="00770A9C"/>
    <w:rsid w:val="00774BC4"/>
    <w:rsid w:val="007842D6"/>
    <w:rsid w:val="00787B7D"/>
    <w:rsid w:val="007C592D"/>
    <w:rsid w:val="007C7E66"/>
    <w:rsid w:val="007E1FDA"/>
    <w:rsid w:val="007F13B6"/>
    <w:rsid w:val="007F2E28"/>
    <w:rsid w:val="0082202C"/>
    <w:rsid w:val="00831F95"/>
    <w:rsid w:val="00841B2D"/>
    <w:rsid w:val="008440E5"/>
    <w:rsid w:val="00851520"/>
    <w:rsid w:val="008538DE"/>
    <w:rsid w:val="00857E9D"/>
    <w:rsid w:val="00880F0A"/>
    <w:rsid w:val="00885F9D"/>
    <w:rsid w:val="00891057"/>
    <w:rsid w:val="0089773D"/>
    <w:rsid w:val="00897757"/>
    <w:rsid w:val="008A1F88"/>
    <w:rsid w:val="008B0B76"/>
    <w:rsid w:val="008B32FF"/>
    <w:rsid w:val="008C128B"/>
    <w:rsid w:val="008C4D4E"/>
    <w:rsid w:val="008D18B3"/>
    <w:rsid w:val="008F6041"/>
    <w:rsid w:val="00904885"/>
    <w:rsid w:val="00922028"/>
    <w:rsid w:val="009227CE"/>
    <w:rsid w:val="009252AB"/>
    <w:rsid w:val="00932182"/>
    <w:rsid w:val="00932CCE"/>
    <w:rsid w:val="00950BAD"/>
    <w:rsid w:val="00954830"/>
    <w:rsid w:val="00966BA9"/>
    <w:rsid w:val="0096713F"/>
    <w:rsid w:val="00975922"/>
    <w:rsid w:val="00975CFE"/>
    <w:rsid w:val="00983388"/>
    <w:rsid w:val="009C12A9"/>
    <w:rsid w:val="009E00D9"/>
    <w:rsid w:val="00A24AA3"/>
    <w:rsid w:val="00A41713"/>
    <w:rsid w:val="00A53989"/>
    <w:rsid w:val="00A540B9"/>
    <w:rsid w:val="00A60600"/>
    <w:rsid w:val="00A70718"/>
    <w:rsid w:val="00A74568"/>
    <w:rsid w:val="00A77E9D"/>
    <w:rsid w:val="00AB20AF"/>
    <w:rsid w:val="00AC1F75"/>
    <w:rsid w:val="00AE0464"/>
    <w:rsid w:val="00AE0BF2"/>
    <w:rsid w:val="00AF4A9A"/>
    <w:rsid w:val="00AF61B7"/>
    <w:rsid w:val="00B10337"/>
    <w:rsid w:val="00B523AA"/>
    <w:rsid w:val="00B523EE"/>
    <w:rsid w:val="00B61268"/>
    <w:rsid w:val="00B91801"/>
    <w:rsid w:val="00BA0B9F"/>
    <w:rsid w:val="00BB0602"/>
    <w:rsid w:val="00BB5960"/>
    <w:rsid w:val="00BB6666"/>
    <w:rsid w:val="00BD26A0"/>
    <w:rsid w:val="00BE2F29"/>
    <w:rsid w:val="00BF2F20"/>
    <w:rsid w:val="00BF425E"/>
    <w:rsid w:val="00BF6024"/>
    <w:rsid w:val="00BF7D30"/>
    <w:rsid w:val="00C06336"/>
    <w:rsid w:val="00C11653"/>
    <w:rsid w:val="00C42CEB"/>
    <w:rsid w:val="00C47265"/>
    <w:rsid w:val="00C739F0"/>
    <w:rsid w:val="00C74A09"/>
    <w:rsid w:val="00C843E9"/>
    <w:rsid w:val="00CA6F1B"/>
    <w:rsid w:val="00CA7465"/>
    <w:rsid w:val="00CB4A01"/>
    <w:rsid w:val="00CC0867"/>
    <w:rsid w:val="00CE1A23"/>
    <w:rsid w:val="00CE258B"/>
    <w:rsid w:val="00D0143D"/>
    <w:rsid w:val="00D01D16"/>
    <w:rsid w:val="00D12245"/>
    <w:rsid w:val="00D26394"/>
    <w:rsid w:val="00D579BC"/>
    <w:rsid w:val="00D75E08"/>
    <w:rsid w:val="00DA6133"/>
    <w:rsid w:val="00DB395F"/>
    <w:rsid w:val="00DC4E37"/>
    <w:rsid w:val="00E10EF7"/>
    <w:rsid w:val="00E20727"/>
    <w:rsid w:val="00E20D38"/>
    <w:rsid w:val="00E21149"/>
    <w:rsid w:val="00E30394"/>
    <w:rsid w:val="00E401AB"/>
    <w:rsid w:val="00E43FCE"/>
    <w:rsid w:val="00E56757"/>
    <w:rsid w:val="00E63D46"/>
    <w:rsid w:val="00E66957"/>
    <w:rsid w:val="00E76EFE"/>
    <w:rsid w:val="00E94153"/>
    <w:rsid w:val="00EA1A2A"/>
    <w:rsid w:val="00EA43C6"/>
    <w:rsid w:val="00EB729D"/>
    <w:rsid w:val="00EC67B1"/>
    <w:rsid w:val="00ED65ED"/>
    <w:rsid w:val="00EE3546"/>
    <w:rsid w:val="00EE6A90"/>
    <w:rsid w:val="00EF0DA0"/>
    <w:rsid w:val="00EF2C7C"/>
    <w:rsid w:val="00F011D6"/>
    <w:rsid w:val="00F017DE"/>
    <w:rsid w:val="00F055AC"/>
    <w:rsid w:val="00F13720"/>
    <w:rsid w:val="00F35E4D"/>
    <w:rsid w:val="00F6698D"/>
    <w:rsid w:val="00F76325"/>
    <w:rsid w:val="00F848DE"/>
    <w:rsid w:val="00FE5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7B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EC67B1"/>
    <w:pPr>
      <w:keepLines/>
      <w:spacing w:before="240"/>
      <w:jc w:val="both"/>
    </w:pPr>
    <w:rPr>
      <w:kern w:val="20"/>
      <w:sz w:val="24"/>
      <w:lang w:eastAsia="en-US"/>
    </w:rPr>
  </w:style>
  <w:style w:type="paragraph" w:customStyle="1" w:styleId="Notepara">
    <w:name w:val="Note para"/>
    <w:basedOn w:val="Normal"/>
    <w:rsid w:val="00EC67B1"/>
    <w:pPr>
      <w:spacing w:before="60" w:line="220" w:lineRule="exact"/>
      <w:ind w:left="1304" w:hanging="340"/>
      <w:jc w:val="both"/>
    </w:pPr>
    <w:rPr>
      <w:szCs w:val="24"/>
    </w:rPr>
  </w:style>
  <w:style w:type="paragraph" w:customStyle="1" w:styleId="ZNote">
    <w:name w:val="ZNote"/>
    <w:basedOn w:val="Normal"/>
    <w:rsid w:val="00EC67B1"/>
    <w:pPr>
      <w:keepNext/>
      <w:spacing w:before="120" w:line="220" w:lineRule="exact"/>
      <w:ind w:left="964"/>
      <w:jc w:val="both"/>
    </w:pPr>
    <w:rPr>
      <w:szCs w:val="24"/>
    </w:rPr>
  </w:style>
  <w:style w:type="paragraph" w:styleId="Header">
    <w:name w:val="header"/>
    <w:basedOn w:val="Normal"/>
    <w:rsid w:val="00EC67B1"/>
    <w:pPr>
      <w:tabs>
        <w:tab w:val="center" w:pos="4153"/>
        <w:tab w:val="right" w:pos="8306"/>
      </w:tabs>
    </w:pPr>
  </w:style>
  <w:style w:type="paragraph" w:styleId="Footer">
    <w:name w:val="footer"/>
    <w:basedOn w:val="Normal"/>
    <w:link w:val="FooterChar"/>
    <w:uiPriority w:val="99"/>
    <w:rsid w:val="00EC67B1"/>
    <w:pPr>
      <w:tabs>
        <w:tab w:val="center" w:pos="4153"/>
        <w:tab w:val="right" w:pos="8306"/>
      </w:tabs>
    </w:pPr>
  </w:style>
  <w:style w:type="paragraph" w:customStyle="1" w:styleId="afmanormal0">
    <w:name w:val="afmanormal"/>
    <w:basedOn w:val="Normal"/>
    <w:rsid w:val="00EC67B1"/>
    <w:pPr>
      <w:spacing w:before="240"/>
      <w:jc w:val="both"/>
    </w:pPr>
    <w:rPr>
      <w:sz w:val="24"/>
      <w:szCs w:val="24"/>
      <w:lang w:val="en-US"/>
    </w:rPr>
  </w:style>
  <w:style w:type="paragraph" w:styleId="BodyText">
    <w:name w:val="Body Text"/>
    <w:basedOn w:val="Normal"/>
    <w:link w:val="BodyTextChar"/>
    <w:rsid w:val="00EC67B1"/>
    <w:pPr>
      <w:jc w:val="both"/>
    </w:pPr>
    <w:rPr>
      <w:sz w:val="24"/>
    </w:rPr>
  </w:style>
  <w:style w:type="character" w:customStyle="1" w:styleId="BodyTextChar">
    <w:name w:val="Body Text Char"/>
    <w:link w:val="BodyText"/>
    <w:semiHidden/>
    <w:locked/>
    <w:rsid w:val="00EC67B1"/>
    <w:rPr>
      <w:sz w:val="24"/>
      <w:lang w:val="en-AU" w:eastAsia="en-US" w:bidi="ar-SA"/>
    </w:rPr>
  </w:style>
  <w:style w:type="character" w:styleId="Hyperlink">
    <w:name w:val="Hyperlink"/>
    <w:rsid w:val="00EC67B1"/>
    <w:rPr>
      <w:color w:val="0000FF"/>
      <w:u w:val="single"/>
    </w:rPr>
  </w:style>
  <w:style w:type="character" w:styleId="Emphasis">
    <w:name w:val="Emphasis"/>
    <w:qFormat/>
    <w:rsid w:val="00EC67B1"/>
    <w:rPr>
      <w:i/>
      <w:iCs/>
    </w:rPr>
  </w:style>
  <w:style w:type="paragraph" w:customStyle="1" w:styleId="TableColHead">
    <w:name w:val="TableColHead"/>
    <w:basedOn w:val="Normal"/>
    <w:rsid w:val="00EC67B1"/>
    <w:pPr>
      <w:keepNext/>
      <w:spacing w:before="120" w:after="60" w:line="200" w:lineRule="exact"/>
    </w:pPr>
    <w:rPr>
      <w:rFonts w:ascii="Arial" w:hAnsi="Arial"/>
      <w:b/>
      <w:sz w:val="18"/>
    </w:rPr>
  </w:style>
  <w:style w:type="character" w:styleId="CommentReference">
    <w:name w:val="annotation reference"/>
    <w:rsid w:val="00EC67B1"/>
    <w:rPr>
      <w:sz w:val="16"/>
      <w:szCs w:val="16"/>
    </w:rPr>
  </w:style>
  <w:style w:type="paragraph" w:styleId="CommentText">
    <w:name w:val="annotation text"/>
    <w:basedOn w:val="Normal"/>
    <w:link w:val="CommentTextChar"/>
    <w:rsid w:val="00EC67B1"/>
  </w:style>
  <w:style w:type="character" w:customStyle="1" w:styleId="CommentTextChar">
    <w:name w:val="Comment Text Char"/>
    <w:link w:val="CommentText"/>
    <w:rsid w:val="00EC67B1"/>
    <w:rPr>
      <w:lang w:eastAsia="en-US"/>
    </w:rPr>
  </w:style>
  <w:style w:type="paragraph" w:styleId="CommentSubject">
    <w:name w:val="annotation subject"/>
    <w:basedOn w:val="CommentText"/>
    <w:next w:val="CommentText"/>
    <w:link w:val="CommentSubjectChar"/>
    <w:rsid w:val="00EC67B1"/>
    <w:rPr>
      <w:b/>
      <w:bCs/>
    </w:rPr>
  </w:style>
  <w:style w:type="character" w:customStyle="1" w:styleId="CommentSubjectChar">
    <w:name w:val="Comment Subject Char"/>
    <w:link w:val="CommentSubject"/>
    <w:rsid w:val="00EC67B1"/>
    <w:rPr>
      <w:b/>
      <w:bCs/>
      <w:lang w:eastAsia="en-US"/>
    </w:rPr>
  </w:style>
  <w:style w:type="paragraph" w:styleId="BalloonText">
    <w:name w:val="Balloon Text"/>
    <w:basedOn w:val="Normal"/>
    <w:link w:val="BalloonTextChar"/>
    <w:rsid w:val="00EC67B1"/>
    <w:rPr>
      <w:rFonts w:ascii="Tahoma" w:hAnsi="Tahoma"/>
      <w:sz w:val="16"/>
      <w:szCs w:val="16"/>
    </w:rPr>
  </w:style>
  <w:style w:type="character" w:customStyle="1" w:styleId="BalloonTextChar">
    <w:name w:val="Balloon Text Char"/>
    <w:link w:val="BalloonText"/>
    <w:rsid w:val="00EC67B1"/>
    <w:rPr>
      <w:rFonts w:ascii="Tahoma" w:hAnsi="Tahoma" w:cs="Tahoma"/>
      <w:sz w:val="16"/>
      <w:szCs w:val="16"/>
      <w:lang w:eastAsia="en-US"/>
    </w:rPr>
  </w:style>
  <w:style w:type="table" w:styleId="TableGrid">
    <w:name w:val="Table Grid"/>
    <w:basedOn w:val="TableNormal"/>
    <w:rsid w:val="00EC6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90F97"/>
    <w:rPr>
      <w:color w:val="800080"/>
      <w:u w:val="single"/>
    </w:rPr>
  </w:style>
  <w:style w:type="character" w:customStyle="1" w:styleId="FooterChar">
    <w:name w:val="Footer Char"/>
    <w:link w:val="Footer"/>
    <w:uiPriority w:val="99"/>
    <w:rsid w:val="006E011A"/>
    <w:rPr>
      <w:lang w:eastAsia="en-US"/>
    </w:rPr>
  </w:style>
  <w:style w:type="paragraph" w:styleId="Revision">
    <w:name w:val="Revision"/>
    <w:hidden/>
    <w:uiPriority w:val="99"/>
    <w:semiHidden/>
    <w:rsid w:val="00B91801"/>
    <w:rPr>
      <w:lang w:eastAsia="en-US"/>
    </w:rPr>
  </w:style>
  <w:style w:type="paragraph" w:customStyle="1" w:styleId="Default">
    <w:name w:val="Default"/>
    <w:rsid w:val="001A4E5D"/>
    <w:pPr>
      <w:autoSpaceDE w:val="0"/>
      <w:autoSpaceDN w:val="0"/>
      <w:adjustRightInd w:val="0"/>
    </w:pPr>
    <w:rPr>
      <w:color w:val="000000"/>
      <w:sz w:val="24"/>
      <w:szCs w:val="24"/>
    </w:rPr>
  </w:style>
  <w:style w:type="paragraph" w:customStyle="1" w:styleId="heading0">
    <w:name w:val="heading0"/>
    <w:basedOn w:val="Normal"/>
    <w:rsid w:val="00FE5AD6"/>
    <w:pPr>
      <w:spacing w:before="100" w:beforeAutospacing="1" w:after="100" w:afterAutospacing="1"/>
    </w:pPr>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pPr>
      <w:keepLines/>
      <w:spacing w:before="240"/>
      <w:jc w:val="both"/>
    </w:pPr>
    <w:rPr>
      <w:kern w:val="20"/>
      <w:sz w:val="24"/>
      <w:lang w:eastAsia="en-US"/>
    </w:rPr>
  </w:style>
  <w:style w:type="paragraph" w:customStyle="1" w:styleId="Notepara">
    <w:name w:val="Note para"/>
    <w:basedOn w:val="Normal"/>
    <w:pPr>
      <w:spacing w:before="60" w:line="220" w:lineRule="exact"/>
      <w:ind w:left="1304" w:hanging="340"/>
      <w:jc w:val="both"/>
    </w:pPr>
    <w:rPr>
      <w:szCs w:val="24"/>
    </w:rPr>
  </w:style>
  <w:style w:type="paragraph" w:customStyle="1" w:styleId="ZNote">
    <w:name w:val="ZNote"/>
    <w:basedOn w:val="Normal"/>
    <w:pPr>
      <w:keepNext/>
      <w:spacing w:before="120" w:line="220" w:lineRule="exact"/>
      <w:ind w:left="964"/>
      <w:jc w:val="both"/>
    </w:pPr>
    <w:rPr>
      <w:szCs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fmanormal0">
    <w:name w:val="afmanormal"/>
    <w:basedOn w:val="Normal"/>
    <w:pPr>
      <w:spacing w:before="240"/>
      <w:jc w:val="both"/>
    </w:pPr>
    <w:rPr>
      <w:sz w:val="24"/>
      <w:szCs w:val="24"/>
      <w:lang w:val="en-US"/>
    </w:rPr>
  </w:style>
  <w:style w:type="paragraph" w:styleId="BodyText">
    <w:name w:val="Body Text"/>
    <w:basedOn w:val="Normal"/>
    <w:link w:val="BodyTextChar"/>
    <w:pPr>
      <w:jc w:val="both"/>
    </w:pPr>
    <w:rPr>
      <w:sz w:val="24"/>
    </w:rPr>
  </w:style>
  <w:style w:type="character" w:customStyle="1" w:styleId="BodyTextChar">
    <w:name w:val="Body Text Char"/>
    <w:link w:val="BodyText"/>
    <w:semiHidden/>
    <w:locked/>
    <w:rPr>
      <w:sz w:val="24"/>
      <w:lang w:val="en-AU" w:eastAsia="en-US" w:bidi="ar-SA"/>
    </w:rPr>
  </w:style>
  <w:style w:type="character" w:styleId="Hyperlink">
    <w:name w:val="Hyperlink"/>
    <w:rPr>
      <w:color w:val="0000FF"/>
      <w:u w:val="single"/>
    </w:rPr>
  </w:style>
  <w:style w:type="character" w:styleId="Emphasis">
    <w:name w:val="Emphasis"/>
    <w:qFormat/>
    <w:rPr>
      <w:i/>
      <w:iCs/>
    </w:rPr>
  </w:style>
  <w:style w:type="paragraph" w:customStyle="1" w:styleId="TableColHead">
    <w:name w:val="TableColHead"/>
    <w:basedOn w:val="Normal"/>
    <w:pPr>
      <w:keepNext/>
      <w:spacing w:before="120" w:after="60" w:line="200" w:lineRule="exact"/>
    </w:pPr>
    <w:rPr>
      <w:rFonts w:ascii="Arial" w:hAnsi="Arial"/>
      <w:b/>
      <w:sz w:val="18"/>
    </w:rPr>
  </w:style>
  <w:style w:type="character" w:styleId="CommentReference">
    <w:name w:val="annotation reference"/>
    <w:rPr>
      <w:sz w:val="16"/>
      <w:szCs w:val="16"/>
    </w:rPr>
  </w:style>
  <w:style w:type="paragraph" w:styleId="CommentText">
    <w:name w:val="annotation text"/>
    <w:basedOn w:val="Normal"/>
    <w:link w:val="CommentTextChar"/>
    <w:rPr>
      <w:lang w:val="x-none"/>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alloonText">
    <w:name w:val="Balloon Text"/>
    <w:basedOn w:val="Normal"/>
    <w:link w:val="BalloonTextCha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90F97"/>
    <w:rPr>
      <w:color w:val="800080"/>
      <w:u w:val="single"/>
    </w:rPr>
  </w:style>
  <w:style w:type="character" w:customStyle="1" w:styleId="FooterChar">
    <w:name w:val="Footer Char"/>
    <w:link w:val="Footer"/>
    <w:uiPriority w:val="99"/>
    <w:rsid w:val="006E011A"/>
    <w:rPr>
      <w:lang w:eastAsia="en-US"/>
    </w:rPr>
  </w:style>
  <w:style w:type="paragraph" w:styleId="Revision">
    <w:name w:val="Revision"/>
    <w:hidden/>
    <w:uiPriority w:val="99"/>
    <w:semiHidden/>
    <w:rsid w:val="00B91801"/>
    <w:rPr>
      <w:lang w:eastAsia="en-US"/>
    </w:rPr>
  </w:style>
  <w:style w:type="paragraph" w:customStyle="1" w:styleId="Default">
    <w:name w:val="Default"/>
    <w:rsid w:val="001A4E5D"/>
    <w:pPr>
      <w:autoSpaceDE w:val="0"/>
      <w:autoSpaceDN w:val="0"/>
      <w:adjustRightInd w:val="0"/>
    </w:pPr>
    <w:rPr>
      <w:color w:val="000000"/>
      <w:sz w:val="24"/>
      <w:szCs w:val="24"/>
    </w:rPr>
  </w:style>
  <w:style w:type="paragraph" w:customStyle="1" w:styleId="heading0">
    <w:name w:val="heading0"/>
    <w:basedOn w:val="Normal"/>
    <w:rsid w:val="00FE5AD6"/>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FDDB-FC68-448E-945C-B9494B56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7701</CharactersWithSpaces>
  <SharedDoc>false</SharedDoc>
  <HLinks>
    <vt:vector size="6" baseType="variant">
      <vt:variant>
        <vt:i4>3997735</vt:i4>
      </vt:variant>
      <vt:variant>
        <vt:i4>0</vt:i4>
      </vt:variant>
      <vt:variant>
        <vt:i4>0</vt:i4>
      </vt:variant>
      <vt:variant>
        <vt:i4>5</vt:i4>
      </vt:variant>
      <vt:variant>
        <vt:lpwstr>http://www.afma.gov.au/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Administrator</dc:creator>
  <cp:lastModifiedBy>Alabaster, John</cp:lastModifiedBy>
  <cp:revision>2</cp:revision>
  <cp:lastPrinted>2014-08-22T02:57:00Z</cp:lastPrinted>
  <dcterms:created xsi:type="dcterms:W3CDTF">2014-09-26T03:45:00Z</dcterms:created>
  <dcterms:modified xsi:type="dcterms:W3CDTF">2014-09-26T03:45:00Z</dcterms:modified>
</cp:coreProperties>
</file>