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78" w:rsidRDefault="00DF6E78" w:rsidP="00C60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6E78" w:rsidRDefault="00DF6E78" w:rsidP="00C60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4DBD" w:rsidRDefault="00547D17" w:rsidP="00C60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4DBD">
        <w:rPr>
          <w:rFonts w:ascii="Times New Roman" w:hAnsi="Times New Roman" w:cs="Times New Roman"/>
          <w:b/>
          <w:sz w:val="24"/>
          <w:szCs w:val="24"/>
          <w:lang w:val="en-US"/>
        </w:rPr>
        <w:t>Australian Securities and Investments Commission</w:t>
      </w:r>
      <w:r w:rsidRPr="00674DBD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2556C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2C4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orporations Act 2001 – </w:t>
      </w:r>
      <w:r w:rsidR="00E31DCB">
        <w:rPr>
          <w:rFonts w:ascii="Times New Roman" w:hAnsi="Times New Roman" w:cs="Times New Roman"/>
          <w:b/>
          <w:sz w:val="24"/>
          <w:szCs w:val="24"/>
          <w:lang w:val="en-US"/>
        </w:rPr>
        <w:t>Paragraphs 741(1)(b), 911A(2)(l), 1020F(1)(c) and S</w:t>
      </w:r>
      <w:r w:rsidR="00E5601D">
        <w:rPr>
          <w:rFonts w:ascii="Times New Roman" w:hAnsi="Times New Roman" w:cs="Times New Roman"/>
          <w:b/>
          <w:sz w:val="24"/>
          <w:szCs w:val="24"/>
          <w:lang w:val="en-US"/>
        </w:rPr>
        <w:t>ubsection</w:t>
      </w:r>
      <w:r w:rsidR="00E31DCB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FE188A">
        <w:rPr>
          <w:rFonts w:ascii="Times New Roman" w:hAnsi="Times New Roman" w:cs="Times New Roman"/>
          <w:b/>
          <w:sz w:val="24"/>
          <w:szCs w:val="24"/>
          <w:lang w:val="en-US"/>
        </w:rPr>
        <w:t>1075A</w:t>
      </w:r>
      <w:r w:rsidR="00E5601D">
        <w:rPr>
          <w:rFonts w:ascii="Times New Roman" w:hAnsi="Times New Roman" w:cs="Times New Roman"/>
          <w:b/>
          <w:sz w:val="24"/>
          <w:szCs w:val="24"/>
          <w:lang w:val="en-US"/>
        </w:rPr>
        <w:t>(1)</w:t>
      </w:r>
      <w:r w:rsidR="005A65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A7079" w:rsidRPr="005A6568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="00E5601D" w:rsidRPr="005A65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E188A">
        <w:rPr>
          <w:rFonts w:ascii="Times New Roman" w:hAnsi="Times New Roman" w:cs="Times New Roman"/>
          <w:b/>
          <w:sz w:val="24"/>
          <w:szCs w:val="24"/>
          <w:lang w:val="en-US"/>
        </w:rPr>
        <w:t>Amendment</w:t>
      </w:r>
    </w:p>
    <w:p w:rsidR="00580294" w:rsidRDefault="00580294" w:rsidP="00C60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6E78" w:rsidRPr="00674DBD" w:rsidRDefault="00DF6E78" w:rsidP="00C60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4DBD" w:rsidRDefault="00674DBD" w:rsidP="00C60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4DBD">
        <w:rPr>
          <w:rFonts w:ascii="Times New Roman" w:hAnsi="Times New Roman" w:cs="Times New Roman"/>
          <w:b/>
          <w:sz w:val="24"/>
          <w:szCs w:val="24"/>
          <w:lang w:val="en-US"/>
        </w:rPr>
        <w:t>Enabling legislation</w:t>
      </w:r>
    </w:p>
    <w:p w:rsidR="00C60CE4" w:rsidRPr="00674DBD" w:rsidRDefault="00C60CE4" w:rsidP="00C60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4DBD" w:rsidRDefault="00497825" w:rsidP="00C60CE4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266C" w:rsidRPr="00497825">
        <w:rPr>
          <w:rFonts w:ascii="Times New Roman" w:hAnsi="Times New Roman" w:cs="Times New Roman"/>
          <w:sz w:val="24"/>
          <w:szCs w:val="24"/>
          <w:lang w:val="en-US"/>
        </w:rPr>
        <w:t>The Australian Securities and Investments Commission (</w:t>
      </w:r>
      <w:r w:rsidR="002E216B" w:rsidRPr="002E216B">
        <w:rPr>
          <w:rFonts w:ascii="Times New Roman" w:hAnsi="Times New Roman" w:cs="Times New Roman"/>
          <w:b/>
          <w:i/>
          <w:sz w:val="24"/>
          <w:szCs w:val="24"/>
          <w:lang w:val="en-US"/>
        </w:rPr>
        <w:t>ASIC</w:t>
      </w:r>
      <w:r w:rsidR="002F266C" w:rsidRPr="00497825">
        <w:rPr>
          <w:rFonts w:ascii="Times New Roman" w:hAnsi="Times New Roman" w:cs="Times New Roman"/>
          <w:sz w:val="24"/>
          <w:szCs w:val="24"/>
          <w:lang w:val="en-US"/>
        </w:rPr>
        <w:t>) makes this instru</w:t>
      </w:r>
      <w:r w:rsidR="00C94D67">
        <w:rPr>
          <w:rFonts w:ascii="Times New Roman" w:hAnsi="Times New Roman" w:cs="Times New Roman"/>
          <w:sz w:val="24"/>
          <w:szCs w:val="24"/>
          <w:lang w:val="en-US"/>
        </w:rPr>
        <w:t xml:space="preserve">ment under </w:t>
      </w:r>
      <w:r w:rsidR="00E31DCB">
        <w:rPr>
          <w:rFonts w:ascii="Times New Roman" w:hAnsi="Times New Roman" w:cs="Times New Roman"/>
          <w:sz w:val="24"/>
          <w:szCs w:val="24"/>
          <w:lang w:val="en-US"/>
        </w:rPr>
        <w:t xml:space="preserve">paragraphs 741(1)(b), 911A(2)(l), 1020F(1)(c) and </w:t>
      </w:r>
      <w:r w:rsidR="00E5601D">
        <w:rPr>
          <w:rFonts w:ascii="Times New Roman" w:hAnsi="Times New Roman" w:cs="Times New Roman"/>
          <w:sz w:val="24"/>
          <w:szCs w:val="24"/>
          <w:lang w:val="en-US"/>
        </w:rPr>
        <w:t>subsection</w:t>
      </w:r>
      <w:r w:rsidR="00713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188A">
        <w:rPr>
          <w:rFonts w:ascii="Times New Roman" w:hAnsi="Times New Roman" w:cs="Times New Roman"/>
          <w:sz w:val="24"/>
          <w:szCs w:val="24"/>
          <w:lang w:val="en-US"/>
        </w:rPr>
        <w:t>1075A</w:t>
      </w:r>
      <w:r w:rsidR="0071364A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="004520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266C" w:rsidRPr="00497825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2F266C" w:rsidRPr="00497825">
        <w:rPr>
          <w:rFonts w:ascii="Times New Roman" w:hAnsi="Times New Roman" w:cs="Times New Roman"/>
          <w:i/>
          <w:sz w:val="24"/>
          <w:szCs w:val="24"/>
          <w:lang w:val="en-US"/>
        </w:rPr>
        <w:t>Corporations Act 2001</w:t>
      </w:r>
      <w:r w:rsidR="002F266C" w:rsidRPr="004978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80294" w:rsidRPr="00497825" w:rsidRDefault="00580294" w:rsidP="00C60CE4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2F266C" w:rsidRDefault="002F266C" w:rsidP="00C60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266C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</w:p>
    <w:p w:rsidR="00C60CE4" w:rsidRDefault="00C60CE4" w:rsidP="00C60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266C" w:rsidRDefault="00497825" w:rsidP="00C60C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266C" w:rsidRPr="00497825">
        <w:rPr>
          <w:rFonts w:ascii="Times New Roman" w:hAnsi="Times New Roman" w:cs="Times New Roman"/>
          <w:sz w:val="24"/>
          <w:szCs w:val="24"/>
          <w:lang w:val="en-US"/>
        </w:rPr>
        <w:t xml:space="preserve">This instrument is ASIC Class </w:t>
      </w:r>
      <w:r w:rsidR="002F266C" w:rsidRPr="006972FE">
        <w:rPr>
          <w:rFonts w:ascii="Times New Roman" w:hAnsi="Times New Roman" w:cs="Times New Roman"/>
          <w:sz w:val="24"/>
          <w:szCs w:val="24"/>
          <w:lang w:val="en-US"/>
        </w:rPr>
        <w:t>Order [</w:t>
      </w:r>
      <w:r w:rsidR="00DB60A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7F5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45A0" w:rsidRPr="006972F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345A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F266C" w:rsidRPr="006972F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C4C67">
        <w:rPr>
          <w:rFonts w:ascii="Times New Roman" w:hAnsi="Times New Roman" w:cs="Times New Roman"/>
          <w:sz w:val="24"/>
          <w:szCs w:val="24"/>
          <w:lang w:val="en-US"/>
        </w:rPr>
        <w:t>829</w:t>
      </w:r>
      <w:r w:rsidR="002F266C" w:rsidRPr="006972FE"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:rsidR="00580294" w:rsidRPr="00497825" w:rsidRDefault="00580294" w:rsidP="00C60C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F266C" w:rsidRDefault="002F266C" w:rsidP="00C60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266C">
        <w:rPr>
          <w:rFonts w:ascii="Times New Roman" w:hAnsi="Times New Roman" w:cs="Times New Roman"/>
          <w:b/>
          <w:sz w:val="24"/>
          <w:szCs w:val="24"/>
          <w:lang w:val="en-US"/>
        </w:rPr>
        <w:t>Commencement</w:t>
      </w:r>
    </w:p>
    <w:p w:rsidR="00580294" w:rsidRDefault="00580294" w:rsidP="00C60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1DCB" w:rsidRDefault="00032365" w:rsidP="00C60CE4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30A2C">
        <w:rPr>
          <w:rFonts w:ascii="Times New Roman" w:hAnsi="Times New Roman" w:cs="Times New Roman"/>
          <w:sz w:val="24"/>
          <w:szCs w:val="24"/>
          <w:lang w:val="en-US"/>
        </w:rPr>
        <w:t xml:space="preserve">This instrument commences </w:t>
      </w:r>
      <w:r w:rsidR="00E31DCB">
        <w:rPr>
          <w:rFonts w:ascii="Times New Roman" w:hAnsi="Times New Roman" w:cs="Times New Roman"/>
          <w:sz w:val="24"/>
          <w:szCs w:val="24"/>
          <w:lang w:val="en-US"/>
        </w:rPr>
        <w:t xml:space="preserve">as follows: </w:t>
      </w:r>
    </w:p>
    <w:p w:rsidR="00E31DCB" w:rsidRDefault="00E31DCB" w:rsidP="00C60CE4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71364A" w:rsidRDefault="00E31DCB" w:rsidP="00E31DCB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(a)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paragraph 4 commences o</w:t>
      </w:r>
      <w:r w:rsidR="00D30A2C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71364A">
        <w:rPr>
          <w:rFonts w:ascii="Times New Roman" w:hAnsi="Times New Roman" w:cs="Times New Roman"/>
          <w:sz w:val="24"/>
          <w:szCs w:val="24"/>
          <w:lang w:val="en-US"/>
        </w:rPr>
        <w:t>the date</w:t>
      </w:r>
      <w:r w:rsidR="00497825" w:rsidRPr="00497825">
        <w:rPr>
          <w:rFonts w:ascii="Times New Roman" w:hAnsi="Times New Roman" w:cs="Times New Roman"/>
          <w:sz w:val="24"/>
          <w:szCs w:val="24"/>
          <w:lang w:val="en-US"/>
        </w:rPr>
        <w:t xml:space="preserve"> it is registered under the </w:t>
      </w:r>
      <w:r w:rsidR="00497825" w:rsidRPr="00497825">
        <w:rPr>
          <w:rFonts w:ascii="Times New Roman" w:hAnsi="Times New Roman" w:cs="Times New Roman"/>
          <w:i/>
          <w:sz w:val="24"/>
          <w:szCs w:val="24"/>
          <w:lang w:val="en-US"/>
        </w:rPr>
        <w:t>Legislative Instruments Act 2003</w:t>
      </w:r>
      <w:r>
        <w:rPr>
          <w:rFonts w:ascii="Times New Roman" w:hAnsi="Times New Roman" w:cs="Times New Roman"/>
          <w:sz w:val="24"/>
          <w:szCs w:val="24"/>
          <w:lang w:val="en-US"/>
        </w:rPr>
        <w:t>; and</w:t>
      </w:r>
    </w:p>
    <w:p w:rsidR="00E31DCB" w:rsidRDefault="00E31DCB" w:rsidP="00E31DCB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046C6F" w:rsidRDefault="00E31DCB" w:rsidP="00E31DCB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(b)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paragraph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commences on the </w:t>
      </w:r>
      <w:r>
        <w:rPr>
          <w:rFonts w:ascii="Times New Roman" w:hAnsi="Times New Roman" w:cs="Times New Roman"/>
          <w:sz w:val="24"/>
          <w:szCs w:val="24"/>
          <w:lang w:val="en-US"/>
        </w:rPr>
        <w:t>later of</w:t>
      </w:r>
      <w:r w:rsidR="00046C6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46C6F" w:rsidRDefault="00046C6F" w:rsidP="00E31DCB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046C6F" w:rsidRDefault="00046C6F" w:rsidP="00046C6F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1DC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31DCB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E31DCB" w:rsidRPr="00497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BB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0B0BBD">
        <w:rPr>
          <w:rFonts w:ascii="Times New Roman" w:hAnsi="Times New Roman" w:cs="Times New Roman"/>
          <w:sz w:val="24"/>
          <w:szCs w:val="24"/>
          <w:lang w:val="en-US"/>
        </w:rPr>
        <w:t>gazettal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0B0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46C6F" w:rsidRDefault="00046C6F" w:rsidP="00046C6F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E31DCB" w:rsidRDefault="00046C6F" w:rsidP="00046C6F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0BBD">
        <w:rPr>
          <w:rFonts w:ascii="Times New Roman" w:hAnsi="Times New Roman" w:cs="Times New Roman"/>
          <w:sz w:val="24"/>
          <w:szCs w:val="24"/>
          <w:lang w:val="en-US"/>
        </w:rPr>
        <w:t xml:space="preserve">the date it </w:t>
      </w:r>
      <w:r w:rsidR="00E31DCB" w:rsidRPr="00497825">
        <w:rPr>
          <w:rFonts w:ascii="Times New Roman" w:hAnsi="Times New Roman" w:cs="Times New Roman"/>
          <w:sz w:val="24"/>
          <w:szCs w:val="24"/>
          <w:lang w:val="en-US"/>
        </w:rPr>
        <w:t xml:space="preserve">is registered under the </w:t>
      </w:r>
      <w:r w:rsidR="00E31DCB" w:rsidRPr="00497825">
        <w:rPr>
          <w:rFonts w:ascii="Times New Roman" w:hAnsi="Times New Roman" w:cs="Times New Roman"/>
          <w:i/>
          <w:sz w:val="24"/>
          <w:szCs w:val="24"/>
          <w:lang w:val="en-US"/>
        </w:rPr>
        <w:t>Legislative Instruments Act 2003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46C6F" w:rsidRDefault="00046C6F" w:rsidP="00046C6F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46C6F" w:rsidRDefault="00046C6F" w:rsidP="00046C6F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(iii)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the day after the commencement date of ASIC Class Order [CO 14/827].</w:t>
      </w:r>
    </w:p>
    <w:p w:rsidR="00C60CE4" w:rsidRPr="00D30A2C" w:rsidRDefault="00C60CE4" w:rsidP="00C60CE4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497825" w:rsidRDefault="00497825" w:rsidP="00C60CE4">
      <w:pPr>
        <w:spacing w:after="0" w:line="240" w:lineRule="auto"/>
        <w:ind w:left="1134" w:right="144" w:hanging="567"/>
        <w:rPr>
          <w:rFonts w:ascii="Times New Roman" w:hAnsi="Times New Roman"/>
          <w:sz w:val="18"/>
          <w:szCs w:val="18"/>
          <w:lang w:val="en-US"/>
        </w:rPr>
      </w:pPr>
      <w:r w:rsidRPr="00032365">
        <w:rPr>
          <w:rFonts w:ascii="Times New Roman" w:hAnsi="Times New Roman"/>
          <w:sz w:val="18"/>
          <w:szCs w:val="18"/>
          <w:lang w:val="en-US"/>
        </w:rPr>
        <w:t>Note:</w:t>
      </w:r>
      <w:r w:rsidRPr="00032365">
        <w:rPr>
          <w:rFonts w:ascii="Times New Roman" w:hAnsi="Times New Roman"/>
          <w:sz w:val="18"/>
          <w:szCs w:val="18"/>
          <w:lang w:val="en-US"/>
        </w:rPr>
        <w:tab/>
        <w:t xml:space="preserve">An instrument is registered when it is recorded on the Federal Register of Legislative Instruments </w:t>
      </w:r>
      <w:r w:rsidRPr="00032365">
        <w:rPr>
          <w:rFonts w:ascii="Times New Roman" w:hAnsi="Times New Roman"/>
          <w:i/>
          <w:sz w:val="18"/>
          <w:szCs w:val="18"/>
          <w:lang w:val="en-US"/>
        </w:rPr>
        <w:t>(</w:t>
      </w:r>
      <w:r w:rsidRPr="00032365">
        <w:rPr>
          <w:rFonts w:ascii="Times New Roman" w:hAnsi="Times New Roman"/>
          <w:b/>
          <w:bCs/>
          <w:i/>
          <w:sz w:val="18"/>
          <w:szCs w:val="18"/>
          <w:lang w:val="en-US"/>
        </w:rPr>
        <w:t>FRLI</w:t>
      </w:r>
      <w:r w:rsidRPr="00032365">
        <w:rPr>
          <w:rFonts w:ascii="Times New Roman" w:hAnsi="Times New Roman"/>
          <w:i/>
          <w:sz w:val="18"/>
          <w:szCs w:val="18"/>
          <w:lang w:val="en-US"/>
        </w:rPr>
        <w:t xml:space="preserve">) </w:t>
      </w:r>
      <w:r w:rsidRPr="00032365">
        <w:rPr>
          <w:rFonts w:ascii="Times New Roman" w:hAnsi="Times New Roman"/>
          <w:sz w:val="18"/>
          <w:szCs w:val="18"/>
          <w:lang w:val="en-US"/>
        </w:rPr>
        <w:t xml:space="preserve">in electronic form: see </w:t>
      </w:r>
      <w:r w:rsidRPr="00032365">
        <w:rPr>
          <w:rFonts w:ascii="Times New Roman" w:hAnsi="Times New Roman"/>
          <w:i/>
          <w:spacing w:val="4"/>
          <w:sz w:val="18"/>
          <w:szCs w:val="18"/>
          <w:lang w:val="en-US"/>
        </w:rPr>
        <w:t xml:space="preserve">Legislative Instruments Act </w:t>
      </w:r>
      <w:r w:rsidRPr="00032365">
        <w:rPr>
          <w:rFonts w:ascii="Times New Roman" w:hAnsi="Times New Roman"/>
          <w:i/>
          <w:iCs/>
          <w:sz w:val="18"/>
          <w:szCs w:val="18"/>
          <w:lang w:val="en-US"/>
        </w:rPr>
        <w:t>2003</w:t>
      </w:r>
      <w:r w:rsidRPr="00032365">
        <w:rPr>
          <w:rFonts w:ascii="Times New Roman" w:hAnsi="Times New Roman"/>
          <w:sz w:val="18"/>
          <w:szCs w:val="18"/>
          <w:lang w:val="en-US"/>
        </w:rPr>
        <w:t xml:space="preserve">, section 4 (definition of </w:t>
      </w:r>
      <w:r w:rsidRPr="00032365">
        <w:rPr>
          <w:rFonts w:ascii="Times New Roman" w:hAnsi="Times New Roman"/>
          <w:b/>
          <w:bCs/>
          <w:i/>
          <w:iCs/>
          <w:sz w:val="18"/>
          <w:szCs w:val="18"/>
          <w:lang w:val="en-US"/>
        </w:rPr>
        <w:t>register</w:t>
      </w:r>
      <w:r w:rsidRPr="00032365">
        <w:rPr>
          <w:rFonts w:ascii="Times New Roman" w:hAnsi="Times New Roman"/>
          <w:sz w:val="18"/>
          <w:szCs w:val="18"/>
          <w:lang w:val="en-US"/>
        </w:rPr>
        <w:t xml:space="preserve">).  The FRLI may be accessed at </w:t>
      </w:r>
      <w:hyperlink r:id="rId8" w:history="1">
        <w:r w:rsidRPr="00032365">
          <w:rPr>
            <w:rFonts w:ascii="Times New Roman" w:hAnsi="Times New Roman"/>
            <w:color w:val="0000FF"/>
            <w:sz w:val="18"/>
            <w:szCs w:val="18"/>
            <w:u w:val="single"/>
          </w:rPr>
          <w:t>http://www.frli.gov.au/</w:t>
        </w:r>
      </w:hyperlink>
      <w:r w:rsidRPr="00032365">
        <w:rPr>
          <w:rFonts w:ascii="Times New Roman" w:hAnsi="Times New Roman"/>
          <w:sz w:val="18"/>
          <w:szCs w:val="18"/>
          <w:lang w:val="en-US"/>
        </w:rPr>
        <w:t>.</w:t>
      </w:r>
    </w:p>
    <w:p w:rsidR="00580294" w:rsidRDefault="00580294" w:rsidP="00C60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3B8C" w:rsidRDefault="00FE188A" w:rsidP="006B3B8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Amendment</w:t>
      </w:r>
    </w:p>
    <w:p w:rsidR="00FE188A" w:rsidRPr="006B3B8C" w:rsidRDefault="00FE188A" w:rsidP="006B3B8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31DCB" w:rsidRPr="00E31DCB" w:rsidRDefault="00E31DCB" w:rsidP="00C60CE4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1DCB">
        <w:rPr>
          <w:rFonts w:ascii="Times New Roman" w:hAnsi="Times New Roman" w:cs="Times New Roman"/>
          <w:i/>
          <w:sz w:val="24"/>
          <w:szCs w:val="24"/>
          <w:lang w:val="en-US"/>
        </w:rPr>
        <w:t>ASIC C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31DCB">
        <w:rPr>
          <w:rFonts w:ascii="Times New Roman" w:hAnsi="Times New Roman" w:cs="Times New Roman"/>
          <w:i/>
          <w:sz w:val="24"/>
          <w:szCs w:val="24"/>
          <w:lang w:val="en-US"/>
        </w:rPr>
        <w:t>ass Order [CO 02/312]</w:t>
      </w:r>
    </w:p>
    <w:p w:rsidR="00E31DCB" w:rsidRDefault="00E31DCB" w:rsidP="00C60CE4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D84094" w:rsidRPr="00171682" w:rsidRDefault="008431C4" w:rsidP="00C60CE4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168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6667B" w:rsidRPr="001716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6667B" w:rsidRPr="001716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4094" w:rsidRPr="00171682">
        <w:rPr>
          <w:rFonts w:ascii="Times New Roman" w:hAnsi="Times New Roman" w:cs="Times New Roman"/>
          <w:sz w:val="24"/>
          <w:szCs w:val="24"/>
          <w:lang w:val="en-US"/>
        </w:rPr>
        <w:t>ASIC Class Order [</w:t>
      </w:r>
      <w:r w:rsidR="00D95F06" w:rsidRPr="00171682">
        <w:rPr>
          <w:rFonts w:ascii="Times New Roman" w:hAnsi="Times New Roman" w:cs="Times New Roman"/>
          <w:sz w:val="24"/>
          <w:szCs w:val="24"/>
          <w:lang w:val="en-US"/>
        </w:rPr>
        <w:t xml:space="preserve">CO </w:t>
      </w:r>
      <w:r w:rsidR="005C7082" w:rsidRPr="00171682">
        <w:rPr>
          <w:rFonts w:ascii="Times New Roman" w:hAnsi="Times New Roman" w:cs="Times New Roman"/>
          <w:sz w:val="24"/>
          <w:szCs w:val="24"/>
          <w:lang w:val="en-US"/>
        </w:rPr>
        <w:t>02/312</w:t>
      </w:r>
      <w:r w:rsidR="00D84094" w:rsidRPr="0017168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5A6568" w:rsidRPr="0017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3B8C" w:rsidRPr="00171682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FE188A">
        <w:rPr>
          <w:rFonts w:ascii="Times New Roman" w:hAnsi="Times New Roman" w:cs="Times New Roman"/>
          <w:sz w:val="24"/>
          <w:szCs w:val="24"/>
          <w:lang w:val="en-US"/>
        </w:rPr>
        <w:t>amended</w:t>
      </w:r>
      <w:r w:rsidR="006B3B8C" w:rsidRPr="00171682">
        <w:rPr>
          <w:rFonts w:ascii="Times New Roman" w:hAnsi="Times New Roman" w:cs="Times New Roman"/>
          <w:sz w:val="24"/>
          <w:szCs w:val="24"/>
          <w:lang w:val="en-US"/>
        </w:rPr>
        <w:t xml:space="preserve"> as follows:</w:t>
      </w:r>
    </w:p>
    <w:p w:rsidR="006B3B8C" w:rsidRPr="00171682" w:rsidRDefault="006B3B8C" w:rsidP="00C60CE4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168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D5771" w:rsidRDefault="00ED5771" w:rsidP="00ED5771">
      <w:pPr>
        <w:spacing w:after="0" w:line="240" w:lineRule="auto"/>
        <w:ind w:left="1134" w:hanging="56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(a)</w:t>
      </w:r>
      <w:r>
        <w:rPr>
          <w:rFonts w:ascii="Times New Roman" w:hAnsi="Times New Roman" w:cs="Times New Roman"/>
          <w:bCs/>
          <w:sz w:val="24"/>
          <w:szCs w:val="24"/>
        </w:rPr>
        <w:tab/>
        <w:t>omit “effected through ASTC”, substitute “effected through ASX Settlement”;</w:t>
      </w:r>
    </w:p>
    <w:p w:rsidR="00ED5771" w:rsidRDefault="00ED5771" w:rsidP="00ED5771">
      <w:pPr>
        <w:spacing w:after="0" w:line="240" w:lineRule="auto"/>
        <w:ind w:left="1134" w:hanging="564"/>
        <w:rPr>
          <w:rFonts w:ascii="Times New Roman" w:hAnsi="Times New Roman" w:cs="Times New Roman"/>
          <w:bCs/>
          <w:sz w:val="24"/>
          <w:szCs w:val="24"/>
        </w:rPr>
      </w:pPr>
    </w:p>
    <w:p w:rsidR="00ED5771" w:rsidRDefault="00ED5771" w:rsidP="00ED5771">
      <w:pPr>
        <w:spacing w:after="0" w:line="240" w:lineRule="auto"/>
        <w:ind w:left="1134" w:hanging="56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(b)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570D3" w:rsidRPr="004816BA">
        <w:rPr>
          <w:rFonts w:ascii="Times New Roman" w:hAnsi="Times New Roman" w:cs="Times New Roman"/>
          <w:bCs/>
          <w:sz w:val="24"/>
          <w:szCs w:val="24"/>
        </w:rPr>
        <w:t xml:space="preserve">in </w:t>
      </w:r>
      <w:r>
        <w:rPr>
          <w:rFonts w:ascii="Times New Roman" w:hAnsi="Times New Roman" w:cs="Times New Roman"/>
          <w:bCs/>
          <w:sz w:val="24"/>
          <w:szCs w:val="24"/>
        </w:rPr>
        <w:t>Schedule A, omit paragraph 4, substitute:</w:t>
      </w:r>
    </w:p>
    <w:p w:rsidR="00ED5771" w:rsidRDefault="00ED5771" w:rsidP="00ED5771">
      <w:pPr>
        <w:spacing w:after="0" w:line="240" w:lineRule="auto"/>
        <w:ind w:left="1134" w:hanging="564"/>
        <w:rPr>
          <w:rFonts w:ascii="Times New Roman" w:hAnsi="Times New Roman" w:cs="Times New Roman"/>
          <w:bCs/>
          <w:sz w:val="24"/>
          <w:szCs w:val="24"/>
        </w:rPr>
      </w:pPr>
    </w:p>
    <w:p w:rsidR="008E24F6" w:rsidRPr="00BC4C67" w:rsidRDefault="00ED5771" w:rsidP="00F10463">
      <w:pPr>
        <w:spacing w:after="0" w:line="240" w:lineRule="auto"/>
        <w:ind w:left="1701" w:hanging="567"/>
        <w:rPr>
          <w:rFonts w:ascii="Times New Roman" w:hAnsi="Times New Roman" w:cs="Times New Roman"/>
          <w:bCs/>
          <w:sz w:val="24"/>
          <w:szCs w:val="24"/>
        </w:rPr>
      </w:pPr>
      <w:r w:rsidRPr="00BC4C67">
        <w:rPr>
          <w:rFonts w:ascii="Times New Roman" w:hAnsi="Times New Roman" w:cs="Times New Roman"/>
          <w:bCs/>
          <w:sz w:val="24"/>
          <w:szCs w:val="24"/>
        </w:rPr>
        <w:t>“4.</w:t>
      </w:r>
      <w:r w:rsidRPr="00BC4C67">
        <w:rPr>
          <w:rFonts w:ascii="Times New Roman" w:hAnsi="Times New Roman" w:cs="Times New Roman"/>
          <w:bCs/>
          <w:sz w:val="24"/>
          <w:szCs w:val="24"/>
        </w:rPr>
        <w:tab/>
      </w:r>
      <w:r w:rsidR="00580294" w:rsidRPr="00BC4C67">
        <w:rPr>
          <w:rFonts w:ascii="Times New Roman" w:hAnsi="Times New Roman" w:cs="Times New Roman"/>
          <w:bCs/>
          <w:sz w:val="24"/>
          <w:szCs w:val="24"/>
        </w:rPr>
        <w:t>D</w:t>
      </w:r>
      <w:r w:rsidR="008E24F6" w:rsidRPr="00BC4C67">
        <w:rPr>
          <w:rFonts w:ascii="Times New Roman" w:hAnsi="Times New Roman" w:cs="Times New Roman"/>
          <w:bCs/>
          <w:sz w:val="24"/>
          <w:szCs w:val="24"/>
        </w:rPr>
        <w:t>epo</w:t>
      </w:r>
      <w:r w:rsidR="00580294" w:rsidRPr="00BC4C67">
        <w:rPr>
          <w:rFonts w:ascii="Times New Roman" w:hAnsi="Times New Roman" w:cs="Times New Roman"/>
          <w:bCs/>
          <w:sz w:val="24"/>
          <w:szCs w:val="24"/>
        </w:rPr>
        <w:t>sitory interests</w:t>
      </w:r>
      <w:r w:rsidR="00A96955" w:rsidRPr="00BC4C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in relation to financial products held by CHESS Depositary Nominees Pty Limited in accordance with the operating rules of ASX Settlement</w:t>
      </w:r>
      <w:r w:rsidR="008E24F6" w:rsidRPr="00BC4C67">
        <w:rPr>
          <w:rFonts w:ascii="Times New Roman" w:hAnsi="Times New Roman" w:cs="Times New Roman"/>
          <w:bCs/>
          <w:sz w:val="24"/>
          <w:szCs w:val="24"/>
        </w:rPr>
        <w:t>.”</w:t>
      </w:r>
      <w:r w:rsidR="00580294" w:rsidRPr="00BC4C67">
        <w:rPr>
          <w:rFonts w:ascii="Times New Roman" w:hAnsi="Times New Roman" w:cs="Times New Roman"/>
          <w:bCs/>
          <w:sz w:val="24"/>
          <w:szCs w:val="24"/>
        </w:rPr>
        <w:t>;</w:t>
      </w:r>
    </w:p>
    <w:p w:rsidR="008E24F6" w:rsidRPr="00BC4C67" w:rsidRDefault="008E24F6" w:rsidP="00F10463">
      <w:pPr>
        <w:spacing w:after="0" w:line="240" w:lineRule="auto"/>
        <w:ind w:left="1701" w:hanging="567"/>
        <w:rPr>
          <w:rFonts w:ascii="Times New Roman" w:hAnsi="Times New Roman" w:cs="Times New Roman"/>
          <w:bCs/>
          <w:sz w:val="24"/>
          <w:szCs w:val="24"/>
        </w:rPr>
      </w:pPr>
    </w:p>
    <w:p w:rsidR="00600D5E" w:rsidRDefault="00600D5E" w:rsidP="00ED5771">
      <w:pPr>
        <w:spacing w:after="0" w:line="240" w:lineRule="auto"/>
        <w:ind w:left="1134" w:hanging="56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(c)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in </w:t>
      </w:r>
      <w:r w:rsidRPr="00F10463">
        <w:rPr>
          <w:rFonts w:ascii="Times New Roman" w:hAnsi="Times New Roman" w:cs="Times New Roman"/>
          <w:b/>
          <w:bCs/>
          <w:sz w:val="24"/>
          <w:szCs w:val="24"/>
        </w:rPr>
        <w:t>Interpretation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600D5E" w:rsidRDefault="00600D5E" w:rsidP="00ED5771">
      <w:pPr>
        <w:spacing w:after="0" w:line="240" w:lineRule="auto"/>
        <w:ind w:left="1134" w:hanging="564"/>
        <w:rPr>
          <w:rFonts w:ascii="Times New Roman" w:hAnsi="Times New Roman" w:cs="Times New Roman"/>
          <w:bCs/>
          <w:sz w:val="24"/>
          <w:szCs w:val="24"/>
        </w:rPr>
      </w:pPr>
    </w:p>
    <w:p w:rsidR="00600D5E" w:rsidRDefault="00600D5E" w:rsidP="00F10463">
      <w:pPr>
        <w:spacing w:after="0" w:line="240" w:lineRule="auto"/>
        <w:ind w:left="1701" w:hanging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(i)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omit the respective definitions of </w:t>
      </w:r>
      <w:r w:rsidRPr="00F10463">
        <w:rPr>
          <w:rFonts w:ascii="Times New Roman" w:hAnsi="Times New Roman" w:cs="Times New Roman"/>
          <w:b/>
          <w:bCs/>
          <w:i/>
          <w:sz w:val="24"/>
          <w:szCs w:val="24"/>
        </w:rPr>
        <w:t>ASTC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F10463">
        <w:rPr>
          <w:rFonts w:ascii="Times New Roman" w:hAnsi="Times New Roman" w:cs="Times New Roman"/>
          <w:b/>
          <w:bCs/>
          <w:i/>
          <w:sz w:val="24"/>
          <w:szCs w:val="24"/>
        </w:rPr>
        <w:t>CHESS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00D5E" w:rsidRDefault="00600D5E" w:rsidP="00F10463">
      <w:pPr>
        <w:spacing w:after="0" w:line="240" w:lineRule="auto"/>
        <w:ind w:left="1701" w:hanging="567"/>
        <w:rPr>
          <w:rFonts w:ascii="Times New Roman" w:hAnsi="Times New Roman" w:cs="Times New Roman"/>
          <w:bCs/>
          <w:sz w:val="24"/>
          <w:szCs w:val="24"/>
        </w:rPr>
      </w:pPr>
    </w:p>
    <w:p w:rsidR="00600D5E" w:rsidRDefault="00600D5E" w:rsidP="00F10463">
      <w:pPr>
        <w:spacing w:after="0" w:line="240" w:lineRule="auto"/>
        <w:ind w:left="1701" w:hanging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(ii)</w:t>
      </w:r>
      <w:r>
        <w:rPr>
          <w:rFonts w:ascii="Times New Roman" w:hAnsi="Times New Roman" w:cs="Times New Roman"/>
          <w:bCs/>
          <w:sz w:val="24"/>
          <w:szCs w:val="24"/>
        </w:rPr>
        <w:tab/>
        <w:t>insert the following definition</w:t>
      </w:r>
      <w:r w:rsidR="00580294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in alphabetical order:</w:t>
      </w:r>
    </w:p>
    <w:p w:rsidR="00600D5E" w:rsidRDefault="00600D5E" w:rsidP="00F10463">
      <w:pPr>
        <w:spacing w:after="0" w:line="240" w:lineRule="auto"/>
        <w:ind w:left="1701" w:hanging="567"/>
        <w:rPr>
          <w:rFonts w:ascii="Times New Roman" w:hAnsi="Times New Roman" w:cs="Times New Roman"/>
          <w:bCs/>
          <w:sz w:val="24"/>
          <w:szCs w:val="24"/>
        </w:rPr>
      </w:pPr>
    </w:p>
    <w:p w:rsidR="007D5125" w:rsidRDefault="007D5125" w:rsidP="00F10463">
      <w:pPr>
        <w:spacing w:after="0" w:line="240" w:lineRule="auto"/>
        <w:ind w:left="170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F10463">
        <w:rPr>
          <w:rFonts w:ascii="Times New Roman" w:hAnsi="Times New Roman" w:cs="Times New Roman"/>
          <w:b/>
          <w:bCs/>
          <w:i/>
          <w:sz w:val="24"/>
          <w:szCs w:val="24"/>
        </w:rPr>
        <w:t>ASX Settlement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means ASX Settlement Pty Limited;</w:t>
      </w:r>
    </w:p>
    <w:p w:rsidR="008E24F6" w:rsidRPr="00BC4C67" w:rsidRDefault="008E24F6" w:rsidP="00F10463">
      <w:pPr>
        <w:spacing w:after="0" w:line="240" w:lineRule="auto"/>
        <w:ind w:left="1701"/>
        <w:rPr>
          <w:rFonts w:ascii="Times New Roman" w:hAnsi="Times New Roman" w:cs="Times New Roman"/>
          <w:bCs/>
          <w:sz w:val="24"/>
          <w:szCs w:val="24"/>
        </w:rPr>
      </w:pPr>
    </w:p>
    <w:p w:rsidR="008E24F6" w:rsidRPr="00BC4C67" w:rsidRDefault="008E24F6" w:rsidP="00F10463">
      <w:pPr>
        <w:spacing w:after="0" w:line="240" w:lineRule="auto"/>
        <w:ind w:left="1701"/>
        <w:rPr>
          <w:rFonts w:ascii="Times New Roman" w:hAnsi="Times New Roman" w:cs="Times New Roman"/>
          <w:bCs/>
          <w:sz w:val="24"/>
          <w:szCs w:val="24"/>
        </w:rPr>
      </w:pPr>
      <w:r w:rsidRPr="00BC4C67">
        <w:rPr>
          <w:rFonts w:ascii="Times New Roman" w:hAnsi="Times New Roman" w:cs="Times New Roman"/>
          <w:b/>
          <w:bCs/>
          <w:i/>
          <w:sz w:val="24"/>
          <w:szCs w:val="24"/>
        </w:rPr>
        <w:t>depositary interests</w:t>
      </w:r>
      <w:r w:rsidR="00F10463" w:rsidRPr="00BC4C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4C67">
        <w:rPr>
          <w:rFonts w:ascii="Times New Roman" w:hAnsi="Times New Roman" w:cs="Times New Roman"/>
          <w:bCs/>
          <w:sz w:val="24"/>
          <w:szCs w:val="24"/>
        </w:rPr>
        <w:t>means units of beneficial ownership in financial</w:t>
      </w:r>
      <w:r w:rsidR="00A96955" w:rsidRPr="00BC4C67">
        <w:rPr>
          <w:rFonts w:ascii="Times New Roman" w:hAnsi="Times New Roman" w:cs="Times New Roman"/>
          <w:bCs/>
          <w:sz w:val="24"/>
          <w:szCs w:val="24"/>
        </w:rPr>
        <w:t> </w:t>
      </w:r>
      <w:r w:rsidRPr="00BC4C67">
        <w:rPr>
          <w:rFonts w:ascii="Times New Roman" w:hAnsi="Times New Roman" w:cs="Times New Roman"/>
          <w:bCs/>
          <w:sz w:val="24"/>
          <w:szCs w:val="24"/>
        </w:rPr>
        <w:t xml:space="preserve">products </w:t>
      </w:r>
      <w:r w:rsidR="00A96955" w:rsidRPr="00BC4C67">
        <w:rPr>
          <w:rFonts w:ascii="Times New Roman" w:hAnsi="Times New Roman" w:cs="Times New Roman"/>
          <w:bCs/>
          <w:sz w:val="24"/>
          <w:szCs w:val="24"/>
        </w:rPr>
        <w:t xml:space="preserve">of the following kind </w:t>
      </w:r>
      <w:r w:rsidRPr="00BC4C67">
        <w:rPr>
          <w:rFonts w:ascii="Times New Roman" w:hAnsi="Times New Roman" w:cs="Times New Roman"/>
          <w:bCs/>
          <w:sz w:val="24"/>
          <w:szCs w:val="24"/>
        </w:rPr>
        <w:t>that are issued for the purpose of enabling the financial</w:t>
      </w:r>
      <w:r w:rsidR="00A96955" w:rsidRPr="00BC4C67">
        <w:rPr>
          <w:rFonts w:ascii="Times New Roman" w:hAnsi="Times New Roman" w:cs="Times New Roman"/>
          <w:bCs/>
          <w:sz w:val="24"/>
          <w:szCs w:val="24"/>
        </w:rPr>
        <w:t> </w:t>
      </w:r>
      <w:r w:rsidRPr="00BC4C67">
        <w:rPr>
          <w:rFonts w:ascii="Times New Roman" w:hAnsi="Times New Roman" w:cs="Times New Roman"/>
          <w:bCs/>
          <w:sz w:val="24"/>
          <w:szCs w:val="24"/>
        </w:rPr>
        <w:t>products to be recorded and transferred in accordance with the operating</w:t>
      </w:r>
      <w:r w:rsidR="00A96955" w:rsidRPr="00BC4C67">
        <w:rPr>
          <w:rFonts w:ascii="Times New Roman" w:hAnsi="Times New Roman" w:cs="Times New Roman"/>
          <w:bCs/>
          <w:sz w:val="24"/>
          <w:szCs w:val="24"/>
        </w:rPr>
        <w:t> </w:t>
      </w:r>
      <w:r w:rsidRPr="00BC4C67">
        <w:rPr>
          <w:rFonts w:ascii="Times New Roman" w:hAnsi="Times New Roman" w:cs="Times New Roman"/>
          <w:bCs/>
          <w:sz w:val="24"/>
          <w:szCs w:val="24"/>
        </w:rPr>
        <w:t>rules</w:t>
      </w:r>
      <w:r w:rsidR="00A96955" w:rsidRPr="00BC4C67">
        <w:rPr>
          <w:rFonts w:ascii="Times New Roman" w:hAnsi="Times New Roman" w:cs="Times New Roman"/>
          <w:bCs/>
          <w:sz w:val="24"/>
          <w:szCs w:val="24"/>
        </w:rPr>
        <w:t xml:space="preserve"> of ASX Settlement</w:t>
      </w:r>
      <w:r w:rsidRPr="00BC4C67">
        <w:rPr>
          <w:rFonts w:ascii="Times New Roman" w:hAnsi="Times New Roman" w:cs="Times New Roman"/>
          <w:bCs/>
          <w:sz w:val="24"/>
          <w:szCs w:val="24"/>
        </w:rPr>
        <w:t>:</w:t>
      </w:r>
    </w:p>
    <w:p w:rsidR="008E24F6" w:rsidRPr="00BC4C67" w:rsidRDefault="008E24F6" w:rsidP="008E24F6">
      <w:pPr>
        <w:spacing w:after="0" w:line="240" w:lineRule="auto"/>
        <w:ind w:left="1701" w:hanging="567"/>
        <w:rPr>
          <w:rFonts w:ascii="Times New Roman" w:hAnsi="Times New Roman" w:cs="Times New Roman"/>
          <w:bCs/>
          <w:sz w:val="24"/>
          <w:szCs w:val="24"/>
        </w:rPr>
      </w:pPr>
    </w:p>
    <w:p w:rsidR="008E24F6" w:rsidRPr="00BC4C67" w:rsidRDefault="008E24F6" w:rsidP="008E24F6">
      <w:pPr>
        <w:spacing w:after="0" w:line="240" w:lineRule="auto"/>
        <w:ind w:left="2268" w:hanging="567"/>
        <w:rPr>
          <w:rFonts w:ascii="Times New Roman" w:hAnsi="Times New Roman" w:cs="Times New Roman"/>
          <w:bCs/>
          <w:sz w:val="24"/>
          <w:szCs w:val="24"/>
        </w:rPr>
      </w:pPr>
      <w:r w:rsidRPr="00BC4C67">
        <w:rPr>
          <w:rFonts w:ascii="Times New Roman" w:hAnsi="Times New Roman" w:cs="Times New Roman"/>
          <w:bCs/>
          <w:sz w:val="24"/>
          <w:szCs w:val="24"/>
        </w:rPr>
        <w:t>(a)</w:t>
      </w:r>
      <w:r w:rsidRPr="00BC4C67">
        <w:rPr>
          <w:rFonts w:ascii="Times New Roman" w:hAnsi="Times New Roman" w:cs="Times New Roman"/>
          <w:bCs/>
          <w:sz w:val="24"/>
          <w:szCs w:val="24"/>
        </w:rPr>
        <w:tab/>
        <w:t>securities issued by a foreign company; or</w:t>
      </w:r>
    </w:p>
    <w:p w:rsidR="008E24F6" w:rsidRPr="00BC4C67" w:rsidRDefault="008E24F6" w:rsidP="008E24F6">
      <w:pPr>
        <w:spacing w:after="0" w:line="240" w:lineRule="auto"/>
        <w:ind w:left="2268" w:hanging="567"/>
        <w:rPr>
          <w:rFonts w:ascii="Times New Roman" w:hAnsi="Times New Roman" w:cs="Times New Roman"/>
          <w:bCs/>
          <w:sz w:val="24"/>
          <w:szCs w:val="24"/>
        </w:rPr>
      </w:pPr>
    </w:p>
    <w:p w:rsidR="008E24F6" w:rsidRPr="00BC4C67" w:rsidRDefault="008E24F6" w:rsidP="008E24F6">
      <w:pPr>
        <w:spacing w:after="0" w:line="240" w:lineRule="auto"/>
        <w:ind w:left="2268" w:hanging="567"/>
        <w:rPr>
          <w:rFonts w:ascii="Times New Roman" w:hAnsi="Times New Roman" w:cs="Times New Roman"/>
          <w:bCs/>
          <w:sz w:val="24"/>
          <w:szCs w:val="24"/>
        </w:rPr>
      </w:pPr>
      <w:r w:rsidRPr="00BC4C67">
        <w:rPr>
          <w:rFonts w:ascii="Times New Roman" w:hAnsi="Times New Roman" w:cs="Times New Roman"/>
          <w:bCs/>
          <w:sz w:val="24"/>
          <w:szCs w:val="24"/>
        </w:rPr>
        <w:t>(b)</w:t>
      </w:r>
      <w:r w:rsidRPr="00BC4C67">
        <w:rPr>
          <w:rFonts w:ascii="Times New Roman" w:hAnsi="Times New Roman" w:cs="Times New Roman"/>
          <w:bCs/>
          <w:sz w:val="24"/>
          <w:szCs w:val="24"/>
        </w:rPr>
        <w:tab/>
        <w:t>foreign scheme products.”</w:t>
      </w:r>
      <w:r w:rsidR="00CC206F">
        <w:rPr>
          <w:rFonts w:ascii="Times New Roman" w:hAnsi="Times New Roman" w:cs="Times New Roman"/>
          <w:bCs/>
          <w:sz w:val="24"/>
          <w:szCs w:val="24"/>
        </w:rPr>
        <w:t>.</w:t>
      </w:r>
    </w:p>
    <w:p w:rsidR="00600D5E" w:rsidRDefault="00600D5E" w:rsidP="00F10463">
      <w:pPr>
        <w:spacing w:after="0" w:line="240" w:lineRule="auto"/>
        <w:ind w:left="1701" w:hanging="567"/>
        <w:rPr>
          <w:rFonts w:ascii="Times New Roman" w:hAnsi="Times New Roman" w:cs="Times New Roman"/>
          <w:bCs/>
          <w:sz w:val="24"/>
          <w:szCs w:val="24"/>
        </w:rPr>
      </w:pPr>
    </w:p>
    <w:p w:rsidR="00E31DCB" w:rsidRPr="00E31DCB" w:rsidRDefault="00E31DCB" w:rsidP="00E31DCB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1DCB">
        <w:rPr>
          <w:rFonts w:ascii="Times New Roman" w:hAnsi="Times New Roman" w:cs="Times New Roman"/>
          <w:i/>
          <w:sz w:val="24"/>
          <w:szCs w:val="24"/>
          <w:lang w:val="en-US"/>
        </w:rPr>
        <w:t>ASIC C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31D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ass Order [CO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14</w:t>
      </w:r>
      <w:r w:rsidRPr="00E31DCB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827</w:t>
      </w:r>
      <w:r w:rsidRPr="00E31DCB"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</w:p>
    <w:p w:rsidR="00E31DCB" w:rsidRDefault="00E31DCB" w:rsidP="00E31DCB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0B0BBD" w:rsidRDefault="000B0BBD" w:rsidP="000B0BBD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31DCB" w:rsidRPr="001716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31DCB" w:rsidRPr="00171682">
        <w:rPr>
          <w:rFonts w:ascii="Times New Roman" w:hAnsi="Times New Roman" w:cs="Times New Roman"/>
          <w:sz w:val="24"/>
          <w:szCs w:val="24"/>
          <w:lang w:val="en-US"/>
        </w:rPr>
        <w:tab/>
        <w:t xml:space="preserve">ASIC Class Order [CO </w:t>
      </w:r>
      <w:r w:rsidR="00E31DCB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E31DCB" w:rsidRPr="0017168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31DCB">
        <w:rPr>
          <w:rFonts w:ascii="Times New Roman" w:hAnsi="Times New Roman" w:cs="Times New Roman"/>
          <w:sz w:val="24"/>
          <w:szCs w:val="24"/>
          <w:lang w:val="en-US"/>
        </w:rPr>
        <w:t>827</w:t>
      </w:r>
      <w:r w:rsidR="00E31DCB" w:rsidRPr="00171682">
        <w:rPr>
          <w:rFonts w:ascii="Times New Roman" w:hAnsi="Times New Roman" w:cs="Times New Roman"/>
          <w:sz w:val="24"/>
          <w:szCs w:val="24"/>
          <w:lang w:val="en-US"/>
        </w:rPr>
        <w:t xml:space="preserve">] is </w:t>
      </w:r>
      <w:r w:rsidR="00E31DCB">
        <w:rPr>
          <w:rFonts w:ascii="Times New Roman" w:hAnsi="Times New Roman" w:cs="Times New Roman"/>
          <w:sz w:val="24"/>
          <w:szCs w:val="24"/>
          <w:lang w:val="en-US"/>
        </w:rPr>
        <w:t>amended</w:t>
      </w:r>
      <w:r w:rsidR="00E31DCB" w:rsidRPr="0017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renumbering paragraphs 4 (second occurring), 5 </w:t>
      </w:r>
      <w:r>
        <w:rPr>
          <w:rFonts w:ascii="Times New Roman" w:hAnsi="Times New Roman" w:cs="Times New Roman"/>
          <w:sz w:val="24"/>
          <w:szCs w:val="24"/>
          <w:lang w:val="en-US"/>
        </w:rPr>
        <w:t>(second occurring)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6 </w:t>
      </w:r>
      <w:r>
        <w:rPr>
          <w:rFonts w:ascii="Times New Roman" w:hAnsi="Times New Roman" w:cs="Times New Roman"/>
          <w:sz w:val="24"/>
          <w:szCs w:val="24"/>
          <w:lang w:val="en-US"/>
        </w:rPr>
        <w:t>(second occurring) as paragraph</w:t>
      </w:r>
      <w:r>
        <w:rPr>
          <w:rFonts w:ascii="Times New Roman" w:hAnsi="Times New Roman" w:cs="Times New Roman"/>
          <w:sz w:val="24"/>
          <w:szCs w:val="24"/>
          <w:lang w:val="en-US"/>
        </w:rPr>
        <w:t>s 5, 6 and 7 respectively.</w:t>
      </w:r>
    </w:p>
    <w:p w:rsidR="00580294" w:rsidRDefault="000B0BBD" w:rsidP="000B0BBD">
      <w:pPr>
        <w:spacing w:after="0" w:line="240" w:lineRule="auto"/>
        <w:ind w:left="1134" w:hanging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C4C67" w:rsidRDefault="00BC4C67" w:rsidP="00F10463">
      <w:pPr>
        <w:spacing w:after="0" w:line="240" w:lineRule="auto"/>
        <w:ind w:left="1701" w:hanging="567"/>
        <w:rPr>
          <w:rFonts w:ascii="Times New Roman" w:hAnsi="Times New Roman" w:cs="Times New Roman"/>
          <w:bCs/>
          <w:sz w:val="24"/>
          <w:szCs w:val="24"/>
        </w:rPr>
      </w:pPr>
    </w:p>
    <w:p w:rsidR="000B0BBD" w:rsidRDefault="000B0BBD" w:rsidP="00F10463">
      <w:pPr>
        <w:spacing w:after="0" w:line="240" w:lineRule="auto"/>
        <w:ind w:left="1701" w:hanging="567"/>
        <w:rPr>
          <w:rFonts w:ascii="Times New Roman" w:hAnsi="Times New Roman" w:cs="Times New Roman"/>
          <w:bCs/>
          <w:sz w:val="24"/>
          <w:szCs w:val="24"/>
        </w:rPr>
      </w:pPr>
    </w:p>
    <w:p w:rsidR="00F23BA6" w:rsidRDefault="00F23BA6" w:rsidP="00C60CE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Dated this</w:t>
      </w:r>
      <w:r w:rsidR="00BC4C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BB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B0BBD" w:rsidRPr="000B0BB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0B0BB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day of</w:t>
      </w:r>
      <w:r w:rsidR="00BC4C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BBD">
        <w:rPr>
          <w:rFonts w:ascii="Times New Roman" w:hAnsi="Times New Roman" w:cs="Times New Roman"/>
          <w:sz w:val="24"/>
          <w:szCs w:val="24"/>
          <w:lang w:val="en-US"/>
        </w:rPr>
        <w:t>October</w:t>
      </w:r>
      <w:r w:rsidR="00BC4C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45A0">
        <w:rPr>
          <w:rFonts w:ascii="Times New Roman" w:hAnsi="Times New Roman" w:cs="Times New Roman"/>
          <w:sz w:val="24"/>
          <w:szCs w:val="24"/>
          <w:lang w:val="en-US"/>
        </w:rPr>
        <w:t>2014</w:t>
      </w:r>
    </w:p>
    <w:p w:rsidR="006A4895" w:rsidRDefault="006A4895" w:rsidP="00C60CE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580294" w:rsidRDefault="00580294" w:rsidP="00C60CE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BC4C67" w:rsidRDefault="00BC4C67" w:rsidP="00C60CE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F23BA6" w:rsidRDefault="00F23BA6" w:rsidP="00C60CE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Signed by </w:t>
      </w:r>
      <w:r w:rsidR="0013676D">
        <w:rPr>
          <w:rFonts w:ascii="Times New Roman" w:hAnsi="Times New Roman" w:cs="Times New Roman"/>
          <w:sz w:val="24"/>
          <w:szCs w:val="24"/>
          <w:lang w:val="en-US"/>
        </w:rPr>
        <w:t>Grant Moodie</w:t>
      </w:r>
    </w:p>
    <w:p w:rsidR="00F23BA6" w:rsidRDefault="00F23BA6" w:rsidP="007074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a delegate of the Australian Securities and Investments Commission</w:t>
      </w:r>
    </w:p>
    <w:sectPr w:rsidR="00F23BA6" w:rsidSect="00580294">
      <w:headerReference w:type="default" r:id="rId9"/>
      <w:footerReference w:type="default" r:id="rId10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73" w:rsidRDefault="00132473" w:rsidP="00F23BA6">
      <w:pPr>
        <w:spacing w:after="0" w:line="240" w:lineRule="auto"/>
      </w:pPr>
      <w:r>
        <w:separator/>
      </w:r>
    </w:p>
  </w:endnote>
  <w:endnote w:type="continuationSeparator" w:id="0">
    <w:p w:rsidR="00132473" w:rsidRDefault="00132473" w:rsidP="00F2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423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0BBD" w:rsidRDefault="000B0B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C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0294" w:rsidRDefault="005802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73" w:rsidRDefault="00132473" w:rsidP="00F23BA6">
      <w:pPr>
        <w:spacing w:after="0" w:line="240" w:lineRule="auto"/>
      </w:pPr>
      <w:r>
        <w:separator/>
      </w:r>
    </w:p>
  </w:footnote>
  <w:footnote w:type="continuationSeparator" w:id="0">
    <w:p w:rsidR="00132473" w:rsidRDefault="00132473" w:rsidP="00F2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A6" w:rsidRPr="00F23BA6" w:rsidRDefault="00F23BA6" w:rsidP="00F23BA6">
    <w:pPr>
      <w:pStyle w:val="Header"/>
      <w:jc w:val="right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00FE"/>
    <w:multiLevelType w:val="hybridMultilevel"/>
    <w:tmpl w:val="DF4AC7C6"/>
    <w:lvl w:ilvl="0" w:tplc="F2682DBC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50" w:hanging="360"/>
      </w:pPr>
    </w:lvl>
    <w:lvl w:ilvl="2" w:tplc="0C09001B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3CA5BF9"/>
    <w:multiLevelType w:val="hybridMultilevel"/>
    <w:tmpl w:val="C8CE3D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17"/>
    <w:rsid w:val="000147FF"/>
    <w:rsid w:val="00031509"/>
    <w:rsid w:val="00032365"/>
    <w:rsid w:val="000406DC"/>
    <w:rsid w:val="00046C6F"/>
    <w:rsid w:val="000626CB"/>
    <w:rsid w:val="0008408D"/>
    <w:rsid w:val="000B0BBD"/>
    <w:rsid w:val="000C55D7"/>
    <w:rsid w:val="001214DF"/>
    <w:rsid w:val="00132473"/>
    <w:rsid w:val="0013676D"/>
    <w:rsid w:val="0014058A"/>
    <w:rsid w:val="001506E1"/>
    <w:rsid w:val="0015789D"/>
    <w:rsid w:val="00161B83"/>
    <w:rsid w:val="00167FAC"/>
    <w:rsid w:val="00171682"/>
    <w:rsid w:val="00196D66"/>
    <w:rsid w:val="001A69AE"/>
    <w:rsid w:val="001A730A"/>
    <w:rsid w:val="001B016D"/>
    <w:rsid w:val="001C4CC8"/>
    <w:rsid w:val="001E5874"/>
    <w:rsid w:val="001E7DE7"/>
    <w:rsid w:val="00210449"/>
    <w:rsid w:val="00221D05"/>
    <w:rsid w:val="0024213D"/>
    <w:rsid w:val="002476FC"/>
    <w:rsid w:val="002556C4"/>
    <w:rsid w:val="00295B8A"/>
    <w:rsid w:val="002A3DA6"/>
    <w:rsid w:val="002C4B0D"/>
    <w:rsid w:val="002C7EA0"/>
    <w:rsid w:val="002E216B"/>
    <w:rsid w:val="002F266C"/>
    <w:rsid w:val="002F29A9"/>
    <w:rsid w:val="0030194B"/>
    <w:rsid w:val="003125AC"/>
    <w:rsid w:val="00323669"/>
    <w:rsid w:val="00364749"/>
    <w:rsid w:val="00371A66"/>
    <w:rsid w:val="003734BD"/>
    <w:rsid w:val="003D1DD3"/>
    <w:rsid w:val="003D6B61"/>
    <w:rsid w:val="003F7482"/>
    <w:rsid w:val="00412E6A"/>
    <w:rsid w:val="004433CE"/>
    <w:rsid w:val="004434A1"/>
    <w:rsid w:val="004520C7"/>
    <w:rsid w:val="00477461"/>
    <w:rsid w:val="004816BA"/>
    <w:rsid w:val="0048434C"/>
    <w:rsid w:val="00485984"/>
    <w:rsid w:val="00497825"/>
    <w:rsid w:val="004B68C1"/>
    <w:rsid w:val="004D436B"/>
    <w:rsid w:val="004F3181"/>
    <w:rsid w:val="004F4B55"/>
    <w:rsid w:val="005017E0"/>
    <w:rsid w:val="00516DE6"/>
    <w:rsid w:val="0052190D"/>
    <w:rsid w:val="00547D17"/>
    <w:rsid w:val="00563793"/>
    <w:rsid w:val="0056583E"/>
    <w:rsid w:val="00574264"/>
    <w:rsid w:val="00580294"/>
    <w:rsid w:val="005808FC"/>
    <w:rsid w:val="00584955"/>
    <w:rsid w:val="00586B60"/>
    <w:rsid w:val="005A1C60"/>
    <w:rsid w:val="005A6568"/>
    <w:rsid w:val="005B2234"/>
    <w:rsid w:val="005C7082"/>
    <w:rsid w:val="005D5C56"/>
    <w:rsid w:val="005F4EBC"/>
    <w:rsid w:val="005F611E"/>
    <w:rsid w:val="00600D5E"/>
    <w:rsid w:val="006021C7"/>
    <w:rsid w:val="00611DBA"/>
    <w:rsid w:val="00616F17"/>
    <w:rsid w:val="00617477"/>
    <w:rsid w:val="0061768B"/>
    <w:rsid w:val="006248BC"/>
    <w:rsid w:val="00625A64"/>
    <w:rsid w:val="00630870"/>
    <w:rsid w:val="00641182"/>
    <w:rsid w:val="006452CA"/>
    <w:rsid w:val="006464FB"/>
    <w:rsid w:val="00653064"/>
    <w:rsid w:val="00674DBD"/>
    <w:rsid w:val="00695900"/>
    <w:rsid w:val="006972FE"/>
    <w:rsid w:val="006A4895"/>
    <w:rsid w:val="006A49B7"/>
    <w:rsid w:val="006B3B8C"/>
    <w:rsid w:val="006C51F9"/>
    <w:rsid w:val="006F5540"/>
    <w:rsid w:val="007074A5"/>
    <w:rsid w:val="0071364A"/>
    <w:rsid w:val="007420CA"/>
    <w:rsid w:val="00750F48"/>
    <w:rsid w:val="00756ABF"/>
    <w:rsid w:val="007835C8"/>
    <w:rsid w:val="00783EF4"/>
    <w:rsid w:val="007B3233"/>
    <w:rsid w:val="007D2AC8"/>
    <w:rsid w:val="007D5125"/>
    <w:rsid w:val="007D7A0D"/>
    <w:rsid w:val="007F5FF5"/>
    <w:rsid w:val="00810F5C"/>
    <w:rsid w:val="008431C4"/>
    <w:rsid w:val="00877F10"/>
    <w:rsid w:val="008C687B"/>
    <w:rsid w:val="008D7960"/>
    <w:rsid w:val="008E24F6"/>
    <w:rsid w:val="008E389E"/>
    <w:rsid w:val="008F7677"/>
    <w:rsid w:val="009104C6"/>
    <w:rsid w:val="00975512"/>
    <w:rsid w:val="00976F24"/>
    <w:rsid w:val="009A28F2"/>
    <w:rsid w:val="00A00178"/>
    <w:rsid w:val="00A35D57"/>
    <w:rsid w:val="00A7395A"/>
    <w:rsid w:val="00A82ADC"/>
    <w:rsid w:val="00A86749"/>
    <w:rsid w:val="00A96955"/>
    <w:rsid w:val="00AA612C"/>
    <w:rsid w:val="00AB6367"/>
    <w:rsid w:val="00B144B2"/>
    <w:rsid w:val="00B345A0"/>
    <w:rsid w:val="00B41B4C"/>
    <w:rsid w:val="00B50BB6"/>
    <w:rsid w:val="00B52CE8"/>
    <w:rsid w:val="00B5569E"/>
    <w:rsid w:val="00BC44E6"/>
    <w:rsid w:val="00BC4C67"/>
    <w:rsid w:val="00BD27F5"/>
    <w:rsid w:val="00BF59A7"/>
    <w:rsid w:val="00C14B6D"/>
    <w:rsid w:val="00C16016"/>
    <w:rsid w:val="00C463D7"/>
    <w:rsid w:val="00C47D0B"/>
    <w:rsid w:val="00C529A3"/>
    <w:rsid w:val="00C57251"/>
    <w:rsid w:val="00C60CE4"/>
    <w:rsid w:val="00C94D67"/>
    <w:rsid w:val="00CB1CFE"/>
    <w:rsid w:val="00CB5084"/>
    <w:rsid w:val="00CB5E16"/>
    <w:rsid w:val="00CC14EB"/>
    <w:rsid w:val="00CC206F"/>
    <w:rsid w:val="00CE1576"/>
    <w:rsid w:val="00CE2E4E"/>
    <w:rsid w:val="00CE3998"/>
    <w:rsid w:val="00CE68B8"/>
    <w:rsid w:val="00D30A2C"/>
    <w:rsid w:val="00D50787"/>
    <w:rsid w:val="00D570D3"/>
    <w:rsid w:val="00D6467B"/>
    <w:rsid w:val="00D71205"/>
    <w:rsid w:val="00D73074"/>
    <w:rsid w:val="00D84094"/>
    <w:rsid w:val="00D90A3E"/>
    <w:rsid w:val="00D95F06"/>
    <w:rsid w:val="00DA2232"/>
    <w:rsid w:val="00DB60AB"/>
    <w:rsid w:val="00DC244D"/>
    <w:rsid w:val="00DE1CB1"/>
    <w:rsid w:val="00DF6E78"/>
    <w:rsid w:val="00E22CC6"/>
    <w:rsid w:val="00E258DC"/>
    <w:rsid w:val="00E31DCB"/>
    <w:rsid w:val="00E31ECD"/>
    <w:rsid w:val="00E43501"/>
    <w:rsid w:val="00E5601D"/>
    <w:rsid w:val="00E70DCA"/>
    <w:rsid w:val="00EA7079"/>
    <w:rsid w:val="00EB2102"/>
    <w:rsid w:val="00ED5771"/>
    <w:rsid w:val="00F01CF5"/>
    <w:rsid w:val="00F01D9F"/>
    <w:rsid w:val="00F10463"/>
    <w:rsid w:val="00F21C71"/>
    <w:rsid w:val="00F23BA6"/>
    <w:rsid w:val="00F53933"/>
    <w:rsid w:val="00F65A34"/>
    <w:rsid w:val="00F65FAE"/>
    <w:rsid w:val="00F6667B"/>
    <w:rsid w:val="00F832B4"/>
    <w:rsid w:val="00FC31C2"/>
    <w:rsid w:val="00FC5AC3"/>
    <w:rsid w:val="00FE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BA6"/>
  </w:style>
  <w:style w:type="paragraph" w:styleId="Footer">
    <w:name w:val="footer"/>
    <w:basedOn w:val="Normal"/>
    <w:link w:val="FooterChar"/>
    <w:uiPriority w:val="99"/>
    <w:unhideWhenUsed/>
    <w:rsid w:val="00F2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BA6"/>
  </w:style>
  <w:style w:type="paragraph" w:styleId="BalloonText">
    <w:name w:val="Balloon Text"/>
    <w:basedOn w:val="Normal"/>
    <w:link w:val="BalloonTextChar"/>
    <w:uiPriority w:val="99"/>
    <w:semiHidden/>
    <w:unhideWhenUsed/>
    <w:rsid w:val="00C4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3B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BA6"/>
  </w:style>
  <w:style w:type="paragraph" w:styleId="Footer">
    <w:name w:val="footer"/>
    <w:basedOn w:val="Normal"/>
    <w:link w:val="FooterChar"/>
    <w:uiPriority w:val="99"/>
    <w:unhideWhenUsed/>
    <w:rsid w:val="00F2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BA6"/>
  </w:style>
  <w:style w:type="paragraph" w:styleId="BalloonText">
    <w:name w:val="Balloon Text"/>
    <w:basedOn w:val="Normal"/>
    <w:link w:val="BalloonTextChar"/>
    <w:uiPriority w:val="99"/>
    <w:semiHidden/>
    <w:unhideWhenUsed/>
    <w:rsid w:val="00C4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3B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li.gov.a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Phillips</dc:creator>
  <cp:lastModifiedBy>grant.moodie</cp:lastModifiedBy>
  <cp:revision>17</cp:revision>
  <dcterms:created xsi:type="dcterms:W3CDTF">2014-08-11T07:39:00Z</dcterms:created>
  <dcterms:modified xsi:type="dcterms:W3CDTF">2014-10-07T06:20:00Z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A4259763</vt:lpwstr>
  </property>
  <property fmtid="{D5CDD505-2E9C-101B-9397-08002B2CF9AE}" pid="4" name="Objective-Title">
    <vt:lpwstr>Class Order CO 14-829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2014-08-14T00:34:16Z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2014-10-07T06:46:17Z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Orders:Class Orders 2014:</vt:lpwstr>
  </property>
  <property fmtid="{D5CDD505-2E9C-101B-9397-08002B2CF9AE}" pid="13" name="Objective-Parent">
    <vt:lpwstr>Class Orders 2014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1.1</vt:lpwstr>
  </property>
  <property fmtid="{D5CDD505-2E9C-101B-9397-08002B2CF9AE}" pid="16" name="Objective-VersionNumber">
    <vt:i4>9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