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44" w:rsidRDefault="008B2F44" w:rsidP="0077556E">
      <w:pPr>
        <w:tabs>
          <w:tab w:val="left" w:pos="900"/>
        </w:tabs>
      </w:pPr>
    </w:p>
    <w:p w:rsidR="004C3006" w:rsidRDefault="004C3006" w:rsidP="0077556E">
      <w:pPr>
        <w:tabs>
          <w:tab w:val="left" w:pos="900"/>
        </w:tabs>
      </w:pPr>
    </w:p>
    <w:p w:rsidR="006B6EA7" w:rsidRDefault="006B6EA7" w:rsidP="0077556E">
      <w:pPr>
        <w:tabs>
          <w:tab w:val="left" w:pos="900"/>
        </w:tabs>
      </w:pPr>
    </w:p>
    <w:p w:rsidR="006B6EA7" w:rsidRDefault="006B6EA7" w:rsidP="0077556E">
      <w:pPr>
        <w:tabs>
          <w:tab w:val="left" w:pos="900"/>
        </w:tabs>
      </w:pPr>
    </w:p>
    <w:p w:rsidR="002302FE" w:rsidRDefault="002302FE" w:rsidP="0077556E">
      <w:pPr>
        <w:tabs>
          <w:tab w:val="left" w:pos="900"/>
        </w:tabs>
        <w:jc w:val="center"/>
      </w:pPr>
    </w:p>
    <w:p w:rsidR="004C3006" w:rsidRDefault="004C3006" w:rsidP="0077556E">
      <w:pPr>
        <w:tabs>
          <w:tab w:val="left" w:pos="900"/>
        </w:tabs>
        <w:jc w:val="center"/>
      </w:pPr>
    </w:p>
    <w:p w:rsidR="00A8130B" w:rsidRDefault="008B2F44" w:rsidP="00A8130B">
      <w:pPr>
        <w:pStyle w:val="ADRTitle"/>
        <w:tabs>
          <w:tab w:val="left" w:pos="900"/>
        </w:tabs>
        <w:spacing w:after="0"/>
        <w:jc w:val="center"/>
      </w:pPr>
      <w:r>
        <w:t>Vehicle Standard (Australian Design Rule </w:t>
      </w:r>
      <w:r w:rsidR="00A8130B">
        <w:t>50/00</w:t>
      </w:r>
      <w:r>
        <w:t xml:space="preserve"> – </w:t>
      </w:r>
      <w:r w:rsidR="00A8130B" w:rsidRPr="00B66DA5">
        <w:t>Front Fog Lamps</w:t>
      </w:r>
      <w:r>
        <w:t xml:space="preserve">) </w:t>
      </w:r>
      <w:r w:rsidR="00A8130B">
        <w:t>2006</w:t>
      </w:r>
      <w:r w:rsidR="00DD22E2">
        <w:t xml:space="preserve"> </w:t>
      </w:r>
    </w:p>
    <w:p w:rsidR="00A85B7A" w:rsidRDefault="001F6D57" w:rsidP="0077556E">
      <w:pPr>
        <w:pStyle w:val="ADRTitle"/>
        <w:tabs>
          <w:tab w:val="left" w:pos="900"/>
        </w:tabs>
        <w:jc w:val="center"/>
      </w:pPr>
      <w:r>
        <w:t>Amendment 2</w:t>
      </w:r>
    </w:p>
    <w:p w:rsidR="006B6EA7" w:rsidRDefault="006B6EA7" w:rsidP="0077556E">
      <w:pPr>
        <w:tabs>
          <w:tab w:val="left" w:pos="900"/>
        </w:tabs>
      </w:pPr>
    </w:p>
    <w:p w:rsidR="00F55944" w:rsidRDefault="00F55944" w:rsidP="0077556E">
      <w:pPr>
        <w:tabs>
          <w:tab w:val="left" w:pos="900"/>
        </w:tabs>
      </w:pPr>
    </w:p>
    <w:p w:rsidR="006B6EA7" w:rsidRDefault="006B6EA7" w:rsidP="0077556E">
      <w:pPr>
        <w:tabs>
          <w:tab w:val="left" w:pos="900"/>
        </w:tabs>
      </w:pPr>
    </w:p>
    <w:p w:rsidR="006B6EA7" w:rsidRDefault="006B6EA7" w:rsidP="0077556E">
      <w:pPr>
        <w:tabs>
          <w:tab w:val="left" w:pos="900"/>
        </w:tabs>
        <w:jc w:val="center"/>
      </w:pPr>
      <w:r>
        <w:t>Made under section 7 of the Motor Vehicle Standards Act 1989</w:t>
      </w:r>
    </w:p>
    <w:p w:rsidR="006B6EA7" w:rsidRDefault="006B6EA7" w:rsidP="0077556E">
      <w:pPr>
        <w:tabs>
          <w:tab w:val="left" w:pos="900"/>
        </w:tabs>
      </w:pPr>
    </w:p>
    <w:p w:rsidR="006B6EA7" w:rsidRDefault="006B6EA7" w:rsidP="0077556E">
      <w:pPr>
        <w:tabs>
          <w:tab w:val="left" w:pos="900"/>
        </w:tabs>
      </w:pPr>
    </w:p>
    <w:p w:rsidR="006B6EA7" w:rsidRDefault="006B6EA7" w:rsidP="0077556E">
      <w:pPr>
        <w:tabs>
          <w:tab w:val="left" w:pos="900"/>
        </w:tabs>
      </w:pPr>
    </w:p>
    <w:p w:rsidR="006B6EA7" w:rsidRDefault="006B6EA7" w:rsidP="0077556E">
      <w:pPr>
        <w:tabs>
          <w:tab w:val="left" w:pos="900"/>
        </w:tabs>
      </w:pPr>
    </w:p>
    <w:p w:rsidR="00F55944" w:rsidRDefault="00F55944" w:rsidP="0077556E">
      <w:pPr>
        <w:tabs>
          <w:tab w:val="left" w:pos="900"/>
        </w:tabs>
      </w:pPr>
    </w:p>
    <w:p w:rsidR="006B6EA7" w:rsidRDefault="006B6EA7" w:rsidP="0077556E">
      <w:pPr>
        <w:tabs>
          <w:tab w:val="left" w:pos="900"/>
        </w:tabs>
      </w:pPr>
    </w:p>
    <w:p w:rsidR="006B6EA7" w:rsidRPr="006B6EA7" w:rsidRDefault="006B6EA7" w:rsidP="0077556E">
      <w:pPr>
        <w:pStyle w:val="ADRTitle"/>
        <w:tabs>
          <w:tab w:val="left" w:pos="900"/>
        </w:tabs>
        <w:jc w:val="center"/>
      </w:pPr>
      <w:r>
        <w:t>Explanatory Statement</w:t>
      </w:r>
    </w:p>
    <w:p w:rsidR="001028EA" w:rsidRDefault="001028EA" w:rsidP="0077556E">
      <w:pPr>
        <w:tabs>
          <w:tab w:val="left" w:pos="900"/>
        </w:tabs>
      </w:pPr>
    </w:p>
    <w:p w:rsidR="002302FE" w:rsidRDefault="002302FE" w:rsidP="0077556E">
      <w:pPr>
        <w:tabs>
          <w:tab w:val="left" w:pos="900"/>
        </w:tabs>
      </w:pPr>
    </w:p>
    <w:p w:rsidR="002302FE" w:rsidRDefault="002302FE" w:rsidP="0077556E">
      <w:pPr>
        <w:tabs>
          <w:tab w:val="left" w:pos="900"/>
        </w:tabs>
      </w:pPr>
    </w:p>
    <w:p w:rsidR="002302FE" w:rsidRDefault="002302FE" w:rsidP="0077556E">
      <w:pPr>
        <w:tabs>
          <w:tab w:val="left" w:pos="900"/>
        </w:tabs>
      </w:pPr>
    </w:p>
    <w:p w:rsidR="002302FE" w:rsidRDefault="002302FE" w:rsidP="0077556E">
      <w:pPr>
        <w:tabs>
          <w:tab w:val="left" w:pos="900"/>
        </w:tabs>
      </w:pPr>
    </w:p>
    <w:p w:rsidR="002302FE" w:rsidRDefault="002302FE" w:rsidP="0077556E">
      <w:pPr>
        <w:tabs>
          <w:tab w:val="left" w:pos="900"/>
        </w:tabs>
      </w:pPr>
    </w:p>
    <w:p w:rsidR="00F55944" w:rsidRDefault="00F55944" w:rsidP="0077556E">
      <w:pPr>
        <w:tabs>
          <w:tab w:val="left" w:pos="900"/>
        </w:tabs>
      </w:pPr>
    </w:p>
    <w:p w:rsidR="00F55944" w:rsidRDefault="00F55944" w:rsidP="0077556E">
      <w:pPr>
        <w:tabs>
          <w:tab w:val="left" w:pos="900"/>
        </w:tabs>
      </w:pPr>
    </w:p>
    <w:p w:rsidR="002302FE" w:rsidRDefault="002302FE" w:rsidP="0077556E">
      <w:pPr>
        <w:tabs>
          <w:tab w:val="left" w:pos="900"/>
        </w:tabs>
      </w:pPr>
    </w:p>
    <w:p w:rsidR="002302FE" w:rsidRDefault="002302FE" w:rsidP="0077556E">
      <w:pPr>
        <w:tabs>
          <w:tab w:val="left" w:pos="900"/>
        </w:tabs>
      </w:pPr>
    </w:p>
    <w:p w:rsidR="00FB653A" w:rsidRDefault="006B6EA7" w:rsidP="00FB653A">
      <w:pPr>
        <w:tabs>
          <w:tab w:val="left" w:pos="900"/>
        </w:tabs>
        <w:jc w:val="center"/>
      </w:pPr>
      <w:r>
        <w:t xml:space="preserve">Issued by the authority of the </w:t>
      </w:r>
      <w:r w:rsidR="006E177F">
        <w:t xml:space="preserve">Assistant </w:t>
      </w:r>
      <w:r>
        <w:t xml:space="preserve">Minister for </w:t>
      </w:r>
      <w:r w:rsidR="00FB653A">
        <w:t>Infrastructure</w:t>
      </w:r>
      <w:r w:rsidR="001F6D57">
        <w:t xml:space="preserve"> and</w:t>
      </w:r>
      <w:r w:rsidR="00FB653A">
        <w:t xml:space="preserve"> Regional Development</w:t>
      </w:r>
    </w:p>
    <w:p w:rsidR="002302FE" w:rsidRDefault="002302FE" w:rsidP="00FB653A">
      <w:pPr>
        <w:tabs>
          <w:tab w:val="left" w:pos="900"/>
        </w:tabs>
        <w:jc w:val="center"/>
      </w:pPr>
    </w:p>
    <w:p w:rsidR="002302FE" w:rsidRDefault="002302FE" w:rsidP="0077556E">
      <w:pPr>
        <w:tabs>
          <w:tab w:val="left" w:pos="900"/>
        </w:tabs>
      </w:pPr>
    </w:p>
    <w:p w:rsidR="00F55944" w:rsidRDefault="00F55944" w:rsidP="0077556E">
      <w:pPr>
        <w:tabs>
          <w:tab w:val="left" w:pos="900"/>
        </w:tabs>
      </w:pPr>
    </w:p>
    <w:p w:rsidR="00F55944" w:rsidRDefault="00F55944" w:rsidP="0077556E">
      <w:pPr>
        <w:tabs>
          <w:tab w:val="left" w:pos="900"/>
        </w:tabs>
      </w:pPr>
    </w:p>
    <w:p w:rsidR="00F55944" w:rsidRDefault="00F55944" w:rsidP="0077556E">
      <w:pPr>
        <w:tabs>
          <w:tab w:val="left" w:pos="900"/>
        </w:tabs>
      </w:pPr>
    </w:p>
    <w:p w:rsidR="00F55944" w:rsidRDefault="00F55944" w:rsidP="0077556E">
      <w:pPr>
        <w:tabs>
          <w:tab w:val="left" w:pos="900"/>
        </w:tabs>
      </w:pPr>
    </w:p>
    <w:p w:rsidR="00F55944" w:rsidRDefault="00F55944" w:rsidP="0077556E">
      <w:pPr>
        <w:tabs>
          <w:tab w:val="left" w:pos="900"/>
        </w:tabs>
      </w:pPr>
    </w:p>
    <w:p w:rsidR="00F55944" w:rsidRDefault="00F55944" w:rsidP="0077556E">
      <w:pPr>
        <w:tabs>
          <w:tab w:val="left" w:pos="900"/>
        </w:tabs>
      </w:pPr>
    </w:p>
    <w:p w:rsidR="002302FE" w:rsidRPr="006944B9" w:rsidRDefault="0012431C" w:rsidP="0077556E">
      <w:pPr>
        <w:pStyle w:val="ADRTitle"/>
        <w:tabs>
          <w:tab w:val="left" w:pos="900"/>
        </w:tabs>
        <w:jc w:val="center"/>
      </w:pPr>
      <w:r w:rsidRPr="0012431C">
        <w:t xml:space="preserve">September </w:t>
      </w:r>
      <w:r w:rsidR="001F6D57" w:rsidRPr="0012431C">
        <w:t>2014</w:t>
      </w:r>
    </w:p>
    <w:p w:rsidR="001028EA" w:rsidRDefault="001028EA" w:rsidP="0077556E">
      <w:pPr>
        <w:tabs>
          <w:tab w:val="left" w:pos="900"/>
        </w:tabs>
      </w:pPr>
    </w:p>
    <w:p w:rsidR="0014782B" w:rsidRDefault="0014782B" w:rsidP="0077556E">
      <w:pPr>
        <w:tabs>
          <w:tab w:val="left" w:pos="900"/>
        </w:tabs>
        <w:sectPr w:rsidR="0014782B" w:rsidSect="00F97BB1">
          <w:headerReference w:type="default" r:id="rId9"/>
          <w:footerReference w:type="default" r:id="rId10"/>
          <w:pgSz w:w="11906" w:h="16838"/>
          <w:pgMar w:top="1440" w:right="1701" w:bottom="1440" w:left="1701" w:header="709" w:footer="709" w:gutter="0"/>
          <w:cols w:space="708"/>
          <w:docGrid w:linePitch="360"/>
        </w:sectPr>
      </w:pPr>
    </w:p>
    <w:p w:rsidR="00271DB8" w:rsidRDefault="00271DB8" w:rsidP="00EF5654">
      <w:pPr>
        <w:tabs>
          <w:tab w:val="left" w:pos="900"/>
        </w:tabs>
        <w:jc w:val="center"/>
        <w:rPr>
          <w:b/>
        </w:rPr>
      </w:pPr>
    </w:p>
    <w:p w:rsidR="001028EA" w:rsidRDefault="007A731E" w:rsidP="00EF5654">
      <w:pPr>
        <w:tabs>
          <w:tab w:val="left" w:pos="900"/>
        </w:tabs>
        <w:jc w:val="center"/>
        <w:rPr>
          <w:b/>
        </w:rPr>
      </w:pPr>
      <w:r w:rsidRPr="00550132">
        <w:rPr>
          <w:b/>
        </w:rPr>
        <w:t>CONTENTS</w:t>
      </w:r>
    </w:p>
    <w:p w:rsidR="002058AB" w:rsidRPr="00550132" w:rsidRDefault="002058AB" w:rsidP="0077556E">
      <w:pPr>
        <w:tabs>
          <w:tab w:val="left" w:pos="900"/>
        </w:tabs>
        <w:rPr>
          <w:b/>
        </w:rPr>
      </w:pPr>
    </w:p>
    <w:p w:rsidR="00857F4E" w:rsidRDefault="00F71F61">
      <w:pPr>
        <w:pStyle w:val="TOC1"/>
        <w:rPr>
          <w:rFonts w:asciiTheme="minorHAnsi" w:eastAsiaTheme="minorEastAsia" w:hAnsiTheme="minorHAnsi" w:cstheme="minorBidi"/>
          <w:caps w:val="0"/>
          <w:noProof/>
          <w:sz w:val="22"/>
          <w:szCs w:val="22"/>
        </w:rPr>
      </w:pPr>
      <w:r>
        <w:fldChar w:fldCharType="begin"/>
      </w:r>
      <w:r>
        <w:instrText xml:space="preserve"> TOC \h \z \t "Main Headding,1,Sub section,2,Appendix,1" </w:instrText>
      </w:r>
      <w:r>
        <w:fldChar w:fldCharType="separate"/>
      </w:r>
      <w:hyperlink w:anchor="_Toc398035903" w:history="1">
        <w:r w:rsidR="00857F4E" w:rsidRPr="00012300">
          <w:rPr>
            <w:rStyle w:val="Hyperlink"/>
            <w:noProof/>
          </w:rPr>
          <w:t>1.</w:t>
        </w:r>
        <w:r w:rsidR="00857F4E">
          <w:rPr>
            <w:rFonts w:asciiTheme="minorHAnsi" w:eastAsiaTheme="minorEastAsia" w:hAnsiTheme="minorHAnsi" w:cstheme="minorBidi"/>
            <w:caps w:val="0"/>
            <w:noProof/>
            <w:sz w:val="22"/>
            <w:szCs w:val="22"/>
          </w:rPr>
          <w:tab/>
        </w:r>
        <w:r w:rsidR="00857F4E" w:rsidRPr="00012300">
          <w:rPr>
            <w:rStyle w:val="Hyperlink"/>
            <w:noProof/>
          </w:rPr>
          <w:t>legislative context</w:t>
        </w:r>
        <w:r w:rsidR="00857F4E">
          <w:rPr>
            <w:noProof/>
            <w:webHidden/>
          </w:rPr>
          <w:tab/>
        </w:r>
        <w:r w:rsidR="00857F4E">
          <w:rPr>
            <w:noProof/>
            <w:webHidden/>
          </w:rPr>
          <w:fldChar w:fldCharType="begin"/>
        </w:r>
        <w:r w:rsidR="00857F4E">
          <w:rPr>
            <w:noProof/>
            <w:webHidden/>
          </w:rPr>
          <w:instrText xml:space="preserve"> PAGEREF _Toc398035903 \h </w:instrText>
        </w:r>
        <w:r w:rsidR="00857F4E">
          <w:rPr>
            <w:noProof/>
            <w:webHidden/>
          </w:rPr>
        </w:r>
        <w:r w:rsidR="00857F4E">
          <w:rPr>
            <w:noProof/>
            <w:webHidden/>
          </w:rPr>
          <w:fldChar w:fldCharType="separate"/>
        </w:r>
        <w:r w:rsidR="00857F4E">
          <w:rPr>
            <w:noProof/>
            <w:webHidden/>
          </w:rPr>
          <w:t>3</w:t>
        </w:r>
        <w:r w:rsidR="00857F4E">
          <w:rPr>
            <w:noProof/>
            <w:webHidden/>
          </w:rPr>
          <w:fldChar w:fldCharType="end"/>
        </w:r>
      </w:hyperlink>
    </w:p>
    <w:p w:rsidR="00857F4E" w:rsidRDefault="0088287B">
      <w:pPr>
        <w:pStyle w:val="TOC1"/>
        <w:rPr>
          <w:rFonts w:asciiTheme="minorHAnsi" w:eastAsiaTheme="minorEastAsia" w:hAnsiTheme="minorHAnsi" w:cstheme="minorBidi"/>
          <w:caps w:val="0"/>
          <w:noProof/>
          <w:sz w:val="22"/>
          <w:szCs w:val="22"/>
        </w:rPr>
      </w:pPr>
      <w:hyperlink w:anchor="_Toc398035904" w:history="1">
        <w:r w:rsidR="00857F4E" w:rsidRPr="00012300">
          <w:rPr>
            <w:rStyle w:val="Hyperlink"/>
            <w:rFonts w:cs="Arial"/>
            <w:noProof/>
          </w:rPr>
          <w:t>2.</w:t>
        </w:r>
        <w:r w:rsidR="00857F4E">
          <w:rPr>
            <w:rFonts w:asciiTheme="minorHAnsi" w:eastAsiaTheme="minorEastAsia" w:hAnsiTheme="minorHAnsi" w:cstheme="minorBidi"/>
            <w:caps w:val="0"/>
            <w:noProof/>
            <w:sz w:val="22"/>
            <w:szCs w:val="22"/>
          </w:rPr>
          <w:tab/>
        </w:r>
        <w:r w:rsidR="00857F4E" w:rsidRPr="00012300">
          <w:rPr>
            <w:rStyle w:val="Hyperlink"/>
            <w:noProof/>
          </w:rPr>
          <w:t>content and effect of ADR 50/00 AND THE AMENDMENT</w:t>
        </w:r>
        <w:r w:rsidR="00857F4E">
          <w:rPr>
            <w:noProof/>
            <w:webHidden/>
          </w:rPr>
          <w:tab/>
        </w:r>
        <w:r w:rsidR="00857F4E">
          <w:rPr>
            <w:noProof/>
            <w:webHidden/>
          </w:rPr>
          <w:fldChar w:fldCharType="begin"/>
        </w:r>
        <w:r w:rsidR="00857F4E">
          <w:rPr>
            <w:noProof/>
            <w:webHidden/>
          </w:rPr>
          <w:instrText xml:space="preserve"> PAGEREF _Toc398035904 \h </w:instrText>
        </w:r>
        <w:r w:rsidR="00857F4E">
          <w:rPr>
            <w:noProof/>
            <w:webHidden/>
          </w:rPr>
        </w:r>
        <w:r w:rsidR="00857F4E">
          <w:rPr>
            <w:noProof/>
            <w:webHidden/>
          </w:rPr>
          <w:fldChar w:fldCharType="separate"/>
        </w:r>
        <w:r w:rsidR="00857F4E">
          <w:rPr>
            <w:noProof/>
            <w:webHidden/>
          </w:rPr>
          <w:t>3</w:t>
        </w:r>
        <w:r w:rsidR="00857F4E">
          <w:rPr>
            <w:noProof/>
            <w:webHidden/>
          </w:rPr>
          <w:fldChar w:fldCharType="end"/>
        </w:r>
      </w:hyperlink>
    </w:p>
    <w:p w:rsidR="00857F4E" w:rsidRDefault="0088287B">
      <w:pPr>
        <w:pStyle w:val="TOC2"/>
        <w:tabs>
          <w:tab w:val="left" w:pos="851"/>
          <w:tab w:val="right" w:leader="dot" w:pos="8494"/>
        </w:tabs>
        <w:rPr>
          <w:rFonts w:asciiTheme="minorHAnsi" w:eastAsiaTheme="minorEastAsia" w:hAnsiTheme="minorHAnsi" w:cstheme="minorBidi"/>
          <w:noProof/>
          <w:sz w:val="22"/>
          <w:szCs w:val="22"/>
        </w:rPr>
      </w:pPr>
      <w:hyperlink w:anchor="_Toc398035905" w:history="1">
        <w:r w:rsidR="00857F4E" w:rsidRPr="00012300">
          <w:rPr>
            <w:rStyle w:val="Hyperlink"/>
            <w:noProof/>
          </w:rPr>
          <w:t>2.1.</w:t>
        </w:r>
        <w:r w:rsidR="00857F4E">
          <w:rPr>
            <w:rFonts w:asciiTheme="minorHAnsi" w:eastAsiaTheme="minorEastAsia" w:hAnsiTheme="minorHAnsi" w:cstheme="minorBidi"/>
            <w:noProof/>
            <w:sz w:val="22"/>
            <w:szCs w:val="22"/>
          </w:rPr>
          <w:tab/>
        </w:r>
        <w:r w:rsidR="00857F4E" w:rsidRPr="00012300">
          <w:rPr>
            <w:rStyle w:val="Hyperlink"/>
            <w:noProof/>
          </w:rPr>
          <w:t>Overview of the ADR</w:t>
        </w:r>
        <w:r w:rsidR="00857F4E">
          <w:rPr>
            <w:noProof/>
            <w:webHidden/>
          </w:rPr>
          <w:tab/>
        </w:r>
        <w:r w:rsidR="00857F4E">
          <w:rPr>
            <w:noProof/>
            <w:webHidden/>
          </w:rPr>
          <w:fldChar w:fldCharType="begin"/>
        </w:r>
        <w:r w:rsidR="00857F4E">
          <w:rPr>
            <w:noProof/>
            <w:webHidden/>
          </w:rPr>
          <w:instrText xml:space="preserve"> PAGEREF _Toc398035905 \h </w:instrText>
        </w:r>
        <w:r w:rsidR="00857F4E">
          <w:rPr>
            <w:noProof/>
            <w:webHidden/>
          </w:rPr>
        </w:r>
        <w:r w:rsidR="00857F4E">
          <w:rPr>
            <w:noProof/>
            <w:webHidden/>
          </w:rPr>
          <w:fldChar w:fldCharType="separate"/>
        </w:r>
        <w:r w:rsidR="00857F4E">
          <w:rPr>
            <w:noProof/>
            <w:webHidden/>
          </w:rPr>
          <w:t>3</w:t>
        </w:r>
        <w:r w:rsidR="00857F4E">
          <w:rPr>
            <w:noProof/>
            <w:webHidden/>
          </w:rPr>
          <w:fldChar w:fldCharType="end"/>
        </w:r>
      </w:hyperlink>
    </w:p>
    <w:p w:rsidR="00857F4E" w:rsidRDefault="0088287B">
      <w:pPr>
        <w:pStyle w:val="TOC2"/>
        <w:tabs>
          <w:tab w:val="left" w:pos="851"/>
          <w:tab w:val="right" w:leader="dot" w:pos="8494"/>
        </w:tabs>
        <w:rPr>
          <w:rFonts w:asciiTheme="minorHAnsi" w:eastAsiaTheme="minorEastAsia" w:hAnsiTheme="minorHAnsi" w:cstheme="minorBidi"/>
          <w:noProof/>
          <w:sz w:val="22"/>
          <w:szCs w:val="22"/>
        </w:rPr>
      </w:pPr>
      <w:hyperlink w:anchor="_Toc398035906" w:history="1">
        <w:r w:rsidR="00857F4E" w:rsidRPr="00012300">
          <w:rPr>
            <w:rStyle w:val="Hyperlink"/>
            <w:noProof/>
          </w:rPr>
          <w:t>2.2.</w:t>
        </w:r>
        <w:r w:rsidR="00857F4E">
          <w:rPr>
            <w:rFonts w:asciiTheme="minorHAnsi" w:eastAsiaTheme="minorEastAsia" w:hAnsiTheme="minorHAnsi" w:cstheme="minorBidi"/>
            <w:noProof/>
            <w:sz w:val="22"/>
            <w:szCs w:val="22"/>
          </w:rPr>
          <w:tab/>
        </w:r>
        <w:r w:rsidR="00857F4E" w:rsidRPr="00012300">
          <w:rPr>
            <w:rStyle w:val="Hyperlink"/>
            <w:noProof/>
          </w:rPr>
          <w:t>Effect of the ADR Amendment</w:t>
        </w:r>
        <w:r w:rsidR="00857F4E">
          <w:rPr>
            <w:noProof/>
            <w:webHidden/>
          </w:rPr>
          <w:tab/>
        </w:r>
        <w:r w:rsidR="00857F4E">
          <w:rPr>
            <w:noProof/>
            <w:webHidden/>
          </w:rPr>
          <w:fldChar w:fldCharType="begin"/>
        </w:r>
        <w:r w:rsidR="00857F4E">
          <w:rPr>
            <w:noProof/>
            <w:webHidden/>
          </w:rPr>
          <w:instrText xml:space="preserve"> PAGEREF _Toc398035906 \h </w:instrText>
        </w:r>
        <w:r w:rsidR="00857F4E">
          <w:rPr>
            <w:noProof/>
            <w:webHidden/>
          </w:rPr>
        </w:r>
        <w:r w:rsidR="00857F4E">
          <w:rPr>
            <w:noProof/>
            <w:webHidden/>
          </w:rPr>
          <w:fldChar w:fldCharType="separate"/>
        </w:r>
        <w:r w:rsidR="00857F4E">
          <w:rPr>
            <w:noProof/>
            <w:webHidden/>
          </w:rPr>
          <w:t>3</w:t>
        </w:r>
        <w:r w:rsidR="00857F4E">
          <w:rPr>
            <w:noProof/>
            <w:webHidden/>
          </w:rPr>
          <w:fldChar w:fldCharType="end"/>
        </w:r>
      </w:hyperlink>
    </w:p>
    <w:p w:rsidR="00857F4E" w:rsidRDefault="0088287B">
      <w:pPr>
        <w:pStyle w:val="TOC1"/>
        <w:rPr>
          <w:rFonts w:asciiTheme="minorHAnsi" w:eastAsiaTheme="minorEastAsia" w:hAnsiTheme="minorHAnsi" w:cstheme="minorBidi"/>
          <w:caps w:val="0"/>
          <w:noProof/>
          <w:sz w:val="22"/>
          <w:szCs w:val="22"/>
        </w:rPr>
      </w:pPr>
      <w:hyperlink w:anchor="_Toc398035907" w:history="1">
        <w:r w:rsidR="00857F4E" w:rsidRPr="00012300">
          <w:rPr>
            <w:rStyle w:val="Hyperlink"/>
            <w:noProof/>
          </w:rPr>
          <w:t>3.</w:t>
        </w:r>
        <w:r w:rsidR="00857F4E">
          <w:rPr>
            <w:rFonts w:asciiTheme="minorHAnsi" w:eastAsiaTheme="minorEastAsia" w:hAnsiTheme="minorHAnsi" w:cstheme="minorBidi"/>
            <w:caps w:val="0"/>
            <w:noProof/>
            <w:sz w:val="22"/>
            <w:szCs w:val="22"/>
          </w:rPr>
          <w:tab/>
        </w:r>
        <w:r w:rsidR="00857F4E" w:rsidRPr="00012300">
          <w:rPr>
            <w:rStyle w:val="Hyperlink"/>
            <w:noProof/>
          </w:rPr>
          <w:t>best practice regulation</w:t>
        </w:r>
        <w:r w:rsidR="00857F4E">
          <w:rPr>
            <w:noProof/>
            <w:webHidden/>
          </w:rPr>
          <w:tab/>
        </w:r>
        <w:r w:rsidR="00857F4E">
          <w:rPr>
            <w:noProof/>
            <w:webHidden/>
          </w:rPr>
          <w:fldChar w:fldCharType="begin"/>
        </w:r>
        <w:r w:rsidR="00857F4E">
          <w:rPr>
            <w:noProof/>
            <w:webHidden/>
          </w:rPr>
          <w:instrText xml:space="preserve"> PAGEREF _Toc398035907 \h </w:instrText>
        </w:r>
        <w:r w:rsidR="00857F4E">
          <w:rPr>
            <w:noProof/>
            <w:webHidden/>
          </w:rPr>
        </w:r>
        <w:r w:rsidR="00857F4E">
          <w:rPr>
            <w:noProof/>
            <w:webHidden/>
          </w:rPr>
          <w:fldChar w:fldCharType="separate"/>
        </w:r>
        <w:r w:rsidR="00857F4E">
          <w:rPr>
            <w:noProof/>
            <w:webHidden/>
          </w:rPr>
          <w:t>3</w:t>
        </w:r>
        <w:r w:rsidR="00857F4E">
          <w:rPr>
            <w:noProof/>
            <w:webHidden/>
          </w:rPr>
          <w:fldChar w:fldCharType="end"/>
        </w:r>
      </w:hyperlink>
    </w:p>
    <w:p w:rsidR="00857F4E" w:rsidRDefault="0088287B">
      <w:pPr>
        <w:pStyle w:val="TOC2"/>
        <w:tabs>
          <w:tab w:val="left" w:pos="851"/>
          <w:tab w:val="right" w:leader="dot" w:pos="8494"/>
        </w:tabs>
        <w:rPr>
          <w:rFonts w:asciiTheme="minorHAnsi" w:eastAsiaTheme="minorEastAsia" w:hAnsiTheme="minorHAnsi" w:cstheme="minorBidi"/>
          <w:noProof/>
          <w:sz w:val="22"/>
          <w:szCs w:val="22"/>
        </w:rPr>
      </w:pPr>
      <w:hyperlink w:anchor="_Toc398035908" w:history="1">
        <w:r w:rsidR="00857F4E" w:rsidRPr="00012300">
          <w:rPr>
            <w:rStyle w:val="Hyperlink"/>
            <w:noProof/>
          </w:rPr>
          <w:t>3.1.</w:t>
        </w:r>
        <w:r w:rsidR="00857F4E">
          <w:rPr>
            <w:rFonts w:asciiTheme="minorHAnsi" w:eastAsiaTheme="minorEastAsia" w:hAnsiTheme="minorHAnsi" w:cstheme="minorBidi"/>
            <w:noProof/>
            <w:sz w:val="22"/>
            <w:szCs w:val="22"/>
          </w:rPr>
          <w:tab/>
        </w:r>
        <w:r w:rsidR="00857F4E" w:rsidRPr="00012300">
          <w:rPr>
            <w:rStyle w:val="Hyperlink"/>
            <w:noProof/>
          </w:rPr>
          <w:t>Business Cost Calculator</w:t>
        </w:r>
        <w:r w:rsidR="00857F4E">
          <w:rPr>
            <w:noProof/>
            <w:webHidden/>
          </w:rPr>
          <w:tab/>
        </w:r>
        <w:r w:rsidR="00857F4E">
          <w:rPr>
            <w:noProof/>
            <w:webHidden/>
          </w:rPr>
          <w:fldChar w:fldCharType="begin"/>
        </w:r>
        <w:r w:rsidR="00857F4E">
          <w:rPr>
            <w:noProof/>
            <w:webHidden/>
          </w:rPr>
          <w:instrText xml:space="preserve"> PAGEREF _Toc398035908 \h </w:instrText>
        </w:r>
        <w:r w:rsidR="00857F4E">
          <w:rPr>
            <w:noProof/>
            <w:webHidden/>
          </w:rPr>
        </w:r>
        <w:r w:rsidR="00857F4E">
          <w:rPr>
            <w:noProof/>
            <w:webHidden/>
          </w:rPr>
          <w:fldChar w:fldCharType="separate"/>
        </w:r>
        <w:r w:rsidR="00857F4E">
          <w:rPr>
            <w:noProof/>
            <w:webHidden/>
          </w:rPr>
          <w:t>3</w:t>
        </w:r>
        <w:r w:rsidR="00857F4E">
          <w:rPr>
            <w:noProof/>
            <w:webHidden/>
          </w:rPr>
          <w:fldChar w:fldCharType="end"/>
        </w:r>
      </w:hyperlink>
    </w:p>
    <w:p w:rsidR="00857F4E" w:rsidRDefault="0088287B">
      <w:pPr>
        <w:pStyle w:val="TOC2"/>
        <w:tabs>
          <w:tab w:val="left" w:pos="851"/>
          <w:tab w:val="right" w:leader="dot" w:pos="8494"/>
        </w:tabs>
        <w:rPr>
          <w:rFonts w:asciiTheme="minorHAnsi" w:eastAsiaTheme="minorEastAsia" w:hAnsiTheme="minorHAnsi" w:cstheme="minorBidi"/>
          <w:noProof/>
          <w:sz w:val="22"/>
          <w:szCs w:val="22"/>
        </w:rPr>
      </w:pPr>
      <w:hyperlink w:anchor="_Toc398035909" w:history="1">
        <w:r w:rsidR="00857F4E" w:rsidRPr="00012300">
          <w:rPr>
            <w:rStyle w:val="Hyperlink"/>
            <w:noProof/>
          </w:rPr>
          <w:t>3.2.</w:t>
        </w:r>
        <w:r w:rsidR="00857F4E">
          <w:rPr>
            <w:rFonts w:asciiTheme="minorHAnsi" w:eastAsiaTheme="minorEastAsia" w:hAnsiTheme="minorHAnsi" w:cstheme="minorBidi"/>
            <w:noProof/>
            <w:sz w:val="22"/>
            <w:szCs w:val="22"/>
          </w:rPr>
          <w:tab/>
        </w:r>
        <w:r w:rsidR="00857F4E" w:rsidRPr="00012300">
          <w:rPr>
            <w:rStyle w:val="Hyperlink"/>
            <w:noProof/>
          </w:rPr>
          <w:t>General Consultation Arrangements</w:t>
        </w:r>
        <w:r w:rsidR="00857F4E">
          <w:rPr>
            <w:noProof/>
            <w:webHidden/>
          </w:rPr>
          <w:tab/>
        </w:r>
        <w:r w:rsidR="00857F4E">
          <w:rPr>
            <w:noProof/>
            <w:webHidden/>
          </w:rPr>
          <w:fldChar w:fldCharType="begin"/>
        </w:r>
        <w:r w:rsidR="00857F4E">
          <w:rPr>
            <w:noProof/>
            <w:webHidden/>
          </w:rPr>
          <w:instrText xml:space="preserve"> PAGEREF _Toc398035909 \h </w:instrText>
        </w:r>
        <w:r w:rsidR="00857F4E">
          <w:rPr>
            <w:noProof/>
            <w:webHidden/>
          </w:rPr>
        </w:r>
        <w:r w:rsidR="00857F4E">
          <w:rPr>
            <w:noProof/>
            <w:webHidden/>
          </w:rPr>
          <w:fldChar w:fldCharType="separate"/>
        </w:r>
        <w:r w:rsidR="00857F4E">
          <w:rPr>
            <w:noProof/>
            <w:webHidden/>
          </w:rPr>
          <w:t>3</w:t>
        </w:r>
        <w:r w:rsidR="00857F4E">
          <w:rPr>
            <w:noProof/>
            <w:webHidden/>
          </w:rPr>
          <w:fldChar w:fldCharType="end"/>
        </w:r>
      </w:hyperlink>
    </w:p>
    <w:p w:rsidR="00857F4E" w:rsidRDefault="0088287B">
      <w:pPr>
        <w:pStyle w:val="TOC2"/>
        <w:tabs>
          <w:tab w:val="left" w:pos="851"/>
          <w:tab w:val="right" w:leader="dot" w:pos="8494"/>
        </w:tabs>
        <w:rPr>
          <w:rFonts w:asciiTheme="minorHAnsi" w:eastAsiaTheme="minorEastAsia" w:hAnsiTheme="minorHAnsi" w:cstheme="minorBidi"/>
          <w:noProof/>
          <w:sz w:val="22"/>
          <w:szCs w:val="22"/>
        </w:rPr>
      </w:pPr>
      <w:hyperlink w:anchor="_Toc398035910" w:history="1">
        <w:r w:rsidR="00857F4E" w:rsidRPr="00012300">
          <w:rPr>
            <w:rStyle w:val="Hyperlink"/>
            <w:noProof/>
          </w:rPr>
          <w:t>3.3.</w:t>
        </w:r>
        <w:r w:rsidR="00857F4E">
          <w:rPr>
            <w:rFonts w:asciiTheme="minorHAnsi" w:eastAsiaTheme="minorEastAsia" w:hAnsiTheme="minorHAnsi" w:cstheme="minorBidi"/>
            <w:noProof/>
            <w:sz w:val="22"/>
            <w:szCs w:val="22"/>
          </w:rPr>
          <w:tab/>
        </w:r>
        <w:r w:rsidR="00857F4E" w:rsidRPr="00012300">
          <w:rPr>
            <w:rStyle w:val="Hyperlink"/>
            <w:noProof/>
          </w:rPr>
          <w:t>Specific Consultation Arrangements for this Vehicle Standard</w:t>
        </w:r>
        <w:r w:rsidR="00857F4E">
          <w:rPr>
            <w:noProof/>
            <w:webHidden/>
          </w:rPr>
          <w:tab/>
        </w:r>
        <w:r w:rsidR="00857F4E">
          <w:rPr>
            <w:noProof/>
            <w:webHidden/>
          </w:rPr>
          <w:fldChar w:fldCharType="begin"/>
        </w:r>
        <w:r w:rsidR="00857F4E">
          <w:rPr>
            <w:noProof/>
            <w:webHidden/>
          </w:rPr>
          <w:instrText xml:space="preserve"> PAGEREF _Toc398035910 \h </w:instrText>
        </w:r>
        <w:r w:rsidR="00857F4E">
          <w:rPr>
            <w:noProof/>
            <w:webHidden/>
          </w:rPr>
        </w:r>
        <w:r w:rsidR="00857F4E">
          <w:rPr>
            <w:noProof/>
            <w:webHidden/>
          </w:rPr>
          <w:fldChar w:fldCharType="separate"/>
        </w:r>
        <w:r w:rsidR="00857F4E">
          <w:rPr>
            <w:noProof/>
            <w:webHidden/>
          </w:rPr>
          <w:t>4</w:t>
        </w:r>
        <w:r w:rsidR="00857F4E">
          <w:rPr>
            <w:noProof/>
            <w:webHidden/>
          </w:rPr>
          <w:fldChar w:fldCharType="end"/>
        </w:r>
      </w:hyperlink>
    </w:p>
    <w:p w:rsidR="00857F4E" w:rsidRDefault="0088287B">
      <w:pPr>
        <w:pStyle w:val="TOC2"/>
        <w:tabs>
          <w:tab w:val="left" w:pos="851"/>
          <w:tab w:val="right" w:leader="dot" w:pos="8494"/>
        </w:tabs>
        <w:rPr>
          <w:rFonts w:asciiTheme="minorHAnsi" w:eastAsiaTheme="minorEastAsia" w:hAnsiTheme="minorHAnsi" w:cstheme="minorBidi"/>
          <w:noProof/>
          <w:sz w:val="22"/>
          <w:szCs w:val="22"/>
        </w:rPr>
      </w:pPr>
      <w:hyperlink w:anchor="_Toc398035911" w:history="1">
        <w:r w:rsidR="00857F4E" w:rsidRPr="00012300">
          <w:rPr>
            <w:rStyle w:val="Hyperlink"/>
            <w:noProof/>
          </w:rPr>
          <w:t>3.4.</w:t>
        </w:r>
        <w:r w:rsidR="00857F4E">
          <w:rPr>
            <w:rFonts w:asciiTheme="minorHAnsi" w:eastAsiaTheme="minorEastAsia" w:hAnsiTheme="minorHAnsi" w:cstheme="minorBidi"/>
            <w:noProof/>
            <w:sz w:val="22"/>
            <w:szCs w:val="22"/>
          </w:rPr>
          <w:tab/>
        </w:r>
        <w:r w:rsidR="00857F4E" w:rsidRPr="00012300">
          <w:rPr>
            <w:rStyle w:val="Hyperlink"/>
            <w:noProof/>
          </w:rPr>
          <w:t>Regulation Impact Statement</w:t>
        </w:r>
        <w:r w:rsidR="00857F4E">
          <w:rPr>
            <w:noProof/>
            <w:webHidden/>
          </w:rPr>
          <w:tab/>
        </w:r>
        <w:r w:rsidR="00857F4E">
          <w:rPr>
            <w:noProof/>
            <w:webHidden/>
          </w:rPr>
          <w:fldChar w:fldCharType="begin"/>
        </w:r>
        <w:r w:rsidR="00857F4E">
          <w:rPr>
            <w:noProof/>
            <w:webHidden/>
          </w:rPr>
          <w:instrText xml:space="preserve"> PAGEREF _Toc398035911 \h </w:instrText>
        </w:r>
        <w:r w:rsidR="00857F4E">
          <w:rPr>
            <w:noProof/>
            <w:webHidden/>
          </w:rPr>
        </w:r>
        <w:r w:rsidR="00857F4E">
          <w:rPr>
            <w:noProof/>
            <w:webHidden/>
          </w:rPr>
          <w:fldChar w:fldCharType="separate"/>
        </w:r>
        <w:r w:rsidR="00857F4E">
          <w:rPr>
            <w:noProof/>
            <w:webHidden/>
          </w:rPr>
          <w:t>4</w:t>
        </w:r>
        <w:r w:rsidR="00857F4E">
          <w:rPr>
            <w:noProof/>
            <w:webHidden/>
          </w:rPr>
          <w:fldChar w:fldCharType="end"/>
        </w:r>
      </w:hyperlink>
    </w:p>
    <w:p w:rsidR="00857F4E" w:rsidRDefault="0088287B">
      <w:pPr>
        <w:pStyle w:val="TOC1"/>
        <w:rPr>
          <w:rFonts w:asciiTheme="minorHAnsi" w:eastAsiaTheme="minorEastAsia" w:hAnsiTheme="minorHAnsi" w:cstheme="minorBidi"/>
          <w:caps w:val="0"/>
          <w:noProof/>
          <w:sz w:val="22"/>
          <w:szCs w:val="22"/>
        </w:rPr>
      </w:pPr>
      <w:hyperlink w:anchor="_Toc398035912" w:history="1">
        <w:r w:rsidR="00857F4E" w:rsidRPr="00012300">
          <w:rPr>
            <w:rStyle w:val="Hyperlink"/>
            <w:noProof/>
          </w:rPr>
          <w:t>4.</w:t>
        </w:r>
        <w:r w:rsidR="00857F4E">
          <w:rPr>
            <w:rFonts w:asciiTheme="minorHAnsi" w:eastAsiaTheme="minorEastAsia" w:hAnsiTheme="minorHAnsi" w:cstheme="minorBidi"/>
            <w:caps w:val="0"/>
            <w:noProof/>
            <w:sz w:val="22"/>
            <w:szCs w:val="22"/>
          </w:rPr>
          <w:tab/>
        </w:r>
        <w:r w:rsidR="00857F4E" w:rsidRPr="00012300">
          <w:rPr>
            <w:rStyle w:val="Hyperlink"/>
            <w:noProof/>
          </w:rPr>
          <w:t>STATEMENT OF COMPATIBILITY WITH HUMAN RIGHTS</w:t>
        </w:r>
        <w:r w:rsidR="00857F4E">
          <w:rPr>
            <w:noProof/>
            <w:webHidden/>
          </w:rPr>
          <w:tab/>
        </w:r>
        <w:r w:rsidR="00857F4E">
          <w:rPr>
            <w:noProof/>
            <w:webHidden/>
          </w:rPr>
          <w:fldChar w:fldCharType="begin"/>
        </w:r>
        <w:r w:rsidR="00857F4E">
          <w:rPr>
            <w:noProof/>
            <w:webHidden/>
          </w:rPr>
          <w:instrText xml:space="preserve"> PAGEREF _Toc398035912 \h </w:instrText>
        </w:r>
        <w:r w:rsidR="00857F4E">
          <w:rPr>
            <w:noProof/>
            <w:webHidden/>
          </w:rPr>
        </w:r>
        <w:r w:rsidR="00857F4E">
          <w:rPr>
            <w:noProof/>
            <w:webHidden/>
          </w:rPr>
          <w:fldChar w:fldCharType="separate"/>
        </w:r>
        <w:r w:rsidR="00857F4E">
          <w:rPr>
            <w:noProof/>
            <w:webHidden/>
          </w:rPr>
          <w:t>5</w:t>
        </w:r>
        <w:r w:rsidR="00857F4E">
          <w:rPr>
            <w:noProof/>
            <w:webHidden/>
          </w:rPr>
          <w:fldChar w:fldCharType="end"/>
        </w:r>
      </w:hyperlink>
    </w:p>
    <w:p w:rsidR="00857F4E" w:rsidRDefault="0088287B">
      <w:pPr>
        <w:pStyle w:val="TOC2"/>
        <w:tabs>
          <w:tab w:val="left" w:pos="851"/>
          <w:tab w:val="right" w:leader="dot" w:pos="8494"/>
        </w:tabs>
        <w:rPr>
          <w:rFonts w:asciiTheme="minorHAnsi" w:eastAsiaTheme="minorEastAsia" w:hAnsiTheme="minorHAnsi" w:cstheme="minorBidi"/>
          <w:noProof/>
          <w:sz w:val="22"/>
          <w:szCs w:val="22"/>
        </w:rPr>
      </w:pPr>
      <w:hyperlink w:anchor="_Toc398035913" w:history="1">
        <w:r w:rsidR="00857F4E" w:rsidRPr="00012300">
          <w:rPr>
            <w:rStyle w:val="Hyperlink"/>
            <w:noProof/>
          </w:rPr>
          <w:t>4.1.</w:t>
        </w:r>
        <w:r w:rsidR="00857F4E">
          <w:rPr>
            <w:rFonts w:asciiTheme="minorHAnsi" w:eastAsiaTheme="minorEastAsia" w:hAnsiTheme="minorHAnsi" w:cstheme="minorBidi"/>
            <w:noProof/>
            <w:sz w:val="22"/>
            <w:szCs w:val="22"/>
          </w:rPr>
          <w:tab/>
        </w:r>
        <w:r w:rsidR="00857F4E" w:rsidRPr="00012300">
          <w:rPr>
            <w:rStyle w:val="Hyperlink"/>
            <w:noProof/>
          </w:rPr>
          <w:t>Overview of the Legislative Instrument</w:t>
        </w:r>
        <w:r w:rsidR="00857F4E">
          <w:rPr>
            <w:noProof/>
            <w:webHidden/>
          </w:rPr>
          <w:tab/>
        </w:r>
        <w:r w:rsidR="00857F4E">
          <w:rPr>
            <w:noProof/>
            <w:webHidden/>
          </w:rPr>
          <w:fldChar w:fldCharType="begin"/>
        </w:r>
        <w:r w:rsidR="00857F4E">
          <w:rPr>
            <w:noProof/>
            <w:webHidden/>
          </w:rPr>
          <w:instrText xml:space="preserve"> PAGEREF _Toc398035913 \h </w:instrText>
        </w:r>
        <w:r w:rsidR="00857F4E">
          <w:rPr>
            <w:noProof/>
            <w:webHidden/>
          </w:rPr>
        </w:r>
        <w:r w:rsidR="00857F4E">
          <w:rPr>
            <w:noProof/>
            <w:webHidden/>
          </w:rPr>
          <w:fldChar w:fldCharType="separate"/>
        </w:r>
        <w:r w:rsidR="00857F4E">
          <w:rPr>
            <w:noProof/>
            <w:webHidden/>
          </w:rPr>
          <w:t>5</w:t>
        </w:r>
        <w:r w:rsidR="00857F4E">
          <w:rPr>
            <w:noProof/>
            <w:webHidden/>
          </w:rPr>
          <w:fldChar w:fldCharType="end"/>
        </w:r>
      </w:hyperlink>
    </w:p>
    <w:p w:rsidR="00857F4E" w:rsidRDefault="0088287B">
      <w:pPr>
        <w:pStyle w:val="TOC2"/>
        <w:tabs>
          <w:tab w:val="left" w:pos="851"/>
          <w:tab w:val="right" w:leader="dot" w:pos="8494"/>
        </w:tabs>
        <w:rPr>
          <w:rFonts w:asciiTheme="minorHAnsi" w:eastAsiaTheme="minorEastAsia" w:hAnsiTheme="minorHAnsi" w:cstheme="minorBidi"/>
          <w:noProof/>
          <w:sz w:val="22"/>
          <w:szCs w:val="22"/>
        </w:rPr>
      </w:pPr>
      <w:hyperlink w:anchor="_Toc398035914" w:history="1">
        <w:r w:rsidR="00857F4E" w:rsidRPr="00012300">
          <w:rPr>
            <w:rStyle w:val="Hyperlink"/>
            <w:noProof/>
          </w:rPr>
          <w:t>4.2.</w:t>
        </w:r>
        <w:r w:rsidR="00857F4E">
          <w:rPr>
            <w:rFonts w:asciiTheme="minorHAnsi" w:eastAsiaTheme="minorEastAsia" w:hAnsiTheme="minorHAnsi" w:cstheme="minorBidi"/>
            <w:noProof/>
            <w:sz w:val="22"/>
            <w:szCs w:val="22"/>
          </w:rPr>
          <w:tab/>
        </w:r>
        <w:r w:rsidR="00857F4E" w:rsidRPr="00012300">
          <w:rPr>
            <w:rStyle w:val="Hyperlink"/>
            <w:noProof/>
          </w:rPr>
          <w:t>Human Rights Implications</w:t>
        </w:r>
        <w:r w:rsidR="00857F4E">
          <w:rPr>
            <w:noProof/>
            <w:webHidden/>
          </w:rPr>
          <w:tab/>
        </w:r>
        <w:r w:rsidR="00857F4E">
          <w:rPr>
            <w:noProof/>
            <w:webHidden/>
          </w:rPr>
          <w:fldChar w:fldCharType="begin"/>
        </w:r>
        <w:r w:rsidR="00857F4E">
          <w:rPr>
            <w:noProof/>
            <w:webHidden/>
          </w:rPr>
          <w:instrText xml:space="preserve"> PAGEREF _Toc398035914 \h </w:instrText>
        </w:r>
        <w:r w:rsidR="00857F4E">
          <w:rPr>
            <w:noProof/>
            <w:webHidden/>
          </w:rPr>
        </w:r>
        <w:r w:rsidR="00857F4E">
          <w:rPr>
            <w:noProof/>
            <w:webHidden/>
          </w:rPr>
          <w:fldChar w:fldCharType="separate"/>
        </w:r>
        <w:r w:rsidR="00857F4E">
          <w:rPr>
            <w:noProof/>
            <w:webHidden/>
          </w:rPr>
          <w:t>5</w:t>
        </w:r>
        <w:r w:rsidR="00857F4E">
          <w:rPr>
            <w:noProof/>
            <w:webHidden/>
          </w:rPr>
          <w:fldChar w:fldCharType="end"/>
        </w:r>
      </w:hyperlink>
    </w:p>
    <w:p w:rsidR="00857F4E" w:rsidRDefault="0088287B">
      <w:pPr>
        <w:pStyle w:val="TOC2"/>
        <w:tabs>
          <w:tab w:val="left" w:pos="851"/>
          <w:tab w:val="right" w:leader="dot" w:pos="8494"/>
        </w:tabs>
        <w:rPr>
          <w:rFonts w:asciiTheme="minorHAnsi" w:eastAsiaTheme="minorEastAsia" w:hAnsiTheme="minorHAnsi" w:cstheme="minorBidi"/>
          <w:noProof/>
          <w:sz w:val="22"/>
          <w:szCs w:val="22"/>
        </w:rPr>
      </w:pPr>
      <w:hyperlink w:anchor="_Toc398035915" w:history="1">
        <w:r w:rsidR="00857F4E" w:rsidRPr="00012300">
          <w:rPr>
            <w:rStyle w:val="Hyperlink"/>
            <w:noProof/>
          </w:rPr>
          <w:t>4.3.</w:t>
        </w:r>
        <w:r w:rsidR="00857F4E">
          <w:rPr>
            <w:rFonts w:asciiTheme="minorHAnsi" w:eastAsiaTheme="minorEastAsia" w:hAnsiTheme="minorHAnsi" w:cstheme="minorBidi"/>
            <w:noProof/>
            <w:sz w:val="22"/>
            <w:szCs w:val="22"/>
          </w:rPr>
          <w:tab/>
        </w:r>
        <w:r w:rsidR="00857F4E" w:rsidRPr="00012300">
          <w:rPr>
            <w:rStyle w:val="Hyperlink"/>
            <w:noProof/>
          </w:rPr>
          <w:t>Conclusion</w:t>
        </w:r>
        <w:r w:rsidR="00857F4E">
          <w:rPr>
            <w:noProof/>
            <w:webHidden/>
          </w:rPr>
          <w:tab/>
        </w:r>
        <w:r w:rsidR="00857F4E">
          <w:rPr>
            <w:noProof/>
            <w:webHidden/>
          </w:rPr>
          <w:fldChar w:fldCharType="begin"/>
        </w:r>
        <w:r w:rsidR="00857F4E">
          <w:rPr>
            <w:noProof/>
            <w:webHidden/>
          </w:rPr>
          <w:instrText xml:space="preserve"> PAGEREF _Toc398035915 \h </w:instrText>
        </w:r>
        <w:r w:rsidR="00857F4E">
          <w:rPr>
            <w:noProof/>
            <w:webHidden/>
          </w:rPr>
        </w:r>
        <w:r w:rsidR="00857F4E">
          <w:rPr>
            <w:noProof/>
            <w:webHidden/>
          </w:rPr>
          <w:fldChar w:fldCharType="separate"/>
        </w:r>
        <w:r w:rsidR="00857F4E">
          <w:rPr>
            <w:noProof/>
            <w:webHidden/>
          </w:rPr>
          <w:t>5</w:t>
        </w:r>
        <w:r w:rsidR="00857F4E">
          <w:rPr>
            <w:noProof/>
            <w:webHidden/>
          </w:rPr>
          <w:fldChar w:fldCharType="end"/>
        </w:r>
      </w:hyperlink>
    </w:p>
    <w:p w:rsidR="00EF5654" w:rsidRDefault="00F71F61" w:rsidP="0077556E">
      <w:pPr>
        <w:tabs>
          <w:tab w:val="left" w:pos="900"/>
        </w:tabs>
      </w:pPr>
      <w:r>
        <w:fldChar w:fldCharType="end"/>
      </w:r>
    </w:p>
    <w:p w:rsidR="00EF5654" w:rsidRDefault="00EF5654" w:rsidP="0077556E">
      <w:pPr>
        <w:tabs>
          <w:tab w:val="left" w:pos="900"/>
        </w:tabs>
      </w:pPr>
    </w:p>
    <w:p w:rsidR="00EF5654" w:rsidRDefault="00EF5654" w:rsidP="0077556E">
      <w:pPr>
        <w:tabs>
          <w:tab w:val="left" w:pos="900"/>
        </w:tabs>
      </w:pPr>
    </w:p>
    <w:p w:rsidR="00EF5654" w:rsidRDefault="00EF5654" w:rsidP="0077556E">
      <w:pPr>
        <w:tabs>
          <w:tab w:val="left" w:pos="900"/>
        </w:tabs>
      </w:pPr>
    </w:p>
    <w:p w:rsidR="00EF5654" w:rsidRDefault="00EF5654" w:rsidP="0077556E">
      <w:pPr>
        <w:tabs>
          <w:tab w:val="left" w:pos="900"/>
        </w:tabs>
      </w:pPr>
    </w:p>
    <w:p w:rsidR="00EF5654" w:rsidRDefault="00EF5654" w:rsidP="0077556E">
      <w:pPr>
        <w:tabs>
          <w:tab w:val="left" w:pos="900"/>
        </w:tabs>
      </w:pPr>
    </w:p>
    <w:p w:rsidR="00EF5654" w:rsidRDefault="00EF5654" w:rsidP="0077556E">
      <w:pPr>
        <w:tabs>
          <w:tab w:val="left" w:pos="900"/>
        </w:tabs>
      </w:pPr>
    </w:p>
    <w:p w:rsidR="008F5656" w:rsidRDefault="002302FE" w:rsidP="0012676A">
      <w:pPr>
        <w:pStyle w:val="MainHeadding"/>
        <w:tabs>
          <w:tab w:val="left" w:pos="900"/>
        </w:tabs>
      </w:pPr>
      <w:r>
        <w:br w:type="page"/>
      </w:r>
      <w:bookmarkStart w:id="0" w:name="_Toc233445420"/>
      <w:bookmarkStart w:id="1" w:name="_Toc398035903"/>
      <w:r w:rsidR="0012676A">
        <w:lastRenderedPageBreak/>
        <w:t>legislative context</w:t>
      </w:r>
      <w:bookmarkEnd w:id="0"/>
      <w:bookmarkEnd w:id="1"/>
    </w:p>
    <w:p w:rsidR="003C5E51" w:rsidRPr="003C5E51" w:rsidRDefault="003C5E51" w:rsidP="00A01A9E">
      <w:pPr>
        <w:spacing w:after="240"/>
        <w:rPr>
          <w:rFonts w:cs="Arial"/>
          <w:i/>
        </w:rPr>
      </w:pPr>
      <w:r w:rsidRPr="00E50800">
        <w:rPr>
          <w:rFonts w:cs="Arial"/>
        </w:rPr>
        <w:t>Vehicle Standard (Australian Design Rule </w:t>
      </w:r>
      <w:r w:rsidR="002F1295" w:rsidRPr="00E50800">
        <w:t>50/00</w:t>
      </w:r>
      <w:r w:rsidRPr="00E50800">
        <w:rPr>
          <w:rFonts w:cs="Arial"/>
        </w:rPr>
        <w:t> </w:t>
      </w:r>
      <w:r w:rsidR="00BD1DD7" w:rsidRPr="00E50800">
        <w:rPr>
          <w:rFonts w:cs="Arial"/>
          <w:b/>
          <w:bCs/>
        </w:rPr>
        <w:t>–</w:t>
      </w:r>
      <w:r w:rsidRPr="00E50800">
        <w:rPr>
          <w:rFonts w:cs="Arial"/>
        </w:rPr>
        <w:t xml:space="preserve"> </w:t>
      </w:r>
      <w:r w:rsidR="003F04C6" w:rsidRPr="00E50800">
        <w:t>Front Fog Lamps</w:t>
      </w:r>
      <w:r w:rsidRPr="00E50800">
        <w:rPr>
          <w:rFonts w:cs="Arial"/>
        </w:rPr>
        <w:t xml:space="preserve">) </w:t>
      </w:r>
      <w:r w:rsidR="00764842" w:rsidRPr="00E50800">
        <w:t>200</w:t>
      </w:r>
      <w:r w:rsidR="003F04C6" w:rsidRPr="00E50800">
        <w:t>6</w:t>
      </w:r>
      <w:r w:rsidR="00E50800" w:rsidRPr="00E50800">
        <w:t xml:space="preserve"> </w:t>
      </w:r>
      <w:r w:rsidR="00E50800" w:rsidRPr="0012431C">
        <w:t>Amendment 2</w:t>
      </w:r>
      <w:r w:rsidRPr="003C5E51">
        <w:rPr>
          <w:rFonts w:cs="Arial"/>
        </w:rPr>
        <w:t xml:space="preserve"> is made under the </w:t>
      </w:r>
      <w:r w:rsidRPr="003C5E51">
        <w:rPr>
          <w:rFonts w:cs="Arial"/>
          <w:i/>
        </w:rPr>
        <w:t>Motor Vehicle Standards Act 1989</w:t>
      </w:r>
      <w:r w:rsidRPr="003C5E51">
        <w:rPr>
          <w:rFonts w:cs="Arial"/>
        </w:rPr>
        <w:t xml:space="preserve"> (the Act).  The Act enables the Australian Government to establish nationally uniform standards for road vehicles when they are first supplied to the market in Australia.  The Act applies to such vehicles whether they are manufactured in Australia or are imported as new or </w:t>
      </w:r>
      <w:r w:rsidR="001F6D57">
        <w:rPr>
          <w:rFonts w:cs="Arial"/>
        </w:rPr>
        <w:t xml:space="preserve">used </w:t>
      </w:r>
      <w:r w:rsidRPr="003C5E51">
        <w:rPr>
          <w:rFonts w:cs="Arial"/>
        </w:rPr>
        <w:t>vehicles.</w:t>
      </w:r>
    </w:p>
    <w:p w:rsidR="003C5E51" w:rsidRPr="004213DE" w:rsidRDefault="003C5E51" w:rsidP="00A01A9E">
      <w:pPr>
        <w:pStyle w:val="dot"/>
        <w:spacing w:after="240"/>
        <w:ind w:left="0" w:firstLine="0"/>
        <w:rPr>
          <w:rFonts w:ascii="Times New Roman" w:hAnsi="Times New Roman"/>
        </w:rPr>
      </w:pPr>
      <w:r w:rsidRPr="004213DE">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rsidR="003C5E51" w:rsidRDefault="003E3493" w:rsidP="00A01A9E">
      <w:pPr>
        <w:spacing w:after="240"/>
        <w:rPr>
          <w:rFonts w:cs="Arial"/>
        </w:rPr>
      </w:pPr>
      <w:r w:rsidRPr="00EC6915">
        <w:t>Vehicle Standard (Australian Design Rule </w:t>
      </w:r>
      <w:r w:rsidR="00CD7A10">
        <w:t>50</w:t>
      </w:r>
      <w:r w:rsidRPr="00EC6915">
        <w:t>/0</w:t>
      </w:r>
      <w:r w:rsidR="00CD7A10">
        <w:t>0</w:t>
      </w:r>
      <w:r w:rsidRPr="00EC6915">
        <w:t xml:space="preserve"> – </w:t>
      </w:r>
      <w:r w:rsidR="00CD7A10" w:rsidRPr="00CD7A10">
        <w:t>Front Fog Lamps</w:t>
      </w:r>
      <w:r w:rsidR="00CD7A10">
        <w:t>) 2006</w:t>
      </w:r>
      <w:r w:rsidRPr="00EC6915">
        <w:t xml:space="preserve"> (</w:t>
      </w:r>
      <w:r w:rsidR="00CD7A10">
        <w:t>ADR 50/00</w:t>
      </w:r>
      <w:r>
        <w:t xml:space="preserve">) </w:t>
      </w:r>
      <w:r w:rsidR="003C5E51" w:rsidRPr="003C5E51">
        <w:rPr>
          <w:rFonts w:cs="Arial"/>
        </w:rPr>
        <w:t xml:space="preserve">was originally determined </w:t>
      </w:r>
      <w:r w:rsidR="003C5E51" w:rsidRPr="00AF107A">
        <w:rPr>
          <w:rFonts w:cs="Arial"/>
        </w:rPr>
        <w:t xml:space="preserve">in </w:t>
      </w:r>
      <w:r w:rsidR="00CD7A10" w:rsidRPr="00AF107A">
        <w:rPr>
          <w:rFonts w:cs="Arial"/>
        </w:rPr>
        <w:t>2006</w:t>
      </w:r>
      <w:r w:rsidR="00E50800" w:rsidRPr="00AF107A">
        <w:rPr>
          <w:rFonts w:cs="Arial"/>
        </w:rPr>
        <w:t xml:space="preserve"> and was subsequently amended in 2010.</w:t>
      </w:r>
    </w:p>
    <w:p w:rsidR="003C5E51" w:rsidRDefault="0012676A" w:rsidP="00D73FF4">
      <w:pPr>
        <w:pStyle w:val="MainHeadding"/>
        <w:rPr>
          <w:rFonts w:cs="Arial"/>
        </w:rPr>
      </w:pPr>
      <w:bookmarkStart w:id="2" w:name="_Toc233445421"/>
      <w:bookmarkStart w:id="3" w:name="_Toc398035904"/>
      <w:r>
        <w:t xml:space="preserve">content and effect of ADR </w:t>
      </w:r>
      <w:r w:rsidR="002747E8">
        <w:t>50/00</w:t>
      </w:r>
      <w:r>
        <w:t xml:space="preserve"> </w:t>
      </w:r>
      <w:r w:rsidR="0060525B">
        <w:t xml:space="preserve">AND </w:t>
      </w:r>
      <w:r w:rsidR="006E10ED">
        <w:t xml:space="preserve">THE </w:t>
      </w:r>
      <w:r w:rsidR="0060525B">
        <w:t>AMENDMENT</w:t>
      </w:r>
      <w:bookmarkEnd w:id="2"/>
      <w:bookmarkEnd w:id="3"/>
    </w:p>
    <w:p w:rsidR="005D1AA0" w:rsidRDefault="008607BD" w:rsidP="008E39E7">
      <w:pPr>
        <w:pStyle w:val="Subsection"/>
        <w:ind w:hanging="993"/>
      </w:pPr>
      <w:bookmarkStart w:id="4" w:name="_Toc233445422"/>
      <w:bookmarkStart w:id="5" w:name="_Toc398035905"/>
      <w:r>
        <w:t>Overview of the ADR</w:t>
      </w:r>
      <w:bookmarkEnd w:id="4"/>
      <w:bookmarkEnd w:id="5"/>
    </w:p>
    <w:p w:rsidR="006B136A" w:rsidRDefault="00A6286B" w:rsidP="00830C02">
      <w:r>
        <w:t>ADR 50/00 specifies</w:t>
      </w:r>
      <w:r w:rsidR="008E1D47" w:rsidRPr="008E1D47">
        <w:t xml:space="preserve"> the photometric requirements for front fog lamps</w:t>
      </w:r>
      <w:r w:rsidR="00830C02">
        <w:t>.</w:t>
      </w:r>
      <w:r w:rsidR="006B136A">
        <w:t xml:space="preserve">  Its technical content is based on </w:t>
      </w:r>
      <w:r w:rsidR="006B136A" w:rsidRPr="00AF107A">
        <w:t xml:space="preserve">United Nations </w:t>
      </w:r>
      <w:r w:rsidR="000527EF" w:rsidRPr="008E39E7">
        <w:t xml:space="preserve">(UN) </w:t>
      </w:r>
      <w:r w:rsidR="006B136A">
        <w:t xml:space="preserve">Regulation </w:t>
      </w:r>
      <w:r w:rsidR="003115F2">
        <w:t xml:space="preserve">No. </w:t>
      </w:r>
      <w:r w:rsidR="006B136A">
        <w:t>19</w:t>
      </w:r>
      <w:r w:rsidR="00C871AE">
        <w:t xml:space="preserve"> (R 19)</w:t>
      </w:r>
      <w:r w:rsidR="006B136A">
        <w:t>.</w:t>
      </w:r>
    </w:p>
    <w:p w:rsidR="008607BD" w:rsidRDefault="003E3493" w:rsidP="008E39E7">
      <w:pPr>
        <w:pStyle w:val="Subsection"/>
        <w:ind w:hanging="993"/>
      </w:pPr>
      <w:bookmarkStart w:id="6" w:name="_Toc233445423"/>
      <w:bookmarkStart w:id="7" w:name="_Toc398035906"/>
      <w:r>
        <w:t>Effect of</w:t>
      </w:r>
      <w:r w:rsidR="008607BD">
        <w:t xml:space="preserve"> the ADR</w:t>
      </w:r>
      <w:bookmarkEnd w:id="6"/>
      <w:r w:rsidR="009B51D0">
        <w:t xml:space="preserve"> Amendment</w:t>
      </w:r>
      <w:bookmarkEnd w:id="7"/>
    </w:p>
    <w:p w:rsidR="0005688A" w:rsidRPr="008E39E7" w:rsidRDefault="007F682A" w:rsidP="008C4A9D">
      <w:pPr>
        <w:pStyle w:val="NumberList"/>
        <w:numPr>
          <w:ilvl w:val="0"/>
          <w:numId w:val="0"/>
        </w:numPr>
        <w:tabs>
          <w:tab w:val="clear" w:pos="1985"/>
        </w:tabs>
        <w:spacing w:before="120" w:line="240" w:lineRule="auto"/>
      </w:pPr>
      <w:r w:rsidRPr="008E39E7">
        <w:t xml:space="preserve">ADR </w:t>
      </w:r>
      <w:r w:rsidR="00D85286" w:rsidRPr="008E39E7">
        <w:t xml:space="preserve">50/00 currently </w:t>
      </w:r>
      <w:r w:rsidR="00FA4572" w:rsidRPr="008E39E7">
        <w:t>list</w:t>
      </w:r>
      <w:r w:rsidR="00E14A6A" w:rsidRPr="008E39E7">
        <w:t>s</w:t>
      </w:r>
      <w:r w:rsidR="00FA4572" w:rsidRPr="008E39E7">
        <w:t xml:space="preserve"> </w:t>
      </w:r>
      <w:r w:rsidR="008C4A9D" w:rsidRPr="008E39E7">
        <w:t>UN R</w:t>
      </w:r>
      <w:r w:rsidR="00107908">
        <w:t xml:space="preserve"> </w:t>
      </w:r>
      <w:r w:rsidR="008C4A9D" w:rsidRPr="008E39E7">
        <w:t>19</w:t>
      </w:r>
      <w:r w:rsidR="00D40B52" w:rsidRPr="008E39E7">
        <w:t>/</w:t>
      </w:r>
      <w:r w:rsidR="008C4A9D" w:rsidRPr="008E39E7">
        <w:t>03 as</w:t>
      </w:r>
      <w:r w:rsidR="00FA4572" w:rsidRPr="008E39E7">
        <w:t xml:space="preserve"> </w:t>
      </w:r>
      <w:r w:rsidR="00D85286" w:rsidRPr="008E39E7">
        <w:t xml:space="preserve">an </w:t>
      </w:r>
      <w:r w:rsidR="00FA4572" w:rsidRPr="008E39E7">
        <w:t xml:space="preserve">alternative </w:t>
      </w:r>
      <w:r w:rsidR="00835FAB" w:rsidRPr="008E39E7">
        <w:t>standard</w:t>
      </w:r>
      <w:r w:rsidR="00D85286" w:rsidRPr="008E39E7">
        <w:t xml:space="preserve">.  </w:t>
      </w:r>
      <w:r w:rsidR="008C4A9D" w:rsidRPr="008E39E7">
        <w:t>Th</w:t>
      </w:r>
      <w:r w:rsidR="001E3B9A">
        <w:t>is</w:t>
      </w:r>
      <w:r w:rsidR="008C4A9D" w:rsidRPr="008E39E7">
        <w:t xml:space="preserve"> </w:t>
      </w:r>
      <w:r w:rsidR="0012431C" w:rsidRPr="008E39E7">
        <w:t>amendment updates</w:t>
      </w:r>
      <w:r w:rsidR="0005688A" w:rsidRPr="008E39E7">
        <w:t xml:space="preserve"> </w:t>
      </w:r>
      <w:r w:rsidR="0005688A" w:rsidRPr="00AF107A">
        <w:t>the technical content of the ADR to that of</w:t>
      </w:r>
      <w:r w:rsidR="0005688A" w:rsidRPr="008E39E7">
        <w:t xml:space="preserve"> </w:t>
      </w:r>
      <w:r w:rsidR="00C0285C" w:rsidRPr="008E39E7">
        <w:t>UN R 19</w:t>
      </w:r>
      <w:r w:rsidR="0005688A" w:rsidRPr="008E39E7">
        <w:t>/04</w:t>
      </w:r>
      <w:r w:rsidR="00C0285C" w:rsidRPr="008E39E7">
        <w:t xml:space="preserve"> </w:t>
      </w:r>
      <w:r w:rsidR="00107908">
        <w:t>and will allow for UN R 19/04</w:t>
      </w:r>
      <w:r w:rsidR="0005688A" w:rsidRPr="00AF107A">
        <w:t xml:space="preserve"> as an alternative standard.</w:t>
      </w:r>
      <w:r w:rsidR="0005688A" w:rsidRPr="0005688A">
        <w:t xml:space="preserve"> The update will allow industry to increase the reference testing voltage from 12V to 13.2V. The result is no significant increase in actual light intensity of the front fog lamp.</w:t>
      </w:r>
    </w:p>
    <w:p w:rsidR="00C91881" w:rsidRDefault="00C91881" w:rsidP="007F682A"/>
    <w:p w:rsidR="00C91881" w:rsidRPr="007F682A" w:rsidRDefault="00C91881" w:rsidP="007F682A">
      <w:r>
        <w:t xml:space="preserve">These changes </w:t>
      </w:r>
      <w:r w:rsidR="00A0557F">
        <w:t>do</w:t>
      </w:r>
      <w:r>
        <w:t xml:space="preserve"> not increase the stringency of the ADR</w:t>
      </w:r>
      <w:r w:rsidR="00A0557F">
        <w:t>,</w:t>
      </w:r>
      <w:r>
        <w:t xml:space="preserve"> as </w:t>
      </w:r>
      <w:r w:rsidR="00A0557F">
        <w:t>an</w:t>
      </w:r>
      <w:r>
        <w:t xml:space="preserve"> alternative standard clause will </w:t>
      </w:r>
      <w:r w:rsidR="00D94E85">
        <w:t xml:space="preserve">continue to </w:t>
      </w:r>
      <w:r>
        <w:t>provide the option</w:t>
      </w:r>
      <w:r w:rsidR="008C4A9D">
        <w:t xml:space="preserve"> of complying with </w:t>
      </w:r>
      <w:r w:rsidR="00FD7FAF">
        <w:t xml:space="preserve">earlier versions of UN R 19. </w:t>
      </w:r>
    </w:p>
    <w:p w:rsidR="00A42C1E" w:rsidRDefault="00544B37" w:rsidP="009439F1">
      <w:pPr>
        <w:pStyle w:val="MainHeadding"/>
        <w:tabs>
          <w:tab w:val="left" w:pos="900"/>
        </w:tabs>
        <w:spacing w:after="240"/>
      </w:pPr>
      <w:bookmarkStart w:id="8" w:name="_Toc233445424"/>
      <w:bookmarkStart w:id="9" w:name="_Toc398035907"/>
      <w:r>
        <w:t>best practice regulation</w:t>
      </w:r>
      <w:bookmarkEnd w:id="8"/>
      <w:bookmarkEnd w:id="9"/>
    </w:p>
    <w:p w:rsidR="00544B37" w:rsidRPr="0012431C" w:rsidRDefault="00544B37" w:rsidP="00857F4E">
      <w:pPr>
        <w:pStyle w:val="Subsection"/>
        <w:spacing w:before="240" w:after="240"/>
        <w:ind w:left="992" w:hanging="992"/>
      </w:pPr>
      <w:bookmarkStart w:id="10" w:name="_Toc233445425"/>
      <w:bookmarkStart w:id="11" w:name="_Toc398035908"/>
      <w:r w:rsidRPr="0012431C">
        <w:t>Business Cost Calculator</w:t>
      </w:r>
      <w:bookmarkEnd w:id="10"/>
      <w:bookmarkEnd w:id="11"/>
    </w:p>
    <w:p w:rsidR="00862D3F" w:rsidRDefault="00857F4E" w:rsidP="00857F4E">
      <w:pPr>
        <w:spacing w:after="240"/>
      </w:pPr>
      <w:r>
        <w:t>It is estimated that this amendment</w:t>
      </w:r>
      <w:r w:rsidRPr="002A56B7">
        <w:t xml:space="preserve"> </w:t>
      </w:r>
      <w:r w:rsidRPr="00CD4E0D">
        <w:t>will provide savings of $</w:t>
      </w:r>
      <w:r>
        <w:t>1</w:t>
      </w:r>
      <w:r w:rsidRPr="00CD4E0D">
        <w:t>.4</w:t>
      </w:r>
      <w:r w:rsidR="0088287B">
        <w:t>6</w:t>
      </w:r>
      <w:r w:rsidRPr="00CD4E0D">
        <w:t xml:space="preserve"> million a year.</w:t>
      </w:r>
      <w:r>
        <w:t xml:space="preserve">  </w:t>
      </w:r>
      <w:bookmarkStart w:id="12" w:name="_GoBack"/>
      <w:bookmarkEnd w:id="12"/>
    </w:p>
    <w:p w:rsidR="000924EC" w:rsidRDefault="0012676A" w:rsidP="00857F4E">
      <w:pPr>
        <w:pStyle w:val="Subsection"/>
        <w:spacing w:before="240" w:after="240"/>
        <w:ind w:left="992" w:hanging="992"/>
      </w:pPr>
      <w:bookmarkStart w:id="13" w:name="_Toc233445426"/>
      <w:bookmarkStart w:id="14" w:name="_Toc398035909"/>
      <w:r>
        <w:t>General Consultation Arrangements</w:t>
      </w:r>
      <w:bookmarkEnd w:id="13"/>
      <w:bookmarkEnd w:id="14"/>
    </w:p>
    <w:p w:rsidR="006D4D27" w:rsidRDefault="006D4D27" w:rsidP="006D4D27">
      <w:pPr>
        <w:tabs>
          <w:tab w:val="right" w:pos="8222"/>
        </w:tabs>
        <w:spacing w:after="240"/>
        <w:rPr>
          <w:rFonts w:cs="Arial"/>
        </w:rPr>
      </w:pPr>
      <w:bookmarkStart w:id="15" w:name="_Toc167864618"/>
      <w:r w:rsidRPr="00EE2C80">
        <w:rPr>
          <w:rFonts w:cs="Arial"/>
        </w:rPr>
        <w:t xml:space="preserve">It </w:t>
      </w:r>
      <w:r w:rsidR="0099096C" w:rsidRPr="0099096C">
        <w:rPr>
          <w:rFonts w:cs="Arial"/>
        </w:rPr>
        <w:t>has been longstanding practice to consult widely on proposed new or amended vehicle standards.  For many years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w:t>
      </w:r>
      <w:r w:rsidRPr="00EE2C80">
        <w:rPr>
          <w:rFonts w:cs="Arial"/>
        </w:rPr>
        <w:t xml:space="preserve"> users.</w:t>
      </w:r>
    </w:p>
    <w:p w:rsidR="006D4D27" w:rsidRDefault="006D4D27" w:rsidP="006D4D27">
      <w:pPr>
        <w:tabs>
          <w:tab w:val="right" w:pos="8222"/>
        </w:tabs>
        <w:spacing w:after="240"/>
        <w:rPr>
          <w:rFonts w:cs="Arial"/>
        </w:rPr>
      </w:pPr>
      <w:r w:rsidRPr="002B1017">
        <w:rPr>
          <w:rFonts w:cs="Arial"/>
        </w:rPr>
        <w:lastRenderedPageBreak/>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p>
    <w:p w:rsidR="0050572A" w:rsidRDefault="0050572A" w:rsidP="0050572A">
      <w:pPr>
        <w:numPr>
          <w:ilvl w:val="0"/>
          <w:numId w:val="16"/>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50572A" w:rsidRDefault="0050572A" w:rsidP="0050572A">
      <w:pPr>
        <w:numPr>
          <w:ilvl w:val="0"/>
          <w:numId w:val="16"/>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rsidR="0050572A" w:rsidRDefault="0050572A" w:rsidP="0050572A">
      <w:pPr>
        <w:numPr>
          <w:ilvl w:val="0"/>
          <w:numId w:val="16"/>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50572A" w:rsidRPr="00A01A9E" w:rsidRDefault="0050572A" w:rsidP="0050572A">
      <w:pPr>
        <w:numPr>
          <w:ilvl w:val="0"/>
          <w:numId w:val="16"/>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50572A" w:rsidRPr="00A01A9E" w:rsidRDefault="0050572A" w:rsidP="0050572A">
      <w:pPr>
        <w:numPr>
          <w:ilvl w:val="0"/>
          <w:numId w:val="16"/>
        </w:numPr>
        <w:spacing w:after="240"/>
        <w:rPr>
          <w:rFonts w:cs="Arial"/>
        </w:rPr>
      </w:pPr>
      <w:r>
        <w:rPr>
          <w:rFonts w:cs="Arial"/>
        </w:rPr>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rsidR="006D4D27" w:rsidRDefault="006D4D27" w:rsidP="006D4D27">
      <w:pPr>
        <w:tabs>
          <w:tab w:val="left" w:pos="900"/>
        </w:tabs>
        <w:rPr>
          <w:rFonts w:cs="Arial"/>
        </w:rPr>
      </w:pPr>
      <w:r w:rsidRPr="002B1017">
        <w:rPr>
          <w:rFonts w:cs="Arial"/>
        </w:rPr>
        <w:t>Editorial changes and changes to correct errors are processed by the Department of Infrastructure and Regional Development.  This approach is only used where the amendments do not vary the intent of the vehicle standard.</w:t>
      </w:r>
    </w:p>
    <w:p w:rsidR="006D4D27" w:rsidRPr="00CA7971" w:rsidRDefault="006D4D27" w:rsidP="006D4D27">
      <w:pPr>
        <w:tabs>
          <w:tab w:val="left" w:pos="900"/>
        </w:tabs>
        <w:rPr>
          <w:rFonts w:cs="Arial"/>
        </w:rPr>
      </w:pPr>
    </w:p>
    <w:p w:rsidR="006D4D27" w:rsidRPr="00F11929" w:rsidRDefault="004D4100" w:rsidP="00F11929">
      <w:pPr>
        <w:spacing w:after="240"/>
        <w:rPr>
          <w:rFonts w:cs="Arial"/>
          <w:i/>
        </w:rPr>
      </w:pPr>
      <w:bookmarkStart w:id="16" w:name="_Toc390430618"/>
      <w:bookmarkStart w:id="17" w:name="_Toc391555451"/>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sidRPr="00867B73">
        <w:rPr>
          <w:rFonts w:cs="Arial"/>
          <w:i/>
        </w:rPr>
        <w:t>Best Practice Regulation Handbook</w:t>
      </w:r>
      <w:r w:rsidRPr="00867B73">
        <w:rPr>
          <w:rFonts w:cs="Arial"/>
        </w:rPr>
        <w:t xml:space="preserve"> and the Council of Australian Governments </w:t>
      </w:r>
      <w:r w:rsidRPr="00867B73">
        <w:rPr>
          <w:rFonts w:cs="Arial"/>
          <w:i/>
        </w:rPr>
        <w:t>Principles and Guidelines for National Standard Setting and Regulatory Action for Ministerial Councils and Standard-Setting Bodies</w:t>
      </w:r>
      <w:r>
        <w:rPr>
          <w:rFonts w:cs="Arial"/>
          <w:i/>
        </w:rPr>
        <w:t>.</w:t>
      </w:r>
      <w:bookmarkEnd w:id="15"/>
      <w:bookmarkEnd w:id="16"/>
      <w:bookmarkEnd w:id="17"/>
    </w:p>
    <w:p w:rsidR="0012676A" w:rsidRDefault="0012676A" w:rsidP="008E39E7">
      <w:pPr>
        <w:pStyle w:val="Subsection"/>
        <w:ind w:hanging="993"/>
      </w:pPr>
      <w:bookmarkStart w:id="18" w:name="_Toc233445427"/>
      <w:bookmarkStart w:id="19" w:name="_Toc398035910"/>
      <w:r>
        <w:t>Specific Consultation Arrangements for this Vehicle Standard</w:t>
      </w:r>
      <w:bookmarkEnd w:id="18"/>
      <w:bookmarkEnd w:id="19"/>
    </w:p>
    <w:p w:rsidR="00857F4E" w:rsidRPr="00857F4E" w:rsidRDefault="00857F4E" w:rsidP="00857F4E">
      <w:pPr>
        <w:pStyle w:val="MainHeadding"/>
        <w:numPr>
          <w:ilvl w:val="0"/>
          <w:numId w:val="0"/>
        </w:numPr>
        <w:rPr>
          <w:b w:val="0"/>
          <w:caps w:val="0"/>
        </w:rPr>
      </w:pPr>
      <w:r w:rsidRPr="00857F4E">
        <w:rPr>
          <w:b w:val="0"/>
          <w:caps w:val="0"/>
        </w:rPr>
        <w:t>The proposal was provided to AMVCB and TLG members in March 2014 and to</w:t>
      </w:r>
      <w:r>
        <w:rPr>
          <w:b w:val="0"/>
          <w:caps w:val="0"/>
        </w:rPr>
        <w:t xml:space="preserve"> </w:t>
      </w:r>
      <w:r w:rsidRPr="00857F4E">
        <w:rPr>
          <w:b w:val="0"/>
          <w:caps w:val="0"/>
        </w:rPr>
        <w:t>SVSEG members in May 2014.  No object</w:t>
      </w:r>
      <w:r>
        <w:rPr>
          <w:b w:val="0"/>
          <w:caps w:val="0"/>
        </w:rPr>
        <w:t>ions were subsequently raised.</w:t>
      </w:r>
    </w:p>
    <w:p w:rsidR="001613E5" w:rsidRDefault="00914AC5" w:rsidP="00A70F5B">
      <w:pPr>
        <w:spacing w:after="240"/>
      </w:pPr>
      <w:r>
        <w:t xml:space="preserve">As </w:t>
      </w:r>
      <w:r w:rsidR="00054065" w:rsidRPr="00054065">
        <w:t xml:space="preserve">the amendment is minor in nature, and does not increase the stringency of the ADR, there is no need for further consultation through TISOC, the Transport and Infrastructure Council, or the public comment </w:t>
      </w:r>
      <w:r w:rsidR="00AB08AB" w:rsidRPr="008E39E7">
        <w:t>process.</w:t>
      </w:r>
    </w:p>
    <w:p w:rsidR="00DB4CF7" w:rsidRDefault="00DB4CF7" w:rsidP="008E39E7">
      <w:pPr>
        <w:pStyle w:val="Subsection"/>
        <w:ind w:hanging="993"/>
      </w:pPr>
      <w:bookmarkStart w:id="20" w:name="_Toc233445428"/>
      <w:bookmarkStart w:id="21" w:name="_Toc398035911"/>
      <w:r>
        <w:t>Regulation Impact Statement</w:t>
      </w:r>
      <w:bookmarkEnd w:id="20"/>
      <w:bookmarkEnd w:id="21"/>
    </w:p>
    <w:p w:rsidR="00DB4CF7" w:rsidRDefault="00DB4CF7" w:rsidP="00DB4CF7">
      <w:pPr>
        <w:spacing w:after="240"/>
      </w:pPr>
      <w:r>
        <w:lastRenderedPageBreak/>
        <w:t xml:space="preserve">As the proposed amendment does not increase the stringency of the ADR, a Regulation Impact Statement is not required. </w:t>
      </w:r>
    </w:p>
    <w:p w:rsidR="00DB4CF7" w:rsidRDefault="00DB4CF7" w:rsidP="00DB4CF7">
      <w:r>
        <w:t xml:space="preserve">Since the decision is made by the </w:t>
      </w:r>
      <w:r w:rsidR="00A15DDF">
        <w:t xml:space="preserve">Assistant </w:t>
      </w:r>
      <w:r>
        <w:t>Minister for Infrastructure and Regional Development without reference t</w:t>
      </w:r>
      <w:r w:rsidRPr="00A15DDF">
        <w:t xml:space="preserve">o the </w:t>
      </w:r>
      <w:r w:rsidR="00AB08AB" w:rsidRPr="008E39E7">
        <w:t>Transport and Infrastructure Council</w:t>
      </w:r>
      <w:r>
        <w:t xml:space="preserve"> and the proposal is not considered significant, the Office of Best Practice Regulation requirements have been met for this regulatory proposal (OBPR Reference </w:t>
      </w:r>
      <w:r w:rsidRPr="006E48B3">
        <w:t>No</w:t>
      </w:r>
      <w:r w:rsidRPr="006F5593">
        <w:t xml:space="preserve">. </w:t>
      </w:r>
      <w:r w:rsidRPr="0012431C">
        <w:t>17130</w:t>
      </w:r>
      <w:r w:rsidRPr="006E48B3">
        <w:t>).</w:t>
      </w:r>
    </w:p>
    <w:p w:rsidR="006D4D27" w:rsidRPr="00CA7971" w:rsidRDefault="006D4D27" w:rsidP="006D4D27">
      <w:pPr>
        <w:pStyle w:val="MainHeadding"/>
        <w:tabs>
          <w:tab w:val="left" w:pos="900"/>
        </w:tabs>
      </w:pPr>
      <w:bookmarkStart w:id="22" w:name="_Toc393196470"/>
      <w:bookmarkStart w:id="23" w:name="_Toc398035912"/>
      <w:r w:rsidRPr="00CA7971">
        <w:t>STATEMENT OF COMPATIBILITY WITH HUMAN RIGHTS</w:t>
      </w:r>
      <w:bookmarkEnd w:id="22"/>
      <w:bookmarkEnd w:id="23"/>
    </w:p>
    <w:p w:rsidR="006D4D27" w:rsidRPr="00CA7971" w:rsidRDefault="006D4D27" w:rsidP="006D4D27">
      <w:r w:rsidRPr="00CA7971">
        <w:t xml:space="preserve">The following Statement is prepared in accordance with Part 3 of the </w:t>
      </w:r>
      <w:r w:rsidRPr="00CA7971">
        <w:rPr>
          <w:i/>
          <w:iCs/>
        </w:rPr>
        <w:t>Human Rights (Parliamentary Scrutiny) Act 2011.</w:t>
      </w:r>
      <w:r w:rsidRPr="00CA7971">
        <w:t xml:space="preserve"> </w:t>
      </w:r>
    </w:p>
    <w:p w:rsidR="006D4D27" w:rsidRPr="00CA7971" w:rsidRDefault="006D4D27" w:rsidP="008E39E7">
      <w:pPr>
        <w:pStyle w:val="Subsection"/>
        <w:ind w:hanging="993"/>
      </w:pPr>
      <w:bookmarkStart w:id="24" w:name="_Toc318271646"/>
      <w:bookmarkStart w:id="25" w:name="_Toc317171518"/>
      <w:bookmarkStart w:id="26" w:name="_Toc317171392"/>
      <w:bookmarkStart w:id="27" w:name="_Toc318272905"/>
      <w:bookmarkStart w:id="28" w:name="_Toc319402530"/>
      <w:bookmarkStart w:id="29" w:name="_Toc390430620"/>
      <w:bookmarkStart w:id="30" w:name="_Toc391555453"/>
      <w:bookmarkStart w:id="31" w:name="_Toc393196471"/>
      <w:bookmarkStart w:id="32" w:name="_Toc398035913"/>
      <w:r w:rsidRPr="00CA7971">
        <w:t>Overview of the Legislative Instrument</w:t>
      </w:r>
      <w:bookmarkEnd w:id="24"/>
      <w:bookmarkEnd w:id="25"/>
      <w:bookmarkEnd w:id="26"/>
      <w:bookmarkEnd w:id="27"/>
      <w:bookmarkEnd w:id="28"/>
      <w:bookmarkEnd w:id="29"/>
      <w:bookmarkEnd w:id="30"/>
      <w:bookmarkEnd w:id="31"/>
      <w:bookmarkEnd w:id="32"/>
    </w:p>
    <w:p w:rsidR="006D4D27" w:rsidRDefault="006D4D27" w:rsidP="006D4D27">
      <w:r w:rsidRPr="008E39E7">
        <w:t xml:space="preserve">This amendment allows </w:t>
      </w:r>
      <w:r w:rsidR="00F11929" w:rsidRPr="008E39E7">
        <w:t>for ADR 50/00 to adopt the UN R 19/04 as</w:t>
      </w:r>
      <w:r w:rsidRPr="008E39E7">
        <w:t xml:space="preserve"> a further alternative standard</w:t>
      </w:r>
      <w:r w:rsidR="00F11929" w:rsidRPr="008E39E7">
        <w:t xml:space="preserve"> for front fog lamps</w:t>
      </w:r>
      <w:r w:rsidRPr="008E39E7">
        <w:t>.</w:t>
      </w:r>
    </w:p>
    <w:p w:rsidR="006D4D27" w:rsidRPr="00CA7971" w:rsidRDefault="006D4D27" w:rsidP="008E39E7">
      <w:pPr>
        <w:pStyle w:val="Subsection"/>
        <w:ind w:hanging="993"/>
      </w:pPr>
      <w:bookmarkStart w:id="33" w:name="_Toc318271647"/>
      <w:bookmarkStart w:id="34" w:name="_Toc317171519"/>
      <w:bookmarkStart w:id="35" w:name="_Toc317171393"/>
      <w:bookmarkStart w:id="36" w:name="_Toc318272906"/>
      <w:bookmarkStart w:id="37" w:name="_Toc319402531"/>
      <w:bookmarkStart w:id="38" w:name="_Toc390430621"/>
      <w:bookmarkStart w:id="39" w:name="_Toc391555454"/>
      <w:bookmarkStart w:id="40" w:name="_Toc393196472"/>
      <w:bookmarkStart w:id="41" w:name="_Toc398035914"/>
      <w:r w:rsidRPr="00CA7971">
        <w:t>Human Rights Implications</w:t>
      </w:r>
      <w:bookmarkEnd w:id="33"/>
      <w:bookmarkEnd w:id="34"/>
      <w:bookmarkEnd w:id="35"/>
      <w:bookmarkEnd w:id="36"/>
      <w:bookmarkEnd w:id="37"/>
      <w:bookmarkEnd w:id="38"/>
      <w:bookmarkEnd w:id="39"/>
      <w:bookmarkEnd w:id="40"/>
      <w:bookmarkEnd w:id="41"/>
    </w:p>
    <w:p w:rsidR="006D4D27" w:rsidRDefault="006D4D27" w:rsidP="006D4D27">
      <w:bookmarkStart w:id="42" w:name="_Toc319402532"/>
      <w:r w:rsidRPr="00194C83">
        <w:t xml:space="preserve">This amendment to </w:t>
      </w:r>
      <w:r w:rsidRPr="00F11929">
        <w:t>ADR</w:t>
      </w:r>
      <w:r w:rsidR="00F11929" w:rsidRPr="00F11929">
        <w:t xml:space="preserve"> 50/00</w:t>
      </w:r>
      <w:r w:rsidRPr="00F11929">
        <w:t xml:space="preserve"> does</w:t>
      </w:r>
      <w:r w:rsidRPr="00194C83">
        <w:t xml:space="preserve"> not engage any of the human rights and freedoms recognised or declared in the international instruments listed in section 3 of the </w:t>
      </w:r>
      <w:r w:rsidRPr="00E45699">
        <w:rPr>
          <w:i/>
        </w:rPr>
        <w:t>Human Rights (Parliamentary Scrutiny) Act 2011</w:t>
      </w:r>
      <w:r w:rsidRPr="00194C83">
        <w:t>.</w:t>
      </w:r>
    </w:p>
    <w:p w:rsidR="006D4D27" w:rsidRPr="00CA7971" w:rsidRDefault="006D4D27" w:rsidP="008E39E7">
      <w:pPr>
        <w:pStyle w:val="Subsection"/>
        <w:ind w:hanging="993"/>
      </w:pPr>
      <w:bookmarkStart w:id="43" w:name="_Toc391555455"/>
      <w:bookmarkStart w:id="44" w:name="_Toc393196473"/>
      <w:bookmarkStart w:id="45" w:name="_Toc398035915"/>
      <w:r w:rsidRPr="00CA7971">
        <w:t>Conclusion</w:t>
      </w:r>
      <w:bookmarkEnd w:id="42"/>
      <w:bookmarkEnd w:id="43"/>
      <w:bookmarkEnd w:id="44"/>
      <w:bookmarkEnd w:id="45"/>
    </w:p>
    <w:p w:rsidR="00A90916" w:rsidRPr="008607BD" w:rsidRDefault="006D4D27" w:rsidP="00B27D69">
      <w:r w:rsidRPr="00194C83">
        <w:t xml:space="preserve">This amendment </w:t>
      </w:r>
      <w:r w:rsidRPr="00F11929">
        <w:t xml:space="preserve">to </w:t>
      </w:r>
      <w:r w:rsidR="00F11929" w:rsidRPr="00F11929">
        <w:t>ADR 50/00</w:t>
      </w:r>
      <w:r w:rsidRPr="00194C83">
        <w:t xml:space="preserve"> is compatible with human rights as it does not raise any human rights issues.</w:t>
      </w:r>
    </w:p>
    <w:sectPr w:rsidR="00A90916" w:rsidRPr="008607BD" w:rsidSect="00857F4E">
      <w:pgSz w:w="11906" w:h="16838"/>
      <w:pgMar w:top="1440" w:right="1701" w:bottom="1440"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A4" w:rsidRDefault="001569A4">
      <w:r>
        <w:separator/>
      </w:r>
    </w:p>
  </w:endnote>
  <w:endnote w:type="continuationSeparator" w:id="0">
    <w:p w:rsidR="001569A4" w:rsidRDefault="0015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D85286" w:rsidTr="005E3D12">
      <w:tc>
        <w:tcPr>
          <w:tcW w:w="2906" w:type="dxa"/>
        </w:tcPr>
        <w:p w:rsidR="00D85286" w:rsidRDefault="00D85286">
          <w:pPr>
            <w:pStyle w:val="Footer"/>
          </w:pPr>
        </w:p>
      </w:tc>
      <w:tc>
        <w:tcPr>
          <w:tcW w:w="2907" w:type="dxa"/>
        </w:tcPr>
        <w:p w:rsidR="00D85286" w:rsidRDefault="00D85286">
          <w:pPr>
            <w:pStyle w:val="Footer"/>
          </w:pPr>
        </w:p>
      </w:tc>
      <w:tc>
        <w:tcPr>
          <w:tcW w:w="2907" w:type="dxa"/>
        </w:tcPr>
        <w:p w:rsidR="00D85286" w:rsidRDefault="00D85286">
          <w:pPr>
            <w:pStyle w:val="Footer"/>
          </w:pPr>
        </w:p>
      </w:tc>
    </w:tr>
  </w:tbl>
  <w:p w:rsidR="00D85286" w:rsidRDefault="00D85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A4" w:rsidRDefault="001569A4">
      <w:r>
        <w:separator/>
      </w:r>
    </w:p>
  </w:footnote>
  <w:footnote w:type="continuationSeparator" w:id="0">
    <w:p w:rsidR="001569A4" w:rsidRDefault="00156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D85286" w:rsidRPr="005E3D12" w:rsidTr="005E3D12">
      <w:tc>
        <w:tcPr>
          <w:tcW w:w="7668" w:type="dxa"/>
        </w:tcPr>
        <w:p w:rsidR="00F71F61" w:rsidRPr="00F71F61" w:rsidRDefault="00F71F61" w:rsidP="00F71F61">
          <w:pPr>
            <w:pStyle w:val="Header"/>
            <w:rPr>
              <w:szCs w:val="20"/>
            </w:rPr>
          </w:pPr>
          <w:r w:rsidRPr="00F71F61">
            <w:rPr>
              <w:szCs w:val="20"/>
            </w:rPr>
            <w:t>Explanatory Statement</w:t>
          </w:r>
        </w:p>
        <w:p w:rsidR="00D85286" w:rsidRPr="005E3D12" w:rsidRDefault="00F71F61" w:rsidP="00F71F61">
          <w:pPr>
            <w:pStyle w:val="Header"/>
            <w:rPr>
              <w:szCs w:val="20"/>
            </w:rPr>
          </w:pPr>
          <w:r w:rsidRPr="00F71F61">
            <w:rPr>
              <w:szCs w:val="20"/>
            </w:rPr>
            <w:t>Vehicle Standard (Australian Design Ru</w:t>
          </w:r>
          <w:r>
            <w:rPr>
              <w:szCs w:val="20"/>
            </w:rPr>
            <w:t>le 50/00 – Front Fog Lamps)</w:t>
          </w:r>
          <w:r w:rsidRPr="00F71F61">
            <w:rPr>
              <w:szCs w:val="20"/>
            </w:rPr>
            <w:t xml:space="preserve"> 2006 Amendment 2</w:t>
          </w:r>
        </w:p>
      </w:tc>
      <w:tc>
        <w:tcPr>
          <w:tcW w:w="1052" w:type="dxa"/>
        </w:tcPr>
        <w:p w:rsidR="00D85286" w:rsidRPr="005E3D12" w:rsidRDefault="00D85286" w:rsidP="005E3D12">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sidR="0088287B">
            <w:rPr>
              <w:rStyle w:val="PageNumber"/>
              <w:noProof/>
            </w:rPr>
            <w:t>1</w:t>
          </w:r>
          <w:r>
            <w:rPr>
              <w:rStyle w:val="PageNumber"/>
            </w:rPr>
            <w:fldChar w:fldCharType="end"/>
          </w:r>
        </w:p>
      </w:tc>
    </w:tr>
  </w:tbl>
  <w:p w:rsidR="00D85286" w:rsidRPr="00791D27" w:rsidRDefault="00D85286" w:rsidP="00791D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C63"/>
    <w:multiLevelType w:val="hybridMultilevel"/>
    <w:tmpl w:val="06703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D960EC"/>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
    <w:nsid w:val="12311F18"/>
    <w:multiLevelType w:val="hybridMultilevel"/>
    <w:tmpl w:val="1480BE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614325C"/>
    <w:multiLevelType w:val="hybridMultilevel"/>
    <w:tmpl w:val="5D54C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DF02FA"/>
    <w:multiLevelType w:val="multilevel"/>
    <w:tmpl w:val="EC306A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nsid w:val="192B3939"/>
    <w:multiLevelType w:val="hybridMultilevel"/>
    <w:tmpl w:val="0374CA22"/>
    <w:lvl w:ilvl="0" w:tplc="B4080BE6">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B7736FF"/>
    <w:multiLevelType w:val="hybridMultilevel"/>
    <w:tmpl w:val="95ECE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C044B5"/>
    <w:multiLevelType w:val="hybridMultilevel"/>
    <w:tmpl w:val="14569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E147C8"/>
    <w:multiLevelType w:val="hybridMultilevel"/>
    <w:tmpl w:val="4D949BC8"/>
    <w:lvl w:ilvl="0" w:tplc="29A4D7C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7113D9"/>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nsid w:val="498826DC"/>
    <w:multiLevelType w:val="singleLevel"/>
    <w:tmpl w:val="EE6E8E3E"/>
    <w:lvl w:ilvl="0">
      <w:start w:val="3"/>
      <w:numFmt w:val="lowerLetter"/>
      <w:lvlText w:val="(%1)"/>
      <w:lvlJc w:val="left"/>
      <w:pPr>
        <w:tabs>
          <w:tab w:val="num" w:pos="1140"/>
        </w:tabs>
        <w:ind w:left="1140" w:hanging="570"/>
      </w:pPr>
      <w:rPr>
        <w:rFonts w:hint="default"/>
      </w:rPr>
    </w:lvl>
  </w:abstractNum>
  <w:abstractNum w:abstractNumId="12">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993"/>
        </w:tabs>
        <w:ind w:left="993"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6">
    <w:nsid w:val="5F3D6657"/>
    <w:multiLevelType w:val="hybridMultilevel"/>
    <w:tmpl w:val="ECCA81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D161530"/>
    <w:multiLevelType w:val="hybridMultilevel"/>
    <w:tmpl w:val="F9CCAC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
  </w:num>
  <w:num w:numId="4">
    <w:abstractNumId w:val="12"/>
  </w:num>
  <w:num w:numId="5">
    <w:abstractNumId w:val="11"/>
  </w:num>
  <w:num w:numId="6">
    <w:abstractNumId w:val="4"/>
  </w:num>
  <w:num w:numId="7">
    <w:abstractNumId w:val="17"/>
  </w:num>
  <w:num w:numId="8">
    <w:abstractNumId w:val="16"/>
  </w:num>
  <w:num w:numId="9">
    <w:abstractNumId w:val="18"/>
  </w:num>
  <w:num w:numId="10">
    <w:abstractNumId w:val="2"/>
  </w:num>
  <w:num w:numId="11">
    <w:abstractNumId w:val="6"/>
  </w:num>
  <w:num w:numId="12">
    <w:abstractNumId w:val="8"/>
  </w:num>
  <w:num w:numId="13">
    <w:abstractNumId w:val="7"/>
  </w:num>
  <w:num w:numId="14">
    <w:abstractNumId w:val="0"/>
  </w:num>
  <w:num w:numId="15">
    <w:abstractNumId w:val="3"/>
  </w:num>
  <w:num w:numId="16">
    <w:abstractNumId w:val="13"/>
  </w:num>
  <w:num w:numId="17">
    <w:abstractNumId w:val="15"/>
  </w:num>
  <w:num w:numId="18">
    <w:abstractNumId w:val="5"/>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65"/>
    <w:rsid w:val="0002630C"/>
    <w:rsid w:val="00032B07"/>
    <w:rsid w:val="00037A21"/>
    <w:rsid w:val="00040774"/>
    <w:rsid w:val="000414DC"/>
    <w:rsid w:val="000527EF"/>
    <w:rsid w:val="00054065"/>
    <w:rsid w:val="0005688A"/>
    <w:rsid w:val="00057FA1"/>
    <w:rsid w:val="000622D8"/>
    <w:rsid w:val="0007065B"/>
    <w:rsid w:val="0007389D"/>
    <w:rsid w:val="00085BD2"/>
    <w:rsid w:val="000918C7"/>
    <w:rsid w:val="000924EC"/>
    <w:rsid w:val="000971FE"/>
    <w:rsid w:val="000E18E9"/>
    <w:rsid w:val="000E65B3"/>
    <w:rsid w:val="000F718D"/>
    <w:rsid w:val="00101D6B"/>
    <w:rsid w:val="001028EA"/>
    <w:rsid w:val="00107908"/>
    <w:rsid w:val="0012431C"/>
    <w:rsid w:val="0012676A"/>
    <w:rsid w:val="0014782B"/>
    <w:rsid w:val="001512D4"/>
    <w:rsid w:val="00151753"/>
    <w:rsid w:val="001569A4"/>
    <w:rsid w:val="00160C40"/>
    <w:rsid w:val="001613E5"/>
    <w:rsid w:val="00164B04"/>
    <w:rsid w:val="00173012"/>
    <w:rsid w:val="0017322D"/>
    <w:rsid w:val="0017442C"/>
    <w:rsid w:val="00177DF1"/>
    <w:rsid w:val="00184A9D"/>
    <w:rsid w:val="001A0F1B"/>
    <w:rsid w:val="001A5178"/>
    <w:rsid w:val="001A6B65"/>
    <w:rsid w:val="001B2910"/>
    <w:rsid w:val="001B38AA"/>
    <w:rsid w:val="001C41FE"/>
    <w:rsid w:val="001E3B9A"/>
    <w:rsid w:val="001E4F5A"/>
    <w:rsid w:val="001F6D57"/>
    <w:rsid w:val="002058AB"/>
    <w:rsid w:val="002208E6"/>
    <w:rsid w:val="00220D9B"/>
    <w:rsid w:val="002302FE"/>
    <w:rsid w:val="002324D8"/>
    <w:rsid w:val="002372B0"/>
    <w:rsid w:val="00242031"/>
    <w:rsid w:val="00242A55"/>
    <w:rsid w:val="002502C6"/>
    <w:rsid w:val="00264FE1"/>
    <w:rsid w:val="00270C35"/>
    <w:rsid w:val="00271DB8"/>
    <w:rsid w:val="002747E8"/>
    <w:rsid w:val="00283350"/>
    <w:rsid w:val="00290D86"/>
    <w:rsid w:val="00294297"/>
    <w:rsid w:val="00296D0E"/>
    <w:rsid w:val="002D1A0B"/>
    <w:rsid w:val="002D1CB2"/>
    <w:rsid w:val="002F1295"/>
    <w:rsid w:val="002F1C45"/>
    <w:rsid w:val="003115F2"/>
    <w:rsid w:val="003148ED"/>
    <w:rsid w:val="003149B0"/>
    <w:rsid w:val="00314B11"/>
    <w:rsid w:val="003165F0"/>
    <w:rsid w:val="00320565"/>
    <w:rsid w:val="00324934"/>
    <w:rsid w:val="003447E5"/>
    <w:rsid w:val="00346FFB"/>
    <w:rsid w:val="003507BE"/>
    <w:rsid w:val="0035114D"/>
    <w:rsid w:val="003631C9"/>
    <w:rsid w:val="00385530"/>
    <w:rsid w:val="00394D55"/>
    <w:rsid w:val="003C5E51"/>
    <w:rsid w:val="003E33DD"/>
    <w:rsid w:val="003E3493"/>
    <w:rsid w:val="003F04C6"/>
    <w:rsid w:val="003F4005"/>
    <w:rsid w:val="00400B45"/>
    <w:rsid w:val="004153A5"/>
    <w:rsid w:val="004213DE"/>
    <w:rsid w:val="004364CC"/>
    <w:rsid w:val="00440451"/>
    <w:rsid w:val="00445FB7"/>
    <w:rsid w:val="00452FA4"/>
    <w:rsid w:val="00472089"/>
    <w:rsid w:val="00473F4E"/>
    <w:rsid w:val="00484D60"/>
    <w:rsid w:val="004A0EE7"/>
    <w:rsid w:val="004A3842"/>
    <w:rsid w:val="004C3006"/>
    <w:rsid w:val="004C38E2"/>
    <w:rsid w:val="004C7F6B"/>
    <w:rsid w:val="004D4100"/>
    <w:rsid w:val="004E3D99"/>
    <w:rsid w:val="004F00D5"/>
    <w:rsid w:val="004F5A5A"/>
    <w:rsid w:val="004F76A0"/>
    <w:rsid w:val="005022D5"/>
    <w:rsid w:val="00503618"/>
    <w:rsid w:val="0050572A"/>
    <w:rsid w:val="00507423"/>
    <w:rsid w:val="00520BE9"/>
    <w:rsid w:val="005308E5"/>
    <w:rsid w:val="00532D6E"/>
    <w:rsid w:val="00541552"/>
    <w:rsid w:val="00544B37"/>
    <w:rsid w:val="00550132"/>
    <w:rsid w:val="00551BC4"/>
    <w:rsid w:val="00552298"/>
    <w:rsid w:val="00571B87"/>
    <w:rsid w:val="00573C97"/>
    <w:rsid w:val="00577197"/>
    <w:rsid w:val="005A10DB"/>
    <w:rsid w:val="005A6251"/>
    <w:rsid w:val="005C05A4"/>
    <w:rsid w:val="005D1AA0"/>
    <w:rsid w:val="005D23A1"/>
    <w:rsid w:val="005D3377"/>
    <w:rsid w:val="005E3D12"/>
    <w:rsid w:val="005F4E18"/>
    <w:rsid w:val="00600ACF"/>
    <w:rsid w:val="0060525B"/>
    <w:rsid w:val="00613F24"/>
    <w:rsid w:val="00625E54"/>
    <w:rsid w:val="00641A9C"/>
    <w:rsid w:val="0064254B"/>
    <w:rsid w:val="00647FC2"/>
    <w:rsid w:val="006569BF"/>
    <w:rsid w:val="00686958"/>
    <w:rsid w:val="006944B9"/>
    <w:rsid w:val="006B136A"/>
    <w:rsid w:val="006B3B3F"/>
    <w:rsid w:val="006B6EA7"/>
    <w:rsid w:val="006C00E9"/>
    <w:rsid w:val="006C16E3"/>
    <w:rsid w:val="006C68CD"/>
    <w:rsid w:val="006D4D27"/>
    <w:rsid w:val="006E10ED"/>
    <w:rsid w:val="006E13CB"/>
    <w:rsid w:val="006E177F"/>
    <w:rsid w:val="006E48B3"/>
    <w:rsid w:val="006F5593"/>
    <w:rsid w:val="007136C2"/>
    <w:rsid w:val="007156A9"/>
    <w:rsid w:val="007218BC"/>
    <w:rsid w:val="00744E6E"/>
    <w:rsid w:val="00745E2F"/>
    <w:rsid w:val="007507CF"/>
    <w:rsid w:val="00764842"/>
    <w:rsid w:val="007659A4"/>
    <w:rsid w:val="00772355"/>
    <w:rsid w:val="0077556E"/>
    <w:rsid w:val="00791D27"/>
    <w:rsid w:val="007931B8"/>
    <w:rsid w:val="007931EF"/>
    <w:rsid w:val="00796126"/>
    <w:rsid w:val="007966F9"/>
    <w:rsid w:val="007A55C6"/>
    <w:rsid w:val="007A731E"/>
    <w:rsid w:val="007B4DEE"/>
    <w:rsid w:val="007F1AC1"/>
    <w:rsid w:val="007F4C2B"/>
    <w:rsid w:val="007F682A"/>
    <w:rsid w:val="00811FC5"/>
    <w:rsid w:val="00816FC9"/>
    <w:rsid w:val="00830C02"/>
    <w:rsid w:val="00835FAB"/>
    <w:rsid w:val="0084242A"/>
    <w:rsid w:val="00844161"/>
    <w:rsid w:val="00844AD1"/>
    <w:rsid w:val="00851580"/>
    <w:rsid w:val="008553C3"/>
    <w:rsid w:val="00857F4E"/>
    <w:rsid w:val="008607BD"/>
    <w:rsid w:val="00862D3F"/>
    <w:rsid w:val="00865ED7"/>
    <w:rsid w:val="0088287B"/>
    <w:rsid w:val="008A16DC"/>
    <w:rsid w:val="008A266D"/>
    <w:rsid w:val="008B2F44"/>
    <w:rsid w:val="008B7704"/>
    <w:rsid w:val="008C4A9D"/>
    <w:rsid w:val="008E1B05"/>
    <w:rsid w:val="008E1D47"/>
    <w:rsid w:val="008E39E7"/>
    <w:rsid w:val="008E5C06"/>
    <w:rsid w:val="008E5CCB"/>
    <w:rsid w:val="008E7A33"/>
    <w:rsid w:val="008E7AAC"/>
    <w:rsid w:val="008F5656"/>
    <w:rsid w:val="009010AD"/>
    <w:rsid w:val="009028B9"/>
    <w:rsid w:val="00914AC5"/>
    <w:rsid w:val="00917366"/>
    <w:rsid w:val="009231D6"/>
    <w:rsid w:val="00927C2E"/>
    <w:rsid w:val="00932B2F"/>
    <w:rsid w:val="00932F7C"/>
    <w:rsid w:val="00935110"/>
    <w:rsid w:val="00935567"/>
    <w:rsid w:val="009439F1"/>
    <w:rsid w:val="00943B75"/>
    <w:rsid w:val="00960B76"/>
    <w:rsid w:val="009621AC"/>
    <w:rsid w:val="009700EC"/>
    <w:rsid w:val="00970147"/>
    <w:rsid w:val="00970533"/>
    <w:rsid w:val="00976361"/>
    <w:rsid w:val="009821DF"/>
    <w:rsid w:val="0099096C"/>
    <w:rsid w:val="009A69A0"/>
    <w:rsid w:val="009A7EB2"/>
    <w:rsid w:val="009B2C31"/>
    <w:rsid w:val="009B325C"/>
    <w:rsid w:val="009B51D0"/>
    <w:rsid w:val="009D0F02"/>
    <w:rsid w:val="009D4510"/>
    <w:rsid w:val="009D6AAB"/>
    <w:rsid w:val="009E326E"/>
    <w:rsid w:val="00A01A9E"/>
    <w:rsid w:val="00A0557F"/>
    <w:rsid w:val="00A15DDF"/>
    <w:rsid w:val="00A16842"/>
    <w:rsid w:val="00A170D1"/>
    <w:rsid w:val="00A223B5"/>
    <w:rsid w:val="00A24E3C"/>
    <w:rsid w:val="00A256A7"/>
    <w:rsid w:val="00A3176A"/>
    <w:rsid w:val="00A4268C"/>
    <w:rsid w:val="00A42C1E"/>
    <w:rsid w:val="00A44496"/>
    <w:rsid w:val="00A445B4"/>
    <w:rsid w:val="00A45424"/>
    <w:rsid w:val="00A52D62"/>
    <w:rsid w:val="00A61786"/>
    <w:rsid w:val="00A6286B"/>
    <w:rsid w:val="00A70F5B"/>
    <w:rsid w:val="00A736A4"/>
    <w:rsid w:val="00A8130B"/>
    <w:rsid w:val="00A85B7A"/>
    <w:rsid w:val="00A905CE"/>
    <w:rsid w:val="00A90916"/>
    <w:rsid w:val="00A9373C"/>
    <w:rsid w:val="00A9586C"/>
    <w:rsid w:val="00AA342C"/>
    <w:rsid w:val="00AB08AB"/>
    <w:rsid w:val="00AC0681"/>
    <w:rsid w:val="00AC3C96"/>
    <w:rsid w:val="00AC41DB"/>
    <w:rsid w:val="00AD10B9"/>
    <w:rsid w:val="00AD1137"/>
    <w:rsid w:val="00AD3E30"/>
    <w:rsid w:val="00AF107A"/>
    <w:rsid w:val="00B11265"/>
    <w:rsid w:val="00B22DC2"/>
    <w:rsid w:val="00B27D69"/>
    <w:rsid w:val="00B54633"/>
    <w:rsid w:val="00B64E6E"/>
    <w:rsid w:val="00B87662"/>
    <w:rsid w:val="00B87E7A"/>
    <w:rsid w:val="00BA20B1"/>
    <w:rsid w:val="00BA5C6A"/>
    <w:rsid w:val="00BB2DCC"/>
    <w:rsid w:val="00BB6126"/>
    <w:rsid w:val="00BC739D"/>
    <w:rsid w:val="00BD1DD7"/>
    <w:rsid w:val="00BE1AB7"/>
    <w:rsid w:val="00BE1D32"/>
    <w:rsid w:val="00BF7D63"/>
    <w:rsid w:val="00C0285C"/>
    <w:rsid w:val="00C0610B"/>
    <w:rsid w:val="00C24761"/>
    <w:rsid w:val="00C4278F"/>
    <w:rsid w:val="00C52C9C"/>
    <w:rsid w:val="00C62B89"/>
    <w:rsid w:val="00C663FD"/>
    <w:rsid w:val="00C75011"/>
    <w:rsid w:val="00C82397"/>
    <w:rsid w:val="00C84F07"/>
    <w:rsid w:val="00C871AE"/>
    <w:rsid w:val="00C90732"/>
    <w:rsid w:val="00C91881"/>
    <w:rsid w:val="00CA028A"/>
    <w:rsid w:val="00CA1AC3"/>
    <w:rsid w:val="00CA3B7C"/>
    <w:rsid w:val="00CA7F62"/>
    <w:rsid w:val="00CB66CE"/>
    <w:rsid w:val="00CC547E"/>
    <w:rsid w:val="00CD7A10"/>
    <w:rsid w:val="00CF3B4F"/>
    <w:rsid w:val="00D02D26"/>
    <w:rsid w:val="00D04D2F"/>
    <w:rsid w:val="00D12CA0"/>
    <w:rsid w:val="00D15BB2"/>
    <w:rsid w:val="00D34626"/>
    <w:rsid w:val="00D36E9C"/>
    <w:rsid w:val="00D40B52"/>
    <w:rsid w:val="00D54AAB"/>
    <w:rsid w:val="00D6356F"/>
    <w:rsid w:val="00D67947"/>
    <w:rsid w:val="00D73FF4"/>
    <w:rsid w:val="00D85286"/>
    <w:rsid w:val="00D94D57"/>
    <w:rsid w:val="00D94E85"/>
    <w:rsid w:val="00D96C33"/>
    <w:rsid w:val="00D9756A"/>
    <w:rsid w:val="00DA1FD6"/>
    <w:rsid w:val="00DA3B05"/>
    <w:rsid w:val="00DA3CC9"/>
    <w:rsid w:val="00DB4CF7"/>
    <w:rsid w:val="00DB7642"/>
    <w:rsid w:val="00DC4A27"/>
    <w:rsid w:val="00DD22E2"/>
    <w:rsid w:val="00DD52A5"/>
    <w:rsid w:val="00E010E5"/>
    <w:rsid w:val="00E13AA1"/>
    <w:rsid w:val="00E14A6A"/>
    <w:rsid w:val="00E225D0"/>
    <w:rsid w:val="00E30D93"/>
    <w:rsid w:val="00E368EB"/>
    <w:rsid w:val="00E447DA"/>
    <w:rsid w:val="00E45831"/>
    <w:rsid w:val="00E46837"/>
    <w:rsid w:val="00E50800"/>
    <w:rsid w:val="00E57456"/>
    <w:rsid w:val="00E7260F"/>
    <w:rsid w:val="00E7721B"/>
    <w:rsid w:val="00E836A4"/>
    <w:rsid w:val="00E902C2"/>
    <w:rsid w:val="00EB2574"/>
    <w:rsid w:val="00EC2BAC"/>
    <w:rsid w:val="00EC68A5"/>
    <w:rsid w:val="00ED145D"/>
    <w:rsid w:val="00ED178D"/>
    <w:rsid w:val="00ED1ACB"/>
    <w:rsid w:val="00EE30E1"/>
    <w:rsid w:val="00EE4B1C"/>
    <w:rsid w:val="00EF42C7"/>
    <w:rsid w:val="00EF4B1D"/>
    <w:rsid w:val="00EF5654"/>
    <w:rsid w:val="00F02403"/>
    <w:rsid w:val="00F054B8"/>
    <w:rsid w:val="00F11929"/>
    <w:rsid w:val="00F13636"/>
    <w:rsid w:val="00F25DF5"/>
    <w:rsid w:val="00F313A9"/>
    <w:rsid w:val="00F408D3"/>
    <w:rsid w:val="00F40AB1"/>
    <w:rsid w:val="00F41455"/>
    <w:rsid w:val="00F447A3"/>
    <w:rsid w:val="00F47D9C"/>
    <w:rsid w:val="00F54D28"/>
    <w:rsid w:val="00F554F1"/>
    <w:rsid w:val="00F55944"/>
    <w:rsid w:val="00F56A49"/>
    <w:rsid w:val="00F6111A"/>
    <w:rsid w:val="00F64505"/>
    <w:rsid w:val="00F7085C"/>
    <w:rsid w:val="00F71F61"/>
    <w:rsid w:val="00F90262"/>
    <w:rsid w:val="00F9196A"/>
    <w:rsid w:val="00F97BB1"/>
    <w:rsid w:val="00FA3035"/>
    <w:rsid w:val="00FA4572"/>
    <w:rsid w:val="00FA6D4F"/>
    <w:rsid w:val="00FB653A"/>
    <w:rsid w:val="00FD7FAF"/>
    <w:rsid w:val="00FE2825"/>
    <w:rsid w:val="00FF055D"/>
    <w:rsid w:val="00FF0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76A"/>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Normal"/>
    <w:next w:val="Normal"/>
    <w:qFormat/>
    <w:rsid w:val="00550132"/>
    <w:pPr>
      <w:keepNext/>
      <w:spacing w:before="240" w:after="60"/>
      <w:outlineLvl w:val="1"/>
    </w:pPr>
    <w:rPr>
      <w:rFonts w:cs="Arial"/>
      <w:b/>
      <w:bCs/>
      <w:i/>
      <w:iCs/>
      <w:sz w:val="28"/>
      <w:szCs w:val="28"/>
    </w:rPr>
  </w:style>
  <w:style w:type="paragraph" w:styleId="Heading3">
    <w:name w:val="heading 3"/>
    <w:basedOn w:val="Normal"/>
    <w:next w:val="Normal"/>
    <w:qFormat/>
    <w:rsid w:val="005501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link w:val="BodyTextChar"/>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basedOn w:val="DefaultParagraphFont"/>
    <w:uiPriority w:val="99"/>
    <w:rsid w:val="00AC0681"/>
    <w:rPr>
      <w:color w:val="0000FF"/>
      <w:u w:val="single"/>
    </w:rPr>
  </w:style>
  <w:style w:type="character" w:customStyle="1" w:styleId="BodyTextChar">
    <w:name w:val="Body Text Char"/>
    <w:basedOn w:val="DefaultParagraphFont"/>
    <w:link w:val="BodyText"/>
    <w:rsid w:val="00A70F5B"/>
    <w:rPr>
      <w:sz w:val="24"/>
      <w:szCs w:val="24"/>
    </w:rPr>
  </w:style>
  <w:style w:type="character" w:styleId="CommentReference">
    <w:name w:val="annotation reference"/>
    <w:basedOn w:val="DefaultParagraphFont"/>
    <w:rsid w:val="008E1B05"/>
    <w:rPr>
      <w:sz w:val="16"/>
      <w:szCs w:val="16"/>
    </w:rPr>
  </w:style>
  <w:style w:type="paragraph" w:styleId="CommentText">
    <w:name w:val="annotation text"/>
    <w:basedOn w:val="Normal"/>
    <w:link w:val="CommentTextChar"/>
    <w:rsid w:val="008E1B05"/>
    <w:rPr>
      <w:sz w:val="20"/>
      <w:szCs w:val="20"/>
    </w:rPr>
  </w:style>
  <w:style w:type="character" w:customStyle="1" w:styleId="CommentTextChar">
    <w:name w:val="Comment Text Char"/>
    <w:basedOn w:val="DefaultParagraphFont"/>
    <w:link w:val="CommentText"/>
    <w:rsid w:val="008E1B05"/>
  </w:style>
  <w:style w:type="paragraph" w:styleId="CommentSubject">
    <w:name w:val="annotation subject"/>
    <w:basedOn w:val="CommentText"/>
    <w:next w:val="CommentText"/>
    <w:link w:val="CommentSubjectChar"/>
    <w:rsid w:val="008E1B05"/>
    <w:rPr>
      <w:b/>
      <w:bCs/>
    </w:rPr>
  </w:style>
  <w:style w:type="character" w:customStyle="1" w:styleId="CommentSubjectChar">
    <w:name w:val="Comment Subject Char"/>
    <w:basedOn w:val="CommentTextChar"/>
    <w:link w:val="CommentSubject"/>
    <w:rsid w:val="008E1B05"/>
    <w:rPr>
      <w:b/>
      <w:bCs/>
    </w:rPr>
  </w:style>
  <w:style w:type="paragraph" w:customStyle="1" w:styleId="NumberList">
    <w:name w:val="Number List"/>
    <w:basedOn w:val="Normal"/>
    <w:rsid w:val="008C4A9D"/>
    <w:pPr>
      <w:numPr>
        <w:numId w:val="17"/>
      </w:numPr>
      <w:tabs>
        <w:tab w:val="left" w:pos="1985"/>
      </w:tabs>
      <w:spacing w:before="240" w:line="240" w:lineRule="atLeast"/>
    </w:pPr>
    <w:rPr>
      <w:lang w:eastAsia="en-US"/>
    </w:rPr>
  </w:style>
  <w:style w:type="paragraph" w:customStyle="1" w:styleId="NumberListSub">
    <w:name w:val="Number List Sub"/>
    <w:basedOn w:val="NumberList"/>
    <w:rsid w:val="008C4A9D"/>
    <w:pPr>
      <w:numPr>
        <w:ilvl w:val="1"/>
      </w:numPr>
      <w:tabs>
        <w:tab w:val="left" w:pos="2552"/>
      </w:tabs>
    </w:pPr>
  </w:style>
  <w:style w:type="paragraph" w:customStyle="1" w:styleId="Appendix">
    <w:name w:val="Appendix"/>
    <w:basedOn w:val="Normal"/>
    <w:qFormat/>
    <w:rsid w:val="00F71F61"/>
    <w:rPr>
      <w:b/>
    </w:rPr>
  </w:style>
  <w:style w:type="paragraph" w:styleId="TOC2">
    <w:name w:val="toc 2"/>
    <w:basedOn w:val="Normal"/>
    <w:next w:val="Normal"/>
    <w:autoRedefine/>
    <w:uiPriority w:val="39"/>
    <w:rsid w:val="00F71F61"/>
    <w:pPr>
      <w:spacing w:after="100"/>
      <w:ind w:left="240"/>
    </w:pPr>
  </w:style>
  <w:style w:type="paragraph" w:styleId="Revision">
    <w:name w:val="Revision"/>
    <w:hidden/>
    <w:uiPriority w:val="99"/>
    <w:semiHidden/>
    <w:rsid w:val="00F71F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76A"/>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Normal"/>
    <w:next w:val="Normal"/>
    <w:qFormat/>
    <w:rsid w:val="00550132"/>
    <w:pPr>
      <w:keepNext/>
      <w:spacing w:before="240" w:after="60"/>
      <w:outlineLvl w:val="1"/>
    </w:pPr>
    <w:rPr>
      <w:rFonts w:cs="Arial"/>
      <w:b/>
      <w:bCs/>
      <w:i/>
      <w:iCs/>
      <w:sz w:val="28"/>
      <w:szCs w:val="28"/>
    </w:rPr>
  </w:style>
  <w:style w:type="paragraph" w:styleId="Heading3">
    <w:name w:val="heading 3"/>
    <w:basedOn w:val="Normal"/>
    <w:next w:val="Normal"/>
    <w:qFormat/>
    <w:rsid w:val="005501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link w:val="BodyTextChar"/>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basedOn w:val="DefaultParagraphFont"/>
    <w:uiPriority w:val="99"/>
    <w:rsid w:val="00AC0681"/>
    <w:rPr>
      <w:color w:val="0000FF"/>
      <w:u w:val="single"/>
    </w:rPr>
  </w:style>
  <w:style w:type="character" w:customStyle="1" w:styleId="BodyTextChar">
    <w:name w:val="Body Text Char"/>
    <w:basedOn w:val="DefaultParagraphFont"/>
    <w:link w:val="BodyText"/>
    <w:rsid w:val="00A70F5B"/>
    <w:rPr>
      <w:sz w:val="24"/>
      <w:szCs w:val="24"/>
    </w:rPr>
  </w:style>
  <w:style w:type="character" w:styleId="CommentReference">
    <w:name w:val="annotation reference"/>
    <w:basedOn w:val="DefaultParagraphFont"/>
    <w:rsid w:val="008E1B05"/>
    <w:rPr>
      <w:sz w:val="16"/>
      <w:szCs w:val="16"/>
    </w:rPr>
  </w:style>
  <w:style w:type="paragraph" w:styleId="CommentText">
    <w:name w:val="annotation text"/>
    <w:basedOn w:val="Normal"/>
    <w:link w:val="CommentTextChar"/>
    <w:rsid w:val="008E1B05"/>
    <w:rPr>
      <w:sz w:val="20"/>
      <w:szCs w:val="20"/>
    </w:rPr>
  </w:style>
  <w:style w:type="character" w:customStyle="1" w:styleId="CommentTextChar">
    <w:name w:val="Comment Text Char"/>
    <w:basedOn w:val="DefaultParagraphFont"/>
    <w:link w:val="CommentText"/>
    <w:rsid w:val="008E1B05"/>
  </w:style>
  <w:style w:type="paragraph" w:styleId="CommentSubject">
    <w:name w:val="annotation subject"/>
    <w:basedOn w:val="CommentText"/>
    <w:next w:val="CommentText"/>
    <w:link w:val="CommentSubjectChar"/>
    <w:rsid w:val="008E1B05"/>
    <w:rPr>
      <w:b/>
      <w:bCs/>
    </w:rPr>
  </w:style>
  <w:style w:type="character" w:customStyle="1" w:styleId="CommentSubjectChar">
    <w:name w:val="Comment Subject Char"/>
    <w:basedOn w:val="CommentTextChar"/>
    <w:link w:val="CommentSubject"/>
    <w:rsid w:val="008E1B05"/>
    <w:rPr>
      <w:b/>
      <w:bCs/>
    </w:rPr>
  </w:style>
  <w:style w:type="paragraph" w:customStyle="1" w:styleId="NumberList">
    <w:name w:val="Number List"/>
    <w:basedOn w:val="Normal"/>
    <w:rsid w:val="008C4A9D"/>
    <w:pPr>
      <w:numPr>
        <w:numId w:val="17"/>
      </w:numPr>
      <w:tabs>
        <w:tab w:val="left" w:pos="1985"/>
      </w:tabs>
      <w:spacing w:before="240" w:line="240" w:lineRule="atLeast"/>
    </w:pPr>
    <w:rPr>
      <w:lang w:eastAsia="en-US"/>
    </w:rPr>
  </w:style>
  <w:style w:type="paragraph" w:customStyle="1" w:styleId="NumberListSub">
    <w:name w:val="Number List Sub"/>
    <w:basedOn w:val="NumberList"/>
    <w:rsid w:val="008C4A9D"/>
    <w:pPr>
      <w:numPr>
        <w:ilvl w:val="1"/>
      </w:numPr>
      <w:tabs>
        <w:tab w:val="left" w:pos="2552"/>
      </w:tabs>
    </w:pPr>
  </w:style>
  <w:style w:type="paragraph" w:customStyle="1" w:styleId="Appendix">
    <w:name w:val="Appendix"/>
    <w:basedOn w:val="Normal"/>
    <w:qFormat/>
    <w:rsid w:val="00F71F61"/>
    <w:rPr>
      <w:b/>
    </w:rPr>
  </w:style>
  <w:style w:type="paragraph" w:styleId="TOC2">
    <w:name w:val="toc 2"/>
    <w:basedOn w:val="Normal"/>
    <w:next w:val="Normal"/>
    <w:autoRedefine/>
    <w:uiPriority w:val="39"/>
    <w:rsid w:val="00F71F61"/>
    <w:pPr>
      <w:spacing w:after="100"/>
      <w:ind w:left="240"/>
    </w:pPr>
  </w:style>
  <w:style w:type="paragraph" w:styleId="Revision">
    <w:name w:val="Revision"/>
    <w:hidden/>
    <w:uiPriority w:val="99"/>
    <w:semiHidden/>
    <w:rsid w:val="00F71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5940">
      <w:bodyDiv w:val="1"/>
      <w:marLeft w:val="0"/>
      <w:marRight w:val="0"/>
      <w:marTop w:val="0"/>
      <w:marBottom w:val="0"/>
      <w:divBdr>
        <w:top w:val="none" w:sz="0" w:space="0" w:color="auto"/>
        <w:left w:val="none" w:sz="0" w:space="0" w:color="auto"/>
        <w:bottom w:val="none" w:sz="0" w:space="0" w:color="auto"/>
        <w:right w:val="none" w:sz="0" w:space="0" w:color="auto"/>
      </w:divBdr>
    </w:div>
    <w:div w:id="1165823981">
      <w:bodyDiv w:val="1"/>
      <w:marLeft w:val="0"/>
      <w:marRight w:val="0"/>
      <w:marTop w:val="0"/>
      <w:marBottom w:val="0"/>
      <w:divBdr>
        <w:top w:val="none" w:sz="0" w:space="0" w:color="auto"/>
        <w:left w:val="none" w:sz="0" w:space="0" w:color="auto"/>
        <w:bottom w:val="none" w:sz="0" w:space="0" w:color="auto"/>
        <w:right w:val="none" w:sz="0" w:space="0" w:color="auto"/>
      </w:divBdr>
    </w:div>
    <w:div w:id="1485391551">
      <w:bodyDiv w:val="1"/>
      <w:marLeft w:val="0"/>
      <w:marRight w:val="0"/>
      <w:marTop w:val="0"/>
      <w:marBottom w:val="0"/>
      <w:divBdr>
        <w:top w:val="none" w:sz="0" w:space="0" w:color="auto"/>
        <w:left w:val="none" w:sz="0" w:space="0" w:color="auto"/>
        <w:bottom w:val="none" w:sz="0" w:space="0" w:color="auto"/>
        <w:right w:val="none" w:sz="0" w:space="0" w:color="auto"/>
      </w:divBdr>
    </w:div>
    <w:div w:id="19424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D8F8-A12C-42A0-9D75-7725428F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Template>
  <TotalTime>4</TotalTime>
  <Pages>5</Pages>
  <Words>1067</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econnell</dc:creator>
  <cp:lastModifiedBy>Geoffrey Pitt</cp:lastModifiedBy>
  <cp:revision>3</cp:revision>
  <cp:lastPrinted>2014-08-13T01:53:00Z</cp:lastPrinted>
  <dcterms:created xsi:type="dcterms:W3CDTF">2014-09-09T04:34:00Z</dcterms:created>
  <dcterms:modified xsi:type="dcterms:W3CDTF">2014-09-09T06:06:00Z</dcterms:modified>
</cp:coreProperties>
</file>