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32" w:rsidRPr="004F1E80" w:rsidRDefault="00911C32" w:rsidP="00355CD1">
      <w:pPr>
        <w:spacing w:before="100" w:beforeAutospacing="1" w:after="100" w:afterAutospacing="1" w:line="240" w:lineRule="auto"/>
        <w:jc w:val="center"/>
        <w:rPr>
          <w:rFonts w:eastAsia="Times New Roman" w:cs="Times New Roman"/>
          <w:sz w:val="28"/>
          <w:szCs w:val="28"/>
          <w:lang w:eastAsia="en-AU"/>
        </w:rPr>
      </w:pPr>
      <w:r w:rsidRPr="004F1E80">
        <w:rPr>
          <w:rFonts w:eastAsia="Times New Roman" w:cs="Times New Roman"/>
          <w:b/>
          <w:bCs/>
          <w:sz w:val="28"/>
          <w:szCs w:val="28"/>
          <w:lang w:eastAsia="en-AU"/>
        </w:rPr>
        <w:t>EXPLANATORY STATEMENT</w:t>
      </w:r>
    </w:p>
    <w:p w:rsidR="00911C32" w:rsidRPr="004F1E80" w:rsidRDefault="00911C32" w:rsidP="00355CD1">
      <w:pPr>
        <w:spacing w:before="100" w:beforeAutospacing="1" w:after="100" w:afterAutospacing="1" w:line="240" w:lineRule="auto"/>
        <w:jc w:val="center"/>
        <w:rPr>
          <w:rFonts w:eastAsia="Times New Roman" w:cs="Times New Roman"/>
          <w:b/>
          <w:bCs/>
          <w:sz w:val="28"/>
          <w:szCs w:val="28"/>
          <w:u w:val="single"/>
          <w:lang w:eastAsia="en-AU"/>
        </w:rPr>
      </w:pPr>
      <w:r w:rsidRPr="004F1E80">
        <w:rPr>
          <w:rFonts w:eastAsia="Times New Roman" w:cs="Times New Roman"/>
          <w:b/>
          <w:bCs/>
          <w:sz w:val="28"/>
          <w:szCs w:val="28"/>
          <w:u w:val="single"/>
          <w:lang w:eastAsia="en-AU"/>
        </w:rPr>
        <w:t xml:space="preserve">Select Legislative Instrument </w:t>
      </w:r>
      <w:r w:rsidR="006B2150">
        <w:rPr>
          <w:rFonts w:eastAsia="Times New Roman" w:cs="Times New Roman"/>
          <w:b/>
          <w:bCs/>
          <w:sz w:val="28"/>
          <w:szCs w:val="28"/>
          <w:u w:val="single"/>
          <w:lang w:eastAsia="en-AU"/>
        </w:rPr>
        <w:t>No. 151, 2014</w:t>
      </w:r>
    </w:p>
    <w:p w:rsidR="00911C32" w:rsidRPr="004F1E80" w:rsidRDefault="00911C32" w:rsidP="00355CD1">
      <w:pPr>
        <w:spacing w:before="100" w:beforeAutospacing="1" w:after="100" w:afterAutospacing="1" w:line="240" w:lineRule="auto"/>
        <w:jc w:val="both"/>
        <w:rPr>
          <w:rFonts w:eastAsia="Times New Roman" w:cs="Times New Roman"/>
          <w:sz w:val="28"/>
          <w:szCs w:val="28"/>
          <w:lang w:eastAsia="en-AU"/>
        </w:rPr>
      </w:pPr>
      <w:r w:rsidRPr="004F1E80">
        <w:rPr>
          <w:rFonts w:eastAsia="Times New Roman" w:cs="Times New Roman"/>
          <w:b/>
          <w:bCs/>
          <w:iCs/>
          <w:sz w:val="28"/>
          <w:szCs w:val="28"/>
          <w:lang w:eastAsia="en-AU"/>
        </w:rPr>
        <w:t>Issued by the authority of the Judges of the Federal Circuit Court of Australia</w:t>
      </w:r>
    </w:p>
    <w:p w:rsidR="007E233E" w:rsidRPr="004F1E80" w:rsidRDefault="007E233E" w:rsidP="00355CD1">
      <w:pPr>
        <w:spacing w:before="100" w:beforeAutospacing="1" w:after="100" w:afterAutospacing="1" w:line="240" w:lineRule="auto"/>
        <w:jc w:val="both"/>
        <w:rPr>
          <w:rFonts w:eastAsia="Times New Roman" w:cs="Times New Roman"/>
          <w:sz w:val="28"/>
          <w:szCs w:val="28"/>
          <w:lang w:eastAsia="en-AU"/>
        </w:rPr>
      </w:pPr>
      <w:r w:rsidRPr="004F1E80">
        <w:rPr>
          <w:rFonts w:eastAsia="Times New Roman" w:cs="Times New Roman"/>
          <w:b/>
          <w:bCs/>
          <w:i/>
          <w:iCs/>
          <w:sz w:val="28"/>
          <w:szCs w:val="28"/>
          <w:lang w:eastAsia="en-AU"/>
        </w:rPr>
        <w:t>Federal Circuit Court Amendment (2014 Measures No.1) Rules</w:t>
      </w:r>
      <w:r w:rsidRPr="004F1E80">
        <w:rPr>
          <w:rFonts w:eastAsia="Times New Roman" w:cs="Times New Roman"/>
          <w:bCs/>
          <w:i/>
          <w:iCs/>
          <w:sz w:val="28"/>
          <w:szCs w:val="28"/>
          <w:lang w:eastAsia="en-AU"/>
        </w:rPr>
        <w:t xml:space="preserve"> </w:t>
      </w:r>
      <w:r w:rsidRPr="004F1E80">
        <w:rPr>
          <w:rFonts w:eastAsia="Times New Roman" w:cs="Times New Roman"/>
          <w:b/>
          <w:bCs/>
          <w:i/>
          <w:iCs/>
          <w:sz w:val="28"/>
          <w:szCs w:val="28"/>
          <w:lang w:eastAsia="en-AU"/>
        </w:rPr>
        <w:t>2014</w:t>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Section 81 of the </w:t>
      </w:r>
      <w:r w:rsidRPr="004F1E80">
        <w:rPr>
          <w:rFonts w:eastAsia="Times New Roman" w:cs="Times New Roman"/>
          <w:i/>
          <w:iCs/>
          <w:sz w:val="24"/>
          <w:szCs w:val="24"/>
          <w:lang w:eastAsia="en-AU"/>
        </w:rPr>
        <w:t xml:space="preserve">Federal Circuit Court of Australia Act 1999 </w:t>
      </w:r>
      <w:r w:rsidRPr="004F1E80">
        <w:rPr>
          <w:rFonts w:eastAsia="Times New Roman" w:cs="Times New Roman"/>
          <w:sz w:val="24"/>
          <w:szCs w:val="24"/>
          <w:lang w:eastAsia="en-AU"/>
        </w:rPr>
        <w:t>permits the Judges or a majority of them, to make rules of Court not inconsistent with the Act. These rules may provide for the practice and procedure to be followed in the Court and may extend to all matters incidental to any such practice or procedure that are necessary or convenient to be prescribed for the conduct of any business of the Court.</w:t>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Under sub-section 81(3) of the </w:t>
      </w:r>
      <w:r w:rsidRPr="004F1E80">
        <w:rPr>
          <w:rFonts w:eastAsia="Times New Roman" w:cs="Times New Roman"/>
          <w:i/>
          <w:iCs/>
          <w:sz w:val="24"/>
          <w:szCs w:val="24"/>
          <w:lang w:eastAsia="en-AU"/>
        </w:rPr>
        <w:t>Federal Circuit Court of Australia Act 1999</w:t>
      </w:r>
      <w:r w:rsidR="002D265A" w:rsidRPr="004F1E80">
        <w:rPr>
          <w:rFonts w:eastAsia="Times New Roman" w:cs="Times New Roman"/>
          <w:i/>
          <w:iCs/>
          <w:sz w:val="24"/>
          <w:szCs w:val="24"/>
          <w:lang w:eastAsia="en-AU"/>
        </w:rPr>
        <w:t>,</w:t>
      </w:r>
      <w:r w:rsidRPr="004F1E80">
        <w:rPr>
          <w:rFonts w:eastAsia="Times New Roman" w:cs="Times New Roman"/>
          <w:i/>
          <w:iCs/>
          <w:sz w:val="24"/>
          <w:szCs w:val="24"/>
          <w:lang w:eastAsia="en-AU"/>
        </w:rPr>
        <w:t xml:space="preserve"> </w:t>
      </w:r>
      <w:r w:rsidRPr="004F1E80">
        <w:rPr>
          <w:rFonts w:eastAsia="Times New Roman" w:cs="Times New Roman"/>
          <w:sz w:val="24"/>
          <w:szCs w:val="24"/>
          <w:lang w:eastAsia="en-AU"/>
        </w:rPr>
        <w:t xml:space="preserve">the </w:t>
      </w:r>
      <w:r w:rsidRPr="004F1E80">
        <w:rPr>
          <w:rFonts w:eastAsia="Times New Roman" w:cs="Times New Roman"/>
          <w:i/>
          <w:iCs/>
          <w:sz w:val="24"/>
          <w:szCs w:val="24"/>
          <w:lang w:eastAsia="en-AU"/>
        </w:rPr>
        <w:t xml:space="preserve">Legislative Instruments Act 2003 </w:t>
      </w:r>
      <w:r w:rsidRPr="004F1E80">
        <w:rPr>
          <w:rFonts w:eastAsia="Times New Roman" w:cs="Times New Roman"/>
          <w:sz w:val="24"/>
          <w:szCs w:val="24"/>
          <w:lang w:eastAsia="en-AU"/>
        </w:rPr>
        <w:t xml:space="preserve">(other than sections 5, 6, 7, 10, 11 and 16 of that Act) applies in relation to rules of court made by the Court under the </w:t>
      </w:r>
      <w:r w:rsidRPr="004F1E80">
        <w:rPr>
          <w:rFonts w:eastAsia="Times New Roman" w:cs="Times New Roman"/>
          <w:i/>
          <w:iCs/>
          <w:sz w:val="24"/>
          <w:szCs w:val="24"/>
          <w:lang w:eastAsia="en-AU"/>
        </w:rPr>
        <w:t xml:space="preserve">Federal Circuit Court of Australia Act 1999 </w:t>
      </w:r>
      <w:r w:rsidRPr="004F1E80">
        <w:rPr>
          <w:rFonts w:eastAsia="Times New Roman" w:cs="Times New Roman"/>
          <w:iCs/>
          <w:sz w:val="24"/>
          <w:szCs w:val="24"/>
          <w:lang w:eastAsia="en-AU"/>
        </w:rPr>
        <w:t>or an</w:t>
      </w:r>
      <w:r w:rsidRPr="004F1E80">
        <w:rPr>
          <w:rFonts w:eastAsia="Times New Roman" w:cs="Times New Roman"/>
          <w:sz w:val="24"/>
          <w:szCs w:val="24"/>
          <w:lang w:eastAsia="en-AU"/>
        </w:rPr>
        <w:t xml:space="preserve">other Act: </w:t>
      </w:r>
    </w:p>
    <w:p w:rsidR="007E233E" w:rsidRPr="004F1E80" w:rsidRDefault="007E233E" w:rsidP="00355CD1">
      <w:pPr>
        <w:pStyle w:val="ListParagraph"/>
        <w:numPr>
          <w:ilvl w:val="0"/>
          <w:numId w:val="6"/>
        </w:num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as if a reference to a legislative instrument were a reference to a rule of court; and </w:t>
      </w:r>
    </w:p>
    <w:p w:rsidR="007E233E" w:rsidRPr="004F1E80" w:rsidRDefault="007E233E" w:rsidP="00355CD1">
      <w:pPr>
        <w:pStyle w:val="ListParagraph"/>
        <w:numPr>
          <w:ilvl w:val="0"/>
          <w:numId w:val="6"/>
        </w:num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as if a reference to a rule maker were a reference to the Chief Judge acting on behalf of the judges of the Court; and </w:t>
      </w:r>
    </w:p>
    <w:p w:rsidR="007E233E" w:rsidRPr="004F1E80" w:rsidRDefault="007E233E" w:rsidP="00355CD1">
      <w:pPr>
        <w:pStyle w:val="ListParagraph"/>
        <w:numPr>
          <w:ilvl w:val="0"/>
          <w:numId w:val="6"/>
        </w:num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subject to such further modifications or adaptations as are provided for in regulations made under section 120 </w:t>
      </w:r>
      <w:r w:rsidRPr="004F1E80">
        <w:rPr>
          <w:rFonts w:eastAsia="Times New Roman" w:cs="Times New Roman"/>
          <w:i/>
          <w:iCs/>
          <w:sz w:val="24"/>
          <w:szCs w:val="24"/>
          <w:lang w:eastAsia="en-AU"/>
        </w:rPr>
        <w:t>Federal Circuit Court of Australia Act 1999.</w:t>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Section 9 of the </w:t>
      </w:r>
      <w:r w:rsidRPr="004F1E80">
        <w:rPr>
          <w:rFonts w:eastAsia="Times New Roman" w:cs="Times New Roman"/>
          <w:i/>
          <w:iCs/>
          <w:sz w:val="24"/>
          <w:szCs w:val="24"/>
          <w:lang w:eastAsia="en-AU"/>
        </w:rPr>
        <w:t>Legislative Instruments Act 2003</w:t>
      </w:r>
      <w:r w:rsidRPr="004F1E80">
        <w:rPr>
          <w:rFonts w:eastAsia="Times New Roman" w:cs="Times New Roman"/>
          <w:sz w:val="24"/>
          <w:szCs w:val="24"/>
          <w:lang w:eastAsia="en-AU"/>
        </w:rPr>
        <w:t xml:space="preserve"> provides that Rules of Court made for the Federal Circuit Court are not legislative instruments for the purposes of that Act. As a result the</w:t>
      </w:r>
      <w:r w:rsidRPr="004F1E80">
        <w:rPr>
          <w:rFonts w:eastAsia="Times New Roman" w:cs="Times New Roman"/>
          <w:i/>
          <w:iCs/>
          <w:sz w:val="24"/>
          <w:szCs w:val="24"/>
          <w:lang w:eastAsia="en-AU"/>
        </w:rPr>
        <w:t xml:space="preserve"> Human Rights (Parliamentary Scrutiny) Act 2011</w:t>
      </w:r>
      <w:r w:rsidRPr="004F1E80">
        <w:rPr>
          <w:rFonts w:eastAsia="Times New Roman" w:cs="Times New Roman"/>
          <w:sz w:val="24"/>
          <w:szCs w:val="24"/>
          <w:lang w:eastAsia="en-AU"/>
        </w:rPr>
        <w:t xml:space="preserve"> does not apply to any such Rules of Court and no statement of compatibility for purposes of that latter Act is included in this Explanatory Statement.</w:t>
      </w:r>
    </w:p>
    <w:p w:rsidR="007E233E" w:rsidRPr="004F1E80" w:rsidRDefault="007E233E" w:rsidP="00355CD1">
      <w:pPr>
        <w:spacing w:before="100" w:beforeAutospacing="1" w:after="100" w:afterAutospacing="1" w:line="240" w:lineRule="auto"/>
        <w:jc w:val="both"/>
        <w:rPr>
          <w:rFonts w:eastAsia="Times New Roman" w:cs="Times New Roman"/>
          <w:i/>
          <w:iCs/>
          <w:sz w:val="24"/>
          <w:szCs w:val="24"/>
          <w:lang w:eastAsia="en-AU"/>
        </w:rPr>
      </w:pPr>
      <w:r w:rsidRPr="004F1E80">
        <w:rPr>
          <w:rFonts w:eastAsia="Times New Roman" w:cs="Times New Roman"/>
          <w:sz w:val="24"/>
          <w:szCs w:val="24"/>
          <w:lang w:eastAsia="en-AU"/>
        </w:rPr>
        <w:t xml:space="preserve">The Judges have agreed to adopt the </w:t>
      </w:r>
      <w:r w:rsidRPr="004F1E80">
        <w:rPr>
          <w:rFonts w:eastAsia="Times New Roman" w:cs="Times New Roman"/>
          <w:i/>
          <w:iCs/>
          <w:sz w:val="24"/>
          <w:szCs w:val="24"/>
          <w:lang w:eastAsia="en-AU"/>
        </w:rPr>
        <w:t>Federal Circuit Court</w:t>
      </w:r>
      <w:r w:rsidRPr="004F1E80">
        <w:rPr>
          <w:rFonts w:eastAsia="Times New Roman" w:cs="Times New Roman"/>
          <w:sz w:val="24"/>
          <w:szCs w:val="24"/>
          <w:lang w:eastAsia="en-AU"/>
        </w:rPr>
        <w:t xml:space="preserve"> </w:t>
      </w:r>
      <w:r w:rsidR="008D7484" w:rsidRPr="004F1E80">
        <w:rPr>
          <w:rFonts w:eastAsia="Times New Roman" w:cs="Times New Roman"/>
          <w:i/>
          <w:iCs/>
          <w:sz w:val="24"/>
          <w:szCs w:val="24"/>
          <w:lang w:eastAsia="en-AU"/>
        </w:rPr>
        <w:t xml:space="preserve">Amendment </w:t>
      </w:r>
      <w:r w:rsidRPr="004F1E80">
        <w:rPr>
          <w:rFonts w:eastAsia="Times New Roman" w:cs="Times New Roman"/>
          <w:i/>
          <w:iCs/>
          <w:sz w:val="24"/>
          <w:szCs w:val="24"/>
          <w:lang w:eastAsia="en-AU"/>
        </w:rPr>
        <w:t>(2014 Measures No.</w:t>
      </w:r>
      <w:r w:rsidR="008D7484" w:rsidRPr="004F1E80">
        <w:rPr>
          <w:rFonts w:eastAsia="Times New Roman" w:cs="Times New Roman"/>
          <w:i/>
          <w:iCs/>
          <w:sz w:val="24"/>
          <w:szCs w:val="24"/>
          <w:lang w:eastAsia="en-AU"/>
        </w:rPr>
        <w:t xml:space="preserve">1) </w:t>
      </w:r>
      <w:r w:rsidRPr="004F1E80">
        <w:rPr>
          <w:rFonts w:eastAsia="Times New Roman" w:cs="Times New Roman"/>
          <w:i/>
          <w:sz w:val="24"/>
          <w:szCs w:val="24"/>
          <w:lang w:eastAsia="en-AU"/>
        </w:rPr>
        <w:t>Rules</w:t>
      </w:r>
      <w:r w:rsidRPr="004F1E80">
        <w:rPr>
          <w:rFonts w:eastAsia="Times New Roman" w:cs="Times New Roman"/>
          <w:sz w:val="24"/>
          <w:szCs w:val="24"/>
          <w:lang w:eastAsia="en-AU"/>
        </w:rPr>
        <w:t xml:space="preserve"> (‘the Amendment Rules’).</w:t>
      </w:r>
    </w:p>
    <w:p w:rsidR="008D7484"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The Amendment Rules include the following amendments to the </w:t>
      </w:r>
      <w:r w:rsidRPr="004F1E80">
        <w:rPr>
          <w:rFonts w:eastAsia="Times New Roman" w:cs="Times New Roman"/>
          <w:i/>
          <w:iCs/>
          <w:sz w:val="24"/>
          <w:szCs w:val="24"/>
          <w:lang w:eastAsia="en-AU"/>
        </w:rPr>
        <w:t>Federal Circuit Court Rules 2001</w:t>
      </w:r>
      <w:r w:rsidR="008D7484" w:rsidRPr="004F1E80">
        <w:rPr>
          <w:rFonts w:eastAsia="Times New Roman" w:cs="Times New Roman"/>
          <w:sz w:val="24"/>
          <w:szCs w:val="24"/>
          <w:lang w:eastAsia="en-AU"/>
        </w:rPr>
        <w:t xml:space="preserve"> (‘the Rules’).</w:t>
      </w:r>
    </w:p>
    <w:p w:rsidR="007E233E" w:rsidRPr="004F1E80" w:rsidRDefault="00C430AC"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sz w:val="28"/>
          <w:szCs w:val="24"/>
          <w:lang w:eastAsia="en-AU"/>
        </w:rPr>
        <w:t>PART 1</w:t>
      </w:r>
      <w:r w:rsidR="006F3D7C" w:rsidRPr="004F1E80">
        <w:rPr>
          <w:rFonts w:eastAsia="Times New Roman" w:cs="Times New Roman"/>
          <w:b/>
          <w:sz w:val="28"/>
          <w:szCs w:val="24"/>
          <w:lang w:eastAsia="en-AU"/>
        </w:rPr>
        <w:t xml:space="preserve"> – Amendments commencing day after </w:t>
      </w:r>
      <w:r w:rsidR="008D7484" w:rsidRPr="004F1E80">
        <w:rPr>
          <w:rFonts w:eastAsia="Times New Roman" w:cs="Times New Roman"/>
          <w:b/>
          <w:sz w:val="28"/>
          <w:szCs w:val="24"/>
          <w:lang w:eastAsia="en-AU"/>
        </w:rPr>
        <w:t>registration</w:t>
      </w:r>
    </w:p>
    <w:p w:rsidR="00DD16BD" w:rsidRPr="004F1E80" w:rsidRDefault="00C430AC" w:rsidP="00355CD1">
      <w:pPr>
        <w:spacing w:before="100" w:beforeAutospacing="1" w:after="240" w:line="240" w:lineRule="auto"/>
        <w:ind w:left="357"/>
        <w:jc w:val="both"/>
        <w:rPr>
          <w:rFonts w:eastAsia="Times New Roman" w:cs="Times New Roman"/>
          <w:sz w:val="24"/>
          <w:szCs w:val="24"/>
          <w:lang w:eastAsia="en-AU"/>
        </w:rPr>
      </w:pPr>
      <w:r w:rsidRPr="004F1E80">
        <w:rPr>
          <w:rFonts w:eastAsia="Times New Roman" w:cs="Times New Roman"/>
          <w:sz w:val="24"/>
          <w:szCs w:val="24"/>
          <w:lang w:eastAsia="en-AU"/>
        </w:rPr>
        <w:t>Miscellaneous</w:t>
      </w:r>
      <w:r w:rsidR="007F2A6F" w:rsidRPr="004F1E80">
        <w:rPr>
          <w:rFonts w:eastAsia="Times New Roman" w:cs="Times New Roman"/>
          <w:sz w:val="24"/>
          <w:szCs w:val="24"/>
          <w:lang w:eastAsia="en-AU"/>
        </w:rPr>
        <w:t xml:space="preserve"> </w:t>
      </w:r>
      <w:r w:rsidR="00F755D5" w:rsidRPr="004F1E80">
        <w:rPr>
          <w:rFonts w:eastAsia="Times New Roman" w:cs="Times New Roman"/>
          <w:sz w:val="24"/>
          <w:szCs w:val="24"/>
          <w:lang w:eastAsia="en-AU"/>
        </w:rPr>
        <w:t>amendments including:</w:t>
      </w:r>
    </w:p>
    <w:p w:rsidR="00DD16BD" w:rsidRPr="004F1E80" w:rsidRDefault="00F755D5"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a new rule</w:t>
      </w:r>
      <w:r w:rsidR="00DD16BD" w:rsidRPr="004F1E80">
        <w:rPr>
          <w:rFonts w:eastAsia="Times New Roman" w:cs="Times New Roman"/>
          <w:sz w:val="24"/>
          <w:szCs w:val="24"/>
          <w:lang w:eastAsia="en-AU"/>
        </w:rPr>
        <w:t xml:space="preserve"> 1.07</w:t>
      </w:r>
      <w:r w:rsidRPr="004F1E80">
        <w:rPr>
          <w:rFonts w:eastAsia="Times New Roman" w:cs="Times New Roman"/>
          <w:sz w:val="24"/>
          <w:szCs w:val="24"/>
          <w:lang w:eastAsia="en-AU"/>
        </w:rPr>
        <w:t xml:space="preserve"> about applicati</w:t>
      </w:r>
      <w:r w:rsidR="00DD16BD" w:rsidRPr="004F1E80">
        <w:rPr>
          <w:rFonts w:eastAsia="Times New Roman" w:cs="Times New Roman"/>
          <w:sz w:val="24"/>
          <w:szCs w:val="24"/>
          <w:lang w:eastAsia="en-AU"/>
        </w:rPr>
        <w:t>ons for orders about procedures;</w:t>
      </w:r>
    </w:p>
    <w:p w:rsidR="00DD16BD" w:rsidRPr="004F1E80" w:rsidRDefault="00F755D5"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limiting the genuine steps statement</w:t>
      </w:r>
      <w:r w:rsidR="00DD16BD" w:rsidRPr="004F1E80">
        <w:rPr>
          <w:rFonts w:eastAsia="Times New Roman" w:cs="Times New Roman"/>
          <w:sz w:val="24"/>
          <w:szCs w:val="24"/>
          <w:lang w:eastAsia="en-AU"/>
        </w:rPr>
        <w:t xml:space="preserve"> requirement to no more than 2 pages</w:t>
      </w:r>
      <w:r w:rsidR="00AC007B" w:rsidRPr="004F1E80">
        <w:rPr>
          <w:rFonts w:eastAsia="Times New Roman" w:cs="Times New Roman"/>
          <w:sz w:val="24"/>
          <w:szCs w:val="24"/>
          <w:lang w:eastAsia="en-AU"/>
        </w:rPr>
        <w:t xml:space="preserve"> in subrules 4.09(2) and 4.10(2)</w:t>
      </w:r>
      <w:r w:rsidR="00DD16BD" w:rsidRPr="004F1E80">
        <w:rPr>
          <w:rFonts w:eastAsia="Times New Roman" w:cs="Times New Roman"/>
          <w:sz w:val="24"/>
          <w:szCs w:val="24"/>
          <w:lang w:eastAsia="en-AU"/>
        </w:rPr>
        <w:t>;</w:t>
      </w:r>
    </w:p>
    <w:p w:rsidR="00DD16BD" w:rsidRPr="004F1E80" w:rsidRDefault="00F755D5"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lastRenderedPageBreak/>
        <w:t>removal of</w:t>
      </w:r>
      <w:r w:rsidR="00DD16BD" w:rsidRPr="004F1E80">
        <w:rPr>
          <w:rFonts w:eastAsia="Times New Roman" w:cs="Times New Roman"/>
          <w:sz w:val="24"/>
          <w:szCs w:val="24"/>
          <w:lang w:eastAsia="en-AU"/>
        </w:rPr>
        <w:t xml:space="preserve"> reference</w:t>
      </w:r>
      <w:r w:rsidRPr="004F1E80">
        <w:rPr>
          <w:rFonts w:eastAsia="Times New Roman" w:cs="Times New Roman"/>
          <w:sz w:val="24"/>
          <w:szCs w:val="24"/>
          <w:lang w:eastAsia="en-AU"/>
        </w:rPr>
        <w:t xml:space="preserve"> to </w:t>
      </w:r>
      <w:r w:rsidR="00355CD1" w:rsidRPr="004F1E80">
        <w:rPr>
          <w:rFonts w:eastAsia="Times New Roman" w:cs="Times New Roman"/>
          <w:bCs/>
          <w:sz w:val="24"/>
          <w:szCs w:val="24"/>
          <w:lang w:eastAsia="en-AU"/>
        </w:rPr>
        <w:t xml:space="preserve">section 26 of the </w:t>
      </w:r>
      <w:r w:rsidR="00355CD1" w:rsidRPr="004F1E80">
        <w:rPr>
          <w:rFonts w:eastAsia="Times New Roman" w:cs="Times New Roman"/>
          <w:bCs/>
          <w:i/>
          <w:sz w:val="24"/>
          <w:szCs w:val="24"/>
          <w:lang w:eastAsia="en-AU"/>
        </w:rPr>
        <w:t>Federal Circuit Court of Australia Act 1999</w:t>
      </w:r>
      <w:r w:rsidR="00355CD1" w:rsidRPr="004F1E80">
        <w:rPr>
          <w:rFonts w:eastAsia="Times New Roman" w:cs="Times New Roman"/>
          <w:bCs/>
          <w:sz w:val="24"/>
          <w:szCs w:val="24"/>
          <w:lang w:eastAsia="en-AU"/>
        </w:rPr>
        <w:t xml:space="preserve"> as the rule applies to all proceedings and section 26 only applies to general federal law proceedings</w:t>
      </w:r>
    </w:p>
    <w:p w:rsidR="00DD16BD" w:rsidRPr="004F1E80" w:rsidRDefault="00DD16BD"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 xml:space="preserve">inclusion in the note after </w:t>
      </w:r>
      <w:r w:rsidR="004844F8" w:rsidRPr="004F1E80">
        <w:rPr>
          <w:rFonts w:eastAsia="Times New Roman" w:cs="Times New Roman"/>
          <w:sz w:val="24"/>
          <w:szCs w:val="24"/>
          <w:lang w:eastAsia="en-AU"/>
        </w:rPr>
        <w:t xml:space="preserve">rule </w:t>
      </w:r>
      <w:r w:rsidRPr="004F1E80">
        <w:rPr>
          <w:rFonts w:eastAsia="Times New Roman" w:cs="Times New Roman"/>
          <w:sz w:val="24"/>
          <w:szCs w:val="24"/>
          <w:lang w:eastAsia="en-AU"/>
        </w:rPr>
        <w:t xml:space="preserve">13.10 </w:t>
      </w:r>
      <w:r w:rsidR="00355CD1" w:rsidRPr="004F1E80">
        <w:rPr>
          <w:rFonts w:eastAsia="Times New Roman" w:cs="Times New Roman"/>
          <w:sz w:val="24"/>
          <w:szCs w:val="24"/>
          <w:lang w:eastAsia="en-AU"/>
        </w:rPr>
        <w:t xml:space="preserve">a reference </w:t>
      </w:r>
      <w:r w:rsidRPr="004F1E80">
        <w:rPr>
          <w:rFonts w:eastAsia="Times New Roman" w:cs="Times New Roman"/>
          <w:sz w:val="24"/>
          <w:szCs w:val="24"/>
          <w:lang w:eastAsia="en-AU"/>
        </w:rPr>
        <w:t xml:space="preserve">to section 102QB in addition to </w:t>
      </w:r>
      <w:r w:rsidR="00AC007B" w:rsidRPr="004F1E80">
        <w:rPr>
          <w:rFonts w:eastAsia="Times New Roman" w:cs="Times New Roman"/>
          <w:sz w:val="24"/>
          <w:szCs w:val="24"/>
          <w:lang w:eastAsia="en-AU"/>
        </w:rPr>
        <w:t xml:space="preserve">the reference to </w:t>
      </w:r>
      <w:r w:rsidRPr="004F1E80">
        <w:rPr>
          <w:rFonts w:eastAsia="Times New Roman" w:cs="Times New Roman"/>
          <w:sz w:val="24"/>
          <w:szCs w:val="24"/>
          <w:lang w:eastAsia="en-AU"/>
        </w:rPr>
        <w:t xml:space="preserve">section 118 of the </w:t>
      </w:r>
      <w:r w:rsidRPr="004F1E80">
        <w:rPr>
          <w:rFonts w:eastAsia="Times New Roman" w:cs="Times New Roman"/>
          <w:i/>
          <w:sz w:val="24"/>
          <w:szCs w:val="24"/>
          <w:lang w:eastAsia="en-AU"/>
        </w:rPr>
        <w:t xml:space="preserve">Family Law Act 1975 </w:t>
      </w:r>
      <w:r w:rsidRPr="004F1E80">
        <w:rPr>
          <w:rFonts w:eastAsia="Times New Roman" w:cs="Times New Roman"/>
          <w:sz w:val="24"/>
          <w:szCs w:val="24"/>
          <w:lang w:eastAsia="en-AU"/>
        </w:rPr>
        <w:t xml:space="preserve">as </w:t>
      </w:r>
      <w:r w:rsidR="00AC007B" w:rsidRPr="004F1E80">
        <w:rPr>
          <w:rFonts w:eastAsia="Times New Roman" w:cs="Times New Roman"/>
          <w:sz w:val="24"/>
          <w:szCs w:val="24"/>
          <w:lang w:eastAsia="en-AU"/>
        </w:rPr>
        <w:t xml:space="preserve">both </w:t>
      </w:r>
      <w:r w:rsidRPr="004F1E80">
        <w:rPr>
          <w:rFonts w:eastAsia="Times New Roman" w:cs="Times New Roman"/>
          <w:sz w:val="24"/>
          <w:szCs w:val="24"/>
          <w:lang w:eastAsia="en-AU"/>
        </w:rPr>
        <w:t>provision</w:t>
      </w:r>
      <w:r w:rsidR="00AC007B" w:rsidRPr="004F1E80">
        <w:rPr>
          <w:rFonts w:eastAsia="Times New Roman" w:cs="Times New Roman"/>
          <w:sz w:val="24"/>
          <w:szCs w:val="24"/>
          <w:lang w:eastAsia="en-AU"/>
        </w:rPr>
        <w:t>s</w:t>
      </w:r>
      <w:r w:rsidRPr="004F1E80">
        <w:rPr>
          <w:rFonts w:eastAsia="Times New Roman" w:cs="Times New Roman"/>
          <w:sz w:val="24"/>
          <w:szCs w:val="24"/>
          <w:lang w:eastAsia="en-AU"/>
        </w:rPr>
        <w:t xml:space="preserve"> now appl</w:t>
      </w:r>
      <w:r w:rsidR="00AC007B" w:rsidRPr="004F1E80">
        <w:rPr>
          <w:rFonts w:eastAsia="Times New Roman" w:cs="Times New Roman"/>
          <w:sz w:val="24"/>
          <w:szCs w:val="24"/>
          <w:lang w:eastAsia="en-AU"/>
        </w:rPr>
        <w:t>y</w:t>
      </w:r>
      <w:r w:rsidRPr="004F1E80">
        <w:rPr>
          <w:rFonts w:eastAsia="Times New Roman" w:cs="Times New Roman"/>
          <w:sz w:val="24"/>
          <w:szCs w:val="24"/>
          <w:lang w:eastAsia="en-AU"/>
        </w:rPr>
        <w:t xml:space="preserve"> in relation to family law proceedings that are frivolous or vexatious;</w:t>
      </w:r>
    </w:p>
    <w:p w:rsidR="00AC007B" w:rsidRPr="004F1E80" w:rsidRDefault="00AC007B" w:rsidP="00355CD1">
      <w:pPr>
        <w:pStyle w:val="ListParagraph"/>
        <w:numPr>
          <w:ilvl w:val="0"/>
          <w:numId w:val="3"/>
        </w:num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Cs/>
          <w:sz w:val="24"/>
          <w:szCs w:val="24"/>
          <w:lang w:eastAsia="en-AU"/>
        </w:rPr>
        <w:t>removing the note after rule 15.01 as there was an incorrect statutory reference and the other reference to statutory provisions was otherwise not seen to be necessary;</w:t>
      </w:r>
    </w:p>
    <w:p w:rsidR="00503B85" w:rsidRPr="004F1E80" w:rsidRDefault="002A10C2"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 xml:space="preserve">removing the reference to </w:t>
      </w:r>
      <w:r w:rsidRPr="004F1E80">
        <w:rPr>
          <w:rFonts w:eastAsia="Times New Roman" w:cs="Times New Roman"/>
          <w:i/>
          <w:sz w:val="24"/>
          <w:szCs w:val="24"/>
          <w:lang w:eastAsia="en-AU"/>
        </w:rPr>
        <w:t>within a reasonable time</w:t>
      </w:r>
      <w:r w:rsidR="00DD16BD" w:rsidRPr="004F1E80">
        <w:rPr>
          <w:rFonts w:eastAsia="Times New Roman" w:cs="Times New Roman"/>
          <w:sz w:val="24"/>
          <w:szCs w:val="24"/>
          <w:lang w:eastAsia="en-AU"/>
        </w:rPr>
        <w:t xml:space="preserve"> in </w:t>
      </w:r>
      <w:r w:rsidR="00503B85" w:rsidRPr="004F1E80">
        <w:rPr>
          <w:rFonts w:eastAsia="Times New Roman" w:cs="Times New Roman"/>
          <w:sz w:val="24"/>
          <w:szCs w:val="24"/>
          <w:lang w:eastAsia="en-AU"/>
        </w:rPr>
        <w:t>subrule 15A.06(2)</w:t>
      </w:r>
      <w:r w:rsidR="00AC007B" w:rsidRPr="004F1E80">
        <w:rPr>
          <w:rFonts w:eastAsia="Times New Roman" w:cs="Times New Roman"/>
          <w:sz w:val="24"/>
          <w:szCs w:val="24"/>
          <w:lang w:eastAsia="en-AU"/>
        </w:rPr>
        <w:t xml:space="preserve"> </w:t>
      </w:r>
      <w:r w:rsidR="00503B85" w:rsidRPr="004F1E80">
        <w:rPr>
          <w:rFonts w:eastAsia="Times New Roman" w:cs="Times New Roman"/>
          <w:sz w:val="24"/>
          <w:szCs w:val="24"/>
          <w:lang w:eastAsia="en-AU"/>
        </w:rPr>
        <w:t xml:space="preserve">as it is inconsistent with the </w:t>
      </w:r>
      <w:r w:rsidR="00AC007B" w:rsidRPr="004F1E80">
        <w:rPr>
          <w:rFonts w:eastAsia="Times New Roman" w:cs="Times New Roman"/>
          <w:sz w:val="24"/>
          <w:szCs w:val="24"/>
          <w:lang w:eastAsia="en-AU"/>
        </w:rPr>
        <w:t xml:space="preserve">subpoena </w:t>
      </w:r>
      <w:r w:rsidR="00503B85" w:rsidRPr="004F1E80">
        <w:rPr>
          <w:rFonts w:eastAsia="Times New Roman" w:cs="Times New Roman"/>
          <w:sz w:val="24"/>
          <w:szCs w:val="24"/>
          <w:lang w:eastAsia="en-AU"/>
        </w:rPr>
        <w:t>time limits in rule 15A.04</w:t>
      </w:r>
      <w:r w:rsidR="00375CED" w:rsidRPr="004F1E80">
        <w:rPr>
          <w:rFonts w:eastAsia="Times New Roman" w:cs="Times New Roman"/>
          <w:sz w:val="24"/>
          <w:szCs w:val="24"/>
          <w:lang w:eastAsia="en-AU"/>
        </w:rPr>
        <w:t>;</w:t>
      </w:r>
    </w:p>
    <w:p w:rsidR="00503B85" w:rsidRPr="004F1E80" w:rsidRDefault="002A10C2"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 xml:space="preserve">removing the term </w:t>
      </w:r>
      <w:r w:rsidRPr="004F1E80">
        <w:rPr>
          <w:rFonts w:eastAsia="Times New Roman" w:cs="Times New Roman"/>
          <w:i/>
          <w:sz w:val="24"/>
          <w:szCs w:val="24"/>
          <w:lang w:eastAsia="en-AU"/>
        </w:rPr>
        <w:t>de facto spouse</w:t>
      </w:r>
      <w:r w:rsidRPr="004F1E80">
        <w:rPr>
          <w:rFonts w:eastAsia="Times New Roman" w:cs="Times New Roman"/>
          <w:sz w:val="24"/>
          <w:szCs w:val="24"/>
          <w:lang w:eastAsia="en-AU"/>
        </w:rPr>
        <w:t xml:space="preserve"> and replacing it with </w:t>
      </w:r>
      <w:r w:rsidRPr="004F1E80">
        <w:rPr>
          <w:rFonts w:eastAsia="Times New Roman" w:cs="Times New Roman"/>
          <w:i/>
          <w:sz w:val="24"/>
          <w:szCs w:val="24"/>
          <w:lang w:eastAsia="en-AU"/>
        </w:rPr>
        <w:t>de facto partner</w:t>
      </w:r>
      <w:r w:rsidR="00503B85" w:rsidRPr="004F1E80">
        <w:rPr>
          <w:rFonts w:eastAsia="Times New Roman" w:cs="Times New Roman"/>
          <w:sz w:val="24"/>
          <w:szCs w:val="24"/>
          <w:lang w:eastAsia="en-AU"/>
        </w:rPr>
        <w:t xml:space="preserve"> in </w:t>
      </w:r>
      <w:r w:rsidRPr="004F1E80">
        <w:rPr>
          <w:rFonts w:eastAsia="Times New Roman" w:cs="Times New Roman"/>
          <w:sz w:val="24"/>
          <w:szCs w:val="24"/>
          <w:lang w:eastAsia="en-AU"/>
        </w:rPr>
        <w:t>paragraph 24.03(d)(ii),(iii)</w:t>
      </w:r>
      <w:r w:rsidR="00503B85" w:rsidRPr="004F1E80">
        <w:rPr>
          <w:rFonts w:eastAsia="Times New Roman" w:cs="Times New Roman"/>
          <w:sz w:val="24"/>
          <w:szCs w:val="24"/>
          <w:lang w:eastAsia="en-AU"/>
        </w:rPr>
        <w:t xml:space="preserve"> and a</w:t>
      </w:r>
      <w:r w:rsidR="00913D5F" w:rsidRPr="004F1E80">
        <w:rPr>
          <w:rFonts w:eastAsia="Times New Roman" w:cs="Times New Roman"/>
          <w:sz w:val="24"/>
          <w:szCs w:val="24"/>
          <w:lang w:eastAsia="en-AU"/>
        </w:rPr>
        <w:t>dd</w:t>
      </w:r>
      <w:r w:rsidR="00AC007B" w:rsidRPr="004F1E80">
        <w:rPr>
          <w:rFonts w:eastAsia="Times New Roman" w:cs="Times New Roman"/>
          <w:sz w:val="24"/>
          <w:szCs w:val="24"/>
          <w:lang w:eastAsia="en-AU"/>
        </w:rPr>
        <w:t>ing</w:t>
      </w:r>
      <w:r w:rsidR="00503B85" w:rsidRPr="004F1E80">
        <w:rPr>
          <w:rFonts w:eastAsia="Times New Roman" w:cs="Times New Roman"/>
          <w:sz w:val="24"/>
          <w:szCs w:val="24"/>
          <w:lang w:eastAsia="en-AU"/>
        </w:rPr>
        <w:t xml:space="preserve"> a new dictionary definition of the term </w:t>
      </w:r>
      <w:r w:rsidR="00503B85" w:rsidRPr="004F1E80">
        <w:rPr>
          <w:rFonts w:eastAsia="Times New Roman" w:cs="Times New Roman"/>
          <w:i/>
          <w:sz w:val="24"/>
          <w:szCs w:val="24"/>
          <w:lang w:eastAsia="en-AU"/>
        </w:rPr>
        <w:t>de facto partner;</w:t>
      </w:r>
    </w:p>
    <w:p w:rsidR="00503B85" w:rsidRPr="004F1E80" w:rsidRDefault="00503B85"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 xml:space="preserve">removal of incorrect reference to rule 25B.10 in the note after subrule 25B.20(2) and replacing this with the </w:t>
      </w:r>
      <w:bookmarkStart w:id="0" w:name="_GoBack"/>
      <w:bookmarkEnd w:id="0"/>
      <w:r w:rsidRPr="004F1E80">
        <w:rPr>
          <w:rFonts w:eastAsia="Times New Roman" w:cs="Times New Roman"/>
          <w:sz w:val="24"/>
          <w:szCs w:val="24"/>
          <w:lang w:eastAsia="en-AU"/>
        </w:rPr>
        <w:t>correct reference to Division 25B.4;</w:t>
      </w:r>
    </w:p>
    <w:p w:rsidR="00503B85" w:rsidRPr="004F1E80" w:rsidRDefault="002A10C2"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 xml:space="preserve">removal of </w:t>
      </w:r>
      <w:r w:rsidR="00503B85" w:rsidRPr="004F1E80">
        <w:rPr>
          <w:rFonts w:eastAsia="Times New Roman" w:cs="Times New Roman"/>
          <w:sz w:val="24"/>
          <w:szCs w:val="24"/>
          <w:lang w:eastAsia="en-AU"/>
        </w:rPr>
        <w:t xml:space="preserve"> all </w:t>
      </w:r>
      <w:r w:rsidRPr="004F1E80">
        <w:rPr>
          <w:rFonts w:eastAsia="Times New Roman" w:cs="Times New Roman"/>
          <w:sz w:val="24"/>
          <w:szCs w:val="24"/>
          <w:lang w:eastAsia="en-AU"/>
        </w:rPr>
        <w:t>reference</w:t>
      </w:r>
      <w:r w:rsidR="00685C3F" w:rsidRPr="004F1E80">
        <w:rPr>
          <w:rFonts w:eastAsia="Times New Roman" w:cs="Times New Roman"/>
          <w:sz w:val="24"/>
          <w:szCs w:val="24"/>
          <w:lang w:eastAsia="en-AU"/>
        </w:rPr>
        <w:t>s</w:t>
      </w:r>
      <w:r w:rsidRPr="004F1E80">
        <w:rPr>
          <w:rFonts w:eastAsia="Times New Roman" w:cs="Times New Roman"/>
          <w:sz w:val="24"/>
          <w:szCs w:val="24"/>
          <w:lang w:eastAsia="en-AU"/>
        </w:rPr>
        <w:t xml:space="preserve"> to</w:t>
      </w:r>
      <w:r w:rsidR="00503B85" w:rsidRPr="004F1E80">
        <w:rPr>
          <w:rFonts w:eastAsia="Times New Roman" w:cs="Times New Roman"/>
          <w:sz w:val="24"/>
          <w:szCs w:val="24"/>
          <w:lang w:eastAsia="en-AU"/>
        </w:rPr>
        <w:t xml:space="preserve"> the </w:t>
      </w:r>
      <w:r w:rsidR="00375CED" w:rsidRPr="004F1E80">
        <w:rPr>
          <w:rFonts w:eastAsia="Times New Roman" w:cs="Times New Roman"/>
          <w:sz w:val="24"/>
          <w:szCs w:val="24"/>
          <w:lang w:eastAsia="en-AU"/>
        </w:rPr>
        <w:t xml:space="preserve">repealed </w:t>
      </w:r>
      <w:r w:rsidRPr="004F1E80">
        <w:rPr>
          <w:rFonts w:eastAsia="Times New Roman" w:cs="Times New Roman"/>
          <w:i/>
          <w:sz w:val="24"/>
          <w:szCs w:val="24"/>
          <w:lang w:eastAsia="en-AU"/>
        </w:rPr>
        <w:t>Building and Construction Industry Improvement Act 2005</w:t>
      </w:r>
      <w:r w:rsidR="00AC007B" w:rsidRPr="004F1E80">
        <w:rPr>
          <w:rFonts w:eastAsia="Times New Roman" w:cs="Times New Roman"/>
          <w:sz w:val="24"/>
          <w:szCs w:val="24"/>
          <w:lang w:eastAsia="en-AU"/>
        </w:rPr>
        <w:t xml:space="preserve"> </w:t>
      </w:r>
      <w:r w:rsidRPr="004F1E80">
        <w:rPr>
          <w:rFonts w:eastAsia="Times New Roman" w:cs="Times New Roman"/>
          <w:sz w:val="24"/>
          <w:szCs w:val="24"/>
          <w:lang w:eastAsia="en-AU"/>
        </w:rPr>
        <w:t>(where referred to in</w:t>
      </w:r>
      <w:r w:rsidR="00503B85" w:rsidRPr="004F1E80">
        <w:rPr>
          <w:rFonts w:eastAsia="Times New Roman" w:cs="Times New Roman"/>
          <w:sz w:val="24"/>
          <w:szCs w:val="24"/>
          <w:lang w:eastAsia="en-AU"/>
        </w:rPr>
        <w:t xml:space="preserve"> Chapter 7</w:t>
      </w:r>
      <w:r w:rsidR="00685C3F" w:rsidRPr="004F1E80">
        <w:rPr>
          <w:rFonts w:eastAsia="Times New Roman" w:cs="Times New Roman"/>
          <w:sz w:val="24"/>
          <w:szCs w:val="24"/>
          <w:lang w:eastAsia="en-AU"/>
        </w:rPr>
        <w:t>)</w:t>
      </w:r>
      <w:r w:rsidR="00503B85" w:rsidRPr="004F1E80">
        <w:rPr>
          <w:rFonts w:eastAsia="Times New Roman" w:cs="Times New Roman"/>
          <w:sz w:val="24"/>
          <w:szCs w:val="24"/>
          <w:lang w:eastAsia="en-AU"/>
        </w:rPr>
        <w:t>;</w:t>
      </w:r>
    </w:p>
    <w:p w:rsidR="00503B85" w:rsidRPr="004F1E80" w:rsidRDefault="00AC007B" w:rsidP="00355CD1">
      <w:pPr>
        <w:pStyle w:val="ListParagraph"/>
        <w:numPr>
          <w:ilvl w:val="0"/>
          <w:numId w:val="3"/>
        </w:numPr>
        <w:spacing w:before="240" w:after="240" w:line="240" w:lineRule="auto"/>
        <w:ind w:left="714" w:hanging="357"/>
        <w:contextualSpacing w:val="0"/>
        <w:jc w:val="both"/>
        <w:rPr>
          <w:rFonts w:eastAsia="Times New Roman" w:cs="Times New Roman"/>
          <w:sz w:val="24"/>
          <w:szCs w:val="24"/>
          <w:lang w:eastAsia="en-AU"/>
        </w:rPr>
      </w:pPr>
      <w:r w:rsidRPr="004F1E80">
        <w:rPr>
          <w:rFonts w:eastAsia="Times New Roman" w:cs="Times New Roman"/>
          <w:bCs/>
          <w:sz w:val="24"/>
          <w:szCs w:val="24"/>
          <w:lang w:eastAsia="en-AU"/>
        </w:rPr>
        <w:t xml:space="preserve">removing references to sections 369 and 777 of the </w:t>
      </w:r>
      <w:r w:rsidRPr="004F1E80">
        <w:rPr>
          <w:rFonts w:eastAsia="Times New Roman" w:cs="Times New Roman"/>
          <w:bCs/>
          <w:i/>
          <w:sz w:val="24"/>
          <w:szCs w:val="24"/>
          <w:lang w:eastAsia="en-AU"/>
        </w:rPr>
        <w:t>Fair Work Act 2009,</w:t>
      </w:r>
      <w:r w:rsidRPr="004F1E80">
        <w:rPr>
          <w:rFonts w:eastAsia="Times New Roman" w:cs="Times New Roman"/>
          <w:bCs/>
          <w:sz w:val="24"/>
          <w:szCs w:val="24"/>
          <w:lang w:eastAsia="en-AU"/>
        </w:rPr>
        <w:t xml:space="preserve"> as they are no longer the correct statutory reference in view of amendments made to the Act by way of the </w:t>
      </w:r>
      <w:r w:rsidRPr="004F1E80">
        <w:rPr>
          <w:rFonts w:eastAsia="Times New Roman" w:cs="Times New Roman"/>
          <w:bCs/>
          <w:i/>
          <w:sz w:val="24"/>
          <w:szCs w:val="24"/>
          <w:lang w:eastAsia="en-AU"/>
        </w:rPr>
        <w:t xml:space="preserve">Fair Work Amendment Act </w:t>
      </w:r>
      <w:r w:rsidR="004F1E80" w:rsidRPr="004F1E80">
        <w:rPr>
          <w:rFonts w:eastAsia="Times New Roman" w:cs="Times New Roman"/>
          <w:bCs/>
          <w:i/>
          <w:sz w:val="24"/>
          <w:szCs w:val="24"/>
          <w:lang w:eastAsia="en-AU"/>
        </w:rPr>
        <w:t>2013;</w:t>
      </w:r>
    </w:p>
    <w:p w:rsidR="00503B85" w:rsidRPr="004F1E80" w:rsidRDefault="00EE7111" w:rsidP="00355CD1">
      <w:pPr>
        <w:pStyle w:val="ListParagraph"/>
        <w:numPr>
          <w:ilvl w:val="0"/>
          <w:numId w:val="3"/>
        </w:numPr>
        <w:spacing w:before="240" w:after="360" w:line="240" w:lineRule="auto"/>
        <w:ind w:left="714" w:hanging="357"/>
        <w:jc w:val="both"/>
        <w:rPr>
          <w:rFonts w:eastAsia="Times New Roman" w:cs="Times New Roman"/>
          <w:sz w:val="24"/>
          <w:szCs w:val="24"/>
          <w:lang w:eastAsia="en-AU"/>
        </w:rPr>
      </w:pPr>
      <w:r w:rsidRPr="004F1E80">
        <w:rPr>
          <w:rFonts w:eastAsia="Times New Roman" w:cs="Times New Roman"/>
          <w:bCs/>
          <w:sz w:val="24"/>
          <w:szCs w:val="24"/>
          <w:lang w:eastAsia="en-AU"/>
        </w:rPr>
        <w:t>application of r</w:t>
      </w:r>
      <w:r w:rsidR="00AC007B" w:rsidRPr="004F1E80">
        <w:rPr>
          <w:rFonts w:eastAsia="Times New Roman" w:cs="Times New Roman"/>
          <w:bCs/>
          <w:sz w:val="24"/>
          <w:szCs w:val="24"/>
          <w:lang w:eastAsia="en-AU"/>
        </w:rPr>
        <w:t xml:space="preserve">ule 12.01 of the </w:t>
      </w:r>
      <w:r w:rsidR="00AC007B" w:rsidRPr="004F1E80">
        <w:rPr>
          <w:rFonts w:eastAsia="Times New Roman" w:cs="Times New Roman"/>
          <w:bCs/>
          <w:i/>
          <w:sz w:val="24"/>
          <w:szCs w:val="24"/>
          <w:lang w:eastAsia="en-AU"/>
        </w:rPr>
        <w:t>Federal Court Rules 2011</w:t>
      </w:r>
      <w:r w:rsidR="00AC007B" w:rsidRPr="004F1E80">
        <w:rPr>
          <w:rFonts w:eastAsia="Times New Roman" w:cs="Times New Roman"/>
          <w:bCs/>
          <w:sz w:val="24"/>
          <w:szCs w:val="24"/>
          <w:lang w:eastAsia="en-AU"/>
        </w:rPr>
        <w:t xml:space="preserve"> in respect of a submitting notice</w:t>
      </w:r>
      <w:r w:rsidRPr="004F1E80">
        <w:rPr>
          <w:rFonts w:eastAsia="Times New Roman" w:cs="Times New Roman"/>
          <w:bCs/>
          <w:sz w:val="24"/>
          <w:szCs w:val="24"/>
          <w:lang w:eastAsia="en-AU"/>
        </w:rPr>
        <w:t>,</w:t>
      </w:r>
      <w:r w:rsidR="00AC007B" w:rsidRPr="004F1E80">
        <w:rPr>
          <w:rFonts w:eastAsia="Times New Roman" w:cs="Times New Roman"/>
          <w:bCs/>
          <w:sz w:val="24"/>
          <w:szCs w:val="24"/>
          <w:lang w:eastAsia="en-AU"/>
        </w:rPr>
        <w:t xml:space="preserve"> </w:t>
      </w:r>
      <w:r w:rsidR="00355CD1" w:rsidRPr="004F1E80">
        <w:rPr>
          <w:rFonts w:eastAsia="Times New Roman" w:cs="Times New Roman"/>
          <w:bCs/>
          <w:sz w:val="24"/>
          <w:szCs w:val="24"/>
          <w:lang w:eastAsia="en-AU"/>
        </w:rPr>
        <w:t>by way of Part 2 of Schedule 3</w:t>
      </w:r>
      <w:r w:rsidR="00AC007B" w:rsidRPr="004F1E80">
        <w:rPr>
          <w:rFonts w:eastAsia="Times New Roman" w:cs="Times New Roman"/>
          <w:bCs/>
          <w:sz w:val="24"/>
          <w:szCs w:val="24"/>
          <w:lang w:eastAsia="en-AU"/>
        </w:rPr>
        <w:t>.</w:t>
      </w:r>
    </w:p>
    <w:p w:rsidR="00E37742" w:rsidRPr="004F1E80" w:rsidRDefault="00503B85" w:rsidP="00355CD1">
      <w:pPr>
        <w:spacing w:before="100" w:beforeAutospacing="1" w:after="240" w:line="240" w:lineRule="auto"/>
        <w:ind w:left="360"/>
        <w:jc w:val="both"/>
        <w:rPr>
          <w:rFonts w:eastAsia="Times New Roman" w:cs="Times New Roman"/>
          <w:sz w:val="24"/>
          <w:szCs w:val="24"/>
          <w:lang w:eastAsia="en-AU"/>
        </w:rPr>
      </w:pPr>
      <w:r w:rsidRPr="004F1E80">
        <w:rPr>
          <w:rFonts w:eastAsia="Times New Roman" w:cs="Times New Roman"/>
          <w:sz w:val="24"/>
          <w:szCs w:val="24"/>
          <w:lang w:eastAsia="en-AU"/>
        </w:rPr>
        <w:t>In addition to these miscellaneous amendments Part 1 amendments include:</w:t>
      </w:r>
    </w:p>
    <w:p w:rsidR="00CB5D8F" w:rsidRPr="004F1E80" w:rsidRDefault="00F17B3A" w:rsidP="00355CD1">
      <w:pPr>
        <w:pStyle w:val="ListParagraph"/>
        <w:numPr>
          <w:ilvl w:val="0"/>
          <w:numId w:val="9"/>
        </w:numPr>
        <w:spacing w:before="100" w:beforeAutospacing="1" w:after="240" w:line="240" w:lineRule="auto"/>
        <w:ind w:left="1066"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 xml:space="preserve">Amendments to the </w:t>
      </w:r>
      <w:r w:rsidR="00E37742" w:rsidRPr="004F1E80">
        <w:rPr>
          <w:rFonts w:eastAsia="Times New Roman" w:cs="Times New Roman"/>
          <w:sz w:val="24"/>
          <w:szCs w:val="24"/>
          <w:lang w:eastAsia="en-AU"/>
        </w:rPr>
        <w:t xml:space="preserve">family report </w:t>
      </w:r>
      <w:r w:rsidR="00E37742" w:rsidRPr="004F1E80">
        <w:rPr>
          <w:rFonts w:eastAsia="Times New Roman" w:cs="Times New Roman"/>
          <w:bCs/>
          <w:sz w:val="24"/>
          <w:szCs w:val="24"/>
          <w:lang w:eastAsia="en-AU"/>
        </w:rPr>
        <w:t xml:space="preserve">rules to make it explicit that the Court can make orders allowing the disclosure of </w:t>
      </w:r>
      <w:r w:rsidR="00355CD1" w:rsidRPr="004F1E80">
        <w:rPr>
          <w:rFonts w:eastAsia="Times New Roman" w:cs="Times New Roman"/>
          <w:bCs/>
          <w:sz w:val="24"/>
          <w:szCs w:val="24"/>
          <w:lang w:eastAsia="en-AU"/>
        </w:rPr>
        <w:t xml:space="preserve">family </w:t>
      </w:r>
      <w:r w:rsidR="00E37742" w:rsidRPr="004F1E80">
        <w:rPr>
          <w:rFonts w:eastAsia="Times New Roman" w:cs="Times New Roman"/>
          <w:bCs/>
          <w:sz w:val="24"/>
          <w:szCs w:val="24"/>
          <w:lang w:eastAsia="en-AU"/>
        </w:rPr>
        <w:t>reports to appropriate bodies in the child protection system and to legal aid bodies. Subrule 23.01A(5) implements this by permitting the Court (by order or otherwise) to give a copy of the report to any of the following (in addition to a party, a lawyer or an independent children’s lawyer)</w:t>
      </w:r>
      <w:r w:rsidR="00CB5D8F" w:rsidRPr="004F1E80">
        <w:rPr>
          <w:rFonts w:eastAsia="Times New Roman" w:cs="Times New Roman"/>
          <w:bCs/>
          <w:sz w:val="24"/>
          <w:szCs w:val="24"/>
          <w:lang w:eastAsia="en-AU"/>
        </w:rPr>
        <w:t xml:space="preserve">: </w:t>
      </w:r>
      <w:r w:rsidR="00E37742" w:rsidRPr="004F1E80">
        <w:rPr>
          <w:rFonts w:eastAsia="Times New Roman" w:cs="Times New Roman"/>
          <w:bCs/>
          <w:sz w:val="24"/>
          <w:szCs w:val="24"/>
          <w:lang w:eastAsia="en-AU"/>
        </w:rPr>
        <w:t>a children’s court;</w:t>
      </w:r>
      <w:r w:rsidR="00CB5D8F" w:rsidRPr="004F1E80">
        <w:rPr>
          <w:rFonts w:eastAsia="Times New Roman" w:cs="Times New Roman"/>
          <w:bCs/>
          <w:sz w:val="24"/>
          <w:szCs w:val="24"/>
          <w:lang w:eastAsia="en-AU"/>
        </w:rPr>
        <w:t xml:space="preserve"> </w:t>
      </w:r>
      <w:r w:rsidR="00E37742" w:rsidRPr="004F1E80">
        <w:rPr>
          <w:rFonts w:eastAsia="Times New Roman" w:cs="Times New Roman"/>
          <w:bCs/>
          <w:sz w:val="24"/>
          <w:szCs w:val="24"/>
          <w:lang w:eastAsia="en-AU"/>
        </w:rPr>
        <w:t>a prescribed welfare authority;</w:t>
      </w:r>
      <w:r w:rsidR="00CB5D8F" w:rsidRPr="004F1E80">
        <w:rPr>
          <w:rFonts w:eastAsia="Times New Roman" w:cs="Times New Roman"/>
          <w:bCs/>
          <w:sz w:val="24"/>
          <w:szCs w:val="24"/>
          <w:lang w:eastAsia="en-AU"/>
        </w:rPr>
        <w:t xml:space="preserve"> </w:t>
      </w:r>
      <w:r w:rsidR="00E37742" w:rsidRPr="004F1E80">
        <w:rPr>
          <w:rFonts w:eastAsia="Times New Roman" w:cs="Times New Roman"/>
          <w:bCs/>
          <w:sz w:val="24"/>
          <w:szCs w:val="24"/>
          <w:lang w:eastAsia="en-AU"/>
        </w:rPr>
        <w:t>a Legal Aid Commission;</w:t>
      </w:r>
      <w:r w:rsidR="00CB5D8F" w:rsidRPr="004F1E80">
        <w:rPr>
          <w:rFonts w:eastAsia="Times New Roman" w:cs="Times New Roman"/>
          <w:bCs/>
          <w:sz w:val="24"/>
          <w:szCs w:val="24"/>
          <w:lang w:eastAsia="en-AU"/>
        </w:rPr>
        <w:t xml:space="preserve"> </w:t>
      </w:r>
      <w:r w:rsidR="00E37742" w:rsidRPr="004F1E80">
        <w:rPr>
          <w:rFonts w:eastAsia="Times New Roman" w:cs="Times New Roman"/>
          <w:bCs/>
          <w:sz w:val="24"/>
          <w:szCs w:val="24"/>
          <w:lang w:eastAsia="en-AU"/>
        </w:rPr>
        <w:t>the convenor of any legal dispute resolution conference.</w:t>
      </w:r>
      <w:r w:rsidR="00EE7111" w:rsidRPr="004F1E80">
        <w:rPr>
          <w:rFonts w:eastAsia="Times New Roman" w:cs="Times New Roman"/>
          <w:bCs/>
          <w:sz w:val="24"/>
          <w:szCs w:val="24"/>
          <w:lang w:eastAsia="en-AU"/>
        </w:rPr>
        <w:t xml:space="preserve"> These amendments are consistent with recommendations contained in a Report by Professor Richard Chisholm AM dated March 2014 – </w:t>
      </w:r>
      <w:r w:rsidR="00EE7111" w:rsidRPr="004F1E80">
        <w:rPr>
          <w:rFonts w:eastAsia="Times New Roman" w:cs="Times New Roman"/>
          <w:bCs/>
          <w:i/>
          <w:sz w:val="24"/>
          <w:szCs w:val="24"/>
          <w:lang w:eastAsia="en-AU"/>
        </w:rPr>
        <w:t>The Sharing of Experts Reports Between the Child Protection System and the Family Law System</w:t>
      </w:r>
      <w:r w:rsidR="00EE7111" w:rsidRPr="004F1E80">
        <w:rPr>
          <w:rFonts w:eastAsia="Times New Roman" w:cs="Times New Roman"/>
          <w:bCs/>
          <w:sz w:val="24"/>
          <w:szCs w:val="24"/>
          <w:lang w:eastAsia="en-AU"/>
        </w:rPr>
        <w:t>. In particular Recommendations 6 and 7 which recommends amendment to court rules to make it explicit that family courts can make orders allowing the disclosure of reports to appropriate bodies in the child protection system and to legal aid bodies.</w:t>
      </w:r>
    </w:p>
    <w:p w:rsidR="006F3D7C" w:rsidRPr="004F1E80" w:rsidRDefault="00E37742" w:rsidP="00355CD1">
      <w:pPr>
        <w:pStyle w:val="ListParagraph"/>
        <w:numPr>
          <w:ilvl w:val="0"/>
          <w:numId w:val="8"/>
        </w:numPr>
        <w:spacing w:before="100" w:beforeAutospacing="1" w:after="120" w:line="240" w:lineRule="auto"/>
        <w:ind w:left="1066"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lastRenderedPageBreak/>
        <w:t xml:space="preserve">Three new subrules have been added to rule 44. 15 </w:t>
      </w:r>
      <w:r w:rsidRPr="004F1E80">
        <w:rPr>
          <w:rFonts w:eastAsia="Times New Roman" w:cs="Times New Roman"/>
          <w:bCs/>
          <w:sz w:val="24"/>
          <w:szCs w:val="24"/>
          <w:lang w:eastAsia="en-AU"/>
        </w:rPr>
        <w:t xml:space="preserve">in respect of cost when an applicant files a notice of discontinuance of an application for a show cause in migration proceedings. In </w:t>
      </w:r>
      <w:r w:rsidRPr="004F1E80">
        <w:rPr>
          <w:rFonts w:eastAsia="Times New Roman" w:cs="Times New Roman"/>
          <w:bCs/>
          <w:i/>
          <w:sz w:val="24"/>
          <w:szCs w:val="24"/>
          <w:lang w:eastAsia="en-AU"/>
        </w:rPr>
        <w:t>MZZKH v Minister for Immigration &amp; Anor</w:t>
      </w:r>
      <w:r w:rsidRPr="004F1E80">
        <w:rPr>
          <w:rFonts w:eastAsia="Times New Roman" w:cs="Times New Roman"/>
          <w:bCs/>
          <w:sz w:val="24"/>
          <w:szCs w:val="24"/>
          <w:lang w:eastAsia="en-AU"/>
        </w:rPr>
        <w:t xml:space="preserve"> [2013] FCCA 2287 the Court considered whether rule 44.15 provided for the automatic imposition of costs without the need to file an application. The new subrules are intended to facilitate a claim for costs in a show cause migration proceeding where a notice of discontinuance has been filed without the need to file a separate cost application. New subrule 44.15(3) provides that the respondent will be required to serve a sealed copy of a bill of costs in accordance with a new approved form of bill of costs that specifies the amount set out in Division 2 of Part3 of Schedule 1.</w:t>
      </w:r>
    </w:p>
    <w:p w:rsidR="006F3D7C" w:rsidRPr="004F1E80" w:rsidRDefault="006F3D7C" w:rsidP="00355CD1">
      <w:pPr>
        <w:pStyle w:val="ListParagraph"/>
        <w:numPr>
          <w:ilvl w:val="0"/>
          <w:numId w:val="3"/>
        </w:numPr>
        <w:spacing w:before="100" w:beforeAutospacing="1" w:after="120" w:line="240" w:lineRule="auto"/>
        <w:ind w:left="714" w:hanging="357"/>
        <w:contextualSpacing w:val="0"/>
        <w:jc w:val="both"/>
        <w:rPr>
          <w:rFonts w:eastAsia="Times New Roman" w:cs="Times New Roman"/>
          <w:sz w:val="24"/>
          <w:szCs w:val="24"/>
          <w:lang w:eastAsia="en-AU"/>
        </w:rPr>
      </w:pPr>
      <w:r w:rsidRPr="004F1E80">
        <w:rPr>
          <w:rFonts w:eastAsia="Times New Roman" w:cs="Times New Roman"/>
          <w:sz w:val="24"/>
          <w:szCs w:val="24"/>
          <w:lang w:eastAsia="en-AU"/>
        </w:rPr>
        <w:t>Increasing the rates of costs in Schedule 1 to give effect to recommendations made in the Sixth Report of the Joint Costs Advisory Committee.</w:t>
      </w:r>
    </w:p>
    <w:p w:rsidR="00B275E4" w:rsidRPr="004F1E80" w:rsidRDefault="006F3D7C" w:rsidP="00355CD1">
      <w:pPr>
        <w:spacing w:before="480" w:after="240" w:line="240" w:lineRule="auto"/>
        <w:jc w:val="both"/>
        <w:rPr>
          <w:rFonts w:eastAsia="Times New Roman" w:cs="Times New Roman"/>
          <w:b/>
          <w:sz w:val="28"/>
          <w:szCs w:val="28"/>
          <w:lang w:eastAsia="en-AU"/>
        </w:rPr>
      </w:pPr>
      <w:r w:rsidRPr="004F1E80">
        <w:rPr>
          <w:rFonts w:eastAsia="Times New Roman" w:cs="Times New Roman"/>
          <w:b/>
          <w:sz w:val="28"/>
          <w:szCs w:val="28"/>
          <w:lang w:eastAsia="en-AU"/>
        </w:rPr>
        <w:t>PART 2</w:t>
      </w:r>
      <w:r w:rsidRPr="004F1E80">
        <w:rPr>
          <w:rFonts w:eastAsia="Times New Roman" w:cs="Times New Roman"/>
          <w:sz w:val="28"/>
          <w:szCs w:val="28"/>
          <w:lang w:eastAsia="en-AU"/>
        </w:rPr>
        <w:t xml:space="preserve"> – </w:t>
      </w:r>
      <w:r w:rsidRPr="004F1E80">
        <w:rPr>
          <w:rFonts w:eastAsia="Times New Roman" w:cs="Times New Roman"/>
          <w:b/>
          <w:sz w:val="28"/>
          <w:szCs w:val="28"/>
          <w:lang w:eastAsia="en-AU"/>
        </w:rPr>
        <w:t>Amendments commencing 12 January 2015</w:t>
      </w:r>
    </w:p>
    <w:p w:rsidR="007F2A6F" w:rsidRPr="004F1E80" w:rsidRDefault="003D629D" w:rsidP="00355CD1">
      <w:pPr>
        <w:spacing w:before="100" w:beforeAutospacing="1" w:after="240"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New </w:t>
      </w:r>
      <w:r w:rsidR="009F4476" w:rsidRPr="004F1E80">
        <w:rPr>
          <w:rFonts w:eastAsia="Times New Roman" w:cs="Times New Roman"/>
          <w:sz w:val="24"/>
          <w:szCs w:val="24"/>
          <w:lang w:eastAsia="en-AU"/>
        </w:rPr>
        <w:t xml:space="preserve">Part 22A – which includes in Division 1 new rules </w:t>
      </w:r>
      <w:r w:rsidR="00A51E34" w:rsidRPr="004F1E80">
        <w:rPr>
          <w:rFonts w:eastAsia="Times New Roman" w:cs="Times New Roman"/>
          <w:sz w:val="24"/>
          <w:szCs w:val="24"/>
          <w:lang w:eastAsia="en-AU"/>
        </w:rPr>
        <w:t>requiring a per</w:t>
      </w:r>
      <w:r w:rsidR="006F3D7C" w:rsidRPr="004F1E80">
        <w:rPr>
          <w:rFonts w:eastAsia="Times New Roman" w:cs="Times New Roman"/>
          <w:sz w:val="24"/>
          <w:szCs w:val="24"/>
          <w:lang w:eastAsia="en-AU"/>
        </w:rPr>
        <w:t>son who files an application or</w:t>
      </w:r>
      <w:r w:rsidR="009F4476" w:rsidRPr="004F1E80">
        <w:rPr>
          <w:rFonts w:eastAsia="Times New Roman" w:cs="Times New Roman"/>
          <w:sz w:val="24"/>
          <w:szCs w:val="24"/>
          <w:lang w:eastAsia="en-AU"/>
        </w:rPr>
        <w:t xml:space="preserve"> response </w:t>
      </w:r>
      <w:r w:rsidR="00A51E34" w:rsidRPr="004F1E80">
        <w:rPr>
          <w:rFonts w:eastAsia="Times New Roman" w:cs="Times New Roman"/>
          <w:sz w:val="24"/>
          <w:szCs w:val="24"/>
          <w:lang w:eastAsia="en-AU"/>
        </w:rPr>
        <w:t>seeking parenting orders</w:t>
      </w:r>
      <w:r w:rsidR="009F4476" w:rsidRPr="004F1E80">
        <w:rPr>
          <w:rFonts w:eastAsia="Times New Roman" w:cs="Times New Roman"/>
          <w:sz w:val="24"/>
          <w:szCs w:val="24"/>
          <w:lang w:eastAsia="en-AU"/>
        </w:rPr>
        <w:t>,</w:t>
      </w:r>
      <w:r w:rsidR="00A51E34" w:rsidRPr="004F1E80">
        <w:rPr>
          <w:rFonts w:eastAsia="Times New Roman" w:cs="Times New Roman"/>
          <w:sz w:val="24"/>
          <w:szCs w:val="24"/>
          <w:lang w:eastAsia="en-AU"/>
        </w:rPr>
        <w:t xml:space="preserve"> to file a new form of </w:t>
      </w:r>
      <w:r w:rsidR="00A51E34" w:rsidRPr="004F1E80">
        <w:rPr>
          <w:rFonts w:eastAsia="Times New Roman" w:cs="Times New Roman"/>
          <w:i/>
          <w:sz w:val="24"/>
          <w:szCs w:val="24"/>
          <w:lang w:eastAsia="en-AU"/>
        </w:rPr>
        <w:t>Notice of Risk</w:t>
      </w:r>
      <w:r w:rsidR="00A51E34" w:rsidRPr="004F1E80">
        <w:rPr>
          <w:rFonts w:eastAsia="Times New Roman" w:cs="Times New Roman"/>
          <w:sz w:val="24"/>
          <w:szCs w:val="24"/>
          <w:lang w:eastAsia="en-AU"/>
        </w:rPr>
        <w:t xml:space="preserve">. </w:t>
      </w:r>
      <w:r w:rsidR="009F4476" w:rsidRPr="004F1E80">
        <w:rPr>
          <w:rFonts w:eastAsia="Times New Roman" w:cs="Times New Roman"/>
          <w:sz w:val="24"/>
          <w:szCs w:val="24"/>
          <w:lang w:eastAsia="en-AU"/>
        </w:rPr>
        <w:t xml:space="preserve"> </w:t>
      </w:r>
      <w:r w:rsidR="00A51E34" w:rsidRPr="004F1E80">
        <w:rPr>
          <w:rFonts w:eastAsia="Times New Roman" w:cs="Times New Roman"/>
          <w:sz w:val="24"/>
          <w:szCs w:val="24"/>
          <w:lang w:eastAsia="en-AU"/>
        </w:rPr>
        <w:t>The rules also prescribed this form when allegations of the purposes of subsection</w:t>
      </w:r>
      <w:r w:rsidR="009F4476" w:rsidRPr="004F1E80">
        <w:rPr>
          <w:rFonts w:eastAsia="Times New Roman" w:cs="Times New Roman"/>
          <w:sz w:val="24"/>
          <w:szCs w:val="24"/>
          <w:lang w:eastAsia="en-AU"/>
        </w:rPr>
        <w:t>s 67Z(</w:t>
      </w:r>
      <w:r w:rsidR="00A51E34" w:rsidRPr="004F1E80">
        <w:rPr>
          <w:rFonts w:eastAsia="Times New Roman" w:cs="Times New Roman"/>
          <w:sz w:val="24"/>
          <w:szCs w:val="24"/>
          <w:lang w:eastAsia="en-AU"/>
        </w:rPr>
        <w:t xml:space="preserve">2) or 67ZBA(2) of the </w:t>
      </w:r>
      <w:r w:rsidR="00A51E34" w:rsidRPr="004F1E80">
        <w:rPr>
          <w:rFonts w:eastAsia="Times New Roman" w:cs="Times New Roman"/>
          <w:i/>
          <w:sz w:val="24"/>
          <w:szCs w:val="24"/>
          <w:lang w:eastAsia="en-AU"/>
        </w:rPr>
        <w:t>Family Law Act 1975</w:t>
      </w:r>
      <w:r w:rsidR="00690182" w:rsidRPr="004F1E80">
        <w:rPr>
          <w:rFonts w:eastAsia="Times New Roman" w:cs="Times New Roman"/>
          <w:sz w:val="24"/>
          <w:szCs w:val="24"/>
          <w:lang w:eastAsia="en-AU"/>
        </w:rPr>
        <w:t xml:space="preserve"> are raised. </w:t>
      </w:r>
      <w:r w:rsidR="007F2A6F" w:rsidRPr="004F1E80">
        <w:rPr>
          <w:rFonts w:eastAsia="Times New Roman" w:cs="Times New Roman"/>
          <w:sz w:val="24"/>
          <w:szCs w:val="24"/>
          <w:lang w:eastAsia="en-AU"/>
        </w:rPr>
        <w:t xml:space="preserve">The </w:t>
      </w:r>
      <w:r w:rsidR="00690182" w:rsidRPr="004F1E80">
        <w:rPr>
          <w:rFonts w:eastAsia="Times New Roman" w:cs="Times New Roman"/>
          <w:i/>
          <w:sz w:val="24"/>
          <w:szCs w:val="24"/>
          <w:lang w:eastAsia="en-AU"/>
        </w:rPr>
        <w:t xml:space="preserve">Notice of Risk </w:t>
      </w:r>
      <w:r w:rsidR="007F2A6F" w:rsidRPr="004F1E80">
        <w:rPr>
          <w:rFonts w:eastAsia="Times New Roman" w:cs="Times New Roman"/>
          <w:sz w:val="24"/>
          <w:szCs w:val="24"/>
          <w:lang w:eastAsia="en-AU"/>
        </w:rPr>
        <w:t>is also intended to</w:t>
      </w:r>
      <w:r w:rsidR="009F4476" w:rsidRPr="004F1E80">
        <w:rPr>
          <w:rFonts w:eastAsia="Times New Roman" w:cs="Times New Roman"/>
          <w:sz w:val="24"/>
          <w:szCs w:val="24"/>
          <w:lang w:eastAsia="en-AU"/>
        </w:rPr>
        <w:t xml:space="preserve"> be the method by which the Court fulfils its obligations under paragraph 69ZQ(1)(aa)</w:t>
      </w:r>
      <w:r w:rsidR="007F2A6F" w:rsidRPr="004F1E80">
        <w:rPr>
          <w:rFonts w:eastAsia="Times New Roman" w:cs="Times New Roman"/>
          <w:sz w:val="24"/>
          <w:szCs w:val="24"/>
          <w:lang w:eastAsia="en-AU"/>
        </w:rPr>
        <w:t xml:space="preserve"> of the </w:t>
      </w:r>
      <w:r w:rsidR="006F3D7C" w:rsidRPr="004F1E80">
        <w:rPr>
          <w:rFonts w:eastAsia="Times New Roman" w:cs="Times New Roman"/>
          <w:i/>
          <w:sz w:val="24"/>
          <w:szCs w:val="24"/>
          <w:lang w:eastAsia="en-AU"/>
        </w:rPr>
        <w:t xml:space="preserve">Family Law Act 1975 </w:t>
      </w:r>
      <w:r w:rsidR="00690182" w:rsidRPr="004F1E80">
        <w:rPr>
          <w:rFonts w:eastAsia="Times New Roman" w:cs="Times New Roman"/>
          <w:sz w:val="24"/>
          <w:szCs w:val="24"/>
          <w:lang w:eastAsia="en-AU"/>
        </w:rPr>
        <w:t xml:space="preserve">. The new form of </w:t>
      </w:r>
      <w:r w:rsidR="00690182" w:rsidRPr="004F1E80">
        <w:rPr>
          <w:rFonts w:eastAsia="Times New Roman" w:cs="Times New Roman"/>
          <w:i/>
          <w:sz w:val="24"/>
          <w:szCs w:val="24"/>
          <w:lang w:eastAsia="en-AU"/>
        </w:rPr>
        <w:t>Notice of Risk</w:t>
      </w:r>
      <w:r w:rsidR="00690182" w:rsidRPr="004F1E80">
        <w:rPr>
          <w:rFonts w:eastAsia="Times New Roman" w:cs="Times New Roman"/>
          <w:sz w:val="24"/>
          <w:szCs w:val="24"/>
          <w:lang w:eastAsia="en-AU"/>
        </w:rPr>
        <w:t xml:space="preserve"> is prescribed in Schedule 2.</w:t>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The Amendment Rules have been the subject of consultation (as relevant), with the Federal Court of Australia, the Family Court of Australia, the Family Law Section </w:t>
      </w:r>
      <w:r w:rsidR="007F2A6F" w:rsidRPr="004F1E80">
        <w:rPr>
          <w:rFonts w:eastAsia="Times New Roman" w:cs="Times New Roman"/>
          <w:sz w:val="24"/>
          <w:szCs w:val="24"/>
          <w:lang w:eastAsia="en-AU"/>
        </w:rPr>
        <w:t>of the Law Council of Australia,</w:t>
      </w:r>
      <w:r w:rsidR="006F3D7C" w:rsidRPr="004F1E80">
        <w:rPr>
          <w:rFonts w:eastAsia="Times New Roman" w:cs="Times New Roman"/>
          <w:sz w:val="24"/>
          <w:szCs w:val="24"/>
          <w:lang w:eastAsia="en-AU"/>
        </w:rPr>
        <w:t xml:space="preserve"> National Legal Aid</w:t>
      </w:r>
      <w:r w:rsidR="007F2A6F" w:rsidRPr="004F1E80">
        <w:rPr>
          <w:rFonts w:eastAsia="Times New Roman" w:cs="Times New Roman"/>
          <w:sz w:val="24"/>
          <w:szCs w:val="24"/>
          <w:lang w:eastAsia="en-AU"/>
        </w:rPr>
        <w:t xml:space="preserve"> and prescribed child welfare authorities</w:t>
      </w:r>
      <w:r w:rsidR="006F3D7C" w:rsidRPr="004F1E80">
        <w:rPr>
          <w:rFonts w:eastAsia="Times New Roman" w:cs="Times New Roman"/>
          <w:sz w:val="24"/>
          <w:szCs w:val="24"/>
          <w:lang w:eastAsia="en-AU"/>
        </w:rPr>
        <w:t>.</w:t>
      </w:r>
      <w:r w:rsidR="007F2A6F" w:rsidRPr="004F1E80">
        <w:rPr>
          <w:rFonts w:eastAsia="Times New Roman" w:cs="Times New Roman"/>
          <w:sz w:val="24"/>
          <w:szCs w:val="24"/>
          <w:lang w:eastAsia="en-AU"/>
        </w:rPr>
        <w:t xml:space="preserve"> </w:t>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Details of the Amendment Rules are in the </w:t>
      </w:r>
      <w:r w:rsidRPr="004F1E80">
        <w:rPr>
          <w:rFonts w:eastAsia="Times New Roman" w:cs="Times New Roman"/>
          <w:b/>
          <w:bCs/>
          <w:sz w:val="24"/>
          <w:szCs w:val="24"/>
          <w:lang w:eastAsia="en-AU"/>
        </w:rPr>
        <w:t>Attachment</w:t>
      </w:r>
      <w:r w:rsidRPr="004F1E80">
        <w:rPr>
          <w:rFonts w:eastAsia="Times New Roman" w:cs="Times New Roman"/>
          <w:sz w:val="24"/>
          <w:szCs w:val="24"/>
          <w:lang w:eastAsia="en-AU"/>
        </w:rPr>
        <w:t xml:space="preserve">. </w:t>
      </w:r>
    </w:p>
    <w:p w:rsidR="006F3D7C"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The Amendment Rules commence </w:t>
      </w:r>
      <w:r w:rsidR="006F3D7C" w:rsidRPr="004F1E80">
        <w:rPr>
          <w:rFonts w:eastAsia="Times New Roman" w:cs="Times New Roman"/>
          <w:sz w:val="24"/>
          <w:szCs w:val="24"/>
          <w:lang w:eastAsia="en-AU"/>
        </w:rPr>
        <w:t>in two parts as follows</w:t>
      </w:r>
    </w:p>
    <w:p w:rsidR="006F3D7C" w:rsidRPr="004F1E80" w:rsidRDefault="006F3D7C"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sz w:val="24"/>
          <w:szCs w:val="24"/>
          <w:lang w:eastAsia="en-AU"/>
        </w:rPr>
        <w:t xml:space="preserve">PART 1 </w:t>
      </w:r>
      <w:r w:rsidRPr="004F1E80">
        <w:rPr>
          <w:rFonts w:eastAsia="Times New Roman" w:cs="Times New Roman"/>
          <w:sz w:val="24"/>
          <w:szCs w:val="24"/>
          <w:lang w:eastAsia="en-AU"/>
        </w:rPr>
        <w:t xml:space="preserve">- </w:t>
      </w:r>
      <w:r w:rsidR="007E233E" w:rsidRPr="004F1E80">
        <w:rPr>
          <w:rFonts w:eastAsia="Times New Roman" w:cs="Times New Roman"/>
          <w:sz w:val="24"/>
          <w:szCs w:val="24"/>
          <w:lang w:eastAsia="en-AU"/>
        </w:rPr>
        <w:t>on the day after they are registered</w:t>
      </w:r>
    </w:p>
    <w:p w:rsidR="007E233E" w:rsidRPr="004F1E80" w:rsidRDefault="006F3D7C"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sz w:val="24"/>
          <w:szCs w:val="24"/>
          <w:lang w:eastAsia="en-AU"/>
        </w:rPr>
        <w:t>PART 2</w:t>
      </w:r>
      <w:r w:rsidRPr="004F1E80">
        <w:rPr>
          <w:rFonts w:eastAsia="Times New Roman" w:cs="Times New Roman"/>
          <w:sz w:val="24"/>
          <w:szCs w:val="24"/>
          <w:lang w:eastAsia="en-AU"/>
        </w:rPr>
        <w:t xml:space="preserve"> -</w:t>
      </w:r>
      <w:r w:rsidR="007E233E" w:rsidRPr="004F1E80">
        <w:rPr>
          <w:rFonts w:eastAsia="Times New Roman" w:cs="Times New Roman"/>
          <w:sz w:val="24"/>
          <w:szCs w:val="24"/>
          <w:lang w:eastAsia="en-AU"/>
        </w:rPr>
        <w:t xml:space="preserve">on the </w:t>
      </w:r>
      <w:r w:rsidR="0006156A" w:rsidRPr="004F1E80">
        <w:rPr>
          <w:rFonts w:eastAsia="Times New Roman" w:cs="Times New Roman"/>
          <w:sz w:val="24"/>
          <w:szCs w:val="24"/>
          <w:lang w:eastAsia="en-AU"/>
        </w:rPr>
        <w:t>12 January 2015.</w:t>
      </w:r>
    </w:p>
    <w:p w:rsidR="00911C32" w:rsidRPr="004F1E80" w:rsidRDefault="00911C32" w:rsidP="00355CD1">
      <w:pPr>
        <w:jc w:val="both"/>
        <w:rPr>
          <w:rFonts w:eastAsia="Times New Roman" w:cs="Times New Roman"/>
          <w:b/>
          <w:bCs/>
          <w:sz w:val="24"/>
          <w:szCs w:val="24"/>
          <w:lang w:eastAsia="en-AU"/>
        </w:rPr>
      </w:pPr>
      <w:r w:rsidRPr="004F1E80">
        <w:rPr>
          <w:rFonts w:eastAsia="Times New Roman" w:cs="Times New Roman"/>
          <w:b/>
          <w:bCs/>
          <w:sz w:val="24"/>
          <w:szCs w:val="24"/>
          <w:lang w:eastAsia="en-AU"/>
        </w:rPr>
        <w:br w:type="page"/>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bCs/>
          <w:sz w:val="24"/>
          <w:szCs w:val="24"/>
          <w:lang w:eastAsia="en-AU"/>
        </w:rPr>
        <w:lastRenderedPageBreak/>
        <w:t>ATTACHMENT</w:t>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bCs/>
          <w:i/>
          <w:iCs/>
          <w:sz w:val="24"/>
          <w:szCs w:val="24"/>
          <w:lang w:eastAsia="en-AU"/>
        </w:rPr>
        <w:t xml:space="preserve">Federal </w:t>
      </w:r>
      <w:r w:rsidR="0006156A" w:rsidRPr="004F1E80">
        <w:rPr>
          <w:rFonts w:eastAsia="Times New Roman" w:cs="Times New Roman"/>
          <w:b/>
          <w:bCs/>
          <w:i/>
          <w:iCs/>
          <w:sz w:val="24"/>
          <w:szCs w:val="24"/>
          <w:lang w:eastAsia="en-AU"/>
        </w:rPr>
        <w:t>Circuit Court Amendment (2014 Measures No 1) Rules 2014</w:t>
      </w:r>
    </w:p>
    <w:p w:rsidR="007E233E" w:rsidRPr="004F1E80" w:rsidRDefault="00BF2597"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bCs/>
          <w:sz w:val="24"/>
          <w:szCs w:val="24"/>
          <w:lang w:eastAsia="en-AU"/>
        </w:rPr>
        <w:t>[</w:t>
      </w:r>
      <w:r w:rsidR="007E233E" w:rsidRPr="004F1E80">
        <w:rPr>
          <w:rFonts w:eastAsia="Times New Roman" w:cs="Times New Roman"/>
          <w:b/>
          <w:bCs/>
          <w:sz w:val="24"/>
          <w:szCs w:val="24"/>
          <w:lang w:eastAsia="en-AU"/>
        </w:rPr>
        <w:t>1</w:t>
      </w:r>
      <w:r w:rsidRPr="004F1E80">
        <w:rPr>
          <w:rFonts w:eastAsia="Times New Roman" w:cs="Times New Roman"/>
          <w:b/>
          <w:bCs/>
          <w:sz w:val="24"/>
          <w:szCs w:val="24"/>
          <w:lang w:eastAsia="en-AU"/>
        </w:rPr>
        <w:t>]</w:t>
      </w:r>
      <w:r w:rsidR="007E233E" w:rsidRPr="004F1E80">
        <w:rPr>
          <w:rFonts w:eastAsia="Times New Roman" w:cs="Times New Roman"/>
          <w:b/>
          <w:bCs/>
          <w:sz w:val="24"/>
          <w:szCs w:val="24"/>
          <w:lang w:eastAsia="en-AU"/>
        </w:rPr>
        <w:t xml:space="preserve"> Name </w:t>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Rule 1 provides that the Rules are to be cited as th</w:t>
      </w:r>
      <w:r w:rsidRPr="004F1E80">
        <w:rPr>
          <w:rFonts w:eastAsia="Times New Roman" w:cs="Times New Roman"/>
          <w:b/>
          <w:sz w:val="24"/>
          <w:szCs w:val="24"/>
          <w:lang w:eastAsia="en-AU"/>
        </w:rPr>
        <w:t xml:space="preserve">e </w:t>
      </w:r>
      <w:r w:rsidR="0006156A" w:rsidRPr="004F1E80">
        <w:rPr>
          <w:rFonts w:eastAsia="Times New Roman" w:cs="Times New Roman"/>
          <w:b/>
          <w:bCs/>
          <w:i/>
          <w:iCs/>
          <w:sz w:val="24"/>
          <w:szCs w:val="24"/>
          <w:lang w:eastAsia="en-AU"/>
        </w:rPr>
        <w:t>Federal Circuit Court Amendment (2014 Measures No</w:t>
      </w:r>
      <w:r w:rsidR="008D7484" w:rsidRPr="004F1E80">
        <w:rPr>
          <w:rFonts w:eastAsia="Times New Roman" w:cs="Times New Roman"/>
          <w:b/>
          <w:bCs/>
          <w:i/>
          <w:iCs/>
          <w:sz w:val="24"/>
          <w:szCs w:val="24"/>
          <w:lang w:eastAsia="en-AU"/>
        </w:rPr>
        <w:t>.</w:t>
      </w:r>
      <w:r w:rsidR="0006156A" w:rsidRPr="004F1E80">
        <w:rPr>
          <w:rFonts w:eastAsia="Times New Roman" w:cs="Times New Roman"/>
          <w:b/>
          <w:bCs/>
          <w:i/>
          <w:iCs/>
          <w:sz w:val="24"/>
          <w:szCs w:val="24"/>
          <w:lang w:eastAsia="en-AU"/>
        </w:rPr>
        <w:t>1) Rules 2014.</w:t>
      </w:r>
    </w:p>
    <w:p w:rsidR="007E233E" w:rsidRPr="004F1E80" w:rsidRDefault="00BF2597"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bCs/>
          <w:sz w:val="24"/>
          <w:szCs w:val="24"/>
          <w:lang w:eastAsia="en-AU"/>
        </w:rPr>
        <w:t>[</w:t>
      </w:r>
      <w:r w:rsidR="007E233E" w:rsidRPr="004F1E80">
        <w:rPr>
          <w:rFonts w:eastAsia="Times New Roman" w:cs="Times New Roman"/>
          <w:b/>
          <w:bCs/>
          <w:sz w:val="24"/>
          <w:szCs w:val="24"/>
          <w:lang w:eastAsia="en-AU"/>
        </w:rPr>
        <w:t>2</w:t>
      </w:r>
      <w:r w:rsidRPr="004F1E80">
        <w:rPr>
          <w:rFonts w:eastAsia="Times New Roman" w:cs="Times New Roman"/>
          <w:b/>
          <w:bCs/>
          <w:sz w:val="24"/>
          <w:szCs w:val="24"/>
          <w:lang w:eastAsia="en-AU"/>
        </w:rPr>
        <w:t>]</w:t>
      </w:r>
      <w:r w:rsidR="007E233E" w:rsidRPr="004F1E80">
        <w:rPr>
          <w:rFonts w:eastAsia="Times New Roman" w:cs="Times New Roman"/>
          <w:b/>
          <w:bCs/>
          <w:sz w:val="24"/>
          <w:szCs w:val="24"/>
          <w:lang w:eastAsia="en-AU"/>
        </w:rPr>
        <w:t xml:space="preserve"> Commencement</w:t>
      </w:r>
    </w:p>
    <w:p w:rsidR="007E233E" w:rsidRPr="004F1E80" w:rsidRDefault="00690182"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Rule 2 provides commencement</w:t>
      </w:r>
      <w:r w:rsidR="00B275E4" w:rsidRPr="004F1E80">
        <w:rPr>
          <w:rFonts w:eastAsia="Times New Roman" w:cs="Times New Roman"/>
          <w:sz w:val="24"/>
          <w:szCs w:val="24"/>
          <w:lang w:eastAsia="en-AU"/>
        </w:rPr>
        <w:t xml:space="preserve"> </w:t>
      </w:r>
      <w:r w:rsidR="007E233E" w:rsidRPr="004F1E80">
        <w:rPr>
          <w:rFonts w:eastAsia="Times New Roman" w:cs="Times New Roman"/>
          <w:sz w:val="24"/>
          <w:szCs w:val="24"/>
          <w:lang w:eastAsia="en-AU"/>
        </w:rPr>
        <w:t>of the</w:t>
      </w:r>
      <w:r w:rsidR="0006156A" w:rsidRPr="004F1E80">
        <w:rPr>
          <w:rFonts w:eastAsia="Times New Roman" w:cs="Times New Roman"/>
          <w:sz w:val="24"/>
          <w:szCs w:val="24"/>
          <w:lang w:eastAsia="en-AU"/>
        </w:rPr>
        <w:t>se</w:t>
      </w:r>
      <w:r w:rsidR="007E233E" w:rsidRPr="004F1E80">
        <w:rPr>
          <w:rFonts w:eastAsia="Times New Roman" w:cs="Times New Roman"/>
          <w:sz w:val="24"/>
          <w:szCs w:val="24"/>
          <w:lang w:eastAsia="en-AU"/>
        </w:rPr>
        <w:t xml:space="preserve"> Rules </w:t>
      </w:r>
      <w:r w:rsidR="0006156A" w:rsidRPr="004F1E80">
        <w:rPr>
          <w:rFonts w:eastAsia="Times New Roman" w:cs="Times New Roman"/>
          <w:sz w:val="24"/>
          <w:szCs w:val="24"/>
          <w:lang w:eastAsia="en-AU"/>
        </w:rPr>
        <w:t xml:space="preserve">are as </w:t>
      </w:r>
      <w:r w:rsidR="007E233E" w:rsidRPr="004F1E80">
        <w:rPr>
          <w:rFonts w:eastAsia="Times New Roman" w:cs="Times New Roman"/>
          <w:sz w:val="24"/>
          <w:szCs w:val="24"/>
          <w:lang w:eastAsia="en-AU"/>
        </w:rPr>
        <w:t>follows:</w:t>
      </w:r>
    </w:p>
    <w:p w:rsidR="007E233E" w:rsidRPr="004F1E80" w:rsidRDefault="007E233E"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 xml:space="preserve">(a) on the day after they are registered — </w:t>
      </w:r>
      <w:r w:rsidR="0006156A" w:rsidRPr="004F1E80">
        <w:rPr>
          <w:rFonts w:eastAsia="Times New Roman" w:cs="Times New Roman"/>
          <w:sz w:val="24"/>
          <w:szCs w:val="24"/>
          <w:lang w:eastAsia="en-AU"/>
        </w:rPr>
        <w:t>Sections 1 to 4 and Schedule 1, Part 1.</w:t>
      </w:r>
    </w:p>
    <w:p w:rsidR="007E233E" w:rsidRPr="004F1E80" w:rsidRDefault="0006156A"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sz w:val="24"/>
          <w:szCs w:val="24"/>
          <w:lang w:eastAsia="en-AU"/>
        </w:rPr>
        <w:t>(b) on 12 January 2015</w:t>
      </w:r>
      <w:r w:rsidR="007E233E" w:rsidRPr="004F1E80">
        <w:rPr>
          <w:rFonts w:eastAsia="Times New Roman" w:cs="Times New Roman"/>
          <w:sz w:val="24"/>
          <w:szCs w:val="24"/>
          <w:lang w:eastAsia="en-AU"/>
        </w:rPr>
        <w:t xml:space="preserve"> —</w:t>
      </w:r>
      <w:r w:rsidRPr="004F1E80">
        <w:rPr>
          <w:rFonts w:eastAsia="Times New Roman" w:cs="Times New Roman"/>
          <w:sz w:val="24"/>
          <w:szCs w:val="24"/>
          <w:lang w:eastAsia="en-AU"/>
        </w:rPr>
        <w:t>Schedule 1 Part 2</w:t>
      </w:r>
      <w:r w:rsidR="007E233E" w:rsidRPr="004F1E80">
        <w:rPr>
          <w:rFonts w:eastAsia="Times New Roman" w:cs="Times New Roman"/>
          <w:sz w:val="24"/>
          <w:szCs w:val="24"/>
          <w:lang w:eastAsia="en-AU"/>
        </w:rPr>
        <w:t>.</w:t>
      </w:r>
    </w:p>
    <w:p w:rsidR="007E233E" w:rsidRPr="004F1E80" w:rsidRDefault="00BF2597"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bCs/>
          <w:sz w:val="24"/>
          <w:szCs w:val="24"/>
          <w:lang w:eastAsia="en-AU"/>
        </w:rPr>
        <w:t>[</w:t>
      </w:r>
      <w:r w:rsidR="007E233E" w:rsidRPr="004F1E80">
        <w:rPr>
          <w:rFonts w:eastAsia="Times New Roman" w:cs="Times New Roman"/>
          <w:b/>
          <w:bCs/>
          <w:sz w:val="24"/>
          <w:szCs w:val="24"/>
          <w:lang w:eastAsia="en-AU"/>
        </w:rPr>
        <w:t>3</w:t>
      </w:r>
      <w:r w:rsidRPr="004F1E80">
        <w:rPr>
          <w:rFonts w:eastAsia="Times New Roman" w:cs="Times New Roman"/>
          <w:b/>
          <w:bCs/>
          <w:sz w:val="24"/>
          <w:szCs w:val="24"/>
          <w:lang w:eastAsia="en-AU"/>
        </w:rPr>
        <w:t>]</w:t>
      </w:r>
      <w:r w:rsidR="007E233E" w:rsidRPr="004F1E80">
        <w:rPr>
          <w:rFonts w:eastAsia="Times New Roman" w:cs="Times New Roman"/>
          <w:b/>
          <w:bCs/>
          <w:sz w:val="24"/>
          <w:szCs w:val="24"/>
          <w:lang w:eastAsia="en-AU"/>
        </w:rPr>
        <w:t xml:space="preserve"> </w:t>
      </w:r>
      <w:r w:rsidR="0006156A" w:rsidRPr="004F1E80">
        <w:rPr>
          <w:rFonts w:eastAsia="Times New Roman" w:cs="Times New Roman"/>
          <w:b/>
          <w:bCs/>
          <w:sz w:val="24"/>
          <w:szCs w:val="24"/>
          <w:lang w:eastAsia="en-AU"/>
        </w:rPr>
        <w:t>Authority</w:t>
      </w:r>
    </w:p>
    <w:p w:rsidR="007E233E" w:rsidRPr="004F1E80" w:rsidRDefault="007E233E" w:rsidP="00355CD1">
      <w:pPr>
        <w:spacing w:before="100" w:beforeAutospacing="1" w:after="100" w:afterAutospacing="1" w:line="240" w:lineRule="auto"/>
        <w:jc w:val="both"/>
        <w:rPr>
          <w:rFonts w:eastAsia="Times New Roman" w:cs="Times New Roman"/>
          <w:i/>
          <w:sz w:val="24"/>
          <w:szCs w:val="24"/>
          <w:lang w:eastAsia="en-AU"/>
        </w:rPr>
      </w:pPr>
      <w:r w:rsidRPr="004F1E80">
        <w:rPr>
          <w:rFonts w:eastAsia="Times New Roman" w:cs="Times New Roman"/>
          <w:sz w:val="24"/>
          <w:szCs w:val="24"/>
          <w:lang w:eastAsia="en-AU"/>
        </w:rPr>
        <w:t xml:space="preserve">Rule </w:t>
      </w:r>
      <w:r w:rsidR="0006156A" w:rsidRPr="004F1E80">
        <w:rPr>
          <w:rFonts w:eastAsia="Times New Roman" w:cs="Times New Roman"/>
          <w:sz w:val="24"/>
          <w:szCs w:val="24"/>
          <w:lang w:eastAsia="en-AU"/>
        </w:rPr>
        <w:t xml:space="preserve">3 provides that the amendments are made pursuant to the </w:t>
      </w:r>
      <w:r w:rsidR="0006156A" w:rsidRPr="004F1E80">
        <w:rPr>
          <w:rFonts w:eastAsia="Times New Roman" w:cs="Times New Roman"/>
          <w:i/>
          <w:sz w:val="24"/>
          <w:szCs w:val="24"/>
          <w:lang w:eastAsia="en-AU"/>
        </w:rPr>
        <w:t>Federal Circuit Court of Australia Act 1999.</w:t>
      </w:r>
    </w:p>
    <w:p w:rsidR="00911C32" w:rsidRPr="004F1E80" w:rsidRDefault="00BF2597" w:rsidP="00355CD1">
      <w:pPr>
        <w:spacing w:before="100" w:beforeAutospacing="1" w:after="100" w:afterAutospacing="1" w:line="240" w:lineRule="auto"/>
        <w:jc w:val="both"/>
        <w:rPr>
          <w:rFonts w:eastAsia="Times New Roman" w:cs="Times New Roman"/>
          <w:b/>
          <w:sz w:val="24"/>
          <w:szCs w:val="24"/>
          <w:lang w:eastAsia="en-AU"/>
        </w:rPr>
      </w:pPr>
      <w:r w:rsidRPr="004F1E80">
        <w:rPr>
          <w:rFonts w:eastAsia="Times New Roman" w:cs="Times New Roman"/>
          <w:b/>
          <w:sz w:val="24"/>
          <w:szCs w:val="24"/>
          <w:lang w:eastAsia="en-AU"/>
        </w:rPr>
        <w:t>[</w:t>
      </w:r>
      <w:r w:rsidR="0006156A" w:rsidRPr="004F1E80">
        <w:rPr>
          <w:rFonts w:eastAsia="Times New Roman" w:cs="Times New Roman"/>
          <w:b/>
          <w:sz w:val="24"/>
          <w:szCs w:val="24"/>
          <w:lang w:eastAsia="en-AU"/>
        </w:rPr>
        <w:t>4</w:t>
      </w:r>
      <w:r w:rsidRPr="004F1E80">
        <w:rPr>
          <w:rFonts w:eastAsia="Times New Roman" w:cs="Times New Roman"/>
          <w:b/>
          <w:sz w:val="24"/>
          <w:szCs w:val="24"/>
          <w:lang w:eastAsia="en-AU"/>
        </w:rPr>
        <w:t>]</w:t>
      </w:r>
      <w:r w:rsidR="0006156A" w:rsidRPr="004F1E80">
        <w:rPr>
          <w:rFonts w:eastAsia="Times New Roman" w:cs="Times New Roman"/>
          <w:b/>
          <w:sz w:val="24"/>
          <w:szCs w:val="24"/>
          <w:lang w:eastAsia="en-AU"/>
        </w:rPr>
        <w:t xml:space="preserve"> Schedules</w:t>
      </w:r>
    </w:p>
    <w:p w:rsidR="0006156A" w:rsidRPr="004F1E80" w:rsidRDefault="0006156A" w:rsidP="00355CD1">
      <w:pPr>
        <w:spacing w:before="100" w:beforeAutospacing="1" w:after="100" w:afterAutospacing="1" w:line="240" w:lineRule="auto"/>
        <w:jc w:val="both"/>
        <w:rPr>
          <w:rFonts w:eastAsia="Times New Roman" w:cs="Times New Roman"/>
          <w:b/>
          <w:sz w:val="24"/>
          <w:szCs w:val="24"/>
          <w:lang w:eastAsia="en-AU"/>
        </w:rPr>
      </w:pPr>
      <w:r w:rsidRPr="004F1E80">
        <w:rPr>
          <w:rFonts w:eastAsia="Times New Roman" w:cs="Times New Roman"/>
          <w:sz w:val="24"/>
          <w:szCs w:val="24"/>
          <w:lang w:eastAsia="en-AU"/>
        </w:rPr>
        <w:t>This Rule provides that each instrument specified in a Schedule to the Amendment Rules is amended or repealed as set out in the applicable items in the Schedule, and that any other item in a Schedule</w:t>
      </w:r>
      <w:r w:rsidR="00A938DC" w:rsidRPr="004F1E80">
        <w:rPr>
          <w:rFonts w:eastAsia="Times New Roman" w:cs="Times New Roman"/>
          <w:sz w:val="24"/>
          <w:szCs w:val="24"/>
          <w:lang w:eastAsia="en-AU"/>
        </w:rPr>
        <w:t xml:space="preserve"> to these Rules have effect according to its terms.</w:t>
      </w:r>
    </w:p>
    <w:p w:rsidR="00A938DC" w:rsidRPr="004F1E80" w:rsidRDefault="007E233E" w:rsidP="00355CD1">
      <w:pPr>
        <w:spacing w:before="100" w:beforeAutospacing="1" w:after="100" w:afterAutospacing="1" w:line="240" w:lineRule="auto"/>
        <w:jc w:val="both"/>
        <w:rPr>
          <w:rFonts w:eastAsia="Times New Roman" w:cs="Times New Roman"/>
          <w:b/>
          <w:bCs/>
          <w:sz w:val="28"/>
          <w:szCs w:val="28"/>
          <w:lang w:eastAsia="en-AU"/>
        </w:rPr>
      </w:pPr>
      <w:r w:rsidRPr="004F1E80">
        <w:rPr>
          <w:rFonts w:eastAsia="Times New Roman" w:cs="Times New Roman"/>
          <w:sz w:val="24"/>
          <w:szCs w:val="24"/>
          <w:lang w:eastAsia="en-AU"/>
        </w:rPr>
        <w:br w:type="page"/>
      </w:r>
      <w:r w:rsidRPr="004F1E80">
        <w:rPr>
          <w:rFonts w:eastAsia="Times New Roman" w:cs="Times New Roman"/>
          <w:b/>
          <w:bCs/>
          <w:sz w:val="28"/>
          <w:szCs w:val="28"/>
          <w:lang w:eastAsia="en-AU"/>
        </w:rPr>
        <w:lastRenderedPageBreak/>
        <w:t>Schedule 1 Amendment</w:t>
      </w:r>
      <w:r w:rsidR="00A938DC" w:rsidRPr="004F1E80">
        <w:rPr>
          <w:rFonts w:eastAsia="Times New Roman" w:cs="Times New Roman"/>
          <w:b/>
          <w:bCs/>
          <w:sz w:val="28"/>
          <w:szCs w:val="28"/>
          <w:lang w:eastAsia="en-AU"/>
        </w:rPr>
        <w:t>s</w:t>
      </w:r>
    </w:p>
    <w:p w:rsidR="007E233E" w:rsidRPr="004F1E80" w:rsidRDefault="00A938DC"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
          <w:bCs/>
          <w:sz w:val="24"/>
          <w:szCs w:val="24"/>
          <w:lang w:eastAsia="en-AU"/>
        </w:rPr>
        <w:t xml:space="preserve">Part 1 - </w:t>
      </w:r>
      <w:r w:rsidR="007E233E" w:rsidRPr="004F1E80">
        <w:rPr>
          <w:rFonts w:eastAsia="Times New Roman" w:cs="Times New Roman"/>
          <w:b/>
          <w:bCs/>
          <w:sz w:val="24"/>
          <w:szCs w:val="24"/>
          <w:lang w:eastAsia="en-AU"/>
        </w:rPr>
        <w:t>commencing on</w:t>
      </w:r>
      <w:r w:rsidRPr="004F1E80">
        <w:rPr>
          <w:rFonts w:eastAsia="Times New Roman" w:cs="Times New Roman"/>
          <w:b/>
          <w:bCs/>
          <w:sz w:val="24"/>
          <w:szCs w:val="24"/>
          <w:lang w:eastAsia="en-AU"/>
        </w:rPr>
        <w:t xml:space="preserve"> the</w:t>
      </w:r>
      <w:r w:rsidR="007E233E" w:rsidRPr="004F1E80">
        <w:rPr>
          <w:rFonts w:eastAsia="Times New Roman" w:cs="Times New Roman"/>
          <w:b/>
          <w:bCs/>
          <w:sz w:val="24"/>
          <w:szCs w:val="24"/>
          <w:lang w:eastAsia="en-AU"/>
        </w:rPr>
        <w:t xml:space="preserve"> day after registration</w:t>
      </w:r>
    </w:p>
    <w:p w:rsidR="007E233E" w:rsidRPr="004F1E80" w:rsidRDefault="007E233E"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 xml:space="preserve">[1] </w:t>
      </w:r>
      <w:r w:rsidR="00A938DC" w:rsidRPr="004F1E80">
        <w:rPr>
          <w:rFonts w:eastAsia="Times New Roman" w:cs="Times New Roman"/>
          <w:b/>
          <w:bCs/>
          <w:sz w:val="24"/>
          <w:szCs w:val="24"/>
          <w:lang w:eastAsia="en-AU"/>
        </w:rPr>
        <w:t>At the end of Part 1</w:t>
      </w:r>
    </w:p>
    <w:p w:rsidR="00074421" w:rsidRPr="004F1E80" w:rsidRDefault="00AE3761"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Cs/>
          <w:sz w:val="24"/>
          <w:szCs w:val="24"/>
          <w:lang w:eastAsia="en-AU"/>
        </w:rPr>
        <w:t xml:space="preserve">A new rule in respect of Applications for orders about procedures has been included. This rule largely replicates rule 1.21 </w:t>
      </w:r>
      <w:r w:rsidR="00DD16BD" w:rsidRPr="004F1E80">
        <w:rPr>
          <w:rFonts w:eastAsia="Times New Roman" w:cs="Times New Roman"/>
          <w:bCs/>
          <w:i/>
          <w:sz w:val="24"/>
          <w:szCs w:val="24"/>
          <w:lang w:eastAsia="en-AU"/>
        </w:rPr>
        <w:t>Federal Court Rules 2011.</w:t>
      </w:r>
      <w:r w:rsidR="008D7484" w:rsidRPr="004F1E80">
        <w:rPr>
          <w:rFonts w:eastAsia="Times New Roman" w:cs="Times New Roman"/>
          <w:bCs/>
          <w:sz w:val="24"/>
          <w:szCs w:val="24"/>
          <w:lang w:eastAsia="en-AU"/>
        </w:rPr>
        <w:t xml:space="preserve"> The utility of including such a rule being considered in </w:t>
      </w:r>
      <w:r w:rsidR="008D7484" w:rsidRPr="004F1E80">
        <w:rPr>
          <w:rFonts w:eastAsia="Times New Roman" w:cs="Times New Roman"/>
          <w:bCs/>
          <w:i/>
          <w:sz w:val="24"/>
          <w:szCs w:val="24"/>
          <w:lang w:eastAsia="en-AU"/>
        </w:rPr>
        <w:t>Thompson &amp; Berg</w:t>
      </w:r>
      <w:r w:rsidR="008D7484" w:rsidRPr="004F1E80">
        <w:rPr>
          <w:rFonts w:eastAsia="Times New Roman" w:cs="Times New Roman"/>
          <w:bCs/>
          <w:sz w:val="24"/>
          <w:szCs w:val="24"/>
          <w:lang w:eastAsia="en-AU"/>
        </w:rPr>
        <w:t xml:space="preserve"> [2014]</w:t>
      </w:r>
      <w:r w:rsidR="00B665CD" w:rsidRPr="004F1E80">
        <w:rPr>
          <w:rFonts w:eastAsia="Times New Roman" w:cs="Times New Roman"/>
          <w:bCs/>
          <w:sz w:val="24"/>
          <w:szCs w:val="24"/>
          <w:lang w:eastAsia="en-AU"/>
        </w:rPr>
        <w:t xml:space="preserve"> </w:t>
      </w:r>
      <w:r w:rsidR="008D7484" w:rsidRPr="004F1E80">
        <w:rPr>
          <w:rFonts w:eastAsia="Times New Roman" w:cs="Times New Roman"/>
          <w:bCs/>
          <w:sz w:val="24"/>
          <w:szCs w:val="24"/>
          <w:lang w:eastAsia="en-AU"/>
        </w:rPr>
        <w:t>FamCAFC</w:t>
      </w:r>
      <w:r w:rsidR="00DD16BD" w:rsidRPr="004F1E80">
        <w:rPr>
          <w:rFonts w:eastAsia="Times New Roman" w:cs="Times New Roman"/>
          <w:bCs/>
          <w:sz w:val="24"/>
          <w:szCs w:val="24"/>
          <w:lang w:eastAsia="en-AU"/>
        </w:rPr>
        <w:t xml:space="preserve"> 73.</w:t>
      </w:r>
    </w:p>
    <w:p w:rsidR="007E233E" w:rsidRPr="004F1E80" w:rsidRDefault="007E233E"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 xml:space="preserve">[2] After subrule </w:t>
      </w:r>
      <w:r w:rsidR="00A938DC" w:rsidRPr="004F1E80">
        <w:rPr>
          <w:rFonts w:eastAsia="Times New Roman" w:cs="Times New Roman"/>
          <w:b/>
          <w:bCs/>
          <w:sz w:val="24"/>
          <w:szCs w:val="24"/>
          <w:lang w:eastAsia="en-AU"/>
        </w:rPr>
        <w:t>4.09(2) before the notes</w:t>
      </w:r>
    </w:p>
    <w:p w:rsidR="00AE3761" w:rsidRPr="004F1E80" w:rsidRDefault="00AE3761" w:rsidP="00355CD1">
      <w:pPr>
        <w:spacing w:before="100" w:beforeAutospacing="1" w:after="100" w:afterAutospacing="1" w:line="240" w:lineRule="auto"/>
        <w:jc w:val="both"/>
        <w:rPr>
          <w:rFonts w:eastAsia="Times New Roman" w:cs="Times New Roman"/>
          <w:i/>
          <w:sz w:val="24"/>
          <w:szCs w:val="24"/>
          <w:lang w:eastAsia="en-AU"/>
        </w:rPr>
      </w:pPr>
      <w:r w:rsidRPr="004F1E80">
        <w:rPr>
          <w:rFonts w:eastAsia="Times New Roman" w:cs="Times New Roman"/>
          <w:bCs/>
          <w:sz w:val="24"/>
          <w:szCs w:val="24"/>
          <w:lang w:eastAsia="en-AU"/>
        </w:rPr>
        <w:t xml:space="preserve">This amendment replicates </w:t>
      </w:r>
      <w:r w:rsidR="0083021A" w:rsidRPr="004F1E80">
        <w:rPr>
          <w:rFonts w:eastAsia="Times New Roman" w:cs="Times New Roman"/>
          <w:bCs/>
          <w:sz w:val="24"/>
          <w:szCs w:val="24"/>
          <w:lang w:eastAsia="en-AU"/>
        </w:rPr>
        <w:t>an amendment</w:t>
      </w:r>
      <w:r w:rsidRPr="004F1E80">
        <w:rPr>
          <w:rFonts w:eastAsia="Times New Roman" w:cs="Times New Roman"/>
          <w:bCs/>
          <w:sz w:val="24"/>
          <w:szCs w:val="24"/>
          <w:lang w:eastAsia="en-AU"/>
        </w:rPr>
        <w:t xml:space="preserve"> made to</w:t>
      </w:r>
      <w:r w:rsidR="0083021A" w:rsidRPr="004F1E80">
        <w:rPr>
          <w:rFonts w:eastAsia="Times New Roman" w:cs="Times New Roman"/>
          <w:bCs/>
          <w:sz w:val="24"/>
          <w:szCs w:val="24"/>
          <w:lang w:eastAsia="en-AU"/>
        </w:rPr>
        <w:t xml:space="preserve"> </w:t>
      </w:r>
      <w:r w:rsidR="00EE7111" w:rsidRPr="004F1E80">
        <w:rPr>
          <w:rFonts w:eastAsia="Times New Roman" w:cs="Times New Roman"/>
          <w:bCs/>
          <w:sz w:val="24"/>
          <w:szCs w:val="24"/>
          <w:lang w:eastAsia="en-AU"/>
        </w:rPr>
        <w:t xml:space="preserve">the </w:t>
      </w:r>
      <w:r w:rsidR="0083021A" w:rsidRPr="004F1E80">
        <w:rPr>
          <w:rFonts w:eastAsia="Times New Roman" w:cs="Times New Roman"/>
          <w:bCs/>
          <w:i/>
          <w:sz w:val="24"/>
          <w:szCs w:val="24"/>
          <w:lang w:eastAsia="en-AU"/>
        </w:rPr>
        <w:t>genuine steps</w:t>
      </w:r>
      <w:r w:rsidR="0083021A" w:rsidRPr="004F1E80">
        <w:rPr>
          <w:rFonts w:eastAsia="Times New Roman" w:cs="Times New Roman"/>
          <w:bCs/>
          <w:sz w:val="24"/>
          <w:szCs w:val="24"/>
          <w:lang w:eastAsia="en-AU"/>
        </w:rPr>
        <w:t xml:space="preserve"> </w:t>
      </w:r>
      <w:r w:rsidR="00355CD1" w:rsidRPr="004F1E80">
        <w:rPr>
          <w:rFonts w:eastAsia="Times New Roman" w:cs="Times New Roman"/>
          <w:bCs/>
          <w:sz w:val="24"/>
          <w:szCs w:val="24"/>
          <w:lang w:eastAsia="en-AU"/>
        </w:rPr>
        <w:t xml:space="preserve">mirror </w:t>
      </w:r>
      <w:r w:rsidR="0083021A" w:rsidRPr="004F1E80">
        <w:rPr>
          <w:rFonts w:eastAsia="Times New Roman" w:cs="Times New Roman"/>
          <w:bCs/>
          <w:sz w:val="24"/>
          <w:szCs w:val="24"/>
          <w:lang w:eastAsia="en-AU"/>
        </w:rPr>
        <w:t>rule in</w:t>
      </w:r>
      <w:r w:rsidRPr="004F1E80">
        <w:rPr>
          <w:rFonts w:eastAsia="Times New Roman" w:cs="Times New Roman"/>
          <w:bCs/>
          <w:sz w:val="24"/>
          <w:szCs w:val="24"/>
          <w:lang w:eastAsia="en-AU"/>
        </w:rPr>
        <w:t xml:space="preserve"> the </w:t>
      </w:r>
      <w:r w:rsidRPr="004F1E80">
        <w:rPr>
          <w:rFonts w:eastAsia="Times New Roman" w:cs="Times New Roman"/>
          <w:bCs/>
          <w:i/>
          <w:sz w:val="24"/>
          <w:szCs w:val="24"/>
          <w:lang w:eastAsia="en-AU"/>
        </w:rPr>
        <w:t>Federal Court Rules 2011</w:t>
      </w:r>
      <w:r w:rsidR="0083021A" w:rsidRPr="004F1E80">
        <w:rPr>
          <w:rFonts w:eastAsia="Times New Roman" w:cs="Times New Roman"/>
          <w:bCs/>
          <w:sz w:val="24"/>
          <w:szCs w:val="24"/>
          <w:lang w:eastAsia="en-AU"/>
        </w:rPr>
        <w:t xml:space="preserve"> </w:t>
      </w:r>
      <w:r w:rsidR="00EE7111" w:rsidRPr="004F1E80">
        <w:rPr>
          <w:rFonts w:eastAsia="Times New Roman" w:cs="Times New Roman"/>
          <w:bCs/>
          <w:sz w:val="24"/>
          <w:szCs w:val="24"/>
          <w:lang w:eastAsia="en-AU"/>
        </w:rPr>
        <w:t xml:space="preserve">and limits </w:t>
      </w:r>
      <w:r w:rsidRPr="004F1E80">
        <w:rPr>
          <w:rFonts w:eastAsia="Times New Roman" w:cs="Times New Roman"/>
          <w:bCs/>
          <w:sz w:val="24"/>
          <w:szCs w:val="24"/>
          <w:lang w:eastAsia="en-AU"/>
        </w:rPr>
        <w:t>the length of an applicant’s genuine steps to no more than 2 pages.</w:t>
      </w:r>
    </w:p>
    <w:p w:rsidR="007E233E" w:rsidRPr="004F1E80" w:rsidRDefault="007E233E"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[3]</w:t>
      </w:r>
      <w:r w:rsidRPr="004F1E80">
        <w:rPr>
          <w:rFonts w:eastAsia="Times New Roman" w:cs="Times New Roman"/>
          <w:sz w:val="24"/>
          <w:szCs w:val="24"/>
          <w:lang w:eastAsia="en-AU"/>
        </w:rPr>
        <w:t xml:space="preserve"> </w:t>
      </w:r>
      <w:r w:rsidR="00A938DC" w:rsidRPr="004F1E80">
        <w:rPr>
          <w:rFonts w:eastAsia="Times New Roman" w:cs="Times New Roman"/>
          <w:b/>
          <w:bCs/>
          <w:sz w:val="24"/>
          <w:szCs w:val="24"/>
          <w:lang w:eastAsia="en-AU"/>
        </w:rPr>
        <w:t>After subrule 4.10(2) (before the notes)</w:t>
      </w:r>
    </w:p>
    <w:p w:rsidR="00AE3761" w:rsidRPr="004F1E80" w:rsidRDefault="00AE3761" w:rsidP="00355CD1">
      <w:pPr>
        <w:spacing w:before="100" w:beforeAutospacing="1" w:after="100" w:afterAutospacing="1" w:line="240" w:lineRule="auto"/>
        <w:jc w:val="both"/>
        <w:rPr>
          <w:rFonts w:eastAsia="Times New Roman" w:cs="Times New Roman"/>
          <w:i/>
          <w:sz w:val="24"/>
          <w:szCs w:val="24"/>
          <w:lang w:eastAsia="en-AU"/>
        </w:rPr>
      </w:pPr>
      <w:r w:rsidRPr="004F1E80">
        <w:rPr>
          <w:rFonts w:eastAsia="Times New Roman" w:cs="Times New Roman"/>
          <w:bCs/>
          <w:sz w:val="24"/>
          <w:szCs w:val="24"/>
          <w:lang w:eastAsia="en-AU"/>
        </w:rPr>
        <w:t>This amendment replicates</w:t>
      </w:r>
      <w:r w:rsidR="0083021A" w:rsidRPr="004F1E80">
        <w:rPr>
          <w:rFonts w:eastAsia="Times New Roman" w:cs="Times New Roman"/>
          <w:bCs/>
          <w:sz w:val="24"/>
          <w:szCs w:val="24"/>
          <w:lang w:eastAsia="en-AU"/>
        </w:rPr>
        <w:t xml:space="preserve"> an</w:t>
      </w:r>
      <w:r w:rsidRPr="004F1E80">
        <w:rPr>
          <w:rFonts w:eastAsia="Times New Roman" w:cs="Times New Roman"/>
          <w:bCs/>
          <w:sz w:val="24"/>
          <w:szCs w:val="24"/>
          <w:lang w:eastAsia="en-AU"/>
        </w:rPr>
        <w:t xml:space="preserve"> </w:t>
      </w:r>
      <w:r w:rsidR="0083021A" w:rsidRPr="004F1E80">
        <w:rPr>
          <w:rFonts w:eastAsia="Times New Roman" w:cs="Times New Roman"/>
          <w:bCs/>
          <w:sz w:val="24"/>
          <w:szCs w:val="24"/>
          <w:lang w:eastAsia="en-AU"/>
        </w:rPr>
        <w:t>amendment</w:t>
      </w:r>
      <w:r w:rsidRPr="004F1E80">
        <w:rPr>
          <w:rFonts w:eastAsia="Times New Roman" w:cs="Times New Roman"/>
          <w:bCs/>
          <w:sz w:val="24"/>
          <w:szCs w:val="24"/>
          <w:lang w:eastAsia="en-AU"/>
        </w:rPr>
        <w:t xml:space="preserve"> made to</w:t>
      </w:r>
      <w:r w:rsidR="0083021A" w:rsidRPr="004F1E80">
        <w:rPr>
          <w:rFonts w:eastAsia="Times New Roman" w:cs="Times New Roman"/>
          <w:bCs/>
          <w:sz w:val="24"/>
          <w:szCs w:val="24"/>
          <w:lang w:eastAsia="en-AU"/>
        </w:rPr>
        <w:t xml:space="preserve"> </w:t>
      </w:r>
      <w:r w:rsidR="00EE7111" w:rsidRPr="004F1E80">
        <w:rPr>
          <w:rFonts w:eastAsia="Times New Roman" w:cs="Times New Roman"/>
          <w:bCs/>
          <w:sz w:val="24"/>
          <w:szCs w:val="24"/>
          <w:lang w:eastAsia="en-AU"/>
        </w:rPr>
        <w:t>the</w:t>
      </w:r>
      <w:r w:rsidR="0083021A" w:rsidRPr="004F1E80">
        <w:rPr>
          <w:rFonts w:eastAsia="Times New Roman" w:cs="Times New Roman"/>
          <w:bCs/>
          <w:i/>
          <w:sz w:val="24"/>
          <w:szCs w:val="24"/>
          <w:lang w:eastAsia="en-AU"/>
        </w:rPr>
        <w:t xml:space="preserve"> genuine steps</w:t>
      </w:r>
      <w:r w:rsidR="0083021A" w:rsidRPr="004F1E80">
        <w:rPr>
          <w:rFonts w:eastAsia="Times New Roman" w:cs="Times New Roman"/>
          <w:bCs/>
          <w:sz w:val="24"/>
          <w:szCs w:val="24"/>
          <w:lang w:eastAsia="en-AU"/>
        </w:rPr>
        <w:t xml:space="preserve"> </w:t>
      </w:r>
      <w:r w:rsidR="00355CD1" w:rsidRPr="004F1E80">
        <w:rPr>
          <w:rFonts w:eastAsia="Times New Roman" w:cs="Times New Roman"/>
          <w:bCs/>
          <w:sz w:val="24"/>
          <w:szCs w:val="24"/>
          <w:lang w:eastAsia="en-AU"/>
        </w:rPr>
        <w:t xml:space="preserve">mirror </w:t>
      </w:r>
      <w:r w:rsidR="0083021A" w:rsidRPr="004F1E80">
        <w:rPr>
          <w:rFonts w:eastAsia="Times New Roman" w:cs="Times New Roman"/>
          <w:bCs/>
          <w:sz w:val="24"/>
          <w:szCs w:val="24"/>
          <w:lang w:eastAsia="en-AU"/>
        </w:rPr>
        <w:t xml:space="preserve">rule in </w:t>
      </w:r>
      <w:r w:rsidRPr="004F1E80">
        <w:rPr>
          <w:rFonts w:eastAsia="Times New Roman" w:cs="Times New Roman"/>
          <w:bCs/>
          <w:sz w:val="24"/>
          <w:szCs w:val="24"/>
          <w:lang w:eastAsia="en-AU"/>
        </w:rPr>
        <w:t xml:space="preserve">the </w:t>
      </w:r>
      <w:r w:rsidRPr="004F1E80">
        <w:rPr>
          <w:rFonts w:eastAsia="Times New Roman" w:cs="Times New Roman"/>
          <w:bCs/>
          <w:i/>
          <w:sz w:val="24"/>
          <w:szCs w:val="24"/>
          <w:lang w:eastAsia="en-AU"/>
        </w:rPr>
        <w:t>Federal Court Rules 2011</w:t>
      </w:r>
      <w:r w:rsidRPr="004F1E80">
        <w:rPr>
          <w:rFonts w:eastAsia="Times New Roman" w:cs="Times New Roman"/>
          <w:bCs/>
          <w:sz w:val="24"/>
          <w:szCs w:val="24"/>
          <w:lang w:eastAsia="en-AU"/>
        </w:rPr>
        <w:t xml:space="preserve"> limiting the length of a </w:t>
      </w:r>
      <w:r w:rsidR="00EE7111" w:rsidRPr="004F1E80">
        <w:rPr>
          <w:rFonts w:eastAsia="Times New Roman" w:cs="Times New Roman"/>
          <w:bCs/>
          <w:sz w:val="24"/>
          <w:szCs w:val="24"/>
          <w:lang w:eastAsia="en-AU"/>
        </w:rPr>
        <w:t xml:space="preserve">respondent’s </w:t>
      </w:r>
      <w:r w:rsidRPr="004F1E80">
        <w:rPr>
          <w:rFonts w:eastAsia="Times New Roman" w:cs="Times New Roman"/>
          <w:bCs/>
          <w:sz w:val="24"/>
          <w:szCs w:val="24"/>
          <w:lang w:eastAsia="en-AU"/>
        </w:rPr>
        <w:t>genuine steps to no more than 2 pages.</w:t>
      </w:r>
    </w:p>
    <w:p w:rsidR="007E233E" w:rsidRPr="004F1E80" w:rsidRDefault="007E233E"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 xml:space="preserve">[4] </w:t>
      </w:r>
      <w:r w:rsidR="00A938DC" w:rsidRPr="004F1E80">
        <w:rPr>
          <w:rFonts w:eastAsia="Times New Roman" w:cs="Times New Roman"/>
          <w:b/>
          <w:bCs/>
          <w:sz w:val="24"/>
          <w:szCs w:val="24"/>
          <w:lang w:eastAsia="en-AU"/>
        </w:rPr>
        <w:t>Subrule 10.05(1)</w:t>
      </w:r>
    </w:p>
    <w:p w:rsidR="0083021A" w:rsidRPr="004F1E80" w:rsidRDefault="0083021A"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Cs/>
          <w:sz w:val="24"/>
          <w:szCs w:val="24"/>
          <w:lang w:eastAsia="en-AU"/>
        </w:rPr>
        <w:t xml:space="preserve">The effect of this amendment is to remove the reference to section 26 of the </w:t>
      </w:r>
      <w:r w:rsidRPr="004F1E80">
        <w:rPr>
          <w:rFonts w:eastAsia="Times New Roman" w:cs="Times New Roman"/>
          <w:bCs/>
          <w:i/>
          <w:sz w:val="24"/>
          <w:szCs w:val="24"/>
          <w:lang w:eastAsia="en-AU"/>
        </w:rPr>
        <w:t>Federal Circuit Court of Australia Act 1999</w:t>
      </w:r>
      <w:r w:rsidRPr="004F1E80">
        <w:rPr>
          <w:rFonts w:eastAsia="Times New Roman" w:cs="Times New Roman"/>
          <w:bCs/>
          <w:sz w:val="24"/>
          <w:szCs w:val="24"/>
          <w:lang w:eastAsia="en-AU"/>
        </w:rPr>
        <w:t xml:space="preserve"> as the rule applies to all proceedings and section 26 only applies to general federal law proceedings.</w:t>
      </w:r>
    </w:p>
    <w:p w:rsidR="007E233E" w:rsidRPr="004F1E80" w:rsidRDefault="007E233E"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 xml:space="preserve">[5] Rule </w:t>
      </w:r>
      <w:r w:rsidR="00A938DC" w:rsidRPr="004F1E80">
        <w:rPr>
          <w:rFonts w:eastAsia="Times New Roman" w:cs="Times New Roman"/>
          <w:b/>
          <w:bCs/>
          <w:sz w:val="24"/>
          <w:szCs w:val="24"/>
          <w:lang w:eastAsia="en-AU"/>
        </w:rPr>
        <w:t>13.10</w:t>
      </w:r>
      <w:r w:rsidR="00B665CD" w:rsidRPr="004F1E80">
        <w:rPr>
          <w:rFonts w:eastAsia="Times New Roman" w:cs="Times New Roman"/>
          <w:b/>
          <w:bCs/>
          <w:sz w:val="24"/>
          <w:szCs w:val="24"/>
          <w:lang w:eastAsia="en-AU"/>
        </w:rPr>
        <w:t xml:space="preserve"> </w:t>
      </w:r>
      <w:r w:rsidR="00A938DC" w:rsidRPr="004F1E80">
        <w:rPr>
          <w:rFonts w:eastAsia="Times New Roman" w:cs="Times New Roman"/>
          <w:b/>
          <w:bCs/>
          <w:sz w:val="24"/>
          <w:szCs w:val="24"/>
          <w:lang w:eastAsia="en-AU"/>
        </w:rPr>
        <w:t>(note)</w:t>
      </w:r>
    </w:p>
    <w:p w:rsidR="0083021A" w:rsidRPr="004F1E80" w:rsidRDefault="0083021A"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Cs/>
          <w:sz w:val="24"/>
          <w:szCs w:val="24"/>
          <w:lang w:eastAsia="en-AU"/>
        </w:rPr>
        <w:t xml:space="preserve">A reference to section 102QB in addition to section 118 of the </w:t>
      </w:r>
      <w:r w:rsidRPr="004F1E80">
        <w:rPr>
          <w:rFonts w:eastAsia="Times New Roman" w:cs="Times New Roman"/>
          <w:bCs/>
          <w:i/>
          <w:sz w:val="24"/>
          <w:szCs w:val="24"/>
          <w:lang w:eastAsia="en-AU"/>
        </w:rPr>
        <w:t>Family Law Act 1975</w:t>
      </w:r>
      <w:r w:rsidRPr="004F1E80">
        <w:rPr>
          <w:rFonts w:eastAsia="Times New Roman" w:cs="Times New Roman"/>
          <w:bCs/>
          <w:sz w:val="24"/>
          <w:szCs w:val="24"/>
          <w:lang w:eastAsia="en-AU"/>
        </w:rPr>
        <w:t xml:space="preserve"> has been added to the Note after rule 13.10</w:t>
      </w:r>
      <w:r w:rsidR="001E758C" w:rsidRPr="004F1E80">
        <w:rPr>
          <w:rFonts w:eastAsia="Times New Roman" w:cs="Times New Roman"/>
          <w:bCs/>
          <w:sz w:val="24"/>
          <w:szCs w:val="24"/>
          <w:lang w:eastAsia="en-AU"/>
        </w:rPr>
        <w:t xml:space="preserve"> as this is a new additional statutory source of power in relation to family law proceedings that are frivolous or vexatious.</w:t>
      </w:r>
    </w:p>
    <w:p w:rsidR="007E233E" w:rsidRPr="004F1E80" w:rsidRDefault="007E233E"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 xml:space="preserve">[6] </w:t>
      </w:r>
      <w:r w:rsidR="00A938DC" w:rsidRPr="004F1E80">
        <w:rPr>
          <w:rFonts w:eastAsia="Times New Roman" w:cs="Times New Roman"/>
          <w:b/>
          <w:bCs/>
          <w:sz w:val="24"/>
          <w:szCs w:val="24"/>
          <w:lang w:eastAsia="en-AU"/>
        </w:rPr>
        <w:t>Rule 15.01</w:t>
      </w:r>
      <w:r w:rsidR="00B665CD" w:rsidRPr="004F1E80">
        <w:rPr>
          <w:rFonts w:eastAsia="Times New Roman" w:cs="Times New Roman"/>
          <w:b/>
          <w:bCs/>
          <w:sz w:val="24"/>
          <w:szCs w:val="24"/>
          <w:lang w:eastAsia="en-AU"/>
        </w:rPr>
        <w:t xml:space="preserve"> </w:t>
      </w:r>
      <w:r w:rsidR="00A938DC" w:rsidRPr="004F1E80">
        <w:rPr>
          <w:rFonts w:eastAsia="Times New Roman" w:cs="Times New Roman"/>
          <w:b/>
          <w:bCs/>
          <w:sz w:val="24"/>
          <w:szCs w:val="24"/>
          <w:lang w:eastAsia="en-AU"/>
        </w:rPr>
        <w:t>(note)</w:t>
      </w:r>
    </w:p>
    <w:p w:rsidR="001E758C" w:rsidRPr="004F1E80" w:rsidRDefault="001E758C" w:rsidP="00355CD1">
      <w:pPr>
        <w:spacing w:before="100" w:beforeAutospacing="1" w:after="100" w:afterAutospacing="1" w:line="240" w:lineRule="auto"/>
        <w:jc w:val="both"/>
        <w:rPr>
          <w:rFonts w:eastAsia="Times New Roman" w:cs="Times New Roman"/>
          <w:sz w:val="24"/>
          <w:szCs w:val="24"/>
          <w:lang w:eastAsia="en-AU"/>
        </w:rPr>
      </w:pPr>
      <w:r w:rsidRPr="004F1E80">
        <w:rPr>
          <w:rFonts w:eastAsia="Times New Roman" w:cs="Times New Roman"/>
          <w:bCs/>
          <w:sz w:val="24"/>
          <w:szCs w:val="24"/>
          <w:lang w:eastAsia="en-AU"/>
        </w:rPr>
        <w:t xml:space="preserve">The note after rule 15.01 has been repealed as there was an incorrect statutory reference and </w:t>
      </w:r>
      <w:r w:rsidR="007436AE" w:rsidRPr="004F1E80">
        <w:rPr>
          <w:rFonts w:eastAsia="Times New Roman" w:cs="Times New Roman"/>
          <w:bCs/>
          <w:sz w:val="24"/>
          <w:szCs w:val="24"/>
          <w:lang w:eastAsia="en-AU"/>
        </w:rPr>
        <w:t xml:space="preserve">the other reference to statutory provisions </w:t>
      </w:r>
      <w:r w:rsidRPr="004F1E80">
        <w:rPr>
          <w:rFonts w:eastAsia="Times New Roman" w:cs="Times New Roman"/>
          <w:bCs/>
          <w:sz w:val="24"/>
          <w:szCs w:val="24"/>
          <w:lang w:eastAsia="en-AU"/>
        </w:rPr>
        <w:t>was otherwise not seen to be necessary.</w:t>
      </w:r>
    </w:p>
    <w:p w:rsidR="007E233E" w:rsidRPr="004F1E80" w:rsidRDefault="007E233E"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 xml:space="preserve">[7] </w:t>
      </w:r>
      <w:r w:rsidR="00A938DC" w:rsidRPr="004F1E80">
        <w:rPr>
          <w:rFonts w:eastAsia="Times New Roman" w:cs="Times New Roman"/>
          <w:b/>
          <w:bCs/>
          <w:sz w:val="24"/>
          <w:szCs w:val="24"/>
          <w:lang w:eastAsia="en-AU"/>
        </w:rPr>
        <w:t>Subrule 15A.06(2)</w:t>
      </w:r>
    </w:p>
    <w:p w:rsidR="007436AE" w:rsidRPr="004F1E80" w:rsidRDefault="007436AE"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This amendment deletes the words </w:t>
      </w:r>
      <w:r w:rsidRPr="004F1E80">
        <w:rPr>
          <w:rFonts w:eastAsia="Times New Roman" w:cs="Times New Roman"/>
          <w:bCs/>
          <w:i/>
          <w:sz w:val="24"/>
          <w:szCs w:val="24"/>
          <w:lang w:eastAsia="en-AU"/>
        </w:rPr>
        <w:t>within a reasonable time before attendance or production under the subpoena is required</w:t>
      </w:r>
      <w:r w:rsidRPr="004F1E80">
        <w:rPr>
          <w:rFonts w:eastAsia="Times New Roman" w:cs="Times New Roman"/>
          <w:bCs/>
          <w:sz w:val="24"/>
          <w:szCs w:val="24"/>
          <w:lang w:eastAsia="en-AU"/>
        </w:rPr>
        <w:t xml:space="preserve"> from this rule which deals with service of a subpoena. The reference to </w:t>
      </w:r>
      <w:r w:rsidRPr="004F1E80">
        <w:rPr>
          <w:rFonts w:eastAsia="Times New Roman" w:cs="Times New Roman"/>
          <w:bCs/>
          <w:i/>
          <w:sz w:val="24"/>
          <w:szCs w:val="24"/>
          <w:lang w:eastAsia="en-AU"/>
        </w:rPr>
        <w:t xml:space="preserve">within a reasonable time </w:t>
      </w:r>
      <w:r w:rsidRPr="004F1E80">
        <w:rPr>
          <w:rFonts w:eastAsia="Times New Roman" w:cs="Times New Roman"/>
          <w:bCs/>
          <w:sz w:val="24"/>
          <w:szCs w:val="24"/>
          <w:lang w:eastAsia="en-AU"/>
        </w:rPr>
        <w:t>was not consistent with rule 15A.04 which set out the appropriate time limits for service of a subpoena.</w:t>
      </w:r>
    </w:p>
    <w:p w:rsidR="00A938DC" w:rsidRPr="004F1E80" w:rsidRDefault="00A938DC"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[8] Subrule 23.01A(5)</w:t>
      </w:r>
    </w:p>
    <w:p w:rsidR="002A0524" w:rsidRPr="004F1E80" w:rsidRDefault="00E5625A"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lastRenderedPageBreak/>
        <w:t xml:space="preserve">The amendment to Subrule 23.01A(5) is consistent with recommendations contained in a Report by Professor Richard Chisholm AM dated March 2014 </w:t>
      </w:r>
      <w:r w:rsidRPr="004F1E80">
        <w:rPr>
          <w:rFonts w:eastAsia="Times New Roman" w:cs="Times New Roman"/>
          <w:bCs/>
          <w:i/>
          <w:sz w:val="24"/>
          <w:szCs w:val="24"/>
          <w:lang w:eastAsia="en-AU"/>
        </w:rPr>
        <w:t xml:space="preserve">– The </w:t>
      </w:r>
      <w:r w:rsidR="002A0524" w:rsidRPr="004F1E80">
        <w:rPr>
          <w:rFonts w:eastAsia="Times New Roman" w:cs="Times New Roman"/>
          <w:bCs/>
          <w:i/>
          <w:sz w:val="24"/>
          <w:szCs w:val="24"/>
          <w:lang w:eastAsia="en-AU"/>
        </w:rPr>
        <w:t>S</w:t>
      </w:r>
      <w:r w:rsidRPr="004F1E80">
        <w:rPr>
          <w:rFonts w:eastAsia="Times New Roman" w:cs="Times New Roman"/>
          <w:bCs/>
          <w:i/>
          <w:sz w:val="24"/>
          <w:szCs w:val="24"/>
          <w:lang w:eastAsia="en-AU"/>
        </w:rPr>
        <w:t>haring of Experts Reports Between the Child Protection System and the Family Law System.</w:t>
      </w:r>
      <w:r w:rsidRPr="004F1E80">
        <w:rPr>
          <w:rFonts w:eastAsia="Times New Roman" w:cs="Times New Roman"/>
          <w:bCs/>
          <w:sz w:val="24"/>
          <w:szCs w:val="24"/>
          <w:lang w:eastAsia="en-AU"/>
        </w:rPr>
        <w:t xml:space="preserve"> In particular Recommendations 6 and 7 which recommends amendment to court rules to make it explicit that family courts can make orders allowing the disclosure of reports to appropriate bodies in the child protection system and to legal aid bodies. Subrule 23.01A(5) implements this recommendation by permitting the Court (by order or otherwise) to give a copy of the report to any of the following (in addition to a party, a lawyer or an independent children’s lawyer)</w:t>
      </w:r>
      <w:r w:rsidR="002A0524" w:rsidRPr="004F1E80">
        <w:rPr>
          <w:rFonts w:eastAsia="Times New Roman" w:cs="Times New Roman"/>
          <w:bCs/>
          <w:sz w:val="24"/>
          <w:szCs w:val="24"/>
          <w:lang w:eastAsia="en-AU"/>
        </w:rPr>
        <w:t xml:space="preserve">: </w:t>
      </w:r>
      <w:r w:rsidRPr="004F1E80">
        <w:rPr>
          <w:rFonts w:eastAsia="Times New Roman" w:cs="Times New Roman"/>
          <w:bCs/>
          <w:sz w:val="24"/>
          <w:szCs w:val="24"/>
          <w:lang w:eastAsia="en-AU"/>
        </w:rPr>
        <w:t>a children’s court;</w:t>
      </w:r>
      <w:r w:rsidR="002A0524" w:rsidRPr="004F1E80">
        <w:rPr>
          <w:rFonts w:eastAsia="Times New Roman" w:cs="Times New Roman"/>
          <w:bCs/>
          <w:sz w:val="24"/>
          <w:szCs w:val="24"/>
          <w:lang w:eastAsia="en-AU"/>
        </w:rPr>
        <w:t xml:space="preserve"> </w:t>
      </w:r>
      <w:r w:rsidRPr="004F1E80">
        <w:rPr>
          <w:rFonts w:eastAsia="Times New Roman" w:cs="Times New Roman"/>
          <w:bCs/>
          <w:sz w:val="24"/>
          <w:szCs w:val="24"/>
          <w:lang w:eastAsia="en-AU"/>
        </w:rPr>
        <w:t>a prescribed welfare authority;</w:t>
      </w:r>
      <w:r w:rsidR="002A0524" w:rsidRPr="004F1E80">
        <w:rPr>
          <w:rFonts w:eastAsia="Times New Roman" w:cs="Times New Roman"/>
          <w:bCs/>
          <w:sz w:val="24"/>
          <w:szCs w:val="24"/>
          <w:lang w:eastAsia="en-AU"/>
        </w:rPr>
        <w:t xml:space="preserve"> </w:t>
      </w:r>
      <w:r w:rsidRPr="004F1E80">
        <w:rPr>
          <w:rFonts w:eastAsia="Times New Roman" w:cs="Times New Roman"/>
          <w:bCs/>
          <w:sz w:val="24"/>
          <w:szCs w:val="24"/>
          <w:lang w:eastAsia="en-AU"/>
        </w:rPr>
        <w:t>a Legal Aid Commission;</w:t>
      </w:r>
      <w:r w:rsidR="002A0524" w:rsidRPr="004F1E80">
        <w:rPr>
          <w:rFonts w:eastAsia="Times New Roman" w:cs="Times New Roman"/>
          <w:bCs/>
          <w:sz w:val="24"/>
          <w:szCs w:val="24"/>
          <w:lang w:eastAsia="en-AU"/>
        </w:rPr>
        <w:t xml:space="preserve"> </w:t>
      </w:r>
      <w:r w:rsidRPr="004F1E80">
        <w:rPr>
          <w:rFonts w:eastAsia="Times New Roman" w:cs="Times New Roman"/>
          <w:bCs/>
          <w:sz w:val="24"/>
          <w:szCs w:val="24"/>
          <w:lang w:eastAsia="en-AU"/>
        </w:rPr>
        <w:t>the convenor of any legal dispute resolution conference.</w:t>
      </w:r>
      <w:r w:rsidR="002A0524" w:rsidRPr="004F1E80">
        <w:rPr>
          <w:rFonts w:eastAsia="Times New Roman" w:cs="Times New Roman"/>
          <w:bCs/>
          <w:sz w:val="24"/>
          <w:szCs w:val="24"/>
          <w:lang w:eastAsia="en-AU"/>
        </w:rPr>
        <w:t xml:space="preserve"> </w:t>
      </w:r>
    </w:p>
    <w:p w:rsidR="00E5625A" w:rsidRPr="004F1E80" w:rsidRDefault="00C0370F"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Consistent with the recommendations in this Report, n</w:t>
      </w:r>
      <w:r w:rsidR="00E5625A" w:rsidRPr="004F1E80">
        <w:rPr>
          <w:rFonts w:eastAsia="Times New Roman" w:cs="Times New Roman"/>
          <w:bCs/>
          <w:sz w:val="24"/>
          <w:szCs w:val="24"/>
          <w:lang w:eastAsia="en-AU"/>
        </w:rPr>
        <w:t xml:space="preserve">ew subrule 23.01A(6) </w:t>
      </w:r>
      <w:r w:rsidRPr="004F1E80">
        <w:rPr>
          <w:rFonts w:eastAsia="Times New Roman" w:cs="Times New Roman"/>
          <w:bCs/>
          <w:sz w:val="24"/>
          <w:szCs w:val="24"/>
          <w:lang w:eastAsia="en-AU"/>
        </w:rPr>
        <w:t>provides that where a copy of a report is provided other than by order, a copy of the report must be accompanied by a notice that identifies the people to whom a copy of the report may be provided and the status of the report at the time of its preparation.</w:t>
      </w:r>
    </w:p>
    <w:p w:rsidR="002A0524" w:rsidRPr="004F1E80" w:rsidRDefault="00A938DC" w:rsidP="00355CD1">
      <w:pPr>
        <w:spacing w:before="240" w:after="240"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[9] Subparagraphs 24.03(1)(d)(ii) and (iii)</w:t>
      </w:r>
    </w:p>
    <w:p w:rsidR="00D077FC" w:rsidRPr="004F1E80" w:rsidRDefault="00D077FC" w:rsidP="00355CD1">
      <w:pPr>
        <w:spacing w:before="240" w:after="240"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The amendment removes reference to </w:t>
      </w:r>
      <w:r w:rsidRPr="004F1E80">
        <w:rPr>
          <w:rFonts w:eastAsia="Times New Roman" w:cs="Times New Roman"/>
          <w:bCs/>
          <w:i/>
          <w:sz w:val="24"/>
          <w:szCs w:val="24"/>
          <w:lang w:eastAsia="en-AU"/>
        </w:rPr>
        <w:t>de facto spouse</w:t>
      </w:r>
      <w:r w:rsidRPr="004F1E80">
        <w:rPr>
          <w:rFonts w:eastAsia="Times New Roman" w:cs="Times New Roman"/>
          <w:bCs/>
          <w:sz w:val="24"/>
          <w:szCs w:val="24"/>
          <w:lang w:eastAsia="en-AU"/>
        </w:rPr>
        <w:t xml:space="preserve"> and replaces it with a reference to </w:t>
      </w:r>
      <w:r w:rsidRPr="004F1E80">
        <w:rPr>
          <w:rFonts w:eastAsia="Times New Roman" w:cs="Times New Roman"/>
          <w:bCs/>
          <w:i/>
          <w:sz w:val="24"/>
          <w:szCs w:val="24"/>
          <w:lang w:eastAsia="en-AU"/>
        </w:rPr>
        <w:t>de facto partner</w:t>
      </w:r>
      <w:r w:rsidR="007436AE" w:rsidRPr="004F1E80">
        <w:rPr>
          <w:rFonts w:eastAsia="Times New Roman" w:cs="Times New Roman"/>
          <w:bCs/>
          <w:i/>
          <w:sz w:val="24"/>
          <w:szCs w:val="24"/>
          <w:lang w:eastAsia="en-AU"/>
        </w:rPr>
        <w:t>.</w:t>
      </w:r>
      <w:r w:rsidRPr="004F1E80">
        <w:rPr>
          <w:rFonts w:eastAsia="Times New Roman" w:cs="Times New Roman"/>
          <w:bCs/>
          <w:sz w:val="24"/>
          <w:szCs w:val="24"/>
          <w:lang w:eastAsia="en-AU"/>
        </w:rPr>
        <w:t xml:space="preserve"> The term </w:t>
      </w:r>
      <w:r w:rsidRPr="004F1E80">
        <w:rPr>
          <w:rFonts w:eastAsia="Times New Roman" w:cs="Times New Roman"/>
          <w:bCs/>
          <w:i/>
          <w:sz w:val="24"/>
          <w:szCs w:val="24"/>
          <w:lang w:eastAsia="en-AU"/>
        </w:rPr>
        <w:t>de facto partner</w:t>
      </w:r>
      <w:r w:rsidRPr="004F1E80">
        <w:rPr>
          <w:rFonts w:eastAsia="Times New Roman" w:cs="Times New Roman"/>
          <w:bCs/>
          <w:sz w:val="24"/>
          <w:szCs w:val="24"/>
          <w:lang w:eastAsia="en-AU"/>
        </w:rPr>
        <w:t xml:space="preserve"> is now defined in the dictionary, see item [22].</w:t>
      </w:r>
    </w:p>
    <w:p w:rsidR="00A938DC" w:rsidRPr="004F1E80" w:rsidRDefault="00A938DC"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[10] Subrule 25B.20(2)(note)</w:t>
      </w:r>
    </w:p>
    <w:p w:rsidR="00690182" w:rsidRPr="004F1E80" w:rsidRDefault="00690182"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The amendment deletes an erroneous reference to rule 25B.10 in the Note following this subrule and replaces it with the correct reference to Division 25B.4</w:t>
      </w:r>
    </w:p>
    <w:p w:rsidR="00046A3D" w:rsidRPr="004F1E80" w:rsidRDefault="00A938DC"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[11] At the end of rule 44.15</w:t>
      </w:r>
    </w:p>
    <w:p w:rsidR="000C13D6" w:rsidRPr="004F1E80" w:rsidRDefault="004D3F63"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Three new subrules have been added </w:t>
      </w:r>
      <w:r w:rsidR="00F830B2" w:rsidRPr="004F1E80">
        <w:rPr>
          <w:rFonts w:eastAsia="Times New Roman" w:cs="Times New Roman"/>
          <w:bCs/>
          <w:sz w:val="24"/>
          <w:szCs w:val="24"/>
          <w:lang w:eastAsia="en-AU"/>
        </w:rPr>
        <w:t xml:space="preserve">to </w:t>
      </w:r>
      <w:r w:rsidRPr="004F1E80">
        <w:rPr>
          <w:rFonts w:eastAsia="Times New Roman" w:cs="Times New Roman"/>
          <w:bCs/>
          <w:sz w:val="24"/>
          <w:szCs w:val="24"/>
          <w:lang w:eastAsia="en-AU"/>
        </w:rPr>
        <w:t>clarify the rules in respect of cost when an applicant f</w:t>
      </w:r>
      <w:r w:rsidR="001730EA" w:rsidRPr="004F1E80">
        <w:rPr>
          <w:rFonts w:eastAsia="Times New Roman" w:cs="Times New Roman"/>
          <w:bCs/>
          <w:sz w:val="24"/>
          <w:szCs w:val="24"/>
          <w:lang w:eastAsia="en-AU"/>
        </w:rPr>
        <w:t xml:space="preserve">iles a notice of discontinuance </w:t>
      </w:r>
      <w:r w:rsidRPr="004F1E80">
        <w:rPr>
          <w:rFonts w:eastAsia="Times New Roman" w:cs="Times New Roman"/>
          <w:bCs/>
          <w:sz w:val="24"/>
          <w:szCs w:val="24"/>
          <w:lang w:eastAsia="en-AU"/>
        </w:rPr>
        <w:t xml:space="preserve">of an application for a show cause in migration proceedings. </w:t>
      </w:r>
      <w:r w:rsidR="000C13D6" w:rsidRPr="004F1E80">
        <w:rPr>
          <w:rFonts w:eastAsia="Times New Roman" w:cs="Times New Roman"/>
          <w:bCs/>
          <w:sz w:val="24"/>
          <w:szCs w:val="24"/>
          <w:lang w:eastAsia="en-AU"/>
        </w:rPr>
        <w:t xml:space="preserve">In </w:t>
      </w:r>
      <w:r w:rsidR="000C13D6" w:rsidRPr="004F1E80">
        <w:rPr>
          <w:rFonts w:eastAsia="Times New Roman" w:cs="Times New Roman"/>
          <w:bCs/>
          <w:i/>
          <w:sz w:val="24"/>
          <w:szCs w:val="24"/>
          <w:lang w:eastAsia="en-AU"/>
        </w:rPr>
        <w:t>MZZKH v Minister for Immigration &amp; Anor</w:t>
      </w:r>
      <w:r w:rsidR="000C13D6" w:rsidRPr="004F1E80">
        <w:rPr>
          <w:rFonts w:eastAsia="Times New Roman" w:cs="Times New Roman"/>
          <w:bCs/>
          <w:sz w:val="24"/>
          <w:szCs w:val="24"/>
          <w:lang w:eastAsia="en-AU"/>
        </w:rPr>
        <w:t xml:space="preserve"> [2013]</w:t>
      </w:r>
      <w:r w:rsidR="00F830B2" w:rsidRPr="004F1E80">
        <w:rPr>
          <w:rFonts w:eastAsia="Times New Roman" w:cs="Times New Roman"/>
          <w:bCs/>
          <w:sz w:val="24"/>
          <w:szCs w:val="24"/>
          <w:lang w:eastAsia="en-AU"/>
        </w:rPr>
        <w:t xml:space="preserve"> FCCA 2287 the Court considered whether </w:t>
      </w:r>
      <w:r w:rsidR="000C13D6" w:rsidRPr="004F1E80">
        <w:rPr>
          <w:rFonts w:eastAsia="Times New Roman" w:cs="Times New Roman"/>
          <w:bCs/>
          <w:sz w:val="24"/>
          <w:szCs w:val="24"/>
          <w:lang w:eastAsia="en-AU"/>
        </w:rPr>
        <w:t xml:space="preserve">rule 44.15 provided for the automatic imposition of costs without the need to file an application. The new subrules are intended to facilitate </w:t>
      </w:r>
      <w:r w:rsidR="00F830B2" w:rsidRPr="004F1E80">
        <w:rPr>
          <w:rFonts w:eastAsia="Times New Roman" w:cs="Times New Roman"/>
          <w:bCs/>
          <w:sz w:val="24"/>
          <w:szCs w:val="24"/>
          <w:lang w:eastAsia="en-AU"/>
        </w:rPr>
        <w:t xml:space="preserve">a claim for costs in a show cause migration proceeding where a notice of discontinuance has been filed without the need </w:t>
      </w:r>
      <w:r w:rsidR="001730EA" w:rsidRPr="004F1E80">
        <w:rPr>
          <w:rFonts w:eastAsia="Times New Roman" w:cs="Times New Roman"/>
          <w:bCs/>
          <w:sz w:val="24"/>
          <w:szCs w:val="24"/>
          <w:lang w:eastAsia="en-AU"/>
        </w:rPr>
        <w:t>to</w:t>
      </w:r>
      <w:r w:rsidR="00F830B2" w:rsidRPr="004F1E80">
        <w:rPr>
          <w:rFonts w:eastAsia="Times New Roman" w:cs="Times New Roman"/>
          <w:bCs/>
          <w:sz w:val="24"/>
          <w:szCs w:val="24"/>
          <w:lang w:eastAsia="en-AU"/>
        </w:rPr>
        <w:t xml:space="preserve"> file a separate</w:t>
      </w:r>
      <w:r w:rsidR="001730EA" w:rsidRPr="004F1E80">
        <w:rPr>
          <w:rFonts w:eastAsia="Times New Roman" w:cs="Times New Roman"/>
          <w:bCs/>
          <w:sz w:val="24"/>
          <w:szCs w:val="24"/>
          <w:lang w:eastAsia="en-AU"/>
        </w:rPr>
        <w:t xml:space="preserve"> cost</w:t>
      </w:r>
      <w:r w:rsidR="00F830B2" w:rsidRPr="004F1E80">
        <w:rPr>
          <w:rFonts w:eastAsia="Times New Roman" w:cs="Times New Roman"/>
          <w:bCs/>
          <w:sz w:val="24"/>
          <w:szCs w:val="24"/>
          <w:lang w:eastAsia="en-AU"/>
        </w:rPr>
        <w:t xml:space="preserve"> application.</w:t>
      </w:r>
      <w:r w:rsidR="001730EA" w:rsidRPr="004F1E80">
        <w:rPr>
          <w:rFonts w:eastAsia="Times New Roman" w:cs="Times New Roman"/>
          <w:bCs/>
          <w:sz w:val="24"/>
          <w:szCs w:val="24"/>
          <w:lang w:eastAsia="en-AU"/>
        </w:rPr>
        <w:t xml:space="preserve"> New subrule 44.15(3) provides that the respondent </w:t>
      </w:r>
      <w:r w:rsidR="000C13D6" w:rsidRPr="004F1E80">
        <w:rPr>
          <w:rFonts w:eastAsia="Times New Roman" w:cs="Times New Roman"/>
          <w:bCs/>
          <w:sz w:val="24"/>
          <w:szCs w:val="24"/>
          <w:lang w:eastAsia="en-AU"/>
        </w:rPr>
        <w:t>will be required to serve a sealed copy of a bill of costs in accordance with a new approved form</w:t>
      </w:r>
      <w:r w:rsidR="001730EA" w:rsidRPr="004F1E80">
        <w:rPr>
          <w:rFonts w:eastAsia="Times New Roman" w:cs="Times New Roman"/>
          <w:bCs/>
          <w:sz w:val="24"/>
          <w:szCs w:val="24"/>
          <w:lang w:eastAsia="en-AU"/>
        </w:rPr>
        <w:t xml:space="preserve"> of bill of costs</w:t>
      </w:r>
      <w:r w:rsidR="000C13D6" w:rsidRPr="004F1E80">
        <w:rPr>
          <w:rFonts w:eastAsia="Times New Roman" w:cs="Times New Roman"/>
          <w:bCs/>
          <w:sz w:val="24"/>
          <w:szCs w:val="24"/>
          <w:lang w:eastAsia="en-AU"/>
        </w:rPr>
        <w:t xml:space="preserve"> that specifies the amount set out in Division 2 of Part3 of Schedule 1.</w:t>
      </w:r>
    </w:p>
    <w:p w:rsidR="00046A3D" w:rsidRPr="004F1E80" w:rsidRDefault="00A938DC" w:rsidP="00355CD1">
      <w:pPr>
        <w:spacing w:before="100" w:beforeAutospacing="1" w:after="100" w:afterAutospacing="1" w:line="240" w:lineRule="auto"/>
        <w:jc w:val="both"/>
        <w:rPr>
          <w:rFonts w:eastAsia="Times New Roman" w:cs="Times New Roman"/>
          <w:b/>
          <w:bCs/>
          <w:i/>
          <w:sz w:val="24"/>
          <w:szCs w:val="24"/>
          <w:lang w:eastAsia="en-AU"/>
        </w:rPr>
      </w:pPr>
      <w:r w:rsidRPr="004F1E80">
        <w:rPr>
          <w:rFonts w:eastAsia="Times New Roman" w:cs="Times New Roman"/>
          <w:b/>
          <w:bCs/>
          <w:sz w:val="24"/>
          <w:szCs w:val="24"/>
          <w:lang w:eastAsia="en-AU"/>
        </w:rPr>
        <w:t xml:space="preserve">[12] Rule 45.01(definition of </w:t>
      </w:r>
      <w:r w:rsidRPr="004F1E80">
        <w:rPr>
          <w:rFonts w:eastAsia="Times New Roman" w:cs="Times New Roman"/>
          <w:b/>
          <w:bCs/>
          <w:i/>
          <w:sz w:val="24"/>
          <w:szCs w:val="24"/>
          <w:lang w:eastAsia="en-AU"/>
        </w:rPr>
        <w:t>Building and Construction Industry Improvement Act)</w:t>
      </w:r>
    </w:p>
    <w:p w:rsidR="00046A3D" w:rsidRPr="004F1E80" w:rsidRDefault="000E04F7"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[13] Rule 45.02 (heading)</w:t>
      </w:r>
    </w:p>
    <w:p w:rsidR="00046A3D" w:rsidRPr="004F1E80" w:rsidRDefault="000E04F7"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[14] Paragraph 45.02(b)</w:t>
      </w:r>
    </w:p>
    <w:p w:rsidR="00046A3D" w:rsidRPr="004F1E80" w:rsidRDefault="000E04F7"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[15] Paragraph 45.02(c)</w:t>
      </w:r>
    </w:p>
    <w:p w:rsidR="000E04F7" w:rsidRPr="004F1E80" w:rsidRDefault="000E04F7"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[16] Rule 45.03</w:t>
      </w:r>
    </w:p>
    <w:p w:rsidR="000E04F7" w:rsidRPr="004F1E80" w:rsidRDefault="000E04F7"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Cs/>
          <w:sz w:val="24"/>
          <w:szCs w:val="24"/>
          <w:lang w:eastAsia="en-AU"/>
        </w:rPr>
        <w:lastRenderedPageBreak/>
        <w:t xml:space="preserve">These amendments remove references to the </w:t>
      </w:r>
      <w:r w:rsidRPr="004F1E80">
        <w:rPr>
          <w:rFonts w:eastAsia="Times New Roman" w:cs="Times New Roman"/>
          <w:bCs/>
          <w:i/>
          <w:sz w:val="24"/>
          <w:szCs w:val="24"/>
          <w:lang w:eastAsia="en-AU"/>
        </w:rPr>
        <w:t>Building and Construction Industry Improvement Act 2005</w:t>
      </w:r>
      <w:r w:rsidRPr="004F1E80">
        <w:rPr>
          <w:rFonts w:eastAsia="Times New Roman" w:cs="Times New Roman"/>
          <w:bCs/>
          <w:sz w:val="24"/>
          <w:szCs w:val="24"/>
          <w:lang w:eastAsia="en-AU"/>
        </w:rPr>
        <w:t xml:space="preserve"> which has been repealed.</w:t>
      </w:r>
    </w:p>
    <w:p w:rsidR="00046A3D" w:rsidRPr="004F1E80" w:rsidRDefault="000E04F7"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[17] Subparagraph 45.06(b)(ii)</w:t>
      </w:r>
    </w:p>
    <w:p w:rsidR="00046A3D" w:rsidRPr="004F1E80" w:rsidRDefault="000E04F7"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[18] Subparagraph 45.07(b)(ii)</w:t>
      </w:r>
    </w:p>
    <w:p w:rsidR="00AF5D34" w:rsidRPr="004F1E80" w:rsidRDefault="00AF5D34" w:rsidP="00355CD1">
      <w:pPr>
        <w:spacing w:before="100" w:beforeAutospacing="1" w:after="100" w:afterAutospacing="1" w:line="240" w:lineRule="auto"/>
        <w:jc w:val="both"/>
        <w:rPr>
          <w:rFonts w:eastAsia="Times New Roman" w:cs="Times New Roman"/>
          <w:bCs/>
          <w:i/>
          <w:sz w:val="24"/>
          <w:szCs w:val="24"/>
          <w:lang w:eastAsia="en-AU"/>
        </w:rPr>
      </w:pPr>
      <w:r w:rsidRPr="004F1E80">
        <w:rPr>
          <w:rFonts w:eastAsia="Times New Roman" w:cs="Times New Roman"/>
          <w:bCs/>
          <w:sz w:val="24"/>
          <w:szCs w:val="24"/>
          <w:lang w:eastAsia="en-AU"/>
        </w:rPr>
        <w:t>The references to sections</w:t>
      </w:r>
      <w:r w:rsidR="006A3AFF" w:rsidRPr="004F1E80">
        <w:rPr>
          <w:rFonts w:eastAsia="Times New Roman" w:cs="Times New Roman"/>
          <w:bCs/>
          <w:sz w:val="24"/>
          <w:szCs w:val="24"/>
          <w:lang w:eastAsia="en-AU"/>
        </w:rPr>
        <w:t xml:space="preserve"> 369 and 777</w:t>
      </w:r>
      <w:r w:rsidRPr="004F1E80">
        <w:rPr>
          <w:rFonts w:eastAsia="Times New Roman" w:cs="Times New Roman"/>
          <w:bCs/>
          <w:sz w:val="24"/>
          <w:szCs w:val="24"/>
          <w:lang w:eastAsia="en-AU"/>
        </w:rPr>
        <w:t xml:space="preserve"> of the </w:t>
      </w:r>
      <w:r w:rsidRPr="004F1E80">
        <w:rPr>
          <w:rFonts w:eastAsia="Times New Roman" w:cs="Times New Roman"/>
          <w:bCs/>
          <w:i/>
          <w:sz w:val="24"/>
          <w:szCs w:val="24"/>
          <w:lang w:eastAsia="en-AU"/>
        </w:rPr>
        <w:t>Fair Work Act 2009</w:t>
      </w:r>
      <w:r w:rsidRPr="004F1E80">
        <w:rPr>
          <w:rFonts w:eastAsia="Times New Roman" w:cs="Times New Roman"/>
          <w:bCs/>
          <w:sz w:val="24"/>
          <w:szCs w:val="24"/>
          <w:lang w:eastAsia="en-AU"/>
        </w:rPr>
        <w:t xml:space="preserve"> have been removed from these subpara</w:t>
      </w:r>
      <w:r w:rsidR="006A3AFF" w:rsidRPr="004F1E80">
        <w:rPr>
          <w:rFonts w:eastAsia="Times New Roman" w:cs="Times New Roman"/>
          <w:bCs/>
          <w:sz w:val="24"/>
          <w:szCs w:val="24"/>
          <w:lang w:eastAsia="en-AU"/>
        </w:rPr>
        <w:t xml:space="preserve">graphs as they are no longer the correct statutory reference in view of amendments made to the Act by way of the </w:t>
      </w:r>
      <w:r w:rsidR="006A3AFF" w:rsidRPr="004F1E80">
        <w:rPr>
          <w:rFonts w:eastAsia="Times New Roman" w:cs="Times New Roman"/>
          <w:bCs/>
          <w:i/>
          <w:sz w:val="24"/>
          <w:szCs w:val="24"/>
          <w:lang w:eastAsia="en-AU"/>
        </w:rPr>
        <w:t>Fair Work Amendment Act 2013.</w:t>
      </w:r>
    </w:p>
    <w:p w:rsidR="000E04F7" w:rsidRPr="004F1E80" w:rsidRDefault="000E04F7"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[19] Division 45.5</w:t>
      </w:r>
    </w:p>
    <w:p w:rsidR="00241149" w:rsidRPr="004F1E80" w:rsidRDefault="000E04F7"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The amendment repeals the Division as it refers to the  </w:t>
      </w:r>
      <w:r w:rsidRPr="004F1E80">
        <w:rPr>
          <w:rFonts w:eastAsia="Times New Roman" w:cs="Times New Roman"/>
          <w:bCs/>
          <w:i/>
          <w:sz w:val="24"/>
          <w:szCs w:val="24"/>
          <w:lang w:eastAsia="en-AU"/>
        </w:rPr>
        <w:t>Building and Construction Industry Improvement Act 2005</w:t>
      </w:r>
      <w:r w:rsidRPr="004F1E80">
        <w:rPr>
          <w:rFonts w:eastAsia="Times New Roman" w:cs="Times New Roman"/>
          <w:bCs/>
          <w:sz w:val="24"/>
          <w:szCs w:val="24"/>
          <w:lang w:eastAsia="en-AU"/>
        </w:rPr>
        <w:t xml:space="preserve"> which has been repealed.</w:t>
      </w:r>
    </w:p>
    <w:p w:rsidR="00241149" w:rsidRPr="004F1E80" w:rsidRDefault="00196B14"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[20] Part 1 of Schedule 1</w:t>
      </w:r>
    </w:p>
    <w:p w:rsidR="006A3AFF" w:rsidRPr="004F1E80" w:rsidRDefault="000F71F1"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The </w:t>
      </w:r>
      <w:r w:rsidR="006A3AFF" w:rsidRPr="004F1E80">
        <w:rPr>
          <w:rFonts w:eastAsia="Times New Roman" w:cs="Times New Roman"/>
          <w:bCs/>
          <w:sz w:val="24"/>
          <w:szCs w:val="24"/>
          <w:lang w:eastAsia="en-AU"/>
        </w:rPr>
        <w:t>amendment increases the rates of costs in Schedule 1</w:t>
      </w:r>
      <w:r w:rsidR="009859A0" w:rsidRPr="004F1E80">
        <w:rPr>
          <w:rFonts w:eastAsia="Times New Roman" w:cs="Times New Roman"/>
          <w:bCs/>
          <w:sz w:val="24"/>
          <w:szCs w:val="24"/>
          <w:lang w:eastAsia="en-AU"/>
        </w:rPr>
        <w:t xml:space="preserve"> for work done and services provided by lawyers to give effect to recommendations made in the Sixth Report of the Joint Costs Advisory Committee.</w:t>
      </w:r>
    </w:p>
    <w:p w:rsidR="00241149" w:rsidRPr="004F1E80" w:rsidRDefault="00196B14"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[21] Part 2 of Schedule 3 (after table item 5)</w:t>
      </w:r>
    </w:p>
    <w:p w:rsidR="000F71F1" w:rsidRPr="004F1E80" w:rsidRDefault="000F71F1"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Rule 12.01 of the </w:t>
      </w:r>
      <w:r w:rsidRPr="004F1E80">
        <w:rPr>
          <w:rFonts w:eastAsia="Times New Roman" w:cs="Times New Roman"/>
          <w:bCs/>
          <w:i/>
          <w:sz w:val="24"/>
          <w:szCs w:val="24"/>
          <w:lang w:eastAsia="en-AU"/>
        </w:rPr>
        <w:t>Federal Court Rules 2011</w:t>
      </w:r>
      <w:r w:rsidRPr="004F1E80">
        <w:rPr>
          <w:rFonts w:eastAsia="Times New Roman" w:cs="Times New Roman"/>
          <w:bCs/>
          <w:sz w:val="24"/>
          <w:szCs w:val="24"/>
          <w:lang w:eastAsia="en-AU"/>
        </w:rPr>
        <w:t xml:space="preserve"> in respect of a submitting notice now </w:t>
      </w:r>
      <w:r w:rsidR="00046A3D" w:rsidRPr="004F1E80">
        <w:rPr>
          <w:rFonts w:eastAsia="Times New Roman" w:cs="Times New Roman"/>
          <w:bCs/>
          <w:sz w:val="24"/>
          <w:szCs w:val="24"/>
          <w:lang w:eastAsia="en-AU"/>
        </w:rPr>
        <w:t xml:space="preserve">applies </w:t>
      </w:r>
      <w:r w:rsidRPr="004F1E80">
        <w:rPr>
          <w:rFonts w:eastAsia="Times New Roman" w:cs="Times New Roman"/>
          <w:bCs/>
          <w:sz w:val="24"/>
          <w:szCs w:val="24"/>
          <w:lang w:eastAsia="en-AU"/>
        </w:rPr>
        <w:t>by way of Part 2 of Schedule 3 application.</w:t>
      </w:r>
    </w:p>
    <w:p w:rsidR="00A938DC" w:rsidRPr="004F1E80" w:rsidRDefault="00196B14"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[22] Dictionary</w:t>
      </w:r>
    </w:p>
    <w:p w:rsidR="009C34A3" w:rsidRPr="004F1E80" w:rsidRDefault="009C34A3"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The term </w:t>
      </w:r>
      <w:r w:rsidRPr="004F1E80">
        <w:rPr>
          <w:rFonts w:eastAsia="Times New Roman" w:cs="Times New Roman"/>
          <w:bCs/>
          <w:i/>
          <w:sz w:val="24"/>
          <w:szCs w:val="24"/>
          <w:lang w:eastAsia="en-AU"/>
        </w:rPr>
        <w:t>de facto partner</w:t>
      </w:r>
      <w:r w:rsidRPr="004F1E80">
        <w:rPr>
          <w:rFonts w:eastAsia="Times New Roman" w:cs="Times New Roman"/>
          <w:bCs/>
          <w:sz w:val="24"/>
          <w:szCs w:val="24"/>
          <w:lang w:eastAsia="en-AU"/>
        </w:rPr>
        <w:t xml:space="preserve"> </w:t>
      </w:r>
      <w:r w:rsidR="00EE7111" w:rsidRPr="004F1E80">
        <w:rPr>
          <w:rFonts w:eastAsia="Times New Roman" w:cs="Times New Roman"/>
          <w:bCs/>
          <w:sz w:val="24"/>
          <w:szCs w:val="24"/>
          <w:lang w:eastAsia="en-AU"/>
        </w:rPr>
        <w:t xml:space="preserve">has been added to the dictionary in view of item [9] amendment. The term has the meaning given by the </w:t>
      </w:r>
      <w:r w:rsidR="00EE7111" w:rsidRPr="004F1E80">
        <w:rPr>
          <w:rFonts w:eastAsia="Times New Roman" w:cs="Times New Roman"/>
          <w:bCs/>
          <w:i/>
          <w:sz w:val="24"/>
          <w:szCs w:val="24"/>
          <w:lang w:eastAsia="en-AU"/>
        </w:rPr>
        <w:t>Acts Interpretation Act 1901</w:t>
      </w:r>
      <w:r w:rsidR="00EE7111" w:rsidRPr="004F1E80">
        <w:rPr>
          <w:rFonts w:eastAsia="Times New Roman" w:cs="Times New Roman"/>
          <w:bCs/>
          <w:sz w:val="24"/>
          <w:szCs w:val="24"/>
          <w:lang w:eastAsia="en-AU"/>
        </w:rPr>
        <w:t>.</w:t>
      </w:r>
    </w:p>
    <w:p w:rsidR="00046A3D" w:rsidRPr="004F1E80" w:rsidRDefault="00046A3D" w:rsidP="00355CD1">
      <w:pPr>
        <w:jc w:val="both"/>
        <w:rPr>
          <w:rFonts w:eastAsia="Times New Roman" w:cs="Times New Roman"/>
          <w:bCs/>
          <w:sz w:val="24"/>
          <w:szCs w:val="24"/>
          <w:lang w:eastAsia="en-AU"/>
        </w:rPr>
      </w:pPr>
      <w:r w:rsidRPr="004F1E80">
        <w:rPr>
          <w:rFonts w:eastAsia="Times New Roman" w:cs="Times New Roman"/>
          <w:bCs/>
          <w:sz w:val="24"/>
          <w:szCs w:val="24"/>
          <w:lang w:eastAsia="en-AU"/>
        </w:rPr>
        <w:br w:type="page"/>
      </w:r>
    </w:p>
    <w:p w:rsidR="0069634F" w:rsidRPr="004F1E80" w:rsidRDefault="00196B14"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lastRenderedPageBreak/>
        <w:t>Part 2- Amendments commencing 12 January 2015</w:t>
      </w:r>
    </w:p>
    <w:p w:rsidR="0069634F" w:rsidRPr="004F1E80" w:rsidRDefault="00196B14"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[23] After subrule 2.04(1A)</w:t>
      </w:r>
    </w:p>
    <w:p w:rsidR="00463876" w:rsidRPr="004F1E80" w:rsidRDefault="00463876"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New subrule 2.04(1B) provides that a reference in the Rules to a notice of risk is a reference to the Form which is prescribed in Schedule 2.</w:t>
      </w:r>
    </w:p>
    <w:p w:rsidR="00BF30E7" w:rsidRPr="004F1E80" w:rsidRDefault="00196B14"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[24] At the end of rule 4.01</w:t>
      </w:r>
    </w:p>
    <w:p w:rsidR="0069634F" w:rsidRPr="004F1E80" w:rsidRDefault="00463876"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Cs/>
          <w:sz w:val="24"/>
          <w:szCs w:val="24"/>
          <w:lang w:eastAsia="en-AU"/>
        </w:rPr>
        <w:t>This amendment inserts a note at the end of the rule to refer to the requirement as set out in new rule 22A.02 for an application for a parenting order to be accompanied by a notice of risk.</w:t>
      </w:r>
    </w:p>
    <w:p w:rsidR="00463876" w:rsidRPr="004F1E80" w:rsidRDefault="00196B14"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
          <w:bCs/>
          <w:sz w:val="24"/>
          <w:szCs w:val="24"/>
          <w:lang w:eastAsia="en-AU"/>
        </w:rPr>
        <w:t>[25] At the end of rule 4.03</w:t>
      </w:r>
    </w:p>
    <w:p w:rsidR="0069634F" w:rsidRPr="004F1E80" w:rsidRDefault="00463876"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Cs/>
          <w:sz w:val="24"/>
          <w:szCs w:val="24"/>
          <w:lang w:eastAsia="en-AU"/>
        </w:rPr>
        <w:t>This amendment inserts a note at the end of the rule to refer to the requirement as set out in new rule 22A.02 for a response to an application for a parenting order, or a response seeking a parenting order, to be accompanied by a notice of risk.</w:t>
      </w:r>
    </w:p>
    <w:p w:rsidR="0069634F" w:rsidRPr="004F1E80" w:rsidRDefault="00196B14" w:rsidP="00355CD1">
      <w:pPr>
        <w:spacing w:before="100" w:beforeAutospacing="1" w:after="100" w:afterAutospacing="1" w:line="240" w:lineRule="auto"/>
        <w:jc w:val="both"/>
        <w:rPr>
          <w:rFonts w:eastAsia="Times New Roman" w:cs="Times New Roman"/>
          <w:b/>
          <w:bCs/>
          <w:sz w:val="24"/>
          <w:szCs w:val="24"/>
          <w:lang w:eastAsia="en-AU"/>
        </w:rPr>
      </w:pPr>
      <w:r w:rsidRPr="004F1E80">
        <w:rPr>
          <w:rFonts w:eastAsia="Times New Roman" w:cs="Times New Roman"/>
          <w:b/>
          <w:bCs/>
          <w:sz w:val="24"/>
          <w:szCs w:val="24"/>
          <w:lang w:eastAsia="en-AU"/>
        </w:rPr>
        <w:t>[26] After Part 22</w:t>
      </w:r>
    </w:p>
    <w:p w:rsidR="00463876" w:rsidRPr="004F1E80" w:rsidRDefault="00463876"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This new part includes two divisions:</w:t>
      </w:r>
    </w:p>
    <w:p w:rsidR="00463876" w:rsidRPr="004F1E80" w:rsidRDefault="00463876"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Division 1 – Notice of risk</w:t>
      </w:r>
    </w:p>
    <w:p w:rsidR="00BF30E7" w:rsidRPr="004F1E80" w:rsidRDefault="00463876"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Division 2 – Family violence orders</w:t>
      </w:r>
    </w:p>
    <w:p w:rsidR="00463876" w:rsidRPr="004F1E80" w:rsidRDefault="00B76577"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Division 1 includes rules requiring a person who files an application or response seeking parenting orders to file a </w:t>
      </w:r>
      <w:r w:rsidRPr="004F1E80">
        <w:rPr>
          <w:rFonts w:eastAsia="Times New Roman" w:cs="Times New Roman"/>
          <w:bCs/>
          <w:i/>
          <w:sz w:val="24"/>
          <w:szCs w:val="24"/>
          <w:lang w:eastAsia="en-AU"/>
        </w:rPr>
        <w:t>Notice of Risk</w:t>
      </w:r>
      <w:r w:rsidRPr="004F1E80">
        <w:rPr>
          <w:rFonts w:eastAsia="Times New Roman" w:cs="Times New Roman"/>
          <w:bCs/>
          <w:sz w:val="24"/>
          <w:szCs w:val="24"/>
          <w:lang w:eastAsia="en-AU"/>
        </w:rPr>
        <w:t xml:space="preserve">. This form is set out in Schedule 2. </w:t>
      </w:r>
      <w:r w:rsidR="00BF30E7" w:rsidRPr="004F1E80">
        <w:rPr>
          <w:rFonts w:eastAsia="Times New Roman" w:cs="Times New Roman"/>
          <w:bCs/>
          <w:sz w:val="24"/>
          <w:szCs w:val="24"/>
          <w:lang w:eastAsia="en-AU"/>
        </w:rPr>
        <w:t xml:space="preserve">These </w:t>
      </w:r>
      <w:r w:rsidR="00797F4C" w:rsidRPr="004F1E80">
        <w:rPr>
          <w:rFonts w:eastAsia="Times New Roman" w:cs="Times New Roman"/>
          <w:bCs/>
          <w:sz w:val="24"/>
          <w:szCs w:val="24"/>
          <w:lang w:eastAsia="en-AU"/>
        </w:rPr>
        <w:t xml:space="preserve">rules also provide that the </w:t>
      </w:r>
      <w:r w:rsidR="00797F4C" w:rsidRPr="004F1E80">
        <w:rPr>
          <w:rFonts w:eastAsia="Times New Roman" w:cs="Times New Roman"/>
          <w:bCs/>
          <w:i/>
          <w:sz w:val="24"/>
          <w:szCs w:val="24"/>
          <w:lang w:eastAsia="en-AU"/>
        </w:rPr>
        <w:t xml:space="preserve">Notice of Risk </w:t>
      </w:r>
      <w:r w:rsidRPr="004F1E80">
        <w:rPr>
          <w:rFonts w:eastAsia="Times New Roman" w:cs="Times New Roman"/>
          <w:bCs/>
          <w:sz w:val="24"/>
          <w:szCs w:val="24"/>
          <w:lang w:eastAsia="en-AU"/>
        </w:rPr>
        <w:t xml:space="preserve">is the prescribed form when allegations for the purposes of subsection 67Z(2) or 67ZBA(2) of the </w:t>
      </w:r>
      <w:r w:rsidRPr="004F1E80">
        <w:rPr>
          <w:rFonts w:eastAsia="Times New Roman" w:cs="Times New Roman"/>
          <w:bCs/>
          <w:i/>
          <w:sz w:val="24"/>
          <w:szCs w:val="24"/>
          <w:lang w:eastAsia="en-AU"/>
        </w:rPr>
        <w:t>Family Law Act 1975</w:t>
      </w:r>
      <w:r w:rsidRPr="004F1E80">
        <w:rPr>
          <w:rFonts w:eastAsia="Times New Roman" w:cs="Times New Roman"/>
          <w:bCs/>
          <w:sz w:val="24"/>
          <w:szCs w:val="24"/>
          <w:lang w:eastAsia="en-AU"/>
        </w:rPr>
        <w:t xml:space="preserve">. The form is also intended to </w:t>
      </w:r>
      <w:r w:rsidR="00797F4C" w:rsidRPr="004F1E80">
        <w:rPr>
          <w:rFonts w:eastAsia="Times New Roman" w:cs="Times New Roman"/>
          <w:bCs/>
          <w:sz w:val="24"/>
          <w:szCs w:val="24"/>
          <w:lang w:eastAsia="en-AU"/>
        </w:rPr>
        <w:t xml:space="preserve">be the method by which the Court </w:t>
      </w:r>
      <w:r w:rsidRPr="004F1E80">
        <w:rPr>
          <w:rFonts w:eastAsia="Times New Roman" w:cs="Times New Roman"/>
          <w:bCs/>
          <w:sz w:val="24"/>
          <w:szCs w:val="24"/>
          <w:lang w:eastAsia="en-AU"/>
        </w:rPr>
        <w:t>fulfil</w:t>
      </w:r>
      <w:r w:rsidR="00797F4C" w:rsidRPr="004F1E80">
        <w:rPr>
          <w:rFonts w:eastAsia="Times New Roman" w:cs="Times New Roman"/>
          <w:bCs/>
          <w:sz w:val="24"/>
          <w:szCs w:val="24"/>
          <w:lang w:eastAsia="en-AU"/>
        </w:rPr>
        <w:t>s</w:t>
      </w:r>
      <w:r w:rsidRPr="004F1E80">
        <w:rPr>
          <w:rFonts w:eastAsia="Times New Roman" w:cs="Times New Roman"/>
          <w:bCs/>
          <w:sz w:val="24"/>
          <w:szCs w:val="24"/>
          <w:lang w:eastAsia="en-AU"/>
        </w:rPr>
        <w:t xml:space="preserve"> </w:t>
      </w:r>
      <w:r w:rsidR="00797F4C" w:rsidRPr="004F1E80">
        <w:rPr>
          <w:rFonts w:eastAsia="Times New Roman" w:cs="Times New Roman"/>
          <w:bCs/>
          <w:sz w:val="24"/>
          <w:szCs w:val="24"/>
          <w:lang w:eastAsia="en-AU"/>
        </w:rPr>
        <w:t xml:space="preserve">its </w:t>
      </w:r>
      <w:r w:rsidRPr="004F1E80">
        <w:rPr>
          <w:rFonts w:eastAsia="Times New Roman" w:cs="Times New Roman"/>
          <w:bCs/>
          <w:sz w:val="24"/>
          <w:szCs w:val="24"/>
          <w:lang w:eastAsia="en-AU"/>
        </w:rPr>
        <w:t>obligation under paragraph 69</w:t>
      </w:r>
      <w:r w:rsidR="00797F4C" w:rsidRPr="004F1E80">
        <w:rPr>
          <w:rFonts w:eastAsia="Times New Roman" w:cs="Times New Roman"/>
          <w:bCs/>
          <w:sz w:val="24"/>
          <w:szCs w:val="24"/>
          <w:lang w:eastAsia="en-AU"/>
        </w:rPr>
        <w:t>ZQ(1)(aa) of the Family Law Act and as a general risk identification notice to aid the early intervention case management pathway of the Court in parenting maters where risks are alleged.</w:t>
      </w:r>
    </w:p>
    <w:p w:rsidR="00797F4C" w:rsidRPr="004F1E80" w:rsidRDefault="00797F4C"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As set out in Note 2 to new rule 22A.02 there are additional obligations in rule 13.04A when an application is made to the Court for a parenting order by consent.</w:t>
      </w:r>
    </w:p>
    <w:p w:rsidR="00797F4C" w:rsidRPr="004F1E80" w:rsidRDefault="00797F4C"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Division 2 </w:t>
      </w:r>
      <w:r w:rsidR="00584F4A" w:rsidRPr="004F1E80">
        <w:rPr>
          <w:rFonts w:eastAsia="Times New Roman" w:cs="Times New Roman"/>
          <w:bCs/>
          <w:sz w:val="24"/>
          <w:szCs w:val="24"/>
          <w:lang w:eastAsia="en-AU"/>
        </w:rPr>
        <w:t>pertaining to</w:t>
      </w:r>
      <w:r w:rsidR="006A6FB9" w:rsidRPr="004F1E80">
        <w:rPr>
          <w:rFonts w:eastAsia="Times New Roman" w:cs="Times New Roman"/>
          <w:bCs/>
          <w:sz w:val="24"/>
          <w:szCs w:val="24"/>
          <w:lang w:eastAsia="en-AU"/>
        </w:rPr>
        <w:t xml:space="preserve"> </w:t>
      </w:r>
      <w:r w:rsidR="00584F4A" w:rsidRPr="004F1E80">
        <w:rPr>
          <w:rFonts w:eastAsia="Times New Roman" w:cs="Times New Roman"/>
          <w:bCs/>
          <w:sz w:val="24"/>
          <w:szCs w:val="24"/>
          <w:lang w:eastAsia="en-AU"/>
        </w:rPr>
        <w:t>f</w:t>
      </w:r>
      <w:r w:rsidR="006A6FB9" w:rsidRPr="004F1E80">
        <w:rPr>
          <w:rFonts w:eastAsia="Times New Roman" w:cs="Times New Roman"/>
          <w:bCs/>
          <w:sz w:val="24"/>
          <w:szCs w:val="24"/>
          <w:lang w:eastAsia="en-AU"/>
        </w:rPr>
        <w:t xml:space="preserve">amily violence orders, is similar to Rule 2.05 of the </w:t>
      </w:r>
      <w:r w:rsidR="006A6FB9" w:rsidRPr="004F1E80">
        <w:rPr>
          <w:rFonts w:eastAsia="Times New Roman" w:cs="Times New Roman"/>
          <w:bCs/>
          <w:i/>
          <w:sz w:val="24"/>
          <w:szCs w:val="24"/>
          <w:lang w:eastAsia="en-AU"/>
        </w:rPr>
        <w:t>Family Law Rules 2004</w:t>
      </w:r>
      <w:r w:rsidR="006A6FB9" w:rsidRPr="004F1E80">
        <w:rPr>
          <w:rFonts w:eastAsia="Times New Roman" w:cs="Times New Roman"/>
          <w:bCs/>
          <w:sz w:val="24"/>
          <w:szCs w:val="24"/>
          <w:lang w:eastAsia="en-AU"/>
        </w:rPr>
        <w:t xml:space="preserve"> which was previously applied by way of Schedule 3 Part 1 but now relocated in new Part 22.</w:t>
      </w:r>
    </w:p>
    <w:p w:rsidR="0069634F" w:rsidRPr="004F1E80" w:rsidRDefault="006268F5" w:rsidP="00355CD1">
      <w:pPr>
        <w:keepNext/>
        <w:keepLines/>
        <w:spacing w:before="100" w:beforeAutospacing="1" w:after="100" w:afterAutospacing="1" w:line="240" w:lineRule="auto"/>
        <w:jc w:val="both"/>
        <w:rPr>
          <w:rFonts w:eastAsia="Times New Roman" w:cs="Times New Roman"/>
          <w:b/>
          <w:bCs/>
          <w:sz w:val="24"/>
          <w:szCs w:val="24"/>
          <w:lang w:eastAsia="en-AU"/>
        </w:rPr>
      </w:pPr>
      <w:r>
        <w:rPr>
          <w:rFonts w:eastAsia="Times New Roman" w:cs="Times New Roman"/>
          <w:b/>
          <w:bCs/>
          <w:sz w:val="24"/>
          <w:szCs w:val="24"/>
          <w:lang w:eastAsia="en-AU"/>
        </w:rPr>
        <w:t>[27</w:t>
      </w:r>
      <w:r w:rsidR="00196B14" w:rsidRPr="004F1E80">
        <w:rPr>
          <w:rFonts w:eastAsia="Times New Roman" w:cs="Times New Roman"/>
          <w:b/>
          <w:bCs/>
          <w:sz w:val="24"/>
          <w:szCs w:val="24"/>
          <w:lang w:eastAsia="en-AU"/>
        </w:rPr>
        <w:t>] Part 1 of Schedule 3 (table item 3)</w:t>
      </w:r>
    </w:p>
    <w:p w:rsidR="006A6FB9" w:rsidRPr="004F1E80" w:rsidRDefault="006A6FB9"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This amendment removes Part 2.3 of the Family Law Rules from Schedule 3 Part 1 in light of new Part 22.</w:t>
      </w:r>
    </w:p>
    <w:p w:rsidR="00A938DC" w:rsidRPr="004F1E80" w:rsidRDefault="006268F5" w:rsidP="00355CD1">
      <w:pPr>
        <w:spacing w:before="100" w:beforeAutospacing="1" w:after="100" w:afterAutospacing="1" w:line="240" w:lineRule="auto"/>
        <w:jc w:val="both"/>
        <w:rPr>
          <w:rFonts w:eastAsia="Times New Roman" w:cs="Times New Roman"/>
          <w:b/>
          <w:bCs/>
          <w:sz w:val="24"/>
          <w:szCs w:val="24"/>
          <w:lang w:eastAsia="en-AU"/>
        </w:rPr>
      </w:pPr>
      <w:r>
        <w:rPr>
          <w:rFonts w:eastAsia="Times New Roman" w:cs="Times New Roman"/>
          <w:b/>
          <w:bCs/>
          <w:sz w:val="24"/>
          <w:szCs w:val="24"/>
          <w:lang w:eastAsia="en-AU"/>
        </w:rPr>
        <w:t>[28</w:t>
      </w:r>
      <w:r w:rsidR="00196B14" w:rsidRPr="004F1E80">
        <w:rPr>
          <w:rFonts w:eastAsia="Times New Roman" w:cs="Times New Roman"/>
          <w:b/>
          <w:bCs/>
          <w:sz w:val="24"/>
          <w:szCs w:val="24"/>
          <w:lang w:eastAsia="en-AU"/>
        </w:rPr>
        <w:t>] Dictionary</w:t>
      </w:r>
    </w:p>
    <w:p w:rsidR="006A6FB9" w:rsidRPr="004F1E80" w:rsidRDefault="006A6FB9" w:rsidP="00355CD1">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lastRenderedPageBreak/>
        <w:t xml:space="preserve">A definition of </w:t>
      </w:r>
      <w:r w:rsidRPr="004F1E80">
        <w:rPr>
          <w:rFonts w:eastAsia="Times New Roman" w:cs="Times New Roman"/>
          <w:bCs/>
          <w:i/>
          <w:sz w:val="24"/>
          <w:szCs w:val="24"/>
          <w:lang w:eastAsia="en-AU"/>
        </w:rPr>
        <w:t>family violence order</w:t>
      </w:r>
      <w:r w:rsidRPr="004F1E80">
        <w:rPr>
          <w:rFonts w:eastAsia="Times New Roman" w:cs="Times New Roman"/>
          <w:bCs/>
          <w:sz w:val="24"/>
          <w:szCs w:val="24"/>
          <w:lang w:eastAsia="en-AU"/>
        </w:rPr>
        <w:t xml:space="preserve"> has been included in the dictio</w:t>
      </w:r>
      <w:r w:rsidR="00203693" w:rsidRPr="004F1E80">
        <w:rPr>
          <w:rFonts w:eastAsia="Times New Roman" w:cs="Times New Roman"/>
          <w:bCs/>
          <w:sz w:val="24"/>
          <w:szCs w:val="24"/>
          <w:lang w:eastAsia="en-AU"/>
        </w:rPr>
        <w:t>nary to clarify that this term has the same meaning as in the Family Law Act.</w:t>
      </w:r>
    </w:p>
    <w:p w:rsidR="006268F5" w:rsidRPr="004F1E80" w:rsidRDefault="006268F5" w:rsidP="006268F5">
      <w:pPr>
        <w:spacing w:before="100" w:beforeAutospacing="1" w:after="100" w:afterAutospacing="1" w:line="240" w:lineRule="auto"/>
        <w:jc w:val="both"/>
        <w:rPr>
          <w:rFonts w:eastAsia="Times New Roman" w:cs="Times New Roman"/>
          <w:b/>
          <w:bCs/>
          <w:sz w:val="24"/>
          <w:szCs w:val="24"/>
          <w:lang w:eastAsia="en-AU"/>
        </w:rPr>
      </w:pPr>
      <w:r>
        <w:rPr>
          <w:rFonts w:eastAsia="Times New Roman" w:cs="Times New Roman"/>
          <w:b/>
          <w:bCs/>
          <w:sz w:val="24"/>
          <w:szCs w:val="24"/>
          <w:lang w:eastAsia="en-AU"/>
        </w:rPr>
        <w:t>[29</w:t>
      </w:r>
      <w:r w:rsidRPr="004F1E80">
        <w:rPr>
          <w:rFonts w:eastAsia="Times New Roman" w:cs="Times New Roman"/>
          <w:b/>
          <w:bCs/>
          <w:sz w:val="24"/>
          <w:szCs w:val="24"/>
          <w:lang w:eastAsia="en-AU"/>
        </w:rPr>
        <w:t>] After Schedule 1</w:t>
      </w:r>
    </w:p>
    <w:p w:rsidR="006268F5" w:rsidRPr="004F1E80" w:rsidRDefault="006268F5" w:rsidP="006268F5">
      <w:pPr>
        <w:spacing w:before="100" w:beforeAutospacing="1" w:after="100" w:afterAutospacing="1" w:line="240" w:lineRule="auto"/>
        <w:jc w:val="both"/>
        <w:rPr>
          <w:rFonts w:eastAsia="Times New Roman" w:cs="Times New Roman"/>
          <w:bCs/>
          <w:sz w:val="24"/>
          <w:szCs w:val="24"/>
          <w:lang w:eastAsia="en-AU"/>
        </w:rPr>
      </w:pPr>
      <w:r w:rsidRPr="004F1E80">
        <w:rPr>
          <w:rFonts w:eastAsia="Times New Roman" w:cs="Times New Roman"/>
          <w:bCs/>
          <w:sz w:val="24"/>
          <w:szCs w:val="24"/>
          <w:lang w:eastAsia="en-AU"/>
        </w:rPr>
        <w:t xml:space="preserve">This amendment includes a new Schedule 2- Form 1 which sets out the prescribed form of </w:t>
      </w:r>
      <w:r w:rsidRPr="004F1E80">
        <w:rPr>
          <w:rFonts w:eastAsia="Times New Roman" w:cs="Times New Roman"/>
          <w:bCs/>
          <w:i/>
          <w:sz w:val="24"/>
          <w:szCs w:val="24"/>
          <w:lang w:eastAsia="en-AU"/>
        </w:rPr>
        <w:t>Notice of Risk</w:t>
      </w:r>
      <w:r w:rsidRPr="004F1E80">
        <w:rPr>
          <w:rFonts w:eastAsia="Times New Roman" w:cs="Times New Roman"/>
          <w:bCs/>
          <w:sz w:val="24"/>
          <w:szCs w:val="24"/>
          <w:lang w:eastAsia="en-AU"/>
        </w:rPr>
        <w:t>.</w:t>
      </w:r>
    </w:p>
    <w:p w:rsidR="00A938DC" w:rsidRPr="004F1E80" w:rsidRDefault="00A938DC" w:rsidP="00355CD1">
      <w:pPr>
        <w:spacing w:before="100" w:beforeAutospacing="1" w:after="100" w:afterAutospacing="1" w:line="240" w:lineRule="auto"/>
        <w:jc w:val="both"/>
        <w:rPr>
          <w:rFonts w:eastAsia="Times New Roman" w:cs="Times New Roman"/>
          <w:sz w:val="24"/>
          <w:szCs w:val="24"/>
          <w:lang w:eastAsia="en-AU"/>
        </w:rPr>
      </w:pPr>
    </w:p>
    <w:sectPr w:rsidR="00A938DC" w:rsidRPr="004F1E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FB" w:rsidRDefault="00FD2CFB" w:rsidP="00FD2CFB">
      <w:pPr>
        <w:spacing w:after="0" w:line="240" w:lineRule="auto"/>
      </w:pPr>
      <w:r>
        <w:separator/>
      </w:r>
    </w:p>
  </w:endnote>
  <w:endnote w:type="continuationSeparator" w:id="0">
    <w:p w:rsidR="00FD2CFB" w:rsidRDefault="00FD2CFB" w:rsidP="00FD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82546"/>
      <w:docPartObj>
        <w:docPartGallery w:val="Page Numbers (Bottom of Page)"/>
        <w:docPartUnique/>
      </w:docPartObj>
    </w:sdtPr>
    <w:sdtEndPr>
      <w:rPr>
        <w:noProof/>
      </w:rPr>
    </w:sdtEndPr>
    <w:sdtContent>
      <w:p w:rsidR="00FD2CFB" w:rsidRDefault="00FD2CFB">
        <w:pPr>
          <w:pStyle w:val="Footer"/>
        </w:pPr>
        <w:r>
          <w:fldChar w:fldCharType="begin"/>
        </w:r>
        <w:r>
          <w:instrText xml:space="preserve"> PAGE   \* MERGEFORMAT </w:instrText>
        </w:r>
        <w:r>
          <w:fldChar w:fldCharType="separate"/>
        </w:r>
        <w:r w:rsidR="00DC4CEF">
          <w:rPr>
            <w:noProof/>
          </w:rPr>
          <w:t>1</w:t>
        </w:r>
        <w:r>
          <w:rPr>
            <w:noProof/>
          </w:rPr>
          <w:fldChar w:fldCharType="end"/>
        </w:r>
      </w:p>
    </w:sdtContent>
  </w:sdt>
  <w:p w:rsidR="00FD2CFB" w:rsidRDefault="00FD2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FB" w:rsidRDefault="00FD2CFB" w:rsidP="00FD2CFB">
      <w:pPr>
        <w:spacing w:after="0" w:line="240" w:lineRule="auto"/>
      </w:pPr>
      <w:r>
        <w:separator/>
      </w:r>
    </w:p>
  </w:footnote>
  <w:footnote w:type="continuationSeparator" w:id="0">
    <w:p w:rsidR="00FD2CFB" w:rsidRDefault="00FD2CFB" w:rsidP="00FD2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4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194F05"/>
    <w:multiLevelType w:val="multilevel"/>
    <w:tmpl w:val="900C860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B12D6"/>
    <w:multiLevelType w:val="hybridMultilevel"/>
    <w:tmpl w:val="C022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8D5755"/>
    <w:multiLevelType w:val="hybridMultilevel"/>
    <w:tmpl w:val="5472FEF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2BF93A93"/>
    <w:multiLevelType w:val="hybridMultilevel"/>
    <w:tmpl w:val="8B42D3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2031E54"/>
    <w:multiLevelType w:val="hybridMultilevel"/>
    <w:tmpl w:val="9DE2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4C568F"/>
    <w:multiLevelType w:val="hybridMultilevel"/>
    <w:tmpl w:val="DEEC8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B6D09FF"/>
    <w:multiLevelType w:val="hybridMultilevel"/>
    <w:tmpl w:val="4E80EE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6F571F72"/>
    <w:multiLevelType w:val="hybridMultilevel"/>
    <w:tmpl w:val="88A0F1A4"/>
    <w:lvl w:ilvl="0" w:tplc="4FBC425E">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8"/>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3E"/>
    <w:rsid w:val="00007A7D"/>
    <w:rsid w:val="00046A3D"/>
    <w:rsid w:val="0006156A"/>
    <w:rsid w:val="00074421"/>
    <w:rsid w:val="00095C73"/>
    <w:rsid w:val="000C13D6"/>
    <w:rsid w:val="000E04F7"/>
    <w:rsid w:val="000F71F1"/>
    <w:rsid w:val="00172DC9"/>
    <w:rsid w:val="001730EA"/>
    <w:rsid w:val="001764BF"/>
    <w:rsid w:val="00196B14"/>
    <w:rsid w:val="001D3413"/>
    <w:rsid w:val="001E1030"/>
    <w:rsid w:val="001E758C"/>
    <w:rsid w:val="00203693"/>
    <w:rsid w:val="00241149"/>
    <w:rsid w:val="002A0524"/>
    <w:rsid w:val="002A10C2"/>
    <w:rsid w:val="002D265A"/>
    <w:rsid w:val="003144E7"/>
    <w:rsid w:val="00355CD1"/>
    <w:rsid w:val="00375CED"/>
    <w:rsid w:val="003D629D"/>
    <w:rsid w:val="003F670F"/>
    <w:rsid w:val="00463876"/>
    <w:rsid w:val="004844F8"/>
    <w:rsid w:val="004D3F63"/>
    <w:rsid w:val="004F1E80"/>
    <w:rsid w:val="00503B85"/>
    <w:rsid w:val="00527037"/>
    <w:rsid w:val="00584F4A"/>
    <w:rsid w:val="00596B38"/>
    <w:rsid w:val="006268F5"/>
    <w:rsid w:val="00685C3F"/>
    <w:rsid w:val="00690182"/>
    <w:rsid w:val="0069634F"/>
    <w:rsid w:val="006A3AFF"/>
    <w:rsid w:val="006A6FB9"/>
    <w:rsid w:val="006B2150"/>
    <w:rsid w:val="006F3D7C"/>
    <w:rsid w:val="007436AE"/>
    <w:rsid w:val="00774824"/>
    <w:rsid w:val="00797F4C"/>
    <w:rsid w:val="007E233E"/>
    <w:rsid w:val="007F2A6F"/>
    <w:rsid w:val="0083021A"/>
    <w:rsid w:val="00843536"/>
    <w:rsid w:val="008D7484"/>
    <w:rsid w:val="00911C32"/>
    <w:rsid w:val="00913D5F"/>
    <w:rsid w:val="00960D0D"/>
    <w:rsid w:val="009859A0"/>
    <w:rsid w:val="009C34A3"/>
    <w:rsid w:val="009F4476"/>
    <w:rsid w:val="00A51E34"/>
    <w:rsid w:val="00A938DC"/>
    <w:rsid w:val="00AC007B"/>
    <w:rsid w:val="00AE3761"/>
    <w:rsid w:val="00AF5D34"/>
    <w:rsid w:val="00B275E4"/>
    <w:rsid w:val="00B665CD"/>
    <w:rsid w:val="00B76577"/>
    <w:rsid w:val="00BF2597"/>
    <w:rsid w:val="00BF30E7"/>
    <w:rsid w:val="00C0370F"/>
    <w:rsid w:val="00C430AC"/>
    <w:rsid w:val="00C84070"/>
    <w:rsid w:val="00CB5D8F"/>
    <w:rsid w:val="00CE1917"/>
    <w:rsid w:val="00D077FC"/>
    <w:rsid w:val="00DC4CEF"/>
    <w:rsid w:val="00DD16BD"/>
    <w:rsid w:val="00E37742"/>
    <w:rsid w:val="00E5625A"/>
    <w:rsid w:val="00EE7111"/>
    <w:rsid w:val="00F17B3A"/>
    <w:rsid w:val="00F21306"/>
    <w:rsid w:val="00F755D5"/>
    <w:rsid w:val="00F830B2"/>
    <w:rsid w:val="00FC2616"/>
    <w:rsid w:val="00FD2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6F"/>
    <w:pPr>
      <w:ind w:left="720"/>
      <w:contextualSpacing/>
    </w:pPr>
  </w:style>
  <w:style w:type="paragraph" w:styleId="BalloonText">
    <w:name w:val="Balloon Text"/>
    <w:basedOn w:val="Normal"/>
    <w:link w:val="BalloonTextChar"/>
    <w:uiPriority w:val="99"/>
    <w:semiHidden/>
    <w:unhideWhenUsed/>
    <w:rsid w:val="00172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C9"/>
    <w:rPr>
      <w:rFonts w:ascii="Tahoma" w:hAnsi="Tahoma" w:cs="Tahoma"/>
      <w:sz w:val="16"/>
      <w:szCs w:val="16"/>
    </w:rPr>
  </w:style>
  <w:style w:type="character" w:styleId="CommentReference">
    <w:name w:val="annotation reference"/>
    <w:basedOn w:val="DefaultParagraphFont"/>
    <w:uiPriority w:val="99"/>
    <w:semiHidden/>
    <w:unhideWhenUsed/>
    <w:rsid w:val="00B665CD"/>
    <w:rPr>
      <w:sz w:val="16"/>
      <w:szCs w:val="16"/>
    </w:rPr>
  </w:style>
  <w:style w:type="paragraph" w:styleId="CommentText">
    <w:name w:val="annotation text"/>
    <w:basedOn w:val="Normal"/>
    <w:link w:val="CommentTextChar"/>
    <w:uiPriority w:val="99"/>
    <w:semiHidden/>
    <w:unhideWhenUsed/>
    <w:rsid w:val="00B665CD"/>
    <w:pPr>
      <w:spacing w:line="240" w:lineRule="auto"/>
    </w:pPr>
    <w:rPr>
      <w:sz w:val="20"/>
      <w:szCs w:val="20"/>
    </w:rPr>
  </w:style>
  <w:style w:type="character" w:customStyle="1" w:styleId="CommentTextChar">
    <w:name w:val="Comment Text Char"/>
    <w:basedOn w:val="DefaultParagraphFont"/>
    <w:link w:val="CommentText"/>
    <w:uiPriority w:val="99"/>
    <w:semiHidden/>
    <w:rsid w:val="00B665CD"/>
    <w:rPr>
      <w:sz w:val="20"/>
      <w:szCs w:val="20"/>
    </w:rPr>
  </w:style>
  <w:style w:type="paragraph" w:styleId="CommentSubject">
    <w:name w:val="annotation subject"/>
    <w:basedOn w:val="CommentText"/>
    <w:next w:val="CommentText"/>
    <w:link w:val="CommentSubjectChar"/>
    <w:uiPriority w:val="99"/>
    <w:semiHidden/>
    <w:unhideWhenUsed/>
    <w:rsid w:val="00B665CD"/>
    <w:rPr>
      <w:b/>
      <w:bCs/>
    </w:rPr>
  </w:style>
  <w:style w:type="character" w:customStyle="1" w:styleId="CommentSubjectChar">
    <w:name w:val="Comment Subject Char"/>
    <w:basedOn w:val="CommentTextChar"/>
    <w:link w:val="CommentSubject"/>
    <w:uiPriority w:val="99"/>
    <w:semiHidden/>
    <w:rsid w:val="00B665CD"/>
    <w:rPr>
      <w:b/>
      <w:bCs/>
      <w:sz w:val="20"/>
      <w:szCs w:val="20"/>
    </w:rPr>
  </w:style>
  <w:style w:type="paragraph" w:styleId="Revision">
    <w:name w:val="Revision"/>
    <w:hidden/>
    <w:uiPriority w:val="99"/>
    <w:semiHidden/>
    <w:rsid w:val="00046A3D"/>
    <w:pPr>
      <w:spacing w:after="0" w:line="240" w:lineRule="auto"/>
    </w:pPr>
  </w:style>
  <w:style w:type="paragraph" w:styleId="Header">
    <w:name w:val="header"/>
    <w:basedOn w:val="Normal"/>
    <w:link w:val="HeaderChar"/>
    <w:uiPriority w:val="99"/>
    <w:unhideWhenUsed/>
    <w:rsid w:val="00FD2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CFB"/>
  </w:style>
  <w:style w:type="paragraph" w:styleId="Footer">
    <w:name w:val="footer"/>
    <w:basedOn w:val="Normal"/>
    <w:link w:val="FooterChar"/>
    <w:uiPriority w:val="99"/>
    <w:unhideWhenUsed/>
    <w:rsid w:val="00FD2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6F"/>
    <w:pPr>
      <w:ind w:left="720"/>
      <w:contextualSpacing/>
    </w:pPr>
  </w:style>
  <w:style w:type="paragraph" w:styleId="BalloonText">
    <w:name w:val="Balloon Text"/>
    <w:basedOn w:val="Normal"/>
    <w:link w:val="BalloonTextChar"/>
    <w:uiPriority w:val="99"/>
    <w:semiHidden/>
    <w:unhideWhenUsed/>
    <w:rsid w:val="00172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C9"/>
    <w:rPr>
      <w:rFonts w:ascii="Tahoma" w:hAnsi="Tahoma" w:cs="Tahoma"/>
      <w:sz w:val="16"/>
      <w:szCs w:val="16"/>
    </w:rPr>
  </w:style>
  <w:style w:type="character" w:styleId="CommentReference">
    <w:name w:val="annotation reference"/>
    <w:basedOn w:val="DefaultParagraphFont"/>
    <w:uiPriority w:val="99"/>
    <w:semiHidden/>
    <w:unhideWhenUsed/>
    <w:rsid w:val="00B665CD"/>
    <w:rPr>
      <w:sz w:val="16"/>
      <w:szCs w:val="16"/>
    </w:rPr>
  </w:style>
  <w:style w:type="paragraph" w:styleId="CommentText">
    <w:name w:val="annotation text"/>
    <w:basedOn w:val="Normal"/>
    <w:link w:val="CommentTextChar"/>
    <w:uiPriority w:val="99"/>
    <w:semiHidden/>
    <w:unhideWhenUsed/>
    <w:rsid w:val="00B665CD"/>
    <w:pPr>
      <w:spacing w:line="240" w:lineRule="auto"/>
    </w:pPr>
    <w:rPr>
      <w:sz w:val="20"/>
      <w:szCs w:val="20"/>
    </w:rPr>
  </w:style>
  <w:style w:type="character" w:customStyle="1" w:styleId="CommentTextChar">
    <w:name w:val="Comment Text Char"/>
    <w:basedOn w:val="DefaultParagraphFont"/>
    <w:link w:val="CommentText"/>
    <w:uiPriority w:val="99"/>
    <w:semiHidden/>
    <w:rsid w:val="00B665CD"/>
    <w:rPr>
      <w:sz w:val="20"/>
      <w:szCs w:val="20"/>
    </w:rPr>
  </w:style>
  <w:style w:type="paragraph" w:styleId="CommentSubject">
    <w:name w:val="annotation subject"/>
    <w:basedOn w:val="CommentText"/>
    <w:next w:val="CommentText"/>
    <w:link w:val="CommentSubjectChar"/>
    <w:uiPriority w:val="99"/>
    <w:semiHidden/>
    <w:unhideWhenUsed/>
    <w:rsid w:val="00B665CD"/>
    <w:rPr>
      <w:b/>
      <w:bCs/>
    </w:rPr>
  </w:style>
  <w:style w:type="character" w:customStyle="1" w:styleId="CommentSubjectChar">
    <w:name w:val="Comment Subject Char"/>
    <w:basedOn w:val="CommentTextChar"/>
    <w:link w:val="CommentSubject"/>
    <w:uiPriority w:val="99"/>
    <w:semiHidden/>
    <w:rsid w:val="00B665CD"/>
    <w:rPr>
      <w:b/>
      <w:bCs/>
      <w:sz w:val="20"/>
      <w:szCs w:val="20"/>
    </w:rPr>
  </w:style>
  <w:style w:type="paragraph" w:styleId="Revision">
    <w:name w:val="Revision"/>
    <w:hidden/>
    <w:uiPriority w:val="99"/>
    <w:semiHidden/>
    <w:rsid w:val="00046A3D"/>
    <w:pPr>
      <w:spacing w:after="0" w:line="240" w:lineRule="auto"/>
    </w:pPr>
  </w:style>
  <w:style w:type="paragraph" w:styleId="Header">
    <w:name w:val="header"/>
    <w:basedOn w:val="Normal"/>
    <w:link w:val="HeaderChar"/>
    <w:uiPriority w:val="99"/>
    <w:unhideWhenUsed/>
    <w:rsid w:val="00FD2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CFB"/>
  </w:style>
  <w:style w:type="paragraph" w:styleId="Footer">
    <w:name w:val="footer"/>
    <w:basedOn w:val="Normal"/>
    <w:link w:val="FooterChar"/>
    <w:uiPriority w:val="99"/>
    <w:unhideWhenUsed/>
    <w:rsid w:val="00FD2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3785">
      <w:bodyDiv w:val="1"/>
      <w:marLeft w:val="0"/>
      <w:marRight w:val="0"/>
      <w:marTop w:val="0"/>
      <w:marBottom w:val="0"/>
      <w:divBdr>
        <w:top w:val="none" w:sz="0" w:space="0" w:color="auto"/>
        <w:left w:val="none" w:sz="0" w:space="0" w:color="auto"/>
        <w:bottom w:val="none" w:sz="0" w:space="0" w:color="auto"/>
        <w:right w:val="none" w:sz="0" w:space="0" w:color="auto"/>
      </w:divBdr>
      <w:divsChild>
        <w:div w:id="1324436122">
          <w:marLeft w:val="0"/>
          <w:marRight w:val="0"/>
          <w:marTop w:val="0"/>
          <w:marBottom w:val="0"/>
          <w:divBdr>
            <w:top w:val="none" w:sz="0" w:space="0" w:color="auto"/>
            <w:left w:val="none" w:sz="0" w:space="0" w:color="auto"/>
            <w:bottom w:val="none" w:sz="0" w:space="0" w:color="auto"/>
            <w:right w:val="none" w:sz="0" w:space="0" w:color="auto"/>
          </w:divBdr>
          <w:divsChild>
            <w:div w:id="686174954">
              <w:marLeft w:val="0"/>
              <w:marRight w:val="0"/>
              <w:marTop w:val="0"/>
              <w:marBottom w:val="0"/>
              <w:divBdr>
                <w:top w:val="none" w:sz="0" w:space="0" w:color="auto"/>
                <w:left w:val="none" w:sz="0" w:space="0" w:color="auto"/>
                <w:bottom w:val="none" w:sz="0" w:space="0" w:color="auto"/>
                <w:right w:val="none" w:sz="0" w:space="0" w:color="auto"/>
              </w:divBdr>
              <w:divsChild>
                <w:div w:id="850099173">
                  <w:marLeft w:val="0"/>
                  <w:marRight w:val="0"/>
                  <w:marTop w:val="0"/>
                  <w:marBottom w:val="0"/>
                  <w:divBdr>
                    <w:top w:val="none" w:sz="0" w:space="0" w:color="auto"/>
                    <w:left w:val="none" w:sz="0" w:space="0" w:color="auto"/>
                    <w:bottom w:val="none" w:sz="0" w:space="0" w:color="auto"/>
                    <w:right w:val="none" w:sz="0" w:space="0" w:color="auto"/>
                  </w:divBdr>
                  <w:divsChild>
                    <w:div w:id="687291588">
                      <w:marLeft w:val="0"/>
                      <w:marRight w:val="0"/>
                      <w:marTop w:val="0"/>
                      <w:marBottom w:val="0"/>
                      <w:divBdr>
                        <w:top w:val="none" w:sz="0" w:space="0" w:color="auto"/>
                        <w:left w:val="none" w:sz="0" w:space="0" w:color="auto"/>
                        <w:bottom w:val="none" w:sz="0" w:space="0" w:color="auto"/>
                        <w:right w:val="none" w:sz="0" w:space="0" w:color="auto"/>
                      </w:divBdr>
                      <w:divsChild>
                        <w:div w:id="439448905">
                          <w:marLeft w:val="0"/>
                          <w:marRight w:val="0"/>
                          <w:marTop w:val="0"/>
                          <w:marBottom w:val="0"/>
                          <w:divBdr>
                            <w:top w:val="single" w:sz="6" w:space="0" w:color="828282"/>
                            <w:left w:val="single" w:sz="6" w:space="0" w:color="828282"/>
                            <w:bottom w:val="single" w:sz="6" w:space="0" w:color="828282"/>
                            <w:right w:val="single" w:sz="6" w:space="0" w:color="828282"/>
                          </w:divBdr>
                          <w:divsChild>
                            <w:div w:id="706413746">
                              <w:marLeft w:val="0"/>
                              <w:marRight w:val="0"/>
                              <w:marTop w:val="0"/>
                              <w:marBottom w:val="0"/>
                              <w:divBdr>
                                <w:top w:val="none" w:sz="0" w:space="0" w:color="auto"/>
                                <w:left w:val="none" w:sz="0" w:space="0" w:color="auto"/>
                                <w:bottom w:val="none" w:sz="0" w:space="0" w:color="auto"/>
                                <w:right w:val="none" w:sz="0" w:space="0" w:color="auto"/>
                              </w:divBdr>
                              <w:divsChild>
                                <w:div w:id="778376191">
                                  <w:marLeft w:val="0"/>
                                  <w:marRight w:val="0"/>
                                  <w:marTop w:val="0"/>
                                  <w:marBottom w:val="0"/>
                                  <w:divBdr>
                                    <w:top w:val="none" w:sz="0" w:space="0" w:color="auto"/>
                                    <w:left w:val="none" w:sz="0" w:space="0" w:color="auto"/>
                                    <w:bottom w:val="none" w:sz="0" w:space="0" w:color="auto"/>
                                    <w:right w:val="none" w:sz="0" w:space="0" w:color="auto"/>
                                  </w:divBdr>
                                  <w:divsChild>
                                    <w:div w:id="38552577">
                                      <w:marLeft w:val="0"/>
                                      <w:marRight w:val="0"/>
                                      <w:marTop w:val="0"/>
                                      <w:marBottom w:val="0"/>
                                      <w:divBdr>
                                        <w:top w:val="none" w:sz="0" w:space="0" w:color="auto"/>
                                        <w:left w:val="none" w:sz="0" w:space="0" w:color="auto"/>
                                        <w:bottom w:val="none" w:sz="0" w:space="0" w:color="auto"/>
                                        <w:right w:val="none" w:sz="0" w:space="0" w:color="auto"/>
                                      </w:divBdr>
                                      <w:divsChild>
                                        <w:div w:id="974918207">
                                          <w:marLeft w:val="0"/>
                                          <w:marRight w:val="0"/>
                                          <w:marTop w:val="0"/>
                                          <w:marBottom w:val="0"/>
                                          <w:divBdr>
                                            <w:top w:val="none" w:sz="0" w:space="0" w:color="auto"/>
                                            <w:left w:val="none" w:sz="0" w:space="0" w:color="auto"/>
                                            <w:bottom w:val="none" w:sz="0" w:space="0" w:color="auto"/>
                                            <w:right w:val="none" w:sz="0" w:space="0" w:color="auto"/>
                                          </w:divBdr>
                                          <w:divsChild>
                                            <w:div w:id="1483735976">
                                              <w:marLeft w:val="0"/>
                                              <w:marRight w:val="0"/>
                                              <w:marTop w:val="0"/>
                                              <w:marBottom w:val="0"/>
                                              <w:divBdr>
                                                <w:top w:val="none" w:sz="0" w:space="0" w:color="auto"/>
                                                <w:left w:val="none" w:sz="0" w:space="0" w:color="auto"/>
                                                <w:bottom w:val="none" w:sz="0" w:space="0" w:color="auto"/>
                                                <w:right w:val="none" w:sz="0" w:space="0" w:color="auto"/>
                                              </w:divBdr>
                                              <w:divsChild>
                                                <w:div w:id="19437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2305</Words>
  <Characters>13139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Byrne</dc:creator>
  <cp:lastModifiedBy>Hilhorst, Matt</cp:lastModifiedBy>
  <cp:revision>2</cp:revision>
  <cp:lastPrinted>2014-10-06T00:36:00Z</cp:lastPrinted>
  <dcterms:created xsi:type="dcterms:W3CDTF">2014-10-21T23:51:00Z</dcterms:created>
  <dcterms:modified xsi:type="dcterms:W3CDTF">2014-10-21T23:51:00Z</dcterms:modified>
</cp:coreProperties>
</file>