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5C" w:rsidRDefault="00796F15" w:rsidP="002E5F5C">
      <w:pPr>
        <w:pStyle w:val="Heading1"/>
        <w:ind w:left="284"/>
        <w:rPr>
          <w:szCs w:val="24"/>
        </w:rPr>
      </w:pPr>
      <w:r>
        <w:rPr>
          <w:szCs w:val="24"/>
        </w:rPr>
        <w:t>EXPLANATORY STATEMENT</w:t>
      </w:r>
    </w:p>
    <w:p w:rsidR="002E5F5C" w:rsidRDefault="002E5F5C" w:rsidP="002E5F5C">
      <w:pPr>
        <w:ind w:left="284"/>
        <w:rPr>
          <w:szCs w:val="24"/>
        </w:rPr>
      </w:pPr>
    </w:p>
    <w:p w:rsidR="00796F15" w:rsidRDefault="00796F15" w:rsidP="002E5F5C">
      <w:pPr>
        <w:rPr>
          <w:szCs w:val="24"/>
          <w:u w:val="single"/>
        </w:rPr>
      </w:pPr>
    </w:p>
    <w:p w:rsidR="00796F15" w:rsidRPr="00CB2DCF" w:rsidRDefault="00796F15" w:rsidP="00796F15">
      <w:pPr>
        <w:ind w:left="284"/>
        <w:jc w:val="center"/>
        <w:rPr>
          <w:szCs w:val="24"/>
          <w:u w:val="single"/>
        </w:rPr>
      </w:pPr>
      <w:r w:rsidRPr="00CB2DCF">
        <w:rPr>
          <w:szCs w:val="24"/>
          <w:u w:val="single"/>
        </w:rPr>
        <w:t>Select Legislative Instrument No.</w:t>
      </w:r>
      <w:r w:rsidR="006D01F2">
        <w:rPr>
          <w:szCs w:val="24"/>
          <w:u w:val="single"/>
        </w:rPr>
        <w:t xml:space="preserve"> 15</w:t>
      </w:r>
      <w:r w:rsidR="007B0AD0">
        <w:rPr>
          <w:szCs w:val="24"/>
          <w:u w:val="single"/>
        </w:rPr>
        <w:t>8</w:t>
      </w:r>
      <w:bookmarkStart w:id="0" w:name="_GoBack"/>
      <w:bookmarkEnd w:id="0"/>
      <w:r w:rsidR="006D01F2">
        <w:rPr>
          <w:szCs w:val="24"/>
          <w:u w:val="single"/>
        </w:rPr>
        <w:t>, 2014</w:t>
      </w:r>
    </w:p>
    <w:p w:rsidR="00796F15" w:rsidRDefault="00796F15" w:rsidP="00796F15">
      <w:pPr>
        <w:rPr>
          <w:szCs w:val="24"/>
        </w:rPr>
      </w:pPr>
    </w:p>
    <w:p w:rsidR="00796F15" w:rsidRDefault="00796F15" w:rsidP="00796F15">
      <w:pPr>
        <w:widowControl w:val="0"/>
        <w:tabs>
          <w:tab w:val="left" w:pos="1418"/>
        </w:tabs>
        <w:jc w:val="center"/>
        <w:rPr>
          <w:i/>
          <w:szCs w:val="24"/>
        </w:rPr>
      </w:pPr>
      <w:r>
        <w:rPr>
          <w:i/>
          <w:szCs w:val="24"/>
        </w:rPr>
        <w:t>Health Insurance Act 1973</w:t>
      </w:r>
    </w:p>
    <w:p w:rsidR="00C56251" w:rsidRPr="00414613" w:rsidRDefault="00C56251" w:rsidP="002E5F5C">
      <w:pPr>
        <w:tabs>
          <w:tab w:val="left" w:pos="1418"/>
        </w:tabs>
        <w:rPr>
          <w:i/>
          <w:szCs w:val="24"/>
        </w:rPr>
      </w:pPr>
    </w:p>
    <w:p w:rsidR="005F04DC" w:rsidRPr="00E34BF8" w:rsidRDefault="00C56251" w:rsidP="00E34BF8">
      <w:pPr>
        <w:tabs>
          <w:tab w:val="left" w:pos="1418"/>
        </w:tabs>
        <w:ind w:left="851"/>
        <w:rPr>
          <w:i/>
          <w:szCs w:val="24"/>
        </w:rPr>
      </w:pPr>
      <w:r w:rsidRPr="00414613">
        <w:rPr>
          <w:i/>
          <w:szCs w:val="24"/>
        </w:rPr>
        <w:t>Health Insurance</w:t>
      </w:r>
      <w:r w:rsidR="005B5062">
        <w:rPr>
          <w:i/>
          <w:szCs w:val="24"/>
        </w:rPr>
        <w:t xml:space="preserve"> </w:t>
      </w:r>
      <w:r w:rsidRPr="00414613">
        <w:rPr>
          <w:i/>
          <w:szCs w:val="24"/>
        </w:rPr>
        <w:t>(General Medical Services Table)</w:t>
      </w:r>
      <w:r w:rsidR="00C13962">
        <w:rPr>
          <w:i/>
          <w:szCs w:val="24"/>
        </w:rPr>
        <w:t xml:space="preserve"> Amendment (Chronic Disease Management)</w:t>
      </w:r>
      <w:r w:rsidR="009B1FD2">
        <w:rPr>
          <w:i/>
          <w:szCs w:val="24"/>
        </w:rPr>
        <w:t xml:space="preserve"> </w:t>
      </w:r>
      <w:r w:rsidRPr="00414613">
        <w:rPr>
          <w:i/>
          <w:szCs w:val="24"/>
        </w:rPr>
        <w:t>Regulation 201</w:t>
      </w:r>
      <w:r w:rsidR="0085475F">
        <w:rPr>
          <w:i/>
          <w:szCs w:val="24"/>
        </w:rPr>
        <w:t>4</w:t>
      </w:r>
    </w:p>
    <w:p w:rsidR="00E34BF8" w:rsidRDefault="00E34BF8" w:rsidP="005F04DC">
      <w:pPr>
        <w:rPr>
          <w:szCs w:val="24"/>
        </w:rPr>
      </w:pPr>
    </w:p>
    <w:p w:rsidR="002227DF" w:rsidRDefault="002227DF" w:rsidP="005F04DC">
      <w:pPr>
        <w:rPr>
          <w:szCs w:val="24"/>
        </w:rPr>
      </w:pPr>
    </w:p>
    <w:p w:rsidR="005F04DC" w:rsidRPr="00A96CFE" w:rsidRDefault="005F04DC" w:rsidP="005F04DC">
      <w:pPr>
        <w:rPr>
          <w:szCs w:val="24"/>
        </w:rPr>
      </w:pPr>
      <w:r w:rsidRPr="00A96CFE">
        <w:rPr>
          <w:szCs w:val="24"/>
        </w:rPr>
        <w:t xml:space="preserve">Subsection 133(1) of the </w:t>
      </w:r>
      <w:r w:rsidRPr="00A96CFE">
        <w:rPr>
          <w:i/>
          <w:szCs w:val="24"/>
        </w:rPr>
        <w:t xml:space="preserve">Health Insurance Act 1973 </w:t>
      </w:r>
      <w:r w:rsidRPr="00A96CFE">
        <w:rPr>
          <w:szCs w:val="24"/>
        </w:rPr>
        <w:t xml:space="preserve">(the Act) provides that the </w:t>
      </w:r>
    </w:p>
    <w:p w:rsidR="005F04DC" w:rsidRPr="00A96CFE" w:rsidRDefault="005F04DC" w:rsidP="005F04DC">
      <w:pPr>
        <w:rPr>
          <w:szCs w:val="24"/>
        </w:rPr>
      </w:pPr>
      <w:r w:rsidRPr="00A96CFE">
        <w:rPr>
          <w:szCs w:val="24"/>
        </w:rPr>
        <w:t xml:space="preserve">Governor-General may make regulations, not inconsistent with the Act, prescribing all matters required or permitted by the Act to be prescribed, or necessary or convenient to be prescribed for carrying out or giving effect to the Act.  </w:t>
      </w:r>
    </w:p>
    <w:p w:rsidR="005F04DC" w:rsidRPr="00A96CFE" w:rsidRDefault="005F04DC" w:rsidP="005F04DC">
      <w:pPr>
        <w:rPr>
          <w:sz w:val="16"/>
          <w:szCs w:val="16"/>
        </w:rPr>
      </w:pPr>
    </w:p>
    <w:p w:rsidR="005F04DC" w:rsidRPr="00A96CFE" w:rsidRDefault="005F04DC" w:rsidP="005F04DC">
      <w:pPr>
        <w:rPr>
          <w:szCs w:val="24"/>
        </w:rPr>
      </w:pPr>
      <w:r w:rsidRPr="00A96CFE">
        <w:rPr>
          <w:szCs w:val="24"/>
        </w:rPr>
        <w:t>Part II of the Act provides for the payment of Medicare benefits for professional services</w:t>
      </w:r>
      <w:r w:rsidR="0029737E">
        <w:rPr>
          <w:szCs w:val="24"/>
        </w:rPr>
        <w:t xml:space="preserve"> rendered to eligible persons. </w:t>
      </w:r>
      <w:r w:rsidRPr="00A96CFE">
        <w:rPr>
          <w:szCs w:val="24"/>
        </w:rPr>
        <w:t>Section 9 of the Act provides that Medicare benefits be calculated by reference to the fees for medical services set out in prescribed tables.</w:t>
      </w:r>
    </w:p>
    <w:p w:rsidR="005F04DC" w:rsidRPr="00A96CFE" w:rsidRDefault="005F04DC" w:rsidP="005F04DC">
      <w:pPr>
        <w:rPr>
          <w:sz w:val="16"/>
          <w:szCs w:val="16"/>
        </w:rPr>
      </w:pPr>
    </w:p>
    <w:p w:rsidR="00216C44" w:rsidRDefault="005042B5" w:rsidP="005F04DC">
      <w:r>
        <w:rPr>
          <w:szCs w:val="24"/>
        </w:rPr>
        <w:t>S</w:t>
      </w:r>
      <w:r w:rsidR="00F169CB">
        <w:rPr>
          <w:szCs w:val="24"/>
        </w:rPr>
        <w:t xml:space="preserve">ection 4 of the Act provides that regulations may prescribe </w:t>
      </w:r>
      <w:r w:rsidR="00B63A7A">
        <w:rPr>
          <w:szCs w:val="24"/>
        </w:rPr>
        <w:t xml:space="preserve">a </w:t>
      </w:r>
      <w:r w:rsidR="005F04DC" w:rsidRPr="00A96CFE">
        <w:rPr>
          <w:szCs w:val="24"/>
        </w:rPr>
        <w:t>table of medical</w:t>
      </w:r>
      <w:r>
        <w:rPr>
          <w:szCs w:val="24"/>
        </w:rPr>
        <w:t xml:space="preserve"> </w:t>
      </w:r>
      <w:r w:rsidR="005F04DC" w:rsidRPr="00A96CFE">
        <w:rPr>
          <w:szCs w:val="24"/>
        </w:rPr>
        <w:t xml:space="preserve">services </w:t>
      </w:r>
      <w:r w:rsidR="00F169CB">
        <w:rPr>
          <w:szCs w:val="24"/>
        </w:rPr>
        <w:t>which set</w:t>
      </w:r>
      <w:r w:rsidR="00BC4AAE">
        <w:rPr>
          <w:szCs w:val="24"/>
        </w:rPr>
        <w:t>s</w:t>
      </w:r>
      <w:r w:rsidR="00F169CB">
        <w:rPr>
          <w:szCs w:val="24"/>
        </w:rPr>
        <w:t xml:space="preserve"> out items of </w:t>
      </w:r>
      <w:r w:rsidR="00B63A7A">
        <w:rPr>
          <w:szCs w:val="24"/>
        </w:rPr>
        <w:t xml:space="preserve">medical </w:t>
      </w:r>
      <w:r w:rsidR="005F04DC" w:rsidRPr="00A96CFE">
        <w:rPr>
          <w:szCs w:val="24"/>
        </w:rPr>
        <w:t>services, the fees applicable for each item, and rul</w:t>
      </w:r>
      <w:r w:rsidR="00B63A7A">
        <w:rPr>
          <w:szCs w:val="24"/>
        </w:rPr>
        <w:t xml:space="preserve">es for interpreting the table. </w:t>
      </w:r>
      <w:r w:rsidR="005F04DC" w:rsidRPr="00A96CFE">
        <w:rPr>
          <w:szCs w:val="24"/>
        </w:rPr>
        <w:t xml:space="preserve">The </w:t>
      </w:r>
      <w:r w:rsidR="005F04DC" w:rsidRPr="00A96CFE">
        <w:rPr>
          <w:i/>
          <w:szCs w:val="24"/>
        </w:rPr>
        <w:t>Health Insurance (General Medical Services Table) Regulations 201</w:t>
      </w:r>
      <w:r w:rsidR="00113B2E">
        <w:rPr>
          <w:i/>
          <w:szCs w:val="24"/>
        </w:rPr>
        <w:t>4</w:t>
      </w:r>
      <w:r w:rsidR="00216C44">
        <w:rPr>
          <w:szCs w:val="24"/>
        </w:rPr>
        <w:t xml:space="preserve"> (</w:t>
      </w:r>
      <w:proofErr w:type="spellStart"/>
      <w:r w:rsidR="00216C44">
        <w:rPr>
          <w:szCs w:val="24"/>
        </w:rPr>
        <w:t>GMST</w:t>
      </w:r>
      <w:proofErr w:type="spellEnd"/>
      <w:r w:rsidR="00113B2E">
        <w:rPr>
          <w:szCs w:val="24"/>
        </w:rPr>
        <w:t xml:space="preserve">) </w:t>
      </w:r>
      <w:r w:rsidR="00113B2E">
        <w:t>currently prescribe</w:t>
      </w:r>
      <w:r w:rsidR="002F7549">
        <w:t>s such table</w:t>
      </w:r>
      <w:r w:rsidR="00113B2E">
        <w:t xml:space="preserve">. </w:t>
      </w:r>
    </w:p>
    <w:p w:rsidR="00216C44" w:rsidRDefault="00216C44" w:rsidP="005F04DC"/>
    <w:p w:rsidR="00613C46" w:rsidRDefault="00D7566A" w:rsidP="00C13962">
      <w:r>
        <w:t xml:space="preserve">The </w:t>
      </w:r>
      <w:r w:rsidR="00C90EAC">
        <w:t>A</w:t>
      </w:r>
      <w:r w:rsidR="001C35BC">
        <w:t xml:space="preserve">mendment </w:t>
      </w:r>
      <w:r w:rsidR="00C90EAC">
        <w:t>R</w:t>
      </w:r>
      <w:r w:rsidR="00B54620">
        <w:t>egulation will</w:t>
      </w:r>
      <w:r>
        <w:t xml:space="preserve"> amend the </w:t>
      </w:r>
      <w:proofErr w:type="spellStart"/>
      <w:r>
        <w:t>GMST</w:t>
      </w:r>
      <w:proofErr w:type="spellEnd"/>
      <w:r>
        <w:t xml:space="preserve"> to ensure that the medical services funded through the Medicare Benefits Schedule </w:t>
      </w:r>
      <w:r w:rsidR="0072758A">
        <w:t>(</w:t>
      </w:r>
      <w:proofErr w:type="spellStart"/>
      <w:r w:rsidR="0072758A">
        <w:t>MBS</w:t>
      </w:r>
      <w:proofErr w:type="spellEnd"/>
      <w:r w:rsidR="0072758A">
        <w:t xml:space="preserve">) </w:t>
      </w:r>
      <w:r w:rsidR="00613C46">
        <w:t xml:space="preserve">represent best practice and are reflective of government commitments. The Amendment Regulation will implement the 2013-14 Budget measure – </w:t>
      </w:r>
      <w:r w:rsidR="004B5C2E">
        <w:rPr>
          <w:i/>
        </w:rPr>
        <w:t>‘Medicare Benefits Schedule – R</w:t>
      </w:r>
      <w:r w:rsidR="00613C46" w:rsidRPr="00613C46">
        <w:rPr>
          <w:i/>
        </w:rPr>
        <w:t>emoving double billing’</w:t>
      </w:r>
      <w:r w:rsidR="00613C46">
        <w:rPr>
          <w:i/>
        </w:rPr>
        <w:t xml:space="preserve">, </w:t>
      </w:r>
      <w:r w:rsidR="00613C46" w:rsidRPr="00613C46">
        <w:t xml:space="preserve">which is to take effect </w:t>
      </w:r>
      <w:r w:rsidR="004B5C2E">
        <w:t xml:space="preserve">on </w:t>
      </w:r>
      <w:r w:rsidR="00613C46" w:rsidRPr="00613C46">
        <w:t xml:space="preserve">1 November 2014. </w:t>
      </w:r>
    </w:p>
    <w:p w:rsidR="00613C46" w:rsidRDefault="00613C46" w:rsidP="00C13962"/>
    <w:p w:rsidR="005E6A82" w:rsidRDefault="00613C46" w:rsidP="00C13962">
      <w:r>
        <w:t xml:space="preserve">The </w:t>
      </w:r>
      <w:r w:rsidR="00C90EAC">
        <w:t>Amendment R</w:t>
      </w:r>
      <w:r w:rsidR="00B54620">
        <w:t>egulation will</w:t>
      </w:r>
      <w:r w:rsidR="00216C44">
        <w:t xml:space="preserve"> </w:t>
      </w:r>
      <w:r w:rsidR="002F7549">
        <w:t>r</w:t>
      </w:r>
      <w:r w:rsidR="00E23A38">
        <w:t>estrict</w:t>
      </w:r>
      <w:r w:rsidR="00F169CB" w:rsidRPr="00F169CB">
        <w:t xml:space="preserve"> </w:t>
      </w:r>
      <w:r w:rsidR="002F7549">
        <w:t>36 consultation</w:t>
      </w:r>
      <w:r w:rsidR="00F169CB" w:rsidRPr="00F169CB">
        <w:t xml:space="preserve"> items</w:t>
      </w:r>
      <w:r w:rsidR="002F7549">
        <w:t xml:space="preserve"> </w:t>
      </w:r>
      <w:r w:rsidR="00F169CB" w:rsidRPr="00F169CB">
        <w:t>from being claimed with</w:t>
      </w:r>
      <w:r w:rsidR="002F7549">
        <w:t xml:space="preserve"> three chronic disease management items</w:t>
      </w:r>
      <w:r w:rsidR="00F169CB" w:rsidRPr="00F169CB">
        <w:t xml:space="preserve"> by the same provider, for th</w:t>
      </w:r>
      <w:r>
        <w:t xml:space="preserve">e same patient, on the same day. This will improve the efficiency and effectiveness of Medicare by preventing </w:t>
      </w:r>
      <w:r w:rsidR="0072758A">
        <w:t>the potential for practitioners to double bill</w:t>
      </w:r>
      <w:r w:rsidR="00216C44">
        <w:t xml:space="preserve"> Medicare for similar services.</w:t>
      </w:r>
      <w:r>
        <w:t xml:space="preserve"> </w:t>
      </w:r>
    </w:p>
    <w:p w:rsidR="007A0403" w:rsidRDefault="007A0403" w:rsidP="005F04DC">
      <w:pPr>
        <w:rPr>
          <w:szCs w:val="24"/>
        </w:rPr>
      </w:pPr>
    </w:p>
    <w:p w:rsidR="005F04DC" w:rsidRPr="00A96CFE" w:rsidRDefault="005F04DC" w:rsidP="005F04DC">
      <w:pPr>
        <w:rPr>
          <w:szCs w:val="24"/>
        </w:rPr>
      </w:pPr>
      <w:r w:rsidRPr="00A96CFE">
        <w:rPr>
          <w:szCs w:val="24"/>
        </w:rPr>
        <w:t xml:space="preserve">Details of the </w:t>
      </w:r>
      <w:r w:rsidR="00FB4C5A">
        <w:rPr>
          <w:szCs w:val="24"/>
        </w:rPr>
        <w:t>Amendment R</w:t>
      </w:r>
      <w:r>
        <w:rPr>
          <w:szCs w:val="24"/>
        </w:rPr>
        <w:t>egulation</w:t>
      </w:r>
      <w:r w:rsidRPr="00A96CFE">
        <w:rPr>
          <w:i/>
          <w:szCs w:val="24"/>
        </w:rPr>
        <w:t xml:space="preserve"> </w:t>
      </w:r>
      <w:r w:rsidRPr="00A96CFE">
        <w:rPr>
          <w:szCs w:val="24"/>
        </w:rPr>
        <w:t xml:space="preserve">are set out in </w:t>
      </w:r>
      <w:r>
        <w:rPr>
          <w:szCs w:val="24"/>
        </w:rPr>
        <w:t xml:space="preserve">the </w:t>
      </w:r>
      <w:r w:rsidRPr="00A96CFE">
        <w:rPr>
          <w:szCs w:val="24"/>
          <w:u w:val="single"/>
        </w:rPr>
        <w:t>Attachment</w:t>
      </w:r>
      <w:r w:rsidRPr="00A96CFE">
        <w:rPr>
          <w:szCs w:val="24"/>
        </w:rPr>
        <w:t>.</w:t>
      </w:r>
    </w:p>
    <w:p w:rsidR="005F04DC" w:rsidRPr="00A96CFE" w:rsidRDefault="005F04DC" w:rsidP="005F04DC">
      <w:pPr>
        <w:rPr>
          <w:sz w:val="16"/>
          <w:szCs w:val="16"/>
        </w:rPr>
      </w:pPr>
    </w:p>
    <w:p w:rsidR="005F04DC" w:rsidRPr="00A96CFE" w:rsidRDefault="005F04DC" w:rsidP="005F04DC">
      <w:pPr>
        <w:rPr>
          <w:szCs w:val="24"/>
        </w:rPr>
      </w:pPr>
      <w:r w:rsidRPr="00A96CFE">
        <w:rPr>
          <w:szCs w:val="24"/>
        </w:rPr>
        <w:t xml:space="preserve">The Act </w:t>
      </w:r>
      <w:r w:rsidR="00B54620">
        <w:rPr>
          <w:szCs w:val="24"/>
        </w:rPr>
        <w:t>specifies</w:t>
      </w:r>
      <w:r w:rsidRPr="00A96CFE">
        <w:rPr>
          <w:szCs w:val="24"/>
        </w:rPr>
        <w:t xml:space="preserve"> no conditions which need to be met before the power to make the </w:t>
      </w:r>
      <w:r w:rsidR="00CF240F">
        <w:rPr>
          <w:szCs w:val="24"/>
        </w:rPr>
        <w:t>Amendment R</w:t>
      </w:r>
      <w:r>
        <w:rPr>
          <w:szCs w:val="24"/>
        </w:rPr>
        <w:t>egulation</w:t>
      </w:r>
      <w:r w:rsidRPr="00A96CFE">
        <w:rPr>
          <w:szCs w:val="24"/>
        </w:rPr>
        <w:t xml:space="preserve"> may be exercised.  </w:t>
      </w:r>
    </w:p>
    <w:p w:rsidR="005F04DC" w:rsidRPr="00A03E9E" w:rsidRDefault="005F04DC" w:rsidP="005F04DC">
      <w:pPr>
        <w:rPr>
          <w:sz w:val="16"/>
          <w:szCs w:val="16"/>
        </w:rPr>
      </w:pPr>
    </w:p>
    <w:p w:rsidR="005F04DC" w:rsidRPr="00A96CFE" w:rsidRDefault="005F04DC" w:rsidP="005F04DC">
      <w:pPr>
        <w:rPr>
          <w:szCs w:val="24"/>
        </w:rPr>
      </w:pPr>
      <w:r w:rsidRPr="00A96CFE">
        <w:rPr>
          <w:szCs w:val="24"/>
        </w:rPr>
        <w:t xml:space="preserve">The </w:t>
      </w:r>
      <w:r w:rsidR="00FB4C5A">
        <w:rPr>
          <w:szCs w:val="24"/>
        </w:rPr>
        <w:t>Amendment R</w:t>
      </w:r>
      <w:r>
        <w:rPr>
          <w:szCs w:val="24"/>
        </w:rPr>
        <w:t>egulation</w:t>
      </w:r>
      <w:r w:rsidRPr="00A96CFE">
        <w:rPr>
          <w:szCs w:val="24"/>
        </w:rPr>
        <w:t xml:space="preserve"> </w:t>
      </w:r>
      <w:r w:rsidR="00B54620">
        <w:rPr>
          <w:szCs w:val="24"/>
        </w:rPr>
        <w:t xml:space="preserve">is </w:t>
      </w:r>
      <w:r>
        <w:rPr>
          <w:szCs w:val="24"/>
        </w:rPr>
        <w:t xml:space="preserve">a </w:t>
      </w:r>
      <w:r w:rsidRPr="00A96CFE">
        <w:rPr>
          <w:szCs w:val="24"/>
        </w:rPr>
        <w:t xml:space="preserve">legislative instrument for the purposes of the </w:t>
      </w:r>
      <w:r w:rsidRPr="00A96CFE">
        <w:rPr>
          <w:i/>
          <w:szCs w:val="24"/>
        </w:rPr>
        <w:t>Legislative Instruments Act 2003</w:t>
      </w:r>
      <w:r w:rsidRPr="00A96CFE">
        <w:rPr>
          <w:szCs w:val="24"/>
        </w:rPr>
        <w:t xml:space="preserve">.  </w:t>
      </w:r>
    </w:p>
    <w:p w:rsidR="005F04DC" w:rsidRPr="00A96CFE" w:rsidRDefault="005F04DC" w:rsidP="005F04DC">
      <w:pPr>
        <w:tabs>
          <w:tab w:val="left" w:pos="567"/>
        </w:tabs>
        <w:spacing w:before="240"/>
        <w:rPr>
          <w:szCs w:val="24"/>
        </w:rPr>
      </w:pPr>
      <w:r w:rsidRPr="00A96CFE">
        <w:rPr>
          <w:szCs w:val="24"/>
        </w:rPr>
        <w:t xml:space="preserve">The </w:t>
      </w:r>
      <w:r w:rsidR="00FB4C5A">
        <w:rPr>
          <w:szCs w:val="24"/>
        </w:rPr>
        <w:t>Amendment R</w:t>
      </w:r>
      <w:r>
        <w:rPr>
          <w:szCs w:val="24"/>
        </w:rPr>
        <w:t>egulation</w:t>
      </w:r>
      <w:r w:rsidR="00405EF4">
        <w:rPr>
          <w:szCs w:val="24"/>
        </w:rPr>
        <w:t xml:space="preserve"> </w:t>
      </w:r>
      <w:r w:rsidR="00437B1B">
        <w:rPr>
          <w:szCs w:val="24"/>
        </w:rPr>
        <w:t>commence</w:t>
      </w:r>
      <w:r w:rsidR="00B54620">
        <w:rPr>
          <w:szCs w:val="24"/>
        </w:rPr>
        <w:t>s</w:t>
      </w:r>
      <w:r w:rsidR="00437B1B">
        <w:rPr>
          <w:szCs w:val="24"/>
        </w:rPr>
        <w:t xml:space="preserve"> on</w:t>
      </w:r>
      <w:r w:rsidR="00216C44">
        <w:rPr>
          <w:szCs w:val="24"/>
        </w:rPr>
        <w:t xml:space="preserve"> </w:t>
      </w:r>
      <w:r w:rsidR="00437B1B">
        <w:rPr>
          <w:szCs w:val="24"/>
        </w:rPr>
        <w:t>1 November 2014</w:t>
      </w:r>
      <w:r w:rsidRPr="00A96CFE">
        <w:rPr>
          <w:szCs w:val="24"/>
        </w:rPr>
        <w:t>.</w:t>
      </w:r>
    </w:p>
    <w:p w:rsidR="005F04DC" w:rsidRDefault="005F04DC" w:rsidP="005F04DC">
      <w:pPr>
        <w:pStyle w:val="Subtitle"/>
        <w:rPr>
          <w:sz w:val="16"/>
          <w:szCs w:val="16"/>
          <w:u w:val="none"/>
        </w:rPr>
      </w:pPr>
    </w:p>
    <w:p w:rsidR="001519E4" w:rsidRPr="00437B1B" w:rsidRDefault="001519E4" w:rsidP="005F04DC">
      <w:pPr>
        <w:pStyle w:val="Subtitle"/>
        <w:rPr>
          <w:szCs w:val="24"/>
          <w:u w:val="none"/>
        </w:rPr>
      </w:pPr>
    </w:p>
    <w:p w:rsidR="005F04DC" w:rsidRPr="00A96CFE" w:rsidRDefault="005F04DC" w:rsidP="005F04DC">
      <w:pPr>
        <w:tabs>
          <w:tab w:val="left" w:pos="4536"/>
          <w:tab w:val="left" w:pos="5670"/>
        </w:tabs>
        <w:ind w:left="284"/>
        <w:jc w:val="center"/>
        <w:rPr>
          <w:szCs w:val="24"/>
        </w:rPr>
      </w:pPr>
      <w:r w:rsidRPr="00A96CFE">
        <w:rPr>
          <w:szCs w:val="24"/>
        </w:rPr>
        <w:tab/>
      </w:r>
      <w:r w:rsidRPr="00A96CFE">
        <w:rPr>
          <w:szCs w:val="24"/>
          <w:u w:val="single"/>
        </w:rPr>
        <w:t>Authority</w:t>
      </w:r>
      <w:r w:rsidRPr="00A96CFE">
        <w:rPr>
          <w:szCs w:val="24"/>
        </w:rPr>
        <w:t xml:space="preserve">:     Subsection 133(1) of the </w:t>
      </w:r>
    </w:p>
    <w:p w:rsidR="003D2A6D" w:rsidRDefault="005F04DC" w:rsidP="005E6A82">
      <w:pPr>
        <w:tabs>
          <w:tab w:val="left" w:pos="4536"/>
        </w:tabs>
        <w:ind w:left="284"/>
        <w:jc w:val="center"/>
        <w:rPr>
          <w:szCs w:val="24"/>
        </w:rPr>
      </w:pPr>
      <w:r w:rsidRPr="00A96CFE">
        <w:rPr>
          <w:i/>
          <w:szCs w:val="24"/>
        </w:rPr>
        <w:t xml:space="preserve">                                                                                                Health Insurance Act 1973</w:t>
      </w:r>
      <w:r w:rsidRPr="00A96CFE">
        <w:rPr>
          <w:szCs w:val="24"/>
        </w:rPr>
        <w:t xml:space="preserve">  </w:t>
      </w:r>
    </w:p>
    <w:p w:rsidR="00DC1776" w:rsidRDefault="00DC1776" w:rsidP="005B5062">
      <w:pPr>
        <w:tabs>
          <w:tab w:val="left" w:pos="4536"/>
        </w:tabs>
        <w:jc w:val="right"/>
        <w:rPr>
          <w:b/>
          <w:szCs w:val="24"/>
        </w:rPr>
      </w:pPr>
    </w:p>
    <w:p w:rsidR="00DC1776" w:rsidRDefault="00DC1776" w:rsidP="005B5062">
      <w:pPr>
        <w:tabs>
          <w:tab w:val="left" w:pos="4536"/>
        </w:tabs>
        <w:jc w:val="right"/>
        <w:rPr>
          <w:b/>
          <w:szCs w:val="24"/>
        </w:rPr>
      </w:pPr>
    </w:p>
    <w:p w:rsidR="00B54620" w:rsidRDefault="00B54620" w:rsidP="005B5062">
      <w:pPr>
        <w:tabs>
          <w:tab w:val="left" w:pos="4536"/>
        </w:tabs>
        <w:jc w:val="right"/>
        <w:rPr>
          <w:b/>
          <w:szCs w:val="24"/>
        </w:rPr>
      </w:pPr>
    </w:p>
    <w:p w:rsidR="003D2A6D" w:rsidRPr="005B5062" w:rsidRDefault="005B5062" w:rsidP="005B5062">
      <w:pPr>
        <w:tabs>
          <w:tab w:val="left" w:pos="4536"/>
        </w:tabs>
        <w:jc w:val="right"/>
        <w:rPr>
          <w:b/>
          <w:szCs w:val="24"/>
        </w:rPr>
      </w:pPr>
      <w:r w:rsidRPr="005B5062">
        <w:rPr>
          <w:b/>
          <w:szCs w:val="24"/>
        </w:rPr>
        <w:lastRenderedPageBreak/>
        <w:t>ATTACHMENT</w:t>
      </w:r>
    </w:p>
    <w:p w:rsidR="00C90EAC" w:rsidRDefault="00C90EAC" w:rsidP="005B5062">
      <w:pPr>
        <w:tabs>
          <w:tab w:val="left" w:pos="1418"/>
        </w:tabs>
        <w:rPr>
          <w:b/>
          <w:szCs w:val="24"/>
          <w:u w:val="single"/>
        </w:rPr>
      </w:pPr>
    </w:p>
    <w:p w:rsidR="005B5062" w:rsidRPr="005B5062" w:rsidRDefault="00607971" w:rsidP="005B5062">
      <w:pPr>
        <w:tabs>
          <w:tab w:val="left" w:pos="1418"/>
        </w:tabs>
        <w:rPr>
          <w:b/>
          <w:szCs w:val="24"/>
          <w:u w:val="single"/>
        </w:rPr>
      </w:pPr>
      <w:r w:rsidRPr="005B5062">
        <w:rPr>
          <w:b/>
          <w:szCs w:val="24"/>
          <w:u w:val="single"/>
        </w:rPr>
        <w:t xml:space="preserve">Details of the </w:t>
      </w:r>
      <w:r w:rsidR="005B5062" w:rsidRPr="005B5062">
        <w:rPr>
          <w:b/>
          <w:i/>
          <w:szCs w:val="24"/>
          <w:u w:val="single"/>
        </w:rPr>
        <w:t>Health Insurance (General Medical Services Table)</w:t>
      </w:r>
      <w:r w:rsidR="00C13962">
        <w:rPr>
          <w:b/>
          <w:i/>
          <w:szCs w:val="24"/>
          <w:u w:val="single"/>
        </w:rPr>
        <w:t xml:space="preserve"> Amendment (Chronic Disease Management)</w:t>
      </w:r>
      <w:r w:rsidR="005B5062" w:rsidRPr="005B5062">
        <w:rPr>
          <w:b/>
          <w:i/>
          <w:szCs w:val="24"/>
          <w:u w:val="single"/>
        </w:rPr>
        <w:t xml:space="preserve"> Regulation 2014</w:t>
      </w:r>
    </w:p>
    <w:p w:rsidR="00E34BF8" w:rsidRDefault="00E34BF8" w:rsidP="008D2D98">
      <w:pPr>
        <w:tabs>
          <w:tab w:val="left" w:pos="4536"/>
        </w:tabs>
        <w:rPr>
          <w:szCs w:val="24"/>
          <w:u w:val="single"/>
        </w:rPr>
      </w:pPr>
    </w:p>
    <w:p w:rsidR="00E34BF8" w:rsidRDefault="00E34BF8" w:rsidP="008D2D98">
      <w:pPr>
        <w:tabs>
          <w:tab w:val="left" w:pos="4536"/>
        </w:tabs>
        <w:rPr>
          <w:szCs w:val="24"/>
          <w:u w:val="single"/>
        </w:rPr>
      </w:pPr>
    </w:p>
    <w:p w:rsidR="00BA3D73" w:rsidRPr="007A0403" w:rsidRDefault="00225B50" w:rsidP="008D2D98">
      <w:pPr>
        <w:tabs>
          <w:tab w:val="left" w:pos="4536"/>
        </w:tabs>
        <w:rPr>
          <w:szCs w:val="24"/>
          <w:u w:val="single"/>
        </w:rPr>
      </w:pPr>
      <w:r w:rsidRPr="007A0403">
        <w:rPr>
          <w:szCs w:val="24"/>
          <w:u w:val="single"/>
        </w:rPr>
        <w:t xml:space="preserve">Section 1 – Name </w:t>
      </w:r>
    </w:p>
    <w:p w:rsidR="00225B50" w:rsidRDefault="00225B50" w:rsidP="008D2D98">
      <w:pPr>
        <w:tabs>
          <w:tab w:val="left" w:pos="4536"/>
        </w:tabs>
        <w:rPr>
          <w:szCs w:val="24"/>
        </w:rPr>
      </w:pPr>
    </w:p>
    <w:p w:rsidR="00225B50" w:rsidRDefault="00BE7B19" w:rsidP="00225B50">
      <w:pPr>
        <w:tabs>
          <w:tab w:val="left" w:pos="1418"/>
        </w:tabs>
        <w:rPr>
          <w:i/>
          <w:szCs w:val="24"/>
        </w:rPr>
      </w:pPr>
      <w:r>
        <w:rPr>
          <w:szCs w:val="24"/>
        </w:rPr>
        <w:t>This section will</w:t>
      </w:r>
      <w:r w:rsidR="00225B50">
        <w:rPr>
          <w:szCs w:val="24"/>
        </w:rPr>
        <w:t xml:space="preserve"> provide for the regulation to be referred to as the </w:t>
      </w:r>
      <w:r w:rsidR="00225B50" w:rsidRPr="00414613">
        <w:rPr>
          <w:i/>
          <w:szCs w:val="24"/>
        </w:rPr>
        <w:t>Health Insurance</w:t>
      </w:r>
      <w:r w:rsidR="00225B50">
        <w:rPr>
          <w:i/>
          <w:szCs w:val="24"/>
        </w:rPr>
        <w:t xml:space="preserve"> </w:t>
      </w:r>
      <w:r w:rsidR="00225B50" w:rsidRPr="00414613">
        <w:rPr>
          <w:i/>
          <w:szCs w:val="24"/>
        </w:rPr>
        <w:t>(General Medical Services Table)</w:t>
      </w:r>
      <w:r w:rsidR="00BC4AAE">
        <w:rPr>
          <w:i/>
          <w:szCs w:val="24"/>
        </w:rPr>
        <w:t xml:space="preserve"> Amendment (Chronic Disease Management)</w:t>
      </w:r>
      <w:r w:rsidR="00225B50">
        <w:rPr>
          <w:i/>
          <w:szCs w:val="24"/>
        </w:rPr>
        <w:t xml:space="preserve"> </w:t>
      </w:r>
      <w:r w:rsidR="00225B50" w:rsidRPr="00414613">
        <w:rPr>
          <w:i/>
          <w:szCs w:val="24"/>
        </w:rPr>
        <w:t>Regulation 201</w:t>
      </w:r>
      <w:r w:rsidR="00225B50">
        <w:rPr>
          <w:i/>
          <w:szCs w:val="24"/>
        </w:rPr>
        <w:t>4.</w:t>
      </w:r>
    </w:p>
    <w:p w:rsidR="00225B50" w:rsidRDefault="00225B50" w:rsidP="00225B50">
      <w:pPr>
        <w:tabs>
          <w:tab w:val="left" w:pos="1418"/>
        </w:tabs>
        <w:rPr>
          <w:i/>
          <w:szCs w:val="24"/>
        </w:rPr>
      </w:pPr>
    </w:p>
    <w:p w:rsidR="00225B50" w:rsidRPr="007A0403" w:rsidRDefault="00225B50" w:rsidP="00225B50">
      <w:pPr>
        <w:tabs>
          <w:tab w:val="left" w:pos="1418"/>
        </w:tabs>
        <w:rPr>
          <w:szCs w:val="24"/>
          <w:u w:val="single"/>
        </w:rPr>
      </w:pPr>
      <w:r w:rsidRPr="007A0403">
        <w:rPr>
          <w:szCs w:val="24"/>
          <w:u w:val="single"/>
        </w:rPr>
        <w:t xml:space="preserve">Section 2 – Commencement </w:t>
      </w:r>
    </w:p>
    <w:p w:rsidR="00225B50" w:rsidRDefault="00225B50" w:rsidP="00225B50">
      <w:pPr>
        <w:tabs>
          <w:tab w:val="left" w:pos="1418"/>
        </w:tabs>
        <w:rPr>
          <w:szCs w:val="24"/>
        </w:rPr>
      </w:pPr>
    </w:p>
    <w:p w:rsidR="00225B50" w:rsidRDefault="00BE7B19" w:rsidP="00225B50">
      <w:pPr>
        <w:tabs>
          <w:tab w:val="left" w:pos="1418"/>
        </w:tabs>
        <w:rPr>
          <w:szCs w:val="24"/>
        </w:rPr>
      </w:pPr>
      <w:r>
        <w:rPr>
          <w:szCs w:val="24"/>
        </w:rPr>
        <w:t>This section will</w:t>
      </w:r>
      <w:r w:rsidR="006C3807">
        <w:rPr>
          <w:szCs w:val="24"/>
        </w:rPr>
        <w:t xml:space="preserve"> provide for the reg</w:t>
      </w:r>
      <w:r w:rsidR="00BC4AAE">
        <w:rPr>
          <w:szCs w:val="24"/>
        </w:rPr>
        <w:t xml:space="preserve">ulation to commence on 1 November 2014. </w:t>
      </w:r>
    </w:p>
    <w:p w:rsidR="00225B50" w:rsidRDefault="00225B50" w:rsidP="008D2D98">
      <w:pPr>
        <w:tabs>
          <w:tab w:val="left" w:pos="4536"/>
        </w:tabs>
        <w:rPr>
          <w:szCs w:val="24"/>
        </w:rPr>
      </w:pPr>
    </w:p>
    <w:p w:rsidR="001400C4" w:rsidRPr="007A0403" w:rsidRDefault="007C767F" w:rsidP="008D2D98">
      <w:pPr>
        <w:tabs>
          <w:tab w:val="left" w:pos="4536"/>
        </w:tabs>
        <w:rPr>
          <w:szCs w:val="24"/>
          <w:u w:val="single"/>
        </w:rPr>
      </w:pPr>
      <w:r w:rsidRPr="007A0403">
        <w:rPr>
          <w:szCs w:val="24"/>
          <w:u w:val="single"/>
        </w:rPr>
        <w:t xml:space="preserve">Section 3 </w:t>
      </w:r>
      <w:r w:rsidR="002F3A26" w:rsidRPr="007A0403">
        <w:rPr>
          <w:szCs w:val="24"/>
          <w:u w:val="single"/>
        </w:rPr>
        <w:t>–</w:t>
      </w:r>
      <w:r w:rsidRPr="007A0403">
        <w:rPr>
          <w:szCs w:val="24"/>
          <w:u w:val="single"/>
        </w:rPr>
        <w:t xml:space="preserve"> </w:t>
      </w:r>
      <w:r w:rsidR="002F3A26" w:rsidRPr="007A0403">
        <w:rPr>
          <w:szCs w:val="24"/>
          <w:u w:val="single"/>
        </w:rPr>
        <w:t xml:space="preserve">Authority </w:t>
      </w:r>
    </w:p>
    <w:p w:rsidR="002F3A26" w:rsidRDefault="002F3A26" w:rsidP="008D2D98">
      <w:pPr>
        <w:tabs>
          <w:tab w:val="left" w:pos="4536"/>
        </w:tabs>
        <w:rPr>
          <w:szCs w:val="24"/>
          <w:u w:val="single"/>
        </w:rPr>
      </w:pPr>
    </w:p>
    <w:p w:rsidR="002F3A26" w:rsidRDefault="002F3A26" w:rsidP="008D2D98">
      <w:pPr>
        <w:tabs>
          <w:tab w:val="left" w:pos="4536"/>
        </w:tabs>
        <w:rPr>
          <w:szCs w:val="24"/>
        </w:rPr>
      </w:pPr>
      <w:r w:rsidRPr="002F3A26">
        <w:rPr>
          <w:szCs w:val="24"/>
        </w:rPr>
        <w:t xml:space="preserve">This </w:t>
      </w:r>
      <w:r w:rsidR="00BE7B19">
        <w:rPr>
          <w:szCs w:val="24"/>
        </w:rPr>
        <w:t>section will</w:t>
      </w:r>
      <w:r>
        <w:rPr>
          <w:szCs w:val="24"/>
        </w:rPr>
        <w:t xml:space="preserve"> provide that the regulation is made under the </w:t>
      </w:r>
      <w:r w:rsidRPr="002F3A26">
        <w:rPr>
          <w:i/>
          <w:szCs w:val="24"/>
        </w:rPr>
        <w:t>Health Insurance Act 1973</w:t>
      </w:r>
      <w:r>
        <w:rPr>
          <w:szCs w:val="24"/>
        </w:rPr>
        <w:t xml:space="preserve">. </w:t>
      </w:r>
    </w:p>
    <w:p w:rsidR="002F3A26" w:rsidRDefault="002F3A26" w:rsidP="008D2D98">
      <w:pPr>
        <w:tabs>
          <w:tab w:val="left" w:pos="4536"/>
        </w:tabs>
        <w:rPr>
          <w:szCs w:val="24"/>
        </w:rPr>
      </w:pPr>
    </w:p>
    <w:p w:rsidR="002F3A26" w:rsidRPr="007A0403" w:rsidRDefault="002F3A26" w:rsidP="008D2D98">
      <w:pPr>
        <w:tabs>
          <w:tab w:val="left" w:pos="4536"/>
        </w:tabs>
        <w:rPr>
          <w:szCs w:val="24"/>
          <w:u w:val="single"/>
        </w:rPr>
      </w:pPr>
      <w:r w:rsidRPr="007A0403">
        <w:rPr>
          <w:szCs w:val="24"/>
          <w:u w:val="single"/>
        </w:rPr>
        <w:t xml:space="preserve">Section 4 – Schedules </w:t>
      </w:r>
    </w:p>
    <w:p w:rsidR="002F3A26" w:rsidRDefault="002F3A26" w:rsidP="008D2D98">
      <w:pPr>
        <w:tabs>
          <w:tab w:val="left" w:pos="4536"/>
        </w:tabs>
        <w:rPr>
          <w:szCs w:val="24"/>
        </w:rPr>
      </w:pPr>
    </w:p>
    <w:p w:rsidR="002F3A26" w:rsidRDefault="00BE7B19" w:rsidP="002F3A26">
      <w:pPr>
        <w:tabs>
          <w:tab w:val="left" w:pos="4536"/>
        </w:tabs>
        <w:rPr>
          <w:szCs w:val="24"/>
        </w:rPr>
      </w:pPr>
      <w:r>
        <w:rPr>
          <w:szCs w:val="24"/>
        </w:rPr>
        <w:t>This section will</w:t>
      </w:r>
      <w:r w:rsidR="002F3A26">
        <w:rPr>
          <w:szCs w:val="24"/>
        </w:rPr>
        <w:t xml:space="preserve"> provide that each instrument specified in a Schedule to the instrument is amended or repealed as set out in the applicable items in the Schedule concerned. </w:t>
      </w:r>
    </w:p>
    <w:p w:rsidR="00421D5F" w:rsidRDefault="00421D5F" w:rsidP="002F3A26">
      <w:pPr>
        <w:tabs>
          <w:tab w:val="left" w:pos="4536"/>
        </w:tabs>
        <w:rPr>
          <w:szCs w:val="24"/>
          <w:u w:val="single"/>
        </w:rPr>
      </w:pPr>
    </w:p>
    <w:p w:rsidR="002F3A26" w:rsidRPr="007A0403" w:rsidRDefault="007A0403" w:rsidP="002F3A26">
      <w:pPr>
        <w:tabs>
          <w:tab w:val="left" w:pos="4536"/>
        </w:tabs>
        <w:rPr>
          <w:szCs w:val="24"/>
          <w:u w:val="single"/>
        </w:rPr>
      </w:pPr>
      <w:r>
        <w:rPr>
          <w:szCs w:val="24"/>
          <w:u w:val="single"/>
        </w:rPr>
        <w:t>Schedule 1 – Amendments</w:t>
      </w:r>
      <w:r w:rsidR="002F3A26" w:rsidRPr="007A0403">
        <w:rPr>
          <w:szCs w:val="24"/>
          <w:u w:val="single"/>
        </w:rPr>
        <w:t xml:space="preserve"> </w:t>
      </w:r>
    </w:p>
    <w:p w:rsidR="009406D2" w:rsidRDefault="009406D2" w:rsidP="008D2D98">
      <w:pPr>
        <w:tabs>
          <w:tab w:val="left" w:pos="4536"/>
        </w:tabs>
        <w:rPr>
          <w:szCs w:val="24"/>
        </w:rPr>
      </w:pPr>
    </w:p>
    <w:p w:rsidR="00353351" w:rsidRDefault="00353351" w:rsidP="008D2D98">
      <w:pPr>
        <w:tabs>
          <w:tab w:val="left" w:pos="4536"/>
        </w:tabs>
        <w:rPr>
          <w:b/>
          <w:szCs w:val="24"/>
        </w:rPr>
      </w:pPr>
      <w:r>
        <w:rPr>
          <w:b/>
          <w:szCs w:val="24"/>
        </w:rPr>
        <w:t>Item [1] – After clause 2.17.10 of Schedule 1</w:t>
      </w:r>
    </w:p>
    <w:p w:rsidR="00353351" w:rsidRPr="00353351" w:rsidRDefault="00353351" w:rsidP="008D2D98">
      <w:pPr>
        <w:tabs>
          <w:tab w:val="left" w:pos="4536"/>
        </w:tabs>
        <w:rPr>
          <w:b/>
          <w:szCs w:val="24"/>
        </w:rPr>
      </w:pPr>
    </w:p>
    <w:p w:rsidR="00DF51CA" w:rsidRDefault="00BE7B19" w:rsidP="008D2D98">
      <w:pPr>
        <w:tabs>
          <w:tab w:val="left" w:pos="4536"/>
        </w:tabs>
        <w:rPr>
          <w:szCs w:val="24"/>
        </w:rPr>
      </w:pPr>
      <w:r>
        <w:rPr>
          <w:szCs w:val="24"/>
        </w:rPr>
        <w:t>This item will</w:t>
      </w:r>
      <w:r w:rsidR="00DF51CA">
        <w:rPr>
          <w:szCs w:val="24"/>
        </w:rPr>
        <w:t xml:space="preserve"> insert clause </w:t>
      </w:r>
      <w:proofErr w:type="spellStart"/>
      <w:r w:rsidR="00DF51CA">
        <w:rPr>
          <w:szCs w:val="24"/>
        </w:rPr>
        <w:t>2.17.10A</w:t>
      </w:r>
      <w:proofErr w:type="spellEnd"/>
      <w:r w:rsidR="00DF51CA">
        <w:rPr>
          <w:szCs w:val="24"/>
        </w:rPr>
        <w:t xml:space="preserve"> which restricts medical practitioners from claiming consultation items 3, 4, 23, 24, 36, 37, 44, 47, 52, 53, 54, 57, 58, 59, 60, 65, 597, 599, 598, 600, 5000, 5003, 5020, 5023, 5040, 5043, 5060, 5063, 5200, 5203, 5207, 5208, 5220, 5223, 5227 and 5228 with chronic disease management items 721, 723, or 732 for the same patient, on the same day. </w:t>
      </w:r>
    </w:p>
    <w:p w:rsidR="00421D5F" w:rsidRDefault="00421D5F" w:rsidP="008D2D98">
      <w:pPr>
        <w:tabs>
          <w:tab w:val="left" w:pos="4536"/>
        </w:tabs>
        <w:rPr>
          <w:szCs w:val="24"/>
          <w:u w:val="single"/>
        </w:rPr>
      </w:pPr>
    </w:p>
    <w:p w:rsidR="001E63F3" w:rsidRDefault="001E63F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r>
        <w:rPr>
          <w:noProof/>
          <w:szCs w:val="24"/>
        </w:rPr>
        <w:lastRenderedPageBreak/>
        <mc:AlternateContent>
          <mc:Choice Requires="wps">
            <w:drawing>
              <wp:anchor distT="0" distB="0" distL="114300" distR="114300" simplePos="0" relativeHeight="251659264" behindDoc="0" locked="0" layoutInCell="1" allowOverlap="1" wp14:anchorId="0D3DFDE7" wp14:editId="1E4231B4">
                <wp:simplePos x="0" y="0"/>
                <wp:positionH relativeFrom="column">
                  <wp:posOffset>-160020</wp:posOffset>
                </wp:positionH>
                <wp:positionV relativeFrom="paragraph">
                  <wp:posOffset>-207645</wp:posOffset>
                </wp:positionV>
                <wp:extent cx="6162675" cy="9239250"/>
                <wp:effectExtent l="38100" t="38100" r="4762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239250"/>
                        </a:xfrm>
                        <a:prstGeom prst="rect">
                          <a:avLst/>
                        </a:prstGeom>
                        <a:solidFill>
                          <a:srgbClr val="FFFFFF"/>
                        </a:solidFill>
                        <a:ln w="76200" cmpd="tri">
                          <a:solidFill>
                            <a:srgbClr val="000000"/>
                          </a:solidFill>
                          <a:miter lim="800000"/>
                          <a:headEnd/>
                          <a:tailEnd/>
                        </a:ln>
                      </wps:spPr>
                      <wps:txbx>
                        <w:txbxContent>
                          <w:p w:rsidR="00F90273" w:rsidRPr="00D664E6" w:rsidRDefault="00F90273" w:rsidP="00F90273">
                            <w:pPr>
                              <w:spacing w:before="360" w:after="120"/>
                              <w:jc w:val="center"/>
                              <w:rPr>
                                <w:b/>
                                <w:sz w:val="28"/>
                                <w:szCs w:val="28"/>
                              </w:rPr>
                            </w:pPr>
                            <w:r w:rsidRPr="00D664E6">
                              <w:rPr>
                                <w:b/>
                                <w:sz w:val="28"/>
                                <w:szCs w:val="28"/>
                              </w:rPr>
                              <w:t>Statement of Compatibility with Human Rights</w:t>
                            </w:r>
                          </w:p>
                          <w:p w:rsidR="00F90273" w:rsidRPr="00D664E6" w:rsidRDefault="00F90273" w:rsidP="00F90273">
                            <w:pPr>
                              <w:spacing w:before="120" w:after="120"/>
                              <w:jc w:val="center"/>
                              <w:rPr>
                                <w:szCs w:val="24"/>
                              </w:rPr>
                            </w:pPr>
                            <w:r w:rsidRPr="00D664E6">
                              <w:rPr>
                                <w:i/>
                                <w:szCs w:val="24"/>
                              </w:rPr>
                              <w:t>Prepared in accordance with Part 3 of the Human Rights (Parliamentary Scrutiny) Act 2011</w:t>
                            </w:r>
                          </w:p>
                          <w:p w:rsidR="00F90273" w:rsidRPr="00D664E6" w:rsidRDefault="00F90273" w:rsidP="00F90273">
                            <w:pPr>
                              <w:spacing w:before="120" w:after="120"/>
                              <w:jc w:val="center"/>
                              <w:rPr>
                                <w:szCs w:val="24"/>
                              </w:rPr>
                            </w:pPr>
                          </w:p>
                          <w:p w:rsidR="00F90273" w:rsidRDefault="00F90273" w:rsidP="00F90273">
                            <w:pPr>
                              <w:tabs>
                                <w:tab w:val="left" w:pos="1418"/>
                              </w:tabs>
                              <w:ind w:left="851"/>
                              <w:jc w:val="center"/>
                              <w:rPr>
                                <w:b/>
                                <w:i/>
                                <w:szCs w:val="24"/>
                              </w:rPr>
                            </w:pPr>
                            <w:r w:rsidRPr="00F90273">
                              <w:rPr>
                                <w:b/>
                                <w:i/>
                                <w:szCs w:val="24"/>
                              </w:rPr>
                              <w:t>Health Insurance (General Medical Services Table) Amendment (Chronic Disease Management) Regulation 2014</w:t>
                            </w:r>
                          </w:p>
                          <w:p w:rsidR="00F90273" w:rsidRPr="00F90273" w:rsidRDefault="00F90273" w:rsidP="00F90273">
                            <w:pPr>
                              <w:tabs>
                                <w:tab w:val="left" w:pos="1418"/>
                              </w:tabs>
                              <w:ind w:left="851"/>
                              <w:jc w:val="center"/>
                              <w:rPr>
                                <w:b/>
                                <w:i/>
                                <w:szCs w:val="24"/>
                              </w:rPr>
                            </w:pPr>
                          </w:p>
                          <w:p w:rsidR="00F90273" w:rsidRDefault="00F90273" w:rsidP="00F90273">
                            <w:pPr>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F90273" w:rsidRDefault="00F90273" w:rsidP="00F90273">
                            <w:pPr>
                              <w:jc w:val="center"/>
                              <w:rPr>
                                <w:szCs w:val="24"/>
                              </w:rPr>
                            </w:pPr>
                          </w:p>
                          <w:p w:rsidR="00F90273" w:rsidRDefault="00F90273" w:rsidP="00F90273">
                            <w:pPr>
                              <w:jc w:val="both"/>
                              <w:rPr>
                                <w:szCs w:val="24"/>
                              </w:rPr>
                            </w:pPr>
                          </w:p>
                          <w:p w:rsidR="00F90273" w:rsidRPr="00D664E6" w:rsidRDefault="00F90273" w:rsidP="00F90273">
                            <w:pPr>
                              <w:jc w:val="both"/>
                              <w:rPr>
                                <w:b/>
                                <w:szCs w:val="24"/>
                              </w:rPr>
                            </w:pPr>
                            <w:r>
                              <w:rPr>
                                <w:b/>
                                <w:szCs w:val="24"/>
                              </w:rPr>
                              <w:t xml:space="preserve">Overview of the </w:t>
                            </w:r>
                            <w:r w:rsidRPr="00D664E6">
                              <w:rPr>
                                <w:b/>
                                <w:szCs w:val="24"/>
                              </w:rPr>
                              <w:t>Legislative Instrument</w:t>
                            </w:r>
                          </w:p>
                          <w:p w:rsidR="007E0D9D" w:rsidRPr="007E0D9D" w:rsidRDefault="00F90273" w:rsidP="00F90273">
                            <w:pPr>
                              <w:tabs>
                                <w:tab w:val="left" w:pos="1418"/>
                              </w:tabs>
                            </w:pPr>
                            <w:r w:rsidRPr="00893F87">
                              <w:rPr>
                                <w:szCs w:val="24"/>
                              </w:rPr>
                              <w:t xml:space="preserve">The </w:t>
                            </w:r>
                            <w:r w:rsidRPr="00F90273">
                              <w:rPr>
                                <w:i/>
                                <w:szCs w:val="24"/>
                              </w:rPr>
                              <w:t>Health Insurance (General Medical Services Table) Amendment (Chronic Disease Management) Regulation 2014</w:t>
                            </w:r>
                            <w:r w:rsidRPr="00893F87">
                              <w:rPr>
                                <w:b/>
                                <w:i/>
                                <w:szCs w:val="24"/>
                              </w:rPr>
                              <w:t xml:space="preserve"> </w:t>
                            </w:r>
                            <w:r w:rsidRPr="00944DDF">
                              <w:rPr>
                                <w:szCs w:val="24"/>
                              </w:rPr>
                              <w:t>(the Amendment Regulation)</w:t>
                            </w:r>
                            <w:r>
                              <w:rPr>
                                <w:b/>
                                <w:i/>
                                <w:szCs w:val="24"/>
                              </w:rPr>
                              <w:t xml:space="preserve"> </w:t>
                            </w:r>
                            <w:r>
                              <w:rPr>
                                <w:szCs w:val="24"/>
                              </w:rPr>
                              <w:t xml:space="preserve">amends </w:t>
                            </w:r>
                            <w:r w:rsidRPr="00893F87">
                              <w:rPr>
                                <w:szCs w:val="24"/>
                              </w:rPr>
                              <w:t xml:space="preserve">the </w:t>
                            </w:r>
                            <w:r w:rsidRPr="00893F87">
                              <w:rPr>
                                <w:i/>
                                <w:szCs w:val="24"/>
                              </w:rPr>
                              <w:t>Health Insurance (General Medical</w:t>
                            </w:r>
                            <w:r>
                              <w:rPr>
                                <w:i/>
                                <w:szCs w:val="24"/>
                              </w:rPr>
                              <w:t xml:space="preserve"> Services Table) Regulation 2014</w:t>
                            </w:r>
                            <w:r w:rsidRPr="00893F87">
                              <w:rPr>
                                <w:szCs w:val="24"/>
                              </w:rPr>
                              <w:t xml:space="preserve"> </w:t>
                            </w:r>
                            <w:r>
                              <w:rPr>
                                <w:szCs w:val="24"/>
                              </w:rPr>
                              <w:t>(</w:t>
                            </w:r>
                            <w:proofErr w:type="spellStart"/>
                            <w:r>
                              <w:rPr>
                                <w:szCs w:val="24"/>
                              </w:rPr>
                              <w:t>GMST</w:t>
                            </w:r>
                            <w:proofErr w:type="spellEnd"/>
                            <w:r>
                              <w:rPr>
                                <w:szCs w:val="24"/>
                              </w:rPr>
                              <w:t>)</w:t>
                            </w:r>
                            <w:r>
                              <w:t xml:space="preserve">, </w:t>
                            </w:r>
                            <w:r w:rsidRPr="00893F87">
                              <w:rPr>
                                <w:szCs w:val="24"/>
                              </w:rPr>
                              <w:t xml:space="preserve">to </w:t>
                            </w:r>
                            <w:r>
                              <w:rPr>
                                <w:szCs w:val="24"/>
                              </w:rPr>
                              <w:t xml:space="preserve">implement the 2013-14 Budget measure </w:t>
                            </w:r>
                            <w:r>
                              <w:t xml:space="preserve">– </w:t>
                            </w:r>
                            <w:r w:rsidRPr="00613C46">
                              <w:rPr>
                                <w:i/>
                              </w:rPr>
                              <w:t>‘Med</w:t>
                            </w:r>
                            <w:r w:rsidR="002D03AB">
                              <w:rPr>
                                <w:i/>
                              </w:rPr>
                              <w:t>icare Benefits Schedule – R</w:t>
                            </w:r>
                            <w:r w:rsidRPr="00613C46">
                              <w:rPr>
                                <w:i/>
                              </w:rPr>
                              <w:t>emoving double billing’</w:t>
                            </w:r>
                            <w:r>
                              <w:rPr>
                                <w:i/>
                              </w:rPr>
                              <w:t xml:space="preserve">, </w:t>
                            </w:r>
                            <w:r w:rsidRPr="00613C46">
                              <w:t xml:space="preserve">which is to take effect </w:t>
                            </w:r>
                            <w:r w:rsidR="002D03AB">
                              <w:t xml:space="preserve">on </w:t>
                            </w:r>
                            <w:r w:rsidRPr="00613C46">
                              <w:t>1 November 2014.</w:t>
                            </w:r>
                          </w:p>
                          <w:p w:rsidR="00F90273" w:rsidRDefault="00F90273" w:rsidP="00F90273">
                            <w:pPr>
                              <w:tabs>
                                <w:tab w:val="left" w:pos="1418"/>
                              </w:tabs>
                              <w:rPr>
                                <w:szCs w:val="24"/>
                              </w:rPr>
                            </w:pPr>
                          </w:p>
                          <w:p w:rsidR="007E0D9D" w:rsidRDefault="00F90273" w:rsidP="007E0D9D">
                            <w:r w:rsidRPr="00893F87">
                              <w:t>In accordance with s</w:t>
                            </w:r>
                            <w:r>
                              <w:t>ection</w:t>
                            </w:r>
                            <w:r w:rsidRPr="00893F87">
                              <w:t xml:space="preserve"> 4</w:t>
                            </w:r>
                            <w:r>
                              <w:t>(1)</w:t>
                            </w:r>
                            <w:r w:rsidRPr="00893F87">
                              <w:t xml:space="preserve"> of the </w:t>
                            </w:r>
                            <w:r w:rsidRPr="00893F87">
                              <w:rPr>
                                <w:i/>
                              </w:rPr>
                              <w:t>Health Insurance Act 1973</w:t>
                            </w:r>
                            <w:r>
                              <w:rPr>
                                <w:i/>
                              </w:rPr>
                              <w:t xml:space="preserve"> </w:t>
                            </w:r>
                            <w:r>
                              <w:t xml:space="preserve">(the Act), the </w:t>
                            </w:r>
                            <w:proofErr w:type="spellStart"/>
                            <w:r>
                              <w:t>GMST</w:t>
                            </w:r>
                            <w:proofErr w:type="spellEnd"/>
                            <w:r>
                              <w:t xml:space="preserve"> </w:t>
                            </w:r>
                            <w:r w:rsidRPr="00893F87">
                              <w:t>prescribe</w:t>
                            </w:r>
                            <w:r w:rsidR="007E0D9D">
                              <w:t>s</w:t>
                            </w:r>
                            <w:r>
                              <w:t xml:space="preserve"> tables of medical services containing</w:t>
                            </w:r>
                            <w:r w:rsidRPr="00893F87">
                              <w:t xml:space="preserve"> items of </w:t>
                            </w:r>
                            <w:r>
                              <w:t xml:space="preserve">medical </w:t>
                            </w:r>
                            <w:r w:rsidRPr="00893F87">
                              <w:t>services, the amounts of fees applicable for each item, and rules for interpretation.</w:t>
                            </w:r>
                            <w:r>
                              <w:t xml:space="preserve"> The regulation will amend </w:t>
                            </w:r>
                            <w:r w:rsidR="007E0D9D">
                              <w:t xml:space="preserve">the </w:t>
                            </w:r>
                            <w:proofErr w:type="spellStart"/>
                            <w:r w:rsidR="007E0D9D">
                              <w:t>GMST</w:t>
                            </w:r>
                            <w:proofErr w:type="spellEnd"/>
                            <w:r w:rsidR="007E0D9D">
                              <w:t xml:space="preserve"> on 1 November 2014 by </w:t>
                            </w:r>
                            <w:r w:rsidR="005D3CED">
                              <w:t xml:space="preserve">inserting a new clause that restricts </w:t>
                            </w:r>
                            <w:r w:rsidR="007E0D9D">
                              <w:t>36 consultation</w:t>
                            </w:r>
                            <w:r w:rsidR="007E0D9D" w:rsidRPr="00F169CB">
                              <w:t xml:space="preserve"> items</w:t>
                            </w:r>
                            <w:r w:rsidR="007E0D9D">
                              <w:t xml:space="preserve"> </w:t>
                            </w:r>
                            <w:r w:rsidR="007E0D9D" w:rsidRPr="00F169CB">
                              <w:t>from being claimed with</w:t>
                            </w:r>
                            <w:r w:rsidR="007E0D9D">
                              <w:t xml:space="preserve"> three chronic disease management items</w:t>
                            </w:r>
                            <w:r w:rsidR="007E0D9D" w:rsidRPr="00F169CB">
                              <w:t xml:space="preserve"> by the same provider, for th</w:t>
                            </w:r>
                            <w:r w:rsidR="007E0D9D">
                              <w:t xml:space="preserve">e same patient, on the same day. </w:t>
                            </w:r>
                          </w:p>
                          <w:p w:rsidR="005D3CED" w:rsidRDefault="005D3CED" w:rsidP="007E0D9D"/>
                          <w:p w:rsidR="005D3CED" w:rsidRDefault="005D3CED" w:rsidP="005D3CED">
                            <w:pPr>
                              <w:spacing w:before="120" w:after="120"/>
                              <w:rPr>
                                <w:b/>
                                <w:szCs w:val="24"/>
                              </w:rPr>
                            </w:pPr>
                            <w:r w:rsidRPr="00D664E6">
                              <w:rPr>
                                <w:b/>
                                <w:szCs w:val="24"/>
                              </w:rPr>
                              <w:t>Human rights implications</w:t>
                            </w:r>
                          </w:p>
                          <w:p w:rsidR="005D3CED" w:rsidRDefault="005D3CED" w:rsidP="005D3CED">
                            <w:pPr>
                              <w:spacing w:before="120" w:after="120"/>
                              <w:rPr>
                                <w:szCs w:val="24"/>
                              </w:rPr>
                            </w:pPr>
                            <w:r w:rsidRPr="00893F87">
                              <w:rPr>
                                <w:szCs w:val="24"/>
                              </w:rPr>
                              <w:t>The regulations engage Articles 2, 9</w:t>
                            </w:r>
                            <w:r>
                              <w:rPr>
                                <w:szCs w:val="24"/>
                              </w:rPr>
                              <w:t>,</w:t>
                            </w:r>
                            <w:r w:rsidRPr="00893F87">
                              <w:rPr>
                                <w:szCs w:val="24"/>
                              </w:rPr>
                              <w:t xml:space="preserve"> and 12 of the International Covenant on Economic Social and Cultural Rights (</w:t>
                            </w:r>
                            <w:proofErr w:type="spellStart"/>
                            <w:r w:rsidRPr="00893F87">
                              <w:rPr>
                                <w:szCs w:val="24"/>
                              </w:rPr>
                              <w:t>ICESCR</w:t>
                            </w:r>
                            <w:proofErr w:type="spellEnd"/>
                            <w:r w:rsidRPr="00893F87">
                              <w:rPr>
                                <w:szCs w:val="24"/>
                              </w:rPr>
                              <w:t xml:space="preserve">), specifically the rights </w:t>
                            </w:r>
                            <w:r>
                              <w:rPr>
                                <w:szCs w:val="24"/>
                              </w:rPr>
                              <w:t xml:space="preserve">to health and social security. </w:t>
                            </w:r>
                          </w:p>
                          <w:p w:rsidR="005D3CED" w:rsidRPr="00893F87" w:rsidRDefault="005D3CED" w:rsidP="005D3CED">
                            <w:pPr>
                              <w:spacing w:before="120" w:after="120"/>
                              <w:rPr>
                                <w:i/>
                                <w:szCs w:val="24"/>
                              </w:rPr>
                            </w:pPr>
                            <w:r w:rsidRPr="00893F87">
                              <w:rPr>
                                <w:i/>
                                <w:szCs w:val="24"/>
                              </w:rPr>
                              <w:t>The Right to Health</w:t>
                            </w:r>
                          </w:p>
                          <w:p w:rsidR="005D3CED" w:rsidRPr="005D3CED" w:rsidRDefault="005D3CED" w:rsidP="005D3CED">
                            <w:pPr>
                              <w:spacing w:before="120" w:after="120"/>
                              <w:rPr>
                                <w:szCs w:val="24"/>
                              </w:rPr>
                            </w:pPr>
                            <w:r w:rsidRPr="00893F87">
                              <w:rPr>
                                <w:szCs w:val="24"/>
                              </w:rPr>
                              <w:t>The right to the enjoyment of the highest attainable standard of physical and</w:t>
                            </w:r>
                            <w:r>
                              <w:rPr>
                                <w:szCs w:val="24"/>
                              </w:rPr>
                              <w:t xml:space="preserve"> mental health is contained in A</w:t>
                            </w:r>
                            <w:r w:rsidRPr="00893F87">
                              <w:rPr>
                                <w:szCs w:val="24"/>
                              </w:rPr>
                              <w:t xml:space="preserve">rticle 12(1) of the </w:t>
                            </w:r>
                            <w:proofErr w:type="spellStart"/>
                            <w:r w:rsidRPr="00893F87">
                              <w:rPr>
                                <w:szCs w:val="24"/>
                              </w:rPr>
                              <w:t>ICESCR</w:t>
                            </w:r>
                            <w:proofErr w:type="spellEnd"/>
                            <w:r w:rsidRPr="00893F87">
                              <w:rPr>
                                <w:szCs w:val="24"/>
                              </w:rPr>
                              <w:t>. The UN Committee on Economic Social and</w:t>
                            </w:r>
                            <w:r w:rsidRPr="007D57BA">
                              <w:rPr>
                                <w:szCs w:val="24"/>
                              </w:rPr>
                              <w:t xml:space="preserve"> </w:t>
                            </w:r>
                            <w:r w:rsidRPr="00893F87">
                              <w:rPr>
                                <w:szCs w:val="24"/>
                              </w:rPr>
                              <w:t>Cultural Rights (the Committee) has stated that the right to health is not a right for each individual to be healthy, but is a right to a system of health protection which provides equality of opportunity for people to enjoy the highest attainable leve</w:t>
                            </w:r>
                            <w:r>
                              <w:rPr>
                                <w:szCs w:val="24"/>
                              </w:rPr>
                              <w:t xml:space="preserve">l of health. </w:t>
                            </w:r>
                          </w:p>
                          <w:p w:rsidR="005D3CED" w:rsidRPr="00165912" w:rsidRDefault="005D3CED" w:rsidP="005D3CED">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w:t>
                            </w:r>
                            <w:r>
                              <w:rPr>
                                <w:szCs w:val="24"/>
                              </w:rPr>
                              <w:t>,</w:t>
                            </w:r>
                            <w:r w:rsidRPr="00893F87">
                              <w:rPr>
                                <w:szCs w:val="24"/>
                              </w:rPr>
                              <w:t xml:space="preserve"> and con</w:t>
                            </w:r>
                            <w:r>
                              <w:rPr>
                                <w:szCs w:val="24"/>
                              </w:rPr>
                              <w:t>ditions necessary for the realis</w:t>
                            </w:r>
                            <w:r w:rsidRPr="00893F87">
                              <w:rPr>
                                <w:szCs w:val="24"/>
                              </w:rPr>
                              <w:t xml:space="preserve">ation of the highest attainable standard of health. </w:t>
                            </w:r>
                          </w:p>
                          <w:p w:rsidR="005D3CED" w:rsidRPr="00893F87" w:rsidRDefault="005D3CED" w:rsidP="005D3CED">
                            <w:pPr>
                              <w:spacing w:before="120" w:after="120"/>
                              <w:rPr>
                                <w:i/>
                                <w:szCs w:val="24"/>
                              </w:rPr>
                            </w:pPr>
                            <w:r w:rsidRPr="00893F87">
                              <w:rPr>
                                <w:i/>
                                <w:szCs w:val="24"/>
                              </w:rPr>
                              <w:t xml:space="preserve">The Right to Social Security </w:t>
                            </w:r>
                          </w:p>
                          <w:p w:rsidR="005D3CED" w:rsidRDefault="005D3CED" w:rsidP="005D3CED">
                            <w:pPr>
                              <w:rPr>
                                <w:szCs w:val="24"/>
                              </w:rPr>
                            </w:pPr>
                            <w:r w:rsidRPr="00893F87">
                              <w:rPr>
                                <w:szCs w:val="24"/>
                              </w:rPr>
                              <w:t>The right to s</w:t>
                            </w:r>
                            <w:r>
                              <w:rPr>
                                <w:szCs w:val="24"/>
                              </w:rPr>
                              <w:t>ocial security is contained in A</w:t>
                            </w:r>
                            <w:r w:rsidRPr="00893F87">
                              <w:rPr>
                                <w:szCs w:val="24"/>
                              </w:rPr>
                              <w:t xml:space="preserve">rticle 9 of the </w:t>
                            </w:r>
                            <w:proofErr w:type="spellStart"/>
                            <w:r w:rsidRPr="00893F87">
                              <w:rPr>
                                <w:szCs w:val="24"/>
                              </w:rPr>
                              <w:t>ICESCR</w:t>
                            </w:r>
                            <w:proofErr w:type="spellEnd"/>
                            <w:r w:rsidRPr="00893F87">
                              <w:rPr>
                                <w:szCs w:val="24"/>
                              </w:rPr>
                              <w:t>. It requires that a country must, within i</w:t>
                            </w:r>
                            <w:r>
                              <w:rPr>
                                <w:szCs w:val="24"/>
                              </w:rPr>
                              <w:t>ts maximum a</w:t>
                            </w:r>
                            <w:r w:rsidRPr="00893F87">
                              <w:rPr>
                                <w:szCs w:val="24"/>
                              </w:rPr>
                              <w:t>vailable resources, ensure access to a social security scheme that</w:t>
                            </w:r>
                          </w:p>
                          <w:p w:rsidR="005D3CED" w:rsidRPr="00893F87" w:rsidRDefault="005D3CED" w:rsidP="005D3CED">
                            <w:pPr>
                              <w:rPr>
                                <w:szCs w:val="24"/>
                              </w:rPr>
                            </w:pPr>
                            <w:r w:rsidRPr="00893F87">
                              <w:rPr>
                                <w:szCs w:val="24"/>
                              </w:rPr>
                              <w:t>provides a minimum essential level of benefits to all individuals and families that will enable</w:t>
                            </w:r>
                            <w:r>
                              <w:rPr>
                                <w:szCs w:val="24"/>
                              </w:rPr>
                              <w:t xml:space="preserve"> </w:t>
                            </w:r>
                            <w:r w:rsidRPr="00893F87">
                              <w:rPr>
                                <w:szCs w:val="24"/>
                              </w:rPr>
                              <w:t xml:space="preserve">them to acquire at least essential health care. Countries are obliged to demonstrate that every effort has been made to use all resources that are at their disposal in an effort to satisfy, as a matter of priority, this minimum obligation. </w:t>
                            </w:r>
                          </w:p>
                          <w:p w:rsidR="005D3CED" w:rsidRDefault="005D3CED" w:rsidP="007E0D9D"/>
                          <w:p w:rsidR="00F90273" w:rsidRPr="00D664E6" w:rsidRDefault="00F90273" w:rsidP="00F90273">
                            <w:pPr>
                              <w:spacing w:before="120" w:after="120"/>
                              <w:jc w:val="right"/>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6pt;margin-top:-16.35pt;width:485.2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" strokeweight="6pt">
                <v:stroke linestyle="thickBetweenThin"/>
                <v:textbox inset="5mm,,5mm">
                  <w:txbxContent>
                    <w:p w:rsidR="00F90273" w:rsidRPr="00D664E6" w:rsidRDefault="00F90273" w:rsidP="00F90273">
                      <w:pPr>
                        <w:spacing w:before="360" w:after="120"/>
                        <w:jc w:val="center"/>
                        <w:rPr>
                          <w:b/>
                          <w:sz w:val="28"/>
                          <w:szCs w:val="28"/>
                        </w:rPr>
                      </w:pPr>
                      <w:r w:rsidRPr="00D664E6">
                        <w:rPr>
                          <w:b/>
                          <w:sz w:val="28"/>
                          <w:szCs w:val="28"/>
                        </w:rPr>
                        <w:t>Statement of Compatibility with Human Rights</w:t>
                      </w:r>
                    </w:p>
                    <w:p w:rsidR="00F90273" w:rsidRPr="00D664E6" w:rsidRDefault="00F90273" w:rsidP="00F90273">
                      <w:pPr>
                        <w:spacing w:before="120" w:after="120"/>
                        <w:jc w:val="center"/>
                        <w:rPr>
                          <w:szCs w:val="24"/>
                        </w:rPr>
                      </w:pPr>
                      <w:r w:rsidRPr="00D664E6">
                        <w:rPr>
                          <w:i/>
                          <w:szCs w:val="24"/>
                        </w:rPr>
                        <w:t>Prepared in accordance with Part 3 of the Human Rights (Parliamentary Scrutiny) Act 2011</w:t>
                      </w:r>
                    </w:p>
                    <w:p w:rsidR="00F90273" w:rsidRPr="00D664E6" w:rsidRDefault="00F90273" w:rsidP="00F90273">
                      <w:pPr>
                        <w:spacing w:before="120" w:after="120"/>
                        <w:jc w:val="center"/>
                        <w:rPr>
                          <w:szCs w:val="24"/>
                        </w:rPr>
                      </w:pPr>
                    </w:p>
                    <w:p w:rsidR="00F90273" w:rsidRDefault="00F90273" w:rsidP="00F90273">
                      <w:pPr>
                        <w:tabs>
                          <w:tab w:val="left" w:pos="1418"/>
                        </w:tabs>
                        <w:ind w:left="851"/>
                        <w:jc w:val="center"/>
                        <w:rPr>
                          <w:b/>
                          <w:i/>
                          <w:szCs w:val="24"/>
                        </w:rPr>
                      </w:pPr>
                      <w:r w:rsidRPr="00F90273">
                        <w:rPr>
                          <w:b/>
                          <w:i/>
                          <w:szCs w:val="24"/>
                        </w:rPr>
                        <w:t>Health Insurance (General Medical Services Table) Amendment (Chronic Disease Management) Regulation 2014</w:t>
                      </w:r>
                    </w:p>
                    <w:p w:rsidR="00F90273" w:rsidRPr="00F90273" w:rsidRDefault="00F90273" w:rsidP="00F90273">
                      <w:pPr>
                        <w:tabs>
                          <w:tab w:val="left" w:pos="1418"/>
                        </w:tabs>
                        <w:ind w:left="851"/>
                        <w:jc w:val="center"/>
                        <w:rPr>
                          <w:b/>
                          <w:i/>
                          <w:szCs w:val="24"/>
                        </w:rPr>
                      </w:pPr>
                    </w:p>
                    <w:p w:rsidR="00F90273" w:rsidRDefault="00F90273" w:rsidP="00F90273">
                      <w:pPr>
                        <w:jc w:val="center"/>
                        <w:rPr>
                          <w:szCs w:val="24"/>
                        </w:rPr>
                      </w:pPr>
                      <w:r>
                        <w:rPr>
                          <w:szCs w:val="24"/>
                        </w:rPr>
                        <w:t xml:space="preserve">This </w:t>
                      </w:r>
                      <w:r w:rsidRPr="00D664E6">
                        <w:rPr>
                          <w:szCs w:val="24"/>
                        </w:rPr>
                        <w:t xml:space="preserve">Legislative Instrument is compatible with the human rights and freedoms recognised or declared in the international instruments listed in section 3 of the </w:t>
                      </w:r>
                      <w:r w:rsidRPr="00D664E6">
                        <w:rPr>
                          <w:i/>
                          <w:szCs w:val="24"/>
                        </w:rPr>
                        <w:t>Human Rights (Parliamentary Scrutiny) Act 2011</w:t>
                      </w:r>
                      <w:r w:rsidRPr="00D664E6">
                        <w:rPr>
                          <w:szCs w:val="24"/>
                        </w:rPr>
                        <w:t>.</w:t>
                      </w:r>
                    </w:p>
                    <w:p w:rsidR="00F90273" w:rsidRDefault="00F90273" w:rsidP="00F90273">
                      <w:pPr>
                        <w:jc w:val="center"/>
                        <w:rPr>
                          <w:szCs w:val="24"/>
                        </w:rPr>
                      </w:pPr>
                    </w:p>
                    <w:p w:rsidR="00F90273" w:rsidRDefault="00F90273" w:rsidP="00F90273">
                      <w:pPr>
                        <w:jc w:val="both"/>
                        <w:rPr>
                          <w:szCs w:val="24"/>
                        </w:rPr>
                      </w:pPr>
                    </w:p>
                    <w:p w:rsidR="00F90273" w:rsidRPr="00D664E6" w:rsidRDefault="00F90273" w:rsidP="00F90273">
                      <w:pPr>
                        <w:jc w:val="both"/>
                        <w:rPr>
                          <w:b/>
                          <w:szCs w:val="24"/>
                        </w:rPr>
                      </w:pPr>
                      <w:r>
                        <w:rPr>
                          <w:b/>
                          <w:szCs w:val="24"/>
                        </w:rPr>
                        <w:t xml:space="preserve">Overview of the </w:t>
                      </w:r>
                      <w:r w:rsidRPr="00D664E6">
                        <w:rPr>
                          <w:b/>
                          <w:szCs w:val="24"/>
                        </w:rPr>
                        <w:t>Legislative Instrument</w:t>
                      </w:r>
                    </w:p>
                    <w:p w:rsidR="007E0D9D" w:rsidRPr="007E0D9D" w:rsidRDefault="00F90273" w:rsidP="00F90273">
                      <w:pPr>
                        <w:tabs>
                          <w:tab w:val="left" w:pos="1418"/>
                        </w:tabs>
                      </w:pPr>
                      <w:r w:rsidRPr="00893F87">
                        <w:rPr>
                          <w:szCs w:val="24"/>
                        </w:rPr>
                        <w:t xml:space="preserve">The </w:t>
                      </w:r>
                      <w:r w:rsidRPr="00F90273">
                        <w:rPr>
                          <w:i/>
                          <w:szCs w:val="24"/>
                        </w:rPr>
                        <w:t>Health Insurance (General Medical Services Table) Amendment (Chronic Disease Management) Regulation 2014</w:t>
                      </w:r>
                      <w:r w:rsidRPr="00893F87">
                        <w:rPr>
                          <w:b/>
                          <w:i/>
                          <w:szCs w:val="24"/>
                        </w:rPr>
                        <w:t xml:space="preserve"> </w:t>
                      </w:r>
                      <w:r w:rsidRPr="00944DDF">
                        <w:rPr>
                          <w:szCs w:val="24"/>
                        </w:rPr>
                        <w:t>(the Amendment Regulation)</w:t>
                      </w:r>
                      <w:r>
                        <w:rPr>
                          <w:b/>
                          <w:i/>
                          <w:szCs w:val="24"/>
                        </w:rPr>
                        <w:t xml:space="preserve"> </w:t>
                      </w:r>
                      <w:r>
                        <w:rPr>
                          <w:szCs w:val="24"/>
                        </w:rPr>
                        <w:t xml:space="preserve">amends </w:t>
                      </w:r>
                      <w:r w:rsidRPr="00893F87">
                        <w:rPr>
                          <w:szCs w:val="24"/>
                        </w:rPr>
                        <w:t xml:space="preserve">the </w:t>
                      </w:r>
                      <w:r w:rsidRPr="00893F87">
                        <w:rPr>
                          <w:i/>
                          <w:szCs w:val="24"/>
                        </w:rPr>
                        <w:t>Health Insurance (General Medical</w:t>
                      </w:r>
                      <w:r>
                        <w:rPr>
                          <w:i/>
                          <w:szCs w:val="24"/>
                        </w:rPr>
                        <w:t xml:space="preserve"> Services Table) Regulation 2014</w:t>
                      </w:r>
                      <w:r w:rsidRPr="00893F87">
                        <w:rPr>
                          <w:szCs w:val="24"/>
                        </w:rPr>
                        <w:t xml:space="preserve"> </w:t>
                      </w:r>
                      <w:r>
                        <w:rPr>
                          <w:szCs w:val="24"/>
                        </w:rPr>
                        <w:t>(GMST)</w:t>
                      </w:r>
                      <w:r>
                        <w:t xml:space="preserve">, </w:t>
                      </w:r>
                      <w:r w:rsidRPr="00893F87">
                        <w:rPr>
                          <w:szCs w:val="24"/>
                        </w:rPr>
                        <w:t xml:space="preserve">to </w:t>
                      </w:r>
                      <w:r>
                        <w:rPr>
                          <w:szCs w:val="24"/>
                        </w:rPr>
                        <w:t xml:space="preserve">implement the 2013-14 Budget measure </w:t>
                      </w:r>
                      <w:r>
                        <w:t xml:space="preserve">– </w:t>
                      </w:r>
                      <w:r w:rsidRPr="00613C46">
                        <w:rPr>
                          <w:i/>
                        </w:rPr>
                        <w:t>‘Med</w:t>
                      </w:r>
                      <w:r w:rsidR="002D03AB">
                        <w:rPr>
                          <w:i/>
                        </w:rPr>
                        <w:t>icare Benefits Schedule – R</w:t>
                      </w:r>
                      <w:r w:rsidRPr="00613C46">
                        <w:rPr>
                          <w:i/>
                        </w:rPr>
                        <w:t>emoving double billing’</w:t>
                      </w:r>
                      <w:r>
                        <w:rPr>
                          <w:i/>
                        </w:rPr>
                        <w:t xml:space="preserve">, </w:t>
                      </w:r>
                      <w:r w:rsidRPr="00613C46">
                        <w:t xml:space="preserve">which is to take effect </w:t>
                      </w:r>
                      <w:r w:rsidR="002D03AB">
                        <w:t xml:space="preserve">on </w:t>
                      </w:r>
                      <w:r w:rsidRPr="00613C46">
                        <w:t>1 November 2014.</w:t>
                      </w:r>
                    </w:p>
                    <w:p w:rsidR="00F90273" w:rsidRDefault="00F90273" w:rsidP="00F90273">
                      <w:pPr>
                        <w:tabs>
                          <w:tab w:val="left" w:pos="1418"/>
                        </w:tabs>
                        <w:rPr>
                          <w:szCs w:val="24"/>
                        </w:rPr>
                      </w:pPr>
                    </w:p>
                    <w:p w:rsidR="007E0D9D" w:rsidRDefault="00F90273" w:rsidP="007E0D9D">
                      <w:r w:rsidRPr="00893F87">
                        <w:t>In accordance with s</w:t>
                      </w:r>
                      <w:r>
                        <w:t>ection</w:t>
                      </w:r>
                      <w:r w:rsidRPr="00893F87">
                        <w:t xml:space="preserve"> 4</w:t>
                      </w:r>
                      <w:r>
                        <w:t>(1)</w:t>
                      </w:r>
                      <w:r w:rsidRPr="00893F87">
                        <w:t xml:space="preserve"> of the </w:t>
                      </w:r>
                      <w:r w:rsidRPr="00893F87">
                        <w:rPr>
                          <w:i/>
                        </w:rPr>
                        <w:t>Health Insurance Act 1973</w:t>
                      </w:r>
                      <w:r>
                        <w:rPr>
                          <w:i/>
                        </w:rPr>
                        <w:t xml:space="preserve"> </w:t>
                      </w:r>
                      <w:r>
                        <w:t xml:space="preserve">(the Act), the GMST </w:t>
                      </w:r>
                      <w:r w:rsidRPr="00893F87">
                        <w:t>prescribe</w:t>
                      </w:r>
                      <w:r w:rsidR="007E0D9D">
                        <w:t>s</w:t>
                      </w:r>
                      <w:r>
                        <w:t xml:space="preserve"> tables of medical services containing</w:t>
                      </w:r>
                      <w:r w:rsidRPr="00893F87">
                        <w:t xml:space="preserve"> items of </w:t>
                      </w:r>
                      <w:r>
                        <w:t xml:space="preserve">medical </w:t>
                      </w:r>
                      <w:r w:rsidRPr="00893F87">
                        <w:t>services, the amounts of fees applicable for each item, and rules for interpretation.</w:t>
                      </w:r>
                      <w:r>
                        <w:t xml:space="preserve"> The regulation will amend </w:t>
                      </w:r>
                      <w:r w:rsidR="007E0D9D">
                        <w:t xml:space="preserve">the GMST on 1 November 2014 by </w:t>
                      </w:r>
                      <w:r w:rsidR="005D3CED">
                        <w:t xml:space="preserve">inserting a new clause that restricts </w:t>
                      </w:r>
                      <w:r w:rsidR="007E0D9D">
                        <w:t>36 consultation</w:t>
                      </w:r>
                      <w:r w:rsidR="007E0D9D" w:rsidRPr="00F169CB">
                        <w:t xml:space="preserve"> items</w:t>
                      </w:r>
                      <w:r w:rsidR="007E0D9D">
                        <w:t xml:space="preserve"> </w:t>
                      </w:r>
                      <w:r w:rsidR="007E0D9D" w:rsidRPr="00F169CB">
                        <w:t>from being claimed with</w:t>
                      </w:r>
                      <w:r w:rsidR="007E0D9D">
                        <w:t xml:space="preserve"> three chronic disease management items</w:t>
                      </w:r>
                      <w:r w:rsidR="007E0D9D" w:rsidRPr="00F169CB">
                        <w:t xml:space="preserve"> by the same provider, for th</w:t>
                      </w:r>
                      <w:r w:rsidR="007E0D9D">
                        <w:t xml:space="preserve">e same patient, on the same day. </w:t>
                      </w:r>
                    </w:p>
                    <w:p w:rsidR="005D3CED" w:rsidRDefault="005D3CED" w:rsidP="007E0D9D"/>
                    <w:p w:rsidR="005D3CED" w:rsidRDefault="005D3CED" w:rsidP="005D3CED">
                      <w:pPr>
                        <w:spacing w:before="120" w:after="120"/>
                        <w:rPr>
                          <w:b/>
                          <w:szCs w:val="24"/>
                        </w:rPr>
                      </w:pPr>
                      <w:r w:rsidRPr="00D664E6">
                        <w:rPr>
                          <w:b/>
                          <w:szCs w:val="24"/>
                        </w:rPr>
                        <w:t>Human rights implications</w:t>
                      </w:r>
                    </w:p>
                    <w:p w:rsidR="005D3CED" w:rsidRDefault="005D3CED" w:rsidP="005D3CED">
                      <w:pPr>
                        <w:spacing w:before="120" w:after="120"/>
                        <w:rPr>
                          <w:szCs w:val="24"/>
                        </w:rPr>
                      </w:pPr>
                      <w:r w:rsidRPr="00893F87">
                        <w:rPr>
                          <w:szCs w:val="24"/>
                        </w:rPr>
                        <w:t>The regulations engage Articles 2, 9</w:t>
                      </w:r>
                      <w:r>
                        <w:rPr>
                          <w:szCs w:val="24"/>
                        </w:rPr>
                        <w:t>,</w:t>
                      </w:r>
                      <w:r w:rsidRPr="00893F87">
                        <w:rPr>
                          <w:szCs w:val="24"/>
                        </w:rPr>
                        <w:t xml:space="preserve"> and 12 of the International Covenant on Economic Social and Cultural Rights (ICESCR), specifically the rights </w:t>
                      </w:r>
                      <w:r>
                        <w:rPr>
                          <w:szCs w:val="24"/>
                        </w:rPr>
                        <w:t xml:space="preserve">to health and social security. </w:t>
                      </w:r>
                    </w:p>
                    <w:p w:rsidR="005D3CED" w:rsidRPr="00893F87" w:rsidRDefault="005D3CED" w:rsidP="005D3CED">
                      <w:pPr>
                        <w:spacing w:before="120" w:after="120"/>
                        <w:rPr>
                          <w:i/>
                          <w:szCs w:val="24"/>
                        </w:rPr>
                      </w:pPr>
                      <w:r w:rsidRPr="00893F87">
                        <w:rPr>
                          <w:i/>
                          <w:szCs w:val="24"/>
                        </w:rPr>
                        <w:t>The Right to Health</w:t>
                      </w:r>
                    </w:p>
                    <w:p w:rsidR="005D3CED" w:rsidRPr="005D3CED" w:rsidRDefault="005D3CED" w:rsidP="005D3CED">
                      <w:pPr>
                        <w:spacing w:before="120" w:after="120"/>
                        <w:rPr>
                          <w:szCs w:val="24"/>
                        </w:rPr>
                      </w:pPr>
                      <w:r w:rsidRPr="00893F87">
                        <w:rPr>
                          <w:szCs w:val="24"/>
                        </w:rPr>
                        <w:t>The right to the enjoyment of the highest attainable standard of physical and</w:t>
                      </w:r>
                      <w:r>
                        <w:rPr>
                          <w:szCs w:val="24"/>
                        </w:rPr>
                        <w:t xml:space="preserve"> mental health is contained in A</w:t>
                      </w:r>
                      <w:r w:rsidRPr="00893F87">
                        <w:rPr>
                          <w:szCs w:val="24"/>
                        </w:rPr>
                        <w:t>rticle 12(1) of the ICESCR. The UN Committee on Economic Social and</w:t>
                      </w:r>
                      <w:r w:rsidRPr="007D57BA">
                        <w:rPr>
                          <w:szCs w:val="24"/>
                        </w:rPr>
                        <w:t xml:space="preserve"> </w:t>
                      </w:r>
                      <w:r w:rsidRPr="00893F87">
                        <w:rPr>
                          <w:szCs w:val="24"/>
                        </w:rPr>
                        <w:t>Cultural Rights (the Committee) has stated that the right to health is not a right for each individual to be healthy, but is a right to a system of health protection which provides equality of opportunity for people to enjoy the highest attainable leve</w:t>
                      </w:r>
                      <w:r>
                        <w:rPr>
                          <w:szCs w:val="24"/>
                        </w:rPr>
                        <w:t xml:space="preserve">l of health. </w:t>
                      </w:r>
                    </w:p>
                    <w:p w:rsidR="005D3CED" w:rsidRPr="00165912" w:rsidRDefault="005D3CED" w:rsidP="005D3CED">
                      <w:pPr>
                        <w:spacing w:before="120" w:after="120"/>
                        <w:rPr>
                          <w:szCs w:val="24"/>
                        </w:rPr>
                      </w:pPr>
                      <w:r w:rsidRPr="00893F87">
                        <w:rPr>
                          <w:szCs w:val="24"/>
                        </w:rPr>
                        <w:t xml:space="preserve">The Committee reports that the </w:t>
                      </w:r>
                      <w:r w:rsidRPr="00893F87">
                        <w:rPr>
                          <w:i/>
                          <w:szCs w:val="24"/>
                        </w:rPr>
                        <w:t>‘highest attainable standard of health’</w:t>
                      </w:r>
                      <w:r w:rsidRPr="00893F87">
                        <w:rPr>
                          <w:szCs w:val="24"/>
                        </w:rPr>
                        <w:t xml:space="preserve"> takes into account the country’s available resources. This right may be understood as a right of access to a variety of public health and health care facilities, goods, services, programs</w:t>
                      </w:r>
                      <w:r>
                        <w:rPr>
                          <w:szCs w:val="24"/>
                        </w:rPr>
                        <w:t>,</w:t>
                      </w:r>
                      <w:r w:rsidRPr="00893F87">
                        <w:rPr>
                          <w:szCs w:val="24"/>
                        </w:rPr>
                        <w:t xml:space="preserve"> and con</w:t>
                      </w:r>
                      <w:r>
                        <w:rPr>
                          <w:szCs w:val="24"/>
                        </w:rPr>
                        <w:t>ditions necessary for the realis</w:t>
                      </w:r>
                      <w:r w:rsidRPr="00893F87">
                        <w:rPr>
                          <w:szCs w:val="24"/>
                        </w:rPr>
                        <w:t xml:space="preserve">ation of the highest attainable standard of health. </w:t>
                      </w:r>
                    </w:p>
                    <w:p w:rsidR="005D3CED" w:rsidRPr="00893F87" w:rsidRDefault="005D3CED" w:rsidP="005D3CED">
                      <w:pPr>
                        <w:spacing w:before="120" w:after="120"/>
                        <w:rPr>
                          <w:i/>
                          <w:szCs w:val="24"/>
                        </w:rPr>
                      </w:pPr>
                      <w:r w:rsidRPr="00893F87">
                        <w:rPr>
                          <w:i/>
                          <w:szCs w:val="24"/>
                        </w:rPr>
                        <w:t xml:space="preserve">The Right to Social Security </w:t>
                      </w:r>
                    </w:p>
                    <w:p w:rsidR="005D3CED" w:rsidRDefault="005D3CED" w:rsidP="005D3CED">
                      <w:pPr>
                        <w:rPr>
                          <w:szCs w:val="24"/>
                        </w:rPr>
                      </w:pPr>
                      <w:r w:rsidRPr="00893F87">
                        <w:rPr>
                          <w:szCs w:val="24"/>
                        </w:rPr>
                        <w:t>The right to s</w:t>
                      </w:r>
                      <w:r>
                        <w:rPr>
                          <w:szCs w:val="24"/>
                        </w:rPr>
                        <w:t>ocial security is contained in A</w:t>
                      </w:r>
                      <w:r w:rsidRPr="00893F87">
                        <w:rPr>
                          <w:szCs w:val="24"/>
                        </w:rPr>
                        <w:t>rticle 9 of the ICESCR. It requires that a country must, within i</w:t>
                      </w:r>
                      <w:r>
                        <w:rPr>
                          <w:szCs w:val="24"/>
                        </w:rPr>
                        <w:t>ts maximum a</w:t>
                      </w:r>
                      <w:r w:rsidRPr="00893F87">
                        <w:rPr>
                          <w:szCs w:val="24"/>
                        </w:rPr>
                        <w:t>vailable resources, ensure access to a social security scheme that</w:t>
                      </w:r>
                    </w:p>
                    <w:p w:rsidR="005D3CED" w:rsidRPr="00893F87" w:rsidRDefault="005D3CED" w:rsidP="005D3CED">
                      <w:pPr>
                        <w:rPr>
                          <w:szCs w:val="24"/>
                        </w:rPr>
                      </w:pPr>
                      <w:r w:rsidRPr="00893F87">
                        <w:rPr>
                          <w:szCs w:val="24"/>
                        </w:rPr>
                        <w:t>provides a minimum essential level of benefits to all individuals and families that will enable</w:t>
                      </w:r>
                      <w:r>
                        <w:rPr>
                          <w:szCs w:val="24"/>
                        </w:rPr>
                        <w:t xml:space="preserve"> </w:t>
                      </w:r>
                      <w:r w:rsidRPr="00893F87">
                        <w:rPr>
                          <w:szCs w:val="24"/>
                        </w:rPr>
                        <w:t xml:space="preserve">them to acquire at least essential health care. Countries are obliged to demonstrate that every effort has been made to use all resources that are at their disposal in an effort to satisfy, as a matter of priority, this minimum obligation. </w:t>
                      </w:r>
                    </w:p>
                    <w:p w:rsidR="005D3CED" w:rsidRDefault="005D3CED" w:rsidP="007E0D9D"/>
                    <w:p w:rsidR="00F90273" w:rsidRPr="00D664E6" w:rsidRDefault="00F90273" w:rsidP="00F90273">
                      <w:pPr>
                        <w:spacing w:before="120" w:after="120"/>
                        <w:jc w:val="right"/>
                        <w:rPr>
                          <w:szCs w:val="24"/>
                        </w:rPr>
                      </w:pPr>
                    </w:p>
                  </w:txbxContent>
                </v:textbox>
              </v:rect>
            </w:pict>
          </mc:Fallback>
        </mc:AlternateContent>
      </w: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szCs w:val="24"/>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r>
        <w:rPr>
          <w:b/>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-142875</wp:posOffset>
                </wp:positionV>
                <wp:extent cx="6203315" cy="4695825"/>
                <wp:effectExtent l="38100" t="38100" r="45085"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315" cy="4695825"/>
                        </a:xfrm>
                        <a:prstGeom prst="rect">
                          <a:avLst/>
                        </a:prstGeom>
                        <a:solidFill>
                          <a:srgbClr val="FFFFFF"/>
                        </a:solidFill>
                        <a:ln w="76200" cmpd="tri">
                          <a:solidFill>
                            <a:srgbClr val="000000"/>
                          </a:solidFill>
                          <a:miter lim="800000"/>
                          <a:headEnd/>
                          <a:tailEnd/>
                        </a:ln>
                      </wps:spPr>
                      <wps:txbx>
                        <w:txbxContent>
                          <w:p w:rsidR="00F90273" w:rsidRPr="007D57BA" w:rsidRDefault="00F90273" w:rsidP="006525D8">
                            <w:pPr>
                              <w:contextualSpacing/>
                            </w:pPr>
                          </w:p>
                          <w:p w:rsidR="00F90273" w:rsidRPr="00E16CD7" w:rsidRDefault="00F90273" w:rsidP="00414B0C">
                            <w:pPr>
                              <w:ind w:left="720"/>
                              <w:contextualSpacing/>
                            </w:pPr>
                          </w:p>
                          <w:p w:rsidR="005D3CED" w:rsidRPr="00165912" w:rsidRDefault="005D3CED" w:rsidP="005D3CED">
                            <w:pPr>
                              <w:rPr>
                                <w:szCs w:val="24"/>
                              </w:rPr>
                            </w:pPr>
                            <w:r w:rsidRPr="00893F87">
                              <w:rPr>
                                <w:szCs w:val="24"/>
                              </w:rPr>
                              <w:t>The Committee reports that there is a strong presumption that retrogressive measures taken in</w:t>
                            </w:r>
                            <w:r>
                              <w:rPr>
                                <w:szCs w:val="24"/>
                              </w:rPr>
                              <w:t xml:space="preserve"> </w:t>
                            </w:r>
                            <w:r w:rsidRPr="00893F87">
                              <w:rPr>
                                <w:szCs w:val="24"/>
                              </w:rPr>
                              <w:t xml:space="preserve">relation to the right to social security are prohibited under </w:t>
                            </w:r>
                            <w:proofErr w:type="spellStart"/>
                            <w:r w:rsidRPr="00893F87">
                              <w:rPr>
                                <w:szCs w:val="24"/>
                              </w:rPr>
                              <w:t>ICESCR</w:t>
                            </w:r>
                            <w:proofErr w:type="spellEnd"/>
                            <w:r w:rsidRPr="00893F87">
                              <w:rPr>
                                <w:szCs w:val="24"/>
                              </w:rPr>
                              <w:t>.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w:t>
                            </w:r>
                            <w:r>
                              <w:rPr>
                                <w:szCs w:val="24"/>
                              </w:rPr>
                              <w:t xml:space="preserve"> </w:t>
                            </w:r>
                            <w:r w:rsidRPr="00893F87">
                              <w:rPr>
                                <w:szCs w:val="24"/>
                              </w:rPr>
                              <w:t>all society, particularly the needs of the more di</w:t>
                            </w:r>
                            <w:r>
                              <w:rPr>
                                <w:szCs w:val="24"/>
                              </w:rPr>
                              <w:t>sadvantaged members of society.</w:t>
                            </w:r>
                          </w:p>
                          <w:p w:rsidR="005D3CED" w:rsidRPr="00893F87" w:rsidRDefault="005D3CED" w:rsidP="005D3CED">
                            <w:pPr>
                              <w:spacing w:before="120" w:after="120"/>
                              <w:rPr>
                                <w:szCs w:val="24"/>
                                <w:u w:val="single"/>
                              </w:rPr>
                            </w:pPr>
                            <w:r w:rsidRPr="00893F87">
                              <w:rPr>
                                <w:szCs w:val="24"/>
                                <w:u w:val="single"/>
                              </w:rPr>
                              <w:t xml:space="preserve">Analysis </w:t>
                            </w:r>
                          </w:p>
                          <w:p w:rsidR="00F90273" w:rsidRDefault="00081C37" w:rsidP="005D3CED">
                            <w:pPr>
                              <w:spacing w:before="120" w:after="120"/>
                              <w:rPr>
                                <w:szCs w:val="24"/>
                              </w:rPr>
                            </w:pPr>
                            <w:r>
                              <w:t xml:space="preserve">The amendment will improve the efficiency and effectiveness of Medicare by preventing the potential for practitioners to double bill Medicare for similar services. It will advance rights to health and social security by </w:t>
                            </w:r>
                            <w:r w:rsidR="000D3B79">
                              <w:t xml:space="preserve">ensuring </w:t>
                            </w:r>
                            <w:r w:rsidR="005D3CED" w:rsidRPr="00444FBB">
                              <w:rPr>
                                <w:szCs w:val="24"/>
                              </w:rPr>
                              <w:t>access to publicly subsidised health services</w:t>
                            </w:r>
                            <w:r w:rsidR="005D3CED">
                              <w:rPr>
                                <w:szCs w:val="24"/>
                              </w:rPr>
                              <w:t xml:space="preserve"> which are </w:t>
                            </w:r>
                            <w:r w:rsidR="000D3B79">
                              <w:rPr>
                                <w:szCs w:val="24"/>
                              </w:rPr>
                              <w:t>clinically effective</w:t>
                            </w:r>
                            <w:r w:rsidR="005D3CED">
                              <w:rPr>
                                <w:szCs w:val="24"/>
                              </w:rPr>
                              <w:t xml:space="preserve"> and cost-effective.</w:t>
                            </w:r>
                          </w:p>
                          <w:p w:rsidR="00181F74" w:rsidRDefault="00181F74" w:rsidP="005D3CED">
                            <w:pPr>
                              <w:spacing w:before="120" w:after="120"/>
                              <w:rPr>
                                <w:szCs w:val="24"/>
                              </w:rPr>
                            </w:pPr>
                          </w:p>
                          <w:p w:rsidR="005D3CED" w:rsidRPr="00F90273" w:rsidRDefault="005D3CED" w:rsidP="005D3CED">
                            <w:pPr>
                              <w:spacing w:before="120" w:after="120" w:line="276" w:lineRule="auto"/>
                              <w:rPr>
                                <w:rFonts w:eastAsia="Calibri"/>
                                <w:b/>
                                <w:szCs w:val="24"/>
                                <w:lang w:eastAsia="en-US"/>
                              </w:rPr>
                            </w:pPr>
                            <w:r w:rsidRPr="00F90273">
                              <w:rPr>
                                <w:rFonts w:eastAsia="Calibri"/>
                                <w:b/>
                                <w:szCs w:val="24"/>
                                <w:lang w:eastAsia="en-US"/>
                              </w:rPr>
                              <w:t xml:space="preserve">Conclusion </w:t>
                            </w:r>
                          </w:p>
                          <w:p w:rsidR="005D3CED" w:rsidRPr="00F90273" w:rsidRDefault="005D3CED" w:rsidP="005D3CED">
                            <w:pPr>
                              <w:rPr>
                                <w:rFonts w:eastAsia="Calibri"/>
                                <w:szCs w:val="24"/>
                                <w:lang w:eastAsia="en-US"/>
                              </w:rPr>
                            </w:pPr>
                            <w:r w:rsidRPr="00F90273">
                              <w:rPr>
                                <w:rFonts w:eastAsia="Calibri"/>
                                <w:szCs w:val="24"/>
                                <w:lang w:eastAsia="en-US"/>
                              </w:rPr>
                              <w:t>The Legislative Instrument is compatible with human rights because it advances the protection of human rights, and to the extent that it may limit human rights, those limitations are reasonable, necessary, and proportionate.</w:t>
                            </w:r>
                          </w:p>
                          <w:p w:rsidR="005D3CED" w:rsidRPr="00F90273" w:rsidRDefault="005D3CED" w:rsidP="005D3CED">
                            <w:pPr>
                              <w:rPr>
                                <w:rFonts w:eastAsia="Calibri"/>
                                <w:szCs w:val="24"/>
                                <w:lang w:eastAsia="en-US"/>
                              </w:rPr>
                            </w:pPr>
                          </w:p>
                          <w:p w:rsidR="005D3CED" w:rsidRPr="00F90273" w:rsidRDefault="005D3CED" w:rsidP="005D3CED">
                            <w:pPr>
                              <w:spacing w:before="120" w:after="120" w:line="276" w:lineRule="auto"/>
                              <w:jc w:val="center"/>
                              <w:rPr>
                                <w:rFonts w:eastAsia="Calibri"/>
                                <w:b/>
                                <w:bCs/>
                                <w:szCs w:val="24"/>
                                <w:lang w:eastAsia="en-US"/>
                              </w:rPr>
                            </w:pPr>
                            <w:r w:rsidRPr="00F90273">
                              <w:rPr>
                                <w:rFonts w:eastAsia="Calibri"/>
                                <w:b/>
                                <w:bCs/>
                                <w:szCs w:val="24"/>
                                <w:lang w:eastAsia="en-US"/>
                              </w:rPr>
                              <w:t xml:space="preserve">Peter Dutton </w:t>
                            </w:r>
                          </w:p>
                          <w:p w:rsidR="005D3CED" w:rsidRPr="00F90273" w:rsidRDefault="005D3CED" w:rsidP="005D3CED">
                            <w:pPr>
                              <w:spacing w:before="120" w:after="120" w:line="276" w:lineRule="auto"/>
                              <w:jc w:val="center"/>
                              <w:rPr>
                                <w:rFonts w:eastAsia="Calibri"/>
                                <w:szCs w:val="24"/>
                                <w:lang w:eastAsia="en-US"/>
                              </w:rPr>
                            </w:pPr>
                            <w:r w:rsidRPr="00F90273">
                              <w:rPr>
                                <w:rFonts w:eastAsia="Calibri"/>
                                <w:b/>
                                <w:bCs/>
                                <w:szCs w:val="24"/>
                                <w:lang w:eastAsia="en-US"/>
                              </w:rPr>
                              <w:t>Minister for Health</w:t>
                            </w:r>
                          </w:p>
                          <w:p w:rsidR="005D3CED" w:rsidRDefault="005D3CED" w:rsidP="005D3CED">
                            <w:pPr>
                              <w:spacing w:before="120" w:after="120"/>
                              <w:rPr>
                                <w:szCs w:val="24"/>
                              </w:rPr>
                            </w:pPr>
                          </w:p>
                          <w:p w:rsidR="005D3CED" w:rsidRPr="00444FBB" w:rsidRDefault="005D3CED" w:rsidP="005D3CED">
                            <w:pPr>
                              <w:spacing w:before="120" w:after="120"/>
                              <w:rPr>
                                <w:szCs w:val="24"/>
                              </w:rP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6.5pt;margin-top:-11.25pt;width:488.45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" strokeweight="6pt">
                <v:stroke linestyle="thickBetweenThin"/>
                <v:textbox inset="5mm,,5mm">
                  <w:txbxContent>
                    <w:p w:rsidR="00F90273" w:rsidRPr="007D57BA" w:rsidRDefault="00F90273" w:rsidP="006525D8">
                      <w:pPr>
                        <w:contextualSpacing/>
                      </w:pPr>
                    </w:p>
                    <w:p w:rsidR="00F90273" w:rsidRPr="00E16CD7" w:rsidRDefault="00F90273" w:rsidP="00414B0C">
                      <w:pPr>
                        <w:ind w:left="720"/>
                        <w:contextualSpacing/>
                      </w:pPr>
                    </w:p>
                    <w:p w:rsidR="005D3CED" w:rsidRPr="00165912" w:rsidRDefault="005D3CED" w:rsidP="005D3CED">
                      <w:pPr>
                        <w:rPr>
                          <w:szCs w:val="24"/>
                        </w:rPr>
                      </w:pPr>
                      <w:r w:rsidRPr="00893F87">
                        <w:rPr>
                          <w:szCs w:val="24"/>
                        </w:rPr>
                        <w:t>The Committee reports that there is a strong presumption that retrogressive measures taken in</w:t>
                      </w:r>
                      <w:r>
                        <w:rPr>
                          <w:szCs w:val="24"/>
                        </w:rPr>
                        <w:t xml:space="preserve"> </w:t>
                      </w:r>
                      <w:r w:rsidRPr="00893F87">
                        <w:rPr>
                          <w:szCs w:val="24"/>
                        </w:rPr>
                        <w:t>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w:t>
                      </w:r>
                      <w:r>
                        <w:rPr>
                          <w:szCs w:val="24"/>
                        </w:rPr>
                        <w:t xml:space="preserve"> </w:t>
                      </w:r>
                      <w:r w:rsidRPr="00893F87">
                        <w:rPr>
                          <w:szCs w:val="24"/>
                        </w:rPr>
                        <w:t>all society, particularly the needs of the more di</w:t>
                      </w:r>
                      <w:r>
                        <w:rPr>
                          <w:szCs w:val="24"/>
                        </w:rPr>
                        <w:t>sadvantaged members of society.</w:t>
                      </w:r>
                    </w:p>
                    <w:p w:rsidR="005D3CED" w:rsidRPr="00893F87" w:rsidRDefault="005D3CED" w:rsidP="005D3CED">
                      <w:pPr>
                        <w:spacing w:before="120" w:after="120"/>
                        <w:rPr>
                          <w:szCs w:val="24"/>
                          <w:u w:val="single"/>
                        </w:rPr>
                      </w:pPr>
                      <w:r w:rsidRPr="00893F87">
                        <w:rPr>
                          <w:szCs w:val="24"/>
                          <w:u w:val="single"/>
                        </w:rPr>
                        <w:t xml:space="preserve">Analysis </w:t>
                      </w:r>
                    </w:p>
                    <w:p w:rsidR="00F90273" w:rsidRDefault="00081C37" w:rsidP="005D3CED">
                      <w:pPr>
                        <w:spacing w:before="120" w:after="120"/>
                        <w:rPr>
                          <w:szCs w:val="24"/>
                        </w:rPr>
                      </w:pPr>
                      <w:r>
                        <w:t>The amendment</w:t>
                      </w:r>
                      <w:r>
                        <w:t xml:space="preserve"> will improve the efficiency and effectiveness of Medicare by preventing the potential for practitioners to double bill Medicare for similar services.</w:t>
                      </w:r>
                      <w:r>
                        <w:t xml:space="preserve"> It will advance rights to health and social security by </w:t>
                      </w:r>
                      <w:r w:rsidR="000D3B79">
                        <w:t xml:space="preserve">ensuring </w:t>
                      </w:r>
                      <w:r w:rsidR="005D3CED" w:rsidRPr="00444FBB">
                        <w:rPr>
                          <w:szCs w:val="24"/>
                        </w:rPr>
                        <w:t>access to publicly subsidised health services</w:t>
                      </w:r>
                      <w:r w:rsidR="005D3CED">
                        <w:rPr>
                          <w:szCs w:val="24"/>
                        </w:rPr>
                        <w:t xml:space="preserve"> which are </w:t>
                      </w:r>
                      <w:r w:rsidR="000D3B79">
                        <w:rPr>
                          <w:szCs w:val="24"/>
                        </w:rPr>
                        <w:t>clinically effective</w:t>
                      </w:r>
                      <w:r w:rsidR="005D3CED">
                        <w:rPr>
                          <w:szCs w:val="24"/>
                        </w:rPr>
                        <w:t xml:space="preserve"> and cost-effective.</w:t>
                      </w:r>
                    </w:p>
                    <w:p w:rsidR="00181F74" w:rsidRDefault="00181F74" w:rsidP="005D3CED">
                      <w:pPr>
                        <w:spacing w:before="120" w:after="120"/>
                        <w:rPr>
                          <w:szCs w:val="24"/>
                        </w:rPr>
                      </w:pPr>
                      <w:bookmarkStart w:id="1" w:name="_GoBack"/>
                      <w:bookmarkEnd w:id="1"/>
                    </w:p>
                    <w:p w:rsidR="005D3CED" w:rsidRPr="00F90273" w:rsidRDefault="005D3CED" w:rsidP="005D3CED">
                      <w:pPr>
                        <w:spacing w:before="120" w:after="120" w:line="276" w:lineRule="auto"/>
                        <w:rPr>
                          <w:rFonts w:eastAsia="Calibri"/>
                          <w:b/>
                          <w:szCs w:val="24"/>
                          <w:lang w:eastAsia="en-US"/>
                        </w:rPr>
                      </w:pPr>
                      <w:r w:rsidRPr="00F90273">
                        <w:rPr>
                          <w:rFonts w:eastAsia="Calibri"/>
                          <w:b/>
                          <w:szCs w:val="24"/>
                          <w:lang w:eastAsia="en-US"/>
                        </w:rPr>
                        <w:t xml:space="preserve">Conclusion </w:t>
                      </w:r>
                    </w:p>
                    <w:p w:rsidR="005D3CED" w:rsidRPr="00F90273" w:rsidRDefault="005D3CED" w:rsidP="005D3CED">
                      <w:pPr>
                        <w:rPr>
                          <w:rFonts w:eastAsia="Calibri"/>
                          <w:szCs w:val="24"/>
                          <w:lang w:eastAsia="en-US"/>
                        </w:rPr>
                      </w:pPr>
                      <w:r w:rsidRPr="00F90273">
                        <w:rPr>
                          <w:rFonts w:eastAsia="Calibri"/>
                          <w:szCs w:val="24"/>
                          <w:lang w:eastAsia="en-US"/>
                        </w:rPr>
                        <w:t>The Legislative Instrument is compatible with human rights because it advances the protection of human rights, and to the extent that it may limit human rights, those limitations are reasonable, necessary, and proportionate.</w:t>
                      </w:r>
                    </w:p>
                    <w:p w:rsidR="005D3CED" w:rsidRPr="00F90273" w:rsidRDefault="005D3CED" w:rsidP="005D3CED">
                      <w:pPr>
                        <w:rPr>
                          <w:rFonts w:eastAsia="Calibri"/>
                          <w:szCs w:val="24"/>
                          <w:lang w:eastAsia="en-US"/>
                        </w:rPr>
                      </w:pPr>
                    </w:p>
                    <w:p w:rsidR="005D3CED" w:rsidRPr="00F90273" w:rsidRDefault="005D3CED" w:rsidP="005D3CED">
                      <w:pPr>
                        <w:spacing w:before="120" w:after="120" w:line="276" w:lineRule="auto"/>
                        <w:jc w:val="center"/>
                        <w:rPr>
                          <w:rFonts w:eastAsia="Calibri"/>
                          <w:b/>
                          <w:bCs/>
                          <w:szCs w:val="24"/>
                          <w:lang w:eastAsia="en-US"/>
                        </w:rPr>
                      </w:pPr>
                      <w:r w:rsidRPr="00F90273">
                        <w:rPr>
                          <w:rFonts w:eastAsia="Calibri"/>
                          <w:b/>
                          <w:bCs/>
                          <w:szCs w:val="24"/>
                          <w:lang w:eastAsia="en-US"/>
                        </w:rPr>
                        <w:t xml:space="preserve">Peter Dutton </w:t>
                      </w:r>
                    </w:p>
                    <w:p w:rsidR="005D3CED" w:rsidRPr="00F90273" w:rsidRDefault="005D3CED" w:rsidP="005D3CED">
                      <w:pPr>
                        <w:spacing w:before="120" w:after="120" w:line="276" w:lineRule="auto"/>
                        <w:jc w:val="center"/>
                        <w:rPr>
                          <w:rFonts w:eastAsia="Calibri"/>
                          <w:szCs w:val="24"/>
                          <w:lang w:eastAsia="en-US"/>
                        </w:rPr>
                      </w:pPr>
                      <w:r w:rsidRPr="00F90273">
                        <w:rPr>
                          <w:rFonts w:eastAsia="Calibri"/>
                          <w:b/>
                          <w:bCs/>
                          <w:szCs w:val="24"/>
                          <w:lang w:eastAsia="en-US"/>
                        </w:rPr>
                        <w:t>Minister for Health</w:t>
                      </w:r>
                    </w:p>
                    <w:p w:rsidR="005D3CED" w:rsidRDefault="005D3CED" w:rsidP="005D3CED">
                      <w:pPr>
                        <w:spacing w:before="120" w:after="120"/>
                        <w:rPr>
                          <w:szCs w:val="24"/>
                        </w:rPr>
                      </w:pPr>
                    </w:p>
                    <w:p w:rsidR="005D3CED" w:rsidRPr="00444FBB" w:rsidRDefault="005D3CED" w:rsidP="005D3CED">
                      <w:pPr>
                        <w:spacing w:before="120" w:after="120"/>
                        <w:rPr>
                          <w:szCs w:val="24"/>
                        </w:rPr>
                      </w:pPr>
                    </w:p>
                  </w:txbxContent>
                </v:textbox>
              </v:rect>
            </w:pict>
          </mc:Fallback>
        </mc:AlternateContent>
      </w: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Default="00F90273" w:rsidP="008D2D98">
      <w:pPr>
        <w:tabs>
          <w:tab w:val="left" w:pos="4536"/>
        </w:tabs>
        <w:rPr>
          <w:b/>
          <w:sz w:val="28"/>
          <w:szCs w:val="28"/>
        </w:rPr>
      </w:pPr>
    </w:p>
    <w:p w:rsidR="00F90273" w:rsidRPr="00A62031" w:rsidRDefault="00F90273" w:rsidP="008D2D98">
      <w:pPr>
        <w:tabs>
          <w:tab w:val="left" w:pos="4536"/>
        </w:tabs>
        <w:rPr>
          <w:szCs w:val="24"/>
        </w:rPr>
      </w:pPr>
    </w:p>
    <w:sectPr w:rsidR="00F90273" w:rsidRPr="00A62031" w:rsidSect="008F1AA9">
      <w:headerReference w:type="even" r:id="rId9"/>
      <w:headerReference w:type="default" r:id="rId10"/>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B4" w:rsidRDefault="004636B4">
      <w:r>
        <w:separator/>
      </w:r>
    </w:p>
  </w:endnote>
  <w:endnote w:type="continuationSeparator" w:id="0">
    <w:p w:rsidR="004636B4" w:rsidRDefault="0046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B4" w:rsidRDefault="004636B4">
      <w:r>
        <w:separator/>
      </w:r>
    </w:p>
  </w:footnote>
  <w:footnote w:type="continuationSeparator" w:id="0">
    <w:p w:rsidR="004636B4" w:rsidRDefault="00463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C35BC" w:rsidRDefault="001C35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AD0">
      <w:rPr>
        <w:rStyle w:val="PageNumber"/>
        <w:noProof/>
      </w:rPr>
      <w:t>4</w:t>
    </w:r>
    <w:r>
      <w:rPr>
        <w:rStyle w:val="PageNumber"/>
      </w:rPr>
      <w:fldChar w:fldCharType="end"/>
    </w:r>
  </w:p>
  <w:p w:rsidR="001C35BC" w:rsidRDefault="001C35BC" w:rsidP="009D3773">
    <w:pPr>
      <w:pStyle w:val="Header"/>
      <w:framePr w:wrap="around" w:vAnchor="text" w:hAnchor="page" w:x="6022" w:y="1"/>
      <w:rPr>
        <w:rStyle w:val="PageNumber"/>
      </w:rPr>
    </w:pPr>
  </w:p>
  <w:p w:rsidR="001C35BC" w:rsidRDefault="001C35BC" w:rsidP="009D377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C0"/>
    <w:multiLevelType w:val="hybridMultilevel"/>
    <w:tmpl w:val="3E280544"/>
    <w:lvl w:ilvl="0" w:tplc="52E48E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0F15DE"/>
    <w:multiLevelType w:val="hybridMultilevel"/>
    <w:tmpl w:val="1D165880"/>
    <w:lvl w:ilvl="0" w:tplc="01DA44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1736B"/>
    <w:multiLevelType w:val="hybridMultilevel"/>
    <w:tmpl w:val="56AA2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72181"/>
    <w:multiLevelType w:val="hybridMultilevel"/>
    <w:tmpl w:val="17C40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4B5AF9"/>
    <w:multiLevelType w:val="hybridMultilevel"/>
    <w:tmpl w:val="8DFA5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5C62ED"/>
    <w:multiLevelType w:val="hybridMultilevel"/>
    <w:tmpl w:val="0D14FEAC"/>
    <w:lvl w:ilvl="0" w:tplc="CFE663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CE6388"/>
    <w:multiLevelType w:val="hybridMultilevel"/>
    <w:tmpl w:val="480C76D2"/>
    <w:lvl w:ilvl="0" w:tplc="0C090017">
      <w:start w:val="1"/>
      <w:numFmt w:val="lowerLetter"/>
      <w:lvlText w:val="%1)"/>
      <w:lvlJc w:val="left"/>
      <w:pPr>
        <w:ind w:left="720" w:hanging="360"/>
      </w:pPr>
      <w:rPr>
        <w:rFonts w:eastAsia="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9B0324C"/>
    <w:multiLevelType w:val="hybridMultilevel"/>
    <w:tmpl w:val="CB701AE6"/>
    <w:lvl w:ilvl="0" w:tplc="FA54F4F4">
      <w:start w:val="1"/>
      <w:numFmt w:val="bullet"/>
      <w:lvlText w:val="-"/>
      <w:lvlJc w:val="left"/>
      <w:pPr>
        <w:ind w:left="720" w:hanging="360"/>
      </w:pPr>
      <w:rPr>
        <w:rFonts w:ascii="Times New Roman" w:eastAsia="Times New Roman" w:hAnsi="Times New Roman" w:cs="Times New Roman" w:hint="default"/>
        <w:b/>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8E5F34"/>
    <w:multiLevelType w:val="hybridMultilevel"/>
    <w:tmpl w:val="520AD47E"/>
    <w:lvl w:ilvl="0" w:tplc="307685D2">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C47F72"/>
    <w:multiLevelType w:val="hybridMultilevel"/>
    <w:tmpl w:val="4776F6D4"/>
    <w:lvl w:ilvl="0" w:tplc="978A0A7A">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F16167E"/>
    <w:multiLevelType w:val="hybridMultilevel"/>
    <w:tmpl w:val="0D98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D81EF9"/>
    <w:multiLevelType w:val="hybridMultilevel"/>
    <w:tmpl w:val="BE1E191E"/>
    <w:lvl w:ilvl="0" w:tplc="93FA76D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D2A29FC"/>
    <w:multiLevelType w:val="hybridMultilevel"/>
    <w:tmpl w:val="D28CE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EA4F50"/>
    <w:multiLevelType w:val="hybridMultilevel"/>
    <w:tmpl w:val="6CBCEC82"/>
    <w:lvl w:ilvl="0" w:tplc="B958F7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F805223"/>
    <w:multiLevelType w:val="hybridMultilevel"/>
    <w:tmpl w:val="A19A0EC0"/>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5">
    <w:nsid w:val="461971BB"/>
    <w:multiLevelType w:val="hybridMultilevel"/>
    <w:tmpl w:val="DA0C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5DC3352"/>
    <w:multiLevelType w:val="hybridMultilevel"/>
    <w:tmpl w:val="2EB2EA58"/>
    <w:lvl w:ilvl="0" w:tplc="A05EE8F8">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C66F4B"/>
    <w:multiLevelType w:val="hybridMultilevel"/>
    <w:tmpl w:val="04A0F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A95A55"/>
    <w:multiLevelType w:val="hybridMultilevel"/>
    <w:tmpl w:val="4A8C3666"/>
    <w:lvl w:ilvl="0" w:tplc="EC6A2B9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25063DB"/>
    <w:multiLevelType w:val="hybridMultilevel"/>
    <w:tmpl w:val="3F38B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6801C3D"/>
    <w:multiLevelType w:val="hybridMultilevel"/>
    <w:tmpl w:val="80E67CC2"/>
    <w:lvl w:ilvl="0" w:tplc="BFC0C860">
      <w:start w:val="6"/>
      <w:numFmt w:val="bullet"/>
      <w:lvlText w:val="-"/>
      <w:lvlJc w:val="left"/>
      <w:pPr>
        <w:ind w:left="420" w:hanging="360"/>
      </w:pPr>
      <w:rPr>
        <w:rFonts w:ascii="Times New Roman" w:eastAsia="Times New Roman" w:hAnsi="Times New Roman" w:cs="Times New Roman" w:hint="default"/>
        <w:b w:val="0"/>
        <w:sz w:val="23"/>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nsid w:val="66E778BC"/>
    <w:multiLevelType w:val="hybridMultilevel"/>
    <w:tmpl w:val="45C62E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nsid w:val="6B9B6017"/>
    <w:multiLevelType w:val="hybridMultilevel"/>
    <w:tmpl w:val="DF2E81E6"/>
    <w:lvl w:ilvl="0" w:tplc="3D0205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316731C"/>
    <w:multiLevelType w:val="hybridMultilevel"/>
    <w:tmpl w:val="BF582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4D13FE5"/>
    <w:multiLevelType w:val="hybridMultilevel"/>
    <w:tmpl w:val="0744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7C75FCF"/>
    <w:multiLevelType w:val="hybridMultilevel"/>
    <w:tmpl w:val="AAB43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69147E"/>
    <w:multiLevelType w:val="hybridMultilevel"/>
    <w:tmpl w:val="D18E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3"/>
  </w:num>
  <w:num w:numId="4">
    <w:abstractNumId w:val="3"/>
  </w:num>
  <w:num w:numId="5">
    <w:abstractNumId w:val="24"/>
  </w:num>
  <w:num w:numId="6">
    <w:abstractNumId w:val="2"/>
  </w:num>
  <w:num w:numId="7">
    <w:abstractNumId w:val="15"/>
  </w:num>
  <w:num w:numId="8">
    <w:abstractNumId w:val="12"/>
  </w:num>
  <w:num w:numId="9">
    <w:abstractNumId w:val="8"/>
  </w:num>
  <w:num w:numId="10">
    <w:abstractNumId w:val="27"/>
  </w:num>
  <w:num w:numId="11">
    <w:abstractNumId w:val="12"/>
  </w:num>
  <w:num w:numId="12">
    <w:abstractNumId w:val="18"/>
  </w:num>
  <w:num w:numId="13">
    <w:abstractNumId w:val="23"/>
  </w:num>
  <w:num w:numId="14">
    <w:abstractNumId w:val="9"/>
  </w:num>
  <w:num w:numId="15">
    <w:abstractNumId w:val="14"/>
  </w:num>
  <w:num w:numId="16">
    <w:abstractNumId w:val="22"/>
  </w:num>
  <w:num w:numId="17">
    <w:abstractNumId w:val="6"/>
  </w:num>
  <w:num w:numId="18">
    <w:abstractNumId w:val="11"/>
  </w:num>
  <w:num w:numId="19">
    <w:abstractNumId w:val="11"/>
  </w:num>
  <w:num w:numId="20">
    <w:abstractNumId w:val="4"/>
  </w:num>
  <w:num w:numId="21">
    <w:abstractNumId w:val="19"/>
  </w:num>
  <w:num w:numId="22">
    <w:abstractNumId w:val="1"/>
  </w:num>
  <w:num w:numId="23">
    <w:abstractNumId w:val="1"/>
  </w:num>
  <w:num w:numId="24">
    <w:abstractNumId w:val="5"/>
  </w:num>
  <w:num w:numId="25">
    <w:abstractNumId w:val="0"/>
  </w:num>
  <w:num w:numId="26">
    <w:abstractNumId w:val="17"/>
  </w:num>
  <w:num w:numId="27">
    <w:abstractNumId w:val="20"/>
  </w:num>
  <w:num w:numId="28">
    <w:abstractNumId w:val="26"/>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4E17"/>
    <w:rsid w:val="00005906"/>
    <w:rsid w:val="00014639"/>
    <w:rsid w:val="00014B38"/>
    <w:rsid w:val="00024158"/>
    <w:rsid w:val="0002704E"/>
    <w:rsid w:val="000319EF"/>
    <w:rsid w:val="00044A2A"/>
    <w:rsid w:val="000509BA"/>
    <w:rsid w:val="0005224B"/>
    <w:rsid w:val="0005533C"/>
    <w:rsid w:val="00064BA4"/>
    <w:rsid w:val="000710DD"/>
    <w:rsid w:val="000727E0"/>
    <w:rsid w:val="00080116"/>
    <w:rsid w:val="00081C37"/>
    <w:rsid w:val="000969EF"/>
    <w:rsid w:val="000A199B"/>
    <w:rsid w:val="000A31F2"/>
    <w:rsid w:val="000A45BE"/>
    <w:rsid w:val="000A6FB3"/>
    <w:rsid w:val="000B3452"/>
    <w:rsid w:val="000C12EE"/>
    <w:rsid w:val="000C46E6"/>
    <w:rsid w:val="000C6797"/>
    <w:rsid w:val="000C6FF8"/>
    <w:rsid w:val="000D1325"/>
    <w:rsid w:val="000D3B79"/>
    <w:rsid w:val="000D7803"/>
    <w:rsid w:val="000E1ACD"/>
    <w:rsid w:val="000F1714"/>
    <w:rsid w:val="000F249E"/>
    <w:rsid w:val="000F5E76"/>
    <w:rsid w:val="00113B2E"/>
    <w:rsid w:val="00121A66"/>
    <w:rsid w:val="00134B27"/>
    <w:rsid w:val="001400C4"/>
    <w:rsid w:val="00141E8C"/>
    <w:rsid w:val="00145918"/>
    <w:rsid w:val="00145D25"/>
    <w:rsid w:val="001519E4"/>
    <w:rsid w:val="00154FC4"/>
    <w:rsid w:val="0015521F"/>
    <w:rsid w:val="001641C0"/>
    <w:rsid w:val="0017187F"/>
    <w:rsid w:val="001770D9"/>
    <w:rsid w:val="0018012F"/>
    <w:rsid w:val="00181F74"/>
    <w:rsid w:val="0018451D"/>
    <w:rsid w:val="001867EA"/>
    <w:rsid w:val="0019289B"/>
    <w:rsid w:val="0019464A"/>
    <w:rsid w:val="00195A6A"/>
    <w:rsid w:val="001978CE"/>
    <w:rsid w:val="001A4BE2"/>
    <w:rsid w:val="001B66AF"/>
    <w:rsid w:val="001C35BC"/>
    <w:rsid w:val="001C6713"/>
    <w:rsid w:val="001D778A"/>
    <w:rsid w:val="001D7D62"/>
    <w:rsid w:val="001E3B02"/>
    <w:rsid w:val="001E57BC"/>
    <w:rsid w:val="001E5DE7"/>
    <w:rsid w:val="001E63F3"/>
    <w:rsid w:val="001E7C25"/>
    <w:rsid w:val="001F0923"/>
    <w:rsid w:val="00203952"/>
    <w:rsid w:val="00213177"/>
    <w:rsid w:val="00216C44"/>
    <w:rsid w:val="00217EBF"/>
    <w:rsid w:val="00221C4B"/>
    <w:rsid w:val="002227DF"/>
    <w:rsid w:val="00225B50"/>
    <w:rsid w:val="0024152E"/>
    <w:rsid w:val="00250061"/>
    <w:rsid w:val="00250642"/>
    <w:rsid w:val="00251F50"/>
    <w:rsid w:val="00253E30"/>
    <w:rsid w:val="00263279"/>
    <w:rsid w:val="002643FC"/>
    <w:rsid w:val="0027610D"/>
    <w:rsid w:val="00287B08"/>
    <w:rsid w:val="0029737E"/>
    <w:rsid w:val="002B2E78"/>
    <w:rsid w:val="002B49DE"/>
    <w:rsid w:val="002B53D3"/>
    <w:rsid w:val="002C4F5B"/>
    <w:rsid w:val="002C5DCD"/>
    <w:rsid w:val="002D03AB"/>
    <w:rsid w:val="002D2A4E"/>
    <w:rsid w:val="002E3493"/>
    <w:rsid w:val="002E5F5C"/>
    <w:rsid w:val="002F0434"/>
    <w:rsid w:val="002F3A26"/>
    <w:rsid w:val="002F449C"/>
    <w:rsid w:val="002F4CD2"/>
    <w:rsid w:val="002F7549"/>
    <w:rsid w:val="003025C7"/>
    <w:rsid w:val="0031124D"/>
    <w:rsid w:val="003239D0"/>
    <w:rsid w:val="00324908"/>
    <w:rsid w:val="0033493D"/>
    <w:rsid w:val="00340BDB"/>
    <w:rsid w:val="00340E39"/>
    <w:rsid w:val="0035214B"/>
    <w:rsid w:val="00353351"/>
    <w:rsid w:val="00357CD8"/>
    <w:rsid w:val="0036495A"/>
    <w:rsid w:val="00380CBA"/>
    <w:rsid w:val="00384080"/>
    <w:rsid w:val="003876E6"/>
    <w:rsid w:val="00391AFA"/>
    <w:rsid w:val="003937EF"/>
    <w:rsid w:val="003B59A9"/>
    <w:rsid w:val="003C4CBD"/>
    <w:rsid w:val="003D0FBD"/>
    <w:rsid w:val="003D2A6D"/>
    <w:rsid w:val="003E04DA"/>
    <w:rsid w:val="003E1249"/>
    <w:rsid w:val="003E3544"/>
    <w:rsid w:val="003E35A8"/>
    <w:rsid w:val="003E77CB"/>
    <w:rsid w:val="003F47FD"/>
    <w:rsid w:val="003F73BA"/>
    <w:rsid w:val="003F73F0"/>
    <w:rsid w:val="00405890"/>
    <w:rsid w:val="00405EF4"/>
    <w:rsid w:val="0041237F"/>
    <w:rsid w:val="00414613"/>
    <w:rsid w:val="0041767B"/>
    <w:rsid w:val="00421D5F"/>
    <w:rsid w:val="00424197"/>
    <w:rsid w:val="00425F40"/>
    <w:rsid w:val="00432D4D"/>
    <w:rsid w:val="00433DCE"/>
    <w:rsid w:val="00437B1B"/>
    <w:rsid w:val="00442F9D"/>
    <w:rsid w:val="00445A6D"/>
    <w:rsid w:val="00446A6B"/>
    <w:rsid w:val="004636B4"/>
    <w:rsid w:val="004641DC"/>
    <w:rsid w:val="00466A5B"/>
    <w:rsid w:val="00476F13"/>
    <w:rsid w:val="004806B3"/>
    <w:rsid w:val="004828A9"/>
    <w:rsid w:val="004849DE"/>
    <w:rsid w:val="00484E4F"/>
    <w:rsid w:val="004876DF"/>
    <w:rsid w:val="00492DBE"/>
    <w:rsid w:val="004A0A89"/>
    <w:rsid w:val="004A0BE6"/>
    <w:rsid w:val="004A56D3"/>
    <w:rsid w:val="004A6B0F"/>
    <w:rsid w:val="004B38C8"/>
    <w:rsid w:val="004B5C2E"/>
    <w:rsid w:val="004C27EB"/>
    <w:rsid w:val="004C357A"/>
    <w:rsid w:val="004C405B"/>
    <w:rsid w:val="004C68D1"/>
    <w:rsid w:val="004D1BF4"/>
    <w:rsid w:val="004D7821"/>
    <w:rsid w:val="004E10C5"/>
    <w:rsid w:val="004E22A7"/>
    <w:rsid w:val="004E7F97"/>
    <w:rsid w:val="00502156"/>
    <w:rsid w:val="00502277"/>
    <w:rsid w:val="005042B5"/>
    <w:rsid w:val="00505C67"/>
    <w:rsid w:val="005140F2"/>
    <w:rsid w:val="00521802"/>
    <w:rsid w:val="00532CD3"/>
    <w:rsid w:val="005345A9"/>
    <w:rsid w:val="0054004F"/>
    <w:rsid w:val="005452CD"/>
    <w:rsid w:val="00552105"/>
    <w:rsid w:val="0055354D"/>
    <w:rsid w:val="005642D9"/>
    <w:rsid w:val="00564C2B"/>
    <w:rsid w:val="0057258C"/>
    <w:rsid w:val="00573651"/>
    <w:rsid w:val="00581904"/>
    <w:rsid w:val="00585309"/>
    <w:rsid w:val="00592F78"/>
    <w:rsid w:val="00594EB6"/>
    <w:rsid w:val="0059798F"/>
    <w:rsid w:val="005A3D73"/>
    <w:rsid w:val="005B0EA3"/>
    <w:rsid w:val="005B5062"/>
    <w:rsid w:val="005C6118"/>
    <w:rsid w:val="005D3CED"/>
    <w:rsid w:val="005D538F"/>
    <w:rsid w:val="005D63D9"/>
    <w:rsid w:val="005E293A"/>
    <w:rsid w:val="005E6A82"/>
    <w:rsid w:val="005F04DC"/>
    <w:rsid w:val="00601165"/>
    <w:rsid w:val="00607971"/>
    <w:rsid w:val="00611A4E"/>
    <w:rsid w:val="006122C0"/>
    <w:rsid w:val="0061281D"/>
    <w:rsid w:val="00613C46"/>
    <w:rsid w:val="00623004"/>
    <w:rsid w:val="00635031"/>
    <w:rsid w:val="006407FA"/>
    <w:rsid w:val="006427B2"/>
    <w:rsid w:val="00642BEB"/>
    <w:rsid w:val="00647590"/>
    <w:rsid w:val="006526F5"/>
    <w:rsid w:val="006619F5"/>
    <w:rsid w:val="0066562D"/>
    <w:rsid w:val="00670998"/>
    <w:rsid w:val="00672050"/>
    <w:rsid w:val="00694C76"/>
    <w:rsid w:val="006B0F31"/>
    <w:rsid w:val="006B13BC"/>
    <w:rsid w:val="006B32FE"/>
    <w:rsid w:val="006B6925"/>
    <w:rsid w:val="006C3807"/>
    <w:rsid w:val="006D01F2"/>
    <w:rsid w:val="006D2B37"/>
    <w:rsid w:val="006D54FB"/>
    <w:rsid w:val="006E1A62"/>
    <w:rsid w:val="006E3D84"/>
    <w:rsid w:val="006E5C6B"/>
    <w:rsid w:val="006E6377"/>
    <w:rsid w:val="006E6640"/>
    <w:rsid w:val="006F5CDC"/>
    <w:rsid w:val="0070058D"/>
    <w:rsid w:val="00704585"/>
    <w:rsid w:val="00704A1A"/>
    <w:rsid w:val="00705924"/>
    <w:rsid w:val="00707B77"/>
    <w:rsid w:val="00712189"/>
    <w:rsid w:val="007134A2"/>
    <w:rsid w:val="00717B45"/>
    <w:rsid w:val="00726CFA"/>
    <w:rsid w:val="0072758A"/>
    <w:rsid w:val="007304D5"/>
    <w:rsid w:val="00730965"/>
    <w:rsid w:val="007368DC"/>
    <w:rsid w:val="00736AC9"/>
    <w:rsid w:val="00741A4E"/>
    <w:rsid w:val="007452E0"/>
    <w:rsid w:val="007505FB"/>
    <w:rsid w:val="007533EC"/>
    <w:rsid w:val="0076544A"/>
    <w:rsid w:val="00776E17"/>
    <w:rsid w:val="00782D07"/>
    <w:rsid w:val="007859F8"/>
    <w:rsid w:val="00791384"/>
    <w:rsid w:val="00795A80"/>
    <w:rsid w:val="00796F15"/>
    <w:rsid w:val="007A0403"/>
    <w:rsid w:val="007A5B55"/>
    <w:rsid w:val="007A5F41"/>
    <w:rsid w:val="007B08D1"/>
    <w:rsid w:val="007B0AD0"/>
    <w:rsid w:val="007B4EAA"/>
    <w:rsid w:val="007B790F"/>
    <w:rsid w:val="007C20FA"/>
    <w:rsid w:val="007C27D3"/>
    <w:rsid w:val="007C2C95"/>
    <w:rsid w:val="007C767F"/>
    <w:rsid w:val="007C79FB"/>
    <w:rsid w:val="007D4584"/>
    <w:rsid w:val="007D4A14"/>
    <w:rsid w:val="007E0D9D"/>
    <w:rsid w:val="007E4B4C"/>
    <w:rsid w:val="007E7ABF"/>
    <w:rsid w:val="007F0907"/>
    <w:rsid w:val="007F1C81"/>
    <w:rsid w:val="007F6ABA"/>
    <w:rsid w:val="0080144C"/>
    <w:rsid w:val="00804A98"/>
    <w:rsid w:val="00805C3A"/>
    <w:rsid w:val="008259FD"/>
    <w:rsid w:val="00826C1C"/>
    <w:rsid w:val="00832E86"/>
    <w:rsid w:val="00833FCC"/>
    <w:rsid w:val="00843425"/>
    <w:rsid w:val="00845708"/>
    <w:rsid w:val="008478EE"/>
    <w:rsid w:val="0085475F"/>
    <w:rsid w:val="00855C39"/>
    <w:rsid w:val="008609B1"/>
    <w:rsid w:val="008645C4"/>
    <w:rsid w:val="00867884"/>
    <w:rsid w:val="00875104"/>
    <w:rsid w:val="008774D2"/>
    <w:rsid w:val="00883C9D"/>
    <w:rsid w:val="0089513F"/>
    <w:rsid w:val="008A153F"/>
    <w:rsid w:val="008A79C6"/>
    <w:rsid w:val="008B444F"/>
    <w:rsid w:val="008C20F7"/>
    <w:rsid w:val="008D1B01"/>
    <w:rsid w:val="008D2A83"/>
    <w:rsid w:val="008D2D7B"/>
    <w:rsid w:val="008D2D98"/>
    <w:rsid w:val="008D44EB"/>
    <w:rsid w:val="008E4039"/>
    <w:rsid w:val="008F1AA9"/>
    <w:rsid w:val="008F7C5B"/>
    <w:rsid w:val="009049C0"/>
    <w:rsid w:val="009124F6"/>
    <w:rsid w:val="00913B67"/>
    <w:rsid w:val="00915B08"/>
    <w:rsid w:val="009225FE"/>
    <w:rsid w:val="00923F94"/>
    <w:rsid w:val="009406D2"/>
    <w:rsid w:val="00940F17"/>
    <w:rsid w:val="009414C5"/>
    <w:rsid w:val="009427F2"/>
    <w:rsid w:val="00944F64"/>
    <w:rsid w:val="00953383"/>
    <w:rsid w:val="00965025"/>
    <w:rsid w:val="00971039"/>
    <w:rsid w:val="00971B7B"/>
    <w:rsid w:val="00971D3B"/>
    <w:rsid w:val="00972D48"/>
    <w:rsid w:val="00977A95"/>
    <w:rsid w:val="009902F7"/>
    <w:rsid w:val="0099448D"/>
    <w:rsid w:val="00995A06"/>
    <w:rsid w:val="009A222A"/>
    <w:rsid w:val="009B1FD2"/>
    <w:rsid w:val="009B3AEB"/>
    <w:rsid w:val="009B7AE2"/>
    <w:rsid w:val="009C3EB5"/>
    <w:rsid w:val="009C444B"/>
    <w:rsid w:val="009D3773"/>
    <w:rsid w:val="009D499D"/>
    <w:rsid w:val="009E2AEA"/>
    <w:rsid w:val="009E3183"/>
    <w:rsid w:val="009E36E1"/>
    <w:rsid w:val="009E3783"/>
    <w:rsid w:val="009E3EA3"/>
    <w:rsid w:val="00A01F6A"/>
    <w:rsid w:val="00A045CA"/>
    <w:rsid w:val="00A04DC3"/>
    <w:rsid w:val="00A05DAD"/>
    <w:rsid w:val="00A17694"/>
    <w:rsid w:val="00A54CA1"/>
    <w:rsid w:val="00A62031"/>
    <w:rsid w:val="00A65D80"/>
    <w:rsid w:val="00A714DD"/>
    <w:rsid w:val="00A73CF1"/>
    <w:rsid w:val="00A75C9A"/>
    <w:rsid w:val="00A835D4"/>
    <w:rsid w:val="00A9123D"/>
    <w:rsid w:val="00A92534"/>
    <w:rsid w:val="00A927C4"/>
    <w:rsid w:val="00AA3015"/>
    <w:rsid w:val="00AA4399"/>
    <w:rsid w:val="00AA4D97"/>
    <w:rsid w:val="00AB35DC"/>
    <w:rsid w:val="00AB419D"/>
    <w:rsid w:val="00AB52D0"/>
    <w:rsid w:val="00AC046B"/>
    <w:rsid w:val="00AC54F8"/>
    <w:rsid w:val="00AC681D"/>
    <w:rsid w:val="00AD0F67"/>
    <w:rsid w:val="00AD7E8E"/>
    <w:rsid w:val="00AE0F81"/>
    <w:rsid w:val="00AF3563"/>
    <w:rsid w:val="00B019A9"/>
    <w:rsid w:val="00B03273"/>
    <w:rsid w:val="00B039EC"/>
    <w:rsid w:val="00B110B5"/>
    <w:rsid w:val="00B174E3"/>
    <w:rsid w:val="00B316E7"/>
    <w:rsid w:val="00B3398C"/>
    <w:rsid w:val="00B34EF9"/>
    <w:rsid w:val="00B35DAD"/>
    <w:rsid w:val="00B445D0"/>
    <w:rsid w:val="00B54620"/>
    <w:rsid w:val="00B56E4F"/>
    <w:rsid w:val="00B63A7A"/>
    <w:rsid w:val="00B748AE"/>
    <w:rsid w:val="00B75DB2"/>
    <w:rsid w:val="00B7681E"/>
    <w:rsid w:val="00B84958"/>
    <w:rsid w:val="00B94CD8"/>
    <w:rsid w:val="00B96F16"/>
    <w:rsid w:val="00BA3D73"/>
    <w:rsid w:val="00BA58AC"/>
    <w:rsid w:val="00BB1CDA"/>
    <w:rsid w:val="00BB25B1"/>
    <w:rsid w:val="00BB2CD8"/>
    <w:rsid w:val="00BB4114"/>
    <w:rsid w:val="00BC459E"/>
    <w:rsid w:val="00BC4AAE"/>
    <w:rsid w:val="00BC5DCD"/>
    <w:rsid w:val="00BC626B"/>
    <w:rsid w:val="00BD304A"/>
    <w:rsid w:val="00BE1022"/>
    <w:rsid w:val="00BE2ECA"/>
    <w:rsid w:val="00BE7B19"/>
    <w:rsid w:val="00BF23A6"/>
    <w:rsid w:val="00BF5A87"/>
    <w:rsid w:val="00BF6341"/>
    <w:rsid w:val="00C0045E"/>
    <w:rsid w:val="00C00FD8"/>
    <w:rsid w:val="00C05E84"/>
    <w:rsid w:val="00C073E4"/>
    <w:rsid w:val="00C07C34"/>
    <w:rsid w:val="00C13962"/>
    <w:rsid w:val="00C154E6"/>
    <w:rsid w:val="00C33771"/>
    <w:rsid w:val="00C3411B"/>
    <w:rsid w:val="00C34230"/>
    <w:rsid w:val="00C3661B"/>
    <w:rsid w:val="00C42112"/>
    <w:rsid w:val="00C4692B"/>
    <w:rsid w:val="00C46A0C"/>
    <w:rsid w:val="00C473F7"/>
    <w:rsid w:val="00C5100A"/>
    <w:rsid w:val="00C56251"/>
    <w:rsid w:val="00C62FDC"/>
    <w:rsid w:val="00C77A1F"/>
    <w:rsid w:val="00C80647"/>
    <w:rsid w:val="00C90EAC"/>
    <w:rsid w:val="00C96958"/>
    <w:rsid w:val="00CA73CB"/>
    <w:rsid w:val="00CA79BB"/>
    <w:rsid w:val="00CB43A2"/>
    <w:rsid w:val="00CC12A0"/>
    <w:rsid w:val="00CC26A8"/>
    <w:rsid w:val="00CE3A6F"/>
    <w:rsid w:val="00CF1E87"/>
    <w:rsid w:val="00CF240F"/>
    <w:rsid w:val="00CF6B2F"/>
    <w:rsid w:val="00D05CAA"/>
    <w:rsid w:val="00D06129"/>
    <w:rsid w:val="00D10BF3"/>
    <w:rsid w:val="00D114E6"/>
    <w:rsid w:val="00D162D9"/>
    <w:rsid w:val="00D30F03"/>
    <w:rsid w:val="00D41D2D"/>
    <w:rsid w:val="00D44316"/>
    <w:rsid w:val="00D565F8"/>
    <w:rsid w:val="00D56ABB"/>
    <w:rsid w:val="00D571B1"/>
    <w:rsid w:val="00D602E0"/>
    <w:rsid w:val="00D644BD"/>
    <w:rsid w:val="00D65500"/>
    <w:rsid w:val="00D7566A"/>
    <w:rsid w:val="00D85008"/>
    <w:rsid w:val="00D93E05"/>
    <w:rsid w:val="00D9515D"/>
    <w:rsid w:val="00DA62DF"/>
    <w:rsid w:val="00DA7439"/>
    <w:rsid w:val="00DB0DA9"/>
    <w:rsid w:val="00DB108A"/>
    <w:rsid w:val="00DC1776"/>
    <w:rsid w:val="00DD3239"/>
    <w:rsid w:val="00DE0877"/>
    <w:rsid w:val="00DF51CA"/>
    <w:rsid w:val="00E20F00"/>
    <w:rsid w:val="00E23A38"/>
    <w:rsid w:val="00E311F5"/>
    <w:rsid w:val="00E34BF8"/>
    <w:rsid w:val="00E35B1E"/>
    <w:rsid w:val="00E552BD"/>
    <w:rsid w:val="00E55649"/>
    <w:rsid w:val="00E56A50"/>
    <w:rsid w:val="00E664F4"/>
    <w:rsid w:val="00E72855"/>
    <w:rsid w:val="00E74C1D"/>
    <w:rsid w:val="00E81B2F"/>
    <w:rsid w:val="00E85B0A"/>
    <w:rsid w:val="00E935A1"/>
    <w:rsid w:val="00EA1715"/>
    <w:rsid w:val="00EA5A32"/>
    <w:rsid w:val="00EB6CCD"/>
    <w:rsid w:val="00EC0273"/>
    <w:rsid w:val="00EC25BA"/>
    <w:rsid w:val="00ED0AD5"/>
    <w:rsid w:val="00ED7140"/>
    <w:rsid w:val="00EF0AFA"/>
    <w:rsid w:val="00EF38E5"/>
    <w:rsid w:val="00EF7C6E"/>
    <w:rsid w:val="00F012F4"/>
    <w:rsid w:val="00F072E1"/>
    <w:rsid w:val="00F11185"/>
    <w:rsid w:val="00F12E98"/>
    <w:rsid w:val="00F169CB"/>
    <w:rsid w:val="00F207AB"/>
    <w:rsid w:val="00F2161A"/>
    <w:rsid w:val="00F21724"/>
    <w:rsid w:val="00F21A81"/>
    <w:rsid w:val="00F21CC1"/>
    <w:rsid w:val="00F22D61"/>
    <w:rsid w:val="00F2324D"/>
    <w:rsid w:val="00F2428F"/>
    <w:rsid w:val="00F27444"/>
    <w:rsid w:val="00F317CA"/>
    <w:rsid w:val="00F32A56"/>
    <w:rsid w:val="00F358C3"/>
    <w:rsid w:val="00F413D8"/>
    <w:rsid w:val="00F42100"/>
    <w:rsid w:val="00F42A9B"/>
    <w:rsid w:val="00F464FE"/>
    <w:rsid w:val="00F47621"/>
    <w:rsid w:val="00F6591A"/>
    <w:rsid w:val="00F7546C"/>
    <w:rsid w:val="00F77B00"/>
    <w:rsid w:val="00F90273"/>
    <w:rsid w:val="00F93ACB"/>
    <w:rsid w:val="00F93C4F"/>
    <w:rsid w:val="00FB1780"/>
    <w:rsid w:val="00FB35C6"/>
    <w:rsid w:val="00FB4C5A"/>
    <w:rsid w:val="00FB5BFA"/>
    <w:rsid w:val="00FD3574"/>
    <w:rsid w:val="00FD6A7D"/>
    <w:rsid w:val="00FD6FC9"/>
    <w:rsid w:val="00FE2D34"/>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51"/>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rsid w:val="00C56251"/>
    <w:pPr>
      <w:tabs>
        <w:tab w:val="center" w:pos="4153"/>
        <w:tab w:val="right" w:pos="8306"/>
      </w:tabs>
    </w:pPr>
  </w:style>
  <w:style w:type="character" w:customStyle="1" w:styleId="HeaderChar">
    <w:name w:val="Header Char"/>
    <w:basedOn w:val="DefaultParagraphFont"/>
    <w:link w:val="Header"/>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basedOn w:val="Normal"/>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semiHidden/>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uiPriority w:val="99"/>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415F-36CE-473C-8542-0373FF98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Gibson, Vikki</cp:lastModifiedBy>
  <cp:revision>3</cp:revision>
  <cp:lastPrinted>2014-09-30T02:12:00Z</cp:lastPrinted>
  <dcterms:created xsi:type="dcterms:W3CDTF">2014-10-28T05:24:00Z</dcterms:created>
  <dcterms:modified xsi:type="dcterms:W3CDTF">2014-10-30T01:23:00Z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