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70D" w:rsidRDefault="00741F92" w:rsidP="007433E5">
      <w:pPr>
        <w:jc w:val="center"/>
        <w:rPr>
          <w:szCs w:val="24"/>
        </w:rPr>
      </w:pPr>
      <w:r w:rsidRPr="00AF0637">
        <w:rPr>
          <w:b/>
          <w:szCs w:val="24"/>
          <w:u w:val="single"/>
        </w:rPr>
        <w:t xml:space="preserve">EXPLANATORY </w:t>
      </w:r>
      <w:r w:rsidR="00766D01" w:rsidRPr="00AF0637">
        <w:rPr>
          <w:b/>
          <w:szCs w:val="24"/>
          <w:u w:val="single"/>
        </w:rPr>
        <w:t>STATEMENT</w:t>
      </w:r>
    </w:p>
    <w:p w:rsidR="00227361" w:rsidRDefault="00227361" w:rsidP="00227361">
      <w:pPr>
        <w:jc w:val="center"/>
        <w:rPr>
          <w:szCs w:val="24"/>
        </w:rPr>
      </w:pPr>
    </w:p>
    <w:p w:rsidR="00A5170D" w:rsidRDefault="00766D01">
      <w:pPr>
        <w:jc w:val="center"/>
        <w:rPr>
          <w:b/>
          <w:color w:val="000000" w:themeColor="text1"/>
          <w:szCs w:val="24"/>
        </w:rPr>
      </w:pPr>
      <w:r w:rsidRPr="00AF0637">
        <w:rPr>
          <w:b/>
          <w:color w:val="000000" w:themeColor="text1"/>
          <w:szCs w:val="24"/>
        </w:rPr>
        <w:t>Se</w:t>
      </w:r>
      <w:r w:rsidR="00DD737B" w:rsidRPr="00AF0637">
        <w:rPr>
          <w:b/>
          <w:color w:val="000000" w:themeColor="text1"/>
          <w:szCs w:val="24"/>
        </w:rPr>
        <w:t xml:space="preserve">lect Legislative Instrument </w:t>
      </w:r>
      <w:r w:rsidR="00BD4717" w:rsidRPr="00AF0637">
        <w:rPr>
          <w:b/>
          <w:color w:val="000000" w:themeColor="text1"/>
          <w:szCs w:val="24"/>
        </w:rPr>
        <w:t>No.</w:t>
      </w:r>
      <w:r w:rsidR="004E022F">
        <w:rPr>
          <w:b/>
          <w:color w:val="000000" w:themeColor="text1"/>
          <w:szCs w:val="24"/>
        </w:rPr>
        <w:t xml:space="preserve"> 156, 2014</w:t>
      </w:r>
    </w:p>
    <w:p w:rsidR="00A5170D" w:rsidRDefault="00A5170D">
      <w:pPr>
        <w:jc w:val="center"/>
        <w:rPr>
          <w:b/>
          <w:color w:val="000000" w:themeColor="text1"/>
          <w:szCs w:val="24"/>
        </w:rPr>
      </w:pPr>
    </w:p>
    <w:p w:rsidR="00A5170D" w:rsidRDefault="005C3C2E">
      <w:pPr>
        <w:jc w:val="center"/>
        <w:rPr>
          <w:b/>
          <w:color w:val="000000" w:themeColor="text1"/>
          <w:szCs w:val="24"/>
        </w:rPr>
      </w:pPr>
      <w:r w:rsidRPr="00AF0637">
        <w:rPr>
          <w:b/>
          <w:color w:val="000000" w:themeColor="text1"/>
          <w:szCs w:val="24"/>
        </w:rPr>
        <w:t>Issued by the Authority of the Minister for Finance</w:t>
      </w:r>
    </w:p>
    <w:p w:rsidR="00227361" w:rsidRDefault="00227361" w:rsidP="00227361">
      <w:pPr>
        <w:tabs>
          <w:tab w:val="left" w:pos="1701"/>
        </w:tabs>
        <w:jc w:val="center"/>
        <w:rPr>
          <w:szCs w:val="24"/>
        </w:rPr>
      </w:pPr>
    </w:p>
    <w:p w:rsidR="00A5170D" w:rsidRDefault="000242FD">
      <w:pPr>
        <w:jc w:val="center"/>
        <w:rPr>
          <w:i/>
          <w:szCs w:val="24"/>
        </w:rPr>
      </w:pPr>
      <w:r w:rsidRPr="00512A94">
        <w:rPr>
          <w:i/>
          <w:szCs w:val="24"/>
        </w:rPr>
        <w:t xml:space="preserve">Financial </w:t>
      </w:r>
      <w:r>
        <w:rPr>
          <w:i/>
          <w:szCs w:val="24"/>
        </w:rPr>
        <w:t>Framework (Supplementary Powers)</w:t>
      </w:r>
      <w:r w:rsidRPr="00512A94">
        <w:rPr>
          <w:i/>
          <w:szCs w:val="24"/>
        </w:rPr>
        <w:t xml:space="preserve"> Act 1997</w:t>
      </w:r>
    </w:p>
    <w:p w:rsidR="00A5170D" w:rsidRDefault="00A5170D">
      <w:pPr>
        <w:tabs>
          <w:tab w:val="left" w:pos="1701"/>
        </w:tabs>
        <w:jc w:val="center"/>
        <w:rPr>
          <w:szCs w:val="24"/>
        </w:rPr>
      </w:pPr>
    </w:p>
    <w:p w:rsidR="000242FD" w:rsidRDefault="000242FD">
      <w:pPr>
        <w:tabs>
          <w:tab w:val="left" w:pos="1701"/>
        </w:tabs>
        <w:jc w:val="center"/>
        <w:rPr>
          <w:i/>
          <w:szCs w:val="24"/>
        </w:rPr>
      </w:pPr>
      <w:r w:rsidRPr="00512A94">
        <w:rPr>
          <w:i/>
          <w:szCs w:val="24"/>
        </w:rPr>
        <w:t xml:space="preserve">Financial </w:t>
      </w:r>
      <w:r>
        <w:rPr>
          <w:i/>
          <w:szCs w:val="24"/>
        </w:rPr>
        <w:t>Framework (Supplementary Powers)</w:t>
      </w:r>
      <w:r w:rsidRPr="00512A94">
        <w:rPr>
          <w:i/>
          <w:szCs w:val="24"/>
        </w:rPr>
        <w:t xml:space="preserve"> Amendment </w:t>
      </w:r>
    </w:p>
    <w:p w:rsidR="00A5170D" w:rsidRDefault="000242FD">
      <w:pPr>
        <w:tabs>
          <w:tab w:val="left" w:pos="1701"/>
        </w:tabs>
        <w:jc w:val="center"/>
        <w:rPr>
          <w:szCs w:val="24"/>
        </w:rPr>
      </w:pPr>
      <w:r w:rsidRPr="00512A94">
        <w:rPr>
          <w:i/>
          <w:iCs/>
        </w:rPr>
        <w:t>(2014</w:t>
      </w:r>
      <w:r>
        <w:rPr>
          <w:i/>
          <w:iCs/>
        </w:rPr>
        <w:t> </w:t>
      </w:r>
      <w:r w:rsidRPr="00512A94">
        <w:rPr>
          <w:i/>
          <w:iCs/>
        </w:rPr>
        <w:t xml:space="preserve">Measures No. </w:t>
      </w:r>
      <w:r>
        <w:rPr>
          <w:i/>
          <w:iCs/>
        </w:rPr>
        <w:t>1</w:t>
      </w:r>
      <w:r w:rsidRPr="00512A94">
        <w:rPr>
          <w:i/>
          <w:iCs/>
        </w:rPr>
        <w:t xml:space="preserve">) </w:t>
      </w:r>
      <w:r w:rsidRPr="00512A94">
        <w:rPr>
          <w:i/>
          <w:szCs w:val="24"/>
        </w:rPr>
        <w:t>Regulation 2014</w:t>
      </w:r>
    </w:p>
    <w:p w:rsidR="00A5170D" w:rsidRDefault="00A5170D">
      <w:pPr>
        <w:rPr>
          <w:szCs w:val="24"/>
        </w:rPr>
      </w:pPr>
    </w:p>
    <w:p w:rsidR="000242FD" w:rsidRDefault="000242FD">
      <w:pPr>
        <w:pStyle w:val="ParaNumbering"/>
        <w:tabs>
          <w:tab w:val="clear" w:pos="360"/>
          <w:tab w:val="clear" w:pos="567"/>
        </w:tabs>
        <w:spacing w:after="0" w:line="240" w:lineRule="auto"/>
        <w:rPr>
          <w:szCs w:val="24"/>
        </w:rPr>
      </w:pPr>
    </w:p>
    <w:p w:rsidR="005A4B30" w:rsidRPr="00512A94" w:rsidRDefault="005A4B30" w:rsidP="005A4B30">
      <w:pPr>
        <w:pStyle w:val="ParaNumbering"/>
        <w:tabs>
          <w:tab w:val="clear" w:pos="360"/>
          <w:tab w:val="clear" w:pos="567"/>
        </w:tabs>
        <w:spacing w:after="0" w:line="240" w:lineRule="auto"/>
        <w:rPr>
          <w:szCs w:val="24"/>
        </w:rPr>
      </w:pPr>
      <w:r w:rsidRPr="00512A94">
        <w:rPr>
          <w:szCs w:val="24"/>
        </w:rPr>
        <w:t xml:space="preserve">Section 65 of the </w:t>
      </w:r>
      <w:r w:rsidRPr="00512A94">
        <w:rPr>
          <w:i/>
          <w:szCs w:val="24"/>
        </w:rPr>
        <w:t xml:space="preserve">Financial </w:t>
      </w:r>
      <w:r>
        <w:rPr>
          <w:i/>
          <w:szCs w:val="24"/>
        </w:rPr>
        <w:t>Framework (Supplementar</w:t>
      </w:r>
      <w:bookmarkStart w:id="0" w:name="_GoBack"/>
      <w:bookmarkEnd w:id="0"/>
      <w:r>
        <w:rPr>
          <w:i/>
          <w:szCs w:val="24"/>
        </w:rPr>
        <w:t>y Powers)</w:t>
      </w:r>
      <w:r w:rsidRPr="00512A94">
        <w:rPr>
          <w:i/>
          <w:szCs w:val="24"/>
        </w:rPr>
        <w:t xml:space="preserve"> Act 1997</w:t>
      </w:r>
      <w:r w:rsidRPr="00512A94">
        <w:rPr>
          <w:szCs w:val="24"/>
        </w:rPr>
        <w:t xml:space="preserve"> </w:t>
      </w:r>
      <w:r>
        <w:rPr>
          <w:szCs w:val="24"/>
        </w:rPr>
        <w:t xml:space="preserve">(the FF(SP) Act) </w:t>
      </w:r>
      <w:r w:rsidRPr="00512A94">
        <w:rPr>
          <w:szCs w:val="24"/>
        </w:rPr>
        <w:t>provides that the Governor-General may make regulations prescribing matters required or permitted by that Act to be prescribed, or necessary or convenient to be prescribed for carrying out or giving effect to that Act.</w:t>
      </w:r>
    </w:p>
    <w:p w:rsidR="005A4B30" w:rsidRPr="00512A94" w:rsidRDefault="005A4B30" w:rsidP="005A4B30">
      <w:pPr>
        <w:rPr>
          <w:szCs w:val="24"/>
        </w:rPr>
      </w:pPr>
    </w:p>
    <w:p w:rsidR="005A4B30" w:rsidRPr="00512A94" w:rsidRDefault="005A4B30" w:rsidP="005A4B30">
      <w:r>
        <w:t xml:space="preserve">Section 32B of the FF(SP) Act </w:t>
      </w:r>
      <w:r w:rsidRPr="00512A94">
        <w:t xml:space="preserve">authorises the Commonwealth to make, vary and administer arrangements and grants specified in the </w:t>
      </w:r>
      <w:r w:rsidRPr="00512A94">
        <w:rPr>
          <w:i/>
          <w:szCs w:val="24"/>
        </w:rPr>
        <w:t xml:space="preserve">Financial </w:t>
      </w:r>
      <w:r>
        <w:rPr>
          <w:i/>
          <w:szCs w:val="24"/>
        </w:rPr>
        <w:t>Framework (Supplementary Powers)</w:t>
      </w:r>
      <w:r w:rsidRPr="00512A94">
        <w:rPr>
          <w:i/>
          <w:szCs w:val="24"/>
        </w:rPr>
        <w:t xml:space="preserve"> </w:t>
      </w:r>
      <w:r>
        <w:rPr>
          <w:i/>
          <w:szCs w:val="24"/>
        </w:rPr>
        <w:t>Regulations</w:t>
      </w:r>
      <w:r w:rsidRPr="00512A94">
        <w:rPr>
          <w:i/>
          <w:szCs w:val="24"/>
        </w:rPr>
        <w:t xml:space="preserve"> </w:t>
      </w:r>
      <w:r w:rsidRPr="009755EB">
        <w:rPr>
          <w:i/>
        </w:rPr>
        <w:t>1997</w:t>
      </w:r>
      <w:r>
        <w:rPr>
          <w:i/>
        </w:rPr>
        <w:t xml:space="preserve"> </w:t>
      </w:r>
      <w:r w:rsidRPr="00512A94">
        <w:t xml:space="preserve">(the Principal Regulations).  Section 32B also authorises the Commonwealth to make, vary and administer arrangements for the purposes of programmes specified in the Principal Regulations.  Schedule 1AA and Schedule 1AB to the Principal Regulations specify the arrangements, grants and programmes.  </w:t>
      </w:r>
      <w:r>
        <w:t xml:space="preserve">Section 32B was added to the </w:t>
      </w:r>
      <w:r w:rsidRPr="008326B0">
        <w:rPr>
          <w:i/>
          <w:szCs w:val="24"/>
        </w:rPr>
        <w:t>Financial Ma</w:t>
      </w:r>
      <w:r>
        <w:rPr>
          <w:i/>
          <w:szCs w:val="24"/>
        </w:rPr>
        <w:t>nagement and Accountability Act </w:t>
      </w:r>
      <w:r w:rsidRPr="008326B0">
        <w:rPr>
          <w:i/>
          <w:szCs w:val="24"/>
        </w:rPr>
        <w:t>1997</w:t>
      </w:r>
      <w:r w:rsidRPr="009755EB">
        <w:rPr>
          <w:szCs w:val="24"/>
        </w:rPr>
        <w:t xml:space="preserve"> </w:t>
      </w:r>
      <w:r>
        <w:rPr>
          <w:szCs w:val="24"/>
        </w:rPr>
        <w:t xml:space="preserve">(FMA Act) </w:t>
      </w:r>
      <w:r>
        <w:t>in June 2012 in response to the High </w:t>
      </w:r>
      <w:r w:rsidRPr="00512A94">
        <w:t xml:space="preserve">Court’s decision in </w:t>
      </w:r>
      <w:r>
        <w:rPr>
          <w:i/>
        </w:rPr>
        <w:t>Williams v </w:t>
      </w:r>
      <w:r w:rsidRPr="00512A94">
        <w:rPr>
          <w:i/>
        </w:rPr>
        <w:t>Commonwealth</w:t>
      </w:r>
      <w:r w:rsidRPr="00512A94">
        <w:t xml:space="preserve"> (2012) 288 ALR 410</w:t>
      </w:r>
      <w:r>
        <w:t>.</w:t>
      </w:r>
    </w:p>
    <w:p w:rsidR="005A4B30" w:rsidRDefault="005A4B30">
      <w:pPr>
        <w:pStyle w:val="ParaNumbering"/>
        <w:tabs>
          <w:tab w:val="clear" w:pos="360"/>
          <w:tab w:val="clear" w:pos="567"/>
        </w:tabs>
        <w:spacing w:after="0" w:line="240" w:lineRule="auto"/>
        <w:rPr>
          <w:szCs w:val="24"/>
        </w:rPr>
      </w:pPr>
    </w:p>
    <w:p w:rsidR="000242FD" w:rsidRPr="00400798" w:rsidRDefault="000242FD" w:rsidP="000242FD">
      <w:pPr>
        <w:rPr>
          <w:szCs w:val="24"/>
        </w:rPr>
      </w:pPr>
      <w:r>
        <w:rPr>
          <w:szCs w:val="24"/>
        </w:rPr>
        <w:t>The</w:t>
      </w:r>
      <w:r w:rsidRPr="00512A94">
        <w:rPr>
          <w:szCs w:val="24"/>
        </w:rPr>
        <w:t xml:space="preserve"> </w:t>
      </w:r>
      <w:r>
        <w:rPr>
          <w:szCs w:val="24"/>
        </w:rPr>
        <w:t>FF(</w:t>
      </w:r>
      <w:r w:rsidR="005A4B30">
        <w:rPr>
          <w:szCs w:val="24"/>
        </w:rPr>
        <w:t>SP) Act</w:t>
      </w:r>
      <w:r>
        <w:rPr>
          <w:szCs w:val="24"/>
        </w:rPr>
        <w:t xml:space="preserve"> confers on the Commonwealth, in certain circumstances, powers to: make arrangements under which money can be spent; or to make grants of financial assistance; and to form, or otherwise be involved in, companies.  The arrangements, grants, programmes and companies (or classes of arrangements or grants in relation to which the powers are conferred) are specified in the </w:t>
      </w:r>
      <w:r w:rsidR="00400798">
        <w:rPr>
          <w:szCs w:val="24"/>
        </w:rPr>
        <w:t>Principal</w:t>
      </w:r>
      <w:r w:rsidRPr="00400798">
        <w:rPr>
          <w:szCs w:val="24"/>
        </w:rPr>
        <w:t xml:space="preserve"> Regulations.</w:t>
      </w:r>
    </w:p>
    <w:p w:rsidR="000242FD" w:rsidRDefault="000242FD" w:rsidP="000242FD">
      <w:pPr>
        <w:rPr>
          <w:szCs w:val="24"/>
        </w:rPr>
      </w:pPr>
    </w:p>
    <w:p w:rsidR="000242FD" w:rsidRDefault="000242FD" w:rsidP="000242FD">
      <w:pPr>
        <w:rPr>
          <w:szCs w:val="24"/>
        </w:rPr>
      </w:pPr>
      <w:r>
        <w:t>These pr</w:t>
      </w:r>
      <w:r w:rsidR="005A4B30">
        <w:t xml:space="preserve">ovisions were retained when </w:t>
      </w:r>
      <w:r w:rsidR="005A4B30">
        <w:rPr>
          <w:szCs w:val="24"/>
        </w:rPr>
        <w:t>the FMA Act</w:t>
      </w:r>
      <w:r>
        <w:rPr>
          <w:szCs w:val="24"/>
        </w:rPr>
        <w:t xml:space="preserve"> was amended by the </w:t>
      </w:r>
      <w:r w:rsidRPr="00546862">
        <w:rPr>
          <w:i/>
          <w:szCs w:val="24"/>
        </w:rPr>
        <w:t>Pu</w:t>
      </w:r>
      <w:r w:rsidRPr="00315994">
        <w:rPr>
          <w:i/>
          <w:szCs w:val="24"/>
        </w:rPr>
        <w:t>blic Governance, Per</w:t>
      </w:r>
      <w:r>
        <w:rPr>
          <w:i/>
          <w:szCs w:val="24"/>
        </w:rPr>
        <w:t>formance and Accountability (Consequential and Transitional Provisions) Act 2014</w:t>
      </w:r>
      <w:r>
        <w:rPr>
          <w:szCs w:val="24"/>
        </w:rPr>
        <w:t xml:space="preserve">, with effect from 1 July 2014.  This Act renamed the FMA Act as the FF(SP) Act, with a consequential change to the name of the Regulations supporting the renamed </w:t>
      </w:r>
      <w:r w:rsidR="00400798">
        <w:rPr>
          <w:szCs w:val="24"/>
        </w:rPr>
        <w:t>Act.  The </w:t>
      </w:r>
      <w:r>
        <w:rPr>
          <w:szCs w:val="24"/>
        </w:rPr>
        <w:t>FF(SP) Act applies to Ministers and the accountable authorities of non</w:t>
      </w:r>
      <w:r>
        <w:rPr>
          <w:szCs w:val="24"/>
        </w:rPr>
        <w:noBreakHyphen/>
        <w:t xml:space="preserve">corporate Commonwealth entities, as defined under section 12 of the </w:t>
      </w:r>
      <w:r w:rsidRPr="00546862">
        <w:rPr>
          <w:i/>
          <w:szCs w:val="24"/>
        </w:rPr>
        <w:t>Pu</w:t>
      </w:r>
      <w:r w:rsidRPr="00315994">
        <w:rPr>
          <w:i/>
          <w:szCs w:val="24"/>
        </w:rPr>
        <w:t>blic Governance, Per</w:t>
      </w:r>
      <w:r>
        <w:rPr>
          <w:i/>
          <w:szCs w:val="24"/>
        </w:rPr>
        <w:t xml:space="preserve">formance and Accountability </w:t>
      </w:r>
      <w:r w:rsidRPr="002E6530">
        <w:rPr>
          <w:i/>
          <w:szCs w:val="24"/>
        </w:rPr>
        <w:t>Act</w:t>
      </w:r>
      <w:r>
        <w:rPr>
          <w:i/>
          <w:szCs w:val="24"/>
        </w:rPr>
        <w:t> </w:t>
      </w:r>
      <w:r w:rsidRPr="002E6530">
        <w:rPr>
          <w:i/>
          <w:szCs w:val="24"/>
        </w:rPr>
        <w:t>2013</w:t>
      </w:r>
      <w:r>
        <w:rPr>
          <w:szCs w:val="24"/>
        </w:rPr>
        <w:t xml:space="preserve"> (the PGPA Act).  The PGPA Act replaced the FMA Act and the </w:t>
      </w:r>
      <w:r w:rsidRPr="00D01E6C">
        <w:rPr>
          <w:i/>
          <w:szCs w:val="24"/>
        </w:rPr>
        <w:t>Commonwealth Authorities and Companies Act 1997</w:t>
      </w:r>
      <w:r>
        <w:rPr>
          <w:szCs w:val="24"/>
        </w:rPr>
        <w:t xml:space="preserve"> to consolidate the governance, performance and accountability framework for the Commonwealth and relevant entities. </w:t>
      </w:r>
    </w:p>
    <w:p w:rsidR="000242FD" w:rsidRDefault="000242FD" w:rsidP="000242FD">
      <w:pPr>
        <w:rPr>
          <w:szCs w:val="24"/>
        </w:rPr>
      </w:pPr>
    </w:p>
    <w:p w:rsidR="000242FD" w:rsidRDefault="000242FD" w:rsidP="000242FD">
      <w:pPr>
        <w:rPr>
          <w:color w:val="000000" w:themeColor="text1"/>
          <w:szCs w:val="24"/>
        </w:rPr>
      </w:pPr>
      <w:r w:rsidRPr="001B7B07">
        <w:rPr>
          <w:color w:val="000000" w:themeColor="text1"/>
          <w:szCs w:val="24"/>
        </w:rPr>
        <w:t>Schedule 1 to the</w:t>
      </w:r>
      <w:r>
        <w:rPr>
          <w:color w:val="000000" w:themeColor="text1"/>
          <w:szCs w:val="24"/>
        </w:rPr>
        <w:t xml:space="preserve"> Regulation </w:t>
      </w:r>
      <w:r w:rsidRPr="001B7B07">
        <w:rPr>
          <w:color w:val="000000" w:themeColor="text1"/>
          <w:szCs w:val="24"/>
        </w:rPr>
        <w:t>amend</w:t>
      </w:r>
      <w:r>
        <w:rPr>
          <w:color w:val="000000" w:themeColor="text1"/>
          <w:szCs w:val="24"/>
        </w:rPr>
        <w:t>s</w:t>
      </w:r>
      <w:r w:rsidRPr="001B7B07">
        <w:rPr>
          <w:color w:val="000000" w:themeColor="text1"/>
          <w:szCs w:val="24"/>
        </w:rPr>
        <w:t xml:space="preserve"> the Principal Regulations to establish legislative authority in Schedule 1AB for the Commonwealth Government to spend on </w:t>
      </w:r>
      <w:r>
        <w:rPr>
          <w:color w:val="000000" w:themeColor="text1"/>
          <w:szCs w:val="24"/>
        </w:rPr>
        <w:t>the</w:t>
      </w:r>
      <w:r w:rsidRPr="001B7B07">
        <w:rPr>
          <w:color w:val="000000" w:themeColor="text1"/>
          <w:szCs w:val="24"/>
        </w:rPr>
        <w:t xml:space="preserve"> </w:t>
      </w:r>
      <w:r>
        <w:rPr>
          <w:color w:val="000000" w:themeColor="text1"/>
          <w:szCs w:val="24"/>
        </w:rPr>
        <w:t>following activities relating to</w:t>
      </w:r>
      <w:r w:rsidRPr="001B7B07">
        <w:rPr>
          <w:color w:val="000000" w:themeColor="text1"/>
          <w:szCs w:val="24"/>
        </w:rPr>
        <w:t>:</w:t>
      </w:r>
    </w:p>
    <w:p w:rsidR="000242FD" w:rsidRPr="001B7B07" w:rsidRDefault="000242FD" w:rsidP="000242FD">
      <w:pPr>
        <w:ind w:right="91"/>
        <w:rPr>
          <w:color w:val="000000" w:themeColor="text1"/>
          <w:szCs w:val="24"/>
        </w:rPr>
      </w:pPr>
    </w:p>
    <w:p w:rsidR="000242FD" w:rsidRDefault="000242FD" w:rsidP="000242FD">
      <w:pPr>
        <w:pStyle w:val="ListParagraph"/>
        <w:numPr>
          <w:ilvl w:val="0"/>
          <w:numId w:val="15"/>
        </w:numPr>
        <w:spacing w:after="120" w:line="240" w:lineRule="auto"/>
        <w:contextualSpacing w:val="0"/>
        <w:rPr>
          <w:color w:val="000000" w:themeColor="text1"/>
          <w:szCs w:val="24"/>
        </w:rPr>
      </w:pPr>
      <w:r w:rsidRPr="00DA5B6C">
        <w:rPr>
          <w:color w:val="000000" w:themeColor="text1"/>
          <w:szCs w:val="24"/>
        </w:rPr>
        <w:t>voluntary contributions to the Information Sharing Centre</w:t>
      </w:r>
      <w:r>
        <w:rPr>
          <w:color w:val="000000" w:themeColor="text1"/>
          <w:szCs w:val="24"/>
        </w:rPr>
        <w:t>,</w:t>
      </w:r>
      <w:r w:rsidRPr="00DA5B6C">
        <w:rPr>
          <w:color w:val="000000" w:themeColor="text1"/>
          <w:szCs w:val="24"/>
        </w:rPr>
        <w:t xml:space="preserve"> established by the Regional Cooperation Agreement on Combating Piracy and Armed Robbery against Ships in Asia</w:t>
      </w:r>
      <w:r>
        <w:rPr>
          <w:color w:val="000000" w:themeColor="text1"/>
          <w:szCs w:val="24"/>
        </w:rPr>
        <w:t xml:space="preserve">, </w:t>
      </w:r>
      <w:r w:rsidR="00B4226D">
        <w:rPr>
          <w:iCs/>
        </w:rPr>
        <w:t>which</w:t>
      </w:r>
      <w:r w:rsidRPr="008A5499">
        <w:rPr>
          <w:iCs/>
        </w:rPr>
        <w:t xml:space="preserve"> will allow the A</w:t>
      </w:r>
      <w:r>
        <w:rPr>
          <w:iCs/>
        </w:rPr>
        <w:t xml:space="preserve">ustralian </w:t>
      </w:r>
      <w:r w:rsidRPr="008A5499">
        <w:rPr>
          <w:iCs/>
        </w:rPr>
        <w:t>C</w:t>
      </w:r>
      <w:r>
        <w:rPr>
          <w:iCs/>
        </w:rPr>
        <w:t xml:space="preserve">ustoms and Border Protection Service </w:t>
      </w:r>
      <w:r w:rsidRPr="008A5499">
        <w:rPr>
          <w:iCs/>
        </w:rPr>
        <w:t>to undertake its national security obligations to eradicate piracy in the region</w:t>
      </w:r>
      <w:r>
        <w:rPr>
          <w:iCs/>
        </w:rPr>
        <w:t xml:space="preserve"> </w:t>
      </w:r>
      <w:r>
        <w:rPr>
          <w:color w:val="000000" w:themeColor="text1"/>
          <w:szCs w:val="24"/>
        </w:rPr>
        <w:t>(</w:t>
      </w:r>
      <w:r w:rsidRPr="00DA5B6C">
        <w:rPr>
          <w:color w:val="000000" w:themeColor="text1"/>
          <w:szCs w:val="24"/>
        </w:rPr>
        <w:t xml:space="preserve">Immigration </w:t>
      </w:r>
      <w:r>
        <w:rPr>
          <w:color w:val="000000" w:themeColor="text1"/>
          <w:szCs w:val="24"/>
        </w:rPr>
        <w:t>and</w:t>
      </w:r>
      <w:r w:rsidRPr="00DA5B6C">
        <w:rPr>
          <w:color w:val="000000" w:themeColor="text1"/>
          <w:szCs w:val="24"/>
        </w:rPr>
        <w:t xml:space="preserve"> Bor</w:t>
      </w:r>
      <w:r>
        <w:rPr>
          <w:color w:val="000000" w:themeColor="text1"/>
          <w:szCs w:val="24"/>
        </w:rPr>
        <w:t xml:space="preserve">der Protection portfolio); </w:t>
      </w:r>
    </w:p>
    <w:p w:rsidR="000242FD" w:rsidRDefault="000242FD" w:rsidP="000242FD">
      <w:pPr>
        <w:pStyle w:val="ListParagraph"/>
        <w:numPr>
          <w:ilvl w:val="0"/>
          <w:numId w:val="15"/>
        </w:numPr>
        <w:spacing w:after="120" w:line="240" w:lineRule="auto"/>
        <w:contextualSpacing w:val="0"/>
        <w:rPr>
          <w:color w:val="000000" w:themeColor="text1"/>
          <w:szCs w:val="24"/>
        </w:rPr>
      </w:pPr>
      <w:r>
        <w:lastRenderedPageBreak/>
        <w:t>fund</w:t>
      </w:r>
      <w:r w:rsidR="00B4226D">
        <w:t>ing</w:t>
      </w:r>
      <w:r>
        <w:t xml:space="preserve"> the operational costs of the National Office of Life Education Australia associated with the ongoing development and implementation of school</w:t>
      </w:r>
      <w:r>
        <w:noBreakHyphen/>
        <w:t xml:space="preserve">based student resilience and wellbeing programmes and resources for schools </w:t>
      </w:r>
      <w:r>
        <w:rPr>
          <w:szCs w:val="24"/>
        </w:rPr>
        <w:t>(Education portfolio)</w:t>
      </w:r>
      <w:r w:rsidRPr="001B7B07">
        <w:rPr>
          <w:szCs w:val="24"/>
        </w:rPr>
        <w:t>;</w:t>
      </w:r>
      <w:r>
        <w:rPr>
          <w:szCs w:val="24"/>
        </w:rPr>
        <w:t xml:space="preserve"> and</w:t>
      </w:r>
    </w:p>
    <w:p w:rsidR="000242FD" w:rsidRDefault="000242FD" w:rsidP="00445340">
      <w:pPr>
        <w:pStyle w:val="ListParagraph"/>
        <w:numPr>
          <w:ilvl w:val="0"/>
          <w:numId w:val="15"/>
        </w:numPr>
        <w:spacing w:after="0" w:line="240" w:lineRule="auto"/>
        <w:contextualSpacing w:val="0"/>
        <w:rPr>
          <w:color w:val="000000" w:themeColor="text1"/>
          <w:szCs w:val="24"/>
        </w:rPr>
      </w:pPr>
      <w:r>
        <w:t>the establishment and funding of the Australian Government Innovation and Investment Fund – Tasmania, part of the Government’s Tasmanian Jobs and Growth Package, to support new projects that create sustainable business growth and job opportunities that will contribute to the strengthening of Tasmania’s economy (</w:t>
      </w:r>
      <w:r w:rsidRPr="00C460EA">
        <w:rPr>
          <w:color w:val="000000" w:themeColor="text1"/>
          <w:szCs w:val="24"/>
        </w:rPr>
        <w:t>Industry portfolio</w:t>
      </w:r>
      <w:r>
        <w:rPr>
          <w:color w:val="000000" w:themeColor="text1"/>
          <w:szCs w:val="24"/>
        </w:rPr>
        <w:t>)</w:t>
      </w:r>
      <w:r>
        <w:rPr>
          <w:szCs w:val="24"/>
        </w:rPr>
        <w:t>.</w:t>
      </w:r>
    </w:p>
    <w:p w:rsidR="00A5170D" w:rsidRDefault="00A5170D">
      <w:pPr>
        <w:ind w:right="91"/>
        <w:rPr>
          <w:szCs w:val="24"/>
          <w:highlight w:val="yellow"/>
        </w:rPr>
      </w:pPr>
    </w:p>
    <w:p w:rsidR="00A5170D" w:rsidRDefault="00741F92">
      <w:pPr>
        <w:pStyle w:val="ParaNumbering"/>
        <w:tabs>
          <w:tab w:val="clear" w:pos="360"/>
          <w:tab w:val="clear" w:pos="567"/>
        </w:tabs>
        <w:spacing w:after="0" w:line="240" w:lineRule="auto"/>
        <w:rPr>
          <w:bCs/>
          <w:color w:val="000000" w:themeColor="text1"/>
          <w:szCs w:val="24"/>
        </w:rPr>
      </w:pPr>
      <w:r w:rsidRPr="00AF0637">
        <w:rPr>
          <w:color w:val="000000" w:themeColor="text1"/>
          <w:szCs w:val="24"/>
        </w:rPr>
        <w:t xml:space="preserve">Details of the Regulation are set out </w:t>
      </w:r>
      <w:r w:rsidR="0031743A" w:rsidRPr="00AF0637">
        <w:rPr>
          <w:color w:val="000000" w:themeColor="text1"/>
          <w:szCs w:val="24"/>
        </w:rPr>
        <w:t>at</w:t>
      </w:r>
      <w:r w:rsidRPr="00AF0637">
        <w:rPr>
          <w:color w:val="000000" w:themeColor="text1"/>
          <w:szCs w:val="24"/>
        </w:rPr>
        <w:t xml:space="preserve"> </w:t>
      </w:r>
      <w:r w:rsidRPr="00AF0637">
        <w:rPr>
          <w:color w:val="000000" w:themeColor="text1"/>
          <w:szCs w:val="24"/>
          <w:u w:val="single"/>
        </w:rPr>
        <w:t>Attachment</w:t>
      </w:r>
      <w:r w:rsidR="0031743A" w:rsidRPr="00AF0637">
        <w:rPr>
          <w:color w:val="000000" w:themeColor="text1"/>
          <w:szCs w:val="24"/>
          <w:u w:val="single"/>
        </w:rPr>
        <w:t xml:space="preserve"> A</w:t>
      </w:r>
      <w:r w:rsidRPr="00AF0637">
        <w:rPr>
          <w:color w:val="000000" w:themeColor="text1"/>
          <w:szCs w:val="24"/>
        </w:rPr>
        <w:t>.</w:t>
      </w:r>
      <w:r w:rsidR="0031743A" w:rsidRPr="00AF0637">
        <w:rPr>
          <w:color w:val="000000" w:themeColor="text1"/>
          <w:szCs w:val="24"/>
        </w:rPr>
        <w:t xml:space="preserve">  A </w:t>
      </w:r>
      <w:r w:rsidR="0031743A" w:rsidRPr="00AF0637">
        <w:rPr>
          <w:bCs/>
          <w:color w:val="000000" w:themeColor="text1"/>
          <w:szCs w:val="24"/>
        </w:rPr>
        <w:t xml:space="preserve">Statement of Compatibility with Human Rights is at </w:t>
      </w:r>
      <w:r w:rsidR="0031743A" w:rsidRPr="00AF0637">
        <w:rPr>
          <w:bCs/>
          <w:color w:val="000000" w:themeColor="text1"/>
          <w:szCs w:val="24"/>
          <w:u w:val="single"/>
        </w:rPr>
        <w:t>Attachment B</w:t>
      </w:r>
      <w:r w:rsidR="0031743A" w:rsidRPr="00AF0637">
        <w:rPr>
          <w:bCs/>
          <w:color w:val="000000" w:themeColor="text1"/>
          <w:szCs w:val="24"/>
        </w:rPr>
        <w:t xml:space="preserve">.  </w:t>
      </w:r>
    </w:p>
    <w:p w:rsidR="00A5170D" w:rsidRDefault="00A5170D">
      <w:pPr>
        <w:pStyle w:val="ParaNumbering"/>
        <w:tabs>
          <w:tab w:val="clear" w:pos="360"/>
          <w:tab w:val="clear" w:pos="567"/>
        </w:tabs>
        <w:spacing w:after="0" w:line="240" w:lineRule="auto"/>
        <w:rPr>
          <w:bCs/>
          <w:color w:val="000000" w:themeColor="text1"/>
          <w:szCs w:val="24"/>
        </w:rPr>
      </w:pPr>
    </w:p>
    <w:p w:rsidR="00A5170D" w:rsidRDefault="00706F2A">
      <w:pPr>
        <w:pStyle w:val="ParaNumbering"/>
        <w:tabs>
          <w:tab w:val="clear" w:pos="360"/>
          <w:tab w:val="clear" w:pos="567"/>
        </w:tabs>
        <w:spacing w:after="0" w:line="240" w:lineRule="auto"/>
        <w:rPr>
          <w:color w:val="000000" w:themeColor="text1"/>
          <w:szCs w:val="24"/>
        </w:rPr>
      </w:pPr>
      <w:r w:rsidRPr="00AF0637">
        <w:rPr>
          <w:color w:val="000000" w:themeColor="text1"/>
          <w:szCs w:val="24"/>
        </w:rPr>
        <w:t xml:space="preserve">The Regulation </w:t>
      </w:r>
      <w:r w:rsidR="00D62449" w:rsidRPr="00AF0637">
        <w:rPr>
          <w:color w:val="000000" w:themeColor="text1"/>
          <w:szCs w:val="24"/>
        </w:rPr>
        <w:t>is</w:t>
      </w:r>
      <w:r w:rsidRPr="00AF0637">
        <w:rPr>
          <w:color w:val="000000" w:themeColor="text1"/>
          <w:szCs w:val="24"/>
        </w:rPr>
        <w:t xml:space="preserve"> a legislative instrument for the purposes of the</w:t>
      </w:r>
      <w:r w:rsidRPr="00AF0637">
        <w:rPr>
          <w:i/>
          <w:color w:val="000000" w:themeColor="text1"/>
          <w:szCs w:val="24"/>
        </w:rPr>
        <w:t xml:space="preserve"> Legislative Instruments Act</w:t>
      </w:r>
      <w:r w:rsidR="009D5067" w:rsidRPr="00AF0637">
        <w:rPr>
          <w:i/>
          <w:color w:val="000000" w:themeColor="text1"/>
          <w:szCs w:val="24"/>
        </w:rPr>
        <w:t> </w:t>
      </w:r>
      <w:r w:rsidRPr="00AF0637">
        <w:rPr>
          <w:i/>
          <w:color w:val="000000" w:themeColor="text1"/>
          <w:szCs w:val="24"/>
        </w:rPr>
        <w:t>2003.</w:t>
      </w:r>
      <w:r w:rsidR="005C7253" w:rsidRPr="00AF0637">
        <w:rPr>
          <w:i/>
          <w:color w:val="000000" w:themeColor="text1"/>
          <w:szCs w:val="24"/>
        </w:rPr>
        <w:t xml:space="preserve"> </w:t>
      </w:r>
      <w:r w:rsidR="00200EF9" w:rsidRPr="00AF0637">
        <w:rPr>
          <w:i/>
          <w:color w:val="000000" w:themeColor="text1"/>
          <w:szCs w:val="24"/>
        </w:rPr>
        <w:t xml:space="preserve"> </w:t>
      </w:r>
    </w:p>
    <w:p w:rsidR="00A5170D" w:rsidRDefault="00A5170D">
      <w:pPr>
        <w:rPr>
          <w:color w:val="000000" w:themeColor="text1"/>
          <w:szCs w:val="24"/>
        </w:rPr>
      </w:pPr>
    </w:p>
    <w:p w:rsidR="00A5170D" w:rsidRDefault="00C00C3D">
      <w:pPr>
        <w:rPr>
          <w:color w:val="000000" w:themeColor="text1"/>
          <w:szCs w:val="24"/>
        </w:rPr>
      </w:pPr>
      <w:r w:rsidRPr="00AF0637">
        <w:rPr>
          <w:color w:val="000000" w:themeColor="text1"/>
          <w:szCs w:val="24"/>
        </w:rPr>
        <w:t>The</w:t>
      </w:r>
      <w:r w:rsidR="00510714" w:rsidRPr="00AF0637">
        <w:rPr>
          <w:color w:val="000000" w:themeColor="text1"/>
          <w:szCs w:val="24"/>
        </w:rPr>
        <w:t xml:space="preserve"> Regulation commences on the day after registration on the Federal Register of Legislative Instruments.  </w:t>
      </w:r>
    </w:p>
    <w:p w:rsidR="00A5170D" w:rsidRDefault="00A5170D">
      <w:pPr>
        <w:rPr>
          <w:color w:val="000000" w:themeColor="text1"/>
          <w:szCs w:val="24"/>
        </w:rPr>
      </w:pPr>
    </w:p>
    <w:p w:rsidR="00A5170D" w:rsidRDefault="00D62449">
      <w:pPr>
        <w:rPr>
          <w:b/>
          <w:bCs/>
          <w:szCs w:val="24"/>
        </w:rPr>
      </w:pPr>
      <w:r w:rsidRPr="00AF0637">
        <w:rPr>
          <w:b/>
          <w:bCs/>
          <w:szCs w:val="24"/>
        </w:rPr>
        <w:t>Consultation</w:t>
      </w:r>
    </w:p>
    <w:p w:rsidR="00A5170D" w:rsidRDefault="00A5170D">
      <w:pPr>
        <w:rPr>
          <w:color w:val="000000" w:themeColor="text1"/>
          <w:szCs w:val="24"/>
        </w:rPr>
      </w:pPr>
    </w:p>
    <w:p w:rsidR="00A03A55" w:rsidRDefault="00D62449">
      <w:pPr>
        <w:rPr>
          <w:color w:val="000000" w:themeColor="text1"/>
          <w:szCs w:val="24"/>
        </w:rPr>
      </w:pPr>
      <w:r w:rsidRPr="00AF0637">
        <w:rPr>
          <w:color w:val="000000" w:themeColor="text1"/>
          <w:szCs w:val="24"/>
        </w:rPr>
        <w:t xml:space="preserve">In accordance with section 17 of the </w:t>
      </w:r>
      <w:r w:rsidRPr="00AF0637">
        <w:rPr>
          <w:i/>
          <w:iCs/>
          <w:color w:val="000000" w:themeColor="text1"/>
          <w:szCs w:val="24"/>
        </w:rPr>
        <w:t>Legislative Instruments Act 2003</w:t>
      </w:r>
      <w:r w:rsidRPr="00AF0637">
        <w:rPr>
          <w:color w:val="000000" w:themeColor="text1"/>
          <w:szCs w:val="24"/>
        </w:rPr>
        <w:t>, consultation ha</w:t>
      </w:r>
      <w:r w:rsidR="008C423A">
        <w:rPr>
          <w:color w:val="000000" w:themeColor="text1"/>
          <w:szCs w:val="24"/>
        </w:rPr>
        <w:t>s</w:t>
      </w:r>
      <w:r w:rsidRPr="00AF0637">
        <w:rPr>
          <w:color w:val="000000" w:themeColor="text1"/>
          <w:szCs w:val="24"/>
        </w:rPr>
        <w:t xml:space="preserve"> taken place with</w:t>
      </w:r>
      <w:r w:rsidR="004B4CD0">
        <w:rPr>
          <w:color w:val="000000" w:themeColor="text1"/>
          <w:szCs w:val="24"/>
        </w:rPr>
        <w:t>:</w:t>
      </w:r>
      <w:r w:rsidR="00776864" w:rsidRPr="00AF0637">
        <w:rPr>
          <w:color w:val="000000" w:themeColor="text1"/>
          <w:szCs w:val="24"/>
        </w:rPr>
        <w:t xml:space="preserve"> </w:t>
      </w:r>
      <w:r w:rsidR="00075170">
        <w:rPr>
          <w:color w:val="000000" w:themeColor="text1"/>
          <w:szCs w:val="24"/>
        </w:rPr>
        <w:t xml:space="preserve">the </w:t>
      </w:r>
      <w:r w:rsidR="000242FD">
        <w:rPr>
          <w:color w:val="000000" w:themeColor="text1"/>
          <w:szCs w:val="24"/>
        </w:rPr>
        <w:t>Australian Customs and Bo</w:t>
      </w:r>
      <w:r w:rsidR="00445340">
        <w:rPr>
          <w:color w:val="000000" w:themeColor="text1"/>
          <w:szCs w:val="24"/>
        </w:rPr>
        <w:t>rder Protection Service;</w:t>
      </w:r>
      <w:r w:rsidR="000242FD">
        <w:rPr>
          <w:color w:val="000000" w:themeColor="text1"/>
          <w:szCs w:val="24"/>
        </w:rPr>
        <w:t xml:space="preserve"> the </w:t>
      </w:r>
      <w:r w:rsidR="004B4CD0" w:rsidRPr="006D59A1">
        <w:rPr>
          <w:color w:val="000000" w:themeColor="text1"/>
          <w:szCs w:val="24"/>
        </w:rPr>
        <w:t>Depart</w:t>
      </w:r>
      <w:r w:rsidR="000242FD">
        <w:rPr>
          <w:color w:val="000000" w:themeColor="text1"/>
          <w:szCs w:val="24"/>
        </w:rPr>
        <w:t>ment</w:t>
      </w:r>
      <w:r w:rsidR="004B4CD0" w:rsidRPr="006D59A1">
        <w:rPr>
          <w:color w:val="000000" w:themeColor="text1"/>
          <w:szCs w:val="24"/>
        </w:rPr>
        <w:t xml:space="preserve"> of Education; </w:t>
      </w:r>
      <w:r w:rsidR="000242FD">
        <w:rPr>
          <w:color w:val="000000" w:themeColor="text1"/>
          <w:szCs w:val="24"/>
        </w:rPr>
        <w:t xml:space="preserve">and </w:t>
      </w:r>
      <w:r w:rsidR="00075170">
        <w:rPr>
          <w:color w:val="000000" w:themeColor="text1"/>
          <w:szCs w:val="24"/>
        </w:rPr>
        <w:t xml:space="preserve">the </w:t>
      </w:r>
      <w:r w:rsidR="004B4CD0" w:rsidRPr="006D59A1">
        <w:rPr>
          <w:color w:val="000000" w:themeColor="text1"/>
          <w:szCs w:val="24"/>
        </w:rPr>
        <w:t>Department of Industry</w:t>
      </w:r>
      <w:r w:rsidR="005C7253" w:rsidRPr="00AF0637">
        <w:rPr>
          <w:color w:val="000000" w:themeColor="text1"/>
          <w:szCs w:val="24"/>
        </w:rPr>
        <w:t>.</w:t>
      </w:r>
      <w:r w:rsidRPr="00AF0637">
        <w:rPr>
          <w:color w:val="000000" w:themeColor="text1"/>
          <w:szCs w:val="24"/>
        </w:rPr>
        <w:t xml:space="preserve">  </w:t>
      </w:r>
    </w:p>
    <w:p w:rsidR="00A03A55" w:rsidRDefault="00A03A55">
      <w:pPr>
        <w:rPr>
          <w:color w:val="000000" w:themeColor="text1"/>
          <w:szCs w:val="24"/>
        </w:rPr>
      </w:pPr>
    </w:p>
    <w:p w:rsidR="00A5170D" w:rsidRDefault="00200EF9">
      <w:pPr>
        <w:rPr>
          <w:iCs/>
          <w:szCs w:val="24"/>
        </w:rPr>
      </w:pPr>
      <w:r w:rsidRPr="00AF0637">
        <w:rPr>
          <w:iCs/>
          <w:szCs w:val="24"/>
        </w:rPr>
        <w:t xml:space="preserve">A regulation impact statement is not required as the Regulation only applies to </w:t>
      </w:r>
      <w:r w:rsidR="000242FD">
        <w:rPr>
          <w:iCs/>
          <w:szCs w:val="24"/>
        </w:rPr>
        <w:t>non-corporate Commonwealth entities</w:t>
      </w:r>
      <w:r w:rsidRPr="00AF0637">
        <w:rPr>
          <w:iCs/>
          <w:szCs w:val="24"/>
        </w:rPr>
        <w:t xml:space="preserve"> and does not adversely affect the private sector.  </w:t>
      </w:r>
    </w:p>
    <w:p w:rsidR="000242FD" w:rsidRDefault="000242FD">
      <w:pPr>
        <w:rPr>
          <w:color w:val="000000" w:themeColor="text1"/>
          <w:szCs w:val="24"/>
        </w:rPr>
      </w:pPr>
    </w:p>
    <w:p w:rsidR="00AE6A54" w:rsidRPr="00AF0637" w:rsidRDefault="00AE6A54" w:rsidP="00A333A5">
      <w:pPr>
        <w:spacing w:line="276" w:lineRule="auto"/>
        <w:rPr>
          <w:color w:val="000000" w:themeColor="text1"/>
          <w:szCs w:val="24"/>
        </w:rPr>
        <w:sectPr w:rsidR="00AE6A54" w:rsidRPr="00AF0637" w:rsidSect="00AF1F51">
          <w:headerReference w:type="default" r:id="rId9"/>
          <w:headerReference w:type="first" r:id="rId10"/>
          <w:pgSz w:w="11906" w:h="16838"/>
          <w:pgMar w:top="1418" w:right="1440" w:bottom="1332" w:left="1440" w:header="709" w:footer="709" w:gutter="0"/>
          <w:pgNumType w:start="1"/>
          <w:cols w:space="708"/>
          <w:titlePg/>
          <w:docGrid w:linePitch="360"/>
        </w:sectPr>
      </w:pPr>
    </w:p>
    <w:p w:rsidR="00A5170D" w:rsidRDefault="0053586D">
      <w:pPr>
        <w:rPr>
          <w:b/>
          <w:bCs/>
          <w:i/>
          <w:color w:val="000000" w:themeColor="text1"/>
          <w:szCs w:val="24"/>
          <w:u w:val="single"/>
        </w:rPr>
      </w:pPr>
      <w:r w:rsidRPr="00AF0637">
        <w:rPr>
          <w:b/>
          <w:bCs/>
          <w:color w:val="000000" w:themeColor="text1"/>
          <w:szCs w:val="24"/>
          <w:u w:val="single"/>
        </w:rPr>
        <w:lastRenderedPageBreak/>
        <w:t xml:space="preserve">Details of the </w:t>
      </w:r>
      <w:r w:rsidR="000242FD" w:rsidRPr="00512A94">
        <w:rPr>
          <w:bCs/>
          <w:i/>
          <w:color w:val="000000" w:themeColor="text1"/>
          <w:szCs w:val="24"/>
          <w:u w:val="single"/>
        </w:rPr>
        <w:t xml:space="preserve">Financial </w:t>
      </w:r>
      <w:r w:rsidR="000242FD">
        <w:rPr>
          <w:bCs/>
          <w:i/>
          <w:color w:val="000000" w:themeColor="text1"/>
          <w:szCs w:val="24"/>
          <w:u w:val="single"/>
        </w:rPr>
        <w:t>Framework (Supplementary Powers)</w:t>
      </w:r>
      <w:r w:rsidR="000242FD" w:rsidRPr="00512A94">
        <w:rPr>
          <w:bCs/>
          <w:i/>
          <w:color w:val="000000" w:themeColor="text1"/>
          <w:szCs w:val="24"/>
          <w:u w:val="single"/>
        </w:rPr>
        <w:t xml:space="preserve"> Amendment (2014 Measures No</w:t>
      </w:r>
      <w:r w:rsidR="000242FD" w:rsidRPr="00B77056">
        <w:rPr>
          <w:bCs/>
          <w:i/>
          <w:color w:val="000000" w:themeColor="text1"/>
          <w:szCs w:val="24"/>
          <w:u w:val="single"/>
        </w:rPr>
        <w:t>. </w:t>
      </w:r>
      <w:r w:rsidR="000242FD">
        <w:rPr>
          <w:bCs/>
          <w:i/>
          <w:color w:val="000000" w:themeColor="text1"/>
          <w:szCs w:val="24"/>
          <w:u w:val="single"/>
        </w:rPr>
        <w:t>1</w:t>
      </w:r>
      <w:r w:rsidR="000242FD" w:rsidRPr="00512A94">
        <w:rPr>
          <w:bCs/>
          <w:i/>
          <w:color w:val="000000" w:themeColor="text1"/>
          <w:szCs w:val="24"/>
          <w:u w:val="single"/>
        </w:rPr>
        <w:t>) Regulation 2014</w:t>
      </w:r>
    </w:p>
    <w:p w:rsidR="00A5170D" w:rsidRDefault="00A5170D">
      <w:pPr>
        <w:rPr>
          <w:color w:val="000000" w:themeColor="text1"/>
          <w:szCs w:val="24"/>
          <w:u w:val="single"/>
        </w:rPr>
      </w:pPr>
    </w:p>
    <w:p w:rsidR="00A5170D" w:rsidRDefault="00404FED">
      <w:pPr>
        <w:rPr>
          <w:b/>
          <w:color w:val="000000" w:themeColor="text1"/>
          <w:szCs w:val="24"/>
        </w:rPr>
      </w:pPr>
      <w:r w:rsidRPr="00AF0637">
        <w:rPr>
          <w:b/>
          <w:color w:val="000000" w:themeColor="text1"/>
          <w:szCs w:val="24"/>
        </w:rPr>
        <w:t>Section 1 – Name of Regulation</w:t>
      </w:r>
    </w:p>
    <w:p w:rsidR="00A5170D" w:rsidRDefault="00A5170D">
      <w:pPr>
        <w:rPr>
          <w:color w:val="000000" w:themeColor="text1"/>
          <w:szCs w:val="24"/>
        </w:rPr>
      </w:pPr>
    </w:p>
    <w:p w:rsidR="00A5170D" w:rsidRDefault="00706F2A">
      <w:pPr>
        <w:rPr>
          <w:color w:val="000000" w:themeColor="text1"/>
          <w:szCs w:val="24"/>
        </w:rPr>
      </w:pPr>
      <w:r w:rsidRPr="00AF0637">
        <w:rPr>
          <w:color w:val="000000" w:themeColor="text1"/>
          <w:szCs w:val="24"/>
        </w:rPr>
        <w:t>This section provides that</w:t>
      </w:r>
      <w:r w:rsidR="00095EE4" w:rsidRPr="00AF0637">
        <w:rPr>
          <w:color w:val="000000" w:themeColor="text1"/>
          <w:szCs w:val="24"/>
        </w:rPr>
        <w:t xml:space="preserve"> the</w:t>
      </w:r>
      <w:r w:rsidR="000D0ABE" w:rsidRPr="00AF0637">
        <w:rPr>
          <w:color w:val="000000" w:themeColor="text1"/>
          <w:szCs w:val="24"/>
        </w:rPr>
        <w:t xml:space="preserve"> </w:t>
      </w:r>
      <w:r w:rsidRPr="00AF0637">
        <w:rPr>
          <w:color w:val="000000" w:themeColor="text1"/>
          <w:szCs w:val="24"/>
        </w:rPr>
        <w:t xml:space="preserve">title of the Regulation </w:t>
      </w:r>
      <w:r w:rsidR="005C7253" w:rsidRPr="00AF0637">
        <w:rPr>
          <w:szCs w:val="24"/>
        </w:rPr>
        <w:t>is</w:t>
      </w:r>
      <w:r w:rsidRPr="00AF0637">
        <w:rPr>
          <w:color w:val="000000" w:themeColor="text1"/>
          <w:szCs w:val="24"/>
        </w:rPr>
        <w:t xml:space="preserve"> the </w:t>
      </w:r>
      <w:r w:rsidR="000242FD" w:rsidRPr="003247B7">
        <w:rPr>
          <w:bCs/>
          <w:i/>
        </w:rPr>
        <w:t>Financial Framework (Supplementary Powers) Amendment (2014 Measures No. 1) Regulation 2014</w:t>
      </w:r>
      <w:r w:rsidR="000242FD">
        <w:rPr>
          <w:bCs/>
        </w:rPr>
        <w:t>.</w:t>
      </w:r>
    </w:p>
    <w:p w:rsidR="00A5170D" w:rsidRDefault="00A5170D">
      <w:pPr>
        <w:rPr>
          <w:color w:val="000000" w:themeColor="text1"/>
          <w:szCs w:val="24"/>
        </w:rPr>
      </w:pPr>
    </w:p>
    <w:p w:rsidR="00A5170D" w:rsidRDefault="0053586D">
      <w:pPr>
        <w:rPr>
          <w:b/>
          <w:color w:val="000000" w:themeColor="text1"/>
          <w:szCs w:val="24"/>
        </w:rPr>
      </w:pPr>
      <w:r w:rsidRPr="00AF0637">
        <w:rPr>
          <w:b/>
          <w:color w:val="000000" w:themeColor="text1"/>
          <w:szCs w:val="24"/>
        </w:rPr>
        <w:t xml:space="preserve">Section 2 – Commencement </w:t>
      </w:r>
    </w:p>
    <w:p w:rsidR="00A5170D" w:rsidRDefault="00A5170D">
      <w:pPr>
        <w:rPr>
          <w:color w:val="000000" w:themeColor="text1"/>
          <w:szCs w:val="24"/>
        </w:rPr>
      </w:pPr>
    </w:p>
    <w:p w:rsidR="00A5170D" w:rsidRDefault="0053586D">
      <w:pPr>
        <w:rPr>
          <w:color w:val="000000" w:themeColor="text1"/>
          <w:szCs w:val="24"/>
        </w:rPr>
      </w:pPr>
      <w:r w:rsidRPr="00AF0637">
        <w:rPr>
          <w:color w:val="000000" w:themeColor="text1"/>
          <w:szCs w:val="24"/>
        </w:rPr>
        <w:t xml:space="preserve">This section provides </w:t>
      </w:r>
      <w:r w:rsidR="000C565A" w:rsidRPr="00AF0637">
        <w:rPr>
          <w:color w:val="000000" w:themeColor="text1"/>
          <w:szCs w:val="24"/>
        </w:rPr>
        <w:t>that t</w:t>
      </w:r>
      <w:r w:rsidR="00C00C3D" w:rsidRPr="00AF0637">
        <w:rPr>
          <w:color w:val="000000" w:themeColor="text1"/>
          <w:szCs w:val="24"/>
        </w:rPr>
        <w:t>he</w:t>
      </w:r>
      <w:r w:rsidRPr="00AF0637">
        <w:rPr>
          <w:color w:val="000000" w:themeColor="text1"/>
          <w:szCs w:val="24"/>
        </w:rPr>
        <w:t xml:space="preserve"> Regulation commence</w:t>
      </w:r>
      <w:r w:rsidR="00AE6032" w:rsidRPr="00AF0637">
        <w:rPr>
          <w:color w:val="000000" w:themeColor="text1"/>
          <w:szCs w:val="24"/>
        </w:rPr>
        <w:t>s</w:t>
      </w:r>
      <w:r w:rsidRPr="00AF0637">
        <w:rPr>
          <w:color w:val="000000" w:themeColor="text1"/>
          <w:szCs w:val="24"/>
        </w:rPr>
        <w:t xml:space="preserve"> on the day after </w:t>
      </w:r>
      <w:r w:rsidR="00C00C3D" w:rsidRPr="00AF0637">
        <w:rPr>
          <w:color w:val="000000" w:themeColor="text1"/>
          <w:szCs w:val="24"/>
        </w:rPr>
        <w:t>it</w:t>
      </w:r>
      <w:r w:rsidRPr="00AF0637">
        <w:rPr>
          <w:color w:val="000000" w:themeColor="text1"/>
          <w:szCs w:val="24"/>
        </w:rPr>
        <w:t xml:space="preserve"> is registered on the Federal Register of Legislative Instruments.  </w:t>
      </w:r>
    </w:p>
    <w:p w:rsidR="00A5170D" w:rsidRDefault="00A5170D">
      <w:pPr>
        <w:rPr>
          <w:color w:val="000000" w:themeColor="text1"/>
          <w:szCs w:val="24"/>
        </w:rPr>
      </w:pPr>
    </w:p>
    <w:p w:rsidR="00A5170D" w:rsidRDefault="0053586D">
      <w:pPr>
        <w:rPr>
          <w:b/>
          <w:i/>
          <w:color w:val="000000" w:themeColor="text1"/>
          <w:szCs w:val="24"/>
        </w:rPr>
      </w:pPr>
      <w:r w:rsidRPr="00AF0637">
        <w:rPr>
          <w:b/>
          <w:color w:val="000000" w:themeColor="text1"/>
          <w:szCs w:val="24"/>
        </w:rPr>
        <w:t>Section 3 – Authority</w:t>
      </w:r>
      <w:r w:rsidRPr="00AF0637">
        <w:rPr>
          <w:b/>
          <w:i/>
          <w:color w:val="000000" w:themeColor="text1"/>
          <w:szCs w:val="24"/>
        </w:rPr>
        <w:t xml:space="preserve"> </w:t>
      </w:r>
    </w:p>
    <w:p w:rsidR="00A5170D" w:rsidRDefault="00A5170D">
      <w:pPr>
        <w:rPr>
          <w:color w:val="000000" w:themeColor="text1"/>
          <w:szCs w:val="24"/>
        </w:rPr>
      </w:pPr>
    </w:p>
    <w:p w:rsidR="00A5170D" w:rsidRDefault="0053586D">
      <w:pPr>
        <w:rPr>
          <w:color w:val="000000" w:themeColor="text1"/>
          <w:szCs w:val="24"/>
        </w:rPr>
      </w:pPr>
      <w:r w:rsidRPr="00AF0637">
        <w:rPr>
          <w:color w:val="000000" w:themeColor="text1"/>
          <w:szCs w:val="24"/>
        </w:rPr>
        <w:t xml:space="preserve">This section provides that the Regulation </w:t>
      </w:r>
      <w:r w:rsidR="00AE6032" w:rsidRPr="00AF0637">
        <w:rPr>
          <w:color w:val="000000" w:themeColor="text1"/>
          <w:szCs w:val="24"/>
        </w:rPr>
        <w:t>is</w:t>
      </w:r>
      <w:r w:rsidRPr="00AF0637">
        <w:rPr>
          <w:color w:val="000000" w:themeColor="text1"/>
          <w:szCs w:val="24"/>
        </w:rPr>
        <w:t xml:space="preserve"> made under </w:t>
      </w:r>
      <w:r w:rsidR="000242FD" w:rsidRPr="00512A94">
        <w:rPr>
          <w:color w:val="000000" w:themeColor="text1"/>
          <w:szCs w:val="24"/>
        </w:rPr>
        <w:t xml:space="preserve">the </w:t>
      </w:r>
      <w:r w:rsidR="000242FD" w:rsidRPr="00512A94">
        <w:rPr>
          <w:i/>
          <w:color w:val="000000" w:themeColor="text1"/>
          <w:szCs w:val="24"/>
        </w:rPr>
        <w:t xml:space="preserve">Financial </w:t>
      </w:r>
      <w:r w:rsidR="000242FD" w:rsidRPr="003247B7">
        <w:rPr>
          <w:bCs/>
          <w:i/>
        </w:rPr>
        <w:t xml:space="preserve">Framework (Supplementary Powers) </w:t>
      </w:r>
      <w:r w:rsidR="000242FD" w:rsidRPr="00512A94">
        <w:rPr>
          <w:i/>
          <w:color w:val="000000" w:themeColor="text1"/>
          <w:szCs w:val="24"/>
        </w:rPr>
        <w:t>Act 1997</w:t>
      </w:r>
      <w:r w:rsidRPr="00AF0637">
        <w:rPr>
          <w:color w:val="000000" w:themeColor="text1"/>
          <w:szCs w:val="24"/>
        </w:rPr>
        <w:t>.</w:t>
      </w:r>
    </w:p>
    <w:p w:rsidR="00A5170D" w:rsidRDefault="00A5170D">
      <w:pPr>
        <w:rPr>
          <w:color w:val="000000" w:themeColor="text1"/>
          <w:szCs w:val="24"/>
        </w:rPr>
      </w:pPr>
    </w:p>
    <w:p w:rsidR="00A5170D" w:rsidRDefault="0053586D">
      <w:pPr>
        <w:rPr>
          <w:b/>
          <w:i/>
          <w:color w:val="000000" w:themeColor="text1"/>
          <w:szCs w:val="24"/>
        </w:rPr>
      </w:pPr>
      <w:r w:rsidRPr="00AF0637">
        <w:rPr>
          <w:b/>
          <w:color w:val="000000" w:themeColor="text1"/>
          <w:szCs w:val="24"/>
        </w:rPr>
        <w:t>Section 4 – Schedule(s)</w:t>
      </w:r>
      <w:r w:rsidRPr="00AF0637">
        <w:rPr>
          <w:b/>
          <w:i/>
          <w:color w:val="000000" w:themeColor="text1"/>
          <w:szCs w:val="24"/>
        </w:rPr>
        <w:t xml:space="preserve"> </w:t>
      </w:r>
    </w:p>
    <w:p w:rsidR="00A5170D" w:rsidRDefault="00A5170D">
      <w:pPr>
        <w:rPr>
          <w:color w:val="000000" w:themeColor="text1"/>
          <w:szCs w:val="24"/>
        </w:rPr>
      </w:pPr>
    </w:p>
    <w:p w:rsidR="00A5170D" w:rsidRDefault="0053586D">
      <w:pPr>
        <w:rPr>
          <w:color w:val="000000" w:themeColor="text1"/>
          <w:szCs w:val="24"/>
        </w:rPr>
      </w:pPr>
      <w:r w:rsidRPr="00AF0637">
        <w:rPr>
          <w:color w:val="000000" w:themeColor="text1"/>
          <w:szCs w:val="24"/>
        </w:rPr>
        <w:t xml:space="preserve">This section provides that the </w:t>
      </w:r>
      <w:r w:rsidR="000242FD" w:rsidRPr="00512A94">
        <w:rPr>
          <w:i/>
          <w:color w:val="000000" w:themeColor="text1"/>
          <w:szCs w:val="24"/>
        </w:rPr>
        <w:t xml:space="preserve">Financial </w:t>
      </w:r>
      <w:r w:rsidR="000242FD" w:rsidRPr="003247B7">
        <w:rPr>
          <w:bCs/>
          <w:i/>
        </w:rPr>
        <w:t xml:space="preserve">Framework (Supplementary Powers) </w:t>
      </w:r>
      <w:r w:rsidR="000242FD" w:rsidRPr="00512A94">
        <w:rPr>
          <w:i/>
          <w:color w:val="000000" w:themeColor="text1"/>
          <w:szCs w:val="24"/>
        </w:rPr>
        <w:t>Regulations 1997</w:t>
      </w:r>
      <w:r w:rsidR="000242FD">
        <w:rPr>
          <w:color w:val="000000" w:themeColor="text1"/>
          <w:szCs w:val="24"/>
        </w:rPr>
        <w:t xml:space="preserve"> </w:t>
      </w:r>
      <w:r w:rsidR="000C565A" w:rsidRPr="00AF0637">
        <w:rPr>
          <w:color w:val="000000" w:themeColor="text1"/>
          <w:szCs w:val="24"/>
        </w:rPr>
        <w:t>is</w:t>
      </w:r>
      <w:r w:rsidRPr="00AF0637">
        <w:rPr>
          <w:color w:val="000000" w:themeColor="text1"/>
          <w:szCs w:val="24"/>
        </w:rPr>
        <w:t xml:space="preserve"> amended as set out in Schedule </w:t>
      </w:r>
      <w:r w:rsidRPr="007C32BB">
        <w:rPr>
          <w:color w:val="000000" w:themeColor="text1"/>
          <w:szCs w:val="24"/>
        </w:rPr>
        <w:t>1</w:t>
      </w:r>
      <w:r w:rsidRPr="00AF0637">
        <w:rPr>
          <w:color w:val="000000" w:themeColor="text1"/>
          <w:szCs w:val="24"/>
        </w:rPr>
        <w:t xml:space="preserve"> to the Regulation.</w:t>
      </w:r>
      <w:r w:rsidR="000242FD">
        <w:rPr>
          <w:color w:val="000000" w:themeColor="text1"/>
          <w:szCs w:val="24"/>
        </w:rPr>
        <w:t xml:space="preserve"> </w:t>
      </w:r>
    </w:p>
    <w:p w:rsidR="00A5170D" w:rsidRDefault="00A5170D">
      <w:pPr>
        <w:rPr>
          <w:color w:val="000000" w:themeColor="text1"/>
          <w:szCs w:val="24"/>
        </w:rPr>
      </w:pPr>
    </w:p>
    <w:p w:rsidR="000242FD" w:rsidRPr="00512A94" w:rsidRDefault="000242FD" w:rsidP="000242FD">
      <w:pPr>
        <w:rPr>
          <w:b/>
          <w:color w:val="000000" w:themeColor="text1"/>
          <w:szCs w:val="24"/>
        </w:rPr>
      </w:pPr>
      <w:r w:rsidRPr="00512A94">
        <w:rPr>
          <w:b/>
          <w:color w:val="000000" w:themeColor="text1"/>
          <w:szCs w:val="24"/>
        </w:rPr>
        <w:t>Schedule 1 – Amendments</w:t>
      </w:r>
    </w:p>
    <w:p w:rsidR="000242FD" w:rsidRDefault="000242FD" w:rsidP="000242FD">
      <w:pPr>
        <w:rPr>
          <w:color w:val="000000" w:themeColor="text1"/>
          <w:szCs w:val="24"/>
        </w:rPr>
      </w:pPr>
    </w:p>
    <w:p w:rsidR="000242FD" w:rsidRPr="00AF0637" w:rsidRDefault="000242FD" w:rsidP="000242FD">
      <w:pPr>
        <w:rPr>
          <w:b/>
          <w:color w:val="000000" w:themeColor="text1"/>
          <w:szCs w:val="24"/>
        </w:rPr>
      </w:pPr>
      <w:r>
        <w:rPr>
          <w:b/>
          <w:color w:val="000000" w:themeColor="text1"/>
          <w:szCs w:val="24"/>
        </w:rPr>
        <w:t xml:space="preserve">Item 1 </w:t>
      </w:r>
      <w:r w:rsidRPr="0038154D">
        <w:rPr>
          <w:b/>
          <w:color w:val="000000" w:themeColor="text1"/>
          <w:szCs w:val="24"/>
        </w:rPr>
        <w:t>–</w:t>
      </w:r>
      <w:r>
        <w:rPr>
          <w:b/>
          <w:color w:val="000000" w:themeColor="text1"/>
          <w:szCs w:val="24"/>
        </w:rPr>
        <w:t xml:space="preserve"> Part 3</w:t>
      </w:r>
      <w:r w:rsidRPr="0038154D">
        <w:rPr>
          <w:b/>
          <w:color w:val="000000" w:themeColor="text1"/>
          <w:szCs w:val="24"/>
        </w:rPr>
        <w:t xml:space="preserve"> of Schedule 1AB (at the end of the table)</w:t>
      </w:r>
    </w:p>
    <w:p w:rsidR="000242FD" w:rsidRDefault="000242FD" w:rsidP="000242FD">
      <w:pPr>
        <w:rPr>
          <w:b/>
          <w:color w:val="000000" w:themeColor="text1"/>
          <w:szCs w:val="24"/>
        </w:rPr>
      </w:pPr>
    </w:p>
    <w:p w:rsidR="000242FD" w:rsidRPr="00CB1F9F" w:rsidRDefault="00C355EA" w:rsidP="000242FD">
      <w:pPr>
        <w:rPr>
          <w:color w:val="000000" w:themeColor="text1"/>
          <w:szCs w:val="24"/>
        </w:rPr>
      </w:pPr>
      <w:r>
        <w:rPr>
          <w:color w:val="000000" w:themeColor="text1"/>
          <w:szCs w:val="24"/>
        </w:rPr>
        <w:t xml:space="preserve">This item </w:t>
      </w:r>
      <w:r w:rsidR="000242FD" w:rsidRPr="00BE6329">
        <w:rPr>
          <w:color w:val="000000" w:themeColor="text1"/>
          <w:szCs w:val="24"/>
        </w:rPr>
        <w:t>add</w:t>
      </w:r>
      <w:r>
        <w:rPr>
          <w:color w:val="000000" w:themeColor="text1"/>
          <w:szCs w:val="24"/>
        </w:rPr>
        <w:t>s</w:t>
      </w:r>
      <w:r w:rsidR="00400798">
        <w:rPr>
          <w:color w:val="000000" w:themeColor="text1"/>
          <w:szCs w:val="24"/>
        </w:rPr>
        <w:t xml:space="preserve"> two items to </w:t>
      </w:r>
      <w:r w:rsidR="000242FD" w:rsidRPr="00BE6329">
        <w:rPr>
          <w:color w:val="000000" w:themeColor="text1"/>
          <w:szCs w:val="24"/>
        </w:rPr>
        <w:t xml:space="preserve">Part </w:t>
      </w:r>
      <w:r w:rsidR="00400798">
        <w:rPr>
          <w:color w:val="000000" w:themeColor="text1"/>
          <w:szCs w:val="24"/>
        </w:rPr>
        <w:t xml:space="preserve">3 </w:t>
      </w:r>
      <w:r w:rsidR="000242FD" w:rsidRPr="00BE6329">
        <w:rPr>
          <w:color w:val="000000" w:themeColor="text1"/>
          <w:szCs w:val="24"/>
        </w:rPr>
        <w:t>to establish legislative authority for the Commonwealth Government to provide grants of financial assistance to persons other than a</w:t>
      </w:r>
      <w:r w:rsidR="000242FD" w:rsidRPr="006D59A1">
        <w:rPr>
          <w:color w:val="000000" w:themeColor="text1"/>
          <w:szCs w:val="24"/>
        </w:rPr>
        <w:t xml:space="preserve"> State or Territory for matters </w:t>
      </w:r>
      <w:r w:rsidR="000242FD">
        <w:rPr>
          <w:color w:val="000000" w:themeColor="text1"/>
          <w:szCs w:val="24"/>
        </w:rPr>
        <w:t xml:space="preserve">to be </w:t>
      </w:r>
      <w:r w:rsidR="000242FD" w:rsidRPr="006D59A1">
        <w:rPr>
          <w:color w:val="000000" w:themeColor="text1"/>
          <w:szCs w:val="24"/>
        </w:rPr>
        <w:t xml:space="preserve">administered by the </w:t>
      </w:r>
      <w:r w:rsidR="000242FD">
        <w:rPr>
          <w:color w:val="000000" w:themeColor="text1"/>
          <w:szCs w:val="24"/>
        </w:rPr>
        <w:t>Australian Customs and Border Protection Service</w:t>
      </w:r>
      <w:r w:rsidR="000242FD" w:rsidRPr="006D59A1">
        <w:rPr>
          <w:color w:val="000000" w:themeColor="text1"/>
          <w:szCs w:val="24"/>
        </w:rPr>
        <w:t xml:space="preserve"> and the Department of </w:t>
      </w:r>
      <w:r w:rsidR="000242FD">
        <w:rPr>
          <w:color w:val="000000" w:themeColor="text1"/>
          <w:szCs w:val="24"/>
        </w:rPr>
        <w:t>Education</w:t>
      </w:r>
      <w:r w:rsidR="000242FD" w:rsidRPr="006D59A1">
        <w:rPr>
          <w:color w:val="000000" w:themeColor="text1"/>
          <w:szCs w:val="24"/>
        </w:rPr>
        <w:t>, respectively.</w:t>
      </w:r>
    </w:p>
    <w:p w:rsidR="000242FD" w:rsidRDefault="000242FD" w:rsidP="000242FD">
      <w:pPr>
        <w:pStyle w:val="paranumbering0"/>
        <w:spacing w:before="0" w:beforeAutospacing="0" w:after="0" w:afterAutospacing="0"/>
        <w:rPr>
          <w:color w:val="000000" w:themeColor="text1"/>
        </w:rPr>
      </w:pPr>
    </w:p>
    <w:p w:rsidR="000242FD" w:rsidRPr="008A5499" w:rsidRDefault="000242FD" w:rsidP="000242FD">
      <w:pPr>
        <w:rPr>
          <w:iCs/>
          <w:szCs w:val="24"/>
        </w:rPr>
      </w:pPr>
      <w:r w:rsidRPr="00070277">
        <w:rPr>
          <w:color w:val="000000" w:themeColor="text1"/>
        </w:rPr>
        <w:t xml:space="preserve">New </w:t>
      </w:r>
      <w:r w:rsidRPr="00070277">
        <w:rPr>
          <w:b/>
          <w:color w:val="000000" w:themeColor="text1"/>
        </w:rPr>
        <w:t xml:space="preserve">table </w:t>
      </w:r>
      <w:r w:rsidRPr="007C32BB">
        <w:rPr>
          <w:b/>
          <w:color w:val="000000" w:themeColor="text1"/>
        </w:rPr>
        <w:t xml:space="preserve">item </w:t>
      </w:r>
      <w:r>
        <w:rPr>
          <w:b/>
          <w:color w:val="000000" w:themeColor="text1"/>
        </w:rPr>
        <w:t>4</w:t>
      </w:r>
      <w:r w:rsidRPr="007C32BB">
        <w:rPr>
          <w:color w:val="000000" w:themeColor="text1"/>
        </w:rPr>
        <w:t xml:space="preserve"> </w:t>
      </w:r>
      <w:r w:rsidRPr="00070277">
        <w:rPr>
          <w:color w:val="000000" w:themeColor="text1"/>
        </w:rPr>
        <w:t>establish</w:t>
      </w:r>
      <w:r w:rsidR="00C355EA">
        <w:rPr>
          <w:color w:val="000000" w:themeColor="text1"/>
        </w:rPr>
        <w:t>es</w:t>
      </w:r>
      <w:r w:rsidRPr="00070277">
        <w:rPr>
          <w:color w:val="000000" w:themeColor="text1"/>
        </w:rPr>
        <w:t xml:space="preserve"> legislative authority for the Government to </w:t>
      </w:r>
      <w:r w:rsidRPr="00DA5B6C">
        <w:rPr>
          <w:color w:val="000000" w:themeColor="text1"/>
          <w:szCs w:val="24"/>
        </w:rPr>
        <w:t>make voluntary contributions to the Information Sharing Centre established by the Regional Cooperation Agreement on Combating Piracy and Armed Robbery against Ships in Asia</w:t>
      </w:r>
      <w:r>
        <w:rPr>
          <w:color w:val="000000" w:themeColor="text1"/>
          <w:szCs w:val="24"/>
        </w:rPr>
        <w:t xml:space="preserve"> (ReCAAP)</w:t>
      </w:r>
      <w:r w:rsidRPr="00070277">
        <w:t xml:space="preserve">. </w:t>
      </w:r>
      <w:r>
        <w:t xml:space="preserve"> </w:t>
      </w:r>
      <w:r w:rsidRPr="008A5499">
        <w:rPr>
          <w:iCs/>
          <w:szCs w:val="24"/>
        </w:rPr>
        <w:t xml:space="preserve">The </w:t>
      </w:r>
      <w:r>
        <w:rPr>
          <w:iCs/>
          <w:szCs w:val="24"/>
        </w:rPr>
        <w:t xml:space="preserve">former </w:t>
      </w:r>
      <w:r w:rsidRPr="008A5499">
        <w:rPr>
          <w:iCs/>
          <w:szCs w:val="24"/>
        </w:rPr>
        <w:t>Governor-General acceded to the ReCAAP i</w:t>
      </w:r>
      <w:r>
        <w:rPr>
          <w:iCs/>
          <w:szCs w:val="24"/>
        </w:rPr>
        <w:t>n 2013 under Australia’s treaty-</w:t>
      </w:r>
      <w:r w:rsidRPr="008A5499">
        <w:rPr>
          <w:iCs/>
          <w:szCs w:val="24"/>
        </w:rPr>
        <w:t xml:space="preserve">making power under Chapter II of the Constitution. </w:t>
      </w:r>
    </w:p>
    <w:p w:rsidR="000242FD" w:rsidRDefault="000242FD" w:rsidP="000242FD">
      <w:pPr>
        <w:pStyle w:val="paranumbering0"/>
        <w:spacing w:before="0" w:beforeAutospacing="0" w:after="0" w:afterAutospacing="0"/>
      </w:pPr>
    </w:p>
    <w:p w:rsidR="000242FD" w:rsidRPr="008A5499" w:rsidRDefault="000242FD" w:rsidP="000242FD">
      <w:pPr>
        <w:rPr>
          <w:iCs/>
          <w:szCs w:val="24"/>
        </w:rPr>
      </w:pPr>
      <w:r w:rsidRPr="008A5499">
        <w:rPr>
          <w:iCs/>
          <w:szCs w:val="24"/>
        </w:rPr>
        <w:t xml:space="preserve">The services of the Information Sharing Centre </w:t>
      </w:r>
      <w:r w:rsidR="00C355EA">
        <w:rPr>
          <w:iCs/>
          <w:szCs w:val="24"/>
        </w:rPr>
        <w:t>are</w:t>
      </w:r>
      <w:r w:rsidRPr="008A5499">
        <w:rPr>
          <w:iCs/>
          <w:szCs w:val="24"/>
        </w:rPr>
        <w:t xml:space="preserve"> instrumental to the strategy of the Australian Customs and Border Protection Service </w:t>
      </w:r>
      <w:r>
        <w:rPr>
          <w:iCs/>
          <w:szCs w:val="24"/>
        </w:rPr>
        <w:t xml:space="preserve">(ACBPS) </w:t>
      </w:r>
      <w:r w:rsidRPr="008A5499">
        <w:rPr>
          <w:iCs/>
          <w:szCs w:val="24"/>
        </w:rPr>
        <w:t xml:space="preserve">to deter piracy in Asia. </w:t>
      </w:r>
      <w:r>
        <w:rPr>
          <w:iCs/>
          <w:szCs w:val="24"/>
        </w:rPr>
        <w:t xml:space="preserve"> The Centre</w:t>
      </w:r>
      <w:r w:rsidRPr="008A5499">
        <w:rPr>
          <w:iCs/>
          <w:szCs w:val="24"/>
        </w:rPr>
        <w:t xml:space="preserve"> </w:t>
      </w:r>
      <w:r w:rsidR="00C355EA">
        <w:rPr>
          <w:iCs/>
          <w:szCs w:val="24"/>
        </w:rPr>
        <w:t>will</w:t>
      </w:r>
      <w:r w:rsidRPr="008A5499">
        <w:rPr>
          <w:iCs/>
          <w:szCs w:val="24"/>
        </w:rPr>
        <w:t xml:space="preserve"> assist </w:t>
      </w:r>
      <w:r>
        <w:rPr>
          <w:iCs/>
          <w:szCs w:val="24"/>
        </w:rPr>
        <w:t xml:space="preserve">the </w:t>
      </w:r>
      <w:r w:rsidRPr="008A5499">
        <w:rPr>
          <w:iCs/>
          <w:szCs w:val="24"/>
        </w:rPr>
        <w:t xml:space="preserve">ACBPS </w:t>
      </w:r>
      <w:r w:rsidR="00C355EA">
        <w:rPr>
          <w:iCs/>
          <w:szCs w:val="24"/>
        </w:rPr>
        <w:t xml:space="preserve">to undertake a core function </w:t>
      </w:r>
      <w:r>
        <w:rPr>
          <w:iCs/>
          <w:szCs w:val="24"/>
        </w:rPr>
        <w:t xml:space="preserve">to </w:t>
      </w:r>
      <w:r w:rsidRPr="008A5499">
        <w:rPr>
          <w:iCs/>
          <w:szCs w:val="24"/>
        </w:rPr>
        <w:t>generate aware</w:t>
      </w:r>
      <w:r>
        <w:rPr>
          <w:iCs/>
          <w:szCs w:val="24"/>
        </w:rPr>
        <w:t>ness of activities in Australia’</w:t>
      </w:r>
      <w:r w:rsidRPr="008A5499">
        <w:rPr>
          <w:iCs/>
          <w:szCs w:val="24"/>
        </w:rPr>
        <w:t xml:space="preserve">s maritime domain, with the object of identifying security threats, assessing their likelihood of occurring and estimating their potential consequence. </w:t>
      </w:r>
      <w:r>
        <w:rPr>
          <w:iCs/>
          <w:szCs w:val="24"/>
        </w:rPr>
        <w:t xml:space="preserve"> </w:t>
      </w:r>
      <w:r w:rsidRPr="008A5499">
        <w:rPr>
          <w:iCs/>
          <w:szCs w:val="24"/>
        </w:rPr>
        <w:t xml:space="preserve">The Information Sharing Centre </w:t>
      </w:r>
      <w:r>
        <w:rPr>
          <w:iCs/>
          <w:szCs w:val="24"/>
        </w:rPr>
        <w:t>will</w:t>
      </w:r>
      <w:r w:rsidRPr="008A5499">
        <w:rPr>
          <w:iCs/>
          <w:szCs w:val="24"/>
        </w:rPr>
        <w:t xml:space="preserve"> provide a central anti-piracy information service</w:t>
      </w:r>
      <w:r>
        <w:rPr>
          <w:iCs/>
          <w:szCs w:val="24"/>
        </w:rPr>
        <w:t>,</w:t>
      </w:r>
      <w:r w:rsidRPr="008A5499">
        <w:rPr>
          <w:iCs/>
          <w:szCs w:val="24"/>
        </w:rPr>
        <w:t xml:space="preserve"> which </w:t>
      </w:r>
      <w:r w:rsidR="00445340">
        <w:rPr>
          <w:iCs/>
          <w:szCs w:val="24"/>
        </w:rPr>
        <w:t>will</w:t>
      </w:r>
      <w:r w:rsidRPr="008A5499">
        <w:rPr>
          <w:iCs/>
          <w:szCs w:val="24"/>
        </w:rPr>
        <w:t xml:space="preserve"> allow the ACBPS to undertake its national security obligations to e</w:t>
      </w:r>
      <w:r>
        <w:rPr>
          <w:iCs/>
          <w:szCs w:val="24"/>
        </w:rPr>
        <w:t>radicate piracy in the region.</w:t>
      </w:r>
      <w:r w:rsidRPr="008A5499">
        <w:rPr>
          <w:iCs/>
          <w:szCs w:val="24"/>
        </w:rPr>
        <w:t xml:space="preserve"> </w:t>
      </w:r>
    </w:p>
    <w:p w:rsidR="000242FD" w:rsidRDefault="000242FD" w:rsidP="000242FD">
      <w:pPr>
        <w:pStyle w:val="paranumbering0"/>
        <w:spacing w:before="0" w:beforeAutospacing="0" w:after="0" w:afterAutospacing="0"/>
      </w:pPr>
    </w:p>
    <w:p w:rsidR="00C355EA" w:rsidRPr="008A5499" w:rsidRDefault="00C355EA" w:rsidP="00C355EA">
      <w:pPr>
        <w:rPr>
          <w:iCs/>
          <w:szCs w:val="24"/>
        </w:rPr>
      </w:pPr>
      <w:r w:rsidRPr="008A5499">
        <w:rPr>
          <w:iCs/>
          <w:szCs w:val="24"/>
        </w:rPr>
        <w:t xml:space="preserve">The maritime industry, seafarers and the maritime law enforcement community all benefit from enhanced communications and information exchanged among participating governments and </w:t>
      </w:r>
      <w:r>
        <w:rPr>
          <w:iCs/>
          <w:szCs w:val="24"/>
        </w:rPr>
        <w:t xml:space="preserve">the Information Sharing Centre. </w:t>
      </w:r>
      <w:r w:rsidRPr="008A5499">
        <w:rPr>
          <w:iCs/>
          <w:szCs w:val="24"/>
        </w:rPr>
        <w:t xml:space="preserve"> </w:t>
      </w:r>
      <w:r>
        <w:rPr>
          <w:iCs/>
          <w:szCs w:val="24"/>
        </w:rPr>
        <w:t>Contributions to the Centre will ensure</w:t>
      </w:r>
      <w:r w:rsidRPr="008A5499">
        <w:rPr>
          <w:iCs/>
          <w:szCs w:val="24"/>
        </w:rPr>
        <w:t xml:space="preserve"> </w:t>
      </w:r>
      <w:r>
        <w:rPr>
          <w:iCs/>
          <w:szCs w:val="24"/>
        </w:rPr>
        <w:t xml:space="preserve">that </w:t>
      </w:r>
      <w:r w:rsidRPr="008A5499">
        <w:rPr>
          <w:iCs/>
          <w:szCs w:val="24"/>
        </w:rPr>
        <w:t>Australia, through the ACBPS, continues to enhance the capability to eradicate piracy in the region.</w:t>
      </w:r>
    </w:p>
    <w:p w:rsidR="00C355EA" w:rsidRPr="008A5499" w:rsidRDefault="00C355EA" w:rsidP="00C355EA">
      <w:pPr>
        <w:rPr>
          <w:iCs/>
          <w:szCs w:val="24"/>
        </w:rPr>
      </w:pPr>
    </w:p>
    <w:p w:rsidR="002F2156" w:rsidRDefault="000242FD" w:rsidP="00C355EA">
      <w:pPr>
        <w:rPr>
          <w:iCs/>
          <w:szCs w:val="24"/>
        </w:rPr>
      </w:pPr>
      <w:r w:rsidRPr="008A5499">
        <w:rPr>
          <w:iCs/>
        </w:rPr>
        <w:t xml:space="preserve">There is no assessed financial contribution required under </w:t>
      </w:r>
      <w:r w:rsidR="00400798">
        <w:rPr>
          <w:iCs/>
        </w:rPr>
        <w:t xml:space="preserve">the </w:t>
      </w:r>
      <w:r w:rsidRPr="008A5499">
        <w:rPr>
          <w:iCs/>
        </w:rPr>
        <w:t xml:space="preserve">ReCAAP. </w:t>
      </w:r>
      <w:r>
        <w:rPr>
          <w:iCs/>
        </w:rPr>
        <w:t xml:space="preserve"> </w:t>
      </w:r>
      <w:r w:rsidRPr="008A5499">
        <w:rPr>
          <w:iCs/>
        </w:rPr>
        <w:t xml:space="preserve">However, the </w:t>
      </w:r>
      <w:r>
        <w:rPr>
          <w:iCs/>
        </w:rPr>
        <w:t xml:space="preserve">ACBPS </w:t>
      </w:r>
      <w:r w:rsidR="00C355EA">
        <w:rPr>
          <w:iCs/>
        </w:rPr>
        <w:t>will</w:t>
      </w:r>
      <w:r>
        <w:rPr>
          <w:iCs/>
        </w:rPr>
        <w:t xml:space="preserve"> utilise </w:t>
      </w:r>
      <w:r w:rsidRPr="008A5499">
        <w:rPr>
          <w:iCs/>
        </w:rPr>
        <w:t>funding alloca</w:t>
      </w:r>
      <w:r>
        <w:rPr>
          <w:iCs/>
        </w:rPr>
        <w:t>ted in 2014</w:t>
      </w:r>
      <w:r>
        <w:rPr>
          <w:iCs/>
        </w:rPr>
        <w:noBreakHyphen/>
      </w:r>
      <w:r w:rsidRPr="008A5499">
        <w:rPr>
          <w:iCs/>
        </w:rPr>
        <w:t xml:space="preserve">2015 </w:t>
      </w:r>
      <w:r>
        <w:rPr>
          <w:iCs/>
        </w:rPr>
        <w:t xml:space="preserve">to </w:t>
      </w:r>
      <w:r w:rsidRPr="008A5499">
        <w:rPr>
          <w:iCs/>
        </w:rPr>
        <w:t>mak</w:t>
      </w:r>
      <w:r>
        <w:rPr>
          <w:iCs/>
        </w:rPr>
        <w:t>e</w:t>
      </w:r>
      <w:r w:rsidRPr="008A5499">
        <w:rPr>
          <w:iCs/>
        </w:rPr>
        <w:t xml:space="preserve"> a contribution to the Information Sharing Centre.</w:t>
      </w:r>
      <w:r>
        <w:rPr>
          <w:iCs/>
        </w:rPr>
        <w:t xml:space="preserve"> </w:t>
      </w:r>
      <w:r w:rsidRPr="008A5499">
        <w:rPr>
          <w:iCs/>
        </w:rPr>
        <w:t xml:space="preserve"> Contributions in future years </w:t>
      </w:r>
      <w:r w:rsidR="00C355EA">
        <w:rPr>
          <w:iCs/>
        </w:rPr>
        <w:t>will</w:t>
      </w:r>
      <w:r w:rsidRPr="008A5499">
        <w:rPr>
          <w:iCs/>
        </w:rPr>
        <w:t xml:space="preserve"> be assessed on an </w:t>
      </w:r>
      <w:r w:rsidR="00C355EA">
        <w:rPr>
          <w:iCs/>
        </w:rPr>
        <w:t>‘</w:t>
      </w:r>
      <w:r w:rsidRPr="008A5499">
        <w:rPr>
          <w:iCs/>
        </w:rPr>
        <w:t>as needs</w:t>
      </w:r>
      <w:r w:rsidR="00C355EA">
        <w:rPr>
          <w:iCs/>
        </w:rPr>
        <w:t>’</w:t>
      </w:r>
      <w:r w:rsidRPr="008A5499">
        <w:rPr>
          <w:iCs/>
        </w:rPr>
        <w:t xml:space="preserve"> basis annually from the </w:t>
      </w:r>
      <w:r>
        <w:rPr>
          <w:iCs/>
        </w:rPr>
        <w:t>ACBPS’s</w:t>
      </w:r>
      <w:r w:rsidRPr="008A5499">
        <w:rPr>
          <w:iCs/>
        </w:rPr>
        <w:t xml:space="preserve"> budget allocation for that year. </w:t>
      </w:r>
      <w:r>
        <w:rPr>
          <w:iCs/>
        </w:rPr>
        <w:t xml:space="preserve"> </w:t>
      </w:r>
      <w:r w:rsidR="00C355EA">
        <w:rPr>
          <w:iCs/>
        </w:rPr>
        <w:t xml:space="preserve">The ACBPS </w:t>
      </w:r>
      <w:r w:rsidR="00C355EA" w:rsidRPr="008A5499">
        <w:rPr>
          <w:iCs/>
          <w:szCs w:val="24"/>
        </w:rPr>
        <w:t xml:space="preserve">will make recommendations for funding to the Minister for Immigration and Border Protection for a final, non-reviewable decision. </w:t>
      </w:r>
      <w:r w:rsidR="00C355EA">
        <w:rPr>
          <w:iCs/>
          <w:szCs w:val="24"/>
        </w:rPr>
        <w:t xml:space="preserve"> </w:t>
      </w:r>
      <w:r w:rsidR="00C355EA" w:rsidRPr="008A5499">
        <w:rPr>
          <w:iCs/>
          <w:szCs w:val="24"/>
        </w:rPr>
        <w:t>Funding guidelines do not provide for internal review of any funding decision.</w:t>
      </w:r>
      <w:r w:rsidR="00C355EA">
        <w:rPr>
          <w:iCs/>
          <w:szCs w:val="24"/>
        </w:rPr>
        <w:t xml:space="preserve">  </w:t>
      </w:r>
      <w:r w:rsidR="002F2156" w:rsidRPr="002F2156">
        <w:rPr>
          <w:rFonts w:eastAsiaTheme="minorHAnsi"/>
          <w:iCs/>
          <w:szCs w:val="24"/>
        </w:rPr>
        <w:t xml:space="preserve">Internal merits review is not applicable in respect of decisions made in relation to ad-hoc or targeted funding given the non-competitive nature of the funding. </w:t>
      </w:r>
      <w:r w:rsidR="00C355EA">
        <w:rPr>
          <w:rFonts w:eastAsiaTheme="minorHAnsi"/>
          <w:iCs/>
          <w:szCs w:val="24"/>
        </w:rPr>
        <w:t xml:space="preserve"> </w:t>
      </w:r>
      <w:r w:rsidR="00C355EA">
        <w:rPr>
          <w:iCs/>
        </w:rPr>
        <w:t>T</w:t>
      </w:r>
      <w:r w:rsidR="00C355EA" w:rsidRPr="008A5499">
        <w:rPr>
          <w:iCs/>
          <w:szCs w:val="24"/>
        </w:rPr>
        <w:t>here is no applicable legislation that provides for external merits review of such a decision</w:t>
      </w:r>
      <w:r w:rsidR="00C355EA">
        <w:rPr>
          <w:iCs/>
          <w:szCs w:val="24"/>
        </w:rPr>
        <w:t>.</w:t>
      </w:r>
    </w:p>
    <w:p w:rsidR="009854A9" w:rsidRDefault="009854A9" w:rsidP="00C355EA">
      <w:pPr>
        <w:rPr>
          <w:rFonts w:eastAsiaTheme="minorHAnsi"/>
          <w:iCs/>
          <w:szCs w:val="24"/>
        </w:rPr>
      </w:pPr>
    </w:p>
    <w:p w:rsidR="00B00D87" w:rsidRPr="008A5499" w:rsidRDefault="00400798" w:rsidP="00B00D87">
      <w:pPr>
        <w:rPr>
          <w:szCs w:val="24"/>
        </w:rPr>
      </w:pPr>
      <w:r>
        <w:rPr>
          <w:iCs/>
          <w:szCs w:val="24"/>
        </w:rPr>
        <w:t xml:space="preserve">The 2012 report of the </w:t>
      </w:r>
      <w:r w:rsidRPr="008A5499">
        <w:rPr>
          <w:iCs/>
          <w:szCs w:val="24"/>
        </w:rPr>
        <w:t>Joint Standing Committee on Treaties</w:t>
      </w:r>
      <w:r>
        <w:rPr>
          <w:iCs/>
          <w:szCs w:val="24"/>
        </w:rPr>
        <w:t>,</w:t>
      </w:r>
      <w:r w:rsidRPr="008A5499">
        <w:rPr>
          <w:iCs/>
          <w:szCs w:val="24"/>
        </w:rPr>
        <w:t xml:space="preserve"> </w:t>
      </w:r>
      <w:r w:rsidR="00166D2E" w:rsidRPr="00166D2E">
        <w:rPr>
          <w:i/>
          <w:iCs/>
          <w:szCs w:val="24"/>
        </w:rPr>
        <w:t>Report 131 Treaties tabled on 21 August, 11 and 18 September 2012</w:t>
      </w:r>
      <w:r w:rsidR="00166D2E">
        <w:rPr>
          <w:iCs/>
          <w:szCs w:val="24"/>
        </w:rPr>
        <w:t>, provides</w:t>
      </w:r>
      <w:r w:rsidR="00B00D87" w:rsidRPr="008A5499">
        <w:rPr>
          <w:iCs/>
          <w:szCs w:val="24"/>
        </w:rPr>
        <w:t xml:space="preserve"> an overview of </w:t>
      </w:r>
      <w:r w:rsidR="00166D2E">
        <w:rPr>
          <w:iCs/>
          <w:szCs w:val="24"/>
        </w:rPr>
        <w:t xml:space="preserve">the </w:t>
      </w:r>
      <w:r w:rsidR="00B00D87" w:rsidRPr="008A5499">
        <w:rPr>
          <w:iCs/>
          <w:szCs w:val="24"/>
        </w:rPr>
        <w:t>ReCAAP</w:t>
      </w:r>
      <w:r w:rsidR="00445340">
        <w:rPr>
          <w:iCs/>
          <w:szCs w:val="24"/>
        </w:rPr>
        <w:t xml:space="preserve">.  The Committee </w:t>
      </w:r>
      <w:r>
        <w:rPr>
          <w:iCs/>
          <w:szCs w:val="24"/>
        </w:rPr>
        <w:t>support</w:t>
      </w:r>
      <w:r w:rsidR="00445340">
        <w:rPr>
          <w:iCs/>
          <w:szCs w:val="24"/>
        </w:rPr>
        <w:t>ed</w:t>
      </w:r>
      <w:r>
        <w:rPr>
          <w:iCs/>
          <w:szCs w:val="24"/>
        </w:rPr>
        <w:t xml:space="preserve"> the ReCAAP</w:t>
      </w:r>
      <w:r w:rsidR="00B00D87" w:rsidRPr="008A5499">
        <w:rPr>
          <w:iCs/>
          <w:szCs w:val="24"/>
        </w:rPr>
        <w:t>.</w:t>
      </w:r>
    </w:p>
    <w:p w:rsidR="00B00D87" w:rsidRPr="002F2156" w:rsidRDefault="00B00D87" w:rsidP="00C355EA">
      <w:pPr>
        <w:rPr>
          <w:rFonts w:eastAsiaTheme="minorHAnsi"/>
          <w:iCs/>
          <w:szCs w:val="24"/>
        </w:rPr>
      </w:pPr>
    </w:p>
    <w:p w:rsidR="002F2156" w:rsidRPr="002F2156" w:rsidRDefault="00B00D87" w:rsidP="009854A9">
      <w:pPr>
        <w:pStyle w:val="paranumbering0"/>
        <w:spacing w:before="0" w:beforeAutospacing="0" w:after="0" w:afterAutospacing="0"/>
        <w:rPr>
          <w:iCs/>
        </w:rPr>
      </w:pPr>
      <w:r>
        <w:rPr>
          <w:iCs/>
        </w:rPr>
        <w:t>P</w:t>
      </w:r>
      <w:r w:rsidR="002F2156" w:rsidRPr="002F2156">
        <w:rPr>
          <w:iCs/>
        </w:rPr>
        <w:t xml:space="preserve">ayment </w:t>
      </w:r>
      <w:r w:rsidR="009854A9">
        <w:rPr>
          <w:iCs/>
        </w:rPr>
        <w:t xml:space="preserve">of this grant </w:t>
      </w:r>
      <w:r w:rsidR="002F2156" w:rsidRPr="002F2156">
        <w:rPr>
          <w:iCs/>
        </w:rPr>
        <w:t xml:space="preserve">will </w:t>
      </w:r>
      <w:r w:rsidR="00BC1BEF">
        <w:rPr>
          <w:iCs/>
        </w:rPr>
        <w:t>be made</w:t>
      </w:r>
      <w:r w:rsidR="009854A9">
        <w:rPr>
          <w:iCs/>
        </w:rPr>
        <w:t xml:space="preserve"> from </w:t>
      </w:r>
      <w:r w:rsidR="00BC1BEF">
        <w:rPr>
          <w:iCs/>
        </w:rPr>
        <w:t>Program</w:t>
      </w:r>
      <w:r>
        <w:rPr>
          <w:iCs/>
        </w:rPr>
        <w:t>me</w:t>
      </w:r>
      <w:r w:rsidR="00BC1BEF">
        <w:rPr>
          <w:iCs/>
        </w:rPr>
        <w:t xml:space="preserve"> 1</w:t>
      </w:r>
      <w:r>
        <w:rPr>
          <w:iCs/>
        </w:rPr>
        <w:t>.1</w:t>
      </w:r>
      <w:r w:rsidR="00243136">
        <w:rPr>
          <w:iCs/>
        </w:rPr>
        <w:t>:</w:t>
      </w:r>
      <w:r w:rsidR="00BC1BEF">
        <w:rPr>
          <w:iCs/>
        </w:rPr>
        <w:t xml:space="preserve"> </w:t>
      </w:r>
      <w:r w:rsidR="009854A9" w:rsidRPr="002F2156">
        <w:rPr>
          <w:iCs/>
        </w:rPr>
        <w:t>Border Enforcement</w:t>
      </w:r>
      <w:r w:rsidR="009854A9">
        <w:rPr>
          <w:iCs/>
        </w:rPr>
        <w:t xml:space="preserve">, </w:t>
      </w:r>
      <w:r w:rsidR="00BC1BEF">
        <w:rPr>
          <w:iCs/>
        </w:rPr>
        <w:t xml:space="preserve">described in the </w:t>
      </w:r>
      <w:r w:rsidR="00BC1BEF" w:rsidRPr="00B00D87">
        <w:rPr>
          <w:i/>
          <w:iCs/>
        </w:rPr>
        <w:t xml:space="preserve">Portfolio Budget Statements 2014-15, Budget Related Paper No. </w:t>
      </w:r>
      <w:r w:rsidRPr="00B00D87">
        <w:rPr>
          <w:i/>
          <w:iCs/>
        </w:rPr>
        <w:t>1.11</w:t>
      </w:r>
      <w:r w:rsidR="00BC1BEF" w:rsidRPr="00B00D87">
        <w:rPr>
          <w:i/>
          <w:iCs/>
        </w:rPr>
        <w:t xml:space="preserve">, </w:t>
      </w:r>
      <w:r w:rsidR="00BC1BEF" w:rsidRPr="00BC1BEF">
        <w:rPr>
          <w:i/>
          <w:iCs/>
        </w:rPr>
        <w:t>Immigration and Border Protection Portfolio</w:t>
      </w:r>
      <w:r w:rsidR="00BC1BEF">
        <w:rPr>
          <w:iCs/>
        </w:rPr>
        <w:t xml:space="preserve"> at </w:t>
      </w:r>
      <w:r w:rsidR="009854A9" w:rsidRPr="002F2156">
        <w:rPr>
          <w:iCs/>
        </w:rPr>
        <w:t>page 97</w:t>
      </w:r>
      <w:r w:rsidR="009854A9">
        <w:rPr>
          <w:iCs/>
        </w:rPr>
        <w:t>.  Program</w:t>
      </w:r>
      <w:r>
        <w:rPr>
          <w:iCs/>
        </w:rPr>
        <w:t>me</w:t>
      </w:r>
      <w:r w:rsidR="009854A9">
        <w:rPr>
          <w:iCs/>
        </w:rPr>
        <w:t xml:space="preserve"> 1</w:t>
      </w:r>
      <w:r>
        <w:rPr>
          <w:iCs/>
        </w:rPr>
        <w:t>.1</w:t>
      </w:r>
      <w:r w:rsidR="009854A9">
        <w:rPr>
          <w:iCs/>
        </w:rPr>
        <w:t xml:space="preserve"> comes under </w:t>
      </w:r>
      <w:r w:rsidR="002F2156" w:rsidRPr="002F2156">
        <w:rPr>
          <w:iCs/>
        </w:rPr>
        <w:t>Outcome 1</w:t>
      </w:r>
      <w:r w:rsidR="00243136">
        <w:rPr>
          <w:iCs/>
        </w:rPr>
        <w:t>:</w:t>
      </w:r>
      <w:r w:rsidR="002F2156" w:rsidRPr="002F2156">
        <w:rPr>
          <w:iCs/>
        </w:rPr>
        <w:t xml:space="preserve"> The protection of the safety, security and commercial interests of Australians through border protection designed to support legitimate trade and travel and ensure collection of border revenue and trade statistics</w:t>
      </w:r>
      <w:r>
        <w:rPr>
          <w:iCs/>
        </w:rPr>
        <w:t xml:space="preserve">, described at </w:t>
      </w:r>
      <w:r w:rsidR="002F2156" w:rsidRPr="002F2156">
        <w:rPr>
          <w:iCs/>
        </w:rPr>
        <w:t xml:space="preserve">page 95 of the </w:t>
      </w:r>
      <w:r w:rsidRPr="00B00D87">
        <w:rPr>
          <w:i/>
          <w:iCs/>
        </w:rPr>
        <w:t xml:space="preserve">Portfolio Budget Statements 2014-15, Budget Related Paper No. 1.11, </w:t>
      </w:r>
      <w:r w:rsidRPr="00BC1BEF">
        <w:rPr>
          <w:i/>
          <w:iCs/>
        </w:rPr>
        <w:t>Immigration and Border Protection Portfolio</w:t>
      </w:r>
      <w:r>
        <w:rPr>
          <w:iCs/>
        </w:rPr>
        <w:t>.</w:t>
      </w:r>
    </w:p>
    <w:p w:rsidR="002F2156" w:rsidRDefault="002F2156" w:rsidP="000242FD">
      <w:pPr>
        <w:pStyle w:val="paranumbering0"/>
        <w:spacing w:before="0" w:beforeAutospacing="0" w:after="0" w:afterAutospacing="0"/>
        <w:rPr>
          <w:iCs/>
        </w:rPr>
      </w:pPr>
    </w:p>
    <w:p w:rsidR="000242FD" w:rsidRDefault="000242FD" w:rsidP="000242FD">
      <w:pPr>
        <w:rPr>
          <w:szCs w:val="24"/>
        </w:rPr>
      </w:pPr>
      <w:r>
        <w:t xml:space="preserve">New </w:t>
      </w:r>
      <w:r w:rsidRPr="00375679">
        <w:rPr>
          <w:b/>
        </w:rPr>
        <w:t>table item 5</w:t>
      </w:r>
      <w:r>
        <w:t xml:space="preserve"> </w:t>
      </w:r>
      <w:r w:rsidRPr="00070277">
        <w:rPr>
          <w:color w:val="000000" w:themeColor="text1"/>
        </w:rPr>
        <w:t>establish</w:t>
      </w:r>
      <w:r w:rsidR="007C6FBE">
        <w:rPr>
          <w:color w:val="000000" w:themeColor="text1"/>
        </w:rPr>
        <w:t>es</w:t>
      </w:r>
      <w:r w:rsidRPr="00070277">
        <w:rPr>
          <w:color w:val="000000" w:themeColor="text1"/>
        </w:rPr>
        <w:t xml:space="preserve"> legislative authority for the Government</w:t>
      </w:r>
      <w:r>
        <w:rPr>
          <w:color w:val="000000" w:themeColor="text1"/>
        </w:rPr>
        <w:t xml:space="preserve"> </w:t>
      </w:r>
      <w:r>
        <w:rPr>
          <w:szCs w:val="24"/>
        </w:rPr>
        <w:t xml:space="preserve">to </w:t>
      </w:r>
      <w:r w:rsidR="007C6FBE">
        <w:rPr>
          <w:szCs w:val="24"/>
        </w:rPr>
        <w:t>fund</w:t>
      </w:r>
      <w:r>
        <w:rPr>
          <w:szCs w:val="24"/>
        </w:rPr>
        <w:t xml:space="preserve"> the operational costs </w:t>
      </w:r>
      <w:r w:rsidR="007C6FBE">
        <w:rPr>
          <w:szCs w:val="24"/>
        </w:rPr>
        <w:t>of</w:t>
      </w:r>
      <w:r>
        <w:rPr>
          <w:szCs w:val="24"/>
        </w:rPr>
        <w:t xml:space="preserve"> the National Office of Life Education Australia associated with the ongoing development and implementation of school-based student resilience and wellbeing programmes and resources for schools. </w:t>
      </w:r>
    </w:p>
    <w:p w:rsidR="000242FD" w:rsidRPr="00547EB4" w:rsidRDefault="000242FD" w:rsidP="000242FD">
      <w:pPr>
        <w:rPr>
          <w:szCs w:val="24"/>
        </w:rPr>
      </w:pPr>
    </w:p>
    <w:p w:rsidR="000242FD" w:rsidRDefault="000242FD" w:rsidP="000242FD">
      <w:pPr>
        <w:rPr>
          <w:szCs w:val="24"/>
        </w:rPr>
      </w:pPr>
      <w:r>
        <w:rPr>
          <w:szCs w:val="24"/>
        </w:rPr>
        <w:t xml:space="preserve">The </w:t>
      </w:r>
      <w:r w:rsidR="00D2261A">
        <w:rPr>
          <w:szCs w:val="24"/>
        </w:rPr>
        <w:t xml:space="preserve">provision of </w:t>
      </w:r>
      <w:r w:rsidR="007C6FBE">
        <w:rPr>
          <w:szCs w:val="24"/>
        </w:rPr>
        <w:t xml:space="preserve">funding </w:t>
      </w:r>
      <w:r>
        <w:rPr>
          <w:szCs w:val="24"/>
        </w:rPr>
        <w:t>to Life Education Australia align</w:t>
      </w:r>
      <w:r w:rsidR="007C6FBE">
        <w:rPr>
          <w:szCs w:val="24"/>
        </w:rPr>
        <w:t>s</w:t>
      </w:r>
      <w:r>
        <w:rPr>
          <w:szCs w:val="24"/>
        </w:rPr>
        <w:t xml:space="preserve"> with the Australian Government’s objective to support strategic projects that aim to improve student learning outcomes in schools. </w:t>
      </w:r>
    </w:p>
    <w:p w:rsidR="000242FD" w:rsidRDefault="000242FD" w:rsidP="000242FD">
      <w:pPr>
        <w:pStyle w:val="paranumbering0"/>
        <w:spacing w:before="0" w:beforeAutospacing="0" w:after="0" w:afterAutospacing="0"/>
      </w:pPr>
    </w:p>
    <w:p w:rsidR="002F2156" w:rsidRDefault="002F2156" w:rsidP="002F2156">
      <w:pPr>
        <w:rPr>
          <w:szCs w:val="24"/>
        </w:rPr>
      </w:pPr>
      <w:r>
        <w:rPr>
          <w:szCs w:val="24"/>
        </w:rPr>
        <w:t>All decisions for this measure</w:t>
      </w:r>
      <w:r w:rsidRPr="00681710">
        <w:rPr>
          <w:szCs w:val="24"/>
        </w:rPr>
        <w:t xml:space="preserve"> will be made in accordance with </w:t>
      </w:r>
      <w:r>
        <w:rPr>
          <w:szCs w:val="24"/>
        </w:rPr>
        <w:t>the Department of Education’s</w:t>
      </w:r>
      <w:r w:rsidRPr="00681710">
        <w:rPr>
          <w:szCs w:val="24"/>
        </w:rPr>
        <w:t xml:space="preserve"> </w:t>
      </w:r>
      <w:r>
        <w:rPr>
          <w:szCs w:val="24"/>
        </w:rPr>
        <w:t>Secretary</w:t>
      </w:r>
      <w:r w:rsidRPr="00681710">
        <w:rPr>
          <w:szCs w:val="24"/>
        </w:rPr>
        <w:t xml:space="preserve"> Instructions and delegations on the expenditure of </w:t>
      </w:r>
      <w:r w:rsidR="007C6FBE">
        <w:rPr>
          <w:szCs w:val="24"/>
        </w:rPr>
        <w:t>relevant</w:t>
      </w:r>
      <w:r w:rsidRPr="00681710">
        <w:rPr>
          <w:szCs w:val="24"/>
        </w:rPr>
        <w:t xml:space="preserve"> monies as authorised under the </w:t>
      </w:r>
      <w:r w:rsidRPr="00547EB4">
        <w:rPr>
          <w:i/>
          <w:szCs w:val="24"/>
        </w:rPr>
        <w:t>Public Governance</w:t>
      </w:r>
      <w:r w:rsidR="007C6FBE">
        <w:rPr>
          <w:i/>
          <w:szCs w:val="24"/>
        </w:rPr>
        <w:t>,</w:t>
      </w:r>
      <w:r w:rsidRPr="00547EB4">
        <w:rPr>
          <w:i/>
          <w:szCs w:val="24"/>
        </w:rPr>
        <w:t xml:space="preserve"> Performance and Accountability Act 2013</w:t>
      </w:r>
      <w:r w:rsidRPr="00E642AE">
        <w:rPr>
          <w:szCs w:val="24"/>
        </w:rPr>
        <w:t xml:space="preserve">. </w:t>
      </w:r>
      <w:r>
        <w:rPr>
          <w:szCs w:val="24"/>
        </w:rPr>
        <w:t xml:space="preserve"> </w:t>
      </w:r>
      <w:r w:rsidRPr="00E642AE">
        <w:rPr>
          <w:szCs w:val="24"/>
        </w:rPr>
        <w:t xml:space="preserve">Funding will be provided to </w:t>
      </w:r>
      <w:r>
        <w:rPr>
          <w:szCs w:val="24"/>
        </w:rPr>
        <w:t xml:space="preserve">Life </w:t>
      </w:r>
      <w:r w:rsidR="00D2261A">
        <w:rPr>
          <w:szCs w:val="24"/>
        </w:rPr>
        <w:t>Education Australia</w:t>
      </w:r>
      <w:r w:rsidRPr="00E642AE">
        <w:rPr>
          <w:szCs w:val="24"/>
        </w:rPr>
        <w:t xml:space="preserve"> through a funding agreement </w:t>
      </w:r>
      <w:r>
        <w:rPr>
          <w:szCs w:val="24"/>
        </w:rPr>
        <w:t>that</w:t>
      </w:r>
      <w:r w:rsidRPr="00E642AE">
        <w:rPr>
          <w:szCs w:val="24"/>
        </w:rPr>
        <w:t xml:space="preserve"> will comply with the Commonwealth Grant</w:t>
      </w:r>
      <w:r w:rsidR="00A22E3A">
        <w:rPr>
          <w:szCs w:val="24"/>
        </w:rPr>
        <w:t>s</w:t>
      </w:r>
      <w:r w:rsidRPr="00E642AE">
        <w:rPr>
          <w:szCs w:val="24"/>
        </w:rPr>
        <w:t xml:space="preserve"> </w:t>
      </w:r>
      <w:r>
        <w:rPr>
          <w:szCs w:val="24"/>
        </w:rPr>
        <w:t xml:space="preserve">Rules and </w:t>
      </w:r>
      <w:r w:rsidRPr="00E642AE">
        <w:rPr>
          <w:szCs w:val="24"/>
        </w:rPr>
        <w:t xml:space="preserve">Guidelines. </w:t>
      </w:r>
      <w:r>
        <w:rPr>
          <w:szCs w:val="24"/>
        </w:rPr>
        <w:t xml:space="preserve"> Payments will be made upon successful completion of milestones outlined in the funding agreement.  </w:t>
      </w:r>
      <w:r w:rsidRPr="00E642AE">
        <w:rPr>
          <w:szCs w:val="24"/>
        </w:rPr>
        <w:t>Grant information will be published on the Department’s website.</w:t>
      </w:r>
    </w:p>
    <w:p w:rsidR="002F2156" w:rsidRDefault="002F2156" w:rsidP="002F2156">
      <w:pPr>
        <w:rPr>
          <w:szCs w:val="24"/>
        </w:rPr>
      </w:pPr>
    </w:p>
    <w:p w:rsidR="002F2156" w:rsidRDefault="002F2156" w:rsidP="002F2156">
      <w:pPr>
        <w:rPr>
          <w:szCs w:val="24"/>
        </w:rPr>
      </w:pPr>
      <w:r>
        <w:rPr>
          <w:szCs w:val="24"/>
        </w:rPr>
        <w:t>This Programme is</w:t>
      </w:r>
      <w:r w:rsidRPr="0067687B">
        <w:rPr>
          <w:szCs w:val="24"/>
        </w:rPr>
        <w:t xml:space="preserve"> not considered suitable for merits review given the limited allocation of funding available</w:t>
      </w:r>
      <w:r>
        <w:rPr>
          <w:szCs w:val="24"/>
        </w:rPr>
        <w:t xml:space="preserve"> and the fact that the</w:t>
      </w:r>
      <w:r w:rsidRPr="0067687B">
        <w:rPr>
          <w:szCs w:val="24"/>
        </w:rPr>
        <w:t xml:space="preserve"> funding is </w:t>
      </w:r>
      <w:r>
        <w:rPr>
          <w:szCs w:val="24"/>
        </w:rPr>
        <w:t xml:space="preserve">being </w:t>
      </w:r>
      <w:r w:rsidRPr="0067687B">
        <w:rPr>
          <w:szCs w:val="24"/>
        </w:rPr>
        <w:t>provided to assist Life Education Australia in its work.</w:t>
      </w:r>
    </w:p>
    <w:p w:rsidR="002F2156" w:rsidRDefault="002F2156" w:rsidP="002F2156">
      <w:pPr>
        <w:rPr>
          <w:szCs w:val="24"/>
        </w:rPr>
      </w:pPr>
    </w:p>
    <w:p w:rsidR="002F2156" w:rsidRPr="005812BD" w:rsidRDefault="002F2156" w:rsidP="002F2156">
      <w:pPr>
        <w:rPr>
          <w:szCs w:val="24"/>
        </w:rPr>
      </w:pPr>
      <w:r>
        <w:rPr>
          <w:szCs w:val="24"/>
        </w:rPr>
        <w:t xml:space="preserve">Payments will be made </w:t>
      </w:r>
      <w:r w:rsidR="0052677E">
        <w:rPr>
          <w:szCs w:val="24"/>
        </w:rPr>
        <w:t>from</w:t>
      </w:r>
      <w:r>
        <w:rPr>
          <w:szCs w:val="24"/>
        </w:rPr>
        <w:t xml:space="preserve"> Program 2.3</w:t>
      </w:r>
      <w:r w:rsidR="00243136">
        <w:rPr>
          <w:szCs w:val="24"/>
        </w:rPr>
        <w:t>:</w:t>
      </w:r>
      <w:r>
        <w:rPr>
          <w:szCs w:val="24"/>
        </w:rPr>
        <w:t xml:space="preserve"> Schools Support - Quality Outcomes Other Programme, </w:t>
      </w:r>
      <w:r w:rsidR="005530C3">
        <w:rPr>
          <w:szCs w:val="24"/>
        </w:rPr>
        <w:t xml:space="preserve">described </w:t>
      </w:r>
      <w:r>
        <w:rPr>
          <w:szCs w:val="24"/>
        </w:rPr>
        <w:t xml:space="preserve">in the </w:t>
      </w:r>
      <w:r w:rsidRPr="005530C3">
        <w:rPr>
          <w:i/>
          <w:szCs w:val="24"/>
        </w:rPr>
        <w:t>Portfolio Budget Statements 2014-15</w:t>
      </w:r>
      <w:r w:rsidR="005530C3" w:rsidRPr="005530C3">
        <w:rPr>
          <w:i/>
          <w:szCs w:val="24"/>
        </w:rPr>
        <w:t xml:space="preserve">, Budget </w:t>
      </w:r>
      <w:r w:rsidR="00243136">
        <w:rPr>
          <w:i/>
          <w:szCs w:val="24"/>
        </w:rPr>
        <w:t>P</w:t>
      </w:r>
      <w:r w:rsidR="005530C3" w:rsidRPr="005530C3">
        <w:rPr>
          <w:i/>
          <w:szCs w:val="24"/>
        </w:rPr>
        <w:t>aper No. 1.</w:t>
      </w:r>
      <w:r w:rsidR="00243136">
        <w:rPr>
          <w:i/>
          <w:szCs w:val="24"/>
        </w:rPr>
        <w:t>5</w:t>
      </w:r>
      <w:r w:rsidR="005530C3" w:rsidRPr="005530C3">
        <w:rPr>
          <w:i/>
          <w:szCs w:val="24"/>
        </w:rPr>
        <w:t>, Education Portfolio</w:t>
      </w:r>
      <w:r>
        <w:rPr>
          <w:szCs w:val="24"/>
        </w:rPr>
        <w:t xml:space="preserve"> at page 54.</w:t>
      </w:r>
    </w:p>
    <w:p w:rsidR="002F2156" w:rsidRDefault="002F2156" w:rsidP="000242FD">
      <w:pPr>
        <w:pStyle w:val="paranumbering0"/>
        <w:spacing w:before="0" w:beforeAutospacing="0" w:after="0" w:afterAutospacing="0"/>
      </w:pPr>
    </w:p>
    <w:p w:rsidR="00243136" w:rsidRDefault="00243136">
      <w:pPr>
        <w:spacing w:after="200" w:line="276" w:lineRule="auto"/>
        <w:rPr>
          <w:b/>
          <w:color w:val="000000" w:themeColor="text1"/>
          <w:szCs w:val="24"/>
        </w:rPr>
      </w:pPr>
      <w:r>
        <w:rPr>
          <w:b/>
          <w:color w:val="000000" w:themeColor="text1"/>
          <w:szCs w:val="24"/>
        </w:rPr>
        <w:br w:type="page"/>
      </w:r>
    </w:p>
    <w:p w:rsidR="000242FD" w:rsidRPr="00AF0637" w:rsidRDefault="000242FD" w:rsidP="000242FD">
      <w:pPr>
        <w:rPr>
          <w:b/>
          <w:color w:val="000000" w:themeColor="text1"/>
          <w:szCs w:val="24"/>
        </w:rPr>
      </w:pPr>
      <w:r w:rsidRPr="00035B3D">
        <w:rPr>
          <w:b/>
          <w:color w:val="000000" w:themeColor="text1"/>
          <w:szCs w:val="24"/>
        </w:rPr>
        <w:t xml:space="preserve">Item </w:t>
      </w:r>
      <w:r>
        <w:rPr>
          <w:b/>
          <w:color w:val="000000" w:themeColor="text1"/>
          <w:szCs w:val="24"/>
        </w:rPr>
        <w:t>2</w:t>
      </w:r>
      <w:r w:rsidRPr="00035B3D">
        <w:rPr>
          <w:b/>
          <w:color w:val="000000" w:themeColor="text1"/>
          <w:szCs w:val="24"/>
        </w:rPr>
        <w:t xml:space="preserve"> – Part 4 of Schedule 1AB (at the end of the table)</w:t>
      </w:r>
    </w:p>
    <w:p w:rsidR="000242FD" w:rsidRPr="00AF0637" w:rsidRDefault="000242FD" w:rsidP="000242FD">
      <w:pPr>
        <w:rPr>
          <w:color w:val="000000" w:themeColor="text1"/>
          <w:szCs w:val="24"/>
        </w:rPr>
      </w:pPr>
    </w:p>
    <w:p w:rsidR="000242FD" w:rsidRPr="00AF0637" w:rsidRDefault="000242FD" w:rsidP="000242FD">
      <w:pPr>
        <w:rPr>
          <w:color w:val="000000" w:themeColor="text1"/>
          <w:szCs w:val="24"/>
        </w:rPr>
      </w:pPr>
      <w:r w:rsidRPr="00AF0637">
        <w:rPr>
          <w:color w:val="000000" w:themeColor="text1"/>
          <w:szCs w:val="24"/>
        </w:rPr>
        <w:t>This item add</w:t>
      </w:r>
      <w:r w:rsidR="00243136">
        <w:rPr>
          <w:color w:val="000000" w:themeColor="text1"/>
          <w:szCs w:val="24"/>
        </w:rPr>
        <w:t>s</w:t>
      </w:r>
      <w:r w:rsidRPr="00AF0637">
        <w:rPr>
          <w:color w:val="000000" w:themeColor="text1"/>
          <w:szCs w:val="24"/>
        </w:rPr>
        <w:t xml:space="preserve"> </w:t>
      </w:r>
      <w:r>
        <w:rPr>
          <w:color w:val="000000" w:themeColor="text1"/>
          <w:szCs w:val="24"/>
        </w:rPr>
        <w:t xml:space="preserve">a new item </w:t>
      </w:r>
      <w:r w:rsidR="00243136">
        <w:rPr>
          <w:color w:val="000000" w:themeColor="text1"/>
          <w:szCs w:val="24"/>
        </w:rPr>
        <w:t xml:space="preserve">to </w:t>
      </w:r>
      <w:r w:rsidRPr="00AF0637">
        <w:rPr>
          <w:color w:val="000000" w:themeColor="text1"/>
          <w:szCs w:val="24"/>
        </w:rPr>
        <w:t>Part</w:t>
      </w:r>
      <w:r w:rsidR="00243136">
        <w:rPr>
          <w:color w:val="000000" w:themeColor="text1"/>
          <w:szCs w:val="24"/>
        </w:rPr>
        <w:t xml:space="preserve"> 4</w:t>
      </w:r>
      <w:r w:rsidRPr="00AF0637">
        <w:rPr>
          <w:color w:val="000000" w:themeColor="text1"/>
          <w:szCs w:val="24"/>
        </w:rPr>
        <w:t xml:space="preserve"> of Schedule 1AB</w:t>
      </w:r>
      <w:r>
        <w:rPr>
          <w:color w:val="000000" w:themeColor="text1"/>
          <w:szCs w:val="24"/>
        </w:rPr>
        <w:t>.</w:t>
      </w:r>
    </w:p>
    <w:p w:rsidR="000242FD" w:rsidRPr="00AF0637" w:rsidRDefault="000242FD" w:rsidP="000242FD">
      <w:pPr>
        <w:rPr>
          <w:szCs w:val="24"/>
          <w:highlight w:val="yellow"/>
        </w:rPr>
      </w:pPr>
    </w:p>
    <w:p w:rsidR="000242FD" w:rsidRDefault="000242FD" w:rsidP="000242FD">
      <w:pPr>
        <w:rPr>
          <w:szCs w:val="24"/>
        </w:rPr>
      </w:pPr>
      <w:r w:rsidRPr="00AF0637">
        <w:rPr>
          <w:color w:val="000000" w:themeColor="text1"/>
          <w:szCs w:val="24"/>
        </w:rPr>
        <w:t xml:space="preserve">New </w:t>
      </w:r>
      <w:r w:rsidRPr="00AF0637">
        <w:rPr>
          <w:b/>
          <w:color w:val="000000" w:themeColor="text1"/>
          <w:szCs w:val="24"/>
        </w:rPr>
        <w:t xml:space="preserve">table item </w:t>
      </w:r>
      <w:r>
        <w:rPr>
          <w:b/>
          <w:color w:val="000000" w:themeColor="text1"/>
          <w:szCs w:val="24"/>
        </w:rPr>
        <w:t>6</w:t>
      </w:r>
      <w:r w:rsidRPr="00A63712">
        <w:rPr>
          <w:b/>
          <w:color w:val="000000" w:themeColor="text1"/>
          <w:szCs w:val="24"/>
        </w:rPr>
        <w:t>3</w:t>
      </w:r>
      <w:r w:rsidRPr="00AF0637">
        <w:rPr>
          <w:color w:val="000000" w:themeColor="text1"/>
          <w:szCs w:val="24"/>
        </w:rPr>
        <w:t xml:space="preserve"> establish</w:t>
      </w:r>
      <w:r w:rsidR="00243136">
        <w:rPr>
          <w:color w:val="000000" w:themeColor="text1"/>
          <w:szCs w:val="24"/>
        </w:rPr>
        <w:t>es</w:t>
      </w:r>
      <w:r w:rsidRPr="00AF0637">
        <w:rPr>
          <w:color w:val="000000" w:themeColor="text1"/>
          <w:szCs w:val="24"/>
        </w:rPr>
        <w:t xml:space="preserve"> legislative authority for the Commonwealth Government </w:t>
      </w:r>
      <w:r w:rsidRPr="00AF0637">
        <w:rPr>
          <w:szCs w:val="24"/>
        </w:rPr>
        <w:t xml:space="preserve">to </w:t>
      </w:r>
      <w:r>
        <w:t>establish and fund the Australian Government Innovation and Investment Fund – Tasmania (AGIIF)</w:t>
      </w:r>
      <w:r w:rsidRPr="00AF0637">
        <w:rPr>
          <w:szCs w:val="24"/>
        </w:rPr>
        <w:t>.</w:t>
      </w:r>
      <w:r>
        <w:rPr>
          <w:szCs w:val="24"/>
        </w:rPr>
        <w:t xml:space="preserve">  </w:t>
      </w:r>
      <w:r w:rsidR="00400798">
        <w:rPr>
          <w:szCs w:val="24"/>
        </w:rPr>
        <w:t xml:space="preserve">The </w:t>
      </w:r>
      <w:r>
        <w:rPr>
          <w:szCs w:val="24"/>
        </w:rPr>
        <w:t xml:space="preserve">AGIIF </w:t>
      </w:r>
      <w:r w:rsidR="00EE6AC8">
        <w:rPr>
          <w:szCs w:val="24"/>
        </w:rPr>
        <w:t>will</w:t>
      </w:r>
      <w:r>
        <w:rPr>
          <w:szCs w:val="24"/>
        </w:rPr>
        <w:t xml:space="preserve"> b</w:t>
      </w:r>
      <w:r w:rsidR="00243136">
        <w:rPr>
          <w:szCs w:val="24"/>
        </w:rPr>
        <w:t>e</w:t>
      </w:r>
      <w:r>
        <w:rPr>
          <w:szCs w:val="24"/>
        </w:rPr>
        <w:t xml:space="preserve"> administered by the Department of Industry.</w:t>
      </w:r>
    </w:p>
    <w:p w:rsidR="000242FD" w:rsidRDefault="000242FD" w:rsidP="000242FD">
      <w:pPr>
        <w:rPr>
          <w:szCs w:val="24"/>
        </w:rPr>
      </w:pPr>
    </w:p>
    <w:p w:rsidR="002F2156" w:rsidRPr="005B3FCA" w:rsidRDefault="002F2156" w:rsidP="002F2156">
      <w:r w:rsidRPr="005B3FCA">
        <w:t xml:space="preserve">The AGIIF is a scheme to encourage new sustainable economic growth and jobs in Tasmania by </w:t>
      </w:r>
      <w:r>
        <w:t>providing assistance to support new projects that create sustainable business growth and job opportunities that will contribute to the strengthe</w:t>
      </w:r>
      <w:r w:rsidR="00D2261A">
        <w:t>ning of Tasmania’s economy.  On </w:t>
      </w:r>
      <w:r>
        <w:t>23 October 2013, the Deputy Prime Minister and Minister for Infrastructure and Regional Development, the Hon Warren Truss MP, reaffirmed the AGIIF as part of the Government’s $106</w:t>
      </w:r>
      <w:r w:rsidR="00D2261A">
        <w:t>.0</w:t>
      </w:r>
      <w:r>
        <w:t xml:space="preserve"> million Tasmanian Jobs and Growth Package.  This package comprises projects and investments aimed at supporting economic growth and jobs in Tasmania.</w:t>
      </w:r>
    </w:p>
    <w:p w:rsidR="002F2156" w:rsidRDefault="002F2156" w:rsidP="002F2156"/>
    <w:p w:rsidR="002F2156" w:rsidRDefault="002F2156" w:rsidP="002F2156">
      <w:pPr>
        <w:rPr>
          <w:color w:val="1F497D"/>
        </w:rPr>
      </w:pPr>
      <w:r>
        <w:t>Funding of $11.0 million has been allocated to AGIIF for t</w:t>
      </w:r>
      <w:r w:rsidR="0052677E">
        <w:t>hree years from 2014</w:t>
      </w:r>
      <w:r w:rsidR="0052677E">
        <w:noBreakHyphen/>
        <w:t>15 to 2016</w:t>
      </w:r>
      <w:r w:rsidR="0052677E">
        <w:noBreakHyphen/>
      </w:r>
      <w:r>
        <w:t>17.  T</w:t>
      </w:r>
      <w:r w:rsidRPr="00D75DFE">
        <w:t xml:space="preserve">he </w:t>
      </w:r>
      <w:r>
        <w:t>Fund</w:t>
      </w:r>
      <w:r w:rsidRPr="00D75DFE">
        <w:t xml:space="preserve"> </w:t>
      </w:r>
      <w:r>
        <w:t>will operate as an</w:t>
      </w:r>
      <w:r w:rsidRPr="00D75DFE">
        <w:t xml:space="preserve"> </w:t>
      </w:r>
      <w:r>
        <w:t>open</w:t>
      </w:r>
      <w:r w:rsidR="00D2261A">
        <w:t>,</w:t>
      </w:r>
      <w:r>
        <w:t xml:space="preserve"> </w:t>
      </w:r>
      <w:r w:rsidRPr="00D75DFE">
        <w:t>competitive, m</w:t>
      </w:r>
      <w:r>
        <w:t xml:space="preserve">erit-based grants programme on a matched funding basis.  </w:t>
      </w:r>
      <w:r w:rsidRPr="0052677E">
        <w:t xml:space="preserve">Grants will be a minimum of $50,000. </w:t>
      </w:r>
      <w:r w:rsidR="00D2261A">
        <w:t xml:space="preserve"> </w:t>
      </w:r>
      <w:r w:rsidRPr="0052677E">
        <w:t>The AGIIF will be delivered in Tasmania by AusIndustry, a division of the Department of Industry.</w:t>
      </w:r>
    </w:p>
    <w:p w:rsidR="002F2156" w:rsidRDefault="002F2156" w:rsidP="002F2156"/>
    <w:p w:rsidR="002F2156" w:rsidRDefault="002F2156" w:rsidP="002F2156">
      <w:r w:rsidRPr="009F6521">
        <w:t xml:space="preserve">Applications for grants under the AGIIF must demonstrate </w:t>
      </w:r>
      <w:r>
        <w:t xml:space="preserve">that </w:t>
      </w:r>
      <w:r w:rsidRPr="009F6521">
        <w:t>activities proposed to be funded</w:t>
      </w:r>
      <w:r>
        <w:t xml:space="preserve"> </w:t>
      </w:r>
      <w:r w:rsidRPr="009F6521">
        <w:t>will generate new sustainable business growth and jobs that</w:t>
      </w:r>
      <w:r>
        <w:t xml:space="preserve"> support</w:t>
      </w:r>
      <w:r w:rsidRPr="009F6521">
        <w:t xml:space="preserve"> a sustained increase in economic activity in Tasmania. </w:t>
      </w:r>
      <w:r>
        <w:t xml:space="preserve"> </w:t>
      </w:r>
      <w:r w:rsidRPr="009F6521">
        <w:t xml:space="preserve">Applications are limited to applicants that (among other things) are incorporated and that engage in trading and financial activities that form a substantial or significant portion of their overall current activities. </w:t>
      </w:r>
      <w:r>
        <w:t xml:space="preserve"> </w:t>
      </w:r>
      <w:r w:rsidRPr="009F6521">
        <w:t>Individuals</w:t>
      </w:r>
      <w:r>
        <w:t>,</w:t>
      </w:r>
      <w:r w:rsidRPr="009F6521">
        <w:t xml:space="preserve"> partnerships, trusts, </w:t>
      </w:r>
      <w:r>
        <w:t xml:space="preserve">and </w:t>
      </w:r>
      <w:r w:rsidRPr="009F6521">
        <w:t>Commonwealth, State and local government agencies and bodies are excluded from being an applicant.</w:t>
      </w:r>
      <w:r>
        <w:t xml:space="preserve">  Projects that do not involve a sustained net increase in economic activity or involve a relocation of a</w:t>
      </w:r>
      <w:r w:rsidR="00400798">
        <w:t>ctivity to Tasmania from other States and T</w:t>
      </w:r>
      <w:r>
        <w:t>erritories will not be funded.</w:t>
      </w:r>
    </w:p>
    <w:p w:rsidR="002F2156" w:rsidRDefault="002F2156" w:rsidP="002F2156"/>
    <w:p w:rsidR="002F2156" w:rsidRPr="00CB50EF" w:rsidRDefault="002F2156" w:rsidP="002F2156">
      <w:pPr>
        <w:rPr>
          <w:b/>
        </w:rPr>
      </w:pPr>
      <w:r>
        <w:t>Grant awards under the AGIIF are unsuitable for merits review as there are limited funds available in each funding round and only a proportion of applications can be met.  It is expected that there will be in excess of 130 applications for funds.  A successful application for review would result in funding delays that would affect all grants under the programme, delaying the delivery of training and support to employees in industries undergoing rapid d</w:t>
      </w:r>
      <w:r w:rsidR="0052677E">
        <w:t>iversification and change.  That</w:t>
      </w:r>
      <w:r>
        <w:t xml:space="preserve"> said</w:t>
      </w:r>
      <w:r w:rsidR="0052677E">
        <w:t>,</w:t>
      </w:r>
      <w:r>
        <w:t xml:space="preserve"> unsuccessful applicants will be notified in writing and provided feedback on their application.</w:t>
      </w:r>
      <w:r w:rsidR="0052677E">
        <w:t xml:space="preserve">  </w:t>
      </w:r>
      <w:r>
        <w:t>If not satisfied, an unsuccessful applicant will be able to register a complaint with AusIndustry’s complaints resolution procedure and/or the Commonwealth Ombudsman.  It is noted, however, that the Commonwealth Ombudsman prefers complainants to first work through AusIndustry’s complaints resolution procedure before a complaint about a decision is initiated with the Ombudsman.</w:t>
      </w:r>
    </w:p>
    <w:p w:rsidR="002F2156" w:rsidRDefault="002F2156" w:rsidP="002F2156"/>
    <w:p w:rsidR="002F2156" w:rsidRPr="0048714C" w:rsidRDefault="00CE10A8" w:rsidP="002F2156">
      <w:r>
        <w:t>This scheme</w:t>
      </w:r>
      <w:r w:rsidR="002F2156">
        <w:t xml:space="preserve"> comes within Outcome 1: Strategy (enabling growth and productivity for globally competitive industries through buildin</w:t>
      </w:r>
      <w:r>
        <w:t>g skills and</w:t>
      </w:r>
      <w:r w:rsidR="002F2156">
        <w:t xml:space="preserve"> capability, supporting science and innovation, encouraging investment and improving regulation), Programme 3: Encouraging Investment, sub-programme 3.3: Economic transition.  Funding details are set out in the </w:t>
      </w:r>
      <w:r w:rsidR="002F2156" w:rsidRPr="00AF0895">
        <w:rPr>
          <w:i/>
        </w:rPr>
        <w:t>Portfolio Budget Statements 2014-15</w:t>
      </w:r>
      <w:r w:rsidR="002F2156">
        <w:t>,</w:t>
      </w:r>
      <w:r w:rsidR="002F2156">
        <w:rPr>
          <w:i/>
        </w:rPr>
        <w:t xml:space="preserve"> Budget Related Paper No. </w:t>
      </w:r>
      <w:r w:rsidR="002F2156" w:rsidRPr="00AF0895">
        <w:rPr>
          <w:i/>
        </w:rPr>
        <w:t>1.12</w:t>
      </w:r>
      <w:r w:rsidR="002F2156">
        <w:t>,</w:t>
      </w:r>
      <w:r w:rsidR="002F2156" w:rsidRPr="00AF0895">
        <w:rPr>
          <w:i/>
        </w:rPr>
        <w:t xml:space="preserve"> Industry Portfolio</w:t>
      </w:r>
      <w:r w:rsidR="002F2156">
        <w:t xml:space="preserve"> at page 54.</w:t>
      </w:r>
    </w:p>
    <w:p w:rsidR="000242FD" w:rsidRDefault="000242FD" w:rsidP="000242FD">
      <w:pPr>
        <w:rPr>
          <w:szCs w:val="24"/>
        </w:rPr>
      </w:pPr>
    </w:p>
    <w:p w:rsidR="00A5170D" w:rsidRDefault="00A5170D">
      <w:pPr>
        <w:pStyle w:val="paranumbering0"/>
        <w:spacing w:before="0" w:beforeAutospacing="0" w:after="0" w:afterAutospacing="0"/>
      </w:pPr>
    </w:p>
    <w:p w:rsidR="00373787" w:rsidRPr="00AF0637" w:rsidRDefault="00373787" w:rsidP="00A333A5">
      <w:pPr>
        <w:pStyle w:val="paranumbering0"/>
        <w:spacing w:before="0" w:beforeAutospacing="0" w:after="0" w:afterAutospacing="0"/>
        <w:sectPr w:rsidR="00373787" w:rsidRPr="00AF0637" w:rsidSect="00FA05B7">
          <w:headerReference w:type="even" r:id="rId11"/>
          <w:headerReference w:type="default" r:id="rId12"/>
          <w:headerReference w:type="first" r:id="rId13"/>
          <w:pgSz w:w="11906" w:h="16838"/>
          <w:pgMar w:top="1418" w:right="1440" w:bottom="1304" w:left="1440" w:header="709" w:footer="709" w:gutter="0"/>
          <w:pgNumType w:start="1"/>
          <w:cols w:space="708"/>
          <w:titlePg/>
          <w:docGrid w:linePitch="360"/>
        </w:sectPr>
      </w:pPr>
    </w:p>
    <w:p w:rsidR="00A5170D" w:rsidRDefault="00810A6F">
      <w:pPr>
        <w:jc w:val="center"/>
        <w:rPr>
          <w:b/>
          <w:bCs/>
          <w:szCs w:val="24"/>
        </w:rPr>
      </w:pPr>
      <w:r w:rsidRPr="00AF0637">
        <w:rPr>
          <w:b/>
          <w:bCs/>
          <w:szCs w:val="24"/>
        </w:rPr>
        <w:t>Statement of Compatibility with Human Rights</w:t>
      </w:r>
    </w:p>
    <w:p w:rsidR="00204EA8" w:rsidRDefault="00204EA8" w:rsidP="00227361">
      <w:pPr>
        <w:pStyle w:val="paranumbering0"/>
        <w:spacing w:before="0" w:beforeAutospacing="0" w:after="0" w:afterAutospacing="0"/>
        <w:jc w:val="center"/>
      </w:pPr>
    </w:p>
    <w:p w:rsidR="00227361" w:rsidRDefault="00810A6F" w:rsidP="00227361">
      <w:pPr>
        <w:pStyle w:val="paranumbering0"/>
        <w:spacing w:before="0" w:beforeAutospacing="0" w:after="0" w:afterAutospacing="0"/>
        <w:jc w:val="center"/>
      </w:pPr>
      <w:r w:rsidRPr="00AF0637">
        <w:t xml:space="preserve">Prepared in accordance with part 3 of the </w:t>
      </w:r>
      <w:r w:rsidRPr="00AF0637">
        <w:rPr>
          <w:i/>
        </w:rPr>
        <w:t>Human Rights (Parliamentary Scrutiny) Act 2011</w:t>
      </w:r>
    </w:p>
    <w:p w:rsidR="00A5170D" w:rsidRDefault="00A5170D">
      <w:pPr>
        <w:pStyle w:val="paranumbering0"/>
        <w:spacing w:before="0" w:beforeAutospacing="0" w:after="0" w:afterAutospacing="0"/>
      </w:pPr>
    </w:p>
    <w:p w:rsidR="00A5170D" w:rsidRPr="000A1FB2" w:rsidRDefault="000A1FB2">
      <w:pPr>
        <w:pStyle w:val="paranumbering0"/>
        <w:spacing w:before="0" w:beforeAutospacing="0" w:after="0" w:afterAutospacing="0"/>
        <w:rPr>
          <w:b/>
          <w:i/>
        </w:rPr>
      </w:pPr>
      <w:r w:rsidRPr="000A1FB2">
        <w:rPr>
          <w:b/>
          <w:i/>
        </w:rPr>
        <w:t xml:space="preserve">Financial Framework (Supplementary Powers) Amendment </w:t>
      </w:r>
      <w:r w:rsidRPr="000A1FB2">
        <w:rPr>
          <w:b/>
          <w:i/>
          <w:iCs/>
        </w:rPr>
        <w:t xml:space="preserve">(2014 Measures No. 1) </w:t>
      </w:r>
      <w:r w:rsidRPr="000A1FB2">
        <w:rPr>
          <w:b/>
          <w:i/>
        </w:rPr>
        <w:t>Regulation 2014</w:t>
      </w:r>
    </w:p>
    <w:p w:rsidR="00A5170D" w:rsidRDefault="00A5170D">
      <w:pPr>
        <w:pStyle w:val="paranumbering0"/>
        <w:spacing w:before="0" w:beforeAutospacing="0" w:after="0" w:afterAutospacing="0"/>
      </w:pPr>
    </w:p>
    <w:p w:rsidR="00A5170D" w:rsidRDefault="00810A6F">
      <w:pPr>
        <w:pStyle w:val="paranumbering0"/>
        <w:spacing w:before="0" w:beforeAutospacing="0" w:after="0" w:afterAutospacing="0"/>
      </w:pPr>
      <w:r w:rsidRPr="00AF0637">
        <w:t xml:space="preserve">This </w:t>
      </w:r>
      <w:r w:rsidR="001C700E" w:rsidRPr="00AF0637">
        <w:t>Regulation</w:t>
      </w:r>
      <w:r w:rsidRPr="00AF0637">
        <w:t xml:space="preserve"> is compatible with the human rights and freedoms recognised or declared in the international instruments listed in section 3 of the </w:t>
      </w:r>
      <w:r w:rsidRPr="00AF0637">
        <w:rPr>
          <w:i/>
        </w:rPr>
        <w:t>Human Rights (Parliamentary Scrutiny) Act 2011.</w:t>
      </w:r>
    </w:p>
    <w:p w:rsidR="00A5170D" w:rsidRDefault="00A5170D">
      <w:pPr>
        <w:pStyle w:val="paranumbering0"/>
        <w:spacing w:before="0" w:beforeAutospacing="0" w:after="0" w:afterAutospacing="0"/>
      </w:pPr>
    </w:p>
    <w:p w:rsidR="00A5170D" w:rsidRDefault="00810A6F">
      <w:pPr>
        <w:pStyle w:val="paranumbering0"/>
        <w:spacing w:before="0" w:beforeAutospacing="0" w:after="0" w:afterAutospacing="0"/>
        <w:rPr>
          <w:b/>
        </w:rPr>
      </w:pPr>
      <w:r w:rsidRPr="00AF0637">
        <w:rPr>
          <w:b/>
        </w:rPr>
        <w:t>Overview of the Legislative Instrument</w:t>
      </w:r>
    </w:p>
    <w:p w:rsidR="00A5170D" w:rsidRDefault="00A5170D">
      <w:pPr>
        <w:pStyle w:val="paranumbering0"/>
        <w:spacing w:before="0" w:beforeAutospacing="0" w:after="0" w:afterAutospacing="0"/>
      </w:pPr>
    </w:p>
    <w:p w:rsidR="00A5170D" w:rsidRDefault="009607D6">
      <w:pPr>
        <w:ind w:right="-188"/>
        <w:rPr>
          <w:szCs w:val="24"/>
        </w:rPr>
      </w:pPr>
      <w:r w:rsidRPr="00AF0637">
        <w:rPr>
          <w:szCs w:val="24"/>
        </w:rPr>
        <w:t xml:space="preserve">Section 32B of the </w:t>
      </w:r>
      <w:r w:rsidR="00B4226D" w:rsidRPr="00512A94">
        <w:rPr>
          <w:i/>
          <w:szCs w:val="24"/>
        </w:rPr>
        <w:t xml:space="preserve">Financial </w:t>
      </w:r>
      <w:r w:rsidR="00B4226D">
        <w:rPr>
          <w:i/>
          <w:szCs w:val="24"/>
        </w:rPr>
        <w:t>Framework (Supplementary Powers)</w:t>
      </w:r>
      <w:r w:rsidR="00B4226D" w:rsidRPr="00512A94">
        <w:rPr>
          <w:i/>
          <w:szCs w:val="24"/>
        </w:rPr>
        <w:t xml:space="preserve"> </w:t>
      </w:r>
      <w:r w:rsidR="00B4226D">
        <w:rPr>
          <w:i/>
          <w:szCs w:val="24"/>
        </w:rPr>
        <w:t>Act</w:t>
      </w:r>
      <w:r w:rsidR="00B4226D" w:rsidRPr="00512A94">
        <w:rPr>
          <w:i/>
          <w:szCs w:val="24"/>
        </w:rPr>
        <w:t xml:space="preserve"> </w:t>
      </w:r>
      <w:r w:rsidR="00B4226D" w:rsidRPr="009755EB">
        <w:rPr>
          <w:i/>
        </w:rPr>
        <w:t>1997</w:t>
      </w:r>
      <w:r w:rsidR="00B4226D">
        <w:rPr>
          <w:szCs w:val="24"/>
        </w:rPr>
        <w:t xml:space="preserve"> (the FF(SP) Act) </w:t>
      </w:r>
      <w:r w:rsidR="00D2261A">
        <w:rPr>
          <w:szCs w:val="24"/>
        </w:rPr>
        <w:t>authorises</w:t>
      </w:r>
      <w:r w:rsidRPr="00AF0637">
        <w:rPr>
          <w:szCs w:val="24"/>
        </w:rPr>
        <w:t xml:space="preserve"> the </w:t>
      </w:r>
      <w:r w:rsidR="00356C62" w:rsidRPr="00AF0637">
        <w:rPr>
          <w:szCs w:val="24"/>
        </w:rPr>
        <w:t xml:space="preserve">Commonwealth </w:t>
      </w:r>
      <w:r w:rsidRPr="00AF0637">
        <w:rPr>
          <w:szCs w:val="24"/>
        </w:rPr>
        <w:t xml:space="preserve">to make, vary and administer arrangements and grants specified in the </w:t>
      </w:r>
      <w:r w:rsidR="000A649A" w:rsidRPr="00512A94">
        <w:rPr>
          <w:i/>
          <w:szCs w:val="24"/>
        </w:rPr>
        <w:t xml:space="preserve">Financial </w:t>
      </w:r>
      <w:r w:rsidR="000A649A">
        <w:rPr>
          <w:i/>
          <w:szCs w:val="24"/>
        </w:rPr>
        <w:t>Framework (Supplementary Powers)</w:t>
      </w:r>
      <w:r w:rsidR="000A649A" w:rsidRPr="00512A94">
        <w:rPr>
          <w:i/>
          <w:szCs w:val="24"/>
        </w:rPr>
        <w:t xml:space="preserve"> </w:t>
      </w:r>
      <w:r w:rsidR="000A649A">
        <w:rPr>
          <w:i/>
          <w:szCs w:val="24"/>
        </w:rPr>
        <w:t>Regulations</w:t>
      </w:r>
      <w:r w:rsidR="000A649A" w:rsidRPr="00512A94">
        <w:rPr>
          <w:i/>
          <w:szCs w:val="24"/>
        </w:rPr>
        <w:t xml:space="preserve"> </w:t>
      </w:r>
      <w:r w:rsidR="000A649A" w:rsidRPr="009755EB">
        <w:rPr>
          <w:i/>
        </w:rPr>
        <w:t>1997</w:t>
      </w:r>
      <w:r w:rsidR="000A649A">
        <w:rPr>
          <w:i/>
        </w:rPr>
        <w:t xml:space="preserve"> </w:t>
      </w:r>
      <w:r w:rsidRPr="00AF0637">
        <w:rPr>
          <w:szCs w:val="24"/>
        </w:rPr>
        <w:t>(</w:t>
      </w:r>
      <w:r w:rsidR="000A649A">
        <w:rPr>
          <w:szCs w:val="24"/>
        </w:rPr>
        <w:t xml:space="preserve">the </w:t>
      </w:r>
      <w:r w:rsidRPr="00AF0637">
        <w:rPr>
          <w:szCs w:val="24"/>
        </w:rPr>
        <w:t>F</w:t>
      </w:r>
      <w:r w:rsidR="000A649A">
        <w:rPr>
          <w:szCs w:val="24"/>
        </w:rPr>
        <w:t>F(SP)</w:t>
      </w:r>
      <w:r w:rsidRPr="00AF0637">
        <w:rPr>
          <w:szCs w:val="24"/>
        </w:rPr>
        <w:t xml:space="preserve"> Regulations) and to make, vary and administer arrangements and grants for the purposes of programmes specified in the Regulations.  </w:t>
      </w:r>
      <w:r w:rsidR="00FE7EF0" w:rsidRPr="00AF0637">
        <w:rPr>
          <w:szCs w:val="24"/>
        </w:rPr>
        <w:t xml:space="preserve">This is in response to the High Court’s decision in </w:t>
      </w:r>
      <w:r w:rsidR="00D32EF0" w:rsidRPr="00AF0637">
        <w:rPr>
          <w:i/>
          <w:szCs w:val="24"/>
        </w:rPr>
        <w:t>Williams </w:t>
      </w:r>
      <w:r w:rsidR="00FE7EF0" w:rsidRPr="00AF0637">
        <w:rPr>
          <w:i/>
          <w:szCs w:val="24"/>
        </w:rPr>
        <w:t>v Commonwealth</w:t>
      </w:r>
      <w:r w:rsidR="00FE7EF0" w:rsidRPr="00AF0637">
        <w:rPr>
          <w:szCs w:val="24"/>
        </w:rPr>
        <w:t xml:space="preserve"> (2012) 288 ALR 410.  </w:t>
      </w:r>
      <w:r w:rsidRPr="00AF0637">
        <w:rPr>
          <w:szCs w:val="24"/>
        </w:rPr>
        <w:t>Schedule 1AA and Schedule 1AB to the </w:t>
      </w:r>
      <w:r w:rsidR="000A649A">
        <w:rPr>
          <w:szCs w:val="24"/>
        </w:rPr>
        <w:t>FF(SP)</w:t>
      </w:r>
      <w:r w:rsidRPr="00AF0637">
        <w:rPr>
          <w:szCs w:val="24"/>
        </w:rPr>
        <w:t xml:space="preserve"> Regulations specify the arrangements, grants and programmes.  </w:t>
      </w:r>
    </w:p>
    <w:p w:rsidR="00A5170D" w:rsidRDefault="00A5170D">
      <w:pPr>
        <w:rPr>
          <w:szCs w:val="24"/>
        </w:rPr>
      </w:pPr>
    </w:p>
    <w:p w:rsidR="00B4226D" w:rsidRDefault="00B4226D" w:rsidP="00B4226D">
      <w:pPr>
        <w:rPr>
          <w:szCs w:val="24"/>
        </w:rPr>
      </w:pPr>
      <w:r>
        <w:t xml:space="preserve">These provisions were retained when </w:t>
      </w:r>
      <w:r>
        <w:rPr>
          <w:szCs w:val="24"/>
        </w:rPr>
        <w:t xml:space="preserve">the </w:t>
      </w:r>
      <w:r w:rsidRPr="00B4226D">
        <w:rPr>
          <w:i/>
          <w:szCs w:val="24"/>
        </w:rPr>
        <w:t>Financial Ma</w:t>
      </w:r>
      <w:r>
        <w:rPr>
          <w:i/>
          <w:szCs w:val="24"/>
        </w:rPr>
        <w:t>nagement and Accountability Act </w:t>
      </w:r>
      <w:r w:rsidRPr="00B4226D">
        <w:rPr>
          <w:i/>
          <w:szCs w:val="24"/>
        </w:rPr>
        <w:t>1997</w:t>
      </w:r>
      <w:r>
        <w:rPr>
          <w:szCs w:val="24"/>
        </w:rPr>
        <w:t xml:space="preserve"> (the FMA Act) was amended by the </w:t>
      </w:r>
      <w:r w:rsidRPr="00546862">
        <w:rPr>
          <w:i/>
          <w:szCs w:val="24"/>
        </w:rPr>
        <w:t>Pu</w:t>
      </w:r>
      <w:r w:rsidRPr="00315994">
        <w:rPr>
          <w:i/>
          <w:szCs w:val="24"/>
        </w:rPr>
        <w:t>blic Governance, Per</w:t>
      </w:r>
      <w:r>
        <w:rPr>
          <w:i/>
          <w:szCs w:val="24"/>
        </w:rPr>
        <w:t>formance and Accountability (Consequential and Transitional Provisions) Act 2014</w:t>
      </w:r>
      <w:r>
        <w:rPr>
          <w:szCs w:val="24"/>
        </w:rPr>
        <w:t>, with effect from 1 July 2014.  This Act renamed the FMA Act as the FF(SP) Act, with a consequential change to the name of the Regulations supporting the renamed Act.  The FF(SP) Act applies to Ministers and the accountable authorities of non</w:t>
      </w:r>
      <w:r>
        <w:rPr>
          <w:szCs w:val="24"/>
        </w:rPr>
        <w:noBreakHyphen/>
        <w:t xml:space="preserve">corporate Commonwealth entities, as defined under section 12 of the </w:t>
      </w:r>
      <w:r w:rsidRPr="00546862">
        <w:rPr>
          <w:i/>
          <w:szCs w:val="24"/>
        </w:rPr>
        <w:t>Pu</w:t>
      </w:r>
      <w:r w:rsidRPr="00315994">
        <w:rPr>
          <w:i/>
          <w:szCs w:val="24"/>
        </w:rPr>
        <w:t>blic Governance, Per</w:t>
      </w:r>
      <w:r>
        <w:rPr>
          <w:i/>
          <w:szCs w:val="24"/>
        </w:rPr>
        <w:t xml:space="preserve">formance and Accountability </w:t>
      </w:r>
      <w:r w:rsidRPr="002E6530">
        <w:rPr>
          <w:i/>
          <w:szCs w:val="24"/>
        </w:rPr>
        <w:t>Act</w:t>
      </w:r>
      <w:r>
        <w:rPr>
          <w:i/>
          <w:szCs w:val="24"/>
        </w:rPr>
        <w:t> </w:t>
      </w:r>
      <w:r w:rsidRPr="002E6530">
        <w:rPr>
          <w:i/>
          <w:szCs w:val="24"/>
        </w:rPr>
        <w:t>2013</w:t>
      </w:r>
      <w:r>
        <w:rPr>
          <w:szCs w:val="24"/>
        </w:rPr>
        <w:t xml:space="preserve"> (the PGPA Act).  The PGPA Act replaced the FMA Act and the </w:t>
      </w:r>
      <w:r w:rsidRPr="00D01E6C">
        <w:rPr>
          <w:i/>
          <w:szCs w:val="24"/>
        </w:rPr>
        <w:t>Commonwealth Authorities and Companies Act 1997</w:t>
      </w:r>
      <w:r>
        <w:rPr>
          <w:szCs w:val="24"/>
        </w:rPr>
        <w:t xml:space="preserve"> to consolidate the governance, performance and accountability framework for the Commonwealth and relevant entities. </w:t>
      </w:r>
    </w:p>
    <w:p w:rsidR="00B4226D" w:rsidRDefault="00B4226D">
      <w:pPr>
        <w:rPr>
          <w:szCs w:val="24"/>
        </w:rPr>
      </w:pPr>
    </w:p>
    <w:p w:rsidR="00227361" w:rsidRDefault="00DA5FD0" w:rsidP="00227361">
      <w:pPr>
        <w:rPr>
          <w:color w:val="000000" w:themeColor="text1"/>
          <w:szCs w:val="24"/>
        </w:rPr>
      </w:pPr>
      <w:r w:rsidRPr="00AF0637">
        <w:rPr>
          <w:color w:val="000000" w:themeColor="text1"/>
          <w:szCs w:val="24"/>
        </w:rPr>
        <w:t xml:space="preserve">The Regulation amends the </w:t>
      </w:r>
      <w:r w:rsidR="000A649A">
        <w:rPr>
          <w:color w:val="000000" w:themeColor="text1"/>
          <w:szCs w:val="24"/>
        </w:rPr>
        <w:t>FF(SP)</w:t>
      </w:r>
      <w:r w:rsidRPr="00AF0637">
        <w:rPr>
          <w:color w:val="000000" w:themeColor="text1"/>
          <w:szCs w:val="24"/>
        </w:rPr>
        <w:t xml:space="preserve"> Regulations to establish legislative authority in Schedule 1AB for </w:t>
      </w:r>
      <w:r w:rsidR="00496912" w:rsidRPr="00AF0637">
        <w:rPr>
          <w:color w:val="000000" w:themeColor="text1"/>
          <w:szCs w:val="24"/>
        </w:rPr>
        <w:t xml:space="preserve">the Commonwealth </w:t>
      </w:r>
      <w:r w:rsidR="00496912" w:rsidRPr="005F028C">
        <w:rPr>
          <w:color w:val="000000" w:themeColor="text1"/>
          <w:szCs w:val="24"/>
        </w:rPr>
        <w:t xml:space="preserve">Government to </w:t>
      </w:r>
      <w:r w:rsidR="004834E2" w:rsidRPr="00F27E7A">
        <w:rPr>
          <w:color w:val="000000" w:themeColor="text1"/>
          <w:szCs w:val="24"/>
        </w:rPr>
        <w:t xml:space="preserve">spend on </w:t>
      </w:r>
      <w:r w:rsidR="00D2261A">
        <w:rPr>
          <w:color w:val="000000" w:themeColor="text1"/>
          <w:szCs w:val="24"/>
        </w:rPr>
        <w:t>the following</w:t>
      </w:r>
      <w:r w:rsidR="00320384" w:rsidRPr="00E52034">
        <w:rPr>
          <w:color w:val="000000" w:themeColor="text1"/>
          <w:szCs w:val="24"/>
        </w:rPr>
        <w:t xml:space="preserve"> </w:t>
      </w:r>
      <w:r w:rsidR="000A649A">
        <w:rPr>
          <w:color w:val="000000" w:themeColor="text1"/>
          <w:szCs w:val="24"/>
        </w:rPr>
        <w:t>grants or programmes</w:t>
      </w:r>
      <w:r w:rsidR="00845071">
        <w:rPr>
          <w:color w:val="000000" w:themeColor="text1"/>
          <w:szCs w:val="24"/>
        </w:rPr>
        <w:t xml:space="preserve"> relating to:</w:t>
      </w:r>
      <w:r w:rsidR="004834E2" w:rsidRPr="00F27E7A">
        <w:rPr>
          <w:color w:val="000000" w:themeColor="text1"/>
          <w:szCs w:val="24"/>
        </w:rPr>
        <w:t xml:space="preserve">  </w:t>
      </w:r>
    </w:p>
    <w:p w:rsidR="00227361" w:rsidRDefault="00227361" w:rsidP="00227361">
      <w:pPr>
        <w:rPr>
          <w:color w:val="000000" w:themeColor="text1"/>
          <w:szCs w:val="24"/>
        </w:rPr>
      </w:pPr>
    </w:p>
    <w:p w:rsidR="00C80D19" w:rsidRDefault="00B4226D" w:rsidP="00C80D19">
      <w:pPr>
        <w:pStyle w:val="ListParagraph"/>
        <w:numPr>
          <w:ilvl w:val="0"/>
          <w:numId w:val="15"/>
        </w:numPr>
        <w:spacing w:after="120" w:line="240" w:lineRule="auto"/>
        <w:contextualSpacing w:val="0"/>
        <w:rPr>
          <w:color w:val="000000" w:themeColor="text1"/>
          <w:szCs w:val="24"/>
        </w:rPr>
      </w:pPr>
      <w:r w:rsidRPr="00DA5B6C">
        <w:rPr>
          <w:color w:val="000000" w:themeColor="text1"/>
          <w:szCs w:val="24"/>
        </w:rPr>
        <w:t>voluntary contributions to the Information Sharing Centre</w:t>
      </w:r>
      <w:r>
        <w:rPr>
          <w:color w:val="000000" w:themeColor="text1"/>
          <w:szCs w:val="24"/>
        </w:rPr>
        <w:t>,</w:t>
      </w:r>
      <w:r w:rsidRPr="00DA5B6C">
        <w:rPr>
          <w:color w:val="000000" w:themeColor="text1"/>
          <w:szCs w:val="24"/>
        </w:rPr>
        <w:t xml:space="preserve"> established by the Regional Cooperation Agreement on Combating Piracy and Armed Robbery against Ships in Asia</w:t>
      </w:r>
      <w:r>
        <w:rPr>
          <w:color w:val="000000" w:themeColor="text1"/>
          <w:szCs w:val="24"/>
        </w:rPr>
        <w:t xml:space="preserve">, </w:t>
      </w:r>
      <w:r>
        <w:rPr>
          <w:iCs/>
        </w:rPr>
        <w:t>which</w:t>
      </w:r>
      <w:r w:rsidRPr="008A5499">
        <w:rPr>
          <w:iCs/>
        </w:rPr>
        <w:t xml:space="preserve"> will allow the A</w:t>
      </w:r>
      <w:r>
        <w:rPr>
          <w:iCs/>
        </w:rPr>
        <w:t xml:space="preserve">ustralian </w:t>
      </w:r>
      <w:r w:rsidRPr="008A5499">
        <w:rPr>
          <w:iCs/>
        </w:rPr>
        <w:t>C</w:t>
      </w:r>
      <w:r>
        <w:rPr>
          <w:iCs/>
        </w:rPr>
        <w:t xml:space="preserve">ustoms and Border Protection Service </w:t>
      </w:r>
      <w:r w:rsidRPr="008A5499">
        <w:rPr>
          <w:iCs/>
        </w:rPr>
        <w:t>to undertake its national security obligations to eradicate piracy in the region</w:t>
      </w:r>
      <w:r w:rsidRPr="00B732A0">
        <w:rPr>
          <w:color w:val="000000" w:themeColor="text1"/>
          <w:szCs w:val="24"/>
        </w:rPr>
        <w:t xml:space="preserve"> </w:t>
      </w:r>
      <w:r w:rsidR="00C80D19">
        <w:rPr>
          <w:color w:val="000000" w:themeColor="text1"/>
          <w:szCs w:val="24"/>
        </w:rPr>
        <w:t>(</w:t>
      </w:r>
      <w:r>
        <w:rPr>
          <w:color w:val="000000" w:themeColor="text1"/>
          <w:szCs w:val="24"/>
        </w:rPr>
        <w:t>Immigration and Border Protection</w:t>
      </w:r>
      <w:r w:rsidR="00C80D19">
        <w:rPr>
          <w:color w:val="000000" w:themeColor="text1"/>
          <w:szCs w:val="24"/>
        </w:rPr>
        <w:t xml:space="preserve"> portfolio)</w:t>
      </w:r>
      <w:r w:rsidR="00C80D19" w:rsidRPr="001B7B07">
        <w:rPr>
          <w:color w:val="000000" w:themeColor="text1"/>
          <w:szCs w:val="24"/>
        </w:rPr>
        <w:t>;</w:t>
      </w:r>
    </w:p>
    <w:p w:rsidR="00B4226D" w:rsidRDefault="00B4226D" w:rsidP="00B4226D">
      <w:pPr>
        <w:pStyle w:val="ListParagraph"/>
        <w:numPr>
          <w:ilvl w:val="0"/>
          <w:numId w:val="15"/>
        </w:numPr>
        <w:spacing w:after="120" w:line="240" w:lineRule="auto"/>
        <w:contextualSpacing w:val="0"/>
        <w:rPr>
          <w:color w:val="000000" w:themeColor="text1"/>
          <w:szCs w:val="24"/>
        </w:rPr>
      </w:pPr>
      <w:r>
        <w:t>fund</w:t>
      </w:r>
      <w:r w:rsidR="00D2261A">
        <w:t>ing</w:t>
      </w:r>
      <w:r>
        <w:t xml:space="preserve"> the operational costs of the National Office of Life Education Australia associated with the ongoing development and implementation of school</w:t>
      </w:r>
      <w:r>
        <w:noBreakHyphen/>
        <w:t xml:space="preserve">based student resilience and wellbeing programmes and resources for schools </w:t>
      </w:r>
      <w:r>
        <w:rPr>
          <w:szCs w:val="24"/>
        </w:rPr>
        <w:t>(Education portfolio)</w:t>
      </w:r>
      <w:r w:rsidRPr="001B7B07">
        <w:rPr>
          <w:szCs w:val="24"/>
        </w:rPr>
        <w:t>;</w:t>
      </w:r>
      <w:r>
        <w:rPr>
          <w:szCs w:val="24"/>
        </w:rPr>
        <w:t xml:space="preserve"> and</w:t>
      </w:r>
    </w:p>
    <w:p w:rsidR="00B4226D" w:rsidRDefault="00B4226D" w:rsidP="00B4226D">
      <w:pPr>
        <w:pStyle w:val="ListParagraph"/>
        <w:numPr>
          <w:ilvl w:val="0"/>
          <w:numId w:val="15"/>
        </w:numPr>
        <w:spacing w:after="120" w:line="240" w:lineRule="auto"/>
        <w:contextualSpacing w:val="0"/>
        <w:rPr>
          <w:color w:val="000000" w:themeColor="text1"/>
          <w:szCs w:val="24"/>
        </w:rPr>
      </w:pPr>
      <w:r>
        <w:t>the establishment and funding of the Australian Government Innovation and Investment Fund – Tasmania, part of the Government’s Tasmanian Jobs and Growth Package, to support new projects that create sustainable business growth and job opportunities that will contribute to the strengthening of Tasmania’s economy (</w:t>
      </w:r>
      <w:r w:rsidRPr="00C460EA">
        <w:rPr>
          <w:color w:val="000000" w:themeColor="text1"/>
          <w:szCs w:val="24"/>
        </w:rPr>
        <w:t>Industry portfolio</w:t>
      </w:r>
      <w:r>
        <w:rPr>
          <w:color w:val="000000" w:themeColor="text1"/>
          <w:szCs w:val="24"/>
        </w:rPr>
        <w:t>)</w:t>
      </w:r>
      <w:r>
        <w:rPr>
          <w:szCs w:val="24"/>
        </w:rPr>
        <w:t>.</w:t>
      </w:r>
    </w:p>
    <w:p w:rsidR="00227361" w:rsidRDefault="00227361" w:rsidP="00227361">
      <w:pPr>
        <w:rPr>
          <w:color w:val="000000" w:themeColor="text1"/>
          <w:szCs w:val="24"/>
        </w:rPr>
      </w:pPr>
    </w:p>
    <w:p w:rsidR="00A5170D" w:rsidRDefault="00D678C6">
      <w:pPr>
        <w:rPr>
          <w:szCs w:val="24"/>
        </w:rPr>
      </w:pPr>
      <w:r w:rsidRPr="00C648F8">
        <w:rPr>
          <w:color w:val="000000" w:themeColor="text1"/>
          <w:szCs w:val="24"/>
        </w:rPr>
        <w:t>The item</w:t>
      </w:r>
      <w:r w:rsidR="00373787" w:rsidRPr="00C648F8">
        <w:rPr>
          <w:color w:val="000000" w:themeColor="text1"/>
          <w:szCs w:val="24"/>
        </w:rPr>
        <w:t>s</w:t>
      </w:r>
      <w:r w:rsidRPr="00C648F8">
        <w:rPr>
          <w:color w:val="000000" w:themeColor="text1"/>
          <w:szCs w:val="24"/>
        </w:rPr>
        <w:t xml:space="preserve"> specified in Schedule 1AB </w:t>
      </w:r>
      <w:r w:rsidR="00373787" w:rsidRPr="00C648F8">
        <w:rPr>
          <w:color w:val="000000" w:themeColor="text1"/>
          <w:szCs w:val="24"/>
        </w:rPr>
        <w:t>are</w:t>
      </w:r>
      <w:r w:rsidRPr="00C648F8">
        <w:rPr>
          <w:color w:val="000000" w:themeColor="text1"/>
          <w:szCs w:val="24"/>
        </w:rPr>
        <w:t xml:space="preserve"> the responsibility of the relevant Minister who ha</w:t>
      </w:r>
      <w:r w:rsidR="00D66627" w:rsidRPr="00C648F8">
        <w:rPr>
          <w:color w:val="000000" w:themeColor="text1"/>
          <w:szCs w:val="24"/>
        </w:rPr>
        <w:t>s</w:t>
      </w:r>
      <w:r w:rsidRPr="00C648F8">
        <w:rPr>
          <w:color w:val="000000" w:themeColor="text1"/>
          <w:szCs w:val="24"/>
        </w:rPr>
        <w:t xml:space="preserve"> portfolio responsibility for the matter.</w:t>
      </w:r>
    </w:p>
    <w:p w:rsidR="00A5170D" w:rsidRDefault="00A5170D">
      <w:pPr>
        <w:ind w:right="91"/>
        <w:rPr>
          <w:szCs w:val="24"/>
        </w:rPr>
      </w:pPr>
    </w:p>
    <w:p w:rsidR="00A5170D" w:rsidRDefault="001C700E">
      <w:pPr>
        <w:pStyle w:val="paranumbering0"/>
        <w:spacing w:before="0" w:beforeAutospacing="0" w:after="0" w:afterAutospacing="0"/>
        <w:rPr>
          <w:b/>
        </w:rPr>
      </w:pPr>
      <w:r w:rsidRPr="00AF0637">
        <w:rPr>
          <w:b/>
        </w:rPr>
        <w:t>Human rights implications</w:t>
      </w:r>
    </w:p>
    <w:p w:rsidR="00A5170D" w:rsidRDefault="00A5170D">
      <w:pPr>
        <w:pStyle w:val="paranumbering0"/>
        <w:spacing w:before="0" w:beforeAutospacing="0" w:after="0" w:afterAutospacing="0"/>
      </w:pPr>
    </w:p>
    <w:p w:rsidR="00A5170D" w:rsidRDefault="001C700E">
      <w:pPr>
        <w:pStyle w:val="paranumbering0"/>
        <w:spacing w:before="0" w:beforeAutospacing="0" w:after="0" w:afterAutospacing="0"/>
      </w:pPr>
      <w:r w:rsidRPr="00AF0637">
        <w:t>The Regulation does not engage any of the applicable rights or freedoms</w:t>
      </w:r>
      <w:r w:rsidR="0031743A" w:rsidRPr="00AF0637">
        <w:t>.</w:t>
      </w:r>
    </w:p>
    <w:p w:rsidR="00A5170D" w:rsidRDefault="00A5170D">
      <w:pPr>
        <w:pStyle w:val="paranumbering0"/>
        <w:spacing w:before="0" w:beforeAutospacing="0" w:after="0" w:afterAutospacing="0"/>
      </w:pPr>
    </w:p>
    <w:p w:rsidR="00A5170D" w:rsidRDefault="0031743A">
      <w:pPr>
        <w:rPr>
          <w:b/>
          <w:szCs w:val="24"/>
        </w:rPr>
      </w:pPr>
      <w:r w:rsidRPr="00AF0637">
        <w:rPr>
          <w:b/>
          <w:szCs w:val="24"/>
        </w:rPr>
        <w:t>Conclusion</w:t>
      </w:r>
    </w:p>
    <w:p w:rsidR="00A5170D" w:rsidRDefault="00A5170D">
      <w:pPr>
        <w:pStyle w:val="paranumbering0"/>
        <w:spacing w:before="0" w:beforeAutospacing="0" w:after="0" w:afterAutospacing="0"/>
      </w:pPr>
    </w:p>
    <w:p w:rsidR="00A5170D" w:rsidRDefault="0031743A">
      <w:pPr>
        <w:pStyle w:val="paranumbering0"/>
        <w:spacing w:before="0" w:beforeAutospacing="0" w:after="0" w:afterAutospacing="0"/>
      </w:pPr>
      <w:r w:rsidRPr="00AF0637">
        <w:t>This regulation is compatible with human rights as it does not raise any human rights issues.</w:t>
      </w:r>
    </w:p>
    <w:p w:rsidR="00A5170D" w:rsidRDefault="00A5170D">
      <w:pPr>
        <w:pStyle w:val="paranumbering0"/>
        <w:spacing w:before="0" w:beforeAutospacing="0" w:after="0" w:afterAutospacing="0"/>
      </w:pPr>
    </w:p>
    <w:p w:rsidR="00A5170D" w:rsidRDefault="00A5170D">
      <w:pPr>
        <w:pStyle w:val="paranumbering0"/>
        <w:spacing w:before="0" w:beforeAutospacing="0" w:after="0" w:afterAutospacing="0"/>
      </w:pPr>
    </w:p>
    <w:p w:rsidR="008C423A" w:rsidRDefault="008C423A">
      <w:pPr>
        <w:pStyle w:val="paranumbering0"/>
        <w:spacing w:before="0" w:beforeAutospacing="0" w:after="0" w:afterAutospacing="0"/>
      </w:pPr>
    </w:p>
    <w:p w:rsidR="001B1871" w:rsidRDefault="001B1871">
      <w:pPr>
        <w:pStyle w:val="paranumbering0"/>
        <w:spacing w:before="0" w:beforeAutospacing="0" w:after="0" w:afterAutospacing="0"/>
      </w:pPr>
    </w:p>
    <w:p w:rsidR="00A5170D" w:rsidRDefault="0031743A">
      <w:pPr>
        <w:pStyle w:val="paranumbering0"/>
        <w:spacing w:before="0" w:beforeAutospacing="0" w:after="0" w:afterAutospacing="0"/>
        <w:jc w:val="center"/>
        <w:rPr>
          <w:b/>
        </w:rPr>
      </w:pPr>
      <w:r w:rsidRPr="00AF0637">
        <w:rPr>
          <w:b/>
        </w:rPr>
        <w:t>Senator the Hon Mathias Cormann</w:t>
      </w:r>
    </w:p>
    <w:p w:rsidR="00A5170D" w:rsidRDefault="0031743A">
      <w:pPr>
        <w:pStyle w:val="paranumbering0"/>
        <w:spacing w:before="0" w:beforeAutospacing="0" w:after="0" w:afterAutospacing="0"/>
        <w:jc w:val="center"/>
        <w:rPr>
          <w:b/>
        </w:rPr>
      </w:pPr>
      <w:r w:rsidRPr="00AF0637">
        <w:rPr>
          <w:b/>
        </w:rPr>
        <w:t>Minister for Finance</w:t>
      </w:r>
    </w:p>
    <w:sectPr w:rsidR="00A5170D" w:rsidSect="009607D6">
      <w:headerReference w:type="even" r:id="rId14"/>
      <w:headerReference w:type="default" r:id="rId15"/>
      <w:headerReference w:type="first" r:id="rId16"/>
      <w:pgSz w:w="11906" w:h="16838"/>
      <w:pgMar w:top="1304" w:right="1440" w:bottom="1332" w:left="1440" w:header="709" w:footer="709" w:gutter="0"/>
      <w:pgNumType w:start="1"/>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D07A6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2FD" w:rsidRDefault="000242FD" w:rsidP="00AC470B">
      <w:r>
        <w:separator/>
      </w:r>
    </w:p>
  </w:endnote>
  <w:endnote w:type="continuationSeparator" w:id="0">
    <w:p w:rsidR="000242FD" w:rsidRDefault="000242FD" w:rsidP="00AC4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9999999">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2FD" w:rsidRDefault="000242FD" w:rsidP="00AC470B">
      <w:r>
        <w:separator/>
      </w:r>
    </w:p>
  </w:footnote>
  <w:footnote w:type="continuationSeparator" w:id="0">
    <w:p w:rsidR="000242FD" w:rsidRDefault="000242FD" w:rsidP="00AC47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2FD" w:rsidRDefault="00801A4A">
    <w:pPr>
      <w:pStyle w:val="Header"/>
      <w:jc w:val="center"/>
    </w:pPr>
    <w:sdt>
      <w:sdtPr>
        <w:id w:val="30886014"/>
        <w:docPartObj>
          <w:docPartGallery w:val="Page Numbers (Top of Page)"/>
          <w:docPartUnique/>
        </w:docPartObj>
      </w:sdtPr>
      <w:sdtEndPr/>
      <w:sdtContent>
        <w:r>
          <w:fldChar w:fldCharType="begin"/>
        </w:r>
        <w:r>
          <w:instrText xml:space="preserve"> PAGE   \* MERGEFORMAT </w:instrText>
        </w:r>
        <w:r>
          <w:fldChar w:fldCharType="separate"/>
        </w:r>
        <w:r>
          <w:rPr>
            <w:noProof/>
          </w:rPr>
          <w:t>2</w:t>
        </w:r>
        <w:r>
          <w:rPr>
            <w:noProof/>
          </w:rPr>
          <w:fldChar w:fldCharType="end"/>
        </w:r>
      </w:sdtContent>
    </w:sdt>
  </w:p>
  <w:p w:rsidR="000242FD" w:rsidRDefault="000242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2FD" w:rsidRDefault="000242FD">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2FD" w:rsidRDefault="000242F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2FD" w:rsidRDefault="00801A4A">
    <w:pPr>
      <w:pStyle w:val="Header"/>
      <w:jc w:val="center"/>
    </w:pPr>
    <w:sdt>
      <w:sdtPr>
        <w:id w:val="7660813"/>
        <w:docPartObj>
          <w:docPartGallery w:val="Page Numbers (Top of Page)"/>
          <w:docPartUnique/>
        </w:docPartObj>
      </w:sdtPr>
      <w:sdtEndPr/>
      <w:sdtContent>
        <w:r>
          <w:fldChar w:fldCharType="begin"/>
        </w:r>
        <w:r>
          <w:instrText xml:space="preserve"> PAGE   \* MERGEFORMAT </w:instrText>
        </w:r>
        <w:r>
          <w:fldChar w:fldCharType="separate"/>
        </w:r>
        <w:r>
          <w:rPr>
            <w:noProof/>
          </w:rPr>
          <w:t>3</w:t>
        </w:r>
        <w:r>
          <w:rPr>
            <w:noProof/>
          </w:rPr>
          <w:fldChar w:fldCharType="end"/>
        </w:r>
      </w:sdtContent>
    </w:sdt>
  </w:p>
  <w:p w:rsidR="000242FD" w:rsidRPr="005E3302" w:rsidRDefault="000242FD" w:rsidP="005E330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2FD" w:rsidRPr="0088187F" w:rsidRDefault="000242FD" w:rsidP="0088187F">
    <w:pPr>
      <w:pStyle w:val="Header"/>
      <w:jc w:val="right"/>
      <w:rPr>
        <w:b/>
        <w:u w:val="single"/>
      </w:rPr>
    </w:pPr>
    <w:r w:rsidRPr="0088187F">
      <w:rPr>
        <w:b/>
        <w:u w:val="single"/>
      </w:rPr>
      <w:t>Attachment 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2FD" w:rsidRDefault="000242F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2FD" w:rsidRDefault="00801A4A">
    <w:pPr>
      <w:pStyle w:val="Header"/>
      <w:jc w:val="center"/>
    </w:pPr>
    <w:sdt>
      <w:sdtPr>
        <w:id w:val="7660822"/>
        <w:docPartObj>
          <w:docPartGallery w:val="Page Numbers (Top of Page)"/>
          <w:docPartUnique/>
        </w:docPartObj>
      </w:sdtPr>
      <w:sdtEndPr/>
      <w:sdtContent>
        <w:r>
          <w:fldChar w:fldCharType="begin"/>
        </w:r>
        <w:r>
          <w:instrText xml:space="preserve"> PAGE   \* MERGEFORMAT </w:instrText>
        </w:r>
        <w:r>
          <w:fldChar w:fldCharType="separate"/>
        </w:r>
        <w:r>
          <w:rPr>
            <w:noProof/>
          </w:rPr>
          <w:t>2</w:t>
        </w:r>
        <w:r>
          <w:rPr>
            <w:noProof/>
          </w:rPr>
          <w:fldChar w:fldCharType="end"/>
        </w:r>
      </w:sdtContent>
    </w:sdt>
  </w:p>
  <w:p w:rsidR="000242FD" w:rsidRDefault="000242F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2FD" w:rsidRPr="00CA76CF" w:rsidRDefault="000242FD" w:rsidP="009607D6">
    <w:pPr>
      <w:pStyle w:val="Header"/>
      <w:jc w:val="right"/>
      <w:rPr>
        <w:b/>
        <w:u w:val="single"/>
      </w:rPr>
    </w:pPr>
    <w:r w:rsidRPr="00CA76CF">
      <w:rPr>
        <w:b/>
        <w:u w:val="single"/>
      </w:rPr>
      <w:t>Attachment 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004C05D3"/>
    <w:multiLevelType w:val="multilevel"/>
    <w:tmpl w:val="1CEC0E38"/>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0AF795D"/>
    <w:multiLevelType w:val="multilevel"/>
    <w:tmpl w:val="8FEE2132"/>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1FE26CD"/>
    <w:multiLevelType w:val="multilevel"/>
    <w:tmpl w:val="1CEC0E38"/>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65C38C5"/>
    <w:multiLevelType w:val="multilevel"/>
    <w:tmpl w:val="D3C4C13E"/>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7B13E18"/>
    <w:multiLevelType w:val="multilevel"/>
    <w:tmpl w:val="A9DE43E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8CC3BE7"/>
    <w:multiLevelType w:val="hybridMultilevel"/>
    <w:tmpl w:val="9C16A91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Times New Roman"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Times New Roman"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Times New Roman" w:hint="default"/>
      </w:rPr>
    </w:lvl>
    <w:lvl w:ilvl="8" w:tplc="0C090005">
      <w:start w:val="1"/>
      <w:numFmt w:val="bullet"/>
      <w:lvlText w:val=""/>
      <w:lvlJc w:val="left"/>
      <w:pPr>
        <w:ind w:left="7200" w:hanging="360"/>
      </w:pPr>
      <w:rPr>
        <w:rFonts w:ascii="Wingdings" w:hAnsi="Wingdings" w:hint="default"/>
      </w:rPr>
    </w:lvl>
  </w:abstractNum>
  <w:abstractNum w:abstractNumId="7">
    <w:nsid w:val="0C0E2A69"/>
    <w:multiLevelType w:val="hybridMultilevel"/>
    <w:tmpl w:val="6002B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CBB075D"/>
    <w:multiLevelType w:val="hybridMultilevel"/>
    <w:tmpl w:val="623036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0DE8383F"/>
    <w:multiLevelType w:val="hybridMultilevel"/>
    <w:tmpl w:val="CBD41972"/>
    <w:lvl w:ilvl="0" w:tplc="9856BD40">
      <w:numFmt w:val="bullet"/>
      <w:lvlText w:val="-"/>
      <w:lvlJc w:val="left"/>
      <w:pPr>
        <w:ind w:left="720" w:hanging="360"/>
      </w:pPr>
      <w:rPr>
        <w:rFonts w:ascii="Times New Roman" w:eastAsiaTheme="minorHAnsi" w:hAnsi="Times New Roman" w:cs="Times New Roman"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F72361F"/>
    <w:multiLevelType w:val="multilevel"/>
    <w:tmpl w:val="DF66D6D4"/>
    <w:lvl w:ilvl="0">
      <w:start w:val="1"/>
      <w:numFmt w:val="bullet"/>
      <w:lvlText w:val=""/>
      <w:lvlJc w:val="left"/>
      <w:pPr>
        <w:ind w:left="709" w:hanging="352"/>
      </w:pPr>
      <w:rPr>
        <w:rFonts w:ascii="Symbol" w:hAnsi="Symbol" w:hint="default"/>
        <w:color w:val="auto"/>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nsid w:val="109A13A6"/>
    <w:multiLevelType w:val="hybridMultilevel"/>
    <w:tmpl w:val="611A9B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12377E84"/>
    <w:multiLevelType w:val="hybridMultilevel"/>
    <w:tmpl w:val="7CB0D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3ED18A2"/>
    <w:multiLevelType w:val="hybridMultilevel"/>
    <w:tmpl w:val="5A4EF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42B75F9"/>
    <w:multiLevelType w:val="hybridMultilevel"/>
    <w:tmpl w:val="4B28B7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nsid w:val="1634749A"/>
    <w:multiLevelType w:val="hybridMultilevel"/>
    <w:tmpl w:val="2B060802"/>
    <w:lvl w:ilvl="0" w:tplc="89FCF0F4">
      <w:start w:val="1"/>
      <w:numFmt w:val="bullet"/>
      <w:lvlText w:val=""/>
      <w:lvlJc w:val="left"/>
      <w:pPr>
        <w:ind w:left="720" w:hanging="360"/>
      </w:pPr>
      <w:rPr>
        <w:rFonts w:ascii="Symbol" w:hAnsi="Symbol" w:hint="default"/>
        <w:color w:val="auto"/>
      </w:rPr>
    </w:lvl>
    <w:lvl w:ilvl="1" w:tplc="6298F76C">
      <w:start w:val="1"/>
      <w:numFmt w:val="bullet"/>
      <w:lvlText w:val="o"/>
      <w:lvlJc w:val="left"/>
      <w:pPr>
        <w:ind w:left="1440" w:hanging="360"/>
      </w:pPr>
      <w:rPr>
        <w:rFonts w:ascii="Courier New" w:hAnsi="Courier New" w:cs="Courier New" w:hint="default"/>
      </w:rPr>
    </w:lvl>
    <w:lvl w:ilvl="2" w:tplc="90628BEC">
      <w:start w:val="1"/>
      <w:numFmt w:val="bullet"/>
      <w:lvlText w:val=""/>
      <w:lvlJc w:val="left"/>
      <w:pPr>
        <w:ind w:left="2160" w:hanging="360"/>
      </w:pPr>
      <w:rPr>
        <w:rFonts w:ascii="Wingdings" w:hAnsi="Wingdings" w:hint="default"/>
      </w:rPr>
    </w:lvl>
    <w:lvl w:ilvl="3" w:tplc="3EE076BC">
      <w:start w:val="1"/>
      <w:numFmt w:val="bullet"/>
      <w:lvlText w:val=""/>
      <w:lvlJc w:val="left"/>
      <w:pPr>
        <w:ind w:left="2880" w:hanging="360"/>
      </w:pPr>
      <w:rPr>
        <w:rFonts w:ascii="Symbol" w:hAnsi="Symbol" w:hint="default"/>
      </w:rPr>
    </w:lvl>
    <w:lvl w:ilvl="4" w:tplc="83747238">
      <w:start w:val="1"/>
      <w:numFmt w:val="bullet"/>
      <w:lvlText w:val="o"/>
      <w:lvlJc w:val="left"/>
      <w:pPr>
        <w:ind w:left="3600" w:hanging="360"/>
      </w:pPr>
      <w:rPr>
        <w:rFonts w:ascii="Courier New" w:hAnsi="Courier New" w:cs="Courier New" w:hint="default"/>
      </w:rPr>
    </w:lvl>
    <w:lvl w:ilvl="5" w:tplc="655CFB4E">
      <w:start w:val="1"/>
      <w:numFmt w:val="bullet"/>
      <w:lvlText w:val=""/>
      <w:lvlJc w:val="left"/>
      <w:pPr>
        <w:ind w:left="4320" w:hanging="360"/>
      </w:pPr>
      <w:rPr>
        <w:rFonts w:ascii="Wingdings" w:hAnsi="Wingdings" w:hint="default"/>
      </w:rPr>
    </w:lvl>
    <w:lvl w:ilvl="6" w:tplc="689219DE">
      <w:start w:val="1"/>
      <w:numFmt w:val="bullet"/>
      <w:lvlText w:val=""/>
      <w:lvlJc w:val="left"/>
      <w:pPr>
        <w:ind w:left="5040" w:hanging="360"/>
      </w:pPr>
      <w:rPr>
        <w:rFonts w:ascii="Symbol" w:hAnsi="Symbol" w:hint="default"/>
      </w:rPr>
    </w:lvl>
    <w:lvl w:ilvl="7" w:tplc="D1006366">
      <w:start w:val="1"/>
      <w:numFmt w:val="bullet"/>
      <w:lvlText w:val="o"/>
      <w:lvlJc w:val="left"/>
      <w:pPr>
        <w:ind w:left="5760" w:hanging="360"/>
      </w:pPr>
      <w:rPr>
        <w:rFonts w:ascii="Courier New" w:hAnsi="Courier New" w:cs="Courier New" w:hint="default"/>
      </w:rPr>
    </w:lvl>
    <w:lvl w:ilvl="8" w:tplc="D83C091C">
      <w:start w:val="1"/>
      <w:numFmt w:val="bullet"/>
      <w:lvlText w:val=""/>
      <w:lvlJc w:val="left"/>
      <w:pPr>
        <w:ind w:left="6480" w:hanging="360"/>
      </w:pPr>
      <w:rPr>
        <w:rFonts w:ascii="Wingdings" w:hAnsi="Wingdings" w:hint="default"/>
      </w:rPr>
    </w:lvl>
  </w:abstractNum>
  <w:abstractNum w:abstractNumId="16">
    <w:nsid w:val="168A5CC4"/>
    <w:multiLevelType w:val="hybridMultilevel"/>
    <w:tmpl w:val="3D1E22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19D53498"/>
    <w:multiLevelType w:val="multilevel"/>
    <w:tmpl w:val="C32AC38E"/>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A6672DA"/>
    <w:multiLevelType w:val="hybridMultilevel"/>
    <w:tmpl w:val="A6907C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nsid w:val="1AE202AC"/>
    <w:multiLevelType w:val="hybridMultilevel"/>
    <w:tmpl w:val="7E46B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1B496426"/>
    <w:multiLevelType w:val="hybridMultilevel"/>
    <w:tmpl w:val="96EA3C7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nsid w:val="1D7265BF"/>
    <w:multiLevelType w:val="hybridMultilevel"/>
    <w:tmpl w:val="3274E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1F745BC2"/>
    <w:multiLevelType w:val="multilevel"/>
    <w:tmpl w:val="747AF314"/>
    <w:lvl w:ilvl="0">
      <w:start w:val="1"/>
      <w:numFmt w:val="bullet"/>
      <w:pStyle w:val="ListBullet"/>
      <w:lvlText w:val=""/>
      <w:lvlJc w:val="left"/>
      <w:pPr>
        <w:ind w:left="720" w:hanging="363"/>
      </w:pPr>
      <w:rPr>
        <w:rFonts w:ascii="Symbol" w:hAnsi="Symbol" w:hint="default"/>
        <w:sz w:val="20"/>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3">
    <w:nsid w:val="21EE5A96"/>
    <w:multiLevelType w:val="hybridMultilevel"/>
    <w:tmpl w:val="DDFEE5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nsid w:val="23076E29"/>
    <w:multiLevelType w:val="multilevel"/>
    <w:tmpl w:val="1CEC0E38"/>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265B1B49"/>
    <w:multiLevelType w:val="multilevel"/>
    <w:tmpl w:val="55B093F8"/>
    <w:name w:val="AGSQuote"/>
    <w:lvl w:ilvl="0">
      <w:start w:val="1"/>
      <w:numFmt w:val="none"/>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26">
    <w:nsid w:val="2B7E4D32"/>
    <w:multiLevelType w:val="multilevel"/>
    <w:tmpl w:val="1CEC0E38"/>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2C434974"/>
    <w:multiLevelType w:val="hybridMultilevel"/>
    <w:tmpl w:val="4DFAF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2E2A4578"/>
    <w:multiLevelType w:val="multilevel"/>
    <w:tmpl w:val="0186B9F8"/>
    <w:lvl w:ilvl="0">
      <w:start w:val="1"/>
      <w:numFmt w:val="bullet"/>
      <w:lvlText w:val=""/>
      <w:lvlJc w:val="left"/>
      <w:pPr>
        <w:ind w:left="720" w:hanging="363"/>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nsid w:val="31456CB8"/>
    <w:multiLevelType w:val="multilevel"/>
    <w:tmpl w:val="1CEC0E38"/>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31CE64D9"/>
    <w:multiLevelType w:val="multilevel"/>
    <w:tmpl w:val="FB988D84"/>
    <w:lvl w:ilvl="0">
      <w:start w:val="1"/>
      <w:numFmt w:val="bullet"/>
      <w:lvlText w:val=""/>
      <w:lvlJc w:val="left"/>
      <w:pPr>
        <w:ind w:left="720" w:hanging="363"/>
      </w:pPr>
      <w:rPr>
        <w:rFonts w:ascii="Symbol" w:hAnsi="Symbol" w:hint="default"/>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331444BE"/>
    <w:multiLevelType w:val="hybridMultilevel"/>
    <w:tmpl w:val="FF9EE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3420738F"/>
    <w:multiLevelType w:val="hybridMultilevel"/>
    <w:tmpl w:val="1278E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35006D5F"/>
    <w:multiLevelType w:val="multilevel"/>
    <w:tmpl w:val="B2DE6C68"/>
    <w:lvl w:ilvl="0">
      <w:start w:val="1"/>
      <w:numFmt w:val="bullet"/>
      <w:lvlText w:val=""/>
      <w:lvlJc w:val="left"/>
      <w:pPr>
        <w:ind w:left="709" w:hanging="349"/>
      </w:pPr>
      <w:rPr>
        <w:rFonts w:ascii="Symbol" w:hAnsi="Symbol" w:hint="default"/>
        <w:color w:val="auto"/>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38584F4A"/>
    <w:multiLevelType w:val="multilevel"/>
    <w:tmpl w:val="0186B9F8"/>
    <w:lvl w:ilvl="0">
      <w:start w:val="1"/>
      <w:numFmt w:val="bullet"/>
      <w:lvlText w:val=""/>
      <w:lvlJc w:val="left"/>
      <w:pPr>
        <w:ind w:left="720" w:hanging="363"/>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nsid w:val="398441C2"/>
    <w:multiLevelType w:val="multilevel"/>
    <w:tmpl w:val="F620CBE4"/>
    <w:lvl w:ilvl="0">
      <w:start w:val="1"/>
      <w:numFmt w:val="bullet"/>
      <w:lvlText w:val=""/>
      <w:lvlJc w:val="left"/>
      <w:pPr>
        <w:ind w:left="709" w:hanging="349"/>
      </w:pPr>
      <w:rPr>
        <w:rFonts w:ascii="Symbol" w:hAnsi="Symbol" w:hint="default"/>
        <w:color w:val="auto"/>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3E063B1D"/>
    <w:multiLevelType w:val="multilevel"/>
    <w:tmpl w:val="62C80A1E"/>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3FFA0965"/>
    <w:multiLevelType w:val="multilevel"/>
    <w:tmpl w:val="1CEC0E38"/>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414E0611"/>
    <w:multiLevelType w:val="singleLevel"/>
    <w:tmpl w:val="327654E6"/>
    <w:lvl w:ilvl="0">
      <w:start w:val="2"/>
      <w:numFmt w:val="decimal"/>
      <w:pStyle w:val="numberlist"/>
      <w:lvlText w:val="%1."/>
      <w:lvlJc w:val="left"/>
      <w:pPr>
        <w:tabs>
          <w:tab w:val="num" w:pos="360"/>
        </w:tabs>
        <w:ind w:left="360" w:hanging="360"/>
      </w:pPr>
    </w:lvl>
  </w:abstractNum>
  <w:abstractNum w:abstractNumId="39">
    <w:nsid w:val="42A62B3C"/>
    <w:multiLevelType w:val="multilevel"/>
    <w:tmpl w:val="1CEC0E38"/>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437C33D9"/>
    <w:multiLevelType w:val="hybridMultilevel"/>
    <w:tmpl w:val="83805936"/>
    <w:lvl w:ilvl="0" w:tplc="6FF22E52">
      <w:numFmt w:val="bullet"/>
      <w:lvlText w:val=""/>
      <w:lvlJc w:val="left"/>
      <w:pPr>
        <w:ind w:left="1005" w:hanging="645"/>
      </w:pPr>
      <w:rPr>
        <w:rFonts w:ascii="Symbol" w:eastAsia="Calibri" w:hAnsi="Symbol"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1">
    <w:nsid w:val="43D514BC"/>
    <w:multiLevelType w:val="hybridMultilevel"/>
    <w:tmpl w:val="2FE852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nsid w:val="473A484D"/>
    <w:multiLevelType w:val="hybridMultilevel"/>
    <w:tmpl w:val="1178A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4E2F1F0E"/>
    <w:multiLevelType w:val="hybridMultilevel"/>
    <w:tmpl w:val="2C08A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4EC40232"/>
    <w:multiLevelType w:val="hybridMultilevel"/>
    <w:tmpl w:val="F0F69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501902EF"/>
    <w:multiLevelType w:val="hybridMultilevel"/>
    <w:tmpl w:val="5C2EE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5082572F"/>
    <w:multiLevelType w:val="multilevel"/>
    <w:tmpl w:val="1CEC0E38"/>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51B66FFE"/>
    <w:multiLevelType w:val="multilevel"/>
    <w:tmpl w:val="CA828CB6"/>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523F13E8"/>
    <w:multiLevelType w:val="multilevel"/>
    <w:tmpl w:val="881E8428"/>
    <w:lvl w:ilvl="0">
      <w:start w:val="1"/>
      <w:numFmt w:val="bullet"/>
      <w:lvlText w:val=""/>
      <w:lvlJc w:val="left"/>
      <w:pPr>
        <w:ind w:left="720" w:hanging="363"/>
      </w:pPr>
      <w:rPr>
        <w:rFonts w:ascii="Symbol" w:hAnsi="Symbol" w:hint="default"/>
        <w:sz w:val="20"/>
      </w:rPr>
    </w:lvl>
    <w:lvl w:ilvl="1">
      <w:start w:val="1"/>
      <w:numFmt w:val="bullet"/>
      <w:lvlText w:val="o"/>
      <w:lvlJc w:val="left"/>
      <w:pPr>
        <w:ind w:left="1030" w:hanging="360"/>
      </w:pPr>
      <w:rPr>
        <w:rFonts w:ascii="Courier New" w:hAnsi="Courier New" w:cs="Courier New" w:hint="default"/>
      </w:rPr>
    </w:lvl>
    <w:lvl w:ilvl="2">
      <w:start w:val="1"/>
      <w:numFmt w:val="bullet"/>
      <w:lvlText w:val=""/>
      <w:lvlJc w:val="left"/>
      <w:pPr>
        <w:ind w:left="1750" w:hanging="360"/>
      </w:pPr>
      <w:rPr>
        <w:rFonts w:ascii="Wingdings" w:hAnsi="Wingdings" w:hint="default"/>
      </w:rPr>
    </w:lvl>
    <w:lvl w:ilvl="3">
      <w:start w:val="1"/>
      <w:numFmt w:val="bullet"/>
      <w:lvlText w:val=""/>
      <w:lvlJc w:val="left"/>
      <w:pPr>
        <w:ind w:left="2470" w:hanging="360"/>
      </w:pPr>
      <w:rPr>
        <w:rFonts w:ascii="Symbol" w:hAnsi="Symbol" w:hint="default"/>
      </w:rPr>
    </w:lvl>
    <w:lvl w:ilvl="4">
      <w:start w:val="1"/>
      <w:numFmt w:val="bullet"/>
      <w:lvlText w:val="o"/>
      <w:lvlJc w:val="left"/>
      <w:pPr>
        <w:ind w:left="3190" w:hanging="360"/>
      </w:pPr>
      <w:rPr>
        <w:rFonts w:ascii="Courier New" w:hAnsi="Courier New" w:cs="Courier New" w:hint="default"/>
      </w:rPr>
    </w:lvl>
    <w:lvl w:ilvl="5">
      <w:start w:val="1"/>
      <w:numFmt w:val="bullet"/>
      <w:lvlText w:val=""/>
      <w:lvlJc w:val="left"/>
      <w:pPr>
        <w:ind w:left="3910" w:hanging="360"/>
      </w:pPr>
      <w:rPr>
        <w:rFonts w:ascii="Wingdings" w:hAnsi="Wingdings" w:hint="default"/>
      </w:rPr>
    </w:lvl>
    <w:lvl w:ilvl="6">
      <w:start w:val="1"/>
      <w:numFmt w:val="bullet"/>
      <w:lvlText w:val=""/>
      <w:lvlJc w:val="left"/>
      <w:pPr>
        <w:ind w:left="4630" w:hanging="360"/>
      </w:pPr>
      <w:rPr>
        <w:rFonts w:ascii="Symbol" w:hAnsi="Symbol" w:hint="default"/>
      </w:rPr>
    </w:lvl>
    <w:lvl w:ilvl="7">
      <w:start w:val="1"/>
      <w:numFmt w:val="bullet"/>
      <w:lvlText w:val="o"/>
      <w:lvlJc w:val="left"/>
      <w:pPr>
        <w:ind w:left="5350" w:hanging="360"/>
      </w:pPr>
      <w:rPr>
        <w:rFonts w:ascii="Courier New" w:hAnsi="Courier New" w:cs="Courier New" w:hint="default"/>
      </w:rPr>
    </w:lvl>
    <w:lvl w:ilvl="8">
      <w:start w:val="1"/>
      <w:numFmt w:val="bullet"/>
      <w:lvlText w:val=""/>
      <w:lvlJc w:val="left"/>
      <w:pPr>
        <w:ind w:left="6070" w:hanging="360"/>
      </w:pPr>
      <w:rPr>
        <w:rFonts w:ascii="Wingdings" w:hAnsi="Wingdings" w:hint="default"/>
      </w:rPr>
    </w:lvl>
  </w:abstractNum>
  <w:abstractNum w:abstractNumId="49">
    <w:nsid w:val="52C47546"/>
    <w:multiLevelType w:val="hybridMultilevel"/>
    <w:tmpl w:val="8256A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52CE6918"/>
    <w:multiLevelType w:val="multilevel"/>
    <w:tmpl w:val="0C09001D"/>
    <w:styleLink w:val="Style1"/>
    <w:lvl w:ilvl="0">
      <w:start w:val="1"/>
      <w:numFmt w:val="bullet"/>
      <w:lvlText w:val=""/>
      <w:lvlJc w:val="left"/>
      <w:pPr>
        <w:ind w:left="360" w:hanging="360"/>
      </w:pPr>
      <w:rPr>
        <w:rFonts w:ascii="Symbol" w:hAnsi="Symbol"/>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nsid w:val="561B0989"/>
    <w:multiLevelType w:val="hybridMultilevel"/>
    <w:tmpl w:val="1B4698E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56E43170"/>
    <w:multiLevelType w:val="multilevel"/>
    <w:tmpl w:val="1CEC0E38"/>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59AA1042"/>
    <w:multiLevelType w:val="multilevel"/>
    <w:tmpl w:val="87E249FC"/>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5BDB18CC"/>
    <w:multiLevelType w:val="hybridMultilevel"/>
    <w:tmpl w:val="E182F7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5">
    <w:nsid w:val="5D346579"/>
    <w:multiLevelType w:val="hybridMultilevel"/>
    <w:tmpl w:val="4ED48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64793BCE"/>
    <w:multiLevelType w:val="multilevel"/>
    <w:tmpl w:val="C32AC38E"/>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67E17C6D"/>
    <w:multiLevelType w:val="hybridMultilevel"/>
    <w:tmpl w:val="68120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683748CF"/>
    <w:multiLevelType w:val="hybridMultilevel"/>
    <w:tmpl w:val="CF661C9A"/>
    <w:lvl w:ilvl="0" w:tplc="24C4DBC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683C1F85"/>
    <w:multiLevelType w:val="multilevel"/>
    <w:tmpl w:val="1CEC0E38"/>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6C31612E"/>
    <w:multiLevelType w:val="multilevel"/>
    <w:tmpl w:val="1CEC0E38"/>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6E3A785B"/>
    <w:multiLevelType w:val="multilevel"/>
    <w:tmpl w:val="1CEC0E38"/>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6FB011EC"/>
    <w:multiLevelType w:val="multilevel"/>
    <w:tmpl w:val="49942658"/>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74134582"/>
    <w:multiLevelType w:val="multilevel"/>
    <w:tmpl w:val="53B6F2B6"/>
    <w:lvl w:ilvl="0">
      <w:start w:val="1"/>
      <w:numFmt w:val="bullet"/>
      <w:lvlText w:val=""/>
      <w:lvlJc w:val="left"/>
      <w:pPr>
        <w:ind w:left="709" w:hanging="352"/>
      </w:pPr>
      <w:rPr>
        <w:rFonts w:ascii="Symbol" w:hAnsi="Symbol" w:hint="default"/>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4">
    <w:nsid w:val="74CD2EB1"/>
    <w:multiLevelType w:val="multilevel"/>
    <w:tmpl w:val="34589BAE"/>
    <w:name w:val="ExampleTextBullet"/>
    <w:lvl w:ilvl="0">
      <w:start w:val="1"/>
      <w:numFmt w:val="decimal"/>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5">
    <w:nsid w:val="768948AE"/>
    <w:multiLevelType w:val="multilevel"/>
    <w:tmpl w:val="1CEC0E38"/>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7A915BD0"/>
    <w:multiLevelType w:val="multilevel"/>
    <w:tmpl w:val="D3C4C13E"/>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7BA11B25"/>
    <w:multiLevelType w:val="hybridMultilevel"/>
    <w:tmpl w:val="1ADE3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nsid w:val="7BE66905"/>
    <w:multiLevelType w:val="multilevel"/>
    <w:tmpl w:val="0186B9F8"/>
    <w:lvl w:ilvl="0">
      <w:start w:val="1"/>
      <w:numFmt w:val="bullet"/>
      <w:lvlText w:val=""/>
      <w:lvlJc w:val="left"/>
      <w:pPr>
        <w:ind w:left="720" w:hanging="363"/>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9">
    <w:nsid w:val="7EB008FF"/>
    <w:multiLevelType w:val="multilevel"/>
    <w:tmpl w:val="883CC8BE"/>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B-Paragraph"/>
      <w:lvlText w:val="%1.%2.%3"/>
      <w:lvlJc w:val="left"/>
      <w:pPr>
        <w:tabs>
          <w:tab w:val="num" w:pos="855"/>
        </w:tabs>
        <w:ind w:left="855" w:hanging="855"/>
      </w:pPr>
      <w:rPr>
        <w:rFonts w:hint="default"/>
        <w:b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nsid w:val="7F0B2B52"/>
    <w:multiLevelType w:val="multilevel"/>
    <w:tmpl w:val="0186B9F8"/>
    <w:lvl w:ilvl="0">
      <w:start w:val="1"/>
      <w:numFmt w:val="bullet"/>
      <w:lvlText w:val=""/>
      <w:lvlJc w:val="left"/>
      <w:pPr>
        <w:ind w:left="720" w:hanging="363"/>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69"/>
  </w:num>
  <w:num w:numId="2">
    <w:abstractNumId w:val="38"/>
    <w:lvlOverride w:ilvl="0">
      <w:startOverride w:val="2"/>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0"/>
  </w:num>
  <w:num w:numId="5">
    <w:abstractNumId w:val="2"/>
  </w:num>
  <w:num w:numId="6">
    <w:abstractNumId w:val="48"/>
  </w:num>
  <w:num w:numId="7">
    <w:abstractNumId w:val="9"/>
  </w:num>
  <w:num w:numId="8">
    <w:abstractNumId w:val="58"/>
  </w:num>
  <w:num w:numId="9">
    <w:abstractNumId w:val="15"/>
  </w:num>
  <w:num w:numId="10">
    <w:abstractNumId w:val="20"/>
  </w:num>
  <w:num w:numId="11">
    <w:abstractNumId w:val="63"/>
  </w:num>
  <w:num w:numId="12">
    <w:abstractNumId w:val="33"/>
  </w:num>
  <w:num w:numId="13">
    <w:abstractNumId w:val="10"/>
  </w:num>
  <w:num w:numId="14">
    <w:abstractNumId w:val="35"/>
  </w:num>
  <w:num w:numId="15">
    <w:abstractNumId w:val="30"/>
  </w:num>
  <w:num w:numId="16">
    <w:abstractNumId w:val="16"/>
  </w:num>
  <w:num w:numId="17">
    <w:abstractNumId w:val="57"/>
  </w:num>
  <w:num w:numId="18">
    <w:abstractNumId w:val="32"/>
  </w:num>
  <w:num w:numId="19">
    <w:abstractNumId w:val="12"/>
  </w:num>
  <w:num w:numId="20">
    <w:abstractNumId w:val="0"/>
  </w:num>
  <w:num w:numId="21">
    <w:abstractNumId w:val="22"/>
  </w:num>
  <w:num w:numId="22">
    <w:abstractNumId w:val="43"/>
  </w:num>
  <w:num w:numId="23">
    <w:abstractNumId w:val="49"/>
  </w:num>
  <w:num w:numId="24">
    <w:abstractNumId w:val="45"/>
  </w:num>
  <w:num w:numId="25">
    <w:abstractNumId w:val="21"/>
  </w:num>
  <w:num w:numId="26">
    <w:abstractNumId w:val="44"/>
  </w:num>
  <w:num w:numId="2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1"/>
  </w:num>
  <w:num w:numId="2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8"/>
  </w:num>
  <w:num w:numId="32">
    <w:abstractNumId w:val="54"/>
  </w:num>
  <w:num w:numId="33">
    <w:abstractNumId w:val="23"/>
  </w:num>
  <w:num w:numId="34">
    <w:abstractNumId w:val="11"/>
  </w:num>
  <w:num w:numId="35">
    <w:abstractNumId w:val="55"/>
  </w:num>
  <w:num w:numId="36">
    <w:abstractNumId w:val="7"/>
  </w:num>
  <w:num w:numId="37">
    <w:abstractNumId w:val="31"/>
  </w:num>
  <w:num w:numId="38">
    <w:abstractNumId w:val="19"/>
  </w:num>
  <w:num w:numId="39">
    <w:abstractNumId w:val="67"/>
  </w:num>
  <w:num w:numId="40">
    <w:abstractNumId w:val="27"/>
  </w:num>
  <w:num w:numId="41">
    <w:abstractNumId w:val="13"/>
  </w:num>
  <w:num w:numId="42">
    <w:abstractNumId w:val="42"/>
  </w:num>
  <w:num w:numId="43">
    <w:abstractNumId w:val="14"/>
  </w:num>
  <w:num w:numId="44">
    <w:abstractNumId w:val="56"/>
  </w:num>
  <w:num w:numId="45">
    <w:abstractNumId w:val="17"/>
  </w:num>
  <w:num w:numId="46">
    <w:abstractNumId w:val="66"/>
  </w:num>
  <w:num w:numId="47">
    <w:abstractNumId w:val="4"/>
  </w:num>
  <w:num w:numId="48">
    <w:abstractNumId w:val="53"/>
  </w:num>
  <w:num w:numId="49">
    <w:abstractNumId w:val="47"/>
  </w:num>
  <w:num w:numId="50">
    <w:abstractNumId w:val="68"/>
  </w:num>
  <w:num w:numId="51">
    <w:abstractNumId w:val="34"/>
  </w:num>
  <w:num w:numId="52">
    <w:abstractNumId w:val="70"/>
  </w:num>
  <w:num w:numId="53">
    <w:abstractNumId w:val="28"/>
  </w:num>
  <w:num w:numId="54">
    <w:abstractNumId w:val="62"/>
  </w:num>
  <w:num w:numId="55">
    <w:abstractNumId w:val="39"/>
  </w:num>
  <w:num w:numId="56">
    <w:abstractNumId w:val="52"/>
  </w:num>
  <w:num w:numId="57">
    <w:abstractNumId w:val="46"/>
  </w:num>
  <w:num w:numId="58">
    <w:abstractNumId w:val="65"/>
  </w:num>
  <w:num w:numId="59">
    <w:abstractNumId w:val="1"/>
  </w:num>
  <w:num w:numId="60">
    <w:abstractNumId w:val="26"/>
  </w:num>
  <w:num w:numId="61">
    <w:abstractNumId w:val="37"/>
  </w:num>
  <w:num w:numId="62">
    <w:abstractNumId w:val="24"/>
  </w:num>
  <w:num w:numId="63">
    <w:abstractNumId w:val="59"/>
  </w:num>
  <w:num w:numId="64">
    <w:abstractNumId w:val="60"/>
  </w:num>
  <w:num w:numId="65">
    <w:abstractNumId w:val="61"/>
  </w:num>
  <w:num w:numId="66">
    <w:abstractNumId w:val="3"/>
  </w:num>
  <w:num w:numId="67">
    <w:abstractNumId w:val="29"/>
  </w:num>
  <w:num w:numId="68">
    <w:abstractNumId w:val="36"/>
  </w:num>
  <w:num w:numId="69">
    <w:abstractNumId w:val="5"/>
  </w:num>
  <w:num w:numId="70">
    <w:abstractNumId w:val="41"/>
  </w:num>
  <w:num w:numId="71">
    <w:abstractNumId w:val="6"/>
  </w:num>
  <w:numIdMacAtCleanup w:val="6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Kathryn">
    <w15:presenceInfo w15:providerId="None" w15:userId="Graham, Kathry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20"/>
  <w:displayHorizontalDrawingGridEvery w:val="2"/>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F92"/>
    <w:rsid w:val="0000078B"/>
    <w:rsid w:val="00000DA3"/>
    <w:rsid w:val="000023D2"/>
    <w:rsid w:val="00004C73"/>
    <w:rsid w:val="00004ED0"/>
    <w:rsid w:val="00005246"/>
    <w:rsid w:val="000061B1"/>
    <w:rsid w:val="00006B55"/>
    <w:rsid w:val="00010368"/>
    <w:rsid w:val="0001211F"/>
    <w:rsid w:val="000131AA"/>
    <w:rsid w:val="000131C7"/>
    <w:rsid w:val="0001366A"/>
    <w:rsid w:val="000166F8"/>
    <w:rsid w:val="000214C7"/>
    <w:rsid w:val="000235E9"/>
    <w:rsid w:val="0002383A"/>
    <w:rsid w:val="00023C19"/>
    <w:rsid w:val="000242FD"/>
    <w:rsid w:val="0002493D"/>
    <w:rsid w:val="00024D80"/>
    <w:rsid w:val="00025653"/>
    <w:rsid w:val="000265CD"/>
    <w:rsid w:val="00027939"/>
    <w:rsid w:val="00030FD2"/>
    <w:rsid w:val="00033CB2"/>
    <w:rsid w:val="000350D5"/>
    <w:rsid w:val="00035B3D"/>
    <w:rsid w:val="000368EC"/>
    <w:rsid w:val="00036B5B"/>
    <w:rsid w:val="00037045"/>
    <w:rsid w:val="00037103"/>
    <w:rsid w:val="00040193"/>
    <w:rsid w:val="00041E24"/>
    <w:rsid w:val="00043FE4"/>
    <w:rsid w:val="00044376"/>
    <w:rsid w:val="00044C3E"/>
    <w:rsid w:val="000453BE"/>
    <w:rsid w:val="0004632A"/>
    <w:rsid w:val="0004721F"/>
    <w:rsid w:val="00047FF8"/>
    <w:rsid w:val="000522C4"/>
    <w:rsid w:val="00056E34"/>
    <w:rsid w:val="0005706F"/>
    <w:rsid w:val="00057C3D"/>
    <w:rsid w:val="00057CAC"/>
    <w:rsid w:val="00057F57"/>
    <w:rsid w:val="00060666"/>
    <w:rsid w:val="00063ACB"/>
    <w:rsid w:val="00064E4C"/>
    <w:rsid w:val="00065C0E"/>
    <w:rsid w:val="000666C8"/>
    <w:rsid w:val="000666F8"/>
    <w:rsid w:val="0006694E"/>
    <w:rsid w:val="00070277"/>
    <w:rsid w:val="0007151D"/>
    <w:rsid w:val="00071962"/>
    <w:rsid w:val="000728BE"/>
    <w:rsid w:val="00072A4D"/>
    <w:rsid w:val="00075170"/>
    <w:rsid w:val="00077469"/>
    <w:rsid w:val="00077531"/>
    <w:rsid w:val="000814DF"/>
    <w:rsid w:val="000826CC"/>
    <w:rsid w:val="00082E4D"/>
    <w:rsid w:val="00084FA0"/>
    <w:rsid w:val="00085421"/>
    <w:rsid w:val="000931EB"/>
    <w:rsid w:val="00093CC8"/>
    <w:rsid w:val="00094790"/>
    <w:rsid w:val="00095EE4"/>
    <w:rsid w:val="000962DB"/>
    <w:rsid w:val="000969B5"/>
    <w:rsid w:val="000A0A6F"/>
    <w:rsid w:val="000A1EDC"/>
    <w:rsid w:val="000A1FB2"/>
    <w:rsid w:val="000A4417"/>
    <w:rsid w:val="000A649A"/>
    <w:rsid w:val="000B0A0E"/>
    <w:rsid w:val="000B0CC0"/>
    <w:rsid w:val="000B0E3E"/>
    <w:rsid w:val="000B440D"/>
    <w:rsid w:val="000C1FE8"/>
    <w:rsid w:val="000C2968"/>
    <w:rsid w:val="000C38BE"/>
    <w:rsid w:val="000C565A"/>
    <w:rsid w:val="000C5786"/>
    <w:rsid w:val="000C7A0C"/>
    <w:rsid w:val="000D0ABE"/>
    <w:rsid w:val="000D337D"/>
    <w:rsid w:val="000D6CCB"/>
    <w:rsid w:val="000E0A6E"/>
    <w:rsid w:val="000E0B9A"/>
    <w:rsid w:val="000E0BBB"/>
    <w:rsid w:val="000E127A"/>
    <w:rsid w:val="000E14C7"/>
    <w:rsid w:val="000E213C"/>
    <w:rsid w:val="000E39BF"/>
    <w:rsid w:val="000E5460"/>
    <w:rsid w:val="000E574F"/>
    <w:rsid w:val="000E5BDD"/>
    <w:rsid w:val="000E62FD"/>
    <w:rsid w:val="000F5D22"/>
    <w:rsid w:val="000F73FC"/>
    <w:rsid w:val="000F76BE"/>
    <w:rsid w:val="001001C7"/>
    <w:rsid w:val="00102398"/>
    <w:rsid w:val="001029C4"/>
    <w:rsid w:val="00102B3F"/>
    <w:rsid w:val="00106738"/>
    <w:rsid w:val="001117BF"/>
    <w:rsid w:val="001157BE"/>
    <w:rsid w:val="0011754C"/>
    <w:rsid w:val="001209E3"/>
    <w:rsid w:val="00125A3D"/>
    <w:rsid w:val="00127660"/>
    <w:rsid w:val="0013073D"/>
    <w:rsid w:val="00131DCB"/>
    <w:rsid w:val="00133083"/>
    <w:rsid w:val="001330AB"/>
    <w:rsid w:val="00133D36"/>
    <w:rsid w:val="00135E6D"/>
    <w:rsid w:val="00136E1C"/>
    <w:rsid w:val="00140A28"/>
    <w:rsid w:val="00143974"/>
    <w:rsid w:val="00146C4C"/>
    <w:rsid w:val="001517FE"/>
    <w:rsid w:val="00151C6F"/>
    <w:rsid w:val="0015593A"/>
    <w:rsid w:val="001576FB"/>
    <w:rsid w:val="00160D62"/>
    <w:rsid w:val="00162985"/>
    <w:rsid w:val="00163B9B"/>
    <w:rsid w:val="00166D2E"/>
    <w:rsid w:val="00167409"/>
    <w:rsid w:val="00171BB7"/>
    <w:rsid w:val="00181509"/>
    <w:rsid w:val="00181C57"/>
    <w:rsid w:val="00183B31"/>
    <w:rsid w:val="0018523C"/>
    <w:rsid w:val="0018609F"/>
    <w:rsid w:val="0019213D"/>
    <w:rsid w:val="00192EFF"/>
    <w:rsid w:val="001931B5"/>
    <w:rsid w:val="00196FEE"/>
    <w:rsid w:val="00197335"/>
    <w:rsid w:val="00197902"/>
    <w:rsid w:val="001A1235"/>
    <w:rsid w:val="001A2968"/>
    <w:rsid w:val="001A321C"/>
    <w:rsid w:val="001A3F76"/>
    <w:rsid w:val="001A4734"/>
    <w:rsid w:val="001A68D8"/>
    <w:rsid w:val="001A7F5D"/>
    <w:rsid w:val="001B0511"/>
    <w:rsid w:val="001B0E79"/>
    <w:rsid w:val="001B1871"/>
    <w:rsid w:val="001B32EE"/>
    <w:rsid w:val="001B3A1F"/>
    <w:rsid w:val="001B5740"/>
    <w:rsid w:val="001B6F72"/>
    <w:rsid w:val="001B7454"/>
    <w:rsid w:val="001C0819"/>
    <w:rsid w:val="001C2EEB"/>
    <w:rsid w:val="001C4232"/>
    <w:rsid w:val="001C5548"/>
    <w:rsid w:val="001C68BF"/>
    <w:rsid w:val="001C700E"/>
    <w:rsid w:val="001C7AD9"/>
    <w:rsid w:val="001D0E56"/>
    <w:rsid w:val="001D0F82"/>
    <w:rsid w:val="001D46A6"/>
    <w:rsid w:val="001D6688"/>
    <w:rsid w:val="001D789E"/>
    <w:rsid w:val="001E2C93"/>
    <w:rsid w:val="001E4F2C"/>
    <w:rsid w:val="001E65CC"/>
    <w:rsid w:val="001F36DD"/>
    <w:rsid w:val="001F3CD2"/>
    <w:rsid w:val="001F5852"/>
    <w:rsid w:val="001F5ACF"/>
    <w:rsid w:val="001F5DB0"/>
    <w:rsid w:val="001F61F1"/>
    <w:rsid w:val="00200EF9"/>
    <w:rsid w:val="00204EA8"/>
    <w:rsid w:val="00205C6B"/>
    <w:rsid w:val="002077D4"/>
    <w:rsid w:val="00207F33"/>
    <w:rsid w:val="00210DBE"/>
    <w:rsid w:val="00212942"/>
    <w:rsid w:val="00212DAE"/>
    <w:rsid w:val="00212EFE"/>
    <w:rsid w:val="00213E94"/>
    <w:rsid w:val="002146F9"/>
    <w:rsid w:val="00214FDA"/>
    <w:rsid w:val="00215B16"/>
    <w:rsid w:val="00222177"/>
    <w:rsid w:val="0022312D"/>
    <w:rsid w:val="00227361"/>
    <w:rsid w:val="00227422"/>
    <w:rsid w:val="00231DC6"/>
    <w:rsid w:val="00231E0B"/>
    <w:rsid w:val="0023491D"/>
    <w:rsid w:val="00236C7B"/>
    <w:rsid w:val="00237705"/>
    <w:rsid w:val="00237C7E"/>
    <w:rsid w:val="00241B09"/>
    <w:rsid w:val="00243136"/>
    <w:rsid w:val="00243C36"/>
    <w:rsid w:val="00244B9E"/>
    <w:rsid w:val="00246150"/>
    <w:rsid w:val="00247F6C"/>
    <w:rsid w:val="00252E43"/>
    <w:rsid w:val="00255A00"/>
    <w:rsid w:val="002569BA"/>
    <w:rsid w:val="00263331"/>
    <w:rsid w:val="00264654"/>
    <w:rsid w:val="00264EB9"/>
    <w:rsid w:val="00271FF0"/>
    <w:rsid w:val="00276215"/>
    <w:rsid w:val="002777DF"/>
    <w:rsid w:val="00277B08"/>
    <w:rsid w:val="0028116C"/>
    <w:rsid w:val="00281872"/>
    <w:rsid w:val="00281A2D"/>
    <w:rsid w:val="00282EA8"/>
    <w:rsid w:val="00283861"/>
    <w:rsid w:val="00283F32"/>
    <w:rsid w:val="00286D04"/>
    <w:rsid w:val="00292300"/>
    <w:rsid w:val="00295658"/>
    <w:rsid w:val="00295C8D"/>
    <w:rsid w:val="00297E1C"/>
    <w:rsid w:val="002A1213"/>
    <w:rsid w:val="002A1F30"/>
    <w:rsid w:val="002A265D"/>
    <w:rsid w:val="002A596C"/>
    <w:rsid w:val="002A6282"/>
    <w:rsid w:val="002B050D"/>
    <w:rsid w:val="002B1A8D"/>
    <w:rsid w:val="002B2052"/>
    <w:rsid w:val="002B2474"/>
    <w:rsid w:val="002B36B0"/>
    <w:rsid w:val="002B6DAA"/>
    <w:rsid w:val="002C1A3F"/>
    <w:rsid w:val="002C1C60"/>
    <w:rsid w:val="002C1FB3"/>
    <w:rsid w:val="002C2D51"/>
    <w:rsid w:val="002C41EB"/>
    <w:rsid w:val="002C421A"/>
    <w:rsid w:val="002D2C47"/>
    <w:rsid w:val="002D3066"/>
    <w:rsid w:val="002D33B7"/>
    <w:rsid w:val="002D75B4"/>
    <w:rsid w:val="002D7EB2"/>
    <w:rsid w:val="002E1CDC"/>
    <w:rsid w:val="002E2A0B"/>
    <w:rsid w:val="002E3ED7"/>
    <w:rsid w:val="002E7793"/>
    <w:rsid w:val="002F2156"/>
    <w:rsid w:val="002F39B5"/>
    <w:rsid w:val="002F3AB9"/>
    <w:rsid w:val="002F47FE"/>
    <w:rsid w:val="002F5F25"/>
    <w:rsid w:val="002F7656"/>
    <w:rsid w:val="0030039D"/>
    <w:rsid w:val="00302775"/>
    <w:rsid w:val="00304463"/>
    <w:rsid w:val="00306D4B"/>
    <w:rsid w:val="00307179"/>
    <w:rsid w:val="00307719"/>
    <w:rsid w:val="00312E6A"/>
    <w:rsid w:val="003144BC"/>
    <w:rsid w:val="003147D8"/>
    <w:rsid w:val="003155EB"/>
    <w:rsid w:val="003169E1"/>
    <w:rsid w:val="0031743A"/>
    <w:rsid w:val="00320384"/>
    <w:rsid w:val="00320B8C"/>
    <w:rsid w:val="00320C95"/>
    <w:rsid w:val="00321FD1"/>
    <w:rsid w:val="00322176"/>
    <w:rsid w:val="00322EC2"/>
    <w:rsid w:val="00323258"/>
    <w:rsid w:val="00324795"/>
    <w:rsid w:val="00324A36"/>
    <w:rsid w:val="003251ED"/>
    <w:rsid w:val="00326DEA"/>
    <w:rsid w:val="003304DB"/>
    <w:rsid w:val="00331E19"/>
    <w:rsid w:val="003327A7"/>
    <w:rsid w:val="00332B9B"/>
    <w:rsid w:val="00332E51"/>
    <w:rsid w:val="00333381"/>
    <w:rsid w:val="00333E0C"/>
    <w:rsid w:val="0034095A"/>
    <w:rsid w:val="003438E4"/>
    <w:rsid w:val="003442BA"/>
    <w:rsid w:val="0034430B"/>
    <w:rsid w:val="00346989"/>
    <w:rsid w:val="00346E7F"/>
    <w:rsid w:val="0034763D"/>
    <w:rsid w:val="00347887"/>
    <w:rsid w:val="0035253A"/>
    <w:rsid w:val="00352824"/>
    <w:rsid w:val="003536A2"/>
    <w:rsid w:val="00353FF8"/>
    <w:rsid w:val="00356C62"/>
    <w:rsid w:val="00361190"/>
    <w:rsid w:val="00361551"/>
    <w:rsid w:val="00362E79"/>
    <w:rsid w:val="00365DAA"/>
    <w:rsid w:val="00373787"/>
    <w:rsid w:val="00373BC6"/>
    <w:rsid w:val="00374EC5"/>
    <w:rsid w:val="00376AF0"/>
    <w:rsid w:val="00377131"/>
    <w:rsid w:val="00377A79"/>
    <w:rsid w:val="00377F10"/>
    <w:rsid w:val="00380B6B"/>
    <w:rsid w:val="00380CA4"/>
    <w:rsid w:val="0038154D"/>
    <w:rsid w:val="00383CBD"/>
    <w:rsid w:val="00384814"/>
    <w:rsid w:val="00385F82"/>
    <w:rsid w:val="00390AFA"/>
    <w:rsid w:val="003A1C1F"/>
    <w:rsid w:val="003A715B"/>
    <w:rsid w:val="003A736A"/>
    <w:rsid w:val="003B1877"/>
    <w:rsid w:val="003B722C"/>
    <w:rsid w:val="003C389F"/>
    <w:rsid w:val="003C6967"/>
    <w:rsid w:val="003C6B6D"/>
    <w:rsid w:val="003D15E5"/>
    <w:rsid w:val="003D299D"/>
    <w:rsid w:val="003D44C0"/>
    <w:rsid w:val="003D559B"/>
    <w:rsid w:val="003D7963"/>
    <w:rsid w:val="003E0057"/>
    <w:rsid w:val="003E1ECC"/>
    <w:rsid w:val="003E469A"/>
    <w:rsid w:val="003F14C2"/>
    <w:rsid w:val="003F4A72"/>
    <w:rsid w:val="003F5209"/>
    <w:rsid w:val="003F769F"/>
    <w:rsid w:val="003F7BF7"/>
    <w:rsid w:val="0040036B"/>
    <w:rsid w:val="00400798"/>
    <w:rsid w:val="004014BE"/>
    <w:rsid w:val="00403C4C"/>
    <w:rsid w:val="00403D97"/>
    <w:rsid w:val="00404FED"/>
    <w:rsid w:val="00406761"/>
    <w:rsid w:val="00407639"/>
    <w:rsid w:val="00410258"/>
    <w:rsid w:val="0041055B"/>
    <w:rsid w:val="00411182"/>
    <w:rsid w:val="00414190"/>
    <w:rsid w:val="00414B73"/>
    <w:rsid w:val="00421326"/>
    <w:rsid w:val="00421CB5"/>
    <w:rsid w:val="0042203D"/>
    <w:rsid w:val="00423588"/>
    <w:rsid w:val="004245FF"/>
    <w:rsid w:val="0042504D"/>
    <w:rsid w:val="00430442"/>
    <w:rsid w:val="0043364A"/>
    <w:rsid w:val="00434E7C"/>
    <w:rsid w:val="0043556F"/>
    <w:rsid w:val="004366F8"/>
    <w:rsid w:val="00436CD0"/>
    <w:rsid w:val="004406F0"/>
    <w:rsid w:val="00441CE1"/>
    <w:rsid w:val="00441D4B"/>
    <w:rsid w:val="004446EE"/>
    <w:rsid w:val="00445340"/>
    <w:rsid w:val="00447C14"/>
    <w:rsid w:val="00447E70"/>
    <w:rsid w:val="00447FF2"/>
    <w:rsid w:val="00452394"/>
    <w:rsid w:val="004523FF"/>
    <w:rsid w:val="00452F82"/>
    <w:rsid w:val="00453AA7"/>
    <w:rsid w:val="00453AB6"/>
    <w:rsid w:val="004579E1"/>
    <w:rsid w:val="0046041D"/>
    <w:rsid w:val="0046098D"/>
    <w:rsid w:val="00460A91"/>
    <w:rsid w:val="00465B47"/>
    <w:rsid w:val="00470DE4"/>
    <w:rsid w:val="004712F3"/>
    <w:rsid w:val="00472B42"/>
    <w:rsid w:val="00476364"/>
    <w:rsid w:val="004765F5"/>
    <w:rsid w:val="0047720B"/>
    <w:rsid w:val="004834E2"/>
    <w:rsid w:val="00484F17"/>
    <w:rsid w:val="00485AAF"/>
    <w:rsid w:val="0049063F"/>
    <w:rsid w:val="004921C5"/>
    <w:rsid w:val="00496912"/>
    <w:rsid w:val="004A2138"/>
    <w:rsid w:val="004A3E6C"/>
    <w:rsid w:val="004A4134"/>
    <w:rsid w:val="004A4E06"/>
    <w:rsid w:val="004A6D5F"/>
    <w:rsid w:val="004A7BD9"/>
    <w:rsid w:val="004A7E12"/>
    <w:rsid w:val="004B106C"/>
    <w:rsid w:val="004B13C0"/>
    <w:rsid w:val="004B295E"/>
    <w:rsid w:val="004B3607"/>
    <w:rsid w:val="004B44E0"/>
    <w:rsid w:val="004B4CD0"/>
    <w:rsid w:val="004B6BAA"/>
    <w:rsid w:val="004B79F4"/>
    <w:rsid w:val="004B7CA1"/>
    <w:rsid w:val="004C2E5B"/>
    <w:rsid w:val="004C4714"/>
    <w:rsid w:val="004C4D9B"/>
    <w:rsid w:val="004C5527"/>
    <w:rsid w:val="004C69E7"/>
    <w:rsid w:val="004C7695"/>
    <w:rsid w:val="004C7E4C"/>
    <w:rsid w:val="004D3BE1"/>
    <w:rsid w:val="004D67EA"/>
    <w:rsid w:val="004E022F"/>
    <w:rsid w:val="004E0C4F"/>
    <w:rsid w:val="004E1E29"/>
    <w:rsid w:val="004E2DA5"/>
    <w:rsid w:val="004E5158"/>
    <w:rsid w:val="004E651B"/>
    <w:rsid w:val="004E704E"/>
    <w:rsid w:val="004F0ED1"/>
    <w:rsid w:val="004F2116"/>
    <w:rsid w:val="004F3AE5"/>
    <w:rsid w:val="004F41B9"/>
    <w:rsid w:val="004F5C92"/>
    <w:rsid w:val="004F5F02"/>
    <w:rsid w:val="004F6B57"/>
    <w:rsid w:val="004F7B14"/>
    <w:rsid w:val="00500BE2"/>
    <w:rsid w:val="005013EE"/>
    <w:rsid w:val="00503825"/>
    <w:rsid w:val="00504D01"/>
    <w:rsid w:val="00505641"/>
    <w:rsid w:val="0050794A"/>
    <w:rsid w:val="00507B98"/>
    <w:rsid w:val="00510714"/>
    <w:rsid w:val="00511218"/>
    <w:rsid w:val="00511FE4"/>
    <w:rsid w:val="00513427"/>
    <w:rsid w:val="00514027"/>
    <w:rsid w:val="00515749"/>
    <w:rsid w:val="00520672"/>
    <w:rsid w:val="00520A2D"/>
    <w:rsid w:val="00521E91"/>
    <w:rsid w:val="0052205F"/>
    <w:rsid w:val="00522368"/>
    <w:rsid w:val="00522C24"/>
    <w:rsid w:val="00523BB8"/>
    <w:rsid w:val="00523CAA"/>
    <w:rsid w:val="00525A02"/>
    <w:rsid w:val="00526003"/>
    <w:rsid w:val="0052677E"/>
    <w:rsid w:val="005274F6"/>
    <w:rsid w:val="005275EB"/>
    <w:rsid w:val="00527740"/>
    <w:rsid w:val="0053000A"/>
    <w:rsid w:val="00533522"/>
    <w:rsid w:val="00533E78"/>
    <w:rsid w:val="0053586D"/>
    <w:rsid w:val="0054062C"/>
    <w:rsid w:val="00542A7F"/>
    <w:rsid w:val="00544D8C"/>
    <w:rsid w:val="00547D16"/>
    <w:rsid w:val="005530C3"/>
    <w:rsid w:val="00554D11"/>
    <w:rsid w:val="005554CC"/>
    <w:rsid w:val="00562006"/>
    <w:rsid w:val="00562ADA"/>
    <w:rsid w:val="005647D7"/>
    <w:rsid w:val="00564976"/>
    <w:rsid w:val="005669DB"/>
    <w:rsid w:val="00571532"/>
    <w:rsid w:val="005724F7"/>
    <w:rsid w:val="0057260C"/>
    <w:rsid w:val="005753BA"/>
    <w:rsid w:val="00576528"/>
    <w:rsid w:val="00580AF4"/>
    <w:rsid w:val="005825EB"/>
    <w:rsid w:val="005841EF"/>
    <w:rsid w:val="00584C27"/>
    <w:rsid w:val="00585138"/>
    <w:rsid w:val="00585599"/>
    <w:rsid w:val="00587557"/>
    <w:rsid w:val="00587DCA"/>
    <w:rsid w:val="0059030B"/>
    <w:rsid w:val="00590C46"/>
    <w:rsid w:val="00597DB1"/>
    <w:rsid w:val="005A0280"/>
    <w:rsid w:val="005A03D8"/>
    <w:rsid w:val="005A059D"/>
    <w:rsid w:val="005A2BA2"/>
    <w:rsid w:val="005A4B30"/>
    <w:rsid w:val="005A52E3"/>
    <w:rsid w:val="005A73FC"/>
    <w:rsid w:val="005B13C5"/>
    <w:rsid w:val="005B2105"/>
    <w:rsid w:val="005B2D21"/>
    <w:rsid w:val="005B3A57"/>
    <w:rsid w:val="005B7BED"/>
    <w:rsid w:val="005C11B9"/>
    <w:rsid w:val="005C2BF1"/>
    <w:rsid w:val="005C3C2E"/>
    <w:rsid w:val="005C5E89"/>
    <w:rsid w:val="005C71F6"/>
    <w:rsid w:val="005C7253"/>
    <w:rsid w:val="005C7C8F"/>
    <w:rsid w:val="005D0A92"/>
    <w:rsid w:val="005D273A"/>
    <w:rsid w:val="005D4D76"/>
    <w:rsid w:val="005E29DF"/>
    <w:rsid w:val="005E3302"/>
    <w:rsid w:val="005E6CE7"/>
    <w:rsid w:val="005E7BC1"/>
    <w:rsid w:val="005F028C"/>
    <w:rsid w:val="005F0501"/>
    <w:rsid w:val="005F1BC2"/>
    <w:rsid w:val="005F24A8"/>
    <w:rsid w:val="005F51A2"/>
    <w:rsid w:val="0060046F"/>
    <w:rsid w:val="00601BEB"/>
    <w:rsid w:val="00602AEC"/>
    <w:rsid w:val="0060303C"/>
    <w:rsid w:val="0060337F"/>
    <w:rsid w:val="00603546"/>
    <w:rsid w:val="00607B10"/>
    <w:rsid w:val="00613F23"/>
    <w:rsid w:val="006142D0"/>
    <w:rsid w:val="00614D5F"/>
    <w:rsid w:val="00622267"/>
    <w:rsid w:val="00622BC9"/>
    <w:rsid w:val="00624DE4"/>
    <w:rsid w:val="006251BA"/>
    <w:rsid w:val="00627E51"/>
    <w:rsid w:val="00632DE3"/>
    <w:rsid w:val="006332E4"/>
    <w:rsid w:val="00634B12"/>
    <w:rsid w:val="00635BF0"/>
    <w:rsid w:val="00640624"/>
    <w:rsid w:val="006408D1"/>
    <w:rsid w:val="006413FC"/>
    <w:rsid w:val="006448F3"/>
    <w:rsid w:val="0064618E"/>
    <w:rsid w:val="00655A82"/>
    <w:rsid w:val="00656FED"/>
    <w:rsid w:val="0066140D"/>
    <w:rsid w:val="0066156E"/>
    <w:rsid w:val="00661869"/>
    <w:rsid w:val="00662039"/>
    <w:rsid w:val="00662182"/>
    <w:rsid w:val="00670426"/>
    <w:rsid w:val="0067104A"/>
    <w:rsid w:val="00672FD7"/>
    <w:rsid w:val="00674163"/>
    <w:rsid w:val="0067416C"/>
    <w:rsid w:val="00674D92"/>
    <w:rsid w:val="00675385"/>
    <w:rsid w:val="00680C4B"/>
    <w:rsid w:val="00686A2C"/>
    <w:rsid w:val="00687228"/>
    <w:rsid w:val="0069073C"/>
    <w:rsid w:val="006912E2"/>
    <w:rsid w:val="0069140E"/>
    <w:rsid w:val="00692AD2"/>
    <w:rsid w:val="00694EC4"/>
    <w:rsid w:val="006A2B02"/>
    <w:rsid w:val="006A789D"/>
    <w:rsid w:val="006B0DA0"/>
    <w:rsid w:val="006B0E58"/>
    <w:rsid w:val="006B3552"/>
    <w:rsid w:val="006B3AD7"/>
    <w:rsid w:val="006B3AE0"/>
    <w:rsid w:val="006B3D41"/>
    <w:rsid w:val="006B51A8"/>
    <w:rsid w:val="006B560E"/>
    <w:rsid w:val="006B5ED9"/>
    <w:rsid w:val="006B6377"/>
    <w:rsid w:val="006B651A"/>
    <w:rsid w:val="006B6FFC"/>
    <w:rsid w:val="006C1927"/>
    <w:rsid w:val="006C3ADB"/>
    <w:rsid w:val="006C3E32"/>
    <w:rsid w:val="006C4648"/>
    <w:rsid w:val="006C4BC0"/>
    <w:rsid w:val="006C59ED"/>
    <w:rsid w:val="006C63CA"/>
    <w:rsid w:val="006C7700"/>
    <w:rsid w:val="006C7FB7"/>
    <w:rsid w:val="006D3E0E"/>
    <w:rsid w:val="006D4A0A"/>
    <w:rsid w:val="006D59A1"/>
    <w:rsid w:val="006E0707"/>
    <w:rsid w:val="006E0C7E"/>
    <w:rsid w:val="006E1578"/>
    <w:rsid w:val="006E31E1"/>
    <w:rsid w:val="006E43C9"/>
    <w:rsid w:val="006E7FD6"/>
    <w:rsid w:val="006F4609"/>
    <w:rsid w:val="006F54F8"/>
    <w:rsid w:val="006F6854"/>
    <w:rsid w:val="006F6BE2"/>
    <w:rsid w:val="0070202D"/>
    <w:rsid w:val="007024A8"/>
    <w:rsid w:val="007031B4"/>
    <w:rsid w:val="0070436B"/>
    <w:rsid w:val="007045A3"/>
    <w:rsid w:val="00704D40"/>
    <w:rsid w:val="00704FBC"/>
    <w:rsid w:val="00705C97"/>
    <w:rsid w:val="00706BE6"/>
    <w:rsid w:val="00706F2A"/>
    <w:rsid w:val="0071006C"/>
    <w:rsid w:val="00710701"/>
    <w:rsid w:val="00714AB9"/>
    <w:rsid w:val="00715B8A"/>
    <w:rsid w:val="0071692F"/>
    <w:rsid w:val="0072277D"/>
    <w:rsid w:val="007227BE"/>
    <w:rsid w:val="00723C1F"/>
    <w:rsid w:val="0073040B"/>
    <w:rsid w:val="00730B1E"/>
    <w:rsid w:val="00734CD1"/>
    <w:rsid w:val="00735E4D"/>
    <w:rsid w:val="007372E2"/>
    <w:rsid w:val="007401A8"/>
    <w:rsid w:val="0074171B"/>
    <w:rsid w:val="00741F92"/>
    <w:rsid w:val="007433E5"/>
    <w:rsid w:val="007501F0"/>
    <w:rsid w:val="00756E9A"/>
    <w:rsid w:val="00756EA0"/>
    <w:rsid w:val="0075717F"/>
    <w:rsid w:val="00757C22"/>
    <w:rsid w:val="00760540"/>
    <w:rsid w:val="007618B7"/>
    <w:rsid w:val="0076334D"/>
    <w:rsid w:val="00764076"/>
    <w:rsid w:val="00766D01"/>
    <w:rsid w:val="00771F90"/>
    <w:rsid w:val="00772E05"/>
    <w:rsid w:val="0077364E"/>
    <w:rsid w:val="00776864"/>
    <w:rsid w:val="00776D46"/>
    <w:rsid w:val="00780EBF"/>
    <w:rsid w:val="00781660"/>
    <w:rsid w:val="00781C23"/>
    <w:rsid w:val="0078560C"/>
    <w:rsid w:val="00791B8E"/>
    <w:rsid w:val="00791F79"/>
    <w:rsid w:val="00793E94"/>
    <w:rsid w:val="007974BA"/>
    <w:rsid w:val="007A1C89"/>
    <w:rsid w:val="007A2471"/>
    <w:rsid w:val="007A5D74"/>
    <w:rsid w:val="007A60C1"/>
    <w:rsid w:val="007B48A8"/>
    <w:rsid w:val="007C25EF"/>
    <w:rsid w:val="007C2B9B"/>
    <w:rsid w:val="007C311F"/>
    <w:rsid w:val="007C32BB"/>
    <w:rsid w:val="007C5765"/>
    <w:rsid w:val="007C6FBE"/>
    <w:rsid w:val="007D4832"/>
    <w:rsid w:val="007D6AC1"/>
    <w:rsid w:val="007E0104"/>
    <w:rsid w:val="007E091F"/>
    <w:rsid w:val="007E2726"/>
    <w:rsid w:val="007E2B7E"/>
    <w:rsid w:val="007E5875"/>
    <w:rsid w:val="007F0C7D"/>
    <w:rsid w:val="007F48FF"/>
    <w:rsid w:val="007F58BB"/>
    <w:rsid w:val="007F6000"/>
    <w:rsid w:val="007F6F57"/>
    <w:rsid w:val="008001E5"/>
    <w:rsid w:val="00800C93"/>
    <w:rsid w:val="00801A4A"/>
    <w:rsid w:val="0080416A"/>
    <w:rsid w:val="00810A6F"/>
    <w:rsid w:val="00814070"/>
    <w:rsid w:val="00814867"/>
    <w:rsid w:val="00816AC2"/>
    <w:rsid w:val="00816CFA"/>
    <w:rsid w:val="00817070"/>
    <w:rsid w:val="00821EFF"/>
    <w:rsid w:val="0082292F"/>
    <w:rsid w:val="00823763"/>
    <w:rsid w:val="00823CBF"/>
    <w:rsid w:val="0082525F"/>
    <w:rsid w:val="008257B1"/>
    <w:rsid w:val="0082724C"/>
    <w:rsid w:val="0082776F"/>
    <w:rsid w:val="00827BAF"/>
    <w:rsid w:val="00830723"/>
    <w:rsid w:val="008313C3"/>
    <w:rsid w:val="008328B0"/>
    <w:rsid w:val="00833DFD"/>
    <w:rsid w:val="008358E3"/>
    <w:rsid w:val="00835BB1"/>
    <w:rsid w:val="00836C00"/>
    <w:rsid w:val="00840ADF"/>
    <w:rsid w:val="00844D81"/>
    <w:rsid w:val="00845071"/>
    <w:rsid w:val="008467F5"/>
    <w:rsid w:val="00846E40"/>
    <w:rsid w:val="008501DB"/>
    <w:rsid w:val="008510FF"/>
    <w:rsid w:val="008516B9"/>
    <w:rsid w:val="00855E92"/>
    <w:rsid w:val="0085641E"/>
    <w:rsid w:val="0085690C"/>
    <w:rsid w:val="00856A7D"/>
    <w:rsid w:val="00856D24"/>
    <w:rsid w:val="00856F48"/>
    <w:rsid w:val="008625C8"/>
    <w:rsid w:val="00862BF6"/>
    <w:rsid w:val="0086390E"/>
    <w:rsid w:val="00863BD2"/>
    <w:rsid w:val="00864609"/>
    <w:rsid w:val="00866011"/>
    <w:rsid w:val="008673C4"/>
    <w:rsid w:val="00871BC7"/>
    <w:rsid w:val="008747FF"/>
    <w:rsid w:val="00875846"/>
    <w:rsid w:val="0088187F"/>
    <w:rsid w:val="008841BB"/>
    <w:rsid w:val="00885A10"/>
    <w:rsid w:val="00886F43"/>
    <w:rsid w:val="00887280"/>
    <w:rsid w:val="00890006"/>
    <w:rsid w:val="008926B7"/>
    <w:rsid w:val="008928B0"/>
    <w:rsid w:val="00892ABB"/>
    <w:rsid w:val="00895EA2"/>
    <w:rsid w:val="008A4ECF"/>
    <w:rsid w:val="008A557D"/>
    <w:rsid w:val="008A6441"/>
    <w:rsid w:val="008B026D"/>
    <w:rsid w:val="008B244A"/>
    <w:rsid w:val="008B3D0F"/>
    <w:rsid w:val="008B43AE"/>
    <w:rsid w:val="008B45F3"/>
    <w:rsid w:val="008B5CC0"/>
    <w:rsid w:val="008B773E"/>
    <w:rsid w:val="008C13C3"/>
    <w:rsid w:val="008C30B3"/>
    <w:rsid w:val="008C423A"/>
    <w:rsid w:val="008D0AF2"/>
    <w:rsid w:val="008D51A5"/>
    <w:rsid w:val="008E40C4"/>
    <w:rsid w:val="008E7B51"/>
    <w:rsid w:val="008F0B39"/>
    <w:rsid w:val="008F23EF"/>
    <w:rsid w:val="008F242F"/>
    <w:rsid w:val="00912EFD"/>
    <w:rsid w:val="009166BB"/>
    <w:rsid w:val="009200F6"/>
    <w:rsid w:val="00926993"/>
    <w:rsid w:val="009276E6"/>
    <w:rsid w:val="00932A94"/>
    <w:rsid w:val="009330B6"/>
    <w:rsid w:val="00934007"/>
    <w:rsid w:val="0093437C"/>
    <w:rsid w:val="009352D0"/>
    <w:rsid w:val="0093667B"/>
    <w:rsid w:val="00942205"/>
    <w:rsid w:val="00942809"/>
    <w:rsid w:val="009432B0"/>
    <w:rsid w:val="00943A4C"/>
    <w:rsid w:val="00946143"/>
    <w:rsid w:val="009466B5"/>
    <w:rsid w:val="00946C56"/>
    <w:rsid w:val="00950CDE"/>
    <w:rsid w:val="009542F1"/>
    <w:rsid w:val="0095536C"/>
    <w:rsid w:val="00955C30"/>
    <w:rsid w:val="00956074"/>
    <w:rsid w:val="00956800"/>
    <w:rsid w:val="0095768E"/>
    <w:rsid w:val="00960158"/>
    <w:rsid w:val="009607D6"/>
    <w:rsid w:val="00961936"/>
    <w:rsid w:val="0096367D"/>
    <w:rsid w:val="00963DC8"/>
    <w:rsid w:val="0096526A"/>
    <w:rsid w:val="00971013"/>
    <w:rsid w:val="009753F7"/>
    <w:rsid w:val="0097569F"/>
    <w:rsid w:val="00975E05"/>
    <w:rsid w:val="0097712F"/>
    <w:rsid w:val="00982135"/>
    <w:rsid w:val="00983EA5"/>
    <w:rsid w:val="009854A9"/>
    <w:rsid w:val="00985E63"/>
    <w:rsid w:val="009868AB"/>
    <w:rsid w:val="009914FD"/>
    <w:rsid w:val="00991BE5"/>
    <w:rsid w:val="009939C6"/>
    <w:rsid w:val="009941BD"/>
    <w:rsid w:val="00994BF1"/>
    <w:rsid w:val="00994DB6"/>
    <w:rsid w:val="009963A3"/>
    <w:rsid w:val="00996E2B"/>
    <w:rsid w:val="009A055E"/>
    <w:rsid w:val="009A0DEE"/>
    <w:rsid w:val="009A12D2"/>
    <w:rsid w:val="009A180F"/>
    <w:rsid w:val="009A2C50"/>
    <w:rsid w:val="009A7620"/>
    <w:rsid w:val="009B0E46"/>
    <w:rsid w:val="009B2703"/>
    <w:rsid w:val="009B367A"/>
    <w:rsid w:val="009B4355"/>
    <w:rsid w:val="009B5D8E"/>
    <w:rsid w:val="009B5EC7"/>
    <w:rsid w:val="009B6EF5"/>
    <w:rsid w:val="009C10A6"/>
    <w:rsid w:val="009C1E24"/>
    <w:rsid w:val="009C1FFD"/>
    <w:rsid w:val="009C2970"/>
    <w:rsid w:val="009C3CC2"/>
    <w:rsid w:val="009C3F4D"/>
    <w:rsid w:val="009C4563"/>
    <w:rsid w:val="009C5A59"/>
    <w:rsid w:val="009C6E32"/>
    <w:rsid w:val="009D0AC9"/>
    <w:rsid w:val="009D0B76"/>
    <w:rsid w:val="009D3B0C"/>
    <w:rsid w:val="009D4C65"/>
    <w:rsid w:val="009D5067"/>
    <w:rsid w:val="009D52FA"/>
    <w:rsid w:val="009D69D3"/>
    <w:rsid w:val="009D6A1E"/>
    <w:rsid w:val="009D7570"/>
    <w:rsid w:val="009E254C"/>
    <w:rsid w:val="009E2A6D"/>
    <w:rsid w:val="009E70AE"/>
    <w:rsid w:val="009E7FC2"/>
    <w:rsid w:val="009F3D63"/>
    <w:rsid w:val="009F55E4"/>
    <w:rsid w:val="009F6368"/>
    <w:rsid w:val="00A007D4"/>
    <w:rsid w:val="00A034BE"/>
    <w:rsid w:val="00A03A55"/>
    <w:rsid w:val="00A04B3C"/>
    <w:rsid w:val="00A062E0"/>
    <w:rsid w:val="00A07017"/>
    <w:rsid w:val="00A1127F"/>
    <w:rsid w:val="00A11FF0"/>
    <w:rsid w:val="00A1352C"/>
    <w:rsid w:val="00A136CA"/>
    <w:rsid w:val="00A16526"/>
    <w:rsid w:val="00A1687C"/>
    <w:rsid w:val="00A2053C"/>
    <w:rsid w:val="00A22E3A"/>
    <w:rsid w:val="00A2412B"/>
    <w:rsid w:val="00A277CD"/>
    <w:rsid w:val="00A30440"/>
    <w:rsid w:val="00A32848"/>
    <w:rsid w:val="00A333A5"/>
    <w:rsid w:val="00A338B4"/>
    <w:rsid w:val="00A371F5"/>
    <w:rsid w:val="00A4115A"/>
    <w:rsid w:val="00A41490"/>
    <w:rsid w:val="00A42868"/>
    <w:rsid w:val="00A43E7B"/>
    <w:rsid w:val="00A45F3F"/>
    <w:rsid w:val="00A5170D"/>
    <w:rsid w:val="00A51DFE"/>
    <w:rsid w:val="00A53FD8"/>
    <w:rsid w:val="00A54230"/>
    <w:rsid w:val="00A556CA"/>
    <w:rsid w:val="00A574EB"/>
    <w:rsid w:val="00A62F85"/>
    <w:rsid w:val="00A65588"/>
    <w:rsid w:val="00A66514"/>
    <w:rsid w:val="00A66571"/>
    <w:rsid w:val="00A66628"/>
    <w:rsid w:val="00A675FD"/>
    <w:rsid w:val="00A72288"/>
    <w:rsid w:val="00A72B66"/>
    <w:rsid w:val="00A80CEA"/>
    <w:rsid w:val="00A82085"/>
    <w:rsid w:val="00A83806"/>
    <w:rsid w:val="00A8600C"/>
    <w:rsid w:val="00A86882"/>
    <w:rsid w:val="00A86940"/>
    <w:rsid w:val="00A86BAD"/>
    <w:rsid w:val="00A87B86"/>
    <w:rsid w:val="00A91443"/>
    <w:rsid w:val="00A918E1"/>
    <w:rsid w:val="00A922DA"/>
    <w:rsid w:val="00A93F68"/>
    <w:rsid w:val="00A96EFD"/>
    <w:rsid w:val="00A97008"/>
    <w:rsid w:val="00A97415"/>
    <w:rsid w:val="00A97C88"/>
    <w:rsid w:val="00AA2894"/>
    <w:rsid w:val="00AA40D4"/>
    <w:rsid w:val="00AB0528"/>
    <w:rsid w:val="00AB0B43"/>
    <w:rsid w:val="00AB1D87"/>
    <w:rsid w:val="00AC0D0C"/>
    <w:rsid w:val="00AC0E6A"/>
    <w:rsid w:val="00AC269B"/>
    <w:rsid w:val="00AC31D2"/>
    <w:rsid w:val="00AC35CB"/>
    <w:rsid w:val="00AC4288"/>
    <w:rsid w:val="00AC470B"/>
    <w:rsid w:val="00AC59D9"/>
    <w:rsid w:val="00AC60F7"/>
    <w:rsid w:val="00AC6493"/>
    <w:rsid w:val="00AC68B9"/>
    <w:rsid w:val="00AC6AE6"/>
    <w:rsid w:val="00AD2A8F"/>
    <w:rsid w:val="00AE16E3"/>
    <w:rsid w:val="00AE1EA6"/>
    <w:rsid w:val="00AE2B3B"/>
    <w:rsid w:val="00AE3E0B"/>
    <w:rsid w:val="00AE3F12"/>
    <w:rsid w:val="00AE45BD"/>
    <w:rsid w:val="00AE4BAB"/>
    <w:rsid w:val="00AE6032"/>
    <w:rsid w:val="00AE6A54"/>
    <w:rsid w:val="00AF020A"/>
    <w:rsid w:val="00AF0637"/>
    <w:rsid w:val="00AF1235"/>
    <w:rsid w:val="00AF1F51"/>
    <w:rsid w:val="00AF4B86"/>
    <w:rsid w:val="00AF68A9"/>
    <w:rsid w:val="00AF757F"/>
    <w:rsid w:val="00AF7C14"/>
    <w:rsid w:val="00B00C80"/>
    <w:rsid w:val="00B00D87"/>
    <w:rsid w:val="00B01FB6"/>
    <w:rsid w:val="00B03C3D"/>
    <w:rsid w:val="00B04134"/>
    <w:rsid w:val="00B04F64"/>
    <w:rsid w:val="00B06D07"/>
    <w:rsid w:val="00B0743A"/>
    <w:rsid w:val="00B12B81"/>
    <w:rsid w:val="00B141E8"/>
    <w:rsid w:val="00B155A2"/>
    <w:rsid w:val="00B24B4A"/>
    <w:rsid w:val="00B25A1E"/>
    <w:rsid w:val="00B3198D"/>
    <w:rsid w:val="00B32114"/>
    <w:rsid w:val="00B32DA7"/>
    <w:rsid w:val="00B346AF"/>
    <w:rsid w:val="00B353B8"/>
    <w:rsid w:val="00B35CA1"/>
    <w:rsid w:val="00B4226D"/>
    <w:rsid w:val="00B447D1"/>
    <w:rsid w:val="00B4623F"/>
    <w:rsid w:val="00B463C9"/>
    <w:rsid w:val="00B47A9B"/>
    <w:rsid w:val="00B5038E"/>
    <w:rsid w:val="00B50EBF"/>
    <w:rsid w:val="00B5253E"/>
    <w:rsid w:val="00B52928"/>
    <w:rsid w:val="00B53355"/>
    <w:rsid w:val="00B53D83"/>
    <w:rsid w:val="00B56AD3"/>
    <w:rsid w:val="00B6007A"/>
    <w:rsid w:val="00B6161A"/>
    <w:rsid w:val="00B64F5E"/>
    <w:rsid w:val="00B65893"/>
    <w:rsid w:val="00B80080"/>
    <w:rsid w:val="00B8109F"/>
    <w:rsid w:val="00B818F4"/>
    <w:rsid w:val="00B81B89"/>
    <w:rsid w:val="00B83BB6"/>
    <w:rsid w:val="00B924E0"/>
    <w:rsid w:val="00B9601F"/>
    <w:rsid w:val="00BA03F6"/>
    <w:rsid w:val="00BA0A40"/>
    <w:rsid w:val="00BA20AE"/>
    <w:rsid w:val="00BA3111"/>
    <w:rsid w:val="00BB0968"/>
    <w:rsid w:val="00BB0ED5"/>
    <w:rsid w:val="00BB143E"/>
    <w:rsid w:val="00BB17A9"/>
    <w:rsid w:val="00BB1A7C"/>
    <w:rsid w:val="00BB33E5"/>
    <w:rsid w:val="00BB3A68"/>
    <w:rsid w:val="00BB4876"/>
    <w:rsid w:val="00BB6049"/>
    <w:rsid w:val="00BB7E88"/>
    <w:rsid w:val="00BC1BEF"/>
    <w:rsid w:val="00BD02E8"/>
    <w:rsid w:val="00BD346A"/>
    <w:rsid w:val="00BD3689"/>
    <w:rsid w:val="00BD4717"/>
    <w:rsid w:val="00BD4BAE"/>
    <w:rsid w:val="00BD6231"/>
    <w:rsid w:val="00BE20FB"/>
    <w:rsid w:val="00BE5FE3"/>
    <w:rsid w:val="00BE6254"/>
    <w:rsid w:val="00BE6CE9"/>
    <w:rsid w:val="00BE7410"/>
    <w:rsid w:val="00BF3739"/>
    <w:rsid w:val="00BF409C"/>
    <w:rsid w:val="00BF7DD2"/>
    <w:rsid w:val="00C002E3"/>
    <w:rsid w:val="00C00C3D"/>
    <w:rsid w:val="00C023D4"/>
    <w:rsid w:val="00C0551B"/>
    <w:rsid w:val="00C06F89"/>
    <w:rsid w:val="00C0720E"/>
    <w:rsid w:val="00C0776D"/>
    <w:rsid w:val="00C10C16"/>
    <w:rsid w:val="00C1317C"/>
    <w:rsid w:val="00C139D7"/>
    <w:rsid w:val="00C15B3B"/>
    <w:rsid w:val="00C15C80"/>
    <w:rsid w:val="00C15FD8"/>
    <w:rsid w:val="00C17CBA"/>
    <w:rsid w:val="00C20231"/>
    <w:rsid w:val="00C20A69"/>
    <w:rsid w:val="00C21553"/>
    <w:rsid w:val="00C21981"/>
    <w:rsid w:val="00C23865"/>
    <w:rsid w:val="00C23AC9"/>
    <w:rsid w:val="00C24879"/>
    <w:rsid w:val="00C258D8"/>
    <w:rsid w:val="00C27027"/>
    <w:rsid w:val="00C272FB"/>
    <w:rsid w:val="00C33964"/>
    <w:rsid w:val="00C344EE"/>
    <w:rsid w:val="00C355EA"/>
    <w:rsid w:val="00C35A65"/>
    <w:rsid w:val="00C3665C"/>
    <w:rsid w:val="00C36F2F"/>
    <w:rsid w:val="00C41338"/>
    <w:rsid w:val="00C4498E"/>
    <w:rsid w:val="00C451D6"/>
    <w:rsid w:val="00C50025"/>
    <w:rsid w:val="00C51C8C"/>
    <w:rsid w:val="00C54188"/>
    <w:rsid w:val="00C54E7D"/>
    <w:rsid w:val="00C5699B"/>
    <w:rsid w:val="00C60ADD"/>
    <w:rsid w:val="00C634C0"/>
    <w:rsid w:val="00C6394F"/>
    <w:rsid w:val="00C646A4"/>
    <w:rsid w:val="00C648F8"/>
    <w:rsid w:val="00C6494E"/>
    <w:rsid w:val="00C66C4D"/>
    <w:rsid w:val="00C72344"/>
    <w:rsid w:val="00C748B3"/>
    <w:rsid w:val="00C748C6"/>
    <w:rsid w:val="00C77316"/>
    <w:rsid w:val="00C80012"/>
    <w:rsid w:val="00C80D19"/>
    <w:rsid w:val="00C8124F"/>
    <w:rsid w:val="00C815EC"/>
    <w:rsid w:val="00C82A42"/>
    <w:rsid w:val="00C83CB9"/>
    <w:rsid w:val="00C85383"/>
    <w:rsid w:val="00C85499"/>
    <w:rsid w:val="00C85795"/>
    <w:rsid w:val="00C87C73"/>
    <w:rsid w:val="00C91AFB"/>
    <w:rsid w:val="00C93792"/>
    <w:rsid w:val="00C96D8C"/>
    <w:rsid w:val="00CA0603"/>
    <w:rsid w:val="00CA4DD5"/>
    <w:rsid w:val="00CA5852"/>
    <w:rsid w:val="00CA5E61"/>
    <w:rsid w:val="00CA5E95"/>
    <w:rsid w:val="00CA68D9"/>
    <w:rsid w:val="00CA6E0A"/>
    <w:rsid w:val="00CA76CF"/>
    <w:rsid w:val="00CB0DBC"/>
    <w:rsid w:val="00CB1162"/>
    <w:rsid w:val="00CB2791"/>
    <w:rsid w:val="00CB2EA7"/>
    <w:rsid w:val="00CC055D"/>
    <w:rsid w:val="00CC27AB"/>
    <w:rsid w:val="00CC2F41"/>
    <w:rsid w:val="00CC3824"/>
    <w:rsid w:val="00CC5320"/>
    <w:rsid w:val="00CC58C8"/>
    <w:rsid w:val="00CC5E1A"/>
    <w:rsid w:val="00CC7D8C"/>
    <w:rsid w:val="00CD3752"/>
    <w:rsid w:val="00CD3814"/>
    <w:rsid w:val="00CD3E12"/>
    <w:rsid w:val="00CD454F"/>
    <w:rsid w:val="00CD5D32"/>
    <w:rsid w:val="00CD620A"/>
    <w:rsid w:val="00CE1015"/>
    <w:rsid w:val="00CE10A8"/>
    <w:rsid w:val="00CE39AB"/>
    <w:rsid w:val="00CE6262"/>
    <w:rsid w:val="00CE7253"/>
    <w:rsid w:val="00CE74DE"/>
    <w:rsid w:val="00CE7628"/>
    <w:rsid w:val="00CF11BE"/>
    <w:rsid w:val="00CF1C96"/>
    <w:rsid w:val="00CF3F53"/>
    <w:rsid w:val="00CF7F10"/>
    <w:rsid w:val="00D01C0F"/>
    <w:rsid w:val="00D026BA"/>
    <w:rsid w:val="00D02FF3"/>
    <w:rsid w:val="00D0692F"/>
    <w:rsid w:val="00D07465"/>
    <w:rsid w:val="00D11FFF"/>
    <w:rsid w:val="00D15133"/>
    <w:rsid w:val="00D156DF"/>
    <w:rsid w:val="00D159DE"/>
    <w:rsid w:val="00D21FEA"/>
    <w:rsid w:val="00D2261A"/>
    <w:rsid w:val="00D2430A"/>
    <w:rsid w:val="00D243AC"/>
    <w:rsid w:val="00D2590E"/>
    <w:rsid w:val="00D268A5"/>
    <w:rsid w:val="00D26AB5"/>
    <w:rsid w:val="00D30115"/>
    <w:rsid w:val="00D32EF0"/>
    <w:rsid w:val="00D33BE9"/>
    <w:rsid w:val="00D354BF"/>
    <w:rsid w:val="00D367BF"/>
    <w:rsid w:val="00D36B54"/>
    <w:rsid w:val="00D378A1"/>
    <w:rsid w:val="00D41A8A"/>
    <w:rsid w:val="00D44074"/>
    <w:rsid w:val="00D440D7"/>
    <w:rsid w:val="00D443B7"/>
    <w:rsid w:val="00D45D84"/>
    <w:rsid w:val="00D45FA7"/>
    <w:rsid w:val="00D47959"/>
    <w:rsid w:val="00D50699"/>
    <w:rsid w:val="00D553B1"/>
    <w:rsid w:val="00D555F1"/>
    <w:rsid w:val="00D57F39"/>
    <w:rsid w:val="00D60D7A"/>
    <w:rsid w:val="00D6235B"/>
    <w:rsid w:val="00D62449"/>
    <w:rsid w:val="00D6339C"/>
    <w:rsid w:val="00D63DE9"/>
    <w:rsid w:val="00D66627"/>
    <w:rsid w:val="00D678C6"/>
    <w:rsid w:val="00D67DD6"/>
    <w:rsid w:val="00D70689"/>
    <w:rsid w:val="00D70A96"/>
    <w:rsid w:val="00D74726"/>
    <w:rsid w:val="00D76878"/>
    <w:rsid w:val="00D7697B"/>
    <w:rsid w:val="00D77215"/>
    <w:rsid w:val="00D84A6B"/>
    <w:rsid w:val="00D85244"/>
    <w:rsid w:val="00D873CA"/>
    <w:rsid w:val="00D90CD1"/>
    <w:rsid w:val="00D919EA"/>
    <w:rsid w:val="00D927A2"/>
    <w:rsid w:val="00D92A8F"/>
    <w:rsid w:val="00D93251"/>
    <w:rsid w:val="00D94D39"/>
    <w:rsid w:val="00D95FDF"/>
    <w:rsid w:val="00D969A7"/>
    <w:rsid w:val="00D974D8"/>
    <w:rsid w:val="00DA3A91"/>
    <w:rsid w:val="00DA3D1E"/>
    <w:rsid w:val="00DA482C"/>
    <w:rsid w:val="00DA4DAE"/>
    <w:rsid w:val="00DA5FD0"/>
    <w:rsid w:val="00DA63B3"/>
    <w:rsid w:val="00DA6C37"/>
    <w:rsid w:val="00DA7B3D"/>
    <w:rsid w:val="00DB53CD"/>
    <w:rsid w:val="00DB569A"/>
    <w:rsid w:val="00DC173F"/>
    <w:rsid w:val="00DC33C1"/>
    <w:rsid w:val="00DC4A83"/>
    <w:rsid w:val="00DC60FB"/>
    <w:rsid w:val="00DC7B36"/>
    <w:rsid w:val="00DD2D21"/>
    <w:rsid w:val="00DD4AAD"/>
    <w:rsid w:val="00DD61A7"/>
    <w:rsid w:val="00DD737B"/>
    <w:rsid w:val="00DE1EA5"/>
    <w:rsid w:val="00DE3503"/>
    <w:rsid w:val="00DE5E62"/>
    <w:rsid w:val="00DE68BA"/>
    <w:rsid w:val="00DE738F"/>
    <w:rsid w:val="00DE7D94"/>
    <w:rsid w:val="00DE7FDC"/>
    <w:rsid w:val="00DF2144"/>
    <w:rsid w:val="00DF26A0"/>
    <w:rsid w:val="00DF404E"/>
    <w:rsid w:val="00DF4FE8"/>
    <w:rsid w:val="00DF60C4"/>
    <w:rsid w:val="00DF66A3"/>
    <w:rsid w:val="00DF688D"/>
    <w:rsid w:val="00E00871"/>
    <w:rsid w:val="00E01930"/>
    <w:rsid w:val="00E01F8E"/>
    <w:rsid w:val="00E02894"/>
    <w:rsid w:val="00E044C3"/>
    <w:rsid w:val="00E0681B"/>
    <w:rsid w:val="00E10F1D"/>
    <w:rsid w:val="00E11E68"/>
    <w:rsid w:val="00E12216"/>
    <w:rsid w:val="00E14CAF"/>
    <w:rsid w:val="00E15923"/>
    <w:rsid w:val="00E15D83"/>
    <w:rsid w:val="00E162A8"/>
    <w:rsid w:val="00E1654E"/>
    <w:rsid w:val="00E166D1"/>
    <w:rsid w:val="00E17E2B"/>
    <w:rsid w:val="00E23047"/>
    <w:rsid w:val="00E23644"/>
    <w:rsid w:val="00E24C13"/>
    <w:rsid w:val="00E2740A"/>
    <w:rsid w:val="00E27F56"/>
    <w:rsid w:val="00E302D4"/>
    <w:rsid w:val="00E302E8"/>
    <w:rsid w:val="00E31AD1"/>
    <w:rsid w:val="00E36112"/>
    <w:rsid w:val="00E3654E"/>
    <w:rsid w:val="00E41382"/>
    <w:rsid w:val="00E439FF"/>
    <w:rsid w:val="00E45590"/>
    <w:rsid w:val="00E45649"/>
    <w:rsid w:val="00E50438"/>
    <w:rsid w:val="00E519E8"/>
    <w:rsid w:val="00E52034"/>
    <w:rsid w:val="00E53EB6"/>
    <w:rsid w:val="00E56781"/>
    <w:rsid w:val="00E601B5"/>
    <w:rsid w:val="00E6080B"/>
    <w:rsid w:val="00E638BF"/>
    <w:rsid w:val="00E63AFD"/>
    <w:rsid w:val="00E6755F"/>
    <w:rsid w:val="00E72B44"/>
    <w:rsid w:val="00E738B7"/>
    <w:rsid w:val="00E74999"/>
    <w:rsid w:val="00E75111"/>
    <w:rsid w:val="00E75EC2"/>
    <w:rsid w:val="00E76725"/>
    <w:rsid w:val="00E77E98"/>
    <w:rsid w:val="00E806BE"/>
    <w:rsid w:val="00E83403"/>
    <w:rsid w:val="00E844BF"/>
    <w:rsid w:val="00E87AF2"/>
    <w:rsid w:val="00E900DB"/>
    <w:rsid w:val="00E91662"/>
    <w:rsid w:val="00E91F0C"/>
    <w:rsid w:val="00E929AF"/>
    <w:rsid w:val="00EA042D"/>
    <w:rsid w:val="00EA28FE"/>
    <w:rsid w:val="00EA2984"/>
    <w:rsid w:val="00EA328B"/>
    <w:rsid w:val="00EA33D9"/>
    <w:rsid w:val="00EA3D3E"/>
    <w:rsid w:val="00EA6844"/>
    <w:rsid w:val="00EB0035"/>
    <w:rsid w:val="00EB1009"/>
    <w:rsid w:val="00EB62ED"/>
    <w:rsid w:val="00EC0C24"/>
    <w:rsid w:val="00EC4168"/>
    <w:rsid w:val="00EC52D4"/>
    <w:rsid w:val="00EC6721"/>
    <w:rsid w:val="00ED0C43"/>
    <w:rsid w:val="00ED534B"/>
    <w:rsid w:val="00ED5AB9"/>
    <w:rsid w:val="00ED63ED"/>
    <w:rsid w:val="00ED71B9"/>
    <w:rsid w:val="00ED757E"/>
    <w:rsid w:val="00EE004D"/>
    <w:rsid w:val="00EE0232"/>
    <w:rsid w:val="00EE125F"/>
    <w:rsid w:val="00EE1433"/>
    <w:rsid w:val="00EE24E7"/>
    <w:rsid w:val="00EE63D1"/>
    <w:rsid w:val="00EE6AC8"/>
    <w:rsid w:val="00EE6BD2"/>
    <w:rsid w:val="00EF1946"/>
    <w:rsid w:val="00EF35D5"/>
    <w:rsid w:val="00EF417E"/>
    <w:rsid w:val="00F0023F"/>
    <w:rsid w:val="00F00CA6"/>
    <w:rsid w:val="00F00EBD"/>
    <w:rsid w:val="00F02528"/>
    <w:rsid w:val="00F03C85"/>
    <w:rsid w:val="00F0416E"/>
    <w:rsid w:val="00F042E2"/>
    <w:rsid w:val="00F07DFA"/>
    <w:rsid w:val="00F1128C"/>
    <w:rsid w:val="00F21196"/>
    <w:rsid w:val="00F21210"/>
    <w:rsid w:val="00F239BE"/>
    <w:rsid w:val="00F24F89"/>
    <w:rsid w:val="00F25408"/>
    <w:rsid w:val="00F2716E"/>
    <w:rsid w:val="00F27E7A"/>
    <w:rsid w:val="00F325DB"/>
    <w:rsid w:val="00F33CA8"/>
    <w:rsid w:val="00F33DD2"/>
    <w:rsid w:val="00F34458"/>
    <w:rsid w:val="00F35812"/>
    <w:rsid w:val="00F377A5"/>
    <w:rsid w:val="00F41B1E"/>
    <w:rsid w:val="00F425A9"/>
    <w:rsid w:val="00F4450E"/>
    <w:rsid w:val="00F46C14"/>
    <w:rsid w:val="00F47FBC"/>
    <w:rsid w:val="00F53C5D"/>
    <w:rsid w:val="00F561E0"/>
    <w:rsid w:val="00F5694F"/>
    <w:rsid w:val="00F57D1B"/>
    <w:rsid w:val="00F62784"/>
    <w:rsid w:val="00F66DB9"/>
    <w:rsid w:val="00F707D7"/>
    <w:rsid w:val="00F722A2"/>
    <w:rsid w:val="00F738C9"/>
    <w:rsid w:val="00F74527"/>
    <w:rsid w:val="00F75CBB"/>
    <w:rsid w:val="00F76446"/>
    <w:rsid w:val="00F76C0C"/>
    <w:rsid w:val="00F811FB"/>
    <w:rsid w:val="00F82953"/>
    <w:rsid w:val="00F83A52"/>
    <w:rsid w:val="00F93D13"/>
    <w:rsid w:val="00F9418C"/>
    <w:rsid w:val="00F94D98"/>
    <w:rsid w:val="00F97074"/>
    <w:rsid w:val="00F97D42"/>
    <w:rsid w:val="00F97FED"/>
    <w:rsid w:val="00FA05B7"/>
    <w:rsid w:val="00FA05DD"/>
    <w:rsid w:val="00FA454B"/>
    <w:rsid w:val="00FB1D94"/>
    <w:rsid w:val="00FB2AEC"/>
    <w:rsid w:val="00FB3174"/>
    <w:rsid w:val="00FB6915"/>
    <w:rsid w:val="00FC03FB"/>
    <w:rsid w:val="00FC0C81"/>
    <w:rsid w:val="00FC1625"/>
    <w:rsid w:val="00FC37AA"/>
    <w:rsid w:val="00FC4380"/>
    <w:rsid w:val="00FC59F6"/>
    <w:rsid w:val="00FC64C3"/>
    <w:rsid w:val="00FC6B9E"/>
    <w:rsid w:val="00FD2C7D"/>
    <w:rsid w:val="00FD2F8D"/>
    <w:rsid w:val="00FD45F6"/>
    <w:rsid w:val="00FD577A"/>
    <w:rsid w:val="00FD724D"/>
    <w:rsid w:val="00FD7F25"/>
    <w:rsid w:val="00FE0611"/>
    <w:rsid w:val="00FE3324"/>
    <w:rsid w:val="00FE4F06"/>
    <w:rsid w:val="00FE5CD7"/>
    <w:rsid w:val="00FE7EF0"/>
    <w:rsid w:val="00FF0E04"/>
    <w:rsid w:val="00FF1C30"/>
    <w:rsid w:val="00FF373C"/>
    <w:rsid w:val="00FF54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ABB"/>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741F92"/>
    <w:pPr>
      <w:keepNext/>
      <w:numPr>
        <w:numId w:val="1"/>
      </w:numPr>
      <w:outlineLvl w:val="0"/>
    </w:pPr>
    <w:rPr>
      <w:b/>
      <w:caps/>
    </w:rPr>
  </w:style>
  <w:style w:type="paragraph" w:styleId="Heading2">
    <w:name w:val="heading 2"/>
    <w:basedOn w:val="Normal"/>
    <w:next w:val="Normal"/>
    <w:link w:val="Heading2Char"/>
    <w:uiPriority w:val="9"/>
    <w:qFormat/>
    <w:rsid w:val="00741F92"/>
    <w:pPr>
      <w:keepNext/>
      <w:numPr>
        <w:ilvl w:val="1"/>
        <w:numId w:val="1"/>
      </w:numPr>
      <w:spacing w:before="360" w:after="60"/>
      <w:outlineLvl w:val="1"/>
    </w:pPr>
    <w:rPr>
      <w:b/>
    </w:rPr>
  </w:style>
  <w:style w:type="paragraph" w:styleId="Heading3">
    <w:name w:val="heading 3"/>
    <w:basedOn w:val="Normal"/>
    <w:next w:val="Normal"/>
    <w:link w:val="Heading3Char"/>
    <w:uiPriority w:val="9"/>
    <w:unhideWhenUsed/>
    <w:qFormat/>
    <w:rsid w:val="00BF409C"/>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9432B0"/>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F92"/>
    <w:rPr>
      <w:rFonts w:ascii="Times New Roman" w:eastAsia="Times New Roman" w:hAnsi="Times New Roman" w:cs="Times New Roman"/>
      <w:b/>
      <w:caps/>
      <w:sz w:val="24"/>
      <w:szCs w:val="20"/>
      <w:lang w:eastAsia="en-AU"/>
    </w:rPr>
  </w:style>
  <w:style w:type="character" w:customStyle="1" w:styleId="Heading2Char">
    <w:name w:val="Heading 2 Char"/>
    <w:basedOn w:val="DefaultParagraphFont"/>
    <w:link w:val="Heading2"/>
    <w:uiPriority w:val="9"/>
    <w:rsid w:val="00741F92"/>
    <w:rPr>
      <w:rFonts w:ascii="Times New Roman" w:eastAsia="Times New Roman" w:hAnsi="Times New Roman" w:cs="Times New Roman"/>
      <w:b/>
      <w:sz w:val="24"/>
      <w:szCs w:val="20"/>
      <w:lang w:eastAsia="en-AU"/>
    </w:rPr>
  </w:style>
  <w:style w:type="character" w:customStyle="1" w:styleId="Heading6Char">
    <w:name w:val="Heading 6 Char"/>
    <w:basedOn w:val="DefaultParagraphFont"/>
    <w:link w:val="Heading6"/>
    <w:rsid w:val="00741F92"/>
    <w:rPr>
      <w:rFonts w:ascii="Times New Roman" w:eastAsia="Times New Roman" w:hAnsi="Times New Roman" w:cs="Times New Roman"/>
      <w:sz w:val="24"/>
      <w:szCs w:val="20"/>
      <w:u w:val="single"/>
      <w:lang w:eastAsia="en-AU"/>
    </w:rPr>
  </w:style>
  <w:style w:type="paragraph" w:styleId="Footer">
    <w:name w:val="footer"/>
    <w:basedOn w:val="Normal"/>
    <w:link w:val="FooterChar"/>
    <w:uiPriority w:val="99"/>
    <w:rsid w:val="009432B0"/>
    <w:pPr>
      <w:tabs>
        <w:tab w:val="center" w:pos="4153"/>
        <w:tab w:val="right" w:pos="8306"/>
      </w:tabs>
    </w:pPr>
  </w:style>
  <w:style w:type="character" w:customStyle="1" w:styleId="FooterChar">
    <w:name w:val="Footer Char"/>
    <w:basedOn w:val="DefaultParagraphFont"/>
    <w:link w:val="Footer"/>
    <w:uiPriority w:val="99"/>
    <w:rsid w:val="00741F92"/>
    <w:rPr>
      <w:rFonts w:ascii="Times New Roman" w:eastAsia="Times New Roman" w:hAnsi="Times New Roman" w:cs="Times New Roman"/>
      <w:sz w:val="24"/>
      <w:szCs w:val="20"/>
      <w:lang w:eastAsia="en-AU"/>
    </w:rPr>
  </w:style>
  <w:style w:type="paragraph" w:customStyle="1" w:styleId="HB-Paragraph">
    <w:name w:val="HB - Paragraph"/>
    <w:basedOn w:val="Normal"/>
    <w:rsid w:val="00741F92"/>
    <w:pPr>
      <w:numPr>
        <w:ilvl w:val="2"/>
        <w:numId w:val="1"/>
      </w:numPr>
      <w:spacing w:before="120" w:after="120"/>
    </w:pPr>
  </w:style>
  <w:style w:type="paragraph" w:styleId="Header">
    <w:name w:val="header"/>
    <w:basedOn w:val="Normal"/>
    <w:link w:val="HeaderChar"/>
    <w:uiPriority w:val="99"/>
    <w:rsid w:val="009432B0"/>
    <w:pPr>
      <w:tabs>
        <w:tab w:val="center" w:pos="4153"/>
        <w:tab w:val="right" w:pos="8306"/>
      </w:tabs>
    </w:pPr>
  </w:style>
  <w:style w:type="character" w:customStyle="1" w:styleId="HeaderChar">
    <w:name w:val="Header Char"/>
    <w:basedOn w:val="DefaultParagraphFont"/>
    <w:link w:val="Header"/>
    <w:uiPriority w:val="99"/>
    <w:rsid w:val="00741F92"/>
    <w:rPr>
      <w:rFonts w:ascii="Times New Roman" w:eastAsia="Times New Roman" w:hAnsi="Times New Roman" w:cs="Times New Roman"/>
      <w:sz w:val="24"/>
      <w:szCs w:val="20"/>
      <w:lang w:eastAsia="en-AU"/>
    </w:rPr>
  </w:style>
  <w:style w:type="paragraph" w:customStyle="1" w:styleId="ParaNumbering">
    <w:name w:val="Para Numbering"/>
    <w:basedOn w:val="Normal"/>
    <w:rsid w:val="00741F92"/>
    <w:pPr>
      <w:tabs>
        <w:tab w:val="num" w:pos="360"/>
        <w:tab w:val="left" w:pos="567"/>
      </w:tabs>
      <w:spacing w:after="240" w:line="240" w:lineRule="atLeast"/>
    </w:pPr>
    <w:rPr>
      <w:lang w:eastAsia="en-US"/>
    </w:rPr>
  </w:style>
  <w:style w:type="paragraph" w:styleId="ListParagraph">
    <w:name w:val="List Paragraph"/>
    <w:aliases w:val="NFP GP Bulleted List,List Paragraph1,Recommendation,List Paragraph11"/>
    <w:basedOn w:val="Normal"/>
    <w:link w:val="ListParagraphChar"/>
    <w:uiPriority w:val="34"/>
    <w:qFormat/>
    <w:rsid w:val="00741F92"/>
    <w:pPr>
      <w:spacing w:after="200" w:line="276" w:lineRule="auto"/>
      <w:ind w:left="720"/>
      <w:contextualSpacing/>
    </w:pPr>
    <w:rPr>
      <w:rFonts w:eastAsia="Calibri"/>
      <w:szCs w:val="22"/>
      <w:lang w:eastAsia="en-US"/>
    </w:rPr>
  </w:style>
  <w:style w:type="paragraph" w:customStyle="1" w:styleId="paranumbering0">
    <w:name w:val="paranumbering"/>
    <w:basedOn w:val="Normal"/>
    <w:uiPriority w:val="99"/>
    <w:rsid w:val="00741F92"/>
    <w:pPr>
      <w:spacing w:before="100" w:beforeAutospacing="1" w:after="100" w:afterAutospacing="1"/>
    </w:pPr>
    <w:rPr>
      <w:rFonts w:eastAsiaTheme="minorHAnsi"/>
      <w:szCs w:val="24"/>
    </w:rPr>
  </w:style>
  <w:style w:type="paragraph" w:customStyle="1" w:styleId="numberlist">
    <w:name w:val="number_list"/>
    <w:basedOn w:val="Normal"/>
    <w:uiPriority w:val="99"/>
    <w:rsid w:val="00741F92"/>
    <w:pPr>
      <w:numPr>
        <w:numId w:val="2"/>
      </w:numPr>
      <w:spacing w:after="120"/>
    </w:pPr>
    <w:rPr>
      <w:rFonts w:eastAsiaTheme="minorHAnsi"/>
      <w:szCs w:val="24"/>
    </w:rPr>
  </w:style>
  <w:style w:type="character" w:styleId="Hyperlink">
    <w:name w:val="Hyperlink"/>
    <w:basedOn w:val="DefaultParagraphFont"/>
    <w:uiPriority w:val="99"/>
    <w:unhideWhenUsed/>
    <w:rsid w:val="00741F92"/>
    <w:rPr>
      <w:color w:val="0000FF" w:themeColor="hyperlink"/>
      <w:u w:val="single"/>
    </w:rPr>
  </w:style>
  <w:style w:type="paragraph" w:customStyle="1" w:styleId="CABNETParagraphAtt">
    <w:name w:val="CABNET Paragraph Att"/>
    <w:basedOn w:val="Normal"/>
    <w:link w:val="CABNETParagraphAttChar"/>
    <w:qFormat/>
    <w:rsid w:val="00010368"/>
    <w:pPr>
      <w:spacing w:before="120" w:after="120"/>
    </w:pPr>
    <w:rPr>
      <w:rFonts w:ascii="Verdana" w:hAnsi="Verdana"/>
      <w:sz w:val="22"/>
      <w:szCs w:val="24"/>
    </w:rPr>
  </w:style>
  <w:style w:type="character" w:customStyle="1" w:styleId="CABNETParagraphAttChar">
    <w:name w:val="CABNET Paragraph Att Char"/>
    <w:basedOn w:val="DefaultParagraphFont"/>
    <w:link w:val="CABNETParagraphAtt"/>
    <w:rsid w:val="00010368"/>
    <w:rPr>
      <w:rFonts w:ascii="Verdana" w:eastAsia="Times New Roman" w:hAnsi="Verdana" w:cs="Times New Roman"/>
      <w:szCs w:val="24"/>
      <w:lang w:eastAsia="en-AU"/>
    </w:rPr>
  </w:style>
  <w:style w:type="paragraph" w:styleId="NormalWeb">
    <w:name w:val="Normal (Web)"/>
    <w:basedOn w:val="Normal"/>
    <w:uiPriority w:val="99"/>
    <w:unhideWhenUsed/>
    <w:rsid w:val="00010368"/>
    <w:pPr>
      <w:spacing w:after="288"/>
    </w:pPr>
    <w:rPr>
      <w:szCs w:val="24"/>
    </w:rPr>
  </w:style>
  <w:style w:type="paragraph" w:styleId="FootnoteText">
    <w:name w:val="footnote text"/>
    <w:basedOn w:val="Normal"/>
    <w:link w:val="FootnoteTextChar"/>
    <w:rsid w:val="00010368"/>
    <w:rPr>
      <w:sz w:val="20"/>
    </w:rPr>
  </w:style>
  <w:style w:type="character" w:customStyle="1" w:styleId="FootnoteTextChar">
    <w:name w:val="Footnote Text Char"/>
    <w:basedOn w:val="DefaultParagraphFont"/>
    <w:link w:val="FootnoteText"/>
    <w:rsid w:val="00010368"/>
    <w:rPr>
      <w:rFonts w:ascii="Times New Roman" w:eastAsia="Times New Roman" w:hAnsi="Times New Roman" w:cs="Times New Roman"/>
      <w:sz w:val="20"/>
      <w:szCs w:val="20"/>
      <w:lang w:eastAsia="en-AU"/>
    </w:rPr>
  </w:style>
  <w:style w:type="character" w:customStyle="1" w:styleId="StyleBody">
    <w:name w:val="Style +Body"/>
    <w:basedOn w:val="DefaultParagraphFont"/>
    <w:rsid w:val="00064E4C"/>
    <w:rPr>
      <w:rFonts w:asciiTheme="minorHAnsi" w:hAnsiTheme="minorHAnsi"/>
    </w:rPr>
  </w:style>
  <w:style w:type="character" w:customStyle="1" w:styleId="ListParagraphChar">
    <w:name w:val="List Paragraph Char"/>
    <w:aliases w:val="NFP GP Bulleted List Char,List Paragraph1 Char,Recommendation Char,List Paragraph11 Char"/>
    <w:basedOn w:val="DefaultParagraphFont"/>
    <w:link w:val="ListParagraph"/>
    <w:uiPriority w:val="34"/>
    <w:locked/>
    <w:rsid w:val="00064E4C"/>
    <w:rPr>
      <w:rFonts w:ascii="Times New Roman" w:eastAsia="Calibri" w:hAnsi="Times New Roman" w:cs="Times New Roman"/>
      <w:sz w:val="24"/>
    </w:rPr>
  </w:style>
  <w:style w:type="paragraph" w:styleId="CommentText">
    <w:name w:val="annotation text"/>
    <w:basedOn w:val="Normal"/>
    <w:link w:val="CommentTextChar"/>
    <w:unhideWhenUsed/>
    <w:rsid w:val="00064E4C"/>
    <w:rPr>
      <w:rFonts w:ascii="Calibri" w:eastAsiaTheme="minorHAnsi" w:hAnsi="Calibri" w:cs="Calibri"/>
      <w:sz w:val="20"/>
    </w:rPr>
  </w:style>
  <w:style w:type="character" w:customStyle="1" w:styleId="CommentTextChar">
    <w:name w:val="Comment Text Char"/>
    <w:basedOn w:val="DefaultParagraphFont"/>
    <w:link w:val="CommentText"/>
    <w:rsid w:val="00064E4C"/>
    <w:rPr>
      <w:rFonts w:ascii="Calibri" w:hAnsi="Calibri" w:cs="Calibri"/>
      <w:sz w:val="20"/>
      <w:szCs w:val="20"/>
      <w:lang w:eastAsia="en-AU"/>
    </w:rPr>
  </w:style>
  <w:style w:type="paragraph" w:customStyle="1" w:styleId="Default">
    <w:name w:val="Default"/>
    <w:basedOn w:val="Normal"/>
    <w:rsid w:val="00F33CA8"/>
    <w:pPr>
      <w:autoSpaceDE w:val="0"/>
      <w:autoSpaceDN w:val="0"/>
    </w:pPr>
    <w:rPr>
      <w:rFonts w:eastAsiaTheme="minorHAnsi"/>
      <w:color w:val="000000"/>
      <w:szCs w:val="24"/>
    </w:rPr>
  </w:style>
  <w:style w:type="character" w:styleId="CommentReference">
    <w:name w:val="annotation reference"/>
    <w:basedOn w:val="DefaultParagraphFont"/>
    <w:unhideWhenUsed/>
    <w:rsid w:val="002A1213"/>
    <w:rPr>
      <w:sz w:val="16"/>
      <w:szCs w:val="16"/>
    </w:rPr>
  </w:style>
  <w:style w:type="paragraph" w:styleId="BalloonText">
    <w:name w:val="Balloon Text"/>
    <w:basedOn w:val="Normal"/>
    <w:link w:val="BalloonTextChar"/>
    <w:uiPriority w:val="99"/>
    <w:semiHidden/>
    <w:unhideWhenUsed/>
    <w:rsid w:val="002A1213"/>
    <w:rPr>
      <w:rFonts w:ascii="Tahoma" w:hAnsi="Tahoma" w:cs="Tahoma"/>
      <w:sz w:val="16"/>
      <w:szCs w:val="16"/>
    </w:rPr>
  </w:style>
  <w:style w:type="character" w:customStyle="1" w:styleId="BalloonTextChar">
    <w:name w:val="Balloon Text Char"/>
    <w:basedOn w:val="DefaultParagraphFont"/>
    <w:link w:val="BalloonText"/>
    <w:uiPriority w:val="99"/>
    <w:semiHidden/>
    <w:rsid w:val="002A1213"/>
    <w:rPr>
      <w:rFonts w:ascii="Tahoma" w:eastAsia="Times New Roman" w:hAnsi="Tahoma" w:cs="Tahoma"/>
      <w:sz w:val="16"/>
      <w:szCs w:val="16"/>
      <w:lang w:eastAsia="en-AU"/>
    </w:rPr>
  </w:style>
  <w:style w:type="paragraph" w:customStyle="1" w:styleId="CABBackGround">
    <w:name w:val="CABBackGround"/>
    <w:basedOn w:val="Normal"/>
    <w:link w:val="CABBackGroundChar1"/>
    <w:rsid w:val="005275EB"/>
    <w:pPr>
      <w:spacing w:line="360" w:lineRule="auto"/>
    </w:pPr>
  </w:style>
  <w:style w:type="character" w:customStyle="1" w:styleId="CABBackGroundChar1">
    <w:name w:val="CABBackGround Char1"/>
    <w:basedOn w:val="DefaultParagraphFont"/>
    <w:link w:val="CABBackGround"/>
    <w:rsid w:val="005275EB"/>
    <w:rPr>
      <w:rFonts w:ascii="Times New Roman" w:eastAsia="Times New Roman" w:hAnsi="Times New Roman" w:cs="Times New Roman"/>
      <w:sz w:val="24"/>
      <w:szCs w:val="20"/>
      <w:lang w:eastAsia="en-AU"/>
    </w:rPr>
  </w:style>
  <w:style w:type="paragraph" w:customStyle="1" w:styleId="Quotation">
    <w:name w:val="Quotation"/>
    <w:basedOn w:val="Normal"/>
    <w:uiPriority w:val="99"/>
    <w:rsid w:val="000931EB"/>
    <w:pPr>
      <w:numPr>
        <w:numId w:val="3"/>
      </w:numPr>
      <w:spacing w:after="140" w:line="260" w:lineRule="atLeast"/>
    </w:pPr>
    <w:rPr>
      <w:rFonts w:ascii="Arial" w:eastAsiaTheme="minorHAnsi" w:hAnsi="Arial" w:cs="Arial"/>
      <w:sz w:val="20"/>
    </w:rPr>
  </w:style>
  <w:style w:type="paragraph" w:customStyle="1" w:styleId="Quotation1">
    <w:name w:val="Quotation 1"/>
    <w:basedOn w:val="Normal"/>
    <w:uiPriority w:val="99"/>
    <w:rsid w:val="000931EB"/>
    <w:pPr>
      <w:numPr>
        <w:ilvl w:val="1"/>
        <w:numId w:val="3"/>
      </w:numPr>
      <w:spacing w:after="140" w:line="260" w:lineRule="atLeast"/>
    </w:pPr>
    <w:rPr>
      <w:rFonts w:ascii="Arial" w:eastAsiaTheme="minorHAnsi" w:hAnsi="Arial" w:cs="Arial"/>
      <w:sz w:val="20"/>
    </w:rPr>
  </w:style>
  <w:style w:type="paragraph" w:customStyle="1" w:styleId="Quotation2">
    <w:name w:val="Quotation 2"/>
    <w:basedOn w:val="Normal"/>
    <w:uiPriority w:val="99"/>
    <w:rsid w:val="000931EB"/>
    <w:pPr>
      <w:numPr>
        <w:ilvl w:val="2"/>
        <w:numId w:val="3"/>
      </w:numPr>
      <w:spacing w:after="140" w:line="260" w:lineRule="atLeast"/>
    </w:pPr>
    <w:rPr>
      <w:rFonts w:ascii="Arial" w:eastAsiaTheme="minorHAnsi" w:hAnsi="Arial" w:cs="Arial"/>
      <w:sz w:val="20"/>
    </w:rPr>
  </w:style>
  <w:style w:type="paragraph" w:customStyle="1" w:styleId="Quotation3">
    <w:name w:val="Quotation 3"/>
    <w:basedOn w:val="Normal"/>
    <w:uiPriority w:val="99"/>
    <w:rsid w:val="000931EB"/>
    <w:pPr>
      <w:numPr>
        <w:ilvl w:val="3"/>
        <w:numId w:val="3"/>
      </w:numPr>
      <w:spacing w:after="140" w:line="260" w:lineRule="atLeast"/>
    </w:pPr>
    <w:rPr>
      <w:rFonts w:ascii="Arial" w:eastAsiaTheme="minorHAnsi" w:hAnsi="Arial" w:cs="Arial"/>
      <w:sz w:val="20"/>
    </w:rPr>
  </w:style>
  <w:style w:type="paragraph" w:customStyle="1" w:styleId="Quotation4">
    <w:name w:val="Quotation 4"/>
    <w:basedOn w:val="Normal"/>
    <w:uiPriority w:val="99"/>
    <w:rsid w:val="000931EB"/>
    <w:pPr>
      <w:numPr>
        <w:ilvl w:val="4"/>
        <w:numId w:val="3"/>
      </w:numPr>
      <w:spacing w:after="140" w:line="260" w:lineRule="atLeast"/>
    </w:pPr>
    <w:rPr>
      <w:rFonts w:ascii="Arial" w:eastAsiaTheme="minorHAnsi" w:hAnsi="Arial" w:cs="Arial"/>
      <w:sz w:val="20"/>
    </w:rPr>
  </w:style>
  <w:style w:type="paragraph" w:customStyle="1" w:styleId="Quotation5">
    <w:name w:val="Quotation 5"/>
    <w:basedOn w:val="Normal"/>
    <w:uiPriority w:val="99"/>
    <w:rsid w:val="000931EB"/>
    <w:pPr>
      <w:numPr>
        <w:ilvl w:val="5"/>
        <w:numId w:val="3"/>
      </w:numPr>
      <w:spacing w:after="140" w:line="260" w:lineRule="atLeast"/>
    </w:pPr>
    <w:rPr>
      <w:rFonts w:ascii="Arial" w:eastAsiaTheme="minorHAnsi" w:hAnsi="Arial" w:cs="Arial"/>
      <w:sz w:val="20"/>
    </w:rPr>
  </w:style>
  <w:style w:type="paragraph" w:customStyle="1" w:styleId="Quotation6">
    <w:name w:val="Quotation 6"/>
    <w:basedOn w:val="Normal"/>
    <w:uiPriority w:val="99"/>
    <w:rsid w:val="000931EB"/>
    <w:pPr>
      <w:numPr>
        <w:ilvl w:val="6"/>
        <w:numId w:val="3"/>
      </w:numPr>
      <w:spacing w:after="140" w:line="260" w:lineRule="atLeast"/>
    </w:pPr>
    <w:rPr>
      <w:rFonts w:ascii="Arial" w:eastAsiaTheme="minorHAnsi" w:hAnsi="Arial" w:cs="Arial"/>
      <w:sz w:val="20"/>
    </w:rPr>
  </w:style>
  <w:style w:type="paragraph" w:customStyle="1" w:styleId="Quotation7">
    <w:name w:val="Quotation 7"/>
    <w:basedOn w:val="Normal"/>
    <w:uiPriority w:val="99"/>
    <w:rsid w:val="000931EB"/>
    <w:pPr>
      <w:numPr>
        <w:ilvl w:val="7"/>
        <w:numId w:val="3"/>
      </w:numPr>
      <w:spacing w:after="140" w:line="260" w:lineRule="atLeast"/>
    </w:pPr>
    <w:rPr>
      <w:rFonts w:ascii="Arial" w:eastAsiaTheme="minorHAnsi" w:hAnsi="Arial" w:cs="Arial"/>
      <w:sz w:val="20"/>
    </w:rPr>
  </w:style>
  <w:style w:type="paragraph" w:customStyle="1" w:styleId="Quotation8">
    <w:name w:val="Quotation 8"/>
    <w:basedOn w:val="Normal"/>
    <w:uiPriority w:val="99"/>
    <w:rsid w:val="000931EB"/>
    <w:pPr>
      <w:numPr>
        <w:ilvl w:val="8"/>
        <w:numId w:val="3"/>
      </w:numPr>
      <w:spacing w:after="140" w:line="260" w:lineRule="atLeast"/>
    </w:pPr>
    <w:rPr>
      <w:rFonts w:ascii="Arial" w:eastAsiaTheme="minorHAnsi" w:hAnsi="Arial" w:cs="Arial"/>
      <w:sz w:val="20"/>
    </w:rPr>
  </w:style>
  <w:style w:type="paragraph" w:customStyle="1" w:styleId="PlainParagraph">
    <w:name w:val="Plain Paragraph"/>
    <w:aliases w:val="PP"/>
    <w:basedOn w:val="Normal"/>
    <w:link w:val="PlainParagraphChar"/>
    <w:qFormat/>
    <w:rsid w:val="000931EB"/>
    <w:pPr>
      <w:spacing w:before="140" w:after="140" w:line="280" w:lineRule="atLeast"/>
    </w:pPr>
    <w:rPr>
      <w:rFonts w:ascii="Arial" w:eastAsiaTheme="minorHAnsi" w:hAnsi="Arial" w:cs="Arial"/>
      <w:sz w:val="22"/>
      <w:szCs w:val="22"/>
    </w:rPr>
  </w:style>
  <w:style w:type="numbering" w:customStyle="1" w:styleId="Style1">
    <w:name w:val="Style1"/>
    <w:uiPriority w:val="99"/>
    <w:rsid w:val="009432B0"/>
    <w:pPr>
      <w:numPr>
        <w:numId w:val="4"/>
      </w:numPr>
    </w:pPr>
  </w:style>
  <w:style w:type="paragraph" w:styleId="CommentSubject">
    <w:name w:val="annotation subject"/>
    <w:basedOn w:val="CommentText"/>
    <w:next w:val="CommentText"/>
    <w:link w:val="CommentSubjectChar"/>
    <w:uiPriority w:val="99"/>
    <w:semiHidden/>
    <w:unhideWhenUsed/>
    <w:rsid w:val="00C82A42"/>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C82A42"/>
    <w:rPr>
      <w:rFonts w:ascii="Times New Roman" w:eastAsia="Times New Roman" w:hAnsi="Times New Roman" w:cs="Times New Roman"/>
      <w:b/>
      <w:bCs/>
      <w:sz w:val="20"/>
      <w:szCs w:val="20"/>
      <w:lang w:eastAsia="en-AU"/>
    </w:rPr>
  </w:style>
  <w:style w:type="paragraph" w:customStyle="1" w:styleId="Question">
    <w:name w:val="Question"/>
    <w:aliases w:val="?Q"/>
    <w:basedOn w:val="PlainParagraph"/>
    <w:next w:val="Normal"/>
    <w:uiPriority w:val="7"/>
    <w:qFormat/>
    <w:rsid w:val="00AB1D87"/>
    <w:pPr>
      <w:keepNext/>
      <w:widowControl w:val="0"/>
      <w:tabs>
        <w:tab w:val="left" w:pos="425"/>
        <w:tab w:val="left" w:pos="850"/>
      </w:tabs>
      <w:ind w:left="850" w:hanging="850"/>
    </w:pPr>
    <w:rPr>
      <w:rFonts w:eastAsia="Times New Roman"/>
      <w:i/>
    </w:rPr>
  </w:style>
  <w:style w:type="character" w:customStyle="1" w:styleId="PlainParagraphChar">
    <w:name w:val="Plain Paragraph Char"/>
    <w:aliases w:val="PP Char"/>
    <w:basedOn w:val="DefaultParagraphFont"/>
    <w:link w:val="PlainParagraph"/>
    <w:rsid w:val="00AB1D87"/>
    <w:rPr>
      <w:rFonts w:ascii="Arial" w:hAnsi="Arial" w:cs="Arial"/>
      <w:lang w:eastAsia="en-AU"/>
    </w:rPr>
  </w:style>
  <w:style w:type="paragraph" w:customStyle="1" w:styleId="base-text-paragraph">
    <w:name w:val="base-text-paragraph"/>
    <w:rsid w:val="00C748C6"/>
    <w:pPr>
      <w:tabs>
        <w:tab w:val="left" w:pos="1987"/>
      </w:tabs>
      <w:spacing w:before="120" w:after="120" w:line="240" w:lineRule="auto"/>
      <w:ind w:left="1140"/>
    </w:pPr>
    <w:rPr>
      <w:rFonts w:ascii="Times New Roman" w:eastAsia="Times New Roman" w:hAnsi="Times New Roman" w:cs="Times New Roman"/>
      <w:sz w:val="24"/>
      <w:szCs w:val="20"/>
      <w:lang w:eastAsia="en-AU"/>
    </w:rPr>
  </w:style>
  <w:style w:type="numbering" w:customStyle="1" w:styleId="BulletList">
    <w:name w:val="Bullet List"/>
    <w:rsid w:val="000235E9"/>
    <w:pPr>
      <w:numPr>
        <w:numId w:val="20"/>
      </w:numPr>
    </w:pPr>
  </w:style>
  <w:style w:type="paragraph" w:styleId="ListBullet">
    <w:name w:val="List Bullet"/>
    <w:basedOn w:val="Normal"/>
    <w:uiPriority w:val="99"/>
    <w:unhideWhenUsed/>
    <w:qFormat/>
    <w:rsid w:val="000235E9"/>
    <w:pPr>
      <w:numPr>
        <w:numId w:val="21"/>
      </w:numPr>
      <w:spacing w:after="200" w:line="276" w:lineRule="auto"/>
    </w:pPr>
    <w:rPr>
      <w:rFonts w:ascii="Arial" w:eastAsia="Calibri" w:hAnsi="Arial"/>
      <w:sz w:val="22"/>
      <w:szCs w:val="22"/>
      <w:lang w:eastAsia="en-US"/>
    </w:rPr>
  </w:style>
  <w:style w:type="paragraph" w:styleId="ListBullet2">
    <w:name w:val="List Bullet 2"/>
    <w:basedOn w:val="Normal"/>
    <w:uiPriority w:val="99"/>
    <w:unhideWhenUsed/>
    <w:rsid w:val="000235E9"/>
    <w:pPr>
      <w:numPr>
        <w:ilvl w:val="1"/>
        <w:numId w:val="21"/>
      </w:numPr>
      <w:spacing w:after="200" w:line="276" w:lineRule="auto"/>
    </w:pPr>
    <w:rPr>
      <w:rFonts w:ascii="Arial" w:eastAsia="Calibri" w:hAnsi="Arial"/>
      <w:sz w:val="22"/>
      <w:szCs w:val="22"/>
      <w:lang w:eastAsia="en-US"/>
    </w:rPr>
  </w:style>
  <w:style w:type="paragraph" w:styleId="ListBullet3">
    <w:name w:val="List Bullet 3"/>
    <w:basedOn w:val="Normal"/>
    <w:uiPriority w:val="99"/>
    <w:unhideWhenUsed/>
    <w:rsid w:val="000235E9"/>
    <w:pPr>
      <w:numPr>
        <w:ilvl w:val="2"/>
        <w:numId w:val="21"/>
      </w:numPr>
      <w:spacing w:after="200" w:line="276" w:lineRule="auto"/>
    </w:pPr>
    <w:rPr>
      <w:rFonts w:ascii="Arial" w:eastAsia="Calibri" w:hAnsi="Arial"/>
      <w:sz w:val="22"/>
      <w:szCs w:val="22"/>
      <w:lang w:eastAsia="en-US"/>
    </w:rPr>
  </w:style>
  <w:style w:type="paragraph" w:styleId="ListBullet4">
    <w:name w:val="List Bullet 4"/>
    <w:basedOn w:val="Normal"/>
    <w:uiPriority w:val="99"/>
    <w:unhideWhenUsed/>
    <w:rsid w:val="000235E9"/>
    <w:pPr>
      <w:numPr>
        <w:ilvl w:val="3"/>
        <w:numId w:val="21"/>
      </w:numPr>
      <w:spacing w:after="200" w:line="276" w:lineRule="auto"/>
    </w:pPr>
    <w:rPr>
      <w:rFonts w:ascii="Arial" w:eastAsia="Calibri" w:hAnsi="Arial"/>
      <w:sz w:val="22"/>
      <w:szCs w:val="22"/>
      <w:lang w:eastAsia="en-US"/>
    </w:rPr>
  </w:style>
  <w:style w:type="paragraph" w:styleId="ListBullet5">
    <w:name w:val="List Bullet 5"/>
    <w:basedOn w:val="Normal"/>
    <w:uiPriority w:val="99"/>
    <w:unhideWhenUsed/>
    <w:rsid w:val="000235E9"/>
    <w:pPr>
      <w:numPr>
        <w:ilvl w:val="4"/>
        <w:numId w:val="21"/>
      </w:numPr>
      <w:spacing w:after="200" w:line="276" w:lineRule="auto"/>
    </w:pPr>
    <w:rPr>
      <w:rFonts w:ascii="Arial" w:eastAsia="Calibri" w:hAnsi="Arial"/>
      <w:sz w:val="22"/>
      <w:szCs w:val="22"/>
      <w:lang w:eastAsia="en-US"/>
    </w:rPr>
  </w:style>
  <w:style w:type="paragraph" w:styleId="PlainText">
    <w:name w:val="Plain Text"/>
    <w:basedOn w:val="Normal"/>
    <w:link w:val="PlainTextChar"/>
    <w:uiPriority w:val="99"/>
    <w:unhideWhenUsed/>
    <w:rsid w:val="00622267"/>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622267"/>
    <w:rPr>
      <w:rFonts w:ascii="Consolas" w:hAnsi="Consolas" w:cs="Consolas"/>
      <w:sz w:val="21"/>
      <w:szCs w:val="21"/>
      <w:lang w:eastAsia="en-AU"/>
    </w:rPr>
  </w:style>
  <w:style w:type="paragraph" w:customStyle="1" w:styleId="Exampletextbullet">
    <w:name w:val="Example text bullet"/>
    <w:basedOn w:val="Normal"/>
    <w:rsid w:val="00AF0637"/>
    <w:pPr>
      <w:numPr>
        <w:numId w:val="29"/>
      </w:numPr>
      <w:spacing w:after="240" w:line="260" w:lineRule="exact"/>
      <w:jc w:val="both"/>
    </w:pPr>
    <w:rPr>
      <w:rFonts w:ascii="Book Antiqua" w:hAnsi="Book Antiqua"/>
      <w:i/>
      <w:color w:val="FF0000"/>
      <w:sz w:val="20"/>
    </w:rPr>
  </w:style>
  <w:style w:type="paragraph" w:customStyle="1" w:styleId="Exampletextdash">
    <w:name w:val="Example text dash"/>
    <w:basedOn w:val="Exampletextbullet"/>
    <w:rsid w:val="00AF0637"/>
    <w:pPr>
      <w:numPr>
        <w:ilvl w:val="1"/>
      </w:numPr>
    </w:pPr>
  </w:style>
  <w:style w:type="character" w:styleId="FollowedHyperlink">
    <w:name w:val="FollowedHyperlink"/>
    <w:basedOn w:val="DefaultParagraphFont"/>
    <w:uiPriority w:val="99"/>
    <w:semiHidden/>
    <w:unhideWhenUsed/>
    <w:rsid w:val="00070277"/>
    <w:rPr>
      <w:color w:val="800080" w:themeColor="followedHyperlink"/>
      <w:u w:val="single"/>
    </w:rPr>
  </w:style>
  <w:style w:type="character" w:customStyle="1" w:styleId="Heading3Char">
    <w:name w:val="Heading 3 Char"/>
    <w:basedOn w:val="DefaultParagraphFont"/>
    <w:link w:val="Heading3"/>
    <w:uiPriority w:val="9"/>
    <w:rsid w:val="00BF409C"/>
    <w:rPr>
      <w:rFonts w:asciiTheme="majorHAnsi" w:eastAsiaTheme="majorEastAsia" w:hAnsiTheme="majorHAnsi" w:cstheme="majorBidi"/>
      <w:b/>
      <w:bCs/>
      <w:color w:val="4F81BD" w:themeColor="accent1"/>
      <w:sz w:val="24"/>
      <w:szCs w:val="20"/>
      <w:lang w:eastAsia="en-AU"/>
    </w:rPr>
  </w:style>
  <w:style w:type="paragraph" w:customStyle="1" w:styleId="shortt">
    <w:name w:val="shortt"/>
    <w:basedOn w:val="Normal"/>
    <w:rsid w:val="006251BA"/>
    <w:pPr>
      <w:spacing w:before="100" w:beforeAutospacing="1" w:after="100" w:afterAutospacing="1"/>
    </w:pPr>
    <w:rPr>
      <w:szCs w:val="24"/>
    </w:rPr>
  </w:style>
  <w:style w:type="character" w:styleId="FootnoteReference">
    <w:name w:val="footnote reference"/>
    <w:semiHidden/>
    <w:rsid w:val="00CB1162"/>
    <w:rPr>
      <w:rFonts w:cs="Times New Roman"/>
      <w:vertAlign w:val="superscript"/>
    </w:rPr>
  </w:style>
  <w:style w:type="paragraph" w:customStyle="1" w:styleId="Definition">
    <w:name w:val="Definition"/>
    <w:aliases w:val="dd"/>
    <w:basedOn w:val="Normal"/>
    <w:rsid w:val="000166F8"/>
    <w:pPr>
      <w:spacing w:before="180"/>
      <w:ind w:left="1134"/>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ABB"/>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741F92"/>
    <w:pPr>
      <w:keepNext/>
      <w:numPr>
        <w:numId w:val="1"/>
      </w:numPr>
      <w:outlineLvl w:val="0"/>
    </w:pPr>
    <w:rPr>
      <w:b/>
      <w:caps/>
    </w:rPr>
  </w:style>
  <w:style w:type="paragraph" w:styleId="Heading2">
    <w:name w:val="heading 2"/>
    <w:basedOn w:val="Normal"/>
    <w:next w:val="Normal"/>
    <w:link w:val="Heading2Char"/>
    <w:uiPriority w:val="9"/>
    <w:qFormat/>
    <w:rsid w:val="00741F92"/>
    <w:pPr>
      <w:keepNext/>
      <w:numPr>
        <w:ilvl w:val="1"/>
        <w:numId w:val="1"/>
      </w:numPr>
      <w:spacing w:before="360" w:after="60"/>
      <w:outlineLvl w:val="1"/>
    </w:pPr>
    <w:rPr>
      <w:b/>
    </w:rPr>
  </w:style>
  <w:style w:type="paragraph" w:styleId="Heading3">
    <w:name w:val="heading 3"/>
    <w:basedOn w:val="Normal"/>
    <w:next w:val="Normal"/>
    <w:link w:val="Heading3Char"/>
    <w:uiPriority w:val="9"/>
    <w:unhideWhenUsed/>
    <w:qFormat/>
    <w:rsid w:val="00BF409C"/>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9432B0"/>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F92"/>
    <w:rPr>
      <w:rFonts w:ascii="Times New Roman" w:eastAsia="Times New Roman" w:hAnsi="Times New Roman" w:cs="Times New Roman"/>
      <w:b/>
      <w:caps/>
      <w:sz w:val="24"/>
      <w:szCs w:val="20"/>
      <w:lang w:eastAsia="en-AU"/>
    </w:rPr>
  </w:style>
  <w:style w:type="character" w:customStyle="1" w:styleId="Heading2Char">
    <w:name w:val="Heading 2 Char"/>
    <w:basedOn w:val="DefaultParagraphFont"/>
    <w:link w:val="Heading2"/>
    <w:uiPriority w:val="9"/>
    <w:rsid w:val="00741F92"/>
    <w:rPr>
      <w:rFonts w:ascii="Times New Roman" w:eastAsia="Times New Roman" w:hAnsi="Times New Roman" w:cs="Times New Roman"/>
      <w:b/>
      <w:sz w:val="24"/>
      <w:szCs w:val="20"/>
      <w:lang w:eastAsia="en-AU"/>
    </w:rPr>
  </w:style>
  <w:style w:type="character" w:customStyle="1" w:styleId="Heading6Char">
    <w:name w:val="Heading 6 Char"/>
    <w:basedOn w:val="DefaultParagraphFont"/>
    <w:link w:val="Heading6"/>
    <w:rsid w:val="00741F92"/>
    <w:rPr>
      <w:rFonts w:ascii="Times New Roman" w:eastAsia="Times New Roman" w:hAnsi="Times New Roman" w:cs="Times New Roman"/>
      <w:sz w:val="24"/>
      <w:szCs w:val="20"/>
      <w:u w:val="single"/>
      <w:lang w:eastAsia="en-AU"/>
    </w:rPr>
  </w:style>
  <w:style w:type="paragraph" w:styleId="Footer">
    <w:name w:val="footer"/>
    <w:basedOn w:val="Normal"/>
    <w:link w:val="FooterChar"/>
    <w:uiPriority w:val="99"/>
    <w:rsid w:val="009432B0"/>
    <w:pPr>
      <w:tabs>
        <w:tab w:val="center" w:pos="4153"/>
        <w:tab w:val="right" w:pos="8306"/>
      </w:tabs>
    </w:pPr>
  </w:style>
  <w:style w:type="character" w:customStyle="1" w:styleId="FooterChar">
    <w:name w:val="Footer Char"/>
    <w:basedOn w:val="DefaultParagraphFont"/>
    <w:link w:val="Footer"/>
    <w:uiPriority w:val="99"/>
    <w:rsid w:val="00741F92"/>
    <w:rPr>
      <w:rFonts w:ascii="Times New Roman" w:eastAsia="Times New Roman" w:hAnsi="Times New Roman" w:cs="Times New Roman"/>
      <w:sz w:val="24"/>
      <w:szCs w:val="20"/>
      <w:lang w:eastAsia="en-AU"/>
    </w:rPr>
  </w:style>
  <w:style w:type="paragraph" w:customStyle="1" w:styleId="HB-Paragraph">
    <w:name w:val="HB - Paragraph"/>
    <w:basedOn w:val="Normal"/>
    <w:rsid w:val="00741F92"/>
    <w:pPr>
      <w:numPr>
        <w:ilvl w:val="2"/>
        <w:numId w:val="1"/>
      </w:numPr>
      <w:spacing w:before="120" w:after="120"/>
    </w:pPr>
  </w:style>
  <w:style w:type="paragraph" w:styleId="Header">
    <w:name w:val="header"/>
    <w:basedOn w:val="Normal"/>
    <w:link w:val="HeaderChar"/>
    <w:uiPriority w:val="99"/>
    <w:rsid w:val="009432B0"/>
    <w:pPr>
      <w:tabs>
        <w:tab w:val="center" w:pos="4153"/>
        <w:tab w:val="right" w:pos="8306"/>
      </w:tabs>
    </w:pPr>
  </w:style>
  <w:style w:type="character" w:customStyle="1" w:styleId="HeaderChar">
    <w:name w:val="Header Char"/>
    <w:basedOn w:val="DefaultParagraphFont"/>
    <w:link w:val="Header"/>
    <w:uiPriority w:val="99"/>
    <w:rsid w:val="00741F92"/>
    <w:rPr>
      <w:rFonts w:ascii="Times New Roman" w:eastAsia="Times New Roman" w:hAnsi="Times New Roman" w:cs="Times New Roman"/>
      <w:sz w:val="24"/>
      <w:szCs w:val="20"/>
      <w:lang w:eastAsia="en-AU"/>
    </w:rPr>
  </w:style>
  <w:style w:type="paragraph" w:customStyle="1" w:styleId="ParaNumbering">
    <w:name w:val="Para Numbering"/>
    <w:basedOn w:val="Normal"/>
    <w:rsid w:val="00741F92"/>
    <w:pPr>
      <w:tabs>
        <w:tab w:val="num" w:pos="360"/>
        <w:tab w:val="left" w:pos="567"/>
      </w:tabs>
      <w:spacing w:after="240" w:line="240" w:lineRule="atLeast"/>
    </w:pPr>
    <w:rPr>
      <w:lang w:eastAsia="en-US"/>
    </w:rPr>
  </w:style>
  <w:style w:type="paragraph" w:styleId="ListParagraph">
    <w:name w:val="List Paragraph"/>
    <w:aliases w:val="NFP GP Bulleted List,List Paragraph1,Recommendation,List Paragraph11"/>
    <w:basedOn w:val="Normal"/>
    <w:link w:val="ListParagraphChar"/>
    <w:uiPriority w:val="34"/>
    <w:qFormat/>
    <w:rsid w:val="00741F92"/>
    <w:pPr>
      <w:spacing w:after="200" w:line="276" w:lineRule="auto"/>
      <w:ind w:left="720"/>
      <w:contextualSpacing/>
    </w:pPr>
    <w:rPr>
      <w:rFonts w:eastAsia="Calibri"/>
      <w:szCs w:val="22"/>
      <w:lang w:eastAsia="en-US"/>
    </w:rPr>
  </w:style>
  <w:style w:type="paragraph" w:customStyle="1" w:styleId="paranumbering0">
    <w:name w:val="paranumbering"/>
    <w:basedOn w:val="Normal"/>
    <w:uiPriority w:val="99"/>
    <w:rsid w:val="00741F92"/>
    <w:pPr>
      <w:spacing w:before="100" w:beforeAutospacing="1" w:after="100" w:afterAutospacing="1"/>
    </w:pPr>
    <w:rPr>
      <w:rFonts w:eastAsiaTheme="minorHAnsi"/>
      <w:szCs w:val="24"/>
    </w:rPr>
  </w:style>
  <w:style w:type="paragraph" w:customStyle="1" w:styleId="numberlist">
    <w:name w:val="number_list"/>
    <w:basedOn w:val="Normal"/>
    <w:uiPriority w:val="99"/>
    <w:rsid w:val="00741F92"/>
    <w:pPr>
      <w:numPr>
        <w:numId w:val="2"/>
      </w:numPr>
      <w:spacing w:after="120"/>
    </w:pPr>
    <w:rPr>
      <w:rFonts w:eastAsiaTheme="minorHAnsi"/>
      <w:szCs w:val="24"/>
    </w:rPr>
  </w:style>
  <w:style w:type="character" w:styleId="Hyperlink">
    <w:name w:val="Hyperlink"/>
    <w:basedOn w:val="DefaultParagraphFont"/>
    <w:uiPriority w:val="99"/>
    <w:unhideWhenUsed/>
    <w:rsid w:val="00741F92"/>
    <w:rPr>
      <w:color w:val="0000FF" w:themeColor="hyperlink"/>
      <w:u w:val="single"/>
    </w:rPr>
  </w:style>
  <w:style w:type="paragraph" w:customStyle="1" w:styleId="CABNETParagraphAtt">
    <w:name w:val="CABNET Paragraph Att"/>
    <w:basedOn w:val="Normal"/>
    <w:link w:val="CABNETParagraphAttChar"/>
    <w:qFormat/>
    <w:rsid w:val="00010368"/>
    <w:pPr>
      <w:spacing w:before="120" w:after="120"/>
    </w:pPr>
    <w:rPr>
      <w:rFonts w:ascii="Verdana" w:hAnsi="Verdana"/>
      <w:sz w:val="22"/>
      <w:szCs w:val="24"/>
    </w:rPr>
  </w:style>
  <w:style w:type="character" w:customStyle="1" w:styleId="CABNETParagraphAttChar">
    <w:name w:val="CABNET Paragraph Att Char"/>
    <w:basedOn w:val="DefaultParagraphFont"/>
    <w:link w:val="CABNETParagraphAtt"/>
    <w:rsid w:val="00010368"/>
    <w:rPr>
      <w:rFonts w:ascii="Verdana" w:eastAsia="Times New Roman" w:hAnsi="Verdana" w:cs="Times New Roman"/>
      <w:szCs w:val="24"/>
      <w:lang w:eastAsia="en-AU"/>
    </w:rPr>
  </w:style>
  <w:style w:type="paragraph" w:styleId="NormalWeb">
    <w:name w:val="Normal (Web)"/>
    <w:basedOn w:val="Normal"/>
    <w:uiPriority w:val="99"/>
    <w:unhideWhenUsed/>
    <w:rsid w:val="00010368"/>
    <w:pPr>
      <w:spacing w:after="288"/>
    </w:pPr>
    <w:rPr>
      <w:szCs w:val="24"/>
    </w:rPr>
  </w:style>
  <w:style w:type="paragraph" w:styleId="FootnoteText">
    <w:name w:val="footnote text"/>
    <w:basedOn w:val="Normal"/>
    <w:link w:val="FootnoteTextChar"/>
    <w:rsid w:val="00010368"/>
    <w:rPr>
      <w:sz w:val="20"/>
    </w:rPr>
  </w:style>
  <w:style w:type="character" w:customStyle="1" w:styleId="FootnoteTextChar">
    <w:name w:val="Footnote Text Char"/>
    <w:basedOn w:val="DefaultParagraphFont"/>
    <w:link w:val="FootnoteText"/>
    <w:rsid w:val="00010368"/>
    <w:rPr>
      <w:rFonts w:ascii="Times New Roman" w:eastAsia="Times New Roman" w:hAnsi="Times New Roman" w:cs="Times New Roman"/>
      <w:sz w:val="20"/>
      <w:szCs w:val="20"/>
      <w:lang w:eastAsia="en-AU"/>
    </w:rPr>
  </w:style>
  <w:style w:type="character" w:customStyle="1" w:styleId="StyleBody">
    <w:name w:val="Style +Body"/>
    <w:basedOn w:val="DefaultParagraphFont"/>
    <w:rsid w:val="00064E4C"/>
    <w:rPr>
      <w:rFonts w:asciiTheme="minorHAnsi" w:hAnsiTheme="minorHAnsi"/>
    </w:rPr>
  </w:style>
  <w:style w:type="character" w:customStyle="1" w:styleId="ListParagraphChar">
    <w:name w:val="List Paragraph Char"/>
    <w:aliases w:val="NFP GP Bulleted List Char,List Paragraph1 Char,Recommendation Char,List Paragraph11 Char"/>
    <w:basedOn w:val="DefaultParagraphFont"/>
    <w:link w:val="ListParagraph"/>
    <w:uiPriority w:val="34"/>
    <w:locked/>
    <w:rsid w:val="00064E4C"/>
    <w:rPr>
      <w:rFonts w:ascii="Times New Roman" w:eastAsia="Calibri" w:hAnsi="Times New Roman" w:cs="Times New Roman"/>
      <w:sz w:val="24"/>
    </w:rPr>
  </w:style>
  <w:style w:type="paragraph" w:styleId="CommentText">
    <w:name w:val="annotation text"/>
    <w:basedOn w:val="Normal"/>
    <w:link w:val="CommentTextChar"/>
    <w:unhideWhenUsed/>
    <w:rsid w:val="00064E4C"/>
    <w:rPr>
      <w:rFonts w:ascii="Calibri" w:eastAsiaTheme="minorHAnsi" w:hAnsi="Calibri" w:cs="Calibri"/>
      <w:sz w:val="20"/>
    </w:rPr>
  </w:style>
  <w:style w:type="character" w:customStyle="1" w:styleId="CommentTextChar">
    <w:name w:val="Comment Text Char"/>
    <w:basedOn w:val="DefaultParagraphFont"/>
    <w:link w:val="CommentText"/>
    <w:rsid w:val="00064E4C"/>
    <w:rPr>
      <w:rFonts w:ascii="Calibri" w:hAnsi="Calibri" w:cs="Calibri"/>
      <w:sz w:val="20"/>
      <w:szCs w:val="20"/>
      <w:lang w:eastAsia="en-AU"/>
    </w:rPr>
  </w:style>
  <w:style w:type="paragraph" w:customStyle="1" w:styleId="Default">
    <w:name w:val="Default"/>
    <w:basedOn w:val="Normal"/>
    <w:rsid w:val="00F33CA8"/>
    <w:pPr>
      <w:autoSpaceDE w:val="0"/>
      <w:autoSpaceDN w:val="0"/>
    </w:pPr>
    <w:rPr>
      <w:rFonts w:eastAsiaTheme="minorHAnsi"/>
      <w:color w:val="000000"/>
      <w:szCs w:val="24"/>
    </w:rPr>
  </w:style>
  <w:style w:type="character" w:styleId="CommentReference">
    <w:name w:val="annotation reference"/>
    <w:basedOn w:val="DefaultParagraphFont"/>
    <w:unhideWhenUsed/>
    <w:rsid w:val="002A1213"/>
    <w:rPr>
      <w:sz w:val="16"/>
      <w:szCs w:val="16"/>
    </w:rPr>
  </w:style>
  <w:style w:type="paragraph" w:styleId="BalloonText">
    <w:name w:val="Balloon Text"/>
    <w:basedOn w:val="Normal"/>
    <w:link w:val="BalloonTextChar"/>
    <w:uiPriority w:val="99"/>
    <w:semiHidden/>
    <w:unhideWhenUsed/>
    <w:rsid w:val="002A1213"/>
    <w:rPr>
      <w:rFonts w:ascii="Tahoma" w:hAnsi="Tahoma" w:cs="Tahoma"/>
      <w:sz w:val="16"/>
      <w:szCs w:val="16"/>
    </w:rPr>
  </w:style>
  <w:style w:type="character" w:customStyle="1" w:styleId="BalloonTextChar">
    <w:name w:val="Balloon Text Char"/>
    <w:basedOn w:val="DefaultParagraphFont"/>
    <w:link w:val="BalloonText"/>
    <w:uiPriority w:val="99"/>
    <w:semiHidden/>
    <w:rsid w:val="002A1213"/>
    <w:rPr>
      <w:rFonts w:ascii="Tahoma" w:eastAsia="Times New Roman" w:hAnsi="Tahoma" w:cs="Tahoma"/>
      <w:sz w:val="16"/>
      <w:szCs w:val="16"/>
      <w:lang w:eastAsia="en-AU"/>
    </w:rPr>
  </w:style>
  <w:style w:type="paragraph" w:customStyle="1" w:styleId="CABBackGround">
    <w:name w:val="CABBackGround"/>
    <w:basedOn w:val="Normal"/>
    <w:link w:val="CABBackGroundChar1"/>
    <w:rsid w:val="005275EB"/>
    <w:pPr>
      <w:spacing w:line="360" w:lineRule="auto"/>
    </w:pPr>
  </w:style>
  <w:style w:type="character" w:customStyle="1" w:styleId="CABBackGroundChar1">
    <w:name w:val="CABBackGround Char1"/>
    <w:basedOn w:val="DefaultParagraphFont"/>
    <w:link w:val="CABBackGround"/>
    <w:rsid w:val="005275EB"/>
    <w:rPr>
      <w:rFonts w:ascii="Times New Roman" w:eastAsia="Times New Roman" w:hAnsi="Times New Roman" w:cs="Times New Roman"/>
      <w:sz w:val="24"/>
      <w:szCs w:val="20"/>
      <w:lang w:eastAsia="en-AU"/>
    </w:rPr>
  </w:style>
  <w:style w:type="paragraph" w:customStyle="1" w:styleId="Quotation">
    <w:name w:val="Quotation"/>
    <w:basedOn w:val="Normal"/>
    <w:uiPriority w:val="99"/>
    <w:rsid w:val="000931EB"/>
    <w:pPr>
      <w:numPr>
        <w:numId w:val="3"/>
      </w:numPr>
      <w:spacing w:after="140" w:line="260" w:lineRule="atLeast"/>
    </w:pPr>
    <w:rPr>
      <w:rFonts w:ascii="Arial" w:eastAsiaTheme="minorHAnsi" w:hAnsi="Arial" w:cs="Arial"/>
      <w:sz w:val="20"/>
    </w:rPr>
  </w:style>
  <w:style w:type="paragraph" w:customStyle="1" w:styleId="Quotation1">
    <w:name w:val="Quotation 1"/>
    <w:basedOn w:val="Normal"/>
    <w:uiPriority w:val="99"/>
    <w:rsid w:val="000931EB"/>
    <w:pPr>
      <w:numPr>
        <w:ilvl w:val="1"/>
        <w:numId w:val="3"/>
      </w:numPr>
      <w:spacing w:after="140" w:line="260" w:lineRule="atLeast"/>
    </w:pPr>
    <w:rPr>
      <w:rFonts w:ascii="Arial" w:eastAsiaTheme="minorHAnsi" w:hAnsi="Arial" w:cs="Arial"/>
      <w:sz w:val="20"/>
    </w:rPr>
  </w:style>
  <w:style w:type="paragraph" w:customStyle="1" w:styleId="Quotation2">
    <w:name w:val="Quotation 2"/>
    <w:basedOn w:val="Normal"/>
    <w:uiPriority w:val="99"/>
    <w:rsid w:val="000931EB"/>
    <w:pPr>
      <w:numPr>
        <w:ilvl w:val="2"/>
        <w:numId w:val="3"/>
      </w:numPr>
      <w:spacing w:after="140" w:line="260" w:lineRule="atLeast"/>
    </w:pPr>
    <w:rPr>
      <w:rFonts w:ascii="Arial" w:eastAsiaTheme="minorHAnsi" w:hAnsi="Arial" w:cs="Arial"/>
      <w:sz w:val="20"/>
    </w:rPr>
  </w:style>
  <w:style w:type="paragraph" w:customStyle="1" w:styleId="Quotation3">
    <w:name w:val="Quotation 3"/>
    <w:basedOn w:val="Normal"/>
    <w:uiPriority w:val="99"/>
    <w:rsid w:val="000931EB"/>
    <w:pPr>
      <w:numPr>
        <w:ilvl w:val="3"/>
        <w:numId w:val="3"/>
      </w:numPr>
      <w:spacing w:after="140" w:line="260" w:lineRule="atLeast"/>
    </w:pPr>
    <w:rPr>
      <w:rFonts w:ascii="Arial" w:eastAsiaTheme="minorHAnsi" w:hAnsi="Arial" w:cs="Arial"/>
      <w:sz w:val="20"/>
    </w:rPr>
  </w:style>
  <w:style w:type="paragraph" w:customStyle="1" w:styleId="Quotation4">
    <w:name w:val="Quotation 4"/>
    <w:basedOn w:val="Normal"/>
    <w:uiPriority w:val="99"/>
    <w:rsid w:val="000931EB"/>
    <w:pPr>
      <w:numPr>
        <w:ilvl w:val="4"/>
        <w:numId w:val="3"/>
      </w:numPr>
      <w:spacing w:after="140" w:line="260" w:lineRule="atLeast"/>
    </w:pPr>
    <w:rPr>
      <w:rFonts w:ascii="Arial" w:eastAsiaTheme="minorHAnsi" w:hAnsi="Arial" w:cs="Arial"/>
      <w:sz w:val="20"/>
    </w:rPr>
  </w:style>
  <w:style w:type="paragraph" w:customStyle="1" w:styleId="Quotation5">
    <w:name w:val="Quotation 5"/>
    <w:basedOn w:val="Normal"/>
    <w:uiPriority w:val="99"/>
    <w:rsid w:val="000931EB"/>
    <w:pPr>
      <w:numPr>
        <w:ilvl w:val="5"/>
        <w:numId w:val="3"/>
      </w:numPr>
      <w:spacing w:after="140" w:line="260" w:lineRule="atLeast"/>
    </w:pPr>
    <w:rPr>
      <w:rFonts w:ascii="Arial" w:eastAsiaTheme="minorHAnsi" w:hAnsi="Arial" w:cs="Arial"/>
      <w:sz w:val="20"/>
    </w:rPr>
  </w:style>
  <w:style w:type="paragraph" w:customStyle="1" w:styleId="Quotation6">
    <w:name w:val="Quotation 6"/>
    <w:basedOn w:val="Normal"/>
    <w:uiPriority w:val="99"/>
    <w:rsid w:val="000931EB"/>
    <w:pPr>
      <w:numPr>
        <w:ilvl w:val="6"/>
        <w:numId w:val="3"/>
      </w:numPr>
      <w:spacing w:after="140" w:line="260" w:lineRule="atLeast"/>
    </w:pPr>
    <w:rPr>
      <w:rFonts w:ascii="Arial" w:eastAsiaTheme="minorHAnsi" w:hAnsi="Arial" w:cs="Arial"/>
      <w:sz w:val="20"/>
    </w:rPr>
  </w:style>
  <w:style w:type="paragraph" w:customStyle="1" w:styleId="Quotation7">
    <w:name w:val="Quotation 7"/>
    <w:basedOn w:val="Normal"/>
    <w:uiPriority w:val="99"/>
    <w:rsid w:val="000931EB"/>
    <w:pPr>
      <w:numPr>
        <w:ilvl w:val="7"/>
        <w:numId w:val="3"/>
      </w:numPr>
      <w:spacing w:after="140" w:line="260" w:lineRule="atLeast"/>
    </w:pPr>
    <w:rPr>
      <w:rFonts w:ascii="Arial" w:eastAsiaTheme="minorHAnsi" w:hAnsi="Arial" w:cs="Arial"/>
      <w:sz w:val="20"/>
    </w:rPr>
  </w:style>
  <w:style w:type="paragraph" w:customStyle="1" w:styleId="Quotation8">
    <w:name w:val="Quotation 8"/>
    <w:basedOn w:val="Normal"/>
    <w:uiPriority w:val="99"/>
    <w:rsid w:val="000931EB"/>
    <w:pPr>
      <w:numPr>
        <w:ilvl w:val="8"/>
        <w:numId w:val="3"/>
      </w:numPr>
      <w:spacing w:after="140" w:line="260" w:lineRule="atLeast"/>
    </w:pPr>
    <w:rPr>
      <w:rFonts w:ascii="Arial" w:eastAsiaTheme="minorHAnsi" w:hAnsi="Arial" w:cs="Arial"/>
      <w:sz w:val="20"/>
    </w:rPr>
  </w:style>
  <w:style w:type="paragraph" w:customStyle="1" w:styleId="PlainParagraph">
    <w:name w:val="Plain Paragraph"/>
    <w:aliases w:val="PP"/>
    <w:basedOn w:val="Normal"/>
    <w:link w:val="PlainParagraphChar"/>
    <w:qFormat/>
    <w:rsid w:val="000931EB"/>
    <w:pPr>
      <w:spacing w:before="140" w:after="140" w:line="280" w:lineRule="atLeast"/>
    </w:pPr>
    <w:rPr>
      <w:rFonts w:ascii="Arial" w:eastAsiaTheme="minorHAnsi" w:hAnsi="Arial" w:cs="Arial"/>
      <w:sz w:val="22"/>
      <w:szCs w:val="22"/>
    </w:rPr>
  </w:style>
  <w:style w:type="numbering" w:customStyle="1" w:styleId="Style1">
    <w:name w:val="Style1"/>
    <w:uiPriority w:val="99"/>
    <w:rsid w:val="009432B0"/>
    <w:pPr>
      <w:numPr>
        <w:numId w:val="4"/>
      </w:numPr>
    </w:pPr>
  </w:style>
  <w:style w:type="paragraph" w:styleId="CommentSubject">
    <w:name w:val="annotation subject"/>
    <w:basedOn w:val="CommentText"/>
    <w:next w:val="CommentText"/>
    <w:link w:val="CommentSubjectChar"/>
    <w:uiPriority w:val="99"/>
    <w:semiHidden/>
    <w:unhideWhenUsed/>
    <w:rsid w:val="00C82A42"/>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C82A42"/>
    <w:rPr>
      <w:rFonts w:ascii="Times New Roman" w:eastAsia="Times New Roman" w:hAnsi="Times New Roman" w:cs="Times New Roman"/>
      <w:b/>
      <w:bCs/>
      <w:sz w:val="20"/>
      <w:szCs w:val="20"/>
      <w:lang w:eastAsia="en-AU"/>
    </w:rPr>
  </w:style>
  <w:style w:type="paragraph" w:customStyle="1" w:styleId="Question">
    <w:name w:val="Question"/>
    <w:aliases w:val="?Q"/>
    <w:basedOn w:val="PlainParagraph"/>
    <w:next w:val="Normal"/>
    <w:uiPriority w:val="7"/>
    <w:qFormat/>
    <w:rsid w:val="00AB1D87"/>
    <w:pPr>
      <w:keepNext/>
      <w:widowControl w:val="0"/>
      <w:tabs>
        <w:tab w:val="left" w:pos="425"/>
        <w:tab w:val="left" w:pos="850"/>
      </w:tabs>
      <w:ind w:left="850" w:hanging="850"/>
    </w:pPr>
    <w:rPr>
      <w:rFonts w:eastAsia="Times New Roman"/>
      <w:i/>
    </w:rPr>
  </w:style>
  <w:style w:type="character" w:customStyle="1" w:styleId="PlainParagraphChar">
    <w:name w:val="Plain Paragraph Char"/>
    <w:aliases w:val="PP Char"/>
    <w:basedOn w:val="DefaultParagraphFont"/>
    <w:link w:val="PlainParagraph"/>
    <w:rsid w:val="00AB1D87"/>
    <w:rPr>
      <w:rFonts w:ascii="Arial" w:hAnsi="Arial" w:cs="Arial"/>
      <w:lang w:eastAsia="en-AU"/>
    </w:rPr>
  </w:style>
  <w:style w:type="paragraph" w:customStyle="1" w:styleId="base-text-paragraph">
    <w:name w:val="base-text-paragraph"/>
    <w:rsid w:val="00C748C6"/>
    <w:pPr>
      <w:tabs>
        <w:tab w:val="left" w:pos="1987"/>
      </w:tabs>
      <w:spacing w:before="120" w:after="120" w:line="240" w:lineRule="auto"/>
      <w:ind w:left="1140"/>
    </w:pPr>
    <w:rPr>
      <w:rFonts w:ascii="Times New Roman" w:eastAsia="Times New Roman" w:hAnsi="Times New Roman" w:cs="Times New Roman"/>
      <w:sz w:val="24"/>
      <w:szCs w:val="20"/>
      <w:lang w:eastAsia="en-AU"/>
    </w:rPr>
  </w:style>
  <w:style w:type="numbering" w:customStyle="1" w:styleId="BulletList">
    <w:name w:val="Bullet List"/>
    <w:rsid w:val="000235E9"/>
    <w:pPr>
      <w:numPr>
        <w:numId w:val="20"/>
      </w:numPr>
    </w:pPr>
  </w:style>
  <w:style w:type="paragraph" w:styleId="ListBullet">
    <w:name w:val="List Bullet"/>
    <w:basedOn w:val="Normal"/>
    <w:uiPriority w:val="99"/>
    <w:unhideWhenUsed/>
    <w:qFormat/>
    <w:rsid w:val="000235E9"/>
    <w:pPr>
      <w:numPr>
        <w:numId w:val="21"/>
      </w:numPr>
      <w:spacing w:after="200" w:line="276" w:lineRule="auto"/>
    </w:pPr>
    <w:rPr>
      <w:rFonts w:ascii="Arial" w:eastAsia="Calibri" w:hAnsi="Arial"/>
      <w:sz w:val="22"/>
      <w:szCs w:val="22"/>
      <w:lang w:eastAsia="en-US"/>
    </w:rPr>
  </w:style>
  <w:style w:type="paragraph" w:styleId="ListBullet2">
    <w:name w:val="List Bullet 2"/>
    <w:basedOn w:val="Normal"/>
    <w:uiPriority w:val="99"/>
    <w:unhideWhenUsed/>
    <w:rsid w:val="000235E9"/>
    <w:pPr>
      <w:numPr>
        <w:ilvl w:val="1"/>
        <w:numId w:val="21"/>
      </w:numPr>
      <w:spacing w:after="200" w:line="276" w:lineRule="auto"/>
    </w:pPr>
    <w:rPr>
      <w:rFonts w:ascii="Arial" w:eastAsia="Calibri" w:hAnsi="Arial"/>
      <w:sz w:val="22"/>
      <w:szCs w:val="22"/>
      <w:lang w:eastAsia="en-US"/>
    </w:rPr>
  </w:style>
  <w:style w:type="paragraph" w:styleId="ListBullet3">
    <w:name w:val="List Bullet 3"/>
    <w:basedOn w:val="Normal"/>
    <w:uiPriority w:val="99"/>
    <w:unhideWhenUsed/>
    <w:rsid w:val="000235E9"/>
    <w:pPr>
      <w:numPr>
        <w:ilvl w:val="2"/>
        <w:numId w:val="21"/>
      </w:numPr>
      <w:spacing w:after="200" w:line="276" w:lineRule="auto"/>
    </w:pPr>
    <w:rPr>
      <w:rFonts w:ascii="Arial" w:eastAsia="Calibri" w:hAnsi="Arial"/>
      <w:sz w:val="22"/>
      <w:szCs w:val="22"/>
      <w:lang w:eastAsia="en-US"/>
    </w:rPr>
  </w:style>
  <w:style w:type="paragraph" w:styleId="ListBullet4">
    <w:name w:val="List Bullet 4"/>
    <w:basedOn w:val="Normal"/>
    <w:uiPriority w:val="99"/>
    <w:unhideWhenUsed/>
    <w:rsid w:val="000235E9"/>
    <w:pPr>
      <w:numPr>
        <w:ilvl w:val="3"/>
        <w:numId w:val="21"/>
      </w:numPr>
      <w:spacing w:after="200" w:line="276" w:lineRule="auto"/>
    </w:pPr>
    <w:rPr>
      <w:rFonts w:ascii="Arial" w:eastAsia="Calibri" w:hAnsi="Arial"/>
      <w:sz w:val="22"/>
      <w:szCs w:val="22"/>
      <w:lang w:eastAsia="en-US"/>
    </w:rPr>
  </w:style>
  <w:style w:type="paragraph" w:styleId="ListBullet5">
    <w:name w:val="List Bullet 5"/>
    <w:basedOn w:val="Normal"/>
    <w:uiPriority w:val="99"/>
    <w:unhideWhenUsed/>
    <w:rsid w:val="000235E9"/>
    <w:pPr>
      <w:numPr>
        <w:ilvl w:val="4"/>
        <w:numId w:val="21"/>
      </w:numPr>
      <w:spacing w:after="200" w:line="276" w:lineRule="auto"/>
    </w:pPr>
    <w:rPr>
      <w:rFonts w:ascii="Arial" w:eastAsia="Calibri" w:hAnsi="Arial"/>
      <w:sz w:val="22"/>
      <w:szCs w:val="22"/>
      <w:lang w:eastAsia="en-US"/>
    </w:rPr>
  </w:style>
  <w:style w:type="paragraph" w:styleId="PlainText">
    <w:name w:val="Plain Text"/>
    <w:basedOn w:val="Normal"/>
    <w:link w:val="PlainTextChar"/>
    <w:uiPriority w:val="99"/>
    <w:unhideWhenUsed/>
    <w:rsid w:val="00622267"/>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622267"/>
    <w:rPr>
      <w:rFonts w:ascii="Consolas" w:hAnsi="Consolas" w:cs="Consolas"/>
      <w:sz w:val="21"/>
      <w:szCs w:val="21"/>
      <w:lang w:eastAsia="en-AU"/>
    </w:rPr>
  </w:style>
  <w:style w:type="paragraph" w:customStyle="1" w:styleId="Exampletextbullet">
    <w:name w:val="Example text bullet"/>
    <w:basedOn w:val="Normal"/>
    <w:rsid w:val="00AF0637"/>
    <w:pPr>
      <w:numPr>
        <w:numId w:val="29"/>
      </w:numPr>
      <w:spacing w:after="240" w:line="260" w:lineRule="exact"/>
      <w:jc w:val="both"/>
    </w:pPr>
    <w:rPr>
      <w:rFonts w:ascii="Book Antiqua" w:hAnsi="Book Antiqua"/>
      <w:i/>
      <w:color w:val="FF0000"/>
      <w:sz w:val="20"/>
    </w:rPr>
  </w:style>
  <w:style w:type="paragraph" w:customStyle="1" w:styleId="Exampletextdash">
    <w:name w:val="Example text dash"/>
    <w:basedOn w:val="Exampletextbullet"/>
    <w:rsid w:val="00AF0637"/>
    <w:pPr>
      <w:numPr>
        <w:ilvl w:val="1"/>
      </w:numPr>
    </w:pPr>
  </w:style>
  <w:style w:type="character" w:styleId="FollowedHyperlink">
    <w:name w:val="FollowedHyperlink"/>
    <w:basedOn w:val="DefaultParagraphFont"/>
    <w:uiPriority w:val="99"/>
    <w:semiHidden/>
    <w:unhideWhenUsed/>
    <w:rsid w:val="00070277"/>
    <w:rPr>
      <w:color w:val="800080" w:themeColor="followedHyperlink"/>
      <w:u w:val="single"/>
    </w:rPr>
  </w:style>
  <w:style w:type="character" w:customStyle="1" w:styleId="Heading3Char">
    <w:name w:val="Heading 3 Char"/>
    <w:basedOn w:val="DefaultParagraphFont"/>
    <w:link w:val="Heading3"/>
    <w:uiPriority w:val="9"/>
    <w:rsid w:val="00BF409C"/>
    <w:rPr>
      <w:rFonts w:asciiTheme="majorHAnsi" w:eastAsiaTheme="majorEastAsia" w:hAnsiTheme="majorHAnsi" w:cstheme="majorBidi"/>
      <w:b/>
      <w:bCs/>
      <w:color w:val="4F81BD" w:themeColor="accent1"/>
      <w:sz w:val="24"/>
      <w:szCs w:val="20"/>
      <w:lang w:eastAsia="en-AU"/>
    </w:rPr>
  </w:style>
  <w:style w:type="paragraph" w:customStyle="1" w:styleId="shortt">
    <w:name w:val="shortt"/>
    <w:basedOn w:val="Normal"/>
    <w:rsid w:val="006251BA"/>
    <w:pPr>
      <w:spacing w:before="100" w:beforeAutospacing="1" w:after="100" w:afterAutospacing="1"/>
    </w:pPr>
    <w:rPr>
      <w:szCs w:val="24"/>
    </w:rPr>
  </w:style>
  <w:style w:type="character" w:styleId="FootnoteReference">
    <w:name w:val="footnote reference"/>
    <w:semiHidden/>
    <w:rsid w:val="00CB1162"/>
    <w:rPr>
      <w:rFonts w:cs="Times New Roman"/>
      <w:vertAlign w:val="superscript"/>
    </w:rPr>
  </w:style>
  <w:style w:type="paragraph" w:customStyle="1" w:styleId="Definition">
    <w:name w:val="Definition"/>
    <w:aliases w:val="dd"/>
    <w:basedOn w:val="Normal"/>
    <w:rsid w:val="000166F8"/>
    <w:pPr>
      <w:spacing w:before="180"/>
      <w:ind w:left="1134"/>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760">
      <w:bodyDiv w:val="1"/>
      <w:marLeft w:val="0"/>
      <w:marRight w:val="0"/>
      <w:marTop w:val="0"/>
      <w:marBottom w:val="0"/>
      <w:divBdr>
        <w:top w:val="none" w:sz="0" w:space="0" w:color="auto"/>
        <w:left w:val="none" w:sz="0" w:space="0" w:color="auto"/>
        <w:bottom w:val="none" w:sz="0" w:space="0" w:color="auto"/>
        <w:right w:val="none" w:sz="0" w:space="0" w:color="auto"/>
      </w:divBdr>
    </w:div>
    <w:div w:id="25718343">
      <w:bodyDiv w:val="1"/>
      <w:marLeft w:val="0"/>
      <w:marRight w:val="0"/>
      <w:marTop w:val="0"/>
      <w:marBottom w:val="0"/>
      <w:divBdr>
        <w:top w:val="none" w:sz="0" w:space="0" w:color="auto"/>
        <w:left w:val="none" w:sz="0" w:space="0" w:color="auto"/>
        <w:bottom w:val="none" w:sz="0" w:space="0" w:color="auto"/>
        <w:right w:val="none" w:sz="0" w:space="0" w:color="auto"/>
      </w:divBdr>
    </w:div>
    <w:div w:id="55787628">
      <w:bodyDiv w:val="1"/>
      <w:marLeft w:val="0"/>
      <w:marRight w:val="0"/>
      <w:marTop w:val="0"/>
      <w:marBottom w:val="0"/>
      <w:divBdr>
        <w:top w:val="none" w:sz="0" w:space="0" w:color="auto"/>
        <w:left w:val="none" w:sz="0" w:space="0" w:color="auto"/>
        <w:bottom w:val="none" w:sz="0" w:space="0" w:color="auto"/>
        <w:right w:val="none" w:sz="0" w:space="0" w:color="auto"/>
      </w:divBdr>
    </w:div>
    <w:div w:id="95564793">
      <w:bodyDiv w:val="1"/>
      <w:marLeft w:val="0"/>
      <w:marRight w:val="0"/>
      <w:marTop w:val="0"/>
      <w:marBottom w:val="0"/>
      <w:divBdr>
        <w:top w:val="none" w:sz="0" w:space="0" w:color="auto"/>
        <w:left w:val="none" w:sz="0" w:space="0" w:color="auto"/>
        <w:bottom w:val="none" w:sz="0" w:space="0" w:color="auto"/>
        <w:right w:val="none" w:sz="0" w:space="0" w:color="auto"/>
      </w:divBdr>
      <w:divsChild>
        <w:div w:id="534582730">
          <w:marLeft w:val="0"/>
          <w:marRight w:val="0"/>
          <w:marTop w:val="0"/>
          <w:marBottom w:val="0"/>
          <w:divBdr>
            <w:top w:val="none" w:sz="0" w:space="0" w:color="auto"/>
            <w:left w:val="none" w:sz="0" w:space="0" w:color="auto"/>
            <w:bottom w:val="none" w:sz="0" w:space="0" w:color="auto"/>
            <w:right w:val="none" w:sz="0" w:space="0" w:color="auto"/>
          </w:divBdr>
          <w:divsChild>
            <w:div w:id="241571115">
              <w:marLeft w:val="0"/>
              <w:marRight w:val="0"/>
              <w:marTop w:val="0"/>
              <w:marBottom w:val="0"/>
              <w:divBdr>
                <w:top w:val="none" w:sz="0" w:space="0" w:color="auto"/>
                <w:left w:val="none" w:sz="0" w:space="0" w:color="auto"/>
                <w:bottom w:val="none" w:sz="0" w:space="0" w:color="auto"/>
                <w:right w:val="none" w:sz="0" w:space="0" w:color="auto"/>
              </w:divBdr>
              <w:divsChild>
                <w:div w:id="2012487382">
                  <w:marLeft w:val="0"/>
                  <w:marRight w:val="0"/>
                  <w:marTop w:val="0"/>
                  <w:marBottom w:val="0"/>
                  <w:divBdr>
                    <w:top w:val="none" w:sz="0" w:space="0" w:color="auto"/>
                    <w:left w:val="none" w:sz="0" w:space="0" w:color="auto"/>
                    <w:bottom w:val="none" w:sz="0" w:space="0" w:color="auto"/>
                    <w:right w:val="none" w:sz="0" w:space="0" w:color="auto"/>
                  </w:divBdr>
                  <w:divsChild>
                    <w:div w:id="811748811">
                      <w:marLeft w:val="0"/>
                      <w:marRight w:val="0"/>
                      <w:marTop w:val="0"/>
                      <w:marBottom w:val="0"/>
                      <w:divBdr>
                        <w:top w:val="none" w:sz="0" w:space="0" w:color="auto"/>
                        <w:left w:val="none" w:sz="0" w:space="0" w:color="auto"/>
                        <w:bottom w:val="none" w:sz="0" w:space="0" w:color="auto"/>
                        <w:right w:val="none" w:sz="0" w:space="0" w:color="auto"/>
                      </w:divBdr>
                      <w:divsChild>
                        <w:div w:id="1319770115">
                          <w:marLeft w:val="0"/>
                          <w:marRight w:val="0"/>
                          <w:marTop w:val="0"/>
                          <w:marBottom w:val="0"/>
                          <w:divBdr>
                            <w:top w:val="single" w:sz="6" w:space="0" w:color="828282"/>
                            <w:left w:val="single" w:sz="6" w:space="0" w:color="828282"/>
                            <w:bottom w:val="single" w:sz="6" w:space="0" w:color="828282"/>
                            <w:right w:val="single" w:sz="6" w:space="0" w:color="828282"/>
                          </w:divBdr>
                          <w:divsChild>
                            <w:div w:id="255596898">
                              <w:marLeft w:val="0"/>
                              <w:marRight w:val="0"/>
                              <w:marTop w:val="0"/>
                              <w:marBottom w:val="0"/>
                              <w:divBdr>
                                <w:top w:val="none" w:sz="0" w:space="0" w:color="auto"/>
                                <w:left w:val="none" w:sz="0" w:space="0" w:color="auto"/>
                                <w:bottom w:val="none" w:sz="0" w:space="0" w:color="auto"/>
                                <w:right w:val="none" w:sz="0" w:space="0" w:color="auto"/>
                              </w:divBdr>
                              <w:divsChild>
                                <w:div w:id="1527407920">
                                  <w:marLeft w:val="0"/>
                                  <w:marRight w:val="0"/>
                                  <w:marTop w:val="0"/>
                                  <w:marBottom w:val="0"/>
                                  <w:divBdr>
                                    <w:top w:val="none" w:sz="0" w:space="0" w:color="auto"/>
                                    <w:left w:val="none" w:sz="0" w:space="0" w:color="auto"/>
                                    <w:bottom w:val="none" w:sz="0" w:space="0" w:color="auto"/>
                                    <w:right w:val="none" w:sz="0" w:space="0" w:color="auto"/>
                                  </w:divBdr>
                                  <w:divsChild>
                                    <w:div w:id="1903252565">
                                      <w:marLeft w:val="0"/>
                                      <w:marRight w:val="0"/>
                                      <w:marTop w:val="0"/>
                                      <w:marBottom w:val="0"/>
                                      <w:divBdr>
                                        <w:top w:val="none" w:sz="0" w:space="0" w:color="auto"/>
                                        <w:left w:val="none" w:sz="0" w:space="0" w:color="auto"/>
                                        <w:bottom w:val="none" w:sz="0" w:space="0" w:color="auto"/>
                                        <w:right w:val="none" w:sz="0" w:space="0" w:color="auto"/>
                                      </w:divBdr>
                                      <w:divsChild>
                                        <w:div w:id="1089817545">
                                          <w:marLeft w:val="0"/>
                                          <w:marRight w:val="0"/>
                                          <w:marTop w:val="0"/>
                                          <w:marBottom w:val="0"/>
                                          <w:divBdr>
                                            <w:top w:val="none" w:sz="0" w:space="0" w:color="auto"/>
                                            <w:left w:val="none" w:sz="0" w:space="0" w:color="auto"/>
                                            <w:bottom w:val="none" w:sz="0" w:space="0" w:color="auto"/>
                                            <w:right w:val="none" w:sz="0" w:space="0" w:color="auto"/>
                                          </w:divBdr>
                                          <w:divsChild>
                                            <w:div w:id="1791246419">
                                              <w:marLeft w:val="0"/>
                                              <w:marRight w:val="0"/>
                                              <w:marTop w:val="0"/>
                                              <w:marBottom w:val="0"/>
                                              <w:divBdr>
                                                <w:top w:val="none" w:sz="0" w:space="0" w:color="auto"/>
                                                <w:left w:val="none" w:sz="0" w:space="0" w:color="auto"/>
                                                <w:bottom w:val="none" w:sz="0" w:space="0" w:color="auto"/>
                                                <w:right w:val="none" w:sz="0" w:space="0" w:color="auto"/>
                                              </w:divBdr>
                                              <w:divsChild>
                                                <w:div w:id="91921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774864">
      <w:bodyDiv w:val="1"/>
      <w:marLeft w:val="0"/>
      <w:marRight w:val="0"/>
      <w:marTop w:val="0"/>
      <w:marBottom w:val="0"/>
      <w:divBdr>
        <w:top w:val="none" w:sz="0" w:space="0" w:color="auto"/>
        <w:left w:val="none" w:sz="0" w:space="0" w:color="auto"/>
        <w:bottom w:val="none" w:sz="0" w:space="0" w:color="auto"/>
        <w:right w:val="none" w:sz="0" w:space="0" w:color="auto"/>
      </w:divBdr>
    </w:div>
    <w:div w:id="108545727">
      <w:bodyDiv w:val="1"/>
      <w:marLeft w:val="0"/>
      <w:marRight w:val="0"/>
      <w:marTop w:val="0"/>
      <w:marBottom w:val="0"/>
      <w:divBdr>
        <w:top w:val="none" w:sz="0" w:space="0" w:color="auto"/>
        <w:left w:val="none" w:sz="0" w:space="0" w:color="auto"/>
        <w:bottom w:val="none" w:sz="0" w:space="0" w:color="auto"/>
        <w:right w:val="none" w:sz="0" w:space="0" w:color="auto"/>
      </w:divBdr>
    </w:div>
    <w:div w:id="149953870">
      <w:bodyDiv w:val="1"/>
      <w:marLeft w:val="0"/>
      <w:marRight w:val="0"/>
      <w:marTop w:val="0"/>
      <w:marBottom w:val="0"/>
      <w:divBdr>
        <w:top w:val="none" w:sz="0" w:space="0" w:color="auto"/>
        <w:left w:val="none" w:sz="0" w:space="0" w:color="auto"/>
        <w:bottom w:val="none" w:sz="0" w:space="0" w:color="auto"/>
        <w:right w:val="none" w:sz="0" w:space="0" w:color="auto"/>
      </w:divBdr>
    </w:div>
    <w:div w:id="254241797">
      <w:bodyDiv w:val="1"/>
      <w:marLeft w:val="0"/>
      <w:marRight w:val="0"/>
      <w:marTop w:val="0"/>
      <w:marBottom w:val="0"/>
      <w:divBdr>
        <w:top w:val="none" w:sz="0" w:space="0" w:color="auto"/>
        <w:left w:val="none" w:sz="0" w:space="0" w:color="auto"/>
        <w:bottom w:val="none" w:sz="0" w:space="0" w:color="auto"/>
        <w:right w:val="none" w:sz="0" w:space="0" w:color="auto"/>
      </w:divBdr>
    </w:div>
    <w:div w:id="323778327">
      <w:bodyDiv w:val="1"/>
      <w:marLeft w:val="0"/>
      <w:marRight w:val="0"/>
      <w:marTop w:val="0"/>
      <w:marBottom w:val="0"/>
      <w:divBdr>
        <w:top w:val="none" w:sz="0" w:space="0" w:color="auto"/>
        <w:left w:val="none" w:sz="0" w:space="0" w:color="auto"/>
        <w:bottom w:val="none" w:sz="0" w:space="0" w:color="auto"/>
        <w:right w:val="none" w:sz="0" w:space="0" w:color="auto"/>
      </w:divBdr>
    </w:div>
    <w:div w:id="330447094">
      <w:bodyDiv w:val="1"/>
      <w:marLeft w:val="0"/>
      <w:marRight w:val="0"/>
      <w:marTop w:val="0"/>
      <w:marBottom w:val="0"/>
      <w:divBdr>
        <w:top w:val="none" w:sz="0" w:space="0" w:color="auto"/>
        <w:left w:val="none" w:sz="0" w:space="0" w:color="auto"/>
        <w:bottom w:val="none" w:sz="0" w:space="0" w:color="auto"/>
        <w:right w:val="none" w:sz="0" w:space="0" w:color="auto"/>
      </w:divBdr>
    </w:div>
    <w:div w:id="375353769">
      <w:bodyDiv w:val="1"/>
      <w:marLeft w:val="0"/>
      <w:marRight w:val="0"/>
      <w:marTop w:val="0"/>
      <w:marBottom w:val="0"/>
      <w:divBdr>
        <w:top w:val="none" w:sz="0" w:space="0" w:color="auto"/>
        <w:left w:val="none" w:sz="0" w:space="0" w:color="auto"/>
        <w:bottom w:val="none" w:sz="0" w:space="0" w:color="auto"/>
        <w:right w:val="none" w:sz="0" w:space="0" w:color="auto"/>
      </w:divBdr>
    </w:div>
    <w:div w:id="388576057">
      <w:bodyDiv w:val="1"/>
      <w:marLeft w:val="0"/>
      <w:marRight w:val="0"/>
      <w:marTop w:val="0"/>
      <w:marBottom w:val="0"/>
      <w:divBdr>
        <w:top w:val="none" w:sz="0" w:space="0" w:color="auto"/>
        <w:left w:val="none" w:sz="0" w:space="0" w:color="auto"/>
        <w:bottom w:val="none" w:sz="0" w:space="0" w:color="auto"/>
        <w:right w:val="none" w:sz="0" w:space="0" w:color="auto"/>
      </w:divBdr>
    </w:div>
    <w:div w:id="459568485">
      <w:bodyDiv w:val="1"/>
      <w:marLeft w:val="0"/>
      <w:marRight w:val="0"/>
      <w:marTop w:val="0"/>
      <w:marBottom w:val="0"/>
      <w:divBdr>
        <w:top w:val="none" w:sz="0" w:space="0" w:color="auto"/>
        <w:left w:val="none" w:sz="0" w:space="0" w:color="auto"/>
        <w:bottom w:val="none" w:sz="0" w:space="0" w:color="auto"/>
        <w:right w:val="none" w:sz="0" w:space="0" w:color="auto"/>
      </w:divBdr>
    </w:div>
    <w:div w:id="502358452">
      <w:bodyDiv w:val="1"/>
      <w:marLeft w:val="0"/>
      <w:marRight w:val="0"/>
      <w:marTop w:val="0"/>
      <w:marBottom w:val="0"/>
      <w:divBdr>
        <w:top w:val="none" w:sz="0" w:space="0" w:color="auto"/>
        <w:left w:val="none" w:sz="0" w:space="0" w:color="auto"/>
        <w:bottom w:val="none" w:sz="0" w:space="0" w:color="auto"/>
        <w:right w:val="none" w:sz="0" w:space="0" w:color="auto"/>
      </w:divBdr>
    </w:div>
    <w:div w:id="675620006">
      <w:bodyDiv w:val="1"/>
      <w:marLeft w:val="0"/>
      <w:marRight w:val="0"/>
      <w:marTop w:val="0"/>
      <w:marBottom w:val="0"/>
      <w:divBdr>
        <w:top w:val="none" w:sz="0" w:space="0" w:color="auto"/>
        <w:left w:val="none" w:sz="0" w:space="0" w:color="auto"/>
        <w:bottom w:val="none" w:sz="0" w:space="0" w:color="auto"/>
        <w:right w:val="none" w:sz="0" w:space="0" w:color="auto"/>
      </w:divBdr>
    </w:div>
    <w:div w:id="745568493">
      <w:bodyDiv w:val="1"/>
      <w:marLeft w:val="0"/>
      <w:marRight w:val="0"/>
      <w:marTop w:val="0"/>
      <w:marBottom w:val="0"/>
      <w:divBdr>
        <w:top w:val="none" w:sz="0" w:space="0" w:color="auto"/>
        <w:left w:val="none" w:sz="0" w:space="0" w:color="auto"/>
        <w:bottom w:val="none" w:sz="0" w:space="0" w:color="auto"/>
        <w:right w:val="none" w:sz="0" w:space="0" w:color="auto"/>
      </w:divBdr>
    </w:div>
    <w:div w:id="830368198">
      <w:bodyDiv w:val="1"/>
      <w:marLeft w:val="0"/>
      <w:marRight w:val="0"/>
      <w:marTop w:val="0"/>
      <w:marBottom w:val="0"/>
      <w:divBdr>
        <w:top w:val="none" w:sz="0" w:space="0" w:color="auto"/>
        <w:left w:val="none" w:sz="0" w:space="0" w:color="auto"/>
        <w:bottom w:val="none" w:sz="0" w:space="0" w:color="auto"/>
        <w:right w:val="none" w:sz="0" w:space="0" w:color="auto"/>
      </w:divBdr>
    </w:div>
    <w:div w:id="832256816">
      <w:bodyDiv w:val="1"/>
      <w:marLeft w:val="0"/>
      <w:marRight w:val="0"/>
      <w:marTop w:val="0"/>
      <w:marBottom w:val="0"/>
      <w:divBdr>
        <w:top w:val="none" w:sz="0" w:space="0" w:color="auto"/>
        <w:left w:val="none" w:sz="0" w:space="0" w:color="auto"/>
        <w:bottom w:val="none" w:sz="0" w:space="0" w:color="auto"/>
        <w:right w:val="none" w:sz="0" w:space="0" w:color="auto"/>
      </w:divBdr>
    </w:div>
    <w:div w:id="833684757">
      <w:bodyDiv w:val="1"/>
      <w:marLeft w:val="0"/>
      <w:marRight w:val="0"/>
      <w:marTop w:val="0"/>
      <w:marBottom w:val="0"/>
      <w:divBdr>
        <w:top w:val="none" w:sz="0" w:space="0" w:color="auto"/>
        <w:left w:val="none" w:sz="0" w:space="0" w:color="auto"/>
        <w:bottom w:val="none" w:sz="0" w:space="0" w:color="auto"/>
        <w:right w:val="none" w:sz="0" w:space="0" w:color="auto"/>
      </w:divBdr>
    </w:div>
    <w:div w:id="845825290">
      <w:bodyDiv w:val="1"/>
      <w:marLeft w:val="0"/>
      <w:marRight w:val="0"/>
      <w:marTop w:val="0"/>
      <w:marBottom w:val="0"/>
      <w:divBdr>
        <w:top w:val="none" w:sz="0" w:space="0" w:color="auto"/>
        <w:left w:val="none" w:sz="0" w:space="0" w:color="auto"/>
        <w:bottom w:val="none" w:sz="0" w:space="0" w:color="auto"/>
        <w:right w:val="none" w:sz="0" w:space="0" w:color="auto"/>
      </w:divBdr>
    </w:div>
    <w:div w:id="870531164">
      <w:bodyDiv w:val="1"/>
      <w:marLeft w:val="0"/>
      <w:marRight w:val="0"/>
      <w:marTop w:val="0"/>
      <w:marBottom w:val="0"/>
      <w:divBdr>
        <w:top w:val="none" w:sz="0" w:space="0" w:color="auto"/>
        <w:left w:val="none" w:sz="0" w:space="0" w:color="auto"/>
        <w:bottom w:val="none" w:sz="0" w:space="0" w:color="auto"/>
        <w:right w:val="none" w:sz="0" w:space="0" w:color="auto"/>
      </w:divBdr>
    </w:div>
    <w:div w:id="911306152">
      <w:bodyDiv w:val="1"/>
      <w:marLeft w:val="0"/>
      <w:marRight w:val="0"/>
      <w:marTop w:val="0"/>
      <w:marBottom w:val="0"/>
      <w:divBdr>
        <w:top w:val="none" w:sz="0" w:space="0" w:color="auto"/>
        <w:left w:val="none" w:sz="0" w:space="0" w:color="auto"/>
        <w:bottom w:val="none" w:sz="0" w:space="0" w:color="auto"/>
        <w:right w:val="none" w:sz="0" w:space="0" w:color="auto"/>
      </w:divBdr>
    </w:div>
    <w:div w:id="920869748">
      <w:bodyDiv w:val="1"/>
      <w:marLeft w:val="0"/>
      <w:marRight w:val="0"/>
      <w:marTop w:val="0"/>
      <w:marBottom w:val="0"/>
      <w:divBdr>
        <w:top w:val="none" w:sz="0" w:space="0" w:color="auto"/>
        <w:left w:val="none" w:sz="0" w:space="0" w:color="auto"/>
        <w:bottom w:val="none" w:sz="0" w:space="0" w:color="auto"/>
        <w:right w:val="none" w:sz="0" w:space="0" w:color="auto"/>
      </w:divBdr>
    </w:div>
    <w:div w:id="950471639">
      <w:bodyDiv w:val="1"/>
      <w:marLeft w:val="0"/>
      <w:marRight w:val="0"/>
      <w:marTop w:val="0"/>
      <w:marBottom w:val="0"/>
      <w:divBdr>
        <w:top w:val="none" w:sz="0" w:space="0" w:color="auto"/>
        <w:left w:val="none" w:sz="0" w:space="0" w:color="auto"/>
        <w:bottom w:val="none" w:sz="0" w:space="0" w:color="auto"/>
        <w:right w:val="none" w:sz="0" w:space="0" w:color="auto"/>
      </w:divBdr>
    </w:div>
    <w:div w:id="1027027857">
      <w:bodyDiv w:val="1"/>
      <w:marLeft w:val="0"/>
      <w:marRight w:val="0"/>
      <w:marTop w:val="0"/>
      <w:marBottom w:val="0"/>
      <w:divBdr>
        <w:top w:val="none" w:sz="0" w:space="0" w:color="auto"/>
        <w:left w:val="none" w:sz="0" w:space="0" w:color="auto"/>
        <w:bottom w:val="none" w:sz="0" w:space="0" w:color="auto"/>
        <w:right w:val="none" w:sz="0" w:space="0" w:color="auto"/>
      </w:divBdr>
    </w:div>
    <w:div w:id="1049765539">
      <w:bodyDiv w:val="1"/>
      <w:marLeft w:val="0"/>
      <w:marRight w:val="0"/>
      <w:marTop w:val="0"/>
      <w:marBottom w:val="0"/>
      <w:divBdr>
        <w:top w:val="none" w:sz="0" w:space="0" w:color="auto"/>
        <w:left w:val="none" w:sz="0" w:space="0" w:color="auto"/>
        <w:bottom w:val="none" w:sz="0" w:space="0" w:color="auto"/>
        <w:right w:val="none" w:sz="0" w:space="0" w:color="auto"/>
      </w:divBdr>
    </w:div>
    <w:div w:id="1080523011">
      <w:bodyDiv w:val="1"/>
      <w:marLeft w:val="0"/>
      <w:marRight w:val="0"/>
      <w:marTop w:val="0"/>
      <w:marBottom w:val="0"/>
      <w:divBdr>
        <w:top w:val="none" w:sz="0" w:space="0" w:color="auto"/>
        <w:left w:val="none" w:sz="0" w:space="0" w:color="auto"/>
        <w:bottom w:val="none" w:sz="0" w:space="0" w:color="auto"/>
        <w:right w:val="none" w:sz="0" w:space="0" w:color="auto"/>
      </w:divBdr>
    </w:div>
    <w:div w:id="1091389568">
      <w:bodyDiv w:val="1"/>
      <w:marLeft w:val="0"/>
      <w:marRight w:val="0"/>
      <w:marTop w:val="0"/>
      <w:marBottom w:val="0"/>
      <w:divBdr>
        <w:top w:val="none" w:sz="0" w:space="0" w:color="auto"/>
        <w:left w:val="none" w:sz="0" w:space="0" w:color="auto"/>
        <w:bottom w:val="none" w:sz="0" w:space="0" w:color="auto"/>
        <w:right w:val="none" w:sz="0" w:space="0" w:color="auto"/>
      </w:divBdr>
    </w:div>
    <w:div w:id="1133594022">
      <w:bodyDiv w:val="1"/>
      <w:marLeft w:val="0"/>
      <w:marRight w:val="0"/>
      <w:marTop w:val="0"/>
      <w:marBottom w:val="0"/>
      <w:divBdr>
        <w:top w:val="none" w:sz="0" w:space="0" w:color="auto"/>
        <w:left w:val="none" w:sz="0" w:space="0" w:color="auto"/>
        <w:bottom w:val="none" w:sz="0" w:space="0" w:color="auto"/>
        <w:right w:val="none" w:sz="0" w:space="0" w:color="auto"/>
      </w:divBdr>
    </w:div>
    <w:div w:id="1165316555">
      <w:bodyDiv w:val="1"/>
      <w:marLeft w:val="0"/>
      <w:marRight w:val="0"/>
      <w:marTop w:val="0"/>
      <w:marBottom w:val="0"/>
      <w:divBdr>
        <w:top w:val="none" w:sz="0" w:space="0" w:color="auto"/>
        <w:left w:val="none" w:sz="0" w:space="0" w:color="auto"/>
        <w:bottom w:val="none" w:sz="0" w:space="0" w:color="auto"/>
        <w:right w:val="none" w:sz="0" w:space="0" w:color="auto"/>
      </w:divBdr>
    </w:div>
    <w:div w:id="1194539470">
      <w:bodyDiv w:val="1"/>
      <w:marLeft w:val="0"/>
      <w:marRight w:val="0"/>
      <w:marTop w:val="0"/>
      <w:marBottom w:val="0"/>
      <w:divBdr>
        <w:top w:val="none" w:sz="0" w:space="0" w:color="auto"/>
        <w:left w:val="none" w:sz="0" w:space="0" w:color="auto"/>
        <w:bottom w:val="none" w:sz="0" w:space="0" w:color="auto"/>
        <w:right w:val="none" w:sz="0" w:space="0" w:color="auto"/>
      </w:divBdr>
    </w:div>
    <w:div w:id="1202592242">
      <w:bodyDiv w:val="1"/>
      <w:marLeft w:val="0"/>
      <w:marRight w:val="0"/>
      <w:marTop w:val="0"/>
      <w:marBottom w:val="0"/>
      <w:divBdr>
        <w:top w:val="none" w:sz="0" w:space="0" w:color="auto"/>
        <w:left w:val="none" w:sz="0" w:space="0" w:color="auto"/>
        <w:bottom w:val="none" w:sz="0" w:space="0" w:color="auto"/>
        <w:right w:val="none" w:sz="0" w:space="0" w:color="auto"/>
      </w:divBdr>
    </w:div>
    <w:div w:id="1210651040">
      <w:bodyDiv w:val="1"/>
      <w:marLeft w:val="0"/>
      <w:marRight w:val="0"/>
      <w:marTop w:val="0"/>
      <w:marBottom w:val="0"/>
      <w:divBdr>
        <w:top w:val="none" w:sz="0" w:space="0" w:color="auto"/>
        <w:left w:val="none" w:sz="0" w:space="0" w:color="auto"/>
        <w:bottom w:val="none" w:sz="0" w:space="0" w:color="auto"/>
        <w:right w:val="none" w:sz="0" w:space="0" w:color="auto"/>
      </w:divBdr>
    </w:div>
    <w:div w:id="1225412779">
      <w:bodyDiv w:val="1"/>
      <w:marLeft w:val="0"/>
      <w:marRight w:val="0"/>
      <w:marTop w:val="0"/>
      <w:marBottom w:val="0"/>
      <w:divBdr>
        <w:top w:val="none" w:sz="0" w:space="0" w:color="auto"/>
        <w:left w:val="none" w:sz="0" w:space="0" w:color="auto"/>
        <w:bottom w:val="none" w:sz="0" w:space="0" w:color="auto"/>
        <w:right w:val="none" w:sz="0" w:space="0" w:color="auto"/>
      </w:divBdr>
    </w:div>
    <w:div w:id="1305549753">
      <w:bodyDiv w:val="1"/>
      <w:marLeft w:val="0"/>
      <w:marRight w:val="0"/>
      <w:marTop w:val="0"/>
      <w:marBottom w:val="0"/>
      <w:divBdr>
        <w:top w:val="none" w:sz="0" w:space="0" w:color="auto"/>
        <w:left w:val="none" w:sz="0" w:space="0" w:color="auto"/>
        <w:bottom w:val="none" w:sz="0" w:space="0" w:color="auto"/>
        <w:right w:val="none" w:sz="0" w:space="0" w:color="auto"/>
      </w:divBdr>
    </w:div>
    <w:div w:id="1464812663">
      <w:bodyDiv w:val="1"/>
      <w:marLeft w:val="0"/>
      <w:marRight w:val="0"/>
      <w:marTop w:val="0"/>
      <w:marBottom w:val="0"/>
      <w:divBdr>
        <w:top w:val="none" w:sz="0" w:space="0" w:color="auto"/>
        <w:left w:val="none" w:sz="0" w:space="0" w:color="auto"/>
        <w:bottom w:val="none" w:sz="0" w:space="0" w:color="auto"/>
        <w:right w:val="none" w:sz="0" w:space="0" w:color="auto"/>
      </w:divBdr>
    </w:div>
    <w:div w:id="1483694379">
      <w:bodyDiv w:val="1"/>
      <w:marLeft w:val="0"/>
      <w:marRight w:val="0"/>
      <w:marTop w:val="0"/>
      <w:marBottom w:val="0"/>
      <w:divBdr>
        <w:top w:val="none" w:sz="0" w:space="0" w:color="auto"/>
        <w:left w:val="none" w:sz="0" w:space="0" w:color="auto"/>
        <w:bottom w:val="none" w:sz="0" w:space="0" w:color="auto"/>
        <w:right w:val="none" w:sz="0" w:space="0" w:color="auto"/>
      </w:divBdr>
    </w:div>
    <w:div w:id="1514145850">
      <w:bodyDiv w:val="1"/>
      <w:marLeft w:val="0"/>
      <w:marRight w:val="0"/>
      <w:marTop w:val="0"/>
      <w:marBottom w:val="0"/>
      <w:divBdr>
        <w:top w:val="none" w:sz="0" w:space="0" w:color="auto"/>
        <w:left w:val="none" w:sz="0" w:space="0" w:color="auto"/>
        <w:bottom w:val="none" w:sz="0" w:space="0" w:color="auto"/>
        <w:right w:val="none" w:sz="0" w:space="0" w:color="auto"/>
      </w:divBdr>
    </w:div>
    <w:div w:id="1584223364">
      <w:bodyDiv w:val="1"/>
      <w:marLeft w:val="0"/>
      <w:marRight w:val="0"/>
      <w:marTop w:val="0"/>
      <w:marBottom w:val="0"/>
      <w:divBdr>
        <w:top w:val="none" w:sz="0" w:space="0" w:color="auto"/>
        <w:left w:val="none" w:sz="0" w:space="0" w:color="auto"/>
        <w:bottom w:val="none" w:sz="0" w:space="0" w:color="auto"/>
        <w:right w:val="none" w:sz="0" w:space="0" w:color="auto"/>
      </w:divBdr>
    </w:div>
    <w:div w:id="1603797782">
      <w:bodyDiv w:val="1"/>
      <w:marLeft w:val="0"/>
      <w:marRight w:val="0"/>
      <w:marTop w:val="0"/>
      <w:marBottom w:val="0"/>
      <w:divBdr>
        <w:top w:val="none" w:sz="0" w:space="0" w:color="auto"/>
        <w:left w:val="none" w:sz="0" w:space="0" w:color="auto"/>
        <w:bottom w:val="none" w:sz="0" w:space="0" w:color="auto"/>
        <w:right w:val="none" w:sz="0" w:space="0" w:color="auto"/>
      </w:divBdr>
    </w:div>
    <w:div w:id="1650473001">
      <w:bodyDiv w:val="1"/>
      <w:marLeft w:val="0"/>
      <w:marRight w:val="0"/>
      <w:marTop w:val="0"/>
      <w:marBottom w:val="0"/>
      <w:divBdr>
        <w:top w:val="none" w:sz="0" w:space="0" w:color="auto"/>
        <w:left w:val="none" w:sz="0" w:space="0" w:color="auto"/>
        <w:bottom w:val="none" w:sz="0" w:space="0" w:color="auto"/>
        <w:right w:val="none" w:sz="0" w:space="0" w:color="auto"/>
      </w:divBdr>
    </w:div>
    <w:div w:id="1654021529">
      <w:bodyDiv w:val="1"/>
      <w:marLeft w:val="0"/>
      <w:marRight w:val="0"/>
      <w:marTop w:val="0"/>
      <w:marBottom w:val="0"/>
      <w:divBdr>
        <w:top w:val="none" w:sz="0" w:space="0" w:color="auto"/>
        <w:left w:val="none" w:sz="0" w:space="0" w:color="auto"/>
        <w:bottom w:val="none" w:sz="0" w:space="0" w:color="auto"/>
        <w:right w:val="none" w:sz="0" w:space="0" w:color="auto"/>
      </w:divBdr>
    </w:div>
    <w:div w:id="1664239562">
      <w:bodyDiv w:val="1"/>
      <w:marLeft w:val="0"/>
      <w:marRight w:val="0"/>
      <w:marTop w:val="0"/>
      <w:marBottom w:val="0"/>
      <w:divBdr>
        <w:top w:val="none" w:sz="0" w:space="0" w:color="auto"/>
        <w:left w:val="none" w:sz="0" w:space="0" w:color="auto"/>
        <w:bottom w:val="none" w:sz="0" w:space="0" w:color="auto"/>
        <w:right w:val="none" w:sz="0" w:space="0" w:color="auto"/>
      </w:divBdr>
    </w:div>
    <w:div w:id="1670133366">
      <w:bodyDiv w:val="1"/>
      <w:marLeft w:val="0"/>
      <w:marRight w:val="0"/>
      <w:marTop w:val="0"/>
      <w:marBottom w:val="0"/>
      <w:divBdr>
        <w:top w:val="none" w:sz="0" w:space="0" w:color="auto"/>
        <w:left w:val="none" w:sz="0" w:space="0" w:color="auto"/>
        <w:bottom w:val="none" w:sz="0" w:space="0" w:color="auto"/>
        <w:right w:val="none" w:sz="0" w:space="0" w:color="auto"/>
      </w:divBdr>
    </w:div>
    <w:div w:id="1855463008">
      <w:bodyDiv w:val="1"/>
      <w:marLeft w:val="0"/>
      <w:marRight w:val="0"/>
      <w:marTop w:val="0"/>
      <w:marBottom w:val="0"/>
      <w:divBdr>
        <w:top w:val="none" w:sz="0" w:space="0" w:color="auto"/>
        <w:left w:val="none" w:sz="0" w:space="0" w:color="auto"/>
        <w:bottom w:val="none" w:sz="0" w:space="0" w:color="auto"/>
        <w:right w:val="none" w:sz="0" w:space="0" w:color="auto"/>
      </w:divBdr>
    </w:div>
    <w:div w:id="1881818023">
      <w:bodyDiv w:val="1"/>
      <w:marLeft w:val="0"/>
      <w:marRight w:val="0"/>
      <w:marTop w:val="0"/>
      <w:marBottom w:val="0"/>
      <w:divBdr>
        <w:top w:val="none" w:sz="0" w:space="0" w:color="auto"/>
        <w:left w:val="none" w:sz="0" w:space="0" w:color="auto"/>
        <w:bottom w:val="none" w:sz="0" w:space="0" w:color="auto"/>
        <w:right w:val="none" w:sz="0" w:space="0" w:color="auto"/>
      </w:divBdr>
    </w:div>
    <w:div w:id="1908611467">
      <w:bodyDiv w:val="1"/>
      <w:marLeft w:val="0"/>
      <w:marRight w:val="0"/>
      <w:marTop w:val="0"/>
      <w:marBottom w:val="0"/>
      <w:divBdr>
        <w:top w:val="none" w:sz="0" w:space="0" w:color="auto"/>
        <w:left w:val="none" w:sz="0" w:space="0" w:color="auto"/>
        <w:bottom w:val="none" w:sz="0" w:space="0" w:color="auto"/>
        <w:right w:val="none" w:sz="0" w:space="0" w:color="auto"/>
      </w:divBdr>
    </w:div>
    <w:div w:id="1919054236">
      <w:bodyDiv w:val="1"/>
      <w:marLeft w:val="0"/>
      <w:marRight w:val="0"/>
      <w:marTop w:val="0"/>
      <w:marBottom w:val="0"/>
      <w:divBdr>
        <w:top w:val="none" w:sz="0" w:space="0" w:color="auto"/>
        <w:left w:val="none" w:sz="0" w:space="0" w:color="auto"/>
        <w:bottom w:val="none" w:sz="0" w:space="0" w:color="auto"/>
        <w:right w:val="none" w:sz="0" w:space="0" w:color="auto"/>
      </w:divBdr>
    </w:div>
    <w:div w:id="2049060893">
      <w:bodyDiv w:val="1"/>
      <w:marLeft w:val="0"/>
      <w:marRight w:val="0"/>
      <w:marTop w:val="0"/>
      <w:marBottom w:val="0"/>
      <w:divBdr>
        <w:top w:val="none" w:sz="0" w:space="0" w:color="auto"/>
        <w:left w:val="none" w:sz="0" w:space="0" w:color="auto"/>
        <w:bottom w:val="none" w:sz="0" w:space="0" w:color="auto"/>
        <w:right w:val="none" w:sz="0" w:space="0" w:color="auto"/>
      </w:divBdr>
    </w:div>
    <w:div w:id="207696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28" Type="http://schemas.microsoft.com/office/2011/relationships/commentsExtended" Target="commentsExtended.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9281FD-528F-41B4-9490-5451ECB59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2520</Words>
  <Characters>14364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16851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Ravsan</dc:creator>
  <cp:lastModifiedBy>Gibson, Vikki</cp:lastModifiedBy>
  <cp:revision>2</cp:revision>
  <cp:lastPrinted>2014-10-21T00:04:00Z</cp:lastPrinted>
  <dcterms:created xsi:type="dcterms:W3CDTF">2014-10-28T00:23:00Z</dcterms:created>
  <dcterms:modified xsi:type="dcterms:W3CDTF">2014-10-28T00:23:00Z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Id">
    <vt:lpwstr>A2649117</vt:lpwstr>
  </property>
  <property fmtid="{D5CDD505-2E9C-101B-9397-08002B2CF9AE}" pid="4" name="Objective-Title">
    <vt:lpwstr>FMA Reg Amd - Ex Statement v2  with AGS comments</vt:lpwstr>
  </property>
  <property fmtid="{D5CDD505-2E9C-101B-9397-08002B2CF9AE}" pid="5" name="Objective-Comment">
    <vt:lpwstr/>
  </property>
  <property fmtid="{D5CDD505-2E9C-101B-9397-08002B2CF9AE}" pid="6" name="Objective-CreationStamp">
    <vt:filetime>2013-12-02T23:07:32Z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2013-12-02T23:08:10Z</vt:filetime>
  </property>
  <property fmtid="{D5CDD505-2E9C-101B-9397-08002B2CF9AE}" pid="10" name="Objective-ModificationStamp">
    <vt:filetime>2013-12-02T23:08:10Z</vt:filetime>
  </property>
  <property fmtid="{D5CDD505-2E9C-101B-9397-08002B2CF9AE}" pid="11" name="Objective-Owner">
    <vt:lpwstr>Graham, Kathryn</vt:lpwstr>
  </property>
  <property fmtid="{D5CDD505-2E9C-101B-9397-08002B2CF9AE}" pid="12" name="Objective-Path">
    <vt:lpwstr>i Know-how Top Level:Client Groups:Dept of Finance:FINANCE - Advice Matters:Finance - Sch 1AB (13200744):13200744 - Matter Documents:13200744 Correspondence:</vt:lpwstr>
  </property>
  <property fmtid="{D5CDD505-2E9C-101B-9397-08002B2CF9AE}" pid="13" name="Objective-Parent">
    <vt:lpwstr>13200744 Correspondence</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13200744-002</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Document Category [system]">
    <vt:lpwstr/>
  </property>
</Properties>
</file>