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EF8" w:rsidRDefault="00583EF8" w:rsidP="00D962BC">
      <w:pPr>
        <w:pStyle w:val="Heading2"/>
        <w:rPr>
          <w:iCs w:val="0"/>
          <w:sz w:val="40"/>
          <w:szCs w:val="32"/>
        </w:rPr>
      </w:pPr>
    </w:p>
    <w:p w:rsidR="00583EF8" w:rsidRDefault="00583EF8" w:rsidP="00D962BC">
      <w:pPr>
        <w:pStyle w:val="Heading2"/>
        <w:rPr>
          <w:iCs w:val="0"/>
          <w:sz w:val="40"/>
          <w:szCs w:val="32"/>
        </w:rPr>
      </w:pPr>
    </w:p>
    <w:p w:rsidR="00583EF8" w:rsidRDefault="00583EF8" w:rsidP="00D962BC">
      <w:pPr>
        <w:pStyle w:val="Heading2"/>
        <w:rPr>
          <w:iCs w:val="0"/>
          <w:sz w:val="40"/>
          <w:szCs w:val="32"/>
        </w:rPr>
      </w:pPr>
    </w:p>
    <w:p w:rsidR="00583EF8" w:rsidRDefault="00583EF8" w:rsidP="00D962BC">
      <w:pPr>
        <w:pStyle w:val="Heading2"/>
        <w:rPr>
          <w:iCs w:val="0"/>
          <w:sz w:val="40"/>
          <w:szCs w:val="32"/>
        </w:rPr>
      </w:pPr>
    </w:p>
    <w:p w:rsidR="00806D52" w:rsidRDefault="00806D52" w:rsidP="00D962BC">
      <w:pPr>
        <w:pStyle w:val="Heading2"/>
        <w:rPr>
          <w:iCs w:val="0"/>
          <w:sz w:val="40"/>
          <w:szCs w:val="32"/>
        </w:rPr>
      </w:pPr>
      <w:r w:rsidRPr="00806D52">
        <w:rPr>
          <w:iCs w:val="0"/>
          <w:sz w:val="40"/>
          <w:szCs w:val="32"/>
        </w:rPr>
        <w:t>Explanatory Statement</w:t>
      </w:r>
    </w:p>
    <w:p w:rsidR="00806D52" w:rsidRPr="00806D52" w:rsidRDefault="002F12FA" w:rsidP="00806D52">
      <w:pPr>
        <w:pStyle w:val="Heading3"/>
        <w:rPr>
          <w:b w:val="0"/>
          <w:iCs/>
          <w:sz w:val="32"/>
          <w:szCs w:val="28"/>
        </w:rPr>
      </w:pPr>
      <w:r>
        <w:rPr>
          <w:b w:val="0"/>
          <w:iCs/>
          <w:sz w:val="32"/>
          <w:szCs w:val="28"/>
        </w:rPr>
        <w:t>G</w:t>
      </w:r>
      <w:r w:rsidR="00806D52" w:rsidRPr="00806D52">
        <w:rPr>
          <w:b w:val="0"/>
          <w:iCs/>
          <w:sz w:val="32"/>
          <w:szCs w:val="28"/>
        </w:rPr>
        <w:t>uide</w:t>
      </w:r>
      <w:r w:rsidR="00BD36EB">
        <w:rPr>
          <w:b w:val="0"/>
          <w:iCs/>
          <w:sz w:val="32"/>
          <w:szCs w:val="28"/>
        </w:rPr>
        <w:t>lines under section 95</w:t>
      </w:r>
      <w:r w:rsidR="00806D52">
        <w:rPr>
          <w:b w:val="0"/>
          <w:iCs/>
          <w:sz w:val="32"/>
          <w:szCs w:val="28"/>
        </w:rPr>
        <w:t xml:space="preserve"> </w:t>
      </w:r>
      <w:r w:rsidR="00806D52" w:rsidRPr="00806D52">
        <w:rPr>
          <w:b w:val="0"/>
          <w:iCs/>
          <w:sz w:val="32"/>
          <w:szCs w:val="28"/>
        </w:rPr>
        <w:t>of the Privacy Act 1988</w:t>
      </w:r>
    </w:p>
    <w:p w:rsidR="00806D52" w:rsidRDefault="00576E17" w:rsidP="00806D52">
      <w:pPr>
        <w:pStyle w:val="Heading3"/>
        <w:rPr>
          <w:b w:val="0"/>
          <w:iCs/>
          <w:sz w:val="32"/>
          <w:szCs w:val="28"/>
        </w:rPr>
      </w:pPr>
      <w:r>
        <w:rPr>
          <w:b w:val="0"/>
          <w:iCs/>
          <w:sz w:val="32"/>
          <w:szCs w:val="28"/>
        </w:rPr>
        <w:t>November</w:t>
      </w:r>
      <w:r w:rsidR="00583EF8">
        <w:rPr>
          <w:b w:val="0"/>
          <w:iCs/>
          <w:sz w:val="32"/>
          <w:szCs w:val="28"/>
        </w:rPr>
        <w:t xml:space="preserve"> 2014</w:t>
      </w:r>
    </w:p>
    <w:p w:rsidR="00D962BC" w:rsidRDefault="00806D52" w:rsidP="00806D52">
      <w:pPr>
        <w:spacing w:after="0" w:line="240" w:lineRule="auto"/>
      </w:pPr>
      <w:r>
        <w:br w:type="page"/>
      </w:r>
    </w:p>
    <w:p w:rsidR="00806D52" w:rsidRDefault="00806D52" w:rsidP="00806D52">
      <w:pPr>
        <w:rPr>
          <w:rFonts w:cs="Arial"/>
          <w:b/>
          <w:bCs/>
          <w:color w:val="165788"/>
          <w:szCs w:val="26"/>
        </w:rPr>
      </w:pPr>
    </w:p>
    <w:p w:rsidR="00806D52" w:rsidRPr="00C8312F" w:rsidRDefault="00806D52" w:rsidP="00C8312F">
      <w:pPr>
        <w:rPr>
          <w:rFonts w:cs="Arial"/>
          <w:b/>
          <w:bCs/>
          <w:color w:val="165788"/>
          <w:szCs w:val="26"/>
        </w:rPr>
      </w:pPr>
      <w:r w:rsidRPr="00806D52">
        <w:rPr>
          <w:rFonts w:cs="Arial"/>
          <w:b/>
          <w:bCs/>
          <w:color w:val="165788"/>
          <w:szCs w:val="26"/>
        </w:rPr>
        <w:t>1. PURPOSE AND AUTHORITY</w:t>
      </w:r>
    </w:p>
    <w:p w:rsidR="00806D52" w:rsidRDefault="00A10F23" w:rsidP="00806D52">
      <w:pPr>
        <w:autoSpaceDE w:val="0"/>
        <w:autoSpaceDN w:val="0"/>
        <w:adjustRightInd w:val="0"/>
        <w:spacing w:after="0" w:line="240" w:lineRule="auto"/>
        <w:rPr>
          <w:rFonts w:cs="Arial"/>
          <w:color w:val="000000"/>
          <w:szCs w:val="20"/>
        </w:rPr>
      </w:pPr>
      <w:r w:rsidRPr="00336370">
        <w:rPr>
          <w:rFonts w:cs="Arial"/>
          <w:color w:val="000000"/>
          <w:szCs w:val="20"/>
        </w:rPr>
        <w:t>Section 95</w:t>
      </w:r>
      <w:r w:rsidR="00806D52" w:rsidRPr="00336370">
        <w:rPr>
          <w:rFonts w:cs="Arial"/>
          <w:color w:val="000000"/>
          <w:szCs w:val="20"/>
        </w:rPr>
        <w:t xml:space="preserve"> of the </w:t>
      </w:r>
      <w:r w:rsidR="00806D52" w:rsidRPr="00336370">
        <w:rPr>
          <w:rFonts w:cs="Arial"/>
          <w:iCs/>
          <w:color w:val="000000"/>
          <w:szCs w:val="20"/>
        </w:rPr>
        <w:t xml:space="preserve">Privacy Act 1988 </w:t>
      </w:r>
      <w:r w:rsidR="00806D52" w:rsidRPr="00336370">
        <w:rPr>
          <w:rFonts w:cs="Arial"/>
          <w:color w:val="000000"/>
          <w:szCs w:val="20"/>
        </w:rPr>
        <w:t>(Cth) (the Privacy Act) allows the</w:t>
      </w:r>
      <w:r w:rsidR="00E424E7">
        <w:rPr>
          <w:rFonts w:cs="Arial"/>
          <w:color w:val="000000"/>
          <w:szCs w:val="20"/>
        </w:rPr>
        <w:t xml:space="preserve"> </w:t>
      </w:r>
      <w:r w:rsidR="00806D52" w:rsidRPr="00336370">
        <w:rPr>
          <w:rFonts w:cs="Arial"/>
          <w:color w:val="000000"/>
          <w:szCs w:val="20"/>
        </w:rPr>
        <w:t>National Health and Medical Research Council (NHMRC)</w:t>
      </w:r>
      <w:r w:rsidR="00F8389C" w:rsidRPr="00336370">
        <w:rPr>
          <w:rFonts w:cs="Arial"/>
          <w:color w:val="000000"/>
          <w:szCs w:val="20"/>
        </w:rPr>
        <w:t xml:space="preserve"> </w:t>
      </w:r>
      <w:r w:rsidR="00E424E7">
        <w:rPr>
          <w:rFonts w:cs="Arial"/>
          <w:color w:val="000000"/>
          <w:szCs w:val="20"/>
        </w:rPr>
        <w:t xml:space="preserve">to issue guidelines, with the approval of the Commissioner, </w:t>
      </w:r>
      <w:r w:rsidR="00E424E7" w:rsidRPr="00822581">
        <w:rPr>
          <w:rFonts w:cs="Arial"/>
          <w:color w:val="000000"/>
          <w:szCs w:val="20"/>
        </w:rPr>
        <w:t>for the protection of privacy by agencies in the conduct of medical research</w:t>
      </w:r>
      <w:r w:rsidR="00806D52" w:rsidRPr="00336370">
        <w:rPr>
          <w:rFonts w:cs="Arial"/>
          <w:color w:val="000000"/>
          <w:szCs w:val="20"/>
        </w:rPr>
        <w:t>.</w:t>
      </w:r>
    </w:p>
    <w:p w:rsidR="00806D52" w:rsidRPr="00806D52" w:rsidRDefault="00806D52" w:rsidP="00806D52">
      <w:pPr>
        <w:autoSpaceDE w:val="0"/>
        <w:autoSpaceDN w:val="0"/>
        <w:adjustRightInd w:val="0"/>
        <w:spacing w:after="0" w:line="240" w:lineRule="auto"/>
        <w:rPr>
          <w:rFonts w:cs="Arial"/>
          <w:color w:val="000000"/>
          <w:szCs w:val="20"/>
        </w:rPr>
      </w:pPr>
    </w:p>
    <w:p w:rsidR="00806D52" w:rsidRDefault="00806D52" w:rsidP="00806D52">
      <w:pPr>
        <w:autoSpaceDE w:val="0"/>
        <w:autoSpaceDN w:val="0"/>
        <w:adjustRightInd w:val="0"/>
        <w:spacing w:after="0" w:line="240" w:lineRule="auto"/>
        <w:rPr>
          <w:rFonts w:cs="Arial"/>
          <w:b/>
          <w:bCs/>
          <w:color w:val="365F91" w:themeColor="accent1" w:themeShade="BF"/>
          <w:szCs w:val="20"/>
        </w:rPr>
      </w:pPr>
      <w:r w:rsidRPr="00806D52">
        <w:rPr>
          <w:rFonts w:cs="Arial"/>
          <w:b/>
          <w:bCs/>
          <w:color w:val="365F91" w:themeColor="accent1" w:themeShade="BF"/>
          <w:szCs w:val="20"/>
        </w:rPr>
        <w:t>Authority for making the guidelines</w:t>
      </w:r>
    </w:p>
    <w:p w:rsidR="00806D52" w:rsidRPr="00806D52" w:rsidRDefault="00806D52" w:rsidP="00806D52">
      <w:pPr>
        <w:autoSpaceDE w:val="0"/>
        <w:autoSpaceDN w:val="0"/>
        <w:adjustRightInd w:val="0"/>
        <w:spacing w:after="0" w:line="240" w:lineRule="auto"/>
        <w:rPr>
          <w:rFonts w:cs="Arial"/>
          <w:b/>
          <w:bCs/>
          <w:color w:val="365F91" w:themeColor="accent1" w:themeShade="BF"/>
          <w:szCs w:val="20"/>
        </w:rPr>
      </w:pPr>
    </w:p>
    <w:p w:rsidR="004A41A8" w:rsidRDefault="004A41A8" w:rsidP="004A41A8">
      <w:pPr>
        <w:autoSpaceDE w:val="0"/>
        <w:autoSpaceDN w:val="0"/>
        <w:adjustRightInd w:val="0"/>
        <w:spacing w:after="0" w:line="240" w:lineRule="auto"/>
        <w:rPr>
          <w:rFonts w:cs="Arial"/>
          <w:color w:val="000000"/>
          <w:szCs w:val="20"/>
        </w:rPr>
      </w:pPr>
      <w:r>
        <w:rPr>
          <w:rFonts w:cs="Arial"/>
          <w:color w:val="000000"/>
          <w:szCs w:val="20"/>
        </w:rPr>
        <w:t>Section</w:t>
      </w:r>
      <w:r w:rsidR="00A10F23" w:rsidRPr="00336370">
        <w:rPr>
          <w:rFonts w:cs="Arial"/>
          <w:color w:val="000000"/>
          <w:szCs w:val="20"/>
        </w:rPr>
        <w:t xml:space="preserve"> 95</w:t>
      </w:r>
      <w:r>
        <w:rPr>
          <w:rFonts w:cs="Arial"/>
          <w:color w:val="000000"/>
          <w:szCs w:val="20"/>
        </w:rPr>
        <w:t xml:space="preserve"> </w:t>
      </w:r>
      <w:r w:rsidR="00806D52" w:rsidRPr="00336370">
        <w:rPr>
          <w:rFonts w:cs="Arial"/>
          <w:color w:val="000000"/>
          <w:szCs w:val="20"/>
        </w:rPr>
        <w:t xml:space="preserve">of the Privacy Act set out the authority to approve the </w:t>
      </w:r>
      <w:r>
        <w:rPr>
          <w:rFonts w:cs="Arial"/>
          <w:color w:val="000000"/>
          <w:szCs w:val="20"/>
        </w:rPr>
        <w:t xml:space="preserve">making of the </w:t>
      </w:r>
      <w:r w:rsidR="00806D52" w:rsidRPr="00336370">
        <w:rPr>
          <w:rFonts w:cs="Arial"/>
          <w:color w:val="000000"/>
          <w:szCs w:val="20"/>
        </w:rPr>
        <w:t xml:space="preserve">guidelines. </w:t>
      </w:r>
      <w:r>
        <w:rPr>
          <w:rFonts w:cs="Arial"/>
          <w:color w:val="000000"/>
          <w:szCs w:val="20"/>
        </w:rPr>
        <w:t xml:space="preserve"> They state:</w:t>
      </w:r>
    </w:p>
    <w:p w:rsidR="008F0FBA" w:rsidRPr="008F0FBA" w:rsidRDefault="004A41A8" w:rsidP="008F0FBA">
      <w:pPr>
        <w:pStyle w:val="ActHead5"/>
        <w:ind w:left="0" w:firstLine="0"/>
        <w:rPr>
          <w:rFonts w:ascii="Arial" w:hAnsi="Arial" w:cs="Arial"/>
          <w:b w:val="0"/>
          <w:sz w:val="20"/>
        </w:rPr>
      </w:pPr>
      <w:bookmarkStart w:id="0" w:name="_Toc359487246"/>
      <w:proofErr w:type="gramStart"/>
      <w:r w:rsidRPr="004A41A8">
        <w:rPr>
          <w:rStyle w:val="CharSectno"/>
          <w:rFonts w:ascii="Arial" w:hAnsi="Arial" w:cs="Arial"/>
          <w:b w:val="0"/>
          <w:sz w:val="20"/>
        </w:rPr>
        <w:t>95</w:t>
      </w:r>
      <w:r w:rsidRPr="004A41A8">
        <w:rPr>
          <w:rFonts w:ascii="Arial" w:hAnsi="Arial" w:cs="Arial"/>
          <w:b w:val="0"/>
          <w:sz w:val="20"/>
        </w:rPr>
        <w:t xml:space="preserve">  Medical</w:t>
      </w:r>
      <w:proofErr w:type="gramEnd"/>
      <w:r w:rsidRPr="004A41A8">
        <w:rPr>
          <w:rFonts w:ascii="Arial" w:hAnsi="Arial" w:cs="Arial"/>
          <w:b w:val="0"/>
          <w:sz w:val="20"/>
        </w:rPr>
        <w:t xml:space="preserve"> research guidelines</w:t>
      </w:r>
      <w:bookmarkEnd w:id="0"/>
      <w:r w:rsidR="008F0FBA">
        <w:t xml:space="preserve"> </w:t>
      </w:r>
    </w:p>
    <w:p w:rsidR="008F0FBA" w:rsidRPr="008F0FBA" w:rsidRDefault="008F0FBA" w:rsidP="00B15DDE">
      <w:pPr>
        <w:pStyle w:val="subsection"/>
        <w:tabs>
          <w:tab w:val="clear" w:pos="1021"/>
          <w:tab w:val="right" w:pos="284"/>
        </w:tabs>
        <w:ind w:left="284" w:hanging="284"/>
        <w:rPr>
          <w:rFonts w:ascii="Arial" w:hAnsi="Arial" w:cs="Arial"/>
          <w:sz w:val="20"/>
        </w:rPr>
      </w:pPr>
      <w:r w:rsidRPr="008F0FBA">
        <w:rPr>
          <w:rFonts w:ascii="Arial" w:hAnsi="Arial" w:cs="Arial"/>
          <w:sz w:val="20"/>
        </w:rPr>
        <w:t xml:space="preserve">(1) The CEO of the National Health and </w:t>
      </w:r>
      <w:hyperlink r:id="rId9" w:anchor="medical_research" w:history="1">
        <w:r w:rsidRPr="008F0FBA">
          <w:rPr>
            <w:rStyle w:val="Hyperlink"/>
            <w:rFonts w:ascii="Arial" w:hAnsi="Arial" w:cs="Arial"/>
            <w:color w:val="auto"/>
            <w:sz w:val="20"/>
            <w:u w:val="none"/>
          </w:rPr>
          <w:t>Medical Research</w:t>
        </w:r>
      </w:hyperlink>
      <w:r w:rsidRPr="008F0FBA">
        <w:rPr>
          <w:rFonts w:ascii="Arial" w:hAnsi="Arial" w:cs="Arial"/>
          <w:sz w:val="20"/>
        </w:rPr>
        <w:t xml:space="preserve"> Council may, with the approval of the </w:t>
      </w:r>
      <w:hyperlink r:id="rId10" w:anchor="commissioner" w:history="1">
        <w:r w:rsidRPr="008F0FBA">
          <w:rPr>
            <w:rStyle w:val="Hyperlink"/>
            <w:rFonts w:ascii="Arial" w:hAnsi="Arial" w:cs="Arial"/>
            <w:color w:val="auto"/>
            <w:sz w:val="20"/>
            <w:u w:val="none"/>
          </w:rPr>
          <w:t>Commissioner</w:t>
        </w:r>
      </w:hyperlink>
      <w:r w:rsidRPr="008F0FBA">
        <w:rPr>
          <w:rFonts w:ascii="Arial" w:hAnsi="Arial" w:cs="Arial"/>
          <w:sz w:val="20"/>
        </w:rPr>
        <w:t xml:space="preserve">, issue guidelines for the protection of privacy by agencies in the conduct of </w:t>
      </w:r>
      <w:hyperlink r:id="rId11" w:anchor="medical_research" w:history="1">
        <w:r w:rsidRPr="008F0FBA">
          <w:rPr>
            <w:rStyle w:val="Hyperlink"/>
            <w:rFonts w:ascii="Arial" w:hAnsi="Arial" w:cs="Arial"/>
            <w:color w:val="auto"/>
            <w:sz w:val="20"/>
            <w:u w:val="none"/>
          </w:rPr>
          <w:t>medical</w:t>
        </w:r>
      </w:hyperlink>
      <w:r w:rsidRPr="008F0FBA">
        <w:rPr>
          <w:rFonts w:ascii="Arial" w:hAnsi="Arial" w:cs="Arial"/>
          <w:sz w:val="20"/>
        </w:rPr>
        <w:t xml:space="preserve"> </w:t>
      </w:r>
      <w:hyperlink r:id="rId12" w:anchor="medical_research" w:history="1">
        <w:r w:rsidRPr="008F0FBA">
          <w:rPr>
            <w:rStyle w:val="Hyperlink"/>
            <w:rFonts w:ascii="Arial" w:hAnsi="Arial" w:cs="Arial"/>
            <w:color w:val="auto"/>
            <w:sz w:val="20"/>
            <w:u w:val="none"/>
          </w:rPr>
          <w:t>research</w:t>
        </w:r>
      </w:hyperlink>
      <w:r w:rsidRPr="008F0FBA">
        <w:rPr>
          <w:rFonts w:ascii="Arial" w:hAnsi="Arial" w:cs="Arial"/>
          <w:sz w:val="20"/>
        </w:rPr>
        <w:t xml:space="preserve">. </w:t>
      </w:r>
    </w:p>
    <w:p w:rsidR="008F0FBA" w:rsidRPr="008F0FBA" w:rsidRDefault="008F0FBA" w:rsidP="00B15DDE">
      <w:pPr>
        <w:pStyle w:val="subsection"/>
        <w:tabs>
          <w:tab w:val="clear" w:pos="1021"/>
          <w:tab w:val="right" w:pos="284"/>
        </w:tabs>
        <w:ind w:left="284" w:hanging="284"/>
        <w:rPr>
          <w:rFonts w:ascii="Arial" w:hAnsi="Arial" w:cs="Arial"/>
          <w:sz w:val="20"/>
        </w:rPr>
      </w:pPr>
      <w:r w:rsidRPr="008F0FBA">
        <w:rPr>
          <w:rFonts w:ascii="Arial" w:hAnsi="Arial" w:cs="Arial"/>
          <w:sz w:val="20"/>
        </w:rPr>
        <w:t xml:space="preserve">(2) The </w:t>
      </w:r>
      <w:hyperlink r:id="rId13" w:anchor="commissioner" w:history="1">
        <w:r w:rsidRPr="008F0FBA">
          <w:rPr>
            <w:rStyle w:val="Hyperlink"/>
            <w:rFonts w:ascii="Arial" w:hAnsi="Arial" w:cs="Arial"/>
            <w:color w:val="auto"/>
            <w:sz w:val="20"/>
            <w:u w:val="none"/>
          </w:rPr>
          <w:t>Commissioner</w:t>
        </w:r>
      </w:hyperlink>
      <w:r w:rsidRPr="008F0FBA">
        <w:rPr>
          <w:rFonts w:ascii="Arial" w:hAnsi="Arial" w:cs="Arial"/>
          <w:sz w:val="20"/>
        </w:rPr>
        <w:t xml:space="preserve"> shall not approve the issue of guidelines unless he or she is satisfied that the public interest in the promotion of research of the kind to which the guidelines relate outweighs to a substantial degree the public interest in maintaining adherence to the </w:t>
      </w:r>
      <w:hyperlink r:id="rId14" w:anchor="australian_privacy_principle" w:history="1">
        <w:r w:rsidRPr="008F0FBA">
          <w:rPr>
            <w:rStyle w:val="Hyperlink"/>
            <w:rFonts w:ascii="Arial" w:hAnsi="Arial" w:cs="Arial"/>
            <w:color w:val="auto"/>
            <w:sz w:val="20"/>
            <w:u w:val="none"/>
          </w:rPr>
          <w:t>Australian</w:t>
        </w:r>
      </w:hyperlink>
      <w:r w:rsidRPr="008F0FBA">
        <w:rPr>
          <w:rFonts w:ascii="Arial" w:hAnsi="Arial" w:cs="Arial"/>
          <w:sz w:val="20"/>
        </w:rPr>
        <w:t xml:space="preserve"> </w:t>
      </w:r>
      <w:hyperlink r:id="rId15" w:anchor="australian_privacy_principle" w:history="1">
        <w:r w:rsidRPr="008F0FBA">
          <w:rPr>
            <w:rStyle w:val="Hyperlink"/>
            <w:rFonts w:ascii="Arial" w:hAnsi="Arial" w:cs="Arial"/>
            <w:color w:val="auto"/>
            <w:sz w:val="20"/>
            <w:u w:val="none"/>
          </w:rPr>
          <w:t>Privacy Principles</w:t>
        </w:r>
      </w:hyperlink>
      <w:r w:rsidRPr="008F0FBA">
        <w:rPr>
          <w:rFonts w:ascii="Arial" w:hAnsi="Arial" w:cs="Arial"/>
          <w:sz w:val="20"/>
        </w:rPr>
        <w:t xml:space="preserve">. </w:t>
      </w:r>
    </w:p>
    <w:p w:rsidR="008F0FBA" w:rsidRPr="008F0FBA" w:rsidRDefault="008F0FBA" w:rsidP="008F0FBA">
      <w:pPr>
        <w:pStyle w:val="subsection"/>
        <w:rPr>
          <w:rFonts w:ascii="Arial" w:hAnsi="Arial" w:cs="Arial"/>
          <w:sz w:val="20"/>
        </w:rPr>
      </w:pPr>
      <w:r w:rsidRPr="008F0FBA">
        <w:rPr>
          <w:rFonts w:ascii="Arial" w:hAnsi="Arial" w:cs="Arial"/>
          <w:sz w:val="20"/>
        </w:rPr>
        <w:t xml:space="preserve">(3) Guidelines shall be issued by being published in the </w:t>
      </w:r>
      <w:proofErr w:type="gramStart"/>
      <w:r w:rsidRPr="008F0FBA">
        <w:rPr>
          <w:rFonts w:ascii="Arial" w:hAnsi="Arial" w:cs="Arial"/>
          <w:i/>
          <w:iCs/>
          <w:sz w:val="20"/>
        </w:rPr>
        <w:t xml:space="preserve">Gazette </w:t>
      </w:r>
      <w:r w:rsidRPr="008F0FBA">
        <w:rPr>
          <w:rFonts w:ascii="Arial" w:hAnsi="Arial" w:cs="Arial"/>
          <w:sz w:val="20"/>
        </w:rPr>
        <w:t>.</w:t>
      </w:r>
      <w:proofErr w:type="gramEnd"/>
      <w:r w:rsidRPr="008F0FBA">
        <w:rPr>
          <w:rFonts w:ascii="Arial" w:hAnsi="Arial" w:cs="Arial"/>
          <w:sz w:val="20"/>
        </w:rPr>
        <w:t xml:space="preserve"> </w:t>
      </w:r>
      <w:bookmarkStart w:id="1" w:name="_GoBack"/>
      <w:bookmarkEnd w:id="1"/>
    </w:p>
    <w:p w:rsidR="008F0FBA" w:rsidRPr="008F0FBA" w:rsidRDefault="008F0FBA" w:rsidP="008F0FBA">
      <w:pPr>
        <w:pStyle w:val="subsection"/>
        <w:rPr>
          <w:rFonts w:ascii="Arial" w:hAnsi="Arial" w:cs="Arial"/>
          <w:sz w:val="20"/>
        </w:rPr>
      </w:pPr>
      <w:r w:rsidRPr="008F0FBA">
        <w:rPr>
          <w:rFonts w:ascii="Arial" w:hAnsi="Arial" w:cs="Arial"/>
          <w:sz w:val="20"/>
        </w:rPr>
        <w:t xml:space="preserve">(4) Where: </w:t>
      </w:r>
    </w:p>
    <w:p w:rsidR="008F0FBA" w:rsidRPr="008F0FBA" w:rsidRDefault="008F0FBA" w:rsidP="008F0FBA">
      <w:pPr>
        <w:pStyle w:val="paragraph"/>
        <w:ind w:left="993" w:hanging="426"/>
        <w:rPr>
          <w:rFonts w:ascii="Arial" w:hAnsi="Arial" w:cs="Arial"/>
          <w:sz w:val="20"/>
          <w:szCs w:val="20"/>
        </w:rPr>
      </w:pPr>
      <w:r w:rsidRPr="008F0FBA">
        <w:rPr>
          <w:rFonts w:ascii="Arial" w:hAnsi="Arial" w:cs="Arial"/>
          <w:sz w:val="20"/>
          <w:szCs w:val="20"/>
        </w:rPr>
        <w:t xml:space="preserve">(a) </w:t>
      </w:r>
      <w:r w:rsidRPr="008F0FBA">
        <w:rPr>
          <w:rFonts w:ascii="Arial" w:hAnsi="Arial" w:cs="Arial"/>
          <w:sz w:val="20"/>
          <w:szCs w:val="20"/>
        </w:rPr>
        <w:tab/>
      </w:r>
      <w:proofErr w:type="gramStart"/>
      <w:r w:rsidRPr="008F0FBA">
        <w:rPr>
          <w:rFonts w:ascii="Arial" w:hAnsi="Arial" w:cs="Arial"/>
          <w:sz w:val="20"/>
          <w:szCs w:val="20"/>
        </w:rPr>
        <w:t>but</w:t>
      </w:r>
      <w:proofErr w:type="gramEnd"/>
      <w:r w:rsidRPr="008F0FBA">
        <w:rPr>
          <w:rFonts w:ascii="Arial" w:hAnsi="Arial" w:cs="Arial"/>
          <w:sz w:val="20"/>
          <w:szCs w:val="20"/>
        </w:rPr>
        <w:t xml:space="preserve"> for this subsection, an act done by an </w:t>
      </w:r>
      <w:hyperlink r:id="rId16" w:anchor="agency" w:history="1">
        <w:r w:rsidRPr="008F0FBA">
          <w:rPr>
            <w:rStyle w:val="Hyperlink"/>
            <w:rFonts w:ascii="Arial" w:hAnsi="Arial" w:cs="Arial"/>
            <w:color w:val="auto"/>
            <w:sz w:val="20"/>
            <w:szCs w:val="20"/>
            <w:u w:val="none"/>
          </w:rPr>
          <w:t>agency</w:t>
        </w:r>
      </w:hyperlink>
      <w:r w:rsidRPr="008F0FBA">
        <w:rPr>
          <w:rFonts w:ascii="Arial" w:hAnsi="Arial" w:cs="Arial"/>
          <w:sz w:val="20"/>
          <w:szCs w:val="20"/>
        </w:rPr>
        <w:t xml:space="preserve"> would </w:t>
      </w:r>
      <w:hyperlink r:id="rId17" w:anchor="breach" w:history="1">
        <w:r w:rsidRPr="008F0FBA">
          <w:rPr>
            <w:rStyle w:val="Hyperlink"/>
            <w:rFonts w:ascii="Arial" w:hAnsi="Arial" w:cs="Arial"/>
            <w:color w:val="auto"/>
            <w:sz w:val="20"/>
            <w:szCs w:val="20"/>
            <w:u w:val="none"/>
          </w:rPr>
          <w:t>breach</w:t>
        </w:r>
      </w:hyperlink>
      <w:r w:rsidRPr="008F0FBA">
        <w:rPr>
          <w:rFonts w:ascii="Arial" w:hAnsi="Arial" w:cs="Arial"/>
          <w:sz w:val="20"/>
          <w:szCs w:val="20"/>
        </w:rPr>
        <w:t xml:space="preserve"> an </w:t>
      </w:r>
      <w:hyperlink r:id="rId18" w:anchor="australian_privacy_principle" w:history="1">
        <w:r w:rsidRPr="008F0FBA">
          <w:rPr>
            <w:rStyle w:val="Hyperlink"/>
            <w:rFonts w:ascii="Arial" w:hAnsi="Arial" w:cs="Arial"/>
            <w:color w:val="auto"/>
            <w:sz w:val="20"/>
            <w:szCs w:val="20"/>
            <w:u w:val="none"/>
          </w:rPr>
          <w:t>Australian Privacy Principle</w:t>
        </w:r>
      </w:hyperlink>
      <w:r w:rsidRPr="008F0FBA">
        <w:rPr>
          <w:rFonts w:ascii="Arial" w:hAnsi="Arial" w:cs="Arial"/>
          <w:sz w:val="20"/>
          <w:szCs w:val="20"/>
        </w:rPr>
        <w:t xml:space="preserve">; and </w:t>
      </w:r>
    </w:p>
    <w:p w:rsidR="008F0FBA" w:rsidRPr="008F0FBA" w:rsidRDefault="008F0FBA" w:rsidP="008F0FBA">
      <w:pPr>
        <w:pStyle w:val="paragraph"/>
        <w:ind w:left="993" w:hanging="426"/>
        <w:rPr>
          <w:rFonts w:ascii="Arial" w:hAnsi="Arial" w:cs="Arial"/>
          <w:sz w:val="20"/>
          <w:szCs w:val="20"/>
        </w:rPr>
      </w:pPr>
      <w:r w:rsidRPr="008F0FBA">
        <w:rPr>
          <w:rFonts w:ascii="Arial" w:hAnsi="Arial" w:cs="Arial"/>
          <w:sz w:val="20"/>
          <w:szCs w:val="20"/>
        </w:rPr>
        <w:t xml:space="preserve">(b) </w:t>
      </w:r>
      <w:r w:rsidRPr="008F0FBA">
        <w:rPr>
          <w:rFonts w:ascii="Arial" w:hAnsi="Arial" w:cs="Arial"/>
          <w:sz w:val="20"/>
          <w:szCs w:val="20"/>
        </w:rPr>
        <w:tab/>
      </w:r>
      <w:proofErr w:type="gramStart"/>
      <w:r w:rsidRPr="008F0FBA">
        <w:rPr>
          <w:rFonts w:ascii="Arial" w:hAnsi="Arial" w:cs="Arial"/>
          <w:sz w:val="20"/>
          <w:szCs w:val="20"/>
        </w:rPr>
        <w:t>the</w:t>
      </w:r>
      <w:proofErr w:type="gramEnd"/>
      <w:r w:rsidRPr="008F0FBA">
        <w:rPr>
          <w:rFonts w:ascii="Arial" w:hAnsi="Arial" w:cs="Arial"/>
          <w:sz w:val="20"/>
          <w:szCs w:val="20"/>
        </w:rPr>
        <w:t xml:space="preserve"> act is done in the course of </w:t>
      </w:r>
      <w:hyperlink r:id="rId19" w:anchor="medical_research" w:history="1">
        <w:r w:rsidRPr="008F0FBA">
          <w:rPr>
            <w:rStyle w:val="Hyperlink"/>
            <w:rFonts w:ascii="Arial" w:hAnsi="Arial" w:cs="Arial"/>
            <w:color w:val="auto"/>
            <w:sz w:val="20"/>
            <w:szCs w:val="20"/>
            <w:u w:val="none"/>
          </w:rPr>
          <w:t>medical research</w:t>
        </w:r>
      </w:hyperlink>
      <w:r w:rsidRPr="008F0FBA">
        <w:rPr>
          <w:rFonts w:ascii="Arial" w:hAnsi="Arial" w:cs="Arial"/>
          <w:sz w:val="20"/>
          <w:szCs w:val="20"/>
        </w:rPr>
        <w:t xml:space="preserve"> and in accordance with guidelines under </w:t>
      </w:r>
      <w:r w:rsidRPr="008F0FBA">
        <w:rPr>
          <w:rFonts w:ascii="Arial" w:hAnsi="Arial" w:cs="Arial"/>
          <w:sz w:val="20"/>
          <w:szCs w:val="20"/>
        </w:rPr>
        <w:t xml:space="preserve"> </w:t>
      </w:r>
      <w:r w:rsidRPr="008F0FBA">
        <w:rPr>
          <w:rFonts w:ascii="Arial" w:hAnsi="Arial" w:cs="Arial"/>
          <w:sz w:val="20"/>
          <w:szCs w:val="20"/>
        </w:rPr>
        <w:t xml:space="preserve">subsection (1); </w:t>
      </w:r>
    </w:p>
    <w:p w:rsidR="004A41A8" w:rsidRPr="008F0FBA" w:rsidRDefault="008F0FBA" w:rsidP="008F0FBA">
      <w:pPr>
        <w:pStyle w:val="subsection2"/>
        <w:rPr>
          <w:rFonts w:ascii="Arial" w:hAnsi="Arial" w:cs="Arial"/>
          <w:sz w:val="20"/>
          <w:szCs w:val="20"/>
        </w:rPr>
      </w:pPr>
      <w:proofErr w:type="gramStart"/>
      <w:r w:rsidRPr="008F0FBA">
        <w:rPr>
          <w:rFonts w:ascii="Arial" w:hAnsi="Arial" w:cs="Arial"/>
          <w:sz w:val="20"/>
          <w:szCs w:val="20"/>
        </w:rPr>
        <w:t>the</w:t>
      </w:r>
      <w:proofErr w:type="gramEnd"/>
      <w:r w:rsidRPr="008F0FBA">
        <w:rPr>
          <w:rFonts w:ascii="Arial" w:hAnsi="Arial" w:cs="Arial"/>
          <w:sz w:val="20"/>
          <w:szCs w:val="20"/>
        </w:rPr>
        <w:t xml:space="preserve"> act shall be regarded as not </w:t>
      </w:r>
      <w:hyperlink r:id="rId20" w:anchor="breach" w:history="1">
        <w:r w:rsidRPr="008F0FBA">
          <w:rPr>
            <w:rStyle w:val="Hyperlink"/>
            <w:rFonts w:ascii="Arial" w:hAnsi="Arial" w:cs="Arial"/>
            <w:color w:val="auto"/>
            <w:sz w:val="20"/>
            <w:szCs w:val="20"/>
            <w:u w:val="none"/>
          </w:rPr>
          <w:t>breaching</w:t>
        </w:r>
      </w:hyperlink>
      <w:r w:rsidRPr="008F0FBA">
        <w:rPr>
          <w:rFonts w:ascii="Arial" w:hAnsi="Arial" w:cs="Arial"/>
          <w:sz w:val="20"/>
          <w:szCs w:val="20"/>
        </w:rPr>
        <w:t xml:space="preserve"> that </w:t>
      </w:r>
      <w:hyperlink r:id="rId21" w:anchor="australian_privacy_principle" w:history="1">
        <w:r w:rsidRPr="008F0FBA">
          <w:rPr>
            <w:rStyle w:val="Hyperlink"/>
            <w:rFonts w:ascii="Arial" w:hAnsi="Arial" w:cs="Arial"/>
            <w:color w:val="auto"/>
            <w:sz w:val="20"/>
            <w:szCs w:val="20"/>
            <w:u w:val="none"/>
          </w:rPr>
          <w:t>Australian</w:t>
        </w:r>
      </w:hyperlink>
      <w:r w:rsidRPr="008F0FBA">
        <w:rPr>
          <w:rFonts w:ascii="Arial" w:hAnsi="Arial" w:cs="Arial"/>
          <w:sz w:val="20"/>
          <w:szCs w:val="20"/>
        </w:rPr>
        <w:t xml:space="preserve"> </w:t>
      </w:r>
      <w:hyperlink r:id="rId22" w:anchor="australian_privacy_principle" w:history="1">
        <w:r w:rsidRPr="008F0FBA">
          <w:rPr>
            <w:rStyle w:val="Hyperlink"/>
            <w:rFonts w:ascii="Arial" w:hAnsi="Arial" w:cs="Arial"/>
            <w:color w:val="auto"/>
            <w:sz w:val="20"/>
            <w:szCs w:val="20"/>
            <w:u w:val="none"/>
          </w:rPr>
          <w:t>Privacy Principle</w:t>
        </w:r>
      </w:hyperlink>
      <w:r w:rsidRPr="008F0FBA">
        <w:rPr>
          <w:rFonts w:ascii="Arial" w:hAnsi="Arial" w:cs="Arial"/>
          <w:sz w:val="20"/>
          <w:szCs w:val="20"/>
        </w:rPr>
        <w:t xml:space="preserve">. </w:t>
      </w:r>
    </w:p>
    <w:p w:rsidR="00F8389C" w:rsidRDefault="00F8389C" w:rsidP="00822581">
      <w:pPr>
        <w:autoSpaceDE w:val="0"/>
        <w:autoSpaceDN w:val="0"/>
        <w:adjustRightInd w:val="0"/>
        <w:spacing w:after="0" w:line="240" w:lineRule="auto"/>
        <w:ind w:left="567"/>
        <w:rPr>
          <w:rFonts w:cs="Arial"/>
          <w:color w:val="000000"/>
          <w:szCs w:val="20"/>
        </w:rPr>
      </w:pPr>
    </w:p>
    <w:p w:rsidR="00806D52" w:rsidRPr="00BB1669" w:rsidRDefault="00806D52" w:rsidP="00A4384A">
      <w:pPr>
        <w:tabs>
          <w:tab w:val="left" w:pos="5146"/>
        </w:tabs>
        <w:spacing w:after="0" w:line="240" w:lineRule="auto"/>
        <w:rPr>
          <w:rFonts w:cs="Arial"/>
          <w:b/>
          <w:bCs/>
          <w:color w:val="365F91" w:themeColor="accent1" w:themeShade="BF"/>
          <w:szCs w:val="20"/>
        </w:rPr>
      </w:pPr>
      <w:r w:rsidRPr="00BB1669">
        <w:rPr>
          <w:rFonts w:cs="Arial"/>
          <w:b/>
          <w:bCs/>
          <w:color w:val="365F91" w:themeColor="accent1" w:themeShade="BF"/>
          <w:szCs w:val="20"/>
        </w:rPr>
        <w:t>2. REASONS FOR MAKING THESE GUIDELINES</w:t>
      </w:r>
      <w:r w:rsidR="00A4384A">
        <w:rPr>
          <w:rFonts w:cs="Arial"/>
          <w:b/>
          <w:bCs/>
          <w:color w:val="365F91" w:themeColor="accent1" w:themeShade="BF"/>
          <w:szCs w:val="20"/>
        </w:rPr>
        <w:tab/>
      </w:r>
    </w:p>
    <w:p w:rsidR="004A41A8" w:rsidRDefault="004A41A8" w:rsidP="00806D52">
      <w:pPr>
        <w:autoSpaceDE w:val="0"/>
        <w:autoSpaceDN w:val="0"/>
        <w:adjustRightInd w:val="0"/>
        <w:spacing w:after="0" w:line="240" w:lineRule="auto"/>
        <w:rPr>
          <w:rFonts w:cs="Arial"/>
          <w:b/>
          <w:bCs/>
          <w:color w:val="365F91" w:themeColor="accent1" w:themeShade="BF"/>
          <w:szCs w:val="20"/>
        </w:rPr>
      </w:pPr>
    </w:p>
    <w:p w:rsidR="00806D52" w:rsidRDefault="00806D52" w:rsidP="00806D52">
      <w:pPr>
        <w:autoSpaceDE w:val="0"/>
        <w:autoSpaceDN w:val="0"/>
        <w:adjustRightInd w:val="0"/>
        <w:spacing w:after="0" w:line="240" w:lineRule="auto"/>
        <w:rPr>
          <w:rFonts w:cs="Arial"/>
          <w:b/>
          <w:bCs/>
          <w:color w:val="365F91" w:themeColor="accent1" w:themeShade="BF"/>
          <w:szCs w:val="20"/>
        </w:rPr>
      </w:pPr>
      <w:r w:rsidRPr="00BB1669">
        <w:rPr>
          <w:rFonts w:cs="Arial"/>
          <w:b/>
          <w:bCs/>
          <w:color w:val="365F91" w:themeColor="accent1" w:themeShade="BF"/>
          <w:szCs w:val="20"/>
        </w:rPr>
        <w:t xml:space="preserve">Background to the </w:t>
      </w:r>
      <w:r w:rsidR="005308AA">
        <w:rPr>
          <w:rFonts w:cs="Arial"/>
          <w:b/>
          <w:bCs/>
          <w:color w:val="365F91" w:themeColor="accent1" w:themeShade="BF"/>
          <w:szCs w:val="20"/>
        </w:rPr>
        <w:t xml:space="preserve">s95 </w:t>
      </w:r>
      <w:r w:rsidRPr="00BB1669">
        <w:rPr>
          <w:rFonts w:cs="Arial"/>
          <w:b/>
          <w:bCs/>
          <w:color w:val="365F91" w:themeColor="accent1" w:themeShade="BF"/>
          <w:szCs w:val="20"/>
        </w:rPr>
        <w:t>Guidelines</w:t>
      </w:r>
    </w:p>
    <w:p w:rsidR="00FF5864" w:rsidRDefault="00FF5864" w:rsidP="00806D52">
      <w:pPr>
        <w:autoSpaceDE w:val="0"/>
        <w:autoSpaceDN w:val="0"/>
        <w:adjustRightInd w:val="0"/>
        <w:spacing w:after="0" w:line="240" w:lineRule="auto"/>
        <w:rPr>
          <w:rFonts w:cs="Arial"/>
          <w:b/>
          <w:bCs/>
          <w:color w:val="365F91" w:themeColor="accent1" w:themeShade="BF"/>
          <w:szCs w:val="20"/>
        </w:rPr>
      </w:pPr>
    </w:p>
    <w:p w:rsidR="00797FEB" w:rsidRDefault="005308AA" w:rsidP="00797FEB">
      <w:pPr>
        <w:widowControl w:val="0"/>
        <w:autoSpaceDE w:val="0"/>
        <w:autoSpaceDN w:val="0"/>
        <w:adjustRightInd w:val="0"/>
        <w:spacing w:after="0" w:line="240" w:lineRule="auto"/>
        <w:rPr>
          <w:rFonts w:cs="Arial"/>
          <w:szCs w:val="20"/>
        </w:rPr>
      </w:pPr>
      <w:r w:rsidRPr="005308AA">
        <w:rPr>
          <w:rFonts w:cs="Arial"/>
          <w:color w:val="000000"/>
          <w:szCs w:val="20"/>
        </w:rPr>
        <w:t xml:space="preserve">The </w:t>
      </w:r>
      <w:r>
        <w:rPr>
          <w:rFonts w:cs="Arial"/>
          <w:szCs w:val="20"/>
        </w:rPr>
        <w:t xml:space="preserve">s95 </w:t>
      </w:r>
      <w:r w:rsidR="00FF5864" w:rsidRPr="00F04FAB">
        <w:rPr>
          <w:rFonts w:cs="Arial"/>
          <w:szCs w:val="20"/>
        </w:rPr>
        <w:t>guidelines</w:t>
      </w:r>
      <w:r>
        <w:rPr>
          <w:rFonts w:cs="Arial"/>
          <w:szCs w:val="20"/>
        </w:rPr>
        <w:t xml:space="preserve"> </w:t>
      </w:r>
      <w:r w:rsidR="00FF5864" w:rsidRPr="00F04FAB">
        <w:rPr>
          <w:rFonts w:cs="Arial"/>
          <w:szCs w:val="20"/>
        </w:rPr>
        <w:t xml:space="preserve">have been </w:t>
      </w:r>
      <w:r w:rsidR="00077DD5">
        <w:rPr>
          <w:rFonts w:cs="Arial"/>
          <w:szCs w:val="20"/>
        </w:rPr>
        <w:t>re-issued</w:t>
      </w:r>
      <w:r w:rsidR="00FF5864" w:rsidRPr="00F04FAB">
        <w:rPr>
          <w:rFonts w:cs="Arial"/>
          <w:szCs w:val="20"/>
        </w:rPr>
        <w:t xml:space="preserve"> </w:t>
      </w:r>
      <w:r w:rsidR="00077DD5" w:rsidRPr="00077DD5">
        <w:rPr>
          <w:rFonts w:cs="Arial"/>
          <w:szCs w:val="20"/>
        </w:rPr>
        <w:t>to address minor formatting and content errors</w:t>
      </w:r>
      <w:r w:rsidR="00077DD5">
        <w:rPr>
          <w:rFonts w:cs="Arial"/>
          <w:szCs w:val="20"/>
        </w:rPr>
        <w:t xml:space="preserve"> in th</w:t>
      </w:r>
      <w:r w:rsidR="00077DD5" w:rsidRPr="00F04FAB">
        <w:rPr>
          <w:rFonts w:cs="Arial"/>
          <w:szCs w:val="20"/>
        </w:rPr>
        <w:t xml:space="preserve">e previous version dated </w:t>
      </w:r>
      <w:r w:rsidR="00077DD5">
        <w:rPr>
          <w:rFonts w:cs="Arial"/>
          <w:szCs w:val="20"/>
        </w:rPr>
        <w:t>12 March 2014</w:t>
      </w:r>
      <w:r w:rsidR="00797FEB">
        <w:rPr>
          <w:rFonts w:cs="Arial"/>
          <w:szCs w:val="20"/>
        </w:rPr>
        <w:t>.</w:t>
      </w:r>
    </w:p>
    <w:p w:rsidR="00797FEB" w:rsidRPr="00797FEB" w:rsidRDefault="00797FEB" w:rsidP="00797FEB">
      <w:pPr>
        <w:widowControl w:val="0"/>
        <w:autoSpaceDE w:val="0"/>
        <w:autoSpaceDN w:val="0"/>
        <w:adjustRightInd w:val="0"/>
        <w:spacing w:after="0" w:line="240" w:lineRule="auto"/>
        <w:rPr>
          <w:rFonts w:cs="Arial"/>
          <w:szCs w:val="20"/>
        </w:rPr>
      </w:pPr>
    </w:p>
    <w:p w:rsidR="00576E17" w:rsidRPr="00797FEB" w:rsidRDefault="00576E17" w:rsidP="00797FEB">
      <w:r w:rsidRPr="004F2FA9">
        <w:t xml:space="preserve">The </w:t>
      </w:r>
      <w:r w:rsidR="00797FEB">
        <w:t>guidelines were</w:t>
      </w:r>
      <w:r w:rsidRPr="004F2FA9">
        <w:t xml:space="preserve"> updated</w:t>
      </w:r>
      <w:r w:rsidR="00797FEB">
        <w:t xml:space="preserve"> in March 2014</w:t>
      </w:r>
      <w:r w:rsidRPr="004F2FA9">
        <w:t xml:space="preserve"> to ensure that they accord with the </w:t>
      </w:r>
      <w:r w:rsidRPr="004F2FA9">
        <w:rPr>
          <w:i/>
        </w:rPr>
        <w:t>Privacy Amendment (Enhancing Privacy Protection) Act 2012</w:t>
      </w:r>
      <w:r w:rsidRPr="004F2FA9">
        <w:t>, which amended the</w:t>
      </w:r>
      <w:r w:rsidRPr="004F2FA9">
        <w:rPr>
          <w:i/>
        </w:rPr>
        <w:t xml:space="preserve"> </w:t>
      </w:r>
      <w:r w:rsidRPr="004F2FA9">
        <w:t xml:space="preserve">Privacy Act effective 12 March 2014. </w:t>
      </w:r>
    </w:p>
    <w:p w:rsidR="00665C8B" w:rsidRPr="00901BB3" w:rsidRDefault="00665C8B" w:rsidP="00806D52">
      <w:pPr>
        <w:autoSpaceDE w:val="0"/>
        <w:autoSpaceDN w:val="0"/>
        <w:adjustRightInd w:val="0"/>
        <w:spacing w:after="0" w:line="240" w:lineRule="auto"/>
        <w:rPr>
          <w:rFonts w:cs="Arial"/>
          <w:color w:val="000000"/>
          <w:szCs w:val="20"/>
        </w:rPr>
      </w:pPr>
    </w:p>
    <w:p w:rsidR="00806D52" w:rsidRPr="00901BB3" w:rsidRDefault="00806D52" w:rsidP="00806D52">
      <w:pPr>
        <w:autoSpaceDE w:val="0"/>
        <w:autoSpaceDN w:val="0"/>
        <w:adjustRightInd w:val="0"/>
        <w:spacing w:after="0" w:line="240" w:lineRule="auto"/>
        <w:rPr>
          <w:rFonts w:cs="Arial"/>
          <w:b/>
          <w:bCs/>
          <w:color w:val="365F91" w:themeColor="accent1" w:themeShade="BF"/>
          <w:szCs w:val="20"/>
        </w:rPr>
      </w:pPr>
      <w:r w:rsidRPr="00901BB3">
        <w:rPr>
          <w:rFonts w:cs="Arial"/>
          <w:b/>
          <w:bCs/>
          <w:color w:val="365F91" w:themeColor="accent1" w:themeShade="BF"/>
          <w:szCs w:val="20"/>
        </w:rPr>
        <w:t>Information regulated by the</w:t>
      </w:r>
      <w:r w:rsidR="005308AA">
        <w:rPr>
          <w:rFonts w:cs="Arial"/>
          <w:b/>
          <w:bCs/>
          <w:color w:val="365F91" w:themeColor="accent1" w:themeShade="BF"/>
          <w:szCs w:val="20"/>
        </w:rPr>
        <w:t xml:space="preserve"> s95</w:t>
      </w:r>
      <w:r w:rsidRPr="00901BB3">
        <w:rPr>
          <w:rFonts w:cs="Arial"/>
          <w:b/>
          <w:bCs/>
          <w:color w:val="365F91" w:themeColor="accent1" w:themeShade="BF"/>
          <w:szCs w:val="20"/>
        </w:rPr>
        <w:t xml:space="preserve"> guidelines</w:t>
      </w:r>
    </w:p>
    <w:p w:rsidR="004A41A8" w:rsidRDefault="004A41A8" w:rsidP="00665C8B">
      <w:pPr>
        <w:autoSpaceDE w:val="0"/>
        <w:autoSpaceDN w:val="0"/>
        <w:adjustRightInd w:val="0"/>
        <w:spacing w:after="0" w:line="240" w:lineRule="auto"/>
        <w:rPr>
          <w:rFonts w:cs="Arial"/>
          <w:color w:val="000000"/>
          <w:szCs w:val="20"/>
        </w:rPr>
      </w:pPr>
    </w:p>
    <w:p w:rsidR="00D418B5" w:rsidRDefault="00BA2902" w:rsidP="00665C8B">
      <w:pPr>
        <w:autoSpaceDE w:val="0"/>
        <w:autoSpaceDN w:val="0"/>
        <w:adjustRightInd w:val="0"/>
        <w:spacing w:after="0" w:line="240" w:lineRule="auto"/>
        <w:rPr>
          <w:rFonts w:cs="Arial"/>
          <w:b/>
          <w:bCs/>
          <w:color w:val="365F91" w:themeColor="accent1" w:themeShade="BF"/>
          <w:szCs w:val="20"/>
        </w:rPr>
      </w:pPr>
      <w:r>
        <w:rPr>
          <w:rFonts w:cs="Arial"/>
          <w:color w:val="000000"/>
          <w:szCs w:val="20"/>
        </w:rPr>
        <w:t>T</w:t>
      </w:r>
      <w:r w:rsidR="00665C8B" w:rsidRPr="00665C8B">
        <w:rPr>
          <w:rFonts w:cs="Arial"/>
          <w:color w:val="000000"/>
          <w:szCs w:val="20"/>
        </w:rPr>
        <w:t xml:space="preserve">he </w:t>
      </w:r>
      <w:r w:rsidR="005308AA">
        <w:rPr>
          <w:rFonts w:cs="Arial"/>
          <w:color w:val="000000"/>
          <w:szCs w:val="20"/>
        </w:rPr>
        <w:t xml:space="preserve">s95 </w:t>
      </w:r>
      <w:r w:rsidR="00665C8B" w:rsidRPr="00665C8B">
        <w:rPr>
          <w:rFonts w:cs="Arial"/>
          <w:color w:val="000000"/>
          <w:szCs w:val="20"/>
        </w:rPr>
        <w:t>guidelines apply where medical research involves the use of personal information held by a</w:t>
      </w:r>
      <w:r w:rsidR="00633ADB">
        <w:rPr>
          <w:rFonts w:cs="Arial"/>
          <w:color w:val="000000"/>
          <w:szCs w:val="20"/>
        </w:rPr>
        <w:t>n</w:t>
      </w:r>
      <w:r w:rsidR="00665C8B" w:rsidRPr="00665C8B">
        <w:rPr>
          <w:rFonts w:cs="Arial"/>
          <w:color w:val="000000"/>
          <w:szCs w:val="20"/>
        </w:rPr>
        <w:t xml:space="preserve"> agency, the processes that are set o</w:t>
      </w:r>
      <w:r w:rsidR="00665C8B">
        <w:rPr>
          <w:rFonts w:cs="Arial"/>
          <w:color w:val="000000"/>
          <w:szCs w:val="20"/>
        </w:rPr>
        <w:t>ut in the</w:t>
      </w:r>
      <w:r w:rsidR="00665C8B" w:rsidRPr="00665C8B">
        <w:rPr>
          <w:rFonts w:cs="Arial"/>
          <w:color w:val="000000"/>
          <w:szCs w:val="20"/>
        </w:rPr>
        <w:t xml:space="preserve"> </w:t>
      </w:r>
      <w:r w:rsidR="005308AA">
        <w:rPr>
          <w:rFonts w:cs="Arial"/>
          <w:color w:val="000000"/>
          <w:szCs w:val="20"/>
        </w:rPr>
        <w:t xml:space="preserve">s95 </w:t>
      </w:r>
      <w:r w:rsidR="00C8312F" w:rsidRPr="005308AA">
        <w:rPr>
          <w:rFonts w:cs="Arial"/>
          <w:color w:val="000000"/>
          <w:szCs w:val="20"/>
        </w:rPr>
        <w:t>guidelines</w:t>
      </w:r>
      <w:r w:rsidR="00665C8B" w:rsidRPr="00665C8B">
        <w:rPr>
          <w:rFonts w:cs="Arial"/>
          <w:i/>
          <w:color w:val="000000"/>
          <w:szCs w:val="20"/>
        </w:rPr>
        <w:t xml:space="preserve"> </w:t>
      </w:r>
      <w:r w:rsidR="00665C8B" w:rsidRPr="00665C8B">
        <w:rPr>
          <w:rFonts w:cs="Arial"/>
          <w:color w:val="000000"/>
          <w:szCs w:val="20"/>
        </w:rPr>
        <w:t>must be followed, in order for the information to be lawfully used or</w:t>
      </w:r>
      <w:r w:rsidR="00665C8B">
        <w:rPr>
          <w:rFonts w:cs="Arial"/>
          <w:color w:val="000000"/>
          <w:szCs w:val="20"/>
        </w:rPr>
        <w:t xml:space="preserve"> </w:t>
      </w:r>
      <w:r w:rsidR="00665C8B" w:rsidRPr="00665C8B">
        <w:rPr>
          <w:rFonts w:cs="Arial"/>
          <w:color w:val="000000"/>
          <w:szCs w:val="20"/>
        </w:rPr>
        <w:t>disclosed.</w:t>
      </w:r>
    </w:p>
    <w:p w:rsidR="00131BB3" w:rsidRDefault="00131BB3" w:rsidP="00806D52">
      <w:pPr>
        <w:autoSpaceDE w:val="0"/>
        <w:autoSpaceDN w:val="0"/>
        <w:adjustRightInd w:val="0"/>
        <w:spacing w:after="0" w:line="240" w:lineRule="auto"/>
        <w:rPr>
          <w:rFonts w:cs="Arial"/>
          <w:b/>
          <w:bCs/>
          <w:color w:val="365F91" w:themeColor="accent1" w:themeShade="BF"/>
          <w:szCs w:val="20"/>
        </w:rPr>
      </w:pPr>
    </w:p>
    <w:p w:rsidR="00633ADB" w:rsidRDefault="00633ADB" w:rsidP="00633ADB">
      <w:pPr>
        <w:spacing w:after="0" w:line="240" w:lineRule="auto"/>
        <w:rPr>
          <w:rFonts w:cs="Arial"/>
          <w:color w:val="000000"/>
          <w:szCs w:val="20"/>
        </w:rPr>
      </w:pPr>
    </w:p>
    <w:p w:rsidR="00806D52" w:rsidRPr="00D418B5" w:rsidRDefault="00806D52" w:rsidP="00633ADB">
      <w:pPr>
        <w:spacing w:after="0" w:line="240" w:lineRule="auto"/>
        <w:rPr>
          <w:rFonts w:cs="Arial"/>
          <w:b/>
          <w:bCs/>
          <w:color w:val="365F91" w:themeColor="accent1" w:themeShade="BF"/>
          <w:szCs w:val="20"/>
        </w:rPr>
      </w:pPr>
      <w:r w:rsidRPr="00D418B5">
        <w:rPr>
          <w:rFonts w:cs="Arial"/>
          <w:b/>
          <w:bCs/>
          <w:color w:val="365F91" w:themeColor="accent1" w:themeShade="BF"/>
          <w:szCs w:val="20"/>
        </w:rPr>
        <w:t>3. CONSULATION</w:t>
      </w:r>
    </w:p>
    <w:p w:rsidR="00633ADB" w:rsidRDefault="004A41A8" w:rsidP="00633ADB">
      <w:pPr>
        <w:autoSpaceDE w:val="0"/>
        <w:autoSpaceDN w:val="0"/>
        <w:adjustRightInd w:val="0"/>
        <w:spacing w:after="0" w:line="240" w:lineRule="auto"/>
        <w:rPr>
          <w:rFonts w:cs="Arial"/>
          <w:color w:val="000000"/>
          <w:szCs w:val="20"/>
        </w:rPr>
      </w:pPr>
      <w:r>
        <w:rPr>
          <w:rFonts w:cs="Arial"/>
          <w:color w:val="000000"/>
          <w:szCs w:val="20"/>
        </w:rPr>
        <w:t>P</w:t>
      </w:r>
      <w:r w:rsidR="00ED2526">
        <w:rPr>
          <w:rFonts w:cs="Arial"/>
          <w:color w:val="000000"/>
          <w:szCs w:val="20"/>
        </w:rPr>
        <w:t>ublic</w:t>
      </w:r>
      <w:r w:rsidR="00633ADB" w:rsidRPr="003A1234">
        <w:rPr>
          <w:rFonts w:cs="Arial"/>
          <w:color w:val="000000"/>
          <w:szCs w:val="20"/>
        </w:rPr>
        <w:t xml:space="preserve"> consultation </w:t>
      </w:r>
      <w:r w:rsidR="00ED2526">
        <w:rPr>
          <w:rFonts w:cs="Arial"/>
          <w:color w:val="000000"/>
          <w:szCs w:val="20"/>
        </w:rPr>
        <w:t xml:space="preserve">was </w:t>
      </w:r>
      <w:r>
        <w:rPr>
          <w:rFonts w:cs="Arial"/>
          <w:color w:val="000000"/>
          <w:szCs w:val="20"/>
        </w:rPr>
        <w:t xml:space="preserve">not </w:t>
      </w:r>
      <w:r w:rsidR="00ED2526">
        <w:rPr>
          <w:rFonts w:cs="Arial"/>
          <w:color w:val="000000"/>
          <w:szCs w:val="20"/>
        </w:rPr>
        <w:t>undertaken</w:t>
      </w:r>
      <w:r w:rsidR="00E424E7">
        <w:rPr>
          <w:rFonts w:cs="Arial"/>
          <w:color w:val="000000"/>
          <w:szCs w:val="20"/>
        </w:rPr>
        <w:t xml:space="preserve"> </w:t>
      </w:r>
      <w:r w:rsidR="00ED2526">
        <w:rPr>
          <w:rFonts w:cs="Arial"/>
          <w:color w:val="000000"/>
          <w:szCs w:val="20"/>
        </w:rPr>
        <w:t>due to the</w:t>
      </w:r>
      <w:r w:rsidR="00633ADB" w:rsidRPr="003A1234">
        <w:rPr>
          <w:rFonts w:cs="Arial"/>
          <w:color w:val="000000"/>
          <w:szCs w:val="20"/>
        </w:rPr>
        <w:t xml:space="preserve"> minor</w:t>
      </w:r>
      <w:r w:rsidR="00ED2526">
        <w:rPr>
          <w:rFonts w:cs="Arial"/>
          <w:color w:val="000000"/>
          <w:szCs w:val="20"/>
        </w:rPr>
        <w:t>/</w:t>
      </w:r>
      <w:r w:rsidR="00633ADB" w:rsidRPr="003A1234">
        <w:rPr>
          <w:rFonts w:cs="Arial"/>
          <w:color w:val="000000"/>
          <w:szCs w:val="20"/>
        </w:rPr>
        <w:t xml:space="preserve"> machinery nature</w:t>
      </w:r>
      <w:r w:rsidR="00ED2526">
        <w:rPr>
          <w:rFonts w:cs="Arial"/>
          <w:color w:val="000000"/>
          <w:szCs w:val="20"/>
        </w:rPr>
        <w:t xml:space="preserve"> of the changes</w:t>
      </w:r>
      <w:r w:rsidR="00B448DB">
        <w:rPr>
          <w:rFonts w:cs="Arial"/>
          <w:color w:val="000000"/>
          <w:szCs w:val="20"/>
        </w:rPr>
        <w:t xml:space="preserve"> which give effect to a legislative change</w:t>
      </w:r>
      <w:r w:rsidR="00A4384A">
        <w:rPr>
          <w:rFonts w:cs="Arial"/>
          <w:color w:val="000000"/>
          <w:szCs w:val="20"/>
        </w:rPr>
        <w:t>, which has been debated in Parliament</w:t>
      </w:r>
      <w:r w:rsidR="00633ADB" w:rsidRPr="003A1234">
        <w:rPr>
          <w:rFonts w:cs="Arial"/>
          <w:color w:val="000000"/>
          <w:szCs w:val="20"/>
        </w:rPr>
        <w:t>.</w:t>
      </w:r>
    </w:p>
    <w:p w:rsidR="004A41A8" w:rsidRDefault="004A41A8" w:rsidP="00633ADB">
      <w:pPr>
        <w:autoSpaceDE w:val="0"/>
        <w:autoSpaceDN w:val="0"/>
        <w:adjustRightInd w:val="0"/>
        <w:spacing w:after="0" w:line="240" w:lineRule="auto"/>
        <w:rPr>
          <w:rFonts w:cs="Arial"/>
          <w:color w:val="000000"/>
          <w:szCs w:val="20"/>
        </w:rPr>
      </w:pPr>
    </w:p>
    <w:p w:rsidR="004A41A8" w:rsidRDefault="004A41A8" w:rsidP="00633ADB">
      <w:pPr>
        <w:autoSpaceDE w:val="0"/>
        <w:autoSpaceDN w:val="0"/>
        <w:adjustRightInd w:val="0"/>
        <w:spacing w:after="0" w:line="240" w:lineRule="auto"/>
        <w:rPr>
          <w:rFonts w:cs="Arial"/>
          <w:color w:val="000000"/>
          <w:szCs w:val="20"/>
        </w:rPr>
      </w:pPr>
      <w:r>
        <w:rPr>
          <w:rFonts w:cs="Arial"/>
          <w:color w:val="000000"/>
          <w:szCs w:val="20"/>
        </w:rPr>
        <w:t xml:space="preserve">The NHMRC worked closely with the Office of the Australian Information Commissioner in making the updates to the guideline. </w:t>
      </w:r>
    </w:p>
    <w:p w:rsidR="004A41A8" w:rsidRDefault="004A41A8" w:rsidP="00633ADB">
      <w:pPr>
        <w:autoSpaceDE w:val="0"/>
        <w:autoSpaceDN w:val="0"/>
        <w:adjustRightInd w:val="0"/>
        <w:spacing w:after="0" w:line="240" w:lineRule="auto"/>
        <w:rPr>
          <w:rFonts w:cs="Arial"/>
          <w:color w:val="000000"/>
          <w:szCs w:val="20"/>
        </w:rPr>
      </w:pPr>
    </w:p>
    <w:p w:rsidR="004A41A8" w:rsidRPr="00D418B5" w:rsidRDefault="004A41A8" w:rsidP="00633ADB">
      <w:pPr>
        <w:autoSpaceDE w:val="0"/>
        <w:autoSpaceDN w:val="0"/>
        <w:adjustRightInd w:val="0"/>
        <w:spacing w:after="0" w:line="240" w:lineRule="auto"/>
        <w:rPr>
          <w:rFonts w:cs="Arial"/>
          <w:color w:val="000000"/>
          <w:szCs w:val="20"/>
        </w:rPr>
      </w:pPr>
    </w:p>
    <w:p w:rsidR="00D418B5" w:rsidRPr="00D418B5" w:rsidRDefault="00D418B5" w:rsidP="00806D52">
      <w:pPr>
        <w:autoSpaceDE w:val="0"/>
        <w:autoSpaceDN w:val="0"/>
        <w:adjustRightInd w:val="0"/>
        <w:spacing w:after="0" w:line="240" w:lineRule="auto"/>
        <w:rPr>
          <w:rFonts w:cs="Arial"/>
          <w:color w:val="000000"/>
          <w:szCs w:val="20"/>
        </w:rPr>
      </w:pPr>
    </w:p>
    <w:p w:rsidR="00806D52" w:rsidRPr="00D418B5" w:rsidRDefault="00806D52" w:rsidP="00806D52">
      <w:pPr>
        <w:autoSpaceDE w:val="0"/>
        <w:autoSpaceDN w:val="0"/>
        <w:adjustRightInd w:val="0"/>
        <w:spacing w:after="0" w:line="240" w:lineRule="auto"/>
        <w:rPr>
          <w:rFonts w:cs="Arial"/>
          <w:b/>
          <w:bCs/>
          <w:color w:val="365F91" w:themeColor="accent1" w:themeShade="BF"/>
          <w:szCs w:val="20"/>
        </w:rPr>
      </w:pPr>
      <w:r w:rsidRPr="00D418B5">
        <w:rPr>
          <w:rFonts w:cs="Arial"/>
          <w:b/>
          <w:bCs/>
          <w:color w:val="365F91" w:themeColor="accent1" w:themeShade="BF"/>
          <w:szCs w:val="20"/>
        </w:rPr>
        <w:t>4. LEGAL STATUS OF THE GUIDELINES</w:t>
      </w:r>
    </w:p>
    <w:p w:rsidR="004A41A8" w:rsidRDefault="004A41A8" w:rsidP="00633ADB">
      <w:pPr>
        <w:autoSpaceDE w:val="0"/>
        <w:autoSpaceDN w:val="0"/>
        <w:adjustRightInd w:val="0"/>
        <w:spacing w:after="0" w:line="240" w:lineRule="auto"/>
        <w:rPr>
          <w:rFonts w:cs="Arial"/>
          <w:color w:val="000000"/>
          <w:szCs w:val="20"/>
        </w:rPr>
      </w:pPr>
    </w:p>
    <w:p w:rsidR="00633ADB" w:rsidRDefault="005308AA" w:rsidP="00633ADB">
      <w:pPr>
        <w:autoSpaceDE w:val="0"/>
        <w:autoSpaceDN w:val="0"/>
        <w:adjustRightInd w:val="0"/>
        <w:spacing w:after="0" w:line="240" w:lineRule="auto"/>
      </w:pPr>
      <w:r>
        <w:rPr>
          <w:rFonts w:cs="Arial"/>
          <w:color w:val="000000"/>
          <w:szCs w:val="20"/>
        </w:rPr>
        <w:t>The</w:t>
      </w:r>
      <w:r w:rsidRPr="00665C8B">
        <w:rPr>
          <w:rFonts w:cs="Arial"/>
          <w:color w:val="000000"/>
          <w:szCs w:val="20"/>
        </w:rPr>
        <w:t xml:space="preserve"> </w:t>
      </w:r>
      <w:r>
        <w:rPr>
          <w:rFonts w:cs="Arial"/>
          <w:color w:val="000000"/>
          <w:szCs w:val="20"/>
        </w:rPr>
        <w:t xml:space="preserve">s95 </w:t>
      </w:r>
      <w:r w:rsidRPr="005308AA">
        <w:rPr>
          <w:rFonts w:cs="Arial"/>
          <w:color w:val="000000"/>
          <w:szCs w:val="20"/>
        </w:rPr>
        <w:t>guidelines</w:t>
      </w:r>
      <w:r w:rsidRPr="00665C8B">
        <w:rPr>
          <w:rFonts w:cs="Arial"/>
          <w:i/>
          <w:color w:val="000000"/>
          <w:szCs w:val="20"/>
        </w:rPr>
        <w:t xml:space="preserve"> </w:t>
      </w:r>
      <w:r w:rsidR="00633ADB" w:rsidRPr="00275FDD">
        <w:t xml:space="preserve">form part of </w:t>
      </w:r>
      <w:r w:rsidR="00ED2526">
        <w:t xml:space="preserve">the </w:t>
      </w:r>
      <w:r w:rsidR="00633ADB" w:rsidRPr="00275FDD">
        <w:t>legal requirements for compliance with federal legislation, namely the Privacy Act.</w:t>
      </w:r>
    </w:p>
    <w:p w:rsidR="00633ADB" w:rsidRDefault="00633ADB" w:rsidP="00633ADB">
      <w:pPr>
        <w:autoSpaceDE w:val="0"/>
        <w:autoSpaceDN w:val="0"/>
        <w:adjustRightInd w:val="0"/>
        <w:spacing w:after="0" w:line="240" w:lineRule="auto"/>
        <w:rPr>
          <w:rFonts w:cs="Arial"/>
          <w:color w:val="000000"/>
          <w:szCs w:val="20"/>
        </w:rPr>
      </w:pPr>
    </w:p>
    <w:p w:rsidR="00633ADB" w:rsidRDefault="00633ADB" w:rsidP="00633ADB">
      <w:pPr>
        <w:autoSpaceDE w:val="0"/>
        <w:autoSpaceDN w:val="0"/>
        <w:adjustRightInd w:val="0"/>
        <w:spacing w:after="0" w:line="240" w:lineRule="auto"/>
        <w:rPr>
          <w:rFonts w:cs="Arial"/>
          <w:b/>
          <w:bCs/>
          <w:color w:val="365F91" w:themeColor="accent1" w:themeShade="BF"/>
          <w:szCs w:val="20"/>
        </w:rPr>
      </w:pPr>
      <w:r w:rsidRPr="00D418B5">
        <w:rPr>
          <w:rFonts w:cs="Arial"/>
          <w:color w:val="000000"/>
          <w:szCs w:val="20"/>
        </w:rPr>
        <w:t xml:space="preserve">The </w:t>
      </w:r>
      <w:r w:rsidR="005308AA">
        <w:rPr>
          <w:rFonts w:cs="Arial"/>
          <w:color w:val="000000"/>
          <w:szCs w:val="20"/>
        </w:rPr>
        <w:t xml:space="preserve">s95 </w:t>
      </w:r>
      <w:r w:rsidRPr="00D418B5">
        <w:rPr>
          <w:rFonts w:cs="Arial"/>
          <w:color w:val="000000"/>
          <w:szCs w:val="20"/>
        </w:rPr>
        <w:t xml:space="preserve">guidelines </w:t>
      </w:r>
      <w:r w:rsidRPr="00665C8B">
        <w:rPr>
          <w:rFonts w:cs="Arial"/>
          <w:color w:val="000000"/>
          <w:szCs w:val="20"/>
        </w:rPr>
        <w:t>apply where medical research involves the use of personal information held by a</w:t>
      </w:r>
      <w:r>
        <w:rPr>
          <w:rFonts w:cs="Arial"/>
          <w:color w:val="000000"/>
          <w:szCs w:val="20"/>
        </w:rPr>
        <w:t>n</w:t>
      </w:r>
      <w:r w:rsidRPr="00665C8B">
        <w:rPr>
          <w:rFonts w:cs="Arial"/>
          <w:color w:val="000000"/>
          <w:szCs w:val="20"/>
        </w:rPr>
        <w:t xml:space="preserve"> agency, the processes that are set o</w:t>
      </w:r>
      <w:r>
        <w:rPr>
          <w:rFonts w:cs="Arial"/>
          <w:color w:val="000000"/>
          <w:szCs w:val="20"/>
        </w:rPr>
        <w:t>ut in the</w:t>
      </w:r>
      <w:r w:rsidRPr="005308AA">
        <w:rPr>
          <w:rFonts w:cs="Arial"/>
          <w:color w:val="000000"/>
          <w:szCs w:val="20"/>
        </w:rPr>
        <w:t xml:space="preserve"> </w:t>
      </w:r>
      <w:r w:rsidR="005308AA">
        <w:rPr>
          <w:rFonts w:cs="Arial"/>
          <w:color w:val="000000"/>
          <w:szCs w:val="20"/>
        </w:rPr>
        <w:t xml:space="preserve">s95 </w:t>
      </w:r>
      <w:r w:rsidR="00C8312F" w:rsidRPr="005308AA">
        <w:rPr>
          <w:rFonts w:cs="Arial"/>
          <w:color w:val="000000"/>
          <w:szCs w:val="20"/>
        </w:rPr>
        <w:t>guidelines</w:t>
      </w:r>
      <w:r w:rsidR="00C8312F">
        <w:rPr>
          <w:rFonts w:cs="Arial"/>
          <w:i/>
          <w:color w:val="000000"/>
          <w:szCs w:val="20"/>
        </w:rPr>
        <w:t xml:space="preserve"> </w:t>
      </w:r>
      <w:r w:rsidRPr="00665C8B">
        <w:rPr>
          <w:rFonts w:cs="Arial"/>
          <w:color w:val="000000"/>
          <w:szCs w:val="20"/>
        </w:rPr>
        <w:t>must be followed, in order for the information to be lawfully used or disclosed.</w:t>
      </w:r>
    </w:p>
    <w:p w:rsidR="00633ADB" w:rsidRDefault="00633ADB" w:rsidP="00633ADB">
      <w:pPr>
        <w:autoSpaceDE w:val="0"/>
        <w:autoSpaceDN w:val="0"/>
        <w:adjustRightInd w:val="0"/>
        <w:spacing w:after="0" w:line="240" w:lineRule="auto"/>
      </w:pPr>
    </w:p>
    <w:p w:rsidR="00633ADB" w:rsidRPr="00D418B5" w:rsidRDefault="00633ADB" w:rsidP="00633ADB">
      <w:pPr>
        <w:autoSpaceDE w:val="0"/>
        <w:autoSpaceDN w:val="0"/>
        <w:adjustRightInd w:val="0"/>
        <w:spacing w:after="0" w:line="240" w:lineRule="auto"/>
        <w:rPr>
          <w:rFonts w:cs="Arial"/>
          <w:color w:val="000000"/>
          <w:szCs w:val="20"/>
        </w:rPr>
      </w:pPr>
      <w:r w:rsidRPr="00D418B5">
        <w:rPr>
          <w:rFonts w:cs="Arial"/>
          <w:color w:val="000000"/>
          <w:szCs w:val="20"/>
        </w:rPr>
        <w:t xml:space="preserve">A breach of the </w:t>
      </w:r>
      <w:r w:rsidR="005308AA">
        <w:rPr>
          <w:rFonts w:cs="Arial"/>
          <w:color w:val="000000"/>
          <w:szCs w:val="20"/>
        </w:rPr>
        <w:t xml:space="preserve">s95 </w:t>
      </w:r>
      <w:r w:rsidRPr="00D418B5">
        <w:rPr>
          <w:rFonts w:cs="Arial"/>
          <w:color w:val="000000"/>
          <w:szCs w:val="20"/>
        </w:rPr>
        <w:t xml:space="preserve">guidelines constitutes an </w:t>
      </w:r>
      <w:r>
        <w:rPr>
          <w:rFonts w:cs="Arial"/>
          <w:color w:val="000000"/>
          <w:szCs w:val="20"/>
        </w:rPr>
        <w:t xml:space="preserve">interference with privacy under </w:t>
      </w:r>
      <w:r w:rsidRPr="00D418B5">
        <w:rPr>
          <w:rFonts w:cs="Arial"/>
          <w:color w:val="000000"/>
          <w:szCs w:val="20"/>
        </w:rPr>
        <w:t>section 13A of the Privacy Act</w:t>
      </w:r>
      <w:r>
        <w:rPr>
          <w:rFonts w:cs="Arial"/>
          <w:color w:val="000000"/>
          <w:szCs w:val="20"/>
        </w:rPr>
        <w:t>.</w:t>
      </w:r>
    </w:p>
    <w:p w:rsidR="00633ADB" w:rsidRDefault="00633ADB" w:rsidP="00633ADB">
      <w:pPr>
        <w:autoSpaceDE w:val="0"/>
        <w:autoSpaceDN w:val="0"/>
        <w:adjustRightInd w:val="0"/>
        <w:spacing w:after="0" w:line="240" w:lineRule="auto"/>
        <w:rPr>
          <w:rFonts w:cs="Arial"/>
          <w:color w:val="000000"/>
          <w:szCs w:val="20"/>
        </w:rPr>
      </w:pPr>
    </w:p>
    <w:p w:rsidR="00633ADB" w:rsidRPr="00D418B5" w:rsidRDefault="00633ADB" w:rsidP="00633ADB">
      <w:pPr>
        <w:autoSpaceDE w:val="0"/>
        <w:autoSpaceDN w:val="0"/>
        <w:adjustRightInd w:val="0"/>
        <w:spacing w:after="0" w:line="240" w:lineRule="auto"/>
        <w:rPr>
          <w:rFonts w:cs="Arial"/>
          <w:color w:val="000000"/>
          <w:szCs w:val="20"/>
        </w:rPr>
      </w:pPr>
      <w:r w:rsidRPr="00D418B5">
        <w:rPr>
          <w:rFonts w:cs="Arial"/>
          <w:color w:val="000000"/>
          <w:szCs w:val="20"/>
        </w:rPr>
        <w:lastRenderedPageBreak/>
        <w:t>An individual may complain to the Privacy Commis</w:t>
      </w:r>
      <w:r>
        <w:rPr>
          <w:rFonts w:cs="Arial"/>
          <w:color w:val="000000"/>
          <w:szCs w:val="20"/>
        </w:rPr>
        <w:t xml:space="preserve">sioner about an act or practice </w:t>
      </w:r>
      <w:r w:rsidRPr="00D418B5">
        <w:rPr>
          <w:rFonts w:cs="Arial"/>
          <w:color w:val="000000"/>
          <w:szCs w:val="20"/>
        </w:rPr>
        <w:t xml:space="preserve">they believe has not been done in accordance with the </w:t>
      </w:r>
      <w:r w:rsidR="005308AA">
        <w:rPr>
          <w:rFonts w:cs="Arial"/>
          <w:color w:val="000000"/>
          <w:szCs w:val="20"/>
        </w:rPr>
        <w:t xml:space="preserve">s95 </w:t>
      </w:r>
      <w:r w:rsidRPr="00D418B5">
        <w:rPr>
          <w:rFonts w:cs="Arial"/>
          <w:color w:val="000000"/>
          <w:szCs w:val="20"/>
        </w:rPr>
        <w:t>guidelines.</w:t>
      </w:r>
    </w:p>
    <w:p w:rsidR="00633ADB" w:rsidRDefault="00633ADB" w:rsidP="00633ADB">
      <w:pPr>
        <w:autoSpaceDE w:val="0"/>
        <w:autoSpaceDN w:val="0"/>
        <w:adjustRightInd w:val="0"/>
        <w:spacing w:after="0" w:line="240" w:lineRule="auto"/>
        <w:rPr>
          <w:rFonts w:cs="Arial"/>
          <w:color w:val="000000"/>
          <w:szCs w:val="20"/>
        </w:rPr>
      </w:pPr>
    </w:p>
    <w:p w:rsidR="00633ADB" w:rsidRPr="00D418B5" w:rsidRDefault="00633ADB" w:rsidP="00633ADB">
      <w:pPr>
        <w:rPr>
          <w:rFonts w:cs="Arial"/>
          <w:szCs w:val="20"/>
        </w:rPr>
      </w:pPr>
      <w:r w:rsidRPr="004439FA">
        <w:rPr>
          <w:rFonts w:cs="Arial"/>
          <w:szCs w:val="20"/>
        </w:rPr>
        <w:t xml:space="preserve">The </w:t>
      </w:r>
      <w:r w:rsidR="005308AA">
        <w:rPr>
          <w:rFonts w:cs="Arial"/>
          <w:szCs w:val="20"/>
        </w:rPr>
        <w:t xml:space="preserve">s95 </w:t>
      </w:r>
      <w:r w:rsidR="000A464B">
        <w:rPr>
          <w:rFonts w:cs="Arial"/>
          <w:szCs w:val="20"/>
        </w:rPr>
        <w:t xml:space="preserve">guidelines take effect from </w:t>
      </w:r>
      <w:r w:rsidR="00607125">
        <w:rPr>
          <w:rFonts w:cs="Arial"/>
          <w:szCs w:val="20"/>
        </w:rPr>
        <w:t>the day of registration on the Federal Register of Legislative Instruments</w:t>
      </w:r>
      <w:r w:rsidR="000A464B">
        <w:rPr>
          <w:rFonts w:cs="Arial"/>
          <w:szCs w:val="20"/>
        </w:rPr>
        <w:t>.</w:t>
      </w:r>
    </w:p>
    <w:p w:rsidR="00DD2886" w:rsidRPr="00D418B5" w:rsidRDefault="00DD2886" w:rsidP="00633ADB">
      <w:pPr>
        <w:autoSpaceDE w:val="0"/>
        <w:autoSpaceDN w:val="0"/>
        <w:adjustRightInd w:val="0"/>
        <w:spacing w:after="0" w:line="240" w:lineRule="auto"/>
        <w:rPr>
          <w:rFonts w:cs="Arial"/>
          <w:szCs w:val="20"/>
        </w:rPr>
      </w:pPr>
    </w:p>
    <w:sectPr w:rsidR="00DD2886" w:rsidRPr="00D418B5" w:rsidSect="00633ADB">
      <w:headerReference w:type="default" r:id="rId23"/>
      <w:footerReference w:type="default" r:id="rId24"/>
      <w:headerReference w:type="first" r:id="rId25"/>
      <w:footerReference w:type="first" r:id="rId26"/>
      <w:pgSz w:w="11906" w:h="16838" w:code="9"/>
      <w:pgMar w:top="993" w:right="851" w:bottom="1985" w:left="851"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D52" w:rsidRDefault="00806D52" w:rsidP="007A386A">
      <w:pPr>
        <w:spacing w:after="0" w:line="240" w:lineRule="auto"/>
      </w:pPr>
      <w:r>
        <w:separator/>
      </w:r>
    </w:p>
  </w:endnote>
  <w:endnote w:type="continuationSeparator" w:id="0">
    <w:p w:rsidR="00806D52" w:rsidRDefault="00806D52" w:rsidP="007A3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Ligh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C5" w:rsidRPr="003A5C3C" w:rsidRDefault="003A5C3C" w:rsidP="003A5C3C">
    <w:pPr>
      <w:pStyle w:val="Footer"/>
      <w:rPr>
        <w:i/>
      </w:rPr>
    </w:pPr>
    <w:r w:rsidRPr="003A5C3C">
      <w:rPr>
        <w:i/>
      </w:rPr>
      <w:t xml:space="preserve">Explanatory Statement: Approval of guidelines </w:t>
    </w:r>
    <w:r w:rsidR="006A7349">
      <w:rPr>
        <w:i/>
      </w:rPr>
      <w:t>under section 95</w:t>
    </w:r>
    <w:r w:rsidRPr="003A5C3C">
      <w:rPr>
        <w:i/>
      </w:rPr>
      <w:t xml:space="preserve"> </w:t>
    </w:r>
    <w:r w:rsidR="00A4384A">
      <w:rPr>
        <w:i/>
      </w:rPr>
      <w:t>of the Privacy Act 1988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19E" w:rsidRDefault="0021619E" w:rsidP="00FA7891">
    <w:pPr>
      <w:pStyle w:val="Footer"/>
      <w:tabs>
        <w:tab w:val="clear" w:pos="4513"/>
        <w:tab w:val="clear" w:pos="9026"/>
      </w:tabs>
      <w:jc w:val="right"/>
    </w:pPr>
  </w:p>
  <w:tbl>
    <w:tblPr>
      <w:tblW w:w="10206" w:type="dxa"/>
      <w:tblLayout w:type="fixed"/>
      <w:tblCellMar>
        <w:left w:w="0" w:type="dxa"/>
        <w:right w:w="0" w:type="dxa"/>
      </w:tblCellMar>
      <w:tblLook w:val="04A0" w:firstRow="1" w:lastRow="0" w:firstColumn="1" w:lastColumn="0" w:noHBand="0" w:noVBand="1"/>
      <w:tblCaption w:val="Classification and page number"/>
      <w:tblDescription w:val="Footer information"/>
    </w:tblPr>
    <w:tblGrid>
      <w:gridCol w:w="4395"/>
      <w:gridCol w:w="5811"/>
    </w:tblGrid>
    <w:tr w:rsidR="0021619E" w:rsidTr="00E42D46">
      <w:trPr>
        <w:tblHeader/>
      </w:trPr>
      <w:tc>
        <w:tcPr>
          <w:tcW w:w="4395" w:type="dxa"/>
          <w:vAlign w:val="bottom"/>
        </w:tcPr>
        <w:p w:rsidR="0021619E" w:rsidRDefault="0021619E" w:rsidP="00E944BA">
          <w:pPr>
            <w:pStyle w:val="Classification"/>
          </w:pPr>
          <w:bookmarkStart w:id="2" w:name="Classification"/>
          <w:bookmarkEnd w:id="2"/>
        </w:p>
      </w:tc>
      <w:tc>
        <w:tcPr>
          <w:tcW w:w="5811" w:type="dxa"/>
          <w:vAlign w:val="bottom"/>
        </w:tcPr>
        <w:p w:rsidR="0021619E" w:rsidRDefault="0021619E" w:rsidP="00E944BA">
          <w:pPr>
            <w:pStyle w:val="Footer"/>
            <w:jc w:val="right"/>
          </w:pPr>
          <w:r>
            <w:t xml:space="preserve">Page </w:t>
          </w:r>
          <w:r w:rsidR="00BE1B80">
            <w:fldChar w:fldCharType="begin"/>
          </w:r>
          <w:r>
            <w:instrText xml:space="preserve"> PAGE   \* MERGEFORMAT </w:instrText>
          </w:r>
          <w:r w:rsidR="00BE1B80">
            <w:fldChar w:fldCharType="separate"/>
          </w:r>
          <w:r w:rsidR="008F0FBA">
            <w:rPr>
              <w:noProof/>
            </w:rPr>
            <w:t>1</w:t>
          </w:r>
          <w:r w:rsidR="00BE1B80">
            <w:rPr>
              <w:noProof/>
            </w:rPr>
            <w:fldChar w:fldCharType="end"/>
          </w:r>
        </w:p>
      </w:tc>
    </w:tr>
  </w:tbl>
  <w:p w:rsidR="0021619E" w:rsidRDefault="0021619E" w:rsidP="00FA7891">
    <w:pPr>
      <w:pStyle w:val="Footer"/>
      <w:tabs>
        <w:tab w:val="clear" w:pos="4513"/>
        <w:tab w:val="clear" w:pos="9026"/>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D52" w:rsidRDefault="00806D52" w:rsidP="007A386A">
      <w:pPr>
        <w:spacing w:after="0" w:line="240" w:lineRule="auto"/>
      </w:pPr>
      <w:r>
        <w:separator/>
      </w:r>
    </w:p>
  </w:footnote>
  <w:footnote w:type="continuationSeparator" w:id="0">
    <w:p w:rsidR="00806D52" w:rsidRDefault="00806D52" w:rsidP="007A38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349" w:rsidRDefault="006A73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0" w:type="dxa"/>
      <w:tblLayout w:type="fixed"/>
      <w:tblCellMar>
        <w:left w:w="0" w:type="dxa"/>
        <w:right w:w="0" w:type="dxa"/>
      </w:tblCellMar>
      <w:tblLook w:val="04A0" w:firstRow="1" w:lastRow="0" w:firstColumn="1" w:lastColumn="0" w:noHBand="0" w:noVBand="1"/>
      <w:tblCaption w:val="NHMRC logo"/>
      <w:tblDescription w:val="Header logo"/>
    </w:tblPr>
    <w:tblGrid>
      <w:gridCol w:w="10420"/>
    </w:tblGrid>
    <w:tr w:rsidR="0021619E" w:rsidRPr="00347D38" w:rsidTr="003D7ABC">
      <w:trPr>
        <w:trHeight w:val="2268"/>
        <w:tblHeader/>
      </w:trPr>
      <w:tc>
        <w:tcPr>
          <w:tcW w:w="10420" w:type="dxa"/>
          <w:tcMar>
            <w:top w:w="851" w:type="dxa"/>
          </w:tcMar>
        </w:tcPr>
        <w:p w:rsidR="0021619E" w:rsidRPr="00347D38" w:rsidRDefault="00531D03" w:rsidP="001A6273">
          <w:pPr>
            <w:tabs>
              <w:tab w:val="center" w:pos="4513"/>
              <w:tab w:val="right" w:pos="9026"/>
            </w:tabs>
            <w:spacing w:after="120"/>
            <w:jc w:val="center"/>
            <w:rPr>
              <w:rFonts w:ascii="Times New Roman" w:hAnsi="Times New Roman"/>
              <w:sz w:val="14"/>
            </w:rPr>
          </w:pPr>
          <w:r>
            <w:rPr>
              <w:rFonts w:ascii="Times New Roman" w:hAnsi="Times New Roman"/>
              <w:noProof/>
              <w:sz w:val="14"/>
            </w:rPr>
            <w:drawing>
              <wp:inline distT="0" distB="0" distL="0" distR="0" wp14:anchorId="17C74C10" wp14:editId="53BDC76C">
                <wp:extent cx="2494800" cy="928800"/>
                <wp:effectExtent l="0" t="0" r="1270" b="5080"/>
                <wp:docPr id="2" name="Picture 2" descr="NHMRC logo in header" title="NHM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ck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4800" cy="928800"/>
                        </a:xfrm>
                        <a:prstGeom prst="rect">
                          <a:avLst/>
                        </a:prstGeom>
                      </pic:spPr>
                    </pic:pic>
                  </a:graphicData>
                </a:graphic>
              </wp:inline>
            </w:drawing>
          </w:r>
        </w:p>
      </w:tc>
    </w:tr>
  </w:tbl>
  <w:p w:rsidR="0021619E" w:rsidRPr="00A7117A" w:rsidRDefault="0021619E" w:rsidP="00B243FF">
    <w:pPr>
      <w:pStyle w:val="Header"/>
      <w:tabs>
        <w:tab w:val="clear" w:pos="4513"/>
        <w:tab w:val="clear"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36F1D2"/>
    <w:lvl w:ilvl="0">
      <w:start w:val="1"/>
      <w:numFmt w:val="decimal"/>
      <w:lvlText w:val="%1."/>
      <w:lvlJc w:val="left"/>
      <w:pPr>
        <w:tabs>
          <w:tab w:val="num" w:pos="1492"/>
        </w:tabs>
        <w:ind w:left="1492" w:hanging="360"/>
      </w:pPr>
    </w:lvl>
  </w:abstractNum>
  <w:abstractNum w:abstractNumId="1">
    <w:nsid w:val="FFFFFF7D"/>
    <w:multiLevelType w:val="singleLevel"/>
    <w:tmpl w:val="651ECA06"/>
    <w:lvl w:ilvl="0">
      <w:start w:val="1"/>
      <w:numFmt w:val="decimal"/>
      <w:lvlText w:val="%1."/>
      <w:lvlJc w:val="left"/>
      <w:pPr>
        <w:tabs>
          <w:tab w:val="num" w:pos="1209"/>
        </w:tabs>
        <w:ind w:left="1209" w:hanging="360"/>
      </w:pPr>
    </w:lvl>
  </w:abstractNum>
  <w:abstractNum w:abstractNumId="2">
    <w:nsid w:val="FFFFFF7E"/>
    <w:multiLevelType w:val="singleLevel"/>
    <w:tmpl w:val="113A3DBA"/>
    <w:lvl w:ilvl="0">
      <w:start w:val="1"/>
      <w:numFmt w:val="decimal"/>
      <w:lvlText w:val="%1."/>
      <w:lvlJc w:val="left"/>
      <w:pPr>
        <w:tabs>
          <w:tab w:val="num" w:pos="926"/>
        </w:tabs>
        <w:ind w:left="926" w:hanging="360"/>
      </w:pPr>
    </w:lvl>
  </w:abstractNum>
  <w:abstractNum w:abstractNumId="3">
    <w:nsid w:val="FFFFFF7F"/>
    <w:multiLevelType w:val="singleLevel"/>
    <w:tmpl w:val="F6B667B6"/>
    <w:lvl w:ilvl="0">
      <w:start w:val="1"/>
      <w:numFmt w:val="decimal"/>
      <w:lvlText w:val="%1."/>
      <w:lvlJc w:val="left"/>
      <w:pPr>
        <w:tabs>
          <w:tab w:val="num" w:pos="643"/>
        </w:tabs>
        <w:ind w:left="643" w:hanging="360"/>
      </w:pPr>
    </w:lvl>
  </w:abstractNum>
  <w:abstractNum w:abstractNumId="4">
    <w:nsid w:val="FFFFFF80"/>
    <w:multiLevelType w:val="singleLevel"/>
    <w:tmpl w:val="A3100C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1D692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3695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CE9BC6"/>
    <w:lvl w:ilvl="0">
      <w:start w:val="1"/>
      <w:numFmt w:val="bullet"/>
      <w:pStyle w:val="ListBullet2"/>
      <w:lvlText w:val="–"/>
      <w:lvlJc w:val="left"/>
      <w:pPr>
        <w:ind w:left="643" w:hanging="360"/>
      </w:pPr>
      <w:rPr>
        <w:rFonts w:ascii="Arial" w:hAnsi="Arial" w:hint="default"/>
        <w:sz w:val="20"/>
      </w:rPr>
    </w:lvl>
  </w:abstractNum>
  <w:abstractNum w:abstractNumId="8">
    <w:nsid w:val="FFFFFF88"/>
    <w:multiLevelType w:val="singleLevel"/>
    <w:tmpl w:val="7284D252"/>
    <w:lvl w:ilvl="0">
      <w:start w:val="1"/>
      <w:numFmt w:val="decimal"/>
      <w:pStyle w:val="ListNumber"/>
      <w:lvlText w:val="%1."/>
      <w:lvlJc w:val="left"/>
      <w:pPr>
        <w:tabs>
          <w:tab w:val="num" w:pos="360"/>
        </w:tabs>
        <w:ind w:left="360" w:hanging="360"/>
      </w:pPr>
    </w:lvl>
  </w:abstractNum>
  <w:abstractNum w:abstractNumId="9">
    <w:nsid w:val="FFFFFF89"/>
    <w:multiLevelType w:val="singleLevel"/>
    <w:tmpl w:val="4CEA106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EEE2E93"/>
    <w:multiLevelType w:val="hybridMultilevel"/>
    <w:tmpl w:val="FEB02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A586566"/>
    <w:multiLevelType w:val="multilevel"/>
    <w:tmpl w:val="AA40D79E"/>
    <w:lvl w:ilvl="0">
      <w:start w:val="1"/>
      <w:numFmt w:val="decimal"/>
      <w:lvlText w:val="%1"/>
      <w:lvlJc w:val="left"/>
      <w:pPr>
        <w:ind w:left="570" w:hanging="570"/>
      </w:pPr>
      <w:rPr>
        <w:rFonts w:ascii="Garamond-Light" w:hAnsi="Garamond-Light" w:cs="Garamond-Light" w:hint="default"/>
        <w:color w:val="000000"/>
      </w:rPr>
    </w:lvl>
    <w:lvl w:ilvl="1">
      <w:start w:val="1"/>
      <w:numFmt w:val="decimal"/>
      <w:lvlText w:val="%1.%2"/>
      <w:lvlJc w:val="left"/>
      <w:pPr>
        <w:ind w:left="570" w:hanging="570"/>
      </w:pPr>
      <w:rPr>
        <w:rFonts w:ascii="Garamond-Light" w:hAnsi="Garamond-Light" w:cs="Garamond-Light" w:hint="default"/>
        <w:color w:val="000000"/>
      </w:rPr>
    </w:lvl>
    <w:lvl w:ilvl="2">
      <w:start w:val="1"/>
      <w:numFmt w:val="decimal"/>
      <w:lvlText w:val="%1.%2.%3"/>
      <w:lvlJc w:val="left"/>
      <w:pPr>
        <w:ind w:left="720" w:hanging="720"/>
      </w:pPr>
      <w:rPr>
        <w:rFonts w:ascii="Garamond-Light" w:hAnsi="Garamond-Light" w:cs="Garamond-Light" w:hint="default"/>
        <w:color w:val="000000"/>
      </w:rPr>
    </w:lvl>
    <w:lvl w:ilvl="3">
      <w:start w:val="1"/>
      <w:numFmt w:val="decimal"/>
      <w:lvlText w:val="%1.%2.%3.%4"/>
      <w:lvlJc w:val="left"/>
      <w:pPr>
        <w:ind w:left="720" w:hanging="720"/>
      </w:pPr>
      <w:rPr>
        <w:rFonts w:ascii="Garamond-Light" w:hAnsi="Garamond-Light" w:cs="Garamond-Light" w:hint="default"/>
        <w:color w:val="000000"/>
      </w:rPr>
    </w:lvl>
    <w:lvl w:ilvl="4">
      <w:start w:val="1"/>
      <w:numFmt w:val="decimal"/>
      <w:lvlText w:val="%1.%2.%3.%4.%5"/>
      <w:lvlJc w:val="left"/>
      <w:pPr>
        <w:ind w:left="720" w:hanging="720"/>
      </w:pPr>
      <w:rPr>
        <w:rFonts w:ascii="Garamond-Light" w:hAnsi="Garamond-Light" w:cs="Garamond-Light" w:hint="default"/>
        <w:color w:val="000000"/>
      </w:rPr>
    </w:lvl>
    <w:lvl w:ilvl="5">
      <w:start w:val="1"/>
      <w:numFmt w:val="decimal"/>
      <w:lvlText w:val="%1.%2.%3.%4.%5.%6"/>
      <w:lvlJc w:val="left"/>
      <w:pPr>
        <w:ind w:left="1080" w:hanging="1080"/>
      </w:pPr>
      <w:rPr>
        <w:rFonts w:ascii="Garamond-Light" w:hAnsi="Garamond-Light" w:cs="Garamond-Light" w:hint="default"/>
        <w:color w:val="000000"/>
      </w:rPr>
    </w:lvl>
    <w:lvl w:ilvl="6">
      <w:start w:val="1"/>
      <w:numFmt w:val="decimal"/>
      <w:lvlText w:val="%1.%2.%3.%4.%5.%6.%7"/>
      <w:lvlJc w:val="left"/>
      <w:pPr>
        <w:ind w:left="1080" w:hanging="1080"/>
      </w:pPr>
      <w:rPr>
        <w:rFonts w:ascii="Garamond-Light" w:hAnsi="Garamond-Light" w:cs="Garamond-Light" w:hint="default"/>
        <w:color w:val="000000"/>
      </w:rPr>
    </w:lvl>
    <w:lvl w:ilvl="7">
      <w:start w:val="1"/>
      <w:numFmt w:val="decimal"/>
      <w:lvlText w:val="%1.%2.%3.%4.%5.%6.%7.%8"/>
      <w:lvlJc w:val="left"/>
      <w:pPr>
        <w:ind w:left="1440" w:hanging="1440"/>
      </w:pPr>
      <w:rPr>
        <w:rFonts w:ascii="Garamond-Light" w:hAnsi="Garamond-Light" w:cs="Garamond-Light" w:hint="default"/>
        <w:color w:val="000000"/>
      </w:rPr>
    </w:lvl>
    <w:lvl w:ilvl="8">
      <w:start w:val="1"/>
      <w:numFmt w:val="decimal"/>
      <w:lvlText w:val="%1.%2.%3.%4.%5.%6.%7.%8.%9"/>
      <w:lvlJc w:val="left"/>
      <w:pPr>
        <w:ind w:left="1440" w:hanging="1440"/>
      </w:pPr>
      <w:rPr>
        <w:rFonts w:ascii="Garamond-Light" w:hAnsi="Garamond-Light" w:cs="Garamond-Light" w:hint="default"/>
        <w:color w:val="000000"/>
      </w:rPr>
    </w:lvl>
  </w:abstractNum>
  <w:abstractNum w:abstractNumId="12">
    <w:nsid w:val="4B5830BC"/>
    <w:multiLevelType w:val="hybridMultilevel"/>
    <w:tmpl w:val="D09C9F42"/>
    <w:lvl w:ilvl="0" w:tplc="7B3AF0B0">
      <w:start w:val="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D52"/>
    <w:rsid w:val="00006CD0"/>
    <w:rsid w:val="00014A11"/>
    <w:rsid w:val="00043B67"/>
    <w:rsid w:val="00055119"/>
    <w:rsid w:val="00055DEB"/>
    <w:rsid w:val="000644EF"/>
    <w:rsid w:val="0007569E"/>
    <w:rsid w:val="00077DD5"/>
    <w:rsid w:val="0008622C"/>
    <w:rsid w:val="0008653B"/>
    <w:rsid w:val="000875B5"/>
    <w:rsid w:val="000A464B"/>
    <w:rsid w:val="000A5D8A"/>
    <w:rsid w:val="000D120A"/>
    <w:rsid w:val="000D1F5D"/>
    <w:rsid w:val="000D586A"/>
    <w:rsid w:val="000D78D9"/>
    <w:rsid w:val="000E7FE6"/>
    <w:rsid w:val="000F14FC"/>
    <w:rsid w:val="00105918"/>
    <w:rsid w:val="00113F17"/>
    <w:rsid w:val="0012720F"/>
    <w:rsid w:val="00131BB3"/>
    <w:rsid w:val="00145B87"/>
    <w:rsid w:val="00151FA9"/>
    <w:rsid w:val="00152054"/>
    <w:rsid w:val="001600D8"/>
    <w:rsid w:val="0016200A"/>
    <w:rsid w:val="00162057"/>
    <w:rsid w:val="00165C1E"/>
    <w:rsid w:val="001720A9"/>
    <w:rsid w:val="00174DB3"/>
    <w:rsid w:val="001A360F"/>
    <w:rsid w:val="001A6273"/>
    <w:rsid w:val="001B04D1"/>
    <w:rsid w:val="001E04F2"/>
    <w:rsid w:val="001E1010"/>
    <w:rsid w:val="001E5A75"/>
    <w:rsid w:val="001F0F10"/>
    <w:rsid w:val="00201B68"/>
    <w:rsid w:val="00204292"/>
    <w:rsid w:val="0020432F"/>
    <w:rsid w:val="0021619E"/>
    <w:rsid w:val="0021777D"/>
    <w:rsid w:val="00225464"/>
    <w:rsid w:val="00241537"/>
    <w:rsid w:val="0024221E"/>
    <w:rsid w:val="0024464E"/>
    <w:rsid w:val="00255DBD"/>
    <w:rsid w:val="00257B65"/>
    <w:rsid w:val="002852AD"/>
    <w:rsid w:val="0029195D"/>
    <w:rsid w:val="00294E97"/>
    <w:rsid w:val="0029712E"/>
    <w:rsid w:val="002A6795"/>
    <w:rsid w:val="002C2175"/>
    <w:rsid w:val="002C7D11"/>
    <w:rsid w:val="002E1269"/>
    <w:rsid w:val="002E20EB"/>
    <w:rsid w:val="002E25C2"/>
    <w:rsid w:val="002E3139"/>
    <w:rsid w:val="002F12FA"/>
    <w:rsid w:val="00307CC5"/>
    <w:rsid w:val="00312493"/>
    <w:rsid w:val="00332790"/>
    <w:rsid w:val="00336370"/>
    <w:rsid w:val="00347D38"/>
    <w:rsid w:val="003524D0"/>
    <w:rsid w:val="00356440"/>
    <w:rsid w:val="00356C35"/>
    <w:rsid w:val="00362BA7"/>
    <w:rsid w:val="00364D23"/>
    <w:rsid w:val="0036615A"/>
    <w:rsid w:val="003700BD"/>
    <w:rsid w:val="00371F4C"/>
    <w:rsid w:val="003771AB"/>
    <w:rsid w:val="00396739"/>
    <w:rsid w:val="003A5C3C"/>
    <w:rsid w:val="003A7CB0"/>
    <w:rsid w:val="003C34A6"/>
    <w:rsid w:val="003C3635"/>
    <w:rsid w:val="003D12CA"/>
    <w:rsid w:val="003D7ABC"/>
    <w:rsid w:val="003E18A9"/>
    <w:rsid w:val="003E532C"/>
    <w:rsid w:val="003F0DB1"/>
    <w:rsid w:val="003F7061"/>
    <w:rsid w:val="003F759C"/>
    <w:rsid w:val="004043A6"/>
    <w:rsid w:val="00404DF1"/>
    <w:rsid w:val="00414A80"/>
    <w:rsid w:val="00420203"/>
    <w:rsid w:val="00426F95"/>
    <w:rsid w:val="00427AEE"/>
    <w:rsid w:val="0043551D"/>
    <w:rsid w:val="00454324"/>
    <w:rsid w:val="00492F54"/>
    <w:rsid w:val="004A41A8"/>
    <w:rsid w:val="004D2B04"/>
    <w:rsid w:val="004D2BBB"/>
    <w:rsid w:val="004D4E1B"/>
    <w:rsid w:val="004D76BE"/>
    <w:rsid w:val="004E0E42"/>
    <w:rsid w:val="004F56F2"/>
    <w:rsid w:val="00514730"/>
    <w:rsid w:val="005162E3"/>
    <w:rsid w:val="0052088E"/>
    <w:rsid w:val="00525034"/>
    <w:rsid w:val="00527D8E"/>
    <w:rsid w:val="005308AA"/>
    <w:rsid w:val="00531D03"/>
    <w:rsid w:val="005408D2"/>
    <w:rsid w:val="00543361"/>
    <w:rsid w:val="00547DAE"/>
    <w:rsid w:val="005554BA"/>
    <w:rsid w:val="00567F17"/>
    <w:rsid w:val="00576109"/>
    <w:rsid w:val="00576E17"/>
    <w:rsid w:val="00577DCE"/>
    <w:rsid w:val="00580F98"/>
    <w:rsid w:val="00581FFE"/>
    <w:rsid w:val="00583EF8"/>
    <w:rsid w:val="005A1B00"/>
    <w:rsid w:val="005D2660"/>
    <w:rsid w:val="005D3213"/>
    <w:rsid w:val="005D3E1E"/>
    <w:rsid w:val="005F4738"/>
    <w:rsid w:val="0060244C"/>
    <w:rsid w:val="006039A4"/>
    <w:rsid w:val="00607125"/>
    <w:rsid w:val="00615AF0"/>
    <w:rsid w:val="00630453"/>
    <w:rsid w:val="00633ADB"/>
    <w:rsid w:val="00665C8B"/>
    <w:rsid w:val="00670983"/>
    <w:rsid w:val="00673332"/>
    <w:rsid w:val="006A23BE"/>
    <w:rsid w:val="006A7349"/>
    <w:rsid w:val="006C6B7A"/>
    <w:rsid w:val="006D16DC"/>
    <w:rsid w:val="006D3878"/>
    <w:rsid w:val="006E4A9D"/>
    <w:rsid w:val="006F73E8"/>
    <w:rsid w:val="00700308"/>
    <w:rsid w:val="0070647B"/>
    <w:rsid w:val="007173AA"/>
    <w:rsid w:val="00720D62"/>
    <w:rsid w:val="00721AE8"/>
    <w:rsid w:val="007266B0"/>
    <w:rsid w:val="00726A4A"/>
    <w:rsid w:val="00730033"/>
    <w:rsid w:val="00731858"/>
    <w:rsid w:val="007334BF"/>
    <w:rsid w:val="007503E5"/>
    <w:rsid w:val="007508F6"/>
    <w:rsid w:val="00755E8B"/>
    <w:rsid w:val="0076016A"/>
    <w:rsid w:val="007859EC"/>
    <w:rsid w:val="007865E9"/>
    <w:rsid w:val="00792E9E"/>
    <w:rsid w:val="00797FEB"/>
    <w:rsid w:val="007A386A"/>
    <w:rsid w:val="007A43BE"/>
    <w:rsid w:val="007D1926"/>
    <w:rsid w:val="007E10CA"/>
    <w:rsid w:val="007E430C"/>
    <w:rsid w:val="007E4D3A"/>
    <w:rsid w:val="007F35BC"/>
    <w:rsid w:val="007F3B58"/>
    <w:rsid w:val="007F43D6"/>
    <w:rsid w:val="007F62E2"/>
    <w:rsid w:val="00806D52"/>
    <w:rsid w:val="00812D89"/>
    <w:rsid w:val="0081613D"/>
    <w:rsid w:val="008167C6"/>
    <w:rsid w:val="00822581"/>
    <w:rsid w:val="00825A12"/>
    <w:rsid w:val="00831801"/>
    <w:rsid w:val="008318F1"/>
    <w:rsid w:val="00842A6C"/>
    <w:rsid w:val="0086149A"/>
    <w:rsid w:val="00886E8E"/>
    <w:rsid w:val="0089064D"/>
    <w:rsid w:val="008931ED"/>
    <w:rsid w:val="00897000"/>
    <w:rsid w:val="008D2630"/>
    <w:rsid w:val="008E0094"/>
    <w:rsid w:val="008E0290"/>
    <w:rsid w:val="008F0FBA"/>
    <w:rsid w:val="008F5C36"/>
    <w:rsid w:val="00901BB3"/>
    <w:rsid w:val="009039A4"/>
    <w:rsid w:val="009139AE"/>
    <w:rsid w:val="0092176E"/>
    <w:rsid w:val="009253AA"/>
    <w:rsid w:val="00962CFC"/>
    <w:rsid w:val="00964C64"/>
    <w:rsid w:val="009672DA"/>
    <w:rsid w:val="00990A10"/>
    <w:rsid w:val="009943A3"/>
    <w:rsid w:val="00995AB1"/>
    <w:rsid w:val="009A1DBB"/>
    <w:rsid w:val="009B4073"/>
    <w:rsid w:val="009B53CB"/>
    <w:rsid w:val="009B7983"/>
    <w:rsid w:val="009F041D"/>
    <w:rsid w:val="009F233E"/>
    <w:rsid w:val="009F358B"/>
    <w:rsid w:val="00A10F23"/>
    <w:rsid w:val="00A14D17"/>
    <w:rsid w:val="00A242EF"/>
    <w:rsid w:val="00A3225A"/>
    <w:rsid w:val="00A4384A"/>
    <w:rsid w:val="00A63C6A"/>
    <w:rsid w:val="00A6518C"/>
    <w:rsid w:val="00A7117A"/>
    <w:rsid w:val="00A724FB"/>
    <w:rsid w:val="00A75AC7"/>
    <w:rsid w:val="00A849D4"/>
    <w:rsid w:val="00AA1AD5"/>
    <w:rsid w:val="00AA33B7"/>
    <w:rsid w:val="00AB1FCF"/>
    <w:rsid w:val="00AB50E9"/>
    <w:rsid w:val="00AB758E"/>
    <w:rsid w:val="00AC0864"/>
    <w:rsid w:val="00AC0C5A"/>
    <w:rsid w:val="00AC2435"/>
    <w:rsid w:val="00AC54D6"/>
    <w:rsid w:val="00AD5594"/>
    <w:rsid w:val="00AE5972"/>
    <w:rsid w:val="00AF12A0"/>
    <w:rsid w:val="00B00B99"/>
    <w:rsid w:val="00B15DDE"/>
    <w:rsid w:val="00B243FF"/>
    <w:rsid w:val="00B361FA"/>
    <w:rsid w:val="00B40AC1"/>
    <w:rsid w:val="00B448DB"/>
    <w:rsid w:val="00B62F77"/>
    <w:rsid w:val="00B747F9"/>
    <w:rsid w:val="00B80F4D"/>
    <w:rsid w:val="00B8281D"/>
    <w:rsid w:val="00B82F9A"/>
    <w:rsid w:val="00B83416"/>
    <w:rsid w:val="00B95EBD"/>
    <w:rsid w:val="00BA2902"/>
    <w:rsid w:val="00BA7AF4"/>
    <w:rsid w:val="00BB1669"/>
    <w:rsid w:val="00BC75EB"/>
    <w:rsid w:val="00BD1CAA"/>
    <w:rsid w:val="00BD36EB"/>
    <w:rsid w:val="00BD52DD"/>
    <w:rsid w:val="00BE1B80"/>
    <w:rsid w:val="00BE1E89"/>
    <w:rsid w:val="00BE413A"/>
    <w:rsid w:val="00C06B69"/>
    <w:rsid w:val="00C2784B"/>
    <w:rsid w:val="00C325B7"/>
    <w:rsid w:val="00C37950"/>
    <w:rsid w:val="00C40241"/>
    <w:rsid w:val="00C55E6B"/>
    <w:rsid w:val="00C827E5"/>
    <w:rsid w:val="00C8312F"/>
    <w:rsid w:val="00C85F40"/>
    <w:rsid w:val="00C90FEF"/>
    <w:rsid w:val="00C93189"/>
    <w:rsid w:val="00C931ED"/>
    <w:rsid w:val="00C95F9B"/>
    <w:rsid w:val="00CA0CC2"/>
    <w:rsid w:val="00CC39DC"/>
    <w:rsid w:val="00CC577C"/>
    <w:rsid w:val="00CD5DEA"/>
    <w:rsid w:val="00CD6A5C"/>
    <w:rsid w:val="00D001B1"/>
    <w:rsid w:val="00D10D0D"/>
    <w:rsid w:val="00D30FA1"/>
    <w:rsid w:val="00D35C15"/>
    <w:rsid w:val="00D418B5"/>
    <w:rsid w:val="00D443ED"/>
    <w:rsid w:val="00D50064"/>
    <w:rsid w:val="00D52EF0"/>
    <w:rsid w:val="00D56E96"/>
    <w:rsid w:val="00D60A8D"/>
    <w:rsid w:val="00D6523F"/>
    <w:rsid w:val="00D72047"/>
    <w:rsid w:val="00D728C4"/>
    <w:rsid w:val="00D837F9"/>
    <w:rsid w:val="00D86BB1"/>
    <w:rsid w:val="00D920F2"/>
    <w:rsid w:val="00D962BC"/>
    <w:rsid w:val="00DA1D7B"/>
    <w:rsid w:val="00DB1FE3"/>
    <w:rsid w:val="00DB2028"/>
    <w:rsid w:val="00DD2886"/>
    <w:rsid w:val="00DD3070"/>
    <w:rsid w:val="00DD394C"/>
    <w:rsid w:val="00DD7C70"/>
    <w:rsid w:val="00DF1F46"/>
    <w:rsid w:val="00E20C50"/>
    <w:rsid w:val="00E21A98"/>
    <w:rsid w:val="00E424E7"/>
    <w:rsid w:val="00E42562"/>
    <w:rsid w:val="00E42D46"/>
    <w:rsid w:val="00E4444A"/>
    <w:rsid w:val="00E456B0"/>
    <w:rsid w:val="00E52948"/>
    <w:rsid w:val="00E563A1"/>
    <w:rsid w:val="00E56493"/>
    <w:rsid w:val="00E944BA"/>
    <w:rsid w:val="00E952C6"/>
    <w:rsid w:val="00E9691D"/>
    <w:rsid w:val="00EC0723"/>
    <w:rsid w:val="00EC3BD1"/>
    <w:rsid w:val="00EC40E3"/>
    <w:rsid w:val="00EC459E"/>
    <w:rsid w:val="00ED0478"/>
    <w:rsid w:val="00ED2134"/>
    <w:rsid w:val="00ED2526"/>
    <w:rsid w:val="00EE73C4"/>
    <w:rsid w:val="00EF5A6C"/>
    <w:rsid w:val="00F13E61"/>
    <w:rsid w:val="00F264C4"/>
    <w:rsid w:val="00F27BBF"/>
    <w:rsid w:val="00F31AB8"/>
    <w:rsid w:val="00F34E0E"/>
    <w:rsid w:val="00F4770D"/>
    <w:rsid w:val="00F55A67"/>
    <w:rsid w:val="00F70835"/>
    <w:rsid w:val="00F77527"/>
    <w:rsid w:val="00F8389C"/>
    <w:rsid w:val="00F947A6"/>
    <w:rsid w:val="00F94F7F"/>
    <w:rsid w:val="00FA0597"/>
    <w:rsid w:val="00FA35A4"/>
    <w:rsid w:val="00FA3CDB"/>
    <w:rsid w:val="00FA61E1"/>
    <w:rsid w:val="00FA7891"/>
    <w:rsid w:val="00FB0531"/>
    <w:rsid w:val="00FB19B2"/>
    <w:rsid w:val="00FC1644"/>
    <w:rsid w:val="00FD1B7B"/>
    <w:rsid w:val="00FD2722"/>
    <w:rsid w:val="00FD5951"/>
    <w:rsid w:val="00FE07AF"/>
    <w:rsid w:val="00FE25FE"/>
    <w:rsid w:val="00FF5822"/>
    <w:rsid w:val="00FF5864"/>
    <w:rsid w:val="00FF60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List Number" w:qFormat="1"/>
    <w:lsdException w:name="List Bullet 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E532C"/>
    <w:pPr>
      <w:spacing w:after="200" w:line="180" w:lineRule="atLeast"/>
    </w:pPr>
    <w:rPr>
      <w:rFonts w:ascii="Arial" w:hAnsi="Arial"/>
      <w:szCs w:val="24"/>
    </w:rPr>
  </w:style>
  <w:style w:type="paragraph" w:styleId="Heading1">
    <w:name w:val="heading 1"/>
    <w:basedOn w:val="Normal"/>
    <w:next w:val="Normal"/>
    <w:link w:val="Heading1Char"/>
    <w:qFormat/>
    <w:rsid w:val="0012720F"/>
    <w:pPr>
      <w:keepNext/>
      <w:spacing w:after="160"/>
      <w:outlineLvl w:val="0"/>
    </w:pPr>
    <w:rPr>
      <w:rFonts w:cs="Arial"/>
      <w:bCs/>
      <w:color w:val="165788"/>
      <w:sz w:val="40"/>
      <w:szCs w:val="32"/>
    </w:rPr>
  </w:style>
  <w:style w:type="paragraph" w:styleId="Heading2">
    <w:name w:val="heading 2"/>
    <w:basedOn w:val="Normal"/>
    <w:next w:val="Normal"/>
    <w:qFormat/>
    <w:rsid w:val="00E56493"/>
    <w:pPr>
      <w:keepNext/>
      <w:spacing w:after="160"/>
      <w:outlineLvl w:val="1"/>
    </w:pPr>
    <w:rPr>
      <w:rFonts w:cs="Arial"/>
      <w:bCs/>
      <w:iCs/>
      <w:color w:val="165788"/>
      <w:sz w:val="32"/>
      <w:szCs w:val="28"/>
    </w:rPr>
  </w:style>
  <w:style w:type="paragraph" w:styleId="Heading3">
    <w:name w:val="heading 3"/>
    <w:basedOn w:val="Normal"/>
    <w:next w:val="Normal"/>
    <w:qFormat/>
    <w:rsid w:val="0012720F"/>
    <w:pPr>
      <w:keepNext/>
      <w:spacing w:before="60" w:after="160"/>
      <w:outlineLvl w:val="2"/>
    </w:pPr>
    <w:rPr>
      <w:rFonts w:cs="Arial"/>
      <w:b/>
      <w:bCs/>
      <w:color w:val="16578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720F"/>
    <w:rPr>
      <w:rFonts w:ascii="Arial" w:hAnsi="Arial" w:cs="Arial"/>
      <w:bCs/>
      <w:color w:val="165788"/>
      <w:sz w:val="40"/>
      <w:szCs w:val="32"/>
    </w:rPr>
  </w:style>
  <w:style w:type="paragraph" w:styleId="ListBullet">
    <w:name w:val="List Bullet"/>
    <w:basedOn w:val="Normal"/>
    <w:qFormat/>
    <w:rsid w:val="00E52948"/>
    <w:pPr>
      <w:numPr>
        <w:numId w:val="1"/>
      </w:numPr>
      <w:ind w:left="357" w:hanging="357"/>
    </w:pPr>
  </w:style>
  <w:style w:type="paragraph" w:styleId="Footer">
    <w:name w:val="footer"/>
    <w:basedOn w:val="Normal"/>
    <w:link w:val="FooterChar"/>
    <w:uiPriority w:val="99"/>
    <w:rsid w:val="00332790"/>
    <w:pPr>
      <w:tabs>
        <w:tab w:val="center" w:pos="4513"/>
        <w:tab w:val="right" w:pos="9026"/>
      </w:tabs>
      <w:spacing w:after="0"/>
    </w:pPr>
    <w:rPr>
      <w:sz w:val="16"/>
    </w:rPr>
  </w:style>
  <w:style w:type="character" w:customStyle="1" w:styleId="FooterChar">
    <w:name w:val="Footer Char"/>
    <w:basedOn w:val="DefaultParagraphFont"/>
    <w:link w:val="Footer"/>
    <w:uiPriority w:val="99"/>
    <w:rsid w:val="003E532C"/>
    <w:rPr>
      <w:rFonts w:ascii="Arial" w:hAnsi="Arial"/>
      <w:sz w:val="16"/>
      <w:szCs w:val="24"/>
    </w:rPr>
  </w:style>
  <w:style w:type="paragraph" w:styleId="Header">
    <w:name w:val="header"/>
    <w:basedOn w:val="Normal"/>
    <w:link w:val="HeaderChar"/>
    <w:semiHidden/>
    <w:rsid w:val="009B53CB"/>
    <w:pPr>
      <w:tabs>
        <w:tab w:val="center" w:pos="4513"/>
        <w:tab w:val="right" w:pos="9026"/>
      </w:tabs>
    </w:pPr>
    <w:rPr>
      <w:sz w:val="16"/>
    </w:rPr>
  </w:style>
  <w:style w:type="character" w:customStyle="1" w:styleId="HeaderChar">
    <w:name w:val="Header Char"/>
    <w:basedOn w:val="DefaultParagraphFont"/>
    <w:link w:val="Header"/>
    <w:semiHidden/>
    <w:rsid w:val="003E532C"/>
    <w:rPr>
      <w:rFonts w:ascii="Arial" w:hAnsi="Arial"/>
      <w:sz w:val="16"/>
      <w:szCs w:val="24"/>
    </w:rPr>
  </w:style>
  <w:style w:type="paragraph" w:styleId="ListNumber">
    <w:name w:val="List Number"/>
    <w:basedOn w:val="Normal"/>
    <w:qFormat/>
    <w:rsid w:val="0024221E"/>
    <w:pPr>
      <w:numPr>
        <w:numId w:val="6"/>
      </w:numPr>
      <w:ind w:left="357" w:hanging="357"/>
      <w:contextualSpacing/>
    </w:pPr>
  </w:style>
  <w:style w:type="character" w:styleId="PageNumber">
    <w:name w:val="page number"/>
    <w:basedOn w:val="DefaultParagraphFont"/>
    <w:semiHidden/>
    <w:rsid w:val="00ED2134"/>
    <w:rPr>
      <w:rFonts w:ascii="Arial" w:hAnsi="Arial"/>
    </w:rPr>
  </w:style>
  <w:style w:type="table" w:styleId="TableGrid">
    <w:name w:val="Table Grid"/>
    <w:basedOn w:val="TableNormal"/>
    <w:rsid w:val="007A3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A386A"/>
    <w:rPr>
      <w:rFonts w:ascii="Tahoma" w:hAnsi="Tahoma" w:cs="Tahoma"/>
      <w:sz w:val="16"/>
      <w:szCs w:val="16"/>
    </w:rPr>
  </w:style>
  <w:style w:type="character" w:customStyle="1" w:styleId="BalloonTextChar">
    <w:name w:val="Balloon Text Char"/>
    <w:basedOn w:val="DefaultParagraphFont"/>
    <w:link w:val="BalloonText"/>
    <w:semiHidden/>
    <w:rsid w:val="003E532C"/>
    <w:rPr>
      <w:rFonts w:ascii="Tahoma" w:hAnsi="Tahoma" w:cs="Tahoma"/>
      <w:sz w:val="16"/>
      <w:szCs w:val="16"/>
    </w:rPr>
  </w:style>
  <w:style w:type="paragraph" w:customStyle="1" w:styleId="Classification">
    <w:name w:val="Classification"/>
    <w:basedOn w:val="Normal"/>
    <w:rsid w:val="00D50064"/>
    <w:pPr>
      <w:spacing w:after="0" w:line="240" w:lineRule="auto"/>
    </w:pPr>
    <w:rPr>
      <w:caps/>
      <w:sz w:val="16"/>
    </w:rPr>
  </w:style>
  <w:style w:type="paragraph" w:customStyle="1" w:styleId="NormalItalic">
    <w:name w:val="Normal_Italic"/>
    <w:basedOn w:val="Normal"/>
    <w:next w:val="Normal"/>
    <w:qFormat/>
    <w:rsid w:val="00FD1B7B"/>
    <w:rPr>
      <w:i/>
    </w:rPr>
  </w:style>
  <w:style w:type="paragraph" w:styleId="ListBullet2">
    <w:name w:val="List Bullet 2"/>
    <w:basedOn w:val="Normal"/>
    <w:qFormat/>
    <w:rsid w:val="00E52948"/>
    <w:pPr>
      <w:numPr>
        <w:numId w:val="2"/>
      </w:numPr>
      <w:ind w:left="714" w:hanging="357"/>
    </w:pPr>
  </w:style>
  <w:style w:type="paragraph" w:styleId="FootnoteText">
    <w:name w:val="footnote text"/>
    <w:basedOn w:val="Normal"/>
    <w:link w:val="FootnoteTextChar"/>
    <w:rsid w:val="00BB1669"/>
    <w:pPr>
      <w:spacing w:after="0" w:line="240" w:lineRule="auto"/>
    </w:pPr>
    <w:rPr>
      <w:szCs w:val="20"/>
    </w:rPr>
  </w:style>
  <w:style w:type="character" w:customStyle="1" w:styleId="FootnoteTextChar">
    <w:name w:val="Footnote Text Char"/>
    <w:basedOn w:val="DefaultParagraphFont"/>
    <w:link w:val="FootnoteText"/>
    <w:rsid w:val="00BB1669"/>
    <w:rPr>
      <w:rFonts w:ascii="Arial" w:hAnsi="Arial"/>
    </w:rPr>
  </w:style>
  <w:style w:type="character" w:styleId="FootnoteReference">
    <w:name w:val="footnote reference"/>
    <w:basedOn w:val="DefaultParagraphFont"/>
    <w:rsid w:val="00BB1669"/>
    <w:rPr>
      <w:vertAlign w:val="superscript"/>
    </w:rPr>
  </w:style>
  <w:style w:type="character" w:styleId="Hyperlink">
    <w:name w:val="Hyperlink"/>
    <w:basedOn w:val="DefaultParagraphFont"/>
    <w:rsid w:val="00A3225A"/>
    <w:rPr>
      <w:color w:val="0000FF" w:themeColor="hyperlink"/>
      <w:u w:val="single"/>
    </w:rPr>
  </w:style>
  <w:style w:type="character" w:styleId="CommentReference">
    <w:name w:val="annotation reference"/>
    <w:basedOn w:val="DefaultParagraphFont"/>
    <w:rsid w:val="00C55E6B"/>
    <w:rPr>
      <w:sz w:val="16"/>
      <w:szCs w:val="16"/>
    </w:rPr>
  </w:style>
  <w:style w:type="paragraph" w:styleId="CommentText">
    <w:name w:val="annotation text"/>
    <w:basedOn w:val="Normal"/>
    <w:link w:val="CommentTextChar"/>
    <w:rsid w:val="00C55E6B"/>
    <w:pPr>
      <w:spacing w:line="240" w:lineRule="auto"/>
    </w:pPr>
    <w:rPr>
      <w:szCs w:val="20"/>
    </w:rPr>
  </w:style>
  <w:style w:type="character" w:customStyle="1" w:styleId="CommentTextChar">
    <w:name w:val="Comment Text Char"/>
    <w:basedOn w:val="DefaultParagraphFont"/>
    <w:link w:val="CommentText"/>
    <w:rsid w:val="00C55E6B"/>
    <w:rPr>
      <w:rFonts w:ascii="Arial" w:hAnsi="Arial"/>
    </w:rPr>
  </w:style>
  <w:style w:type="paragraph" w:styleId="CommentSubject">
    <w:name w:val="annotation subject"/>
    <w:basedOn w:val="CommentText"/>
    <w:next w:val="CommentText"/>
    <w:link w:val="CommentSubjectChar"/>
    <w:rsid w:val="00C55E6B"/>
    <w:rPr>
      <w:b/>
      <w:bCs/>
    </w:rPr>
  </w:style>
  <w:style w:type="character" w:customStyle="1" w:styleId="CommentSubjectChar">
    <w:name w:val="Comment Subject Char"/>
    <w:basedOn w:val="CommentTextChar"/>
    <w:link w:val="CommentSubject"/>
    <w:rsid w:val="00C55E6B"/>
    <w:rPr>
      <w:rFonts w:ascii="Arial" w:hAnsi="Arial"/>
      <w:b/>
      <w:bCs/>
    </w:rPr>
  </w:style>
  <w:style w:type="paragraph" w:styleId="ListParagraph">
    <w:name w:val="List Paragraph"/>
    <w:basedOn w:val="Normal"/>
    <w:uiPriority w:val="34"/>
    <w:qFormat/>
    <w:rsid w:val="00FF5864"/>
    <w:pPr>
      <w:spacing w:after="0" w:line="240" w:lineRule="auto"/>
      <w:ind w:left="720"/>
      <w:contextualSpacing/>
    </w:pPr>
    <w:rPr>
      <w:rFonts w:ascii="Times New Roman" w:hAnsi="Times New Roman"/>
      <w:sz w:val="24"/>
      <w:lang w:eastAsia="en-US"/>
    </w:rPr>
  </w:style>
  <w:style w:type="paragraph" w:customStyle="1" w:styleId="ActHead5">
    <w:name w:val="ActHead 5"/>
    <w:aliases w:val="s"/>
    <w:basedOn w:val="Normal"/>
    <w:next w:val="subsection"/>
    <w:qFormat/>
    <w:rsid w:val="004A41A8"/>
    <w:pPr>
      <w:keepNext/>
      <w:keepLines/>
      <w:spacing w:before="280" w:after="0" w:line="240" w:lineRule="auto"/>
      <w:ind w:left="1134" w:hanging="1134"/>
      <w:outlineLvl w:val="4"/>
    </w:pPr>
    <w:rPr>
      <w:rFonts w:ascii="Times New Roman" w:hAnsi="Times New Roman"/>
      <w:b/>
      <w:kern w:val="28"/>
      <w:sz w:val="24"/>
      <w:szCs w:val="20"/>
    </w:rPr>
  </w:style>
  <w:style w:type="character" w:customStyle="1" w:styleId="CharSectno">
    <w:name w:val="CharSectno"/>
    <w:basedOn w:val="DefaultParagraphFont"/>
    <w:qFormat/>
    <w:rsid w:val="004A41A8"/>
  </w:style>
  <w:style w:type="paragraph" w:customStyle="1" w:styleId="subsection">
    <w:name w:val="subsection"/>
    <w:aliases w:val="ss"/>
    <w:basedOn w:val="Normal"/>
    <w:link w:val="subsectionChar"/>
    <w:rsid w:val="004A41A8"/>
    <w:pPr>
      <w:tabs>
        <w:tab w:val="right" w:pos="1021"/>
      </w:tabs>
      <w:spacing w:before="180" w:after="0" w:line="240" w:lineRule="auto"/>
      <w:ind w:left="1134" w:hanging="1134"/>
    </w:pPr>
    <w:rPr>
      <w:rFonts w:ascii="Times New Roman" w:hAnsi="Times New Roman"/>
      <w:sz w:val="22"/>
      <w:szCs w:val="20"/>
    </w:rPr>
  </w:style>
  <w:style w:type="character" w:customStyle="1" w:styleId="subsectionChar">
    <w:name w:val="subsection Char"/>
    <w:aliases w:val="ss Char"/>
    <w:basedOn w:val="DefaultParagraphFont"/>
    <w:link w:val="subsection"/>
    <w:rsid w:val="004A41A8"/>
    <w:rPr>
      <w:sz w:val="22"/>
    </w:rPr>
  </w:style>
  <w:style w:type="paragraph" w:customStyle="1" w:styleId="paragraph">
    <w:name w:val="paragraph"/>
    <w:basedOn w:val="Normal"/>
    <w:rsid w:val="008F0FBA"/>
    <w:pPr>
      <w:spacing w:before="100" w:beforeAutospacing="1" w:after="100" w:afterAutospacing="1" w:line="240" w:lineRule="auto"/>
    </w:pPr>
    <w:rPr>
      <w:rFonts w:ascii="Times New Roman" w:hAnsi="Times New Roman"/>
      <w:sz w:val="24"/>
    </w:rPr>
  </w:style>
  <w:style w:type="paragraph" w:customStyle="1" w:styleId="subsection2">
    <w:name w:val="subsection2"/>
    <w:basedOn w:val="Normal"/>
    <w:rsid w:val="008F0FBA"/>
    <w:pPr>
      <w:spacing w:before="100" w:beforeAutospacing="1" w:after="100" w:afterAutospacing="1"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List Number" w:qFormat="1"/>
    <w:lsdException w:name="List Bullet 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E532C"/>
    <w:pPr>
      <w:spacing w:after="200" w:line="180" w:lineRule="atLeast"/>
    </w:pPr>
    <w:rPr>
      <w:rFonts w:ascii="Arial" w:hAnsi="Arial"/>
      <w:szCs w:val="24"/>
    </w:rPr>
  </w:style>
  <w:style w:type="paragraph" w:styleId="Heading1">
    <w:name w:val="heading 1"/>
    <w:basedOn w:val="Normal"/>
    <w:next w:val="Normal"/>
    <w:link w:val="Heading1Char"/>
    <w:qFormat/>
    <w:rsid w:val="0012720F"/>
    <w:pPr>
      <w:keepNext/>
      <w:spacing w:after="160"/>
      <w:outlineLvl w:val="0"/>
    </w:pPr>
    <w:rPr>
      <w:rFonts w:cs="Arial"/>
      <w:bCs/>
      <w:color w:val="165788"/>
      <w:sz w:val="40"/>
      <w:szCs w:val="32"/>
    </w:rPr>
  </w:style>
  <w:style w:type="paragraph" w:styleId="Heading2">
    <w:name w:val="heading 2"/>
    <w:basedOn w:val="Normal"/>
    <w:next w:val="Normal"/>
    <w:qFormat/>
    <w:rsid w:val="00E56493"/>
    <w:pPr>
      <w:keepNext/>
      <w:spacing w:after="160"/>
      <w:outlineLvl w:val="1"/>
    </w:pPr>
    <w:rPr>
      <w:rFonts w:cs="Arial"/>
      <w:bCs/>
      <w:iCs/>
      <w:color w:val="165788"/>
      <w:sz w:val="32"/>
      <w:szCs w:val="28"/>
    </w:rPr>
  </w:style>
  <w:style w:type="paragraph" w:styleId="Heading3">
    <w:name w:val="heading 3"/>
    <w:basedOn w:val="Normal"/>
    <w:next w:val="Normal"/>
    <w:qFormat/>
    <w:rsid w:val="0012720F"/>
    <w:pPr>
      <w:keepNext/>
      <w:spacing w:before="60" w:after="160"/>
      <w:outlineLvl w:val="2"/>
    </w:pPr>
    <w:rPr>
      <w:rFonts w:cs="Arial"/>
      <w:b/>
      <w:bCs/>
      <w:color w:val="16578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720F"/>
    <w:rPr>
      <w:rFonts w:ascii="Arial" w:hAnsi="Arial" w:cs="Arial"/>
      <w:bCs/>
      <w:color w:val="165788"/>
      <w:sz w:val="40"/>
      <w:szCs w:val="32"/>
    </w:rPr>
  </w:style>
  <w:style w:type="paragraph" w:styleId="ListBullet">
    <w:name w:val="List Bullet"/>
    <w:basedOn w:val="Normal"/>
    <w:qFormat/>
    <w:rsid w:val="00E52948"/>
    <w:pPr>
      <w:numPr>
        <w:numId w:val="1"/>
      </w:numPr>
      <w:ind w:left="357" w:hanging="357"/>
    </w:pPr>
  </w:style>
  <w:style w:type="paragraph" w:styleId="Footer">
    <w:name w:val="footer"/>
    <w:basedOn w:val="Normal"/>
    <w:link w:val="FooterChar"/>
    <w:uiPriority w:val="99"/>
    <w:rsid w:val="00332790"/>
    <w:pPr>
      <w:tabs>
        <w:tab w:val="center" w:pos="4513"/>
        <w:tab w:val="right" w:pos="9026"/>
      </w:tabs>
      <w:spacing w:after="0"/>
    </w:pPr>
    <w:rPr>
      <w:sz w:val="16"/>
    </w:rPr>
  </w:style>
  <w:style w:type="character" w:customStyle="1" w:styleId="FooterChar">
    <w:name w:val="Footer Char"/>
    <w:basedOn w:val="DefaultParagraphFont"/>
    <w:link w:val="Footer"/>
    <w:uiPriority w:val="99"/>
    <w:rsid w:val="003E532C"/>
    <w:rPr>
      <w:rFonts w:ascii="Arial" w:hAnsi="Arial"/>
      <w:sz w:val="16"/>
      <w:szCs w:val="24"/>
    </w:rPr>
  </w:style>
  <w:style w:type="paragraph" w:styleId="Header">
    <w:name w:val="header"/>
    <w:basedOn w:val="Normal"/>
    <w:link w:val="HeaderChar"/>
    <w:semiHidden/>
    <w:rsid w:val="009B53CB"/>
    <w:pPr>
      <w:tabs>
        <w:tab w:val="center" w:pos="4513"/>
        <w:tab w:val="right" w:pos="9026"/>
      </w:tabs>
    </w:pPr>
    <w:rPr>
      <w:sz w:val="16"/>
    </w:rPr>
  </w:style>
  <w:style w:type="character" w:customStyle="1" w:styleId="HeaderChar">
    <w:name w:val="Header Char"/>
    <w:basedOn w:val="DefaultParagraphFont"/>
    <w:link w:val="Header"/>
    <w:semiHidden/>
    <w:rsid w:val="003E532C"/>
    <w:rPr>
      <w:rFonts w:ascii="Arial" w:hAnsi="Arial"/>
      <w:sz w:val="16"/>
      <w:szCs w:val="24"/>
    </w:rPr>
  </w:style>
  <w:style w:type="paragraph" w:styleId="ListNumber">
    <w:name w:val="List Number"/>
    <w:basedOn w:val="Normal"/>
    <w:qFormat/>
    <w:rsid w:val="0024221E"/>
    <w:pPr>
      <w:numPr>
        <w:numId w:val="6"/>
      </w:numPr>
      <w:ind w:left="357" w:hanging="357"/>
      <w:contextualSpacing/>
    </w:pPr>
  </w:style>
  <w:style w:type="character" w:styleId="PageNumber">
    <w:name w:val="page number"/>
    <w:basedOn w:val="DefaultParagraphFont"/>
    <w:semiHidden/>
    <w:rsid w:val="00ED2134"/>
    <w:rPr>
      <w:rFonts w:ascii="Arial" w:hAnsi="Arial"/>
    </w:rPr>
  </w:style>
  <w:style w:type="table" w:styleId="TableGrid">
    <w:name w:val="Table Grid"/>
    <w:basedOn w:val="TableNormal"/>
    <w:rsid w:val="007A3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A386A"/>
    <w:rPr>
      <w:rFonts w:ascii="Tahoma" w:hAnsi="Tahoma" w:cs="Tahoma"/>
      <w:sz w:val="16"/>
      <w:szCs w:val="16"/>
    </w:rPr>
  </w:style>
  <w:style w:type="character" w:customStyle="1" w:styleId="BalloonTextChar">
    <w:name w:val="Balloon Text Char"/>
    <w:basedOn w:val="DefaultParagraphFont"/>
    <w:link w:val="BalloonText"/>
    <w:semiHidden/>
    <w:rsid w:val="003E532C"/>
    <w:rPr>
      <w:rFonts w:ascii="Tahoma" w:hAnsi="Tahoma" w:cs="Tahoma"/>
      <w:sz w:val="16"/>
      <w:szCs w:val="16"/>
    </w:rPr>
  </w:style>
  <w:style w:type="paragraph" w:customStyle="1" w:styleId="Classification">
    <w:name w:val="Classification"/>
    <w:basedOn w:val="Normal"/>
    <w:rsid w:val="00D50064"/>
    <w:pPr>
      <w:spacing w:after="0" w:line="240" w:lineRule="auto"/>
    </w:pPr>
    <w:rPr>
      <w:caps/>
      <w:sz w:val="16"/>
    </w:rPr>
  </w:style>
  <w:style w:type="paragraph" w:customStyle="1" w:styleId="NormalItalic">
    <w:name w:val="Normal_Italic"/>
    <w:basedOn w:val="Normal"/>
    <w:next w:val="Normal"/>
    <w:qFormat/>
    <w:rsid w:val="00FD1B7B"/>
    <w:rPr>
      <w:i/>
    </w:rPr>
  </w:style>
  <w:style w:type="paragraph" w:styleId="ListBullet2">
    <w:name w:val="List Bullet 2"/>
    <w:basedOn w:val="Normal"/>
    <w:qFormat/>
    <w:rsid w:val="00E52948"/>
    <w:pPr>
      <w:numPr>
        <w:numId w:val="2"/>
      </w:numPr>
      <w:ind w:left="714" w:hanging="357"/>
    </w:pPr>
  </w:style>
  <w:style w:type="paragraph" w:styleId="FootnoteText">
    <w:name w:val="footnote text"/>
    <w:basedOn w:val="Normal"/>
    <w:link w:val="FootnoteTextChar"/>
    <w:rsid w:val="00BB1669"/>
    <w:pPr>
      <w:spacing w:after="0" w:line="240" w:lineRule="auto"/>
    </w:pPr>
    <w:rPr>
      <w:szCs w:val="20"/>
    </w:rPr>
  </w:style>
  <w:style w:type="character" w:customStyle="1" w:styleId="FootnoteTextChar">
    <w:name w:val="Footnote Text Char"/>
    <w:basedOn w:val="DefaultParagraphFont"/>
    <w:link w:val="FootnoteText"/>
    <w:rsid w:val="00BB1669"/>
    <w:rPr>
      <w:rFonts w:ascii="Arial" w:hAnsi="Arial"/>
    </w:rPr>
  </w:style>
  <w:style w:type="character" w:styleId="FootnoteReference">
    <w:name w:val="footnote reference"/>
    <w:basedOn w:val="DefaultParagraphFont"/>
    <w:rsid w:val="00BB1669"/>
    <w:rPr>
      <w:vertAlign w:val="superscript"/>
    </w:rPr>
  </w:style>
  <w:style w:type="character" w:styleId="Hyperlink">
    <w:name w:val="Hyperlink"/>
    <w:basedOn w:val="DefaultParagraphFont"/>
    <w:rsid w:val="00A3225A"/>
    <w:rPr>
      <w:color w:val="0000FF" w:themeColor="hyperlink"/>
      <w:u w:val="single"/>
    </w:rPr>
  </w:style>
  <w:style w:type="character" w:styleId="CommentReference">
    <w:name w:val="annotation reference"/>
    <w:basedOn w:val="DefaultParagraphFont"/>
    <w:rsid w:val="00C55E6B"/>
    <w:rPr>
      <w:sz w:val="16"/>
      <w:szCs w:val="16"/>
    </w:rPr>
  </w:style>
  <w:style w:type="paragraph" w:styleId="CommentText">
    <w:name w:val="annotation text"/>
    <w:basedOn w:val="Normal"/>
    <w:link w:val="CommentTextChar"/>
    <w:rsid w:val="00C55E6B"/>
    <w:pPr>
      <w:spacing w:line="240" w:lineRule="auto"/>
    </w:pPr>
    <w:rPr>
      <w:szCs w:val="20"/>
    </w:rPr>
  </w:style>
  <w:style w:type="character" w:customStyle="1" w:styleId="CommentTextChar">
    <w:name w:val="Comment Text Char"/>
    <w:basedOn w:val="DefaultParagraphFont"/>
    <w:link w:val="CommentText"/>
    <w:rsid w:val="00C55E6B"/>
    <w:rPr>
      <w:rFonts w:ascii="Arial" w:hAnsi="Arial"/>
    </w:rPr>
  </w:style>
  <w:style w:type="paragraph" w:styleId="CommentSubject">
    <w:name w:val="annotation subject"/>
    <w:basedOn w:val="CommentText"/>
    <w:next w:val="CommentText"/>
    <w:link w:val="CommentSubjectChar"/>
    <w:rsid w:val="00C55E6B"/>
    <w:rPr>
      <w:b/>
      <w:bCs/>
    </w:rPr>
  </w:style>
  <w:style w:type="character" w:customStyle="1" w:styleId="CommentSubjectChar">
    <w:name w:val="Comment Subject Char"/>
    <w:basedOn w:val="CommentTextChar"/>
    <w:link w:val="CommentSubject"/>
    <w:rsid w:val="00C55E6B"/>
    <w:rPr>
      <w:rFonts w:ascii="Arial" w:hAnsi="Arial"/>
      <w:b/>
      <w:bCs/>
    </w:rPr>
  </w:style>
  <w:style w:type="paragraph" w:styleId="ListParagraph">
    <w:name w:val="List Paragraph"/>
    <w:basedOn w:val="Normal"/>
    <w:uiPriority w:val="34"/>
    <w:qFormat/>
    <w:rsid w:val="00FF5864"/>
    <w:pPr>
      <w:spacing w:after="0" w:line="240" w:lineRule="auto"/>
      <w:ind w:left="720"/>
      <w:contextualSpacing/>
    </w:pPr>
    <w:rPr>
      <w:rFonts w:ascii="Times New Roman" w:hAnsi="Times New Roman"/>
      <w:sz w:val="24"/>
      <w:lang w:eastAsia="en-US"/>
    </w:rPr>
  </w:style>
  <w:style w:type="paragraph" w:customStyle="1" w:styleId="ActHead5">
    <w:name w:val="ActHead 5"/>
    <w:aliases w:val="s"/>
    <w:basedOn w:val="Normal"/>
    <w:next w:val="subsection"/>
    <w:qFormat/>
    <w:rsid w:val="004A41A8"/>
    <w:pPr>
      <w:keepNext/>
      <w:keepLines/>
      <w:spacing w:before="280" w:after="0" w:line="240" w:lineRule="auto"/>
      <w:ind w:left="1134" w:hanging="1134"/>
      <w:outlineLvl w:val="4"/>
    </w:pPr>
    <w:rPr>
      <w:rFonts w:ascii="Times New Roman" w:hAnsi="Times New Roman"/>
      <w:b/>
      <w:kern w:val="28"/>
      <w:sz w:val="24"/>
      <w:szCs w:val="20"/>
    </w:rPr>
  </w:style>
  <w:style w:type="character" w:customStyle="1" w:styleId="CharSectno">
    <w:name w:val="CharSectno"/>
    <w:basedOn w:val="DefaultParagraphFont"/>
    <w:qFormat/>
    <w:rsid w:val="004A41A8"/>
  </w:style>
  <w:style w:type="paragraph" w:customStyle="1" w:styleId="subsection">
    <w:name w:val="subsection"/>
    <w:aliases w:val="ss"/>
    <w:basedOn w:val="Normal"/>
    <w:link w:val="subsectionChar"/>
    <w:rsid w:val="004A41A8"/>
    <w:pPr>
      <w:tabs>
        <w:tab w:val="right" w:pos="1021"/>
      </w:tabs>
      <w:spacing w:before="180" w:after="0" w:line="240" w:lineRule="auto"/>
      <w:ind w:left="1134" w:hanging="1134"/>
    </w:pPr>
    <w:rPr>
      <w:rFonts w:ascii="Times New Roman" w:hAnsi="Times New Roman"/>
      <w:sz w:val="22"/>
      <w:szCs w:val="20"/>
    </w:rPr>
  </w:style>
  <w:style w:type="character" w:customStyle="1" w:styleId="subsectionChar">
    <w:name w:val="subsection Char"/>
    <w:aliases w:val="ss Char"/>
    <w:basedOn w:val="DefaultParagraphFont"/>
    <w:link w:val="subsection"/>
    <w:rsid w:val="004A41A8"/>
    <w:rPr>
      <w:sz w:val="22"/>
    </w:rPr>
  </w:style>
  <w:style w:type="paragraph" w:customStyle="1" w:styleId="paragraph">
    <w:name w:val="paragraph"/>
    <w:basedOn w:val="Normal"/>
    <w:rsid w:val="008F0FBA"/>
    <w:pPr>
      <w:spacing w:before="100" w:beforeAutospacing="1" w:after="100" w:afterAutospacing="1" w:line="240" w:lineRule="auto"/>
    </w:pPr>
    <w:rPr>
      <w:rFonts w:ascii="Times New Roman" w:hAnsi="Times New Roman"/>
      <w:sz w:val="24"/>
    </w:rPr>
  </w:style>
  <w:style w:type="paragraph" w:customStyle="1" w:styleId="subsection2">
    <w:name w:val="subsection2"/>
    <w:basedOn w:val="Normal"/>
    <w:rsid w:val="008F0FBA"/>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5041">
      <w:bodyDiv w:val="1"/>
      <w:marLeft w:val="0"/>
      <w:marRight w:val="0"/>
      <w:marTop w:val="0"/>
      <w:marBottom w:val="0"/>
      <w:divBdr>
        <w:top w:val="none" w:sz="0" w:space="0" w:color="auto"/>
        <w:left w:val="none" w:sz="0" w:space="0" w:color="auto"/>
        <w:bottom w:val="none" w:sz="0" w:space="0" w:color="auto"/>
        <w:right w:val="none" w:sz="0" w:space="0" w:color="auto"/>
      </w:divBdr>
    </w:div>
    <w:div w:id="34101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stlii.edu.au/au/legis/cth/consol_act/pa1988108/s6.html" TargetMode="External"/><Relationship Id="rId18" Type="http://schemas.openxmlformats.org/officeDocument/2006/relationships/hyperlink" Target="http://www.austlii.edu.au/au/legis/cth/consol_act/pa1988108/s6.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austlii.edu.au/au/legis/cth/consol_act/pa1988108/s6.html" TargetMode="External"/><Relationship Id="rId7" Type="http://schemas.openxmlformats.org/officeDocument/2006/relationships/footnotes" Target="footnotes.xml"/><Relationship Id="rId12" Type="http://schemas.openxmlformats.org/officeDocument/2006/relationships/hyperlink" Target="http://www.austlii.edu.au/au/legis/cth/consol_act/pa1988108/s6.html" TargetMode="External"/><Relationship Id="rId17" Type="http://schemas.openxmlformats.org/officeDocument/2006/relationships/hyperlink" Target="http://www.austlii.edu.au/au/legis/cth/consol_act/pa1988108/s6.htm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austlii.edu.au/au/legis/cth/consol_act/pa1988108/s6.html" TargetMode="External"/><Relationship Id="rId20" Type="http://schemas.openxmlformats.org/officeDocument/2006/relationships/hyperlink" Target="http://www.austlii.edu.au/au/legis/cth/consol_act/pa1988108/s6.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lii.edu.au/au/legis/cth/consol_act/pa1988108/s6.htm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austlii.edu.au/au/legis/cth/consol_act/pa1988108/s6.htm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austlii.edu.au/au/legis/cth/consol_act/pa1988108/s6.html" TargetMode="External"/><Relationship Id="rId19" Type="http://schemas.openxmlformats.org/officeDocument/2006/relationships/hyperlink" Target="http://www.austlii.edu.au/au/legis/cth/consol_act/pa1988108/s6.html" TargetMode="External"/><Relationship Id="rId4" Type="http://schemas.microsoft.com/office/2007/relationships/stylesWithEffects" Target="stylesWithEffects.xml"/><Relationship Id="rId9" Type="http://schemas.openxmlformats.org/officeDocument/2006/relationships/hyperlink" Target="http://www.austlii.edu.au/au/legis/cth/consol_act/pa1988108/s6.html" TargetMode="External"/><Relationship Id="rId14" Type="http://schemas.openxmlformats.org/officeDocument/2006/relationships/hyperlink" Target="http://www.austlii.edu.au/au/legis/cth/consol_act/pa1988108/s6.html" TargetMode="External"/><Relationship Id="rId22" Type="http://schemas.openxmlformats.org/officeDocument/2006/relationships/hyperlink" Target="http://www.austlii.edu.au/au/legis/cth/consol_act/pa1988108/s6.html"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gfilp04\NHMRC_New\Common\Departmental%20Templates\NHMRC\03.%20NHMRC%20Standard%20Document%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1A2F1-7DD5-4B8A-B7F1-AF1107FE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 NHMRC Standard Document Template.dotm</Template>
  <TotalTime>10</TotalTime>
  <Pages>3</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National Health and Mental Research Council</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Griggs</dc:creator>
  <cp:keywords/>
  <dc:description/>
  <cp:lastModifiedBy>Alana</cp:lastModifiedBy>
  <cp:revision>4</cp:revision>
  <cp:lastPrinted>2014-02-28T01:30:00Z</cp:lastPrinted>
  <dcterms:created xsi:type="dcterms:W3CDTF">2014-11-03T04:48:00Z</dcterms:created>
  <dcterms:modified xsi:type="dcterms:W3CDTF">2014-11-05T04:16:00Z</dcterms:modified>
  <cp:category>Standard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PVersion">
    <vt:lpwstr>UDP Version</vt:lpwstr>
  </property>
</Properties>
</file>