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266" w:rsidRDefault="00412266">
      <w:pPr>
        <w:pStyle w:val="Title"/>
      </w:pPr>
      <w:r>
        <w:t xml:space="preserve">ASIC CLASS ORDER [CO </w:t>
      </w:r>
      <w:r w:rsidR="00E67C82">
        <w:t>14</w:t>
      </w:r>
      <w:r w:rsidRPr="00B6041C">
        <w:t>/</w:t>
      </w:r>
      <w:r w:rsidR="00830D26">
        <w:t>870</w:t>
      </w:r>
      <w:r>
        <w:t>]</w:t>
      </w:r>
    </w:p>
    <w:p w:rsidR="00412266" w:rsidRDefault="00412266">
      <w:pPr>
        <w:pStyle w:val="Title"/>
      </w:pPr>
    </w:p>
    <w:p w:rsidR="00412266" w:rsidRDefault="00412266">
      <w:pPr>
        <w:pStyle w:val="Title"/>
      </w:pPr>
      <w:r>
        <w:t>EXPLANATORY STATEMENT</w:t>
      </w:r>
    </w:p>
    <w:p w:rsidR="00412266" w:rsidRDefault="00412266">
      <w:pPr>
        <w:ind w:right="-311"/>
        <w:jc w:val="center"/>
      </w:pPr>
    </w:p>
    <w:p w:rsidR="00412266" w:rsidRDefault="00412266">
      <w:pPr>
        <w:pStyle w:val="BodyTextcentred"/>
      </w:pPr>
      <w:r>
        <w:t>Prepared by the Australian Securities and Investments Commission</w:t>
      </w:r>
    </w:p>
    <w:p w:rsidR="00412266" w:rsidRDefault="00412266">
      <w:pPr>
        <w:pStyle w:val="BodyTextcentreditals"/>
      </w:pPr>
      <w:r>
        <w:t>Corporations Act 2001</w:t>
      </w:r>
    </w:p>
    <w:p w:rsidR="00412266" w:rsidRPr="00B6041C" w:rsidRDefault="00412266">
      <w:pPr>
        <w:pStyle w:val="BodyText"/>
      </w:pPr>
      <w:r w:rsidRPr="00B6041C">
        <w:t>The Australian Securities and Investments Commission (ASIC) makes ASIC Class Order [CO </w:t>
      </w:r>
      <w:r w:rsidR="005C7991">
        <w:t>14/</w:t>
      </w:r>
      <w:r w:rsidR="00830D26">
        <w:t>870</w:t>
      </w:r>
      <w:r w:rsidRPr="00B6041C">
        <w:t xml:space="preserve">] under </w:t>
      </w:r>
      <w:r w:rsidR="00914A88" w:rsidRPr="006F01B9">
        <w:t>paragraphs 926</w:t>
      </w:r>
      <w:r w:rsidR="00914A88">
        <w:t>A</w:t>
      </w:r>
      <w:r w:rsidR="00914A88" w:rsidRPr="006F01B9">
        <w:t xml:space="preserve">(2)(a) and 951B(1)(a) </w:t>
      </w:r>
      <w:r w:rsidRPr="00B6041C">
        <w:t xml:space="preserve">of the </w:t>
      </w:r>
      <w:r w:rsidRPr="00B6041C">
        <w:rPr>
          <w:i/>
          <w:iCs/>
        </w:rPr>
        <w:t>Corporations Act 2001</w:t>
      </w:r>
      <w:r w:rsidRPr="00B6041C">
        <w:t xml:space="preserve"> (the Act). </w:t>
      </w:r>
    </w:p>
    <w:p w:rsidR="00914A88" w:rsidRDefault="00914A88" w:rsidP="00914A88">
      <w:pPr>
        <w:pStyle w:val="BodyText"/>
      </w:pPr>
      <w:bookmarkStart w:id="0" w:name="_Toc158699036"/>
      <w:r>
        <w:t xml:space="preserve">Paragraph </w:t>
      </w:r>
      <w:r w:rsidRPr="008433EC">
        <w:t>926</w:t>
      </w:r>
      <w:r>
        <w:t>A</w:t>
      </w:r>
      <w:r w:rsidRPr="008433EC">
        <w:t>(2)(a)</w:t>
      </w:r>
      <w:r>
        <w:t xml:space="preserve"> of the Act provides that ASIC may exempt a class of persons from all or specified provisions of Part 7.6 of the Act. </w:t>
      </w:r>
    </w:p>
    <w:p w:rsidR="00914A88" w:rsidRDefault="00914A88" w:rsidP="00914A88">
      <w:pPr>
        <w:pStyle w:val="BodyText"/>
      </w:pPr>
      <w:r>
        <w:t xml:space="preserve">Paragraph </w:t>
      </w:r>
      <w:r w:rsidRPr="008433EC">
        <w:t>951B(1)(a)</w:t>
      </w:r>
      <w:r>
        <w:t xml:space="preserve"> provides that ASIC may exempt a class of persons from all or specified provisions of Part 7.7 of the Act.</w:t>
      </w:r>
    </w:p>
    <w:p w:rsidR="00C723A5" w:rsidRDefault="00C723A5" w:rsidP="00914A88">
      <w:pPr>
        <w:pStyle w:val="BodyText"/>
      </w:pPr>
      <w:r>
        <w:t>Class Order [CO 14/870] amends ASIC Class Order [11/1227]</w:t>
      </w:r>
      <w:r w:rsidRPr="00C723A5">
        <w:t xml:space="preserve">. Under subsection 33(3) of the </w:t>
      </w:r>
      <w:r w:rsidRPr="008731FB">
        <w:rPr>
          <w:i/>
        </w:rPr>
        <w:t>Acts Interpretation Act 1901</w:t>
      </w:r>
      <w:r w:rsidRPr="00C723A5">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rsidR="00412266" w:rsidRDefault="00412266">
      <w:pPr>
        <w:pStyle w:val="Heading1"/>
        <w:tabs>
          <w:tab w:val="clear" w:pos="879"/>
        </w:tabs>
        <w:overflowPunct/>
        <w:autoSpaceDE/>
        <w:autoSpaceDN/>
        <w:adjustRightInd/>
        <w:spacing w:after="60" w:line="240" w:lineRule="auto"/>
        <w:textAlignment w:val="auto"/>
        <w:rPr>
          <w:rFonts w:cs="Arial"/>
          <w:bCs/>
          <w:kern w:val="32"/>
          <w:sz w:val="24"/>
          <w:szCs w:val="32"/>
        </w:rPr>
      </w:pPr>
      <w:r>
        <w:rPr>
          <w:rFonts w:cs="Arial"/>
          <w:bCs/>
          <w:kern w:val="32"/>
          <w:sz w:val="24"/>
          <w:szCs w:val="32"/>
        </w:rPr>
        <w:t>1.</w:t>
      </w:r>
      <w:r>
        <w:rPr>
          <w:rFonts w:cs="Arial"/>
          <w:bCs/>
          <w:kern w:val="32"/>
          <w:sz w:val="24"/>
          <w:szCs w:val="32"/>
        </w:rPr>
        <w:tab/>
        <w:t>Background</w:t>
      </w:r>
      <w:bookmarkEnd w:id="0"/>
    </w:p>
    <w:p w:rsidR="00914A88" w:rsidRDefault="00914A88" w:rsidP="00914A88">
      <w:pPr>
        <w:pStyle w:val="BodyText"/>
      </w:pPr>
      <w:bookmarkStart w:id="1" w:name="_Toc158699037"/>
      <w:r>
        <w:t>A retirement estimate is an estimate of a member’s likely balance of their superannuation investment at retirement. A retirement estimate may be personal advice under s</w:t>
      </w:r>
      <w:r w:rsidR="00C723A5">
        <w:t xml:space="preserve">ection </w:t>
      </w:r>
      <w:r>
        <w:t xml:space="preserve">766B of the Act. </w:t>
      </w:r>
    </w:p>
    <w:p w:rsidR="00914A88" w:rsidRDefault="00914A88" w:rsidP="00914A88">
      <w:pPr>
        <w:pStyle w:val="BodyText"/>
      </w:pPr>
      <w:r>
        <w:t>ASIC Class Order [CO 11/1227] provides conditional relief from the AFS licensing requirements in the Act to superannuation fund trustees who prepare retirement estimates for their members in accordance with the conditions in [CO 11/1227]. W</w:t>
      </w:r>
      <w:r w:rsidRPr="0075460B">
        <w:t>here a trustee already holds an AFS licence, we have given relief from the advice, conduct and disclosure requirements of P</w:t>
      </w:r>
      <w:r w:rsidR="00C723A5">
        <w:t>ar</w:t>
      </w:r>
      <w:r w:rsidRPr="0075460B">
        <w:t>t 7.7</w:t>
      </w:r>
      <w:r>
        <w:t xml:space="preserve"> of the Act.</w:t>
      </w:r>
    </w:p>
    <w:p w:rsidR="00914A88" w:rsidRDefault="00914A88" w:rsidP="00914A88">
      <w:pPr>
        <w:pStyle w:val="BodyText"/>
      </w:pPr>
      <w:r>
        <w:t xml:space="preserve">Without relief providers of retirement estimates may need to hold an Australian financial service (AFS) licence with a personal advice authorisation and comply with the personal advice requirements of the licensing regime as well as the other conduct and disclosure requirements in Part 7.7 of the Act. </w:t>
      </w:r>
    </w:p>
    <w:p w:rsidR="00412266" w:rsidRDefault="00412266">
      <w:pPr>
        <w:pStyle w:val="Heading1"/>
        <w:tabs>
          <w:tab w:val="clear" w:pos="879"/>
        </w:tabs>
        <w:overflowPunct/>
        <w:autoSpaceDE/>
        <w:autoSpaceDN/>
        <w:adjustRightInd/>
        <w:spacing w:after="60" w:line="240" w:lineRule="auto"/>
        <w:textAlignment w:val="auto"/>
        <w:rPr>
          <w:rFonts w:cs="Arial"/>
          <w:bCs/>
          <w:kern w:val="32"/>
          <w:sz w:val="24"/>
          <w:szCs w:val="32"/>
        </w:rPr>
      </w:pPr>
      <w:r>
        <w:rPr>
          <w:rFonts w:cs="Arial"/>
          <w:bCs/>
          <w:kern w:val="32"/>
          <w:sz w:val="24"/>
          <w:szCs w:val="32"/>
        </w:rPr>
        <w:t>2.</w:t>
      </w:r>
      <w:r>
        <w:rPr>
          <w:rFonts w:cs="Arial"/>
          <w:bCs/>
          <w:kern w:val="32"/>
          <w:sz w:val="24"/>
          <w:szCs w:val="32"/>
        </w:rPr>
        <w:tab/>
        <w:t>Purpose of the class order</w:t>
      </w:r>
      <w:bookmarkEnd w:id="1"/>
      <w:r>
        <w:rPr>
          <w:rFonts w:cs="Arial"/>
          <w:bCs/>
          <w:kern w:val="32"/>
          <w:sz w:val="24"/>
          <w:szCs w:val="32"/>
        </w:rPr>
        <w:t xml:space="preserve"> </w:t>
      </w:r>
    </w:p>
    <w:p w:rsidR="00294741" w:rsidRPr="00294741" w:rsidRDefault="00914A88" w:rsidP="00294741">
      <w:pPr>
        <w:pStyle w:val="BodyText"/>
        <w:rPr>
          <w:iCs/>
        </w:rPr>
      </w:pPr>
      <w:r>
        <w:rPr>
          <w:iCs/>
        </w:rPr>
        <w:t>The purpose of this class order is to amend ASIC</w:t>
      </w:r>
      <w:r w:rsidR="00294741">
        <w:rPr>
          <w:iCs/>
        </w:rPr>
        <w:t xml:space="preserve">'s relief for providers of retirement estimates to allow a provider </w:t>
      </w:r>
      <w:r w:rsidR="00294741" w:rsidRPr="00294741">
        <w:rPr>
          <w:iCs/>
        </w:rPr>
        <w:t xml:space="preserve">to include an estimate of the age pension which might be </w:t>
      </w:r>
      <w:r w:rsidR="00294741" w:rsidRPr="00294741">
        <w:rPr>
          <w:iCs/>
        </w:rPr>
        <w:lastRenderedPageBreak/>
        <w:t xml:space="preserve">available to the member along with the member's superannuation benefit at retirement. </w:t>
      </w:r>
    </w:p>
    <w:p w:rsidR="00914A88" w:rsidRDefault="00294741" w:rsidP="00294741">
      <w:pPr>
        <w:pStyle w:val="BodyText"/>
      </w:pPr>
      <w:r w:rsidRPr="00294741">
        <w:rPr>
          <w:iCs/>
        </w:rPr>
        <w:t>The revised guidance and relief also make a number of minor technical changes</w:t>
      </w:r>
      <w:r w:rsidR="009850AD">
        <w:rPr>
          <w:iCs/>
        </w:rPr>
        <w:t>.</w:t>
      </w:r>
      <w:r w:rsidR="00914A88" w:rsidRPr="00914A88">
        <w:t xml:space="preserve"> </w:t>
      </w:r>
    </w:p>
    <w:p w:rsidR="00914A88" w:rsidRDefault="00914A88" w:rsidP="00914A88">
      <w:pPr>
        <w:pStyle w:val="BodyText"/>
      </w:pPr>
      <w:r>
        <w:t xml:space="preserve">The relief aims to facilitate superannuation fund trustees providing retirement estimates to members. </w:t>
      </w:r>
      <w:r w:rsidRPr="00817A9F">
        <w:t xml:space="preserve">The purpose of a retirement estimate is not to give an </w:t>
      </w:r>
      <w:r>
        <w:t>exact</w:t>
      </w:r>
      <w:r w:rsidRPr="00817A9F">
        <w:t xml:space="preserve"> estimate of the member’s retirement benefit, but is instea</w:t>
      </w:r>
      <w:r>
        <w:t xml:space="preserve">d intended to provide an initial </w:t>
      </w:r>
      <w:r w:rsidRPr="00817A9F">
        <w:t xml:space="preserve">figure that would prompt the member to </w:t>
      </w:r>
      <w:r>
        <w:t xml:space="preserve">make further inquiries in relation to their retirement planning.  </w:t>
      </w:r>
    </w:p>
    <w:p w:rsidR="00412266" w:rsidRDefault="00412266">
      <w:pPr>
        <w:pStyle w:val="Heading1"/>
        <w:tabs>
          <w:tab w:val="clear" w:pos="879"/>
        </w:tabs>
        <w:overflowPunct/>
        <w:autoSpaceDE/>
        <w:autoSpaceDN/>
        <w:adjustRightInd/>
        <w:spacing w:after="60" w:line="240" w:lineRule="auto"/>
        <w:textAlignment w:val="auto"/>
        <w:rPr>
          <w:rFonts w:cs="Arial"/>
          <w:bCs/>
          <w:kern w:val="32"/>
          <w:sz w:val="24"/>
          <w:szCs w:val="32"/>
        </w:rPr>
      </w:pPr>
      <w:bookmarkStart w:id="2" w:name="_Toc158699040"/>
      <w:r>
        <w:rPr>
          <w:rFonts w:cs="Arial"/>
          <w:bCs/>
          <w:kern w:val="32"/>
          <w:sz w:val="24"/>
          <w:szCs w:val="32"/>
        </w:rPr>
        <w:t>3.</w:t>
      </w:r>
      <w:r>
        <w:rPr>
          <w:rFonts w:cs="Arial"/>
          <w:bCs/>
          <w:kern w:val="32"/>
          <w:sz w:val="24"/>
          <w:szCs w:val="32"/>
        </w:rPr>
        <w:tab/>
        <w:t>Operation of the class order</w:t>
      </w:r>
      <w:bookmarkEnd w:id="2"/>
      <w:r>
        <w:rPr>
          <w:rFonts w:cs="Arial"/>
          <w:bCs/>
          <w:kern w:val="32"/>
          <w:sz w:val="24"/>
          <w:szCs w:val="32"/>
        </w:rPr>
        <w:t xml:space="preserve"> </w:t>
      </w:r>
    </w:p>
    <w:p w:rsidR="00294741" w:rsidRDefault="00294741">
      <w:pPr>
        <w:pStyle w:val="BodyText"/>
      </w:pPr>
      <w:r>
        <w:t>[CO 14/</w:t>
      </w:r>
      <w:r w:rsidR="00830D26">
        <w:t>870</w:t>
      </w:r>
      <w:r>
        <w:t>]</w:t>
      </w:r>
      <w:r w:rsidR="009850AD">
        <w:t xml:space="preserve"> </w:t>
      </w:r>
      <w:r w:rsidR="00914A88">
        <w:t>amends [CO</w:t>
      </w:r>
      <w:r w:rsidR="00914A88" w:rsidRPr="00B04FA6">
        <w:t> </w:t>
      </w:r>
      <w:r w:rsidR="00914A88">
        <w:t>11/1227]</w:t>
      </w:r>
      <w:r w:rsidR="00F36658">
        <w:t xml:space="preserve"> to:</w:t>
      </w:r>
    </w:p>
    <w:p w:rsidR="00294741" w:rsidRDefault="003750DF" w:rsidP="00294741">
      <w:pPr>
        <w:pStyle w:val="Subpara"/>
        <w:tabs>
          <w:tab w:val="num" w:pos="709"/>
        </w:tabs>
        <w:ind w:left="709" w:hanging="709"/>
      </w:pPr>
      <w:r>
        <w:t>(</w:t>
      </w:r>
      <w:r w:rsidR="00294741">
        <w:t>a)</w:t>
      </w:r>
      <w:r w:rsidR="00294741">
        <w:tab/>
        <w:t>allow a super</w:t>
      </w:r>
      <w:r>
        <w:t>annuation</w:t>
      </w:r>
      <w:r w:rsidR="00294741">
        <w:t xml:space="preserve"> fund trustee (if they wish) to include an estimate of </w:t>
      </w:r>
      <w:r w:rsidR="00655346">
        <w:t xml:space="preserve">a member’s </w:t>
      </w:r>
      <w:r w:rsidR="00294741">
        <w:t xml:space="preserve">age pension </w:t>
      </w:r>
      <w:r w:rsidR="00655346">
        <w:t>together with the</w:t>
      </w:r>
      <w:r w:rsidR="00294741">
        <w:t xml:space="preserve"> member’s superannuation forecast</w:t>
      </w:r>
      <w:r w:rsidR="00F36658">
        <w:t xml:space="preserve">. The age pension estimate must be calculated on the basis that: </w:t>
      </w:r>
    </w:p>
    <w:p w:rsidR="00F36658" w:rsidRDefault="003750DF" w:rsidP="008731FB">
      <w:pPr>
        <w:pStyle w:val="Style1"/>
      </w:pPr>
      <w:r>
        <w:t>(</w:t>
      </w:r>
      <w:r w:rsidR="00F36658">
        <w:t>i)</w:t>
      </w:r>
      <w:r w:rsidR="00F36658">
        <w:tab/>
        <w:t xml:space="preserve">the member qualifies for an age pension under section 43 of the </w:t>
      </w:r>
      <w:r w:rsidR="00F36658" w:rsidRPr="008731FB">
        <w:rPr>
          <w:i/>
        </w:rPr>
        <w:t>Social Security Act 1991</w:t>
      </w:r>
      <w:r w:rsidR="00F36658">
        <w:t>;</w:t>
      </w:r>
    </w:p>
    <w:p w:rsidR="00F36658" w:rsidRDefault="00F36658" w:rsidP="00F36658">
      <w:pPr>
        <w:pStyle w:val="Subpara"/>
        <w:tabs>
          <w:tab w:val="num" w:pos="709"/>
        </w:tabs>
        <w:ind w:left="709" w:hanging="709"/>
      </w:pPr>
      <w:r>
        <w:tab/>
      </w:r>
      <w:r w:rsidR="003750DF">
        <w:t>(</w:t>
      </w:r>
      <w:r>
        <w:t>ii)</w:t>
      </w:r>
      <w:r>
        <w:tab/>
        <w:t>the member has a partner;</w:t>
      </w:r>
    </w:p>
    <w:p w:rsidR="00F36658" w:rsidRDefault="00F36658" w:rsidP="00F36658">
      <w:pPr>
        <w:pStyle w:val="Subpara"/>
        <w:tabs>
          <w:tab w:val="num" w:pos="709"/>
        </w:tabs>
        <w:ind w:left="709" w:hanging="709"/>
      </w:pPr>
      <w:r>
        <w:tab/>
      </w:r>
      <w:r w:rsidR="003750DF">
        <w:t>(</w:t>
      </w:r>
      <w:r>
        <w:t>iii)</w:t>
      </w:r>
      <w:r>
        <w:tab/>
        <w:t xml:space="preserve">the member and their partner jointly own their own home; </w:t>
      </w:r>
    </w:p>
    <w:p w:rsidR="00F36658" w:rsidRDefault="003750DF" w:rsidP="008731FB">
      <w:pPr>
        <w:pStyle w:val="Style1"/>
      </w:pPr>
      <w:r>
        <w:t>(</w:t>
      </w:r>
      <w:r w:rsidR="00F36658">
        <w:t>iv)</w:t>
      </w:r>
      <w:r w:rsidR="00F36658">
        <w:tab/>
        <w:t>the member and their partner each have a single superannuation fund retirement benefit equal to the lump sum and these benefits are applied on the date of the estimate to purchase superannuation pensions that provide each of the member and their partner with income in that year equal to the annual income stream amount</w:t>
      </w:r>
      <w:r w:rsidR="00C723A5">
        <w:t xml:space="preserve"> worked out in accordance with the amended [CO 11/1227]</w:t>
      </w:r>
      <w:r w:rsidR="00F36658">
        <w:t xml:space="preserve">; </w:t>
      </w:r>
    </w:p>
    <w:p w:rsidR="00F36658" w:rsidRDefault="003750DF" w:rsidP="008731FB">
      <w:pPr>
        <w:pStyle w:val="Style1"/>
      </w:pPr>
      <w:r w:rsidDel="003750DF">
        <w:t xml:space="preserve"> </w:t>
      </w:r>
      <w:r>
        <w:t>(</w:t>
      </w:r>
      <w:r w:rsidR="00F36658">
        <w:t xml:space="preserve">v) </w:t>
      </w:r>
      <w:r w:rsidR="00F36658">
        <w:tab/>
        <w:t>the member and their partner have no other assets or income affecting the amount of the age pension payable to the member or their partner, including any other superannuation accounts;</w:t>
      </w:r>
    </w:p>
    <w:p w:rsidR="00294741" w:rsidRDefault="003750DF" w:rsidP="00294741">
      <w:pPr>
        <w:pStyle w:val="Subpara"/>
        <w:tabs>
          <w:tab w:val="num" w:pos="709"/>
        </w:tabs>
        <w:ind w:left="709" w:hanging="709"/>
      </w:pPr>
      <w:r>
        <w:t>(</w:t>
      </w:r>
      <w:r w:rsidR="00294741">
        <w:t>b)</w:t>
      </w:r>
      <w:r w:rsidR="00294741">
        <w:tab/>
        <w:t xml:space="preserve">require that the estimate be calculated based on an assumed retirement age of 67 for all persons, and that the income stream be based on a 25 year period post-retirement; </w:t>
      </w:r>
    </w:p>
    <w:p w:rsidR="00294741" w:rsidRDefault="003750DF" w:rsidP="00294741">
      <w:pPr>
        <w:pStyle w:val="Subpara"/>
        <w:tabs>
          <w:tab w:val="num" w:pos="709"/>
        </w:tabs>
        <w:ind w:left="709" w:hanging="709"/>
      </w:pPr>
      <w:r>
        <w:t>(</w:t>
      </w:r>
      <w:r w:rsidR="00294741">
        <w:t>c)</w:t>
      </w:r>
      <w:r w:rsidR="00294741">
        <w:tab/>
        <w:t>amend the definition of administration fees which are required to be taken into account in calculating the retirement estimate to align with the definition in s</w:t>
      </w:r>
      <w:r w:rsidR="00C723A5">
        <w:t xml:space="preserve">ection </w:t>
      </w:r>
      <w:r w:rsidR="00294741">
        <w:t xml:space="preserve">29V of the </w:t>
      </w:r>
      <w:r w:rsidR="00294741" w:rsidRPr="008731FB">
        <w:rPr>
          <w:i/>
        </w:rPr>
        <w:t>Superannuation Industry (Supervision) Act 1993</w:t>
      </w:r>
      <w:r w:rsidR="00C723A5">
        <w:t>. Various consequential amendments to [CO 11/</w:t>
      </w:r>
      <w:r w:rsidR="006722B0">
        <w:t>1</w:t>
      </w:r>
      <w:r w:rsidR="00C723A5">
        <w:t>227] are also made as a result of this change</w:t>
      </w:r>
      <w:r w:rsidR="00294741">
        <w:t xml:space="preserve">; </w:t>
      </w:r>
    </w:p>
    <w:p w:rsidR="00EF6BA0" w:rsidRDefault="00EF6BA0" w:rsidP="00294741">
      <w:pPr>
        <w:pStyle w:val="Subpara"/>
        <w:tabs>
          <w:tab w:val="num" w:pos="709"/>
        </w:tabs>
        <w:ind w:left="709" w:hanging="709"/>
      </w:pPr>
      <w:r>
        <w:t>(d)</w:t>
      </w:r>
      <w:r>
        <w:tab/>
        <w:t xml:space="preserve">clarify that contributions excludes </w:t>
      </w:r>
      <w:r w:rsidRPr="00EF6BA0">
        <w:t>amounts transferred into the member’s account with the fund from another account with another superannuation entity</w:t>
      </w:r>
      <w:r>
        <w:t>;</w:t>
      </w:r>
    </w:p>
    <w:p w:rsidR="00294741" w:rsidRDefault="003750DF" w:rsidP="00294741">
      <w:pPr>
        <w:pStyle w:val="Subpara"/>
        <w:tabs>
          <w:tab w:val="num" w:pos="709"/>
        </w:tabs>
        <w:ind w:left="709" w:hanging="709"/>
      </w:pPr>
      <w:r>
        <w:t>(</w:t>
      </w:r>
      <w:r w:rsidR="00EF6BA0">
        <w:t>e</w:t>
      </w:r>
      <w:r w:rsidR="00294741">
        <w:t>)</w:t>
      </w:r>
      <w:r w:rsidR="00294741">
        <w:tab/>
        <w:t>require that amounts stated in the retirement estimate must be rounded to three significant figures; and</w:t>
      </w:r>
    </w:p>
    <w:p w:rsidR="006653DB" w:rsidRDefault="003750DF" w:rsidP="00294741">
      <w:pPr>
        <w:pStyle w:val="Subpara"/>
        <w:tabs>
          <w:tab w:val="num" w:pos="709"/>
        </w:tabs>
        <w:ind w:left="709" w:hanging="709"/>
      </w:pPr>
      <w:r>
        <w:lastRenderedPageBreak/>
        <w:t>(</w:t>
      </w:r>
      <w:r w:rsidR="00EF6BA0">
        <w:t>f</w:t>
      </w:r>
      <w:r w:rsidR="00294741">
        <w:t>)</w:t>
      </w:r>
      <w:r w:rsidR="00294741">
        <w:tab/>
        <w:t>amend the wording of the prescribed consumer warning to clarify and improve the warning.</w:t>
      </w:r>
    </w:p>
    <w:p w:rsidR="00412266" w:rsidRDefault="009850AD">
      <w:pPr>
        <w:pStyle w:val="Heading1"/>
        <w:tabs>
          <w:tab w:val="clear" w:pos="879"/>
        </w:tabs>
        <w:overflowPunct/>
        <w:autoSpaceDE/>
        <w:autoSpaceDN/>
        <w:adjustRightInd/>
        <w:spacing w:after="60" w:line="240" w:lineRule="auto"/>
        <w:textAlignment w:val="auto"/>
        <w:rPr>
          <w:rFonts w:cs="Arial"/>
          <w:bCs/>
          <w:kern w:val="32"/>
          <w:sz w:val="24"/>
          <w:szCs w:val="32"/>
        </w:rPr>
      </w:pPr>
      <w:bookmarkStart w:id="3" w:name="_Toc158699042"/>
      <w:r>
        <w:rPr>
          <w:rFonts w:cs="Arial"/>
          <w:bCs/>
          <w:kern w:val="32"/>
          <w:sz w:val="24"/>
          <w:szCs w:val="32"/>
        </w:rPr>
        <w:t>4</w:t>
      </w:r>
      <w:r w:rsidR="00412266">
        <w:rPr>
          <w:rFonts w:cs="Arial"/>
          <w:bCs/>
          <w:kern w:val="32"/>
          <w:sz w:val="24"/>
          <w:szCs w:val="32"/>
        </w:rPr>
        <w:t>.</w:t>
      </w:r>
      <w:r w:rsidR="00412266">
        <w:rPr>
          <w:rFonts w:cs="Arial"/>
          <w:bCs/>
          <w:kern w:val="32"/>
          <w:sz w:val="24"/>
          <w:szCs w:val="32"/>
        </w:rPr>
        <w:tab/>
        <w:t>Consultation</w:t>
      </w:r>
      <w:bookmarkEnd w:id="3"/>
    </w:p>
    <w:p w:rsidR="00412266" w:rsidRDefault="00412266"/>
    <w:p w:rsidR="00C723A5" w:rsidRDefault="00FA0D48" w:rsidP="00C723A5">
      <w:r>
        <w:t xml:space="preserve">ASIC Regulatory Guide 229 </w:t>
      </w:r>
      <w:r w:rsidRPr="008731FB">
        <w:rPr>
          <w:i/>
        </w:rPr>
        <w:t>Superannuation Forecasts</w:t>
      </w:r>
      <w:r>
        <w:t xml:space="preserve"> (RG 229) was published in December 2011 and describes the relief contained in [CO 11/1227]. </w:t>
      </w:r>
      <w:r w:rsidR="00914A88" w:rsidRPr="00914A88">
        <w:t>In preparing [CO 1</w:t>
      </w:r>
      <w:r w:rsidR="00914A88">
        <w:t>4</w:t>
      </w:r>
      <w:r w:rsidR="00914A88" w:rsidRPr="00914A88">
        <w:t>/</w:t>
      </w:r>
      <w:r w:rsidR="00830D26">
        <w:t>870</w:t>
      </w:r>
      <w:r w:rsidR="00914A88" w:rsidRPr="00914A88">
        <w:t xml:space="preserve">], we have taken into account submissions made in response to </w:t>
      </w:r>
      <w:r w:rsidR="00914A88">
        <w:t xml:space="preserve">Consultation Paper 203 </w:t>
      </w:r>
      <w:r w:rsidR="00914A88" w:rsidRPr="00C46DBC">
        <w:rPr>
          <w:i/>
        </w:rPr>
        <w:t>Age pension estimates in superannuation forecasts: Update to RG 229</w:t>
      </w:r>
      <w:r w:rsidR="00914A88">
        <w:t xml:space="preserve"> (CP 203)</w:t>
      </w:r>
      <w:r w:rsidR="00C723A5">
        <w:t xml:space="preserve"> which was published in </w:t>
      </w:r>
      <w:r>
        <w:t>March 2013</w:t>
      </w:r>
      <w:r w:rsidR="00914A88" w:rsidRPr="00914A88">
        <w:t xml:space="preserve">. ASIC received </w:t>
      </w:r>
      <w:r w:rsidR="00914A88">
        <w:t>15</w:t>
      </w:r>
      <w:r w:rsidR="00914A88" w:rsidRPr="00914A88">
        <w:t xml:space="preserve"> submissions in response to this consultation paper. A</w:t>
      </w:r>
      <w:r w:rsidR="004934D0">
        <w:t>SI</w:t>
      </w:r>
      <w:r w:rsidR="008731FB">
        <w:t>C</w:t>
      </w:r>
      <w:r w:rsidR="004934D0">
        <w:t xml:space="preserve"> has released a</w:t>
      </w:r>
      <w:r w:rsidR="00914A88" w:rsidRPr="00914A88">
        <w:t xml:space="preserve"> report, Report </w:t>
      </w:r>
      <w:r w:rsidR="000257B6">
        <w:t>418</w:t>
      </w:r>
      <w:r w:rsidR="000257B6" w:rsidRPr="00914A88">
        <w:t xml:space="preserve"> </w:t>
      </w:r>
      <w:r w:rsidR="00914A88" w:rsidRPr="00914A88">
        <w:rPr>
          <w:i/>
        </w:rPr>
        <w:t>Response to submissions on CP 203 Age pension estimates in superannuation forecasts: Update to RG 229</w:t>
      </w:r>
      <w:r w:rsidR="003B4C44">
        <w:t xml:space="preserve"> and an updated version of RG 229</w:t>
      </w:r>
      <w:r w:rsidR="004934D0">
        <w:t xml:space="preserve"> at the same time as</w:t>
      </w:r>
      <w:r w:rsidR="00914A88" w:rsidRPr="00914A88">
        <w:t xml:space="preserve"> the </w:t>
      </w:r>
      <w:r>
        <w:t>class order</w:t>
      </w:r>
      <w:r w:rsidR="00914A88" w:rsidRPr="00914A88">
        <w:t>.</w:t>
      </w:r>
    </w:p>
    <w:p w:rsidR="00C723A5" w:rsidRDefault="00C723A5" w:rsidP="00C723A5"/>
    <w:p w:rsidR="0042194E" w:rsidRDefault="00C723A5" w:rsidP="00C723A5">
      <w:r>
        <w:t xml:space="preserve">The Office of Best Practice Regulation </w:t>
      </w:r>
      <w:r w:rsidR="00FA0D48">
        <w:t xml:space="preserve">has </w:t>
      </w:r>
      <w:r>
        <w:t xml:space="preserve">confirmed that a Regulation Impact Statement </w:t>
      </w:r>
      <w:r w:rsidR="00FA0D48">
        <w:t>is</w:t>
      </w:r>
      <w:r>
        <w:t xml:space="preserve"> not necessary. </w:t>
      </w:r>
      <w:bookmarkStart w:id="4" w:name="_GoBack"/>
      <w:bookmarkEnd w:id="4"/>
      <w:r w:rsidR="0042194E">
        <w:br w:type="page"/>
      </w:r>
    </w:p>
    <w:p w:rsidR="0042194E" w:rsidRPr="0042194E" w:rsidRDefault="0042194E" w:rsidP="0042194E">
      <w:pPr>
        <w:jc w:val="center"/>
        <w:rPr>
          <w:b/>
        </w:rPr>
      </w:pPr>
      <w:r w:rsidRPr="0042194E">
        <w:rPr>
          <w:b/>
        </w:rPr>
        <w:lastRenderedPageBreak/>
        <w:t>Statement of Compatibility with Human Rights</w:t>
      </w:r>
    </w:p>
    <w:p w:rsidR="0042194E" w:rsidRPr="0042194E" w:rsidRDefault="0042194E" w:rsidP="0042194E">
      <w:pPr>
        <w:jc w:val="center"/>
        <w:rPr>
          <w:i/>
        </w:rPr>
      </w:pPr>
      <w:r w:rsidRPr="0042194E">
        <w:rPr>
          <w:i/>
        </w:rPr>
        <w:t>Prepared in accordance with Part 3 of the</w:t>
      </w:r>
    </w:p>
    <w:p w:rsidR="0042194E" w:rsidRDefault="0042194E" w:rsidP="0042194E">
      <w:pPr>
        <w:jc w:val="center"/>
      </w:pPr>
      <w:r w:rsidRPr="0042194E">
        <w:rPr>
          <w:i/>
        </w:rPr>
        <w:t>Human Rights (Parliamentary Scrutiny) Act 2011</w:t>
      </w:r>
    </w:p>
    <w:p w:rsidR="0042194E" w:rsidRDefault="0042194E" w:rsidP="0042194E"/>
    <w:p w:rsidR="00B04FA6" w:rsidRDefault="00B04FA6" w:rsidP="0042194E"/>
    <w:p w:rsidR="0042194E" w:rsidRPr="0042194E" w:rsidRDefault="0042194E" w:rsidP="0042194E">
      <w:pPr>
        <w:rPr>
          <w:b/>
        </w:rPr>
      </w:pPr>
      <w:r w:rsidRPr="0042194E">
        <w:rPr>
          <w:b/>
        </w:rPr>
        <w:t>ASIC Class Order [CO</w:t>
      </w:r>
      <w:r w:rsidR="00B04FA6" w:rsidRPr="00B04FA6">
        <w:rPr>
          <w:b/>
        </w:rPr>
        <w:t> </w:t>
      </w:r>
      <w:r w:rsidRPr="0042194E">
        <w:rPr>
          <w:b/>
        </w:rPr>
        <w:t>1</w:t>
      </w:r>
      <w:r w:rsidR="009850AD">
        <w:rPr>
          <w:b/>
        </w:rPr>
        <w:t>4</w:t>
      </w:r>
      <w:r w:rsidRPr="0042194E">
        <w:rPr>
          <w:b/>
        </w:rPr>
        <w:t>/</w:t>
      </w:r>
      <w:r w:rsidR="00830D26">
        <w:rPr>
          <w:b/>
        </w:rPr>
        <w:t>870</w:t>
      </w:r>
      <w:r w:rsidRPr="0042194E">
        <w:rPr>
          <w:b/>
        </w:rPr>
        <w:t>]</w:t>
      </w:r>
    </w:p>
    <w:p w:rsidR="0042194E" w:rsidRDefault="0042194E" w:rsidP="0042194E"/>
    <w:p w:rsidR="0042194E" w:rsidRDefault="0042194E" w:rsidP="0042194E">
      <w:r>
        <w:t xml:space="preserve">This legislative instrument is compatible with the human rights and freedoms recognised or declared in the international instruments listed in section 3 of the </w:t>
      </w:r>
      <w:r w:rsidR="008118D1" w:rsidRPr="008118D1">
        <w:rPr>
          <w:i/>
        </w:rPr>
        <w:t>Human Rights (Parliamentary Scrutiny) Act 2011</w:t>
      </w:r>
      <w:r>
        <w:t>.</w:t>
      </w:r>
    </w:p>
    <w:p w:rsidR="0042194E" w:rsidRDefault="0042194E" w:rsidP="0042194E"/>
    <w:p w:rsidR="0042194E" w:rsidRPr="0042194E" w:rsidRDefault="0042194E" w:rsidP="0042194E">
      <w:pPr>
        <w:rPr>
          <w:b/>
        </w:rPr>
      </w:pPr>
      <w:r w:rsidRPr="0042194E">
        <w:rPr>
          <w:b/>
        </w:rPr>
        <w:t>Overview of the legislative instrument</w:t>
      </w:r>
    </w:p>
    <w:p w:rsidR="0042194E" w:rsidRDefault="0042194E" w:rsidP="0042194E"/>
    <w:p w:rsidR="0042194E" w:rsidRDefault="0042194E" w:rsidP="0042194E">
      <w:r>
        <w:t>The purpose of this legislative instrument is to amend ASIC Class Order [CO</w:t>
      </w:r>
      <w:r w:rsidR="00B04FA6" w:rsidRPr="00B04FA6">
        <w:t> </w:t>
      </w:r>
      <w:r w:rsidR="00914A88">
        <w:t>11/1227</w:t>
      </w:r>
      <w:r>
        <w:t xml:space="preserve">] (the principal class order). The principal class order </w:t>
      </w:r>
      <w:r w:rsidR="00914A88">
        <w:t xml:space="preserve">provides conditional relief from the </w:t>
      </w:r>
      <w:r w:rsidR="00FA0D48">
        <w:t xml:space="preserve">Australian financial services </w:t>
      </w:r>
      <w:r w:rsidR="00914A88">
        <w:t xml:space="preserve">licensing requirements in the </w:t>
      </w:r>
      <w:r w:rsidR="00FA0D48" w:rsidRPr="008731FB">
        <w:rPr>
          <w:i/>
        </w:rPr>
        <w:t>Corporations Act 2001</w:t>
      </w:r>
      <w:r w:rsidR="00FA0D48">
        <w:t xml:space="preserve"> </w:t>
      </w:r>
      <w:r w:rsidR="00914A88">
        <w:t xml:space="preserve">to superannuation fund trustees who prepare retirement estimates for their members in accordance with the conditions in </w:t>
      </w:r>
      <w:r w:rsidR="003750DF">
        <w:t>the principal class order.</w:t>
      </w:r>
    </w:p>
    <w:p w:rsidR="00FA0D48" w:rsidRDefault="00FA0D48" w:rsidP="0042194E"/>
    <w:p w:rsidR="00FA0D48" w:rsidRDefault="00FA0D48" w:rsidP="0042194E">
      <w:r>
        <w:t xml:space="preserve">The key changes made by [CO 14/870] to [CO 11/1227] </w:t>
      </w:r>
      <w:r w:rsidR="00655346">
        <w:t>include</w:t>
      </w:r>
      <w:r>
        <w:t>:</w:t>
      </w:r>
    </w:p>
    <w:p w:rsidR="00FA0D48" w:rsidRDefault="00FA0D48" w:rsidP="0042194E"/>
    <w:p w:rsidR="00FA0D48" w:rsidRDefault="003750DF" w:rsidP="008731FB">
      <w:pPr>
        <w:ind w:left="709" w:hanging="709"/>
      </w:pPr>
      <w:r>
        <w:t>(a)</w:t>
      </w:r>
      <w:r>
        <w:tab/>
      </w:r>
      <w:r w:rsidR="00655346">
        <w:t>allowing superannuation fund trustees to provide an estimate of a member’s age pension together with the member’s superannuation forecast; and</w:t>
      </w:r>
    </w:p>
    <w:p w:rsidR="003750DF" w:rsidRDefault="003750DF" w:rsidP="0042194E"/>
    <w:p w:rsidR="003750DF" w:rsidRDefault="003750DF" w:rsidP="008731FB">
      <w:pPr>
        <w:ind w:left="709" w:hanging="709"/>
      </w:pPr>
      <w:r>
        <w:t>(b)</w:t>
      </w:r>
      <w:r>
        <w:tab/>
      </w:r>
      <w:r w:rsidR="00655346">
        <w:t>requiring that the estimate be calculated based on an assumed retirement age of 67 for all persons.</w:t>
      </w:r>
    </w:p>
    <w:p w:rsidR="0042194E" w:rsidRDefault="0042194E" w:rsidP="0042194E"/>
    <w:p w:rsidR="0042194E" w:rsidRPr="0042194E" w:rsidRDefault="0042194E" w:rsidP="0042194E">
      <w:pPr>
        <w:rPr>
          <w:b/>
        </w:rPr>
      </w:pPr>
      <w:r w:rsidRPr="0042194E">
        <w:rPr>
          <w:b/>
        </w:rPr>
        <w:t>Human rights implications</w:t>
      </w:r>
    </w:p>
    <w:p w:rsidR="0042194E" w:rsidRDefault="0042194E" w:rsidP="0042194E"/>
    <w:p w:rsidR="0042194E" w:rsidRDefault="0042194E" w:rsidP="0042194E">
      <w:r>
        <w:t>This legislative instrument does not engage any of the applicable rights or freedoms.</w:t>
      </w:r>
    </w:p>
    <w:p w:rsidR="0042194E" w:rsidRDefault="0042194E" w:rsidP="0042194E"/>
    <w:p w:rsidR="0042194E" w:rsidRPr="0042194E" w:rsidRDefault="0042194E" w:rsidP="0042194E">
      <w:pPr>
        <w:rPr>
          <w:b/>
        </w:rPr>
      </w:pPr>
      <w:r w:rsidRPr="0042194E">
        <w:rPr>
          <w:b/>
        </w:rPr>
        <w:t>Conclusion</w:t>
      </w:r>
    </w:p>
    <w:p w:rsidR="0042194E" w:rsidRDefault="0042194E" w:rsidP="0042194E"/>
    <w:p w:rsidR="006D457B" w:rsidRDefault="0042194E" w:rsidP="0042194E">
      <w:r>
        <w:t>This legislative instrument is compatible with human rights as it does not raise any human rights issues.</w:t>
      </w:r>
    </w:p>
    <w:sectPr w:rsidR="006D457B" w:rsidSect="00566784">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484" w:rsidRDefault="00CB1484" w:rsidP="00C81219">
      <w:r>
        <w:separator/>
      </w:r>
    </w:p>
  </w:endnote>
  <w:endnote w:type="continuationSeparator" w:id="0">
    <w:p w:rsidR="00CB1484" w:rsidRDefault="00CB1484" w:rsidP="00C8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6A" w:rsidRDefault="00D478E9">
    <w:pPr>
      <w:pStyle w:val="Footer"/>
      <w:jc w:val="right"/>
    </w:pPr>
    <w:r>
      <w:fldChar w:fldCharType="begin"/>
    </w:r>
    <w:r>
      <w:instrText xml:space="preserve"> PAGE   \* MERGEFORMAT </w:instrText>
    </w:r>
    <w:r>
      <w:fldChar w:fldCharType="separate"/>
    </w:r>
    <w:r w:rsidR="000257B6">
      <w:rPr>
        <w:noProof/>
      </w:rPr>
      <w:t>2</w:t>
    </w:r>
    <w:r>
      <w:rPr>
        <w:noProof/>
      </w:rPr>
      <w:fldChar w:fldCharType="end"/>
    </w:r>
  </w:p>
  <w:p w:rsidR="0039366A" w:rsidRDefault="00393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484" w:rsidRDefault="00CB1484" w:rsidP="00C81219">
      <w:r>
        <w:separator/>
      </w:r>
    </w:p>
  </w:footnote>
  <w:footnote w:type="continuationSeparator" w:id="0">
    <w:p w:rsidR="00CB1484" w:rsidRDefault="00CB1484" w:rsidP="00C81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6A" w:rsidRDefault="00393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58D"/>
    <w:multiLevelType w:val="hybridMultilevel"/>
    <w:tmpl w:val="04EC0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B07BCF"/>
    <w:multiLevelType w:val="hybridMultilevel"/>
    <w:tmpl w:val="F99C583E"/>
    <w:lvl w:ilvl="0" w:tplc="0C090001">
      <w:start w:val="1"/>
      <w:numFmt w:val="bullet"/>
      <w:lvlText w:val=""/>
      <w:lvlJc w:val="left"/>
      <w:pPr>
        <w:ind w:left="1701" w:hanging="360"/>
      </w:pPr>
      <w:rPr>
        <w:rFonts w:ascii="Symbol" w:hAnsi="Symbol" w:hint="default"/>
      </w:rPr>
    </w:lvl>
    <w:lvl w:ilvl="1" w:tplc="0C090003" w:tentative="1">
      <w:start w:val="1"/>
      <w:numFmt w:val="bullet"/>
      <w:lvlText w:val="o"/>
      <w:lvlJc w:val="left"/>
      <w:pPr>
        <w:ind w:left="2421" w:hanging="360"/>
      </w:pPr>
      <w:rPr>
        <w:rFonts w:ascii="Courier New" w:hAnsi="Courier New" w:cs="Courier New" w:hint="default"/>
      </w:rPr>
    </w:lvl>
    <w:lvl w:ilvl="2" w:tplc="0C090005" w:tentative="1">
      <w:start w:val="1"/>
      <w:numFmt w:val="bullet"/>
      <w:lvlText w:val=""/>
      <w:lvlJc w:val="left"/>
      <w:pPr>
        <w:ind w:left="3141" w:hanging="360"/>
      </w:pPr>
      <w:rPr>
        <w:rFonts w:ascii="Wingdings" w:hAnsi="Wingdings" w:hint="default"/>
      </w:rPr>
    </w:lvl>
    <w:lvl w:ilvl="3" w:tplc="0C090001" w:tentative="1">
      <w:start w:val="1"/>
      <w:numFmt w:val="bullet"/>
      <w:lvlText w:val=""/>
      <w:lvlJc w:val="left"/>
      <w:pPr>
        <w:ind w:left="3861" w:hanging="360"/>
      </w:pPr>
      <w:rPr>
        <w:rFonts w:ascii="Symbol" w:hAnsi="Symbol" w:hint="default"/>
      </w:rPr>
    </w:lvl>
    <w:lvl w:ilvl="4" w:tplc="0C090003" w:tentative="1">
      <w:start w:val="1"/>
      <w:numFmt w:val="bullet"/>
      <w:lvlText w:val="o"/>
      <w:lvlJc w:val="left"/>
      <w:pPr>
        <w:ind w:left="4581" w:hanging="360"/>
      </w:pPr>
      <w:rPr>
        <w:rFonts w:ascii="Courier New" w:hAnsi="Courier New" w:cs="Courier New" w:hint="default"/>
      </w:rPr>
    </w:lvl>
    <w:lvl w:ilvl="5" w:tplc="0C090005" w:tentative="1">
      <w:start w:val="1"/>
      <w:numFmt w:val="bullet"/>
      <w:lvlText w:val=""/>
      <w:lvlJc w:val="left"/>
      <w:pPr>
        <w:ind w:left="5301" w:hanging="360"/>
      </w:pPr>
      <w:rPr>
        <w:rFonts w:ascii="Wingdings" w:hAnsi="Wingdings" w:hint="default"/>
      </w:rPr>
    </w:lvl>
    <w:lvl w:ilvl="6" w:tplc="0C090001" w:tentative="1">
      <w:start w:val="1"/>
      <w:numFmt w:val="bullet"/>
      <w:lvlText w:val=""/>
      <w:lvlJc w:val="left"/>
      <w:pPr>
        <w:ind w:left="6021" w:hanging="360"/>
      </w:pPr>
      <w:rPr>
        <w:rFonts w:ascii="Symbol" w:hAnsi="Symbol" w:hint="default"/>
      </w:rPr>
    </w:lvl>
    <w:lvl w:ilvl="7" w:tplc="0C090003" w:tentative="1">
      <w:start w:val="1"/>
      <w:numFmt w:val="bullet"/>
      <w:lvlText w:val="o"/>
      <w:lvlJc w:val="left"/>
      <w:pPr>
        <w:ind w:left="6741" w:hanging="360"/>
      </w:pPr>
      <w:rPr>
        <w:rFonts w:ascii="Courier New" w:hAnsi="Courier New" w:cs="Courier New" w:hint="default"/>
      </w:rPr>
    </w:lvl>
    <w:lvl w:ilvl="8" w:tplc="0C090005" w:tentative="1">
      <w:start w:val="1"/>
      <w:numFmt w:val="bullet"/>
      <w:lvlText w:val=""/>
      <w:lvlJc w:val="left"/>
      <w:pPr>
        <w:ind w:left="7461" w:hanging="360"/>
      </w:pPr>
      <w:rPr>
        <w:rFonts w:ascii="Wingdings" w:hAnsi="Wingdings" w:hint="default"/>
      </w:rPr>
    </w:lvl>
  </w:abstractNum>
  <w:abstractNum w:abstractNumId="3">
    <w:nsid w:val="3A691DCA"/>
    <w:multiLevelType w:val="hybridMultilevel"/>
    <w:tmpl w:val="0F4EA27E"/>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48247D"/>
    <w:multiLevelType w:val="hybridMultilevel"/>
    <w:tmpl w:val="EDC4F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5C7BC8"/>
    <w:multiLevelType w:val="hybridMultilevel"/>
    <w:tmpl w:val="D9B23C9E"/>
    <w:lvl w:ilvl="0" w:tplc="0C090017">
      <w:start w:val="1"/>
      <w:numFmt w:val="lowerLetter"/>
      <w:lvlText w:val="%1)"/>
      <w:lvlJc w:val="left"/>
      <w:pPr>
        <w:ind w:left="1341" w:hanging="360"/>
      </w:pPr>
    </w:lvl>
    <w:lvl w:ilvl="1" w:tplc="0C090019" w:tentative="1">
      <w:start w:val="1"/>
      <w:numFmt w:val="lowerLetter"/>
      <w:lvlText w:val="%2."/>
      <w:lvlJc w:val="left"/>
      <w:pPr>
        <w:ind w:left="2061" w:hanging="360"/>
      </w:pPr>
    </w:lvl>
    <w:lvl w:ilvl="2" w:tplc="0C09001B" w:tentative="1">
      <w:start w:val="1"/>
      <w:numFmt w:val="lowerRoman"/>
      <w:lvlText w:val="%3."/>
      <w:lvlJc w:val="right"/>
      <w:pPr>
        <w:ind w:left="2781" w:hanging="180"/>
      </w:pPr>
    </w:lvl>
    <w:lvl w:ilvl="3" w:tplc="0C09000F" w:tentative="1">
      <w:start w:val="1"/>
      <w:numFmt w:val="decimal"/>
      <w:lvlText w:val="%4."/>
      <w:lvlJc w:val="left"/>
      <w:pPr>
        <w:ind w:left="3501" w:hanging="360"/>
      </w:pPr>
    </w:lvl>
    <w:lvl w:ilvl="4" w:tplc="0C090019" w:tentative="1">
      <w:start w:val="1"/>
      <w:numFmt w:val="lowerLetter"/>
      <w:lvlText w:val="%5."/>
      <w:lvlJc w:val="left"/>
      <w:pPr>
        <w:ind w:left="4221" w:hanging="360"/>
      </w:pPr>
    </w:lvl>
    <w:lvl w:ilvl="5" w:tplc="0C09001B" w:tentative="1">
      <w:start w:val="1"/>
      <w:numFmt w:val="lowerRoman"/>
      <w:lvlText w:val="%6."/>
      <w:lvlJc w:val="right"/>
      <w:pPr>
        <w:ind w:left="4941" w:hanging="180"/>
      </w:pPr>
    </w:lvl>
    <w:lvl w:ilvl="6" w:tplc="0C09000F" w:tentative="1">
      <w:start w:val="1"/>
      <w:numFmt w:val="decimal"/>
      <w:lvlText w:val="%7."/>
      <w:lvlJc w:val="left"/>
      <w:pPr>
        <w:ind w:left="5661" w:hanging="360"/>
      </w:pPr>
    </w:lvl>
    <w:lvl w:ilvl="7" w:tplc="0C090019" w:tentative="1">
      <w:start w:val="1"/>
      <w:numFmt w:val="lowerLetter"/>
      <w:lvlText w:val="%8."/>
      <w:lvlJc w:val="left"/>
      <w:pPr>
        <w:ind w:left="6381" w:hanging="360"/>
      </w:pPr>
    </w:lvl>
    <w:lvl w:ilvl="8" w:tplc="0C09001B" w:tentative="1">
      <w:start w:val="1"/>
      <w:numFmt w:val="lowerRoman"/>
      <w:lvlText w:val="%9."/>
      <w:lvlJc w:val="right"/>
      <w:pPr>
        <w:ind w:left="7101" w:hanging="180"/>
      </w:pPr>
    </w:lvl>
  </w:abstractNum>
  <w:abstractNum w:abstractNumId="7">
    <w:nsid w:val="691213E9"/>
    <w:multiLevelType w:val="hybridMultilevel"/>
    <w:tmpl w:val="1E24C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CFD6A50"/>
    <w:multiLevelType w:val="hybridMultilevel"/>
    <w:tmpl w:val="9B3CE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1AD3D8D"/>
    <w:multiLevelType w:val="hybridMultilevel"/>
    <w:tmpl w:val="0CE061DA"/>
    <w:lvl w:ilvl="0" w:tplc="0C090017">
      <w:start w:val="1"/>
      <w:numFmt w:val="lowerLetter"/>
      <w:lvlText w:val="%1)"/>
      <w:lvlJc w:val="left"/>
      <w:pPr>
        <w:ind w:left="1341" w:hanging="360"/>
      </w:pPr>
    </w:lvl>
    <w:lvl w:ilvl="1" w:tplc="0C090019" w:tentative="1">
      <w:start w:val="1"/>
      <w:numFmt w:val="lowerLetter"/>
      <w:lvlText w:val="%2."/>
      <w:lvlJc w:val="left"/>
      <w:pPr>
        <w:ind w:left="2061" w:hanging="360"/>
      </w:pPr>
    </w:lvl>
    <w:lvl w:ilvl="2" w:tplc="0C09001B" w:tentative="1">
      <w:start w:val="1"/>
      <w:numFmt w:val="lowerRoman"/>
      <w:lvlText w:val="%3."/>
      <w:lvlJc w:val="right"/>
      <w:pPr>
        <w:ind w:left="2781" w:hanging="180"/>
      </w:pPr>
    </w:lvl>
    <w:lvl w:ilvl="3" w:tplc="0C09000F" w:tentative="1">
      <w:start w:val="1"/>
      <w:numFmt w:val="decimal"/>
      <w:lvlText w:val="%4."/>
      <w:lvlJc w:val="left"/>
      <w:pPr>
        <w:ind w:left="3501" w:hanging="360"/>
      </w:pPr>
    </w:lvl>
    <w:lvl w:ilvl="4" w:tplc="0C090019" w:tentative="1">
      <w:start w:val="1"/>
      <w:numFmt w:val="lowerLetter"/>
      <w:lvlText w:val="%5."/>
      <w:lvlJc w:val="left"/>
      <w:pPr>
        <w:ind w:left="4221" w:hanging="360"/>
      </w:pPr>
    </w:lvl>
    <w:lvl w:ilvl="5" w:tplc="0C09001B" w:tentative="1">
      <w:start w:val="1"/>
      <w:numFmt w:val="lowerRoman"/>
      <w:lvlText w:val="%6."/>
      <w:lvlJc w:val="right"/>
      <w:pPr>
        <w:ind w:left="4941" w:hanging="180"/>
      </w:pPr>
    </w:lvl>
    <w:lvl w:ilvl="6" w:tplc="0C09000F" w:tentative="1">
      <w:start w:val="1"/>
      <w:numFmt w:val="decimal"/>
      <w:lvlText w:val="%7."/>
      <w:lvlJc w:val="left"/>
      <w:pPr>
        <w:ind w:left="5661" w:hanging="360"/>
      </w:pPr>
    </w:lvl>
    <w:lvl w:ilvl="7" w:tplc="0C090019" w:tentative="1">
      <w:start w:val="1"/>
      <w:numFmt w:val="lowerLetter"/>
      <w:lvlText w:val="%8."/>
      <w:lvlJc w:val="left"/>
      <w:pPr>
        <w:ind w:left="6381" w:hanging="360"/>
      </w:pPr>
    </w:lvl>
    <w:lvl w:ilvl="8" w:tplc="0C09001B" w:tentative="1">
      <w:start w:val="1"/>
      <w:numFmt w:val="lowerRoman"/>
      <w:lvlText w:val="%9."/>
      <w:lvlJc w:val="right"/>
      <w:pPr>
        <w:ind w:left="7101" w:hanging="180"/>
      </w:pPr>
    </w:lvl>
  </w:abstractNum>
  <w:abstractNum w:abstractNumId="10">
    <w:nsid w:val="77857696"/>
    <w:multiLevelType w:val="hybridMultilevel"/>
    <w:tmpl w:val="4E6618A8"/>
    <w:lvl w:ilvl="0" w:tplc="5726AC3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4"/>
  </w:num>
  <w:num w:numId="4">
    <w:abstractNumId w:val="8"/>
  </w:num>
  <w:num w:numId="5">
    <w:abstractNumId w:val="7"/>
  </w:num>
  <w:num w:numId="6">
    <w:abstractNumId w:val="9"/>
  </w:num>
  <w:num w:numId="7">
    <w:abstractNumId w:val="2"/>
  </w:num>
  <w:num w:numId="8">
    <w:abstractNumId w:val="6"/>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66"/>
    <w:rsid w:val="00000054"/>
    <w:rsid w:val="00005150"/>
    <w:rsid w:val="000069A3"/>
    <w:rsid w:val="000122E3"/>
    <w:rsid w:val="000257B6"/>
    <w:rsid w:val="00027C72"/>
    <w:rsid w:val="000318AF"/>
    <w:rsid w:val="00034D8E"/>
    <w:rsid w:val="00052318"/>
    <w:rsid w:val="0006034C"/>
    <w:rsid w:val="00074237"/>
    <w:rsid w:val="00085EA9"/>
    <w:rsid w:val="000A3F18"/>
    <w:rsid w:val="000B16D0"/>
    <w:rsid w:val="000C44FA"/>
    <w:rsid w:val="000D625F"/>
    <w:rsid w:val="000E1FC7"/>
    <w:rsid w:val="00100E23"/>
    <w:rsid w:val="001079A9"/>
    <w:rsid w:val="00113A94"/>
    <w:rsid w:val="00117D1A"/>
    <w:rsid w:val="001203F5"/>
    <w:rsid w:val="00123F07"/>
    <w:rsid w:val="00141EAE"/>
    <w:rsid w:val="00150F1A"/>
    <w:rsid w:val="00157327"/>
    <w:rsid w:val="001A75A8"/>
    <w:rsid w:val="001E447E"/>
    <w:rsid w:val="001F60EB"/>
    <w:rsid w:val="001F7752"/>
    <w:rsid w:val="00201141"/>
    <w:rsid w:val="00205788"/>
    <w:rsid w:val="002141A3"/>
    <w:rsid w:val="002411DC"/>
    <w:rsid w:val="00242F14"/>
    <w:rsid w:val="00251C74"/>
    <w:rsid w:val="002679CC"/>
    <w:rsid w:val="00294452"/>
    <w:rsid w:val="00294741"/>
    <w:rsid w:val="002E43F4"/>
    <w:rsid w:val="002F1798"/>
    <w:rsid w:val="00315E4D"/>
    <w:rsid w:val="00341102"/>
    <w:rsid w:val="00343404"/>
    <w:rsid w:val="003750DF"/>
    <w:rsid w:val="00390143"/>
    <w:rsid w:val="0039366A"/>
    <w:rsid w:val="003B4C44"/>
    <w:rsid w:val="003C67C9"/>
    <w:rsid w:val="003C6D3C"/>
    <w:rsid w:val="004039E4"/>
    <w:rsid w:val="00412266"/>
    <w:rsid w:val="0042194E"/>
    <w:rsid w:val="0044050F"/>
    <w:rsid w:val="00454E1D"/>
    <w:rsid w:val="00461604"/>
    <w:rsid w:val="0046287D"/>
    <w:rsid w:val="00476131"/>
    <w:rsid w:val="00476B02"/>
    <w:rsid w:val="004934D0"/>
    <w:rsid w:val="004B47B3"/>
    <w:rsid w:val="004E6F69"/>
    <w:rsid w:val="00510461"/>
    <w:rsid w:val="00534689"/>
    <w:rsid w:val="00563D47"/>
    <w:rsid w:val="00566784"/>
    <w:rsid w:val="00581128"/>
    <w:rsid w:val="00592E69"/>
    <w:rsid w:val="00595068"/>
    <w:rsid w:val="00596400"/>
    <w:rsid w:val="005979FD"/>
    <w:rsid w:val="005C164F"/>
    <w:rsid w:val="005C6794"/>
    <w:rsid w:val="005C7991"/>
    <w:rsid w:val="005D0E8C"/>
    <w:rsid w:val="005D36BF"/>
    <w:rsid w:val="00612A2A"/>
    <w:rsid w:val="00640F8E"/>
    <w:rsid w:val="006506E9"/>
    <w:rsid w:val="00655346"/>
    <w:rsid w:val="0066148B"/>
    <w:rsid w:val="006653DB"/>
    <w:rsid w:val="00671C9E"/>
    <w:rsid w:val="006722B0"/>
    <w:rsid w:val="00684CF8"/>
    <w:rsid w:val="00691617"/>
    <w:rsid w:val="006952E2"/>
    <w:rsid w:val="006966F0"/>
    <w:rsid w:val="006B2CBF"/>
    <w:rsid w:val="006D428A"/>
    <w:rsid w:val="006D457B"/>
    <w:rsid w:val="006D57A9"/>
    <w:rsid w:val="006E1BAE"/>
    <w:rsid w:val="00705A63"/>
    <w:rsid w:val="00734B3E"/>
    <w:rsid w:val="0074463F"/>
    <w:rsid w:val="00755C70"/>
    <w:rsid w:val="00770B2E"/>
    <w:rsid w:val="00775863"/>
    <w:rsid w:val="00776E04"/>
    <w:rsid w:val="007A044A"/>
    <w:rsid w:val="007D2BC5"/>
    <w:rsid w:val="007E11F3"/>
    <w:rsid w:val="008118D1"/>
    <w:rsid w:val="00830D26"/>
    <w:rsid w:val="008731FB"/>
    <w:rsid w:val="0087573D"/>
    <w:rsid w:val="00875FC9"/>
    <w:rsid w:val="008A1D9D"/>
    <w:rsid w:val="008F5967"/>
    <w:rsid w:val="009006DB"/>
    <w:rsid w:val="00914A88"/>
    <w:rsid w:val="0091727E"/>
    <w:rsid w:val="0094481B"/>
    <w:rsid w:val="009521BF"/>
    <w:rsid w:val="0096084D"/>
    <w:rsid w:val="009850AD"/>
    <w:rsid w:val="00995234"/>
    <w:rsid w:val="009C18FA"/>
    <w:rsid w:val="009C6588"/>
    <w:rsid w:val="009D592A"/>
    <w:rsid w:val="009D69F0"/>
    <w:rsid w:val="009F5051"/>
    <w:rsid w:val="009F68A2"/>
    <w:rsid w:val="00A03A2F"/>
    <w:rsid w:val="00A049AC"/>
    <w:rsid w:val="00A1076A"/>
    <w:rsid w:val="00A13C00"/>
    <w:rsid w:val="00A251D8"/>
    <w:rsid w:val="00A557C2"/>
    <w:rsid w:val="00A746B9"/>
    <w:rsid w:val="00AA2A8E"/>
    <w:rsid w:val="00AA2FA3"/>
    <w:rsid w:val="00AB31F8"/>
    <w:rsid w:val="00AB5DEB"/>
    <w:rsid w:val="00AC4904"/>
    <w:rsid w:val="00AE6A39"/>
    <w:rsid w:val="00B04FA6"/>
    <w:rsid w:val="00B15033"/>
    <w:rsid w:val="00B6041C"/>
    <w:rsid w:val="00B612CA"/>
    <w:rsid w:val="00B65875"/>
    <w:rsid w:val="00B66E4E"/>
    <w:rsid w:val="00B74E71"/>
    <w:rsid w:val="00BA409A"/>
    <w:rsid w:val="00BB02CA"/>
    <w:rsid w:val="00BB06EA"/>
    <w:rsid w:val="00BC0363"/>
    <w:rsid w:val="00BC0F39"/>
    <w:rsid w:val="00BF7DFB"/>
    <w:rsid w:val="00C42776"/>
    <w:rsid w:val="00C439A5"/>
    <w:rsid w:val="00C45D64"/>
    <w:rsid w:val="00C50A82"/>
    <w:rsid w:val="00C723A5"/>
    <w:rsid w:val="00C76B2D"/>
    <w:rsid w:val="00C77DCF"/>
    <w:rsid w:val="00C81219"/>
    <w:rsid w:val="00C9331B"/>
    <w:rsid w:val="00CB1484"/>
    <w:rsid w:val="00CD0E44"/>
    <w:rsid w:val="00D226C8"/>
    <w:rsid w:val="00D4096F"/>
    <w:rsid w:val="00D44065"/>
    <w:rsid w:val="00D478E9"/>
    <w:rsid w:val="00D71752"/>
    <w:rsid w:val="00D724BA"/>
    <w:rsid w:val="00D95A6F"/>
    <w:rsid w:val="00D9686A"/>
    <w:rsid w:val="00DB5C17"/>
    <w:rsid w:val="00DC13DF"/>
    <w:rsid w:val="00DC1A38"/>
    <w:rsid w:val="00DC65C3"/>
    <w:rsid w:val="00DD6849"/>
    <w:rsid w:val="00DF755F"/>
    <w:rsid w:val="00E05714"/>
    <w:rsid w:val="00E128A8"/>
    <w:rsid w:val="00E20317"/>
    <w:rsid w:val="00E6220C"/>
    <w:rsid w:val="00E67365"/>
    <w:rsid w:val="00E67C82"/>
    <w:rsid w:val="00E727CD"/>
    <w:rsid w:val="00E9479C"/>
    <w:rsid w:val="00EB7E18"/>
    <w:rsid w:val="00EC5C3D"/>
    <w:rsid w:val="00ED5649"/>
    <w:rsid w:val="00EE2FFF"/>
    <w:rsid w:val="00EE67F6"/>
    <w:rsid w:val="00EF6BA0"/>
    <w:rsid w:val="00F34BE9"/>
    <w:rsid w:val="00F36658"/>
    <w:rsid w:val="00F37AA4"/>
    <w:rsid w:val="00F70067"/>
    <w:rsid w:val="00F75685"/>
    <w:rsid w:val="00F76312"/>
    <w:rsid w:val="00F85866"/>
    <w:rsid w:val="00FA0D48"/>
    <w:rsid w:val="00FB75D4"/>
    <w:rsid w:val="00FF11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784"/>
    <w:rPr>
      <w:sz w:val="24"/>
      <w:szCs w:val="24"/>
      <w:lang w:eastAsia="en-US"/>
    </w:rPr>
  </w:style>
  <w:style w:type="paragraph" w:styleId="Heading1">
    <w:name w:val="heading 1"/>
    <w:aliases w:val="h1,header 1"/>
    <w:next w:val="CommentText"/>
    <w:qFormat/>
    <w:rsid w:val="00566784"/>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566784"/>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566784"/>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566784"/>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566784"/>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566784"/>
    <w:pPr>
      <w:jc w:val="center"/>
    </w:pPr>
    <w:rPr>
      <w:i/>
      <w:iCs/>
    </w:rPr>
  </w:style>
  <w:style w:type="paragraph" w:customStyle="1" w:styleId="BodyTextcentred">
    <w:name w:val="Body Text centred"/>
    <w:basedOn w:val="BodyText"/>
    <w:rsid w:val="00566784"/>
    <w:pPr>
      <w:jc w:val="center"/>
    </w:pPr>
  </w:style>
  <w:style w:type="paragraph" w:customStyle="1" w:styleId="Subsubpara">
    <w:name w:val="Sub sub para"/>
    <w:basedOn w:val="Normal"/>
    <w:rsid w:val="00566784"/>
    <w:pPr>
      <w:numPr>
        <w:numId w:val="3"/>
      </w:numPr>
      <w:tabs>
        <w:tab w:val="left" w:pos="540"/>
      </w:tabs>
      <w:spacing w:before="100" w:line="300" w:lineRule="exact"/>
    </w:pPr>
  </w:style>
  <w:style w:type="paragraph" w:customStyle="1" w:styleId="Subpara">
    <w:name w:val="Sub para"/>
    <w:basedOn w:val="BodyText"/>
    <w:link w:val="SubparaChar"/>
    <w:rsid w:val="00566784"/>
    <w:pPr>
      <w:tabs>
        <w:tab w:val="clear" w:pos="567"/>
        <w:tab w:val="clear" w:pos="680"/>
      </w:tabs>
      <w:spacing w:before="100"/>
    </w:pPr>
  </w:style>
  <w:style w:type="paragraph" w:styleId="CommentText">
    <w:name w:val="annotation text"/>
    <w:basedOn w:val="Normal"/>
    <w:link w:val="CommentTextChar"/>
    <w:semiHidden/>
    <w:rsid w:val="00566784"/>
    <w:rPr>
      <w:sz w:val="20"/>
      <w:szCs w:val="20"/>
    </w:rPr>
  </w:style>
  <w:style w:type="character" w:styleId="CommentReference">
    <w:name w:val="annotation reference"/>
    <w:basedOn w:val="DefaultParagraphFont"/>
    <w:uiPriority w:val="99"/>
    <w:semiHidden/>
    <w:unhideWhenUsed/>
    <w:rsid w:val="00F37AA4"/>
    <w:rPr>
      <w:sz w:val="16"/>
      <w:szCs w:val="16"/>
    </w:rPr>
  </w:style>
  <w:style w:type="paragraph" w:styleId="CommentSubject">
    <w:name w:val="annotation subject"/>
    <w:basedOn w:val="CommentText"/>
    <w:next w:val="CommentText"/>
    <w:link w:val="CommentSubjectChar"/>
    <w:uiPriority w:val="99"/>
    <w:semiHidden/>
    <w:unhideWhenUsed/>
    <w:rsid w:val="00F37AA4"/>
    <w:rPr>
      <w:b/>
      <w:bCs/>
    </w:rPr>
  </w:style>
  <w:style w:type="character" w:customStyle="1" w:styleId="CommentTextChar">
    <w:name w:val="Comment Text Char"/>
    <w:basedOn w:val="DefaultParagraphFont"/>
    <w:link w:val="CommentText"/>
    <w:semiHidden/>
    <w:rsid w:val="00F37AA4"/>
    <w:rPr>
      <w:lang w:eastAsia="en-US"/>
    </w:rPr>
  </w:style>
  <w:style w:type="character" w:customStyle="1" w:styleId="CommentSubjectChar">
    <w:name w:val="Comment Subject Char"/>
    <w:basedOn w:val="CommentTextChar"/>
    <w:link w:val="CommentSubject"/>
    <w:rsid w:val="00F37AA4"/>
    <w:rPr>
      <w:lang w:eastAsia="en-US"/>
    </w:rPr>
  </w:style>
  <w:style w:type="paragraph" w:styleId="BalloonText">
    <w:name w:val="Balloon Text"/>
    <w:basedOn w:val="Normal"/>
    <w:link w:val="BalloonTextChar"/>
    <w:uiPriority w:val="99"/>
    <w:semiHidden/>
    <w:unhideWhenUsed/>
    <w:rsid w:val="00F37AA4"/>
    <w:rPr>
      <w:rFonts w:ascii="Tahoma" w:hAnsi="Tahoma" w:cs="Tahoma"/>
      <w:sz w:val="16"/>
      <w:szCs w:val="16"/>
    </w:rPr>
  </w:style>
  <w:style w:type="character" w:customStyle="1" w:styleId="BalloonTextChar">
    <w:name w:val="Balloon Text Char"/>
    <w:basedOn w:val="DefaultParagraphFont"/>
    <w:link w:val="BalloonText"/>
    <w:uiPriority w:val="99"/>
    <w:semiHidden/>
    <w:rsid w:val="00F37AA4"/>
    <w:rPr>
      <w:rFonts w:ascii="Tahoma" w:hAnsi="Tahoma" w:cs="Tahoma"/>
      <w:sz w:val="16"/>
      <w:szCs w:val="16"/>
      <w:lang w:eastAsia="en-US"/>
    </w:rPr>
  </w:style>
  <w:style w:type="paragraph" w:styleId="Revision">
    <w:name w:val="Revision"/>
    <w:hidden/>
    <w:uiPriority w:val="99"/>
    <w:semiHidden/>
    <w:rsid w:val="002E43F4"/>
    <w:rPr>
      <w:sz w:val="24"/>
      <w:szCs w:val="24"/>
      <w:lang w:eastAsia="en-US"/>
    </w:rPr>
  </w:style>
  <w:style w:type="paragraph" w:styleId="Header">
    <w:name w:val="header"/>
    <w:basedOn w:val="Normal"/>
    <w:link w:val="HeaderChar"/>
    <w:uiPriority w:val="99"/>
    <w:unhideWhenUsed/>
    <w:rsid w:val="00C81219"/>
    <w:pPr>
      <w:tabs>
        <w:tab w:val="center" w:pos="4513"/>
        <w:tab w:val="right" w:pos="9026"/>
      </w:tabs>
    </w:pPr>
  </w:style>
  <w:style w:type="character" w:customStyle="1" w:styleId="HeaderChar">
    <w:name w:val="Header Char"/>
    <w:basedOn w:val="DefaultParagraphFont"/>
    <w:link w:val="Header"/>
    <w:uiPriority w:val="99"/>
    <w:rsid w:val="00C81219"/>
    <w:rPr>
      <w:sz w:val="24"/>
      <w:szCs w:val="24"/>
      <w:lang w:eastAsia="en-US"/>
    </w:rPr>
  </w:style>
  <w:style w:type="paragraph" w:styleId="Footer">
    <w:name w:val="footer"/>
    <w:basedOn w:val="Normal"/>
    <w:link w:val="FooterChar"/>
    <w:uiPriority w:val="99"/>
    <w:unhideWhenUsed/>
    <w:rsid w:val="00C81219"/>
    <w:pPr>
      <w:tabs>
        <w:tab w:val="center" w:pos="4513"/>
        <w:tab w:val="right" w:pos="9026"/>
      </w:tabs>
    </w:pPr>
  </w:style>
  <w:style w:type="character" w:customStyle="1" w:styleId="FooterChar">
    <w:name w:val="Footer Char"/>
    <w:basedOn w:val="DefaultParagraphFont"/>
    <w:link w:val="Footer"/>
    <w:uiPriority w:val="99"/>
    <w:rsid w:val="00C81219"/>
    <w:rPr>
      <w:sz w:val="24"/>
      <w:szCs w:val="24"/>
      <w:lang w:eastAsia="en-US"/>
    </w:rPr>
  </w:style>
  <w:style w:type="paragraph" w:styleId="FootnoteText">
    <w:name w:val="footnote text"/>
    <w:basedOn w:val="Normal"/>
    <w:link w:val="FootnoteTextChar"/>
    <w:uiPriority w:val="99"/>
    <w:semiHidden/>
    <w:unhideWhenUsed/>
    <w:rsid w:val="00D71752"/>
    <w:rPr>
      <w:rFonts w:asciiTheme="minorHAnsi" w:eastAsiaTheme="minorEastAsia" w:hAnsiTheme="minorHAnsi" w:cstheme="minorBidi"/>
      <w:sz w:val="20"/>
      <w:szCs w:val="20"/>
      <w:lang w:eastAsia="en-AU"/>
    </w:rPr>
  </w:style>
  <w:style w:type="character" w:customStyle="1" w:styleId="FootnoteTextChar">
    <w:name w:val="Footnote Text Char"/>
    <w:basedOn w:val="DefaultParagraphFont"/>
    <w:link w:val="FootnoteText"/>
    <w:uiPriority w:val="99"/>
    <w:semiHidden/>
    <w:rsid w:val="00D71752"/>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D71752"/>
    <w:rPr>
      <w:vertAlign w:val="superscript"/>
    </w:rPr>
  </w:style>
  <w:style w:type="paragraph" w:customStyle="1" w:styleId="Style1">
    <w:name w:val="Style1"/>
    <w:basedOn w:val="Subpara"/>
    <w:link w:val="Style1Char"/>
    <w:qFormat/>
    <w:rsid w:val="003750DF"/>
    <w:pPr>
      <w:ind w:left="1418" w:hanging="709"/>
    </w:pPr>
  </w:style>
  <w:style w:type="paragraph" w:styleId="ListParagraph">
    <w:name w:val="List Paragraph"/>
    <w:basedOn w:val="Normal"/>
    <w:uiPriority w:val="34"/>
    <w:qFormat/>
    <w:rsid w:val="003750DF"/>
    <w:pPr>
      <w:ind w:left="720"/>
      <w:contextualSpacing/>
    </w:pPr>
  </w:style>
  <w:style w:type="character" w:customStyle="1" w:styleId="BodyTextChar">
    <w:name w:val="Body Text Char"/>
    <w:basedOn w:val="DefaultParagraphFont"/>
    <w:link w:val="BodyText"/>
    <w:semiHidden/>
    <w:rsid w:val="003750DF"/>
    <w:rPr>
      <w:sz w:val="24"/>
      <w:lang w:eastAsia="en-US"/>
    </w:rPr>
  </w:style>
  <w:style w:type="character" w:customStyle="1" w:styleId="SubparaChar">
    <w:name w:val="Sub para Char"/>
    <w:basedOn w:val="BodyTextChar"/>
    <w:link w:val="Subpara"/>
    <w:rsid w:val="003750DF"/>
    <w:rPr>
      <w:sz w:val="24"/>
      <w:lang w:eastAsia="en-US"/>
    </w:rPr>
  </w:style>
  <w:style w:type="character" w:customStyle="1" w:styleId="Style1Char">
    <w:name w:val="Style1 Char"/>
    <w:basedOn w:val="SubparaChar"/>
    <w:link w:val="Style1"/>
    <w:rsid w:val="003750DF"/>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784"/>
    <w:rPr>
      <w:sz w:val="24"/>
      <w:szCs w:val="24"/>
      <w:lang w:eastAsia="en-US"/>
    </w:rPr>
  </w:style>
  <w:style w:type="paragraph" w:styleId="Heading1">
    <w:name w:val="heading 1"/>
    <w:aliases w:val="h1,header 1"/>
    <w:next w:val="CommentText"/>
    <w:qFormat/>
    <w:rsid w:val="00566784"/>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566784"/>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566784"/>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566784"/>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566784"/>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566784"/>
    <w:pPr>
      <w:jc w:val="center"/>
    </w:pPr>
    <w:rPr>
      <w:i/>
      <w:iCs/>
    </w:rPr>
  </w:style>
  <w:style w:type="paragraph" w:customStyle="1" w:styleId="BodyTextcentred">
    <w:name w:val="Body Text centred"/>
    <w:basedOn w:val="BodyText"/>
    <w:rsid w:val="00566784"/>
    <w:pPr>
      <w:jc w:val="center"/>
    </w:pPr>
  </w:style>
  <w:style w:type="paragraph" w:customStyle="1" w:styleId="Subsubpara">
    <w:name w:val="Sub sub para"/>
    <w:basedOn w:val="Normal"/>
    <w:rsid w:val="00566784"/>
    <w:pPr>
      <w:numPr>
        <w:numId w:val="3"/>
      </w:numPr>
      <w:tabs>
        <w:tab w:val="left" w:pos="540"/>
      </w:tabs>
      <w:spacing w:before="100" w:line="300" w:lineRule="exact"/>
    </w:pPr>
  </w:style>
  <w:style w:type="paragraph" w:customStyle="1" w:styleId="Subpara">
    <w:name w:val="Sub para"/>
    <w:basedOn w:val="BodyText"/>
    <w:link w:val="SubparaChar"/>
    <w:rsid w:val="00566784"/>
    <w:pPr>
      <w:tabs>
        <w:tab w:val="clear" w:pos="567"/>
        <w:tab w:val="clear" w:pos="680"/>
      </w:tabs>
      <w:spacing w:before="100"/>
    </w:pPr>
  </w:style>
  <w:style w:type="paragraph" w:styleId="CommentText">
    <w:name w:val="annotation text"/>
    <w:basedOn w:val="Normal"/>
    <w:link w:val="CommentTextChar"/>
    <w:semiHidden/>
    <w:rsid w:val="00566784"/>
    <w:rPr>
      <w:sz w:val="20"/>
      <w:szCs w:val="20"/>
    </w:rPr>
  </w:style>
  <w:style w:type="character" w:styleId="CommentReference">
    <w:name w:val="annotation reference"/>
    <w:basedOn w:val="DefaultParagraphFont"/>
    <w:uiPriority w:val="99"/>
    <w:semiHidden/>
    <w:unhideWhenUsed/>
    <w:rsid w:val="00F37AA4"/>
    <w:rPr>
      <w:sz w:val="16"/>
      <w:szCs w:val="16"/>
    </w:rPr>
  </w:style>
  <w:style w:type="paragraph" w:styleId="CommentSubject">
    <w:name w:val="annotation subject"/>
    <w:basedOn w:val="CommentText"/>
    <w:next w:val="CommentText"/>
    <w:link w:val="CommentSubjectChar"/>
    <w:uiPriority w:val="99"/>
    <w:semiHidden/>
    <w:unhideWhenUsed/>
    <w:rsid w:val="00F37AA4"/>
    <w:rPr>
      <w:b/>
      <w:bCs/>
    </w:rPr>
  </w:style>
  <w:style w:type="character" w:customStyle="1" w:styleId="CommentTextChar">
    <w:name w:val="Comment Text Char"/>
    <w:basedOn w:val="DefaultParagraphFont"/>
    <w:link w:val="CommentText"/>
    <w:semiHidden/>
    <w:rsid w:val="00F37AA4"/>
    <w:rPr>
      <w:lang w:eastAsia="en-US"/>
    </w:rPr>
  </w:style>
  <w:style w:type="character" w:customStyle="1" w:styleId="CommentSubjectChar">
    <w:name w:val="Comment Subject Char"/>
    <w:basedOn w:val="CommentTextChar"/>
    <w:link w:val="CommentSubject"/>
    <w:rsid w:val="00F37AA4"/>
    <w:rPr>
      <w:lang w:eastAsia="en-US"/>
    </w:rPr>
  </w:style>
  <w:style w:type="paragraph" w:styleId="BalloonText">
    <w:name w:val="Balloon Text"/>
    <w:basedOn w:val="Normal"/>
    <w:link w:val="BalloonTextChar"/>
    <w:uiPriority w:val="99"/>
    <w:semiHidden/>
    <w:unhideWhenUsed/>
    <w:rsid w:val="00F37AA4"/>
    <w:rPr>
      <w:rFonts w:ascii="Tahoma" w:hAnsi="Tahoma" w:cs="Tahoma"/>
      <w:sz w:val="16"/>
      <w:szCs w:val="16"/>
    </w:rPr>
  </w:style>
  <w:style w:type="character" w:customStyle="1" w:styleId="BalloonTextChar">
    <w:name w:val="Balloon Text Char"/>
    <w:basedOn w:val="DefaultParagraphFont"/>
    <w:link w:val="BalloonText"/>
    <w:uiPriority w:val="99"/>
    <w:semiHidden/>
    <w:rsid w:val="00F37AA4"/>
    <w:rPr>
      <w:rFonts w:ascii="Tahoma" w:hAnsi="Tahoma" w:cs="Tahoma"/>
      <w:sz w:val="16"/>
      <w:szCs w:val="16"/>
      <w:lang w:eastAsia="en-US"/>
    </w:rPr>
  </w:style>
  <w:style w:type="paragraph" w:styleId="Revision">
    <w:name w:val="Revision"/>
    <w:hidden/>
    <w:uiPriority w:val="99"/>
    <w:semiHidden/>
    <w:rsid w:val="002E43F4"/>
    <w:rPr>
      <w:sz w:val="24"/>
      <w:szCs w:val="24"/>
      <w:lang w:eastAsia="en-US"/>
    </w:rPr>
  </w:style>
  <w:style w:type="paragraph" w:styleId="Header">
    <w:name w:val="header"/>
    <w:basedOn w:val="Normal"/>
    <w:link w:val="HeaderChar"/>
    <w:uiPriority w:val="99"/>
    <w:unhideWhenUsed/>
    <w:rsid w:val="00C81219"/>
    <w:pPr>
      <w:tabs>
        <w:tab w:val="center" w:pos="4513"/>
        <w:tab w:val="right" w:pos="9026"/>
      </w:tabs>
    </w:pPr>
  </w:style>
  <w:style w:type="character" w:customStyle="1" w:styleId="HeaderChar">
    <w:name w:val="Header Char"/>
    <w:basedOn w:val="DefaultParagraphFont"/>
    <w:link w:val="Header"/>
    <w:uiPriority w:val="99"/>
    <w:rsid w:val="00C81219"/>
    <w:rPr>
      <w:sz w:val="24"/>
      <w:szCs w:val="24"/>
      <w:lang w:eastAsia="en-US"/>
    </w:rPr>
  </w:style>
  <w:style w:type="paragraph" w:styleId="Footer">
    <w:name w:val="footer"/>
    <w:basedOn w:val="Normal"/>
    <w:link w:val="FooterChar"/>
    <w:uiPriority w:val="99"/>
    <w:unhideWhenUsed/>
    <w:rsid w:val="00C81219"/>
    <w:pPr>
      <w:tabs>
        <w:tab w:val="center" w:pos="4513"/>
        <w:tab w:val="right" w:pos="9026"/>
      </w:tabs>
    </w:pPr>
  </w:style>
  <w:style w:type="character" w:customStyle="1" w:styleId="FooterChar">
    <w:name w:val="Footer Char"/>
    <w:basedOn w:val="DefaultParagraphFont"/>
    <w:link w:val="Footer"/>
    <w:uiPriority w:val="99"/>
    <w:rsid w:val="00C81219"/>
    <w:rPr>
      <w:sz w:val="24"/>
      <w:szCs w:val="24"/>
      <w:lang w:eastAsia="en-US"/>
    </w:rPr>
  </w:style>
  <w:style w:type="paragraph" w:styleId="FootnoteText">
    <w:name w:val="footnote text"/>
    <w:basedOn w:val="Normal"/>
    <w:link w:val="FootnoteTextChar"/>
    <w:uiPriority w:val="99"/>
    <w:semiHidden/>
    <w:unhideWhenUsed/>
    <w:rsid w:val="00D71752"/>
    <w:rPr>
      <w:rFonts w:asciiTheme="minorHAnsi" w:eastAsiaTheme="minorEastAsia" w:hAnsiTheme="minorHAnsi" w:cstheme="minorBidi"/>
      <w:sz w:val="20"/>
      <w:szCs w:val="20"/>
      <w:lang w:eastAsia="en-AU"/>
    </w:rPr>
  </w:style>
  <w:style w:type="character" w:customStyle="1" w:styleId="FootnoteTextChar">
    <w:name w:val="Footnote Text Char"/>
    <w:basedOn w:val="DefaultParagraphFont"/>
    <w:link w:val="FootnoteText"/>
    <w:uiPriority w:val="99"/>
    <w:semiHidden/>
    <w:rsid w:val="00D71752"/>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D71752"/>
    <w:rPr>
      <w:vertAlign w:val="superscript"/>
    </w:rPr>
  </w:style>
  <w:style w:type="paragraph" w:customStyle="1" w:styleId="Style1">
    <w:name w:val="Style1"/>
    <w:basedOn w:val="Subpara"/>
    <w:link w:val="Style1Char"/>
    <w:qFormat/>
    <w:rsid w:val="003750DF"/>
    <w:pPr>
      <w:ind w:left="1418" w:hanging="709"/>
    </w:pPr>
  </w:style>
  <w:style w:type="paragraph" w:styleId="ListParagraph">
    <w:name w:val="List Paragraph"/>
    <w:basedOn w:val="Normal"/>
    <w:uiPriority w:val="34"/>
    <w:qFormat/>
    <w:rsid w:val="003750DF"/>
    <w:pPr>
      <w:ind w:left="720"/>
      <w:contextualSpacing/>
    </w:pPr>
  </w:style>
  <w:style w:type="character" w:customStyle="1" w:styleId="BodyTextChar">
    <w:name w:val="Body Text Char"/>
    <w:basedOn w:val="DefaultParagraphFont"/>
    <w:link w:val="BodyText"/>
    <w:semiHidden/>
    <w:rsid w:val="003750DF"/>
    <w:rPr>
      <w:sz w:val="24"/>
      <w:lang w:eastAsia="en-US"/>
    </w:rPr>
  </w:style>
  <w:style w:type="character" w:customStyle="1" w:styleId="SubparaChar">
    <w:name w:val="Sub para Char"/>
    <w:basedOn w:val="BodyTextChar"/>
    <w:link w:val="Subpara"/>
    <w:rsid w:val="003750DF"/>
    <w:rPr>
      <w:sz w:val="24"/>
      <w:lang w:eastAsia="en-US"/>
    </w:rPr>
  </w:style>
  <w:style w:type="character" w:customStyle="1" w:styleId="Style1Char">
    <w:name w:val="Style1 Char"/>
    <w:basedOn w:val="SubparaChar"/>
    <w:link w:val="Style1"/>
    <w:rsid w:val="003750D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256674">
      <w:bodyDiv w:val="1"/>
      <w:marLeft w:val="0"/>
      <w:marRight w:val="0"/>
      <w:marTop w:val="0"/>
      <w:marBottom w:val="0"/>
      <w:divBdr>
        <w:top w:val="none" w:sz="0" w:space="0" w:color="auto"/>
        <w:left w:val="none" w:sz="0" w:space="0" w:color="auto"/>
        <w:bottom w:val="none" w:sz="0" w:space="0" w:color="auto"/>
        <w:right w:val="none" w:sz="0" w:space="0" w:color="auto"/>
      </w:divBdr>
      <w:divsChild>
        <w:div w:id="269238725">
          <w:marLeft w:val="0"/>
          <w:marRight w:val="0"/>
          <w:marTop w:val="0"/>
          <w:marBottom w:val="0"/>
          <w:divBdr>
            <w:top w:val="none" w:sz="0" w:space="0" w:color="auto"/>
            <w:left w:val="none" w:sz="0" w:space="0" w:color="auto"/>
            <w:bottom w:val="none" w:sz="0" w:space="0" w:color="auto"/>
            <w:right w:val="none" w:sz="0" w:space="0" w:color="auto"/>
          </w:divBdr>
          <w:divsChild>
            <w:div w:id="2018849512">
              <w:marLeft w:val="0"/>
              <w:marRight w:val="0"/>
              <w:marTop w:val="0"/>
              <w:marBottom w:val="0"/>
              <w:divBdr>
                <w:top w:val="none" w:sz="0" w:space="0" w:color="auto"/>
                <w:left w:val="none" w:sz="0" w:space="0" w:color="auto"/>
                <w:bottom w:val="none" w:sz="0" w:space="0" w:color="auto"/>
                <w:right w:val="none" w:sz="0" w:space="0" w:color="auto"/>
              </w:divBdr>
              <w:divsChild>
                <w:div w:id="886720490">
                  <w:marLeft w:val="0"/>
                  <w:marRight w:val="0"/>
                  <w:marTop w:val="0"/>
                  <w:marBottom w:val="0"/>
                  <w:divBdr>
                    <w:top w:val="none" w:sz="0" w:space="0" w:color="auto"/>
                    <w:left w:val="none" w:sz="0" w:space="0" w:color="auto"/>
                    <w:bottom w:val="none" w:sz="0" w:space="0" w:color="auto"/>
                    <w:right w:val="none" w:sz="0" w:space="0" w:color="auto"/>
                  </w:divBdr>
                  <w:divsChild>
                    <w:div w:id="1599217044">
                      <w:marLeft w:val="0"/>
                      <w:marRight w:val="0"/>
                      <w:marTop w:val="0"/>
                      <w:marBottom w:val="0"/>
                      <w:divBdr>
                        <w:top w:val="none" w:sz="0" w:space="0" w:color="auto"/>
                        <w:left w:val="none" w:sz="0" w:space="0" w:color="auto"/>
                        <w:bottom w:val="none" w:sz="0" w:space="0" w:color="auto"/>
                        <w:right w:val="none" w:sz="0" w:space="0" w:color="auto"/>
                      </w:divBdr>
                      <w:divsChild>
                        <w:div w:id="129178094">
                          <w:marLeft w:val="0"/>
                          <w:marRight w:val="0"/>
                          <w:marTop w:val="0"/>
                          <w:marBottom w:val="0"/>
                          <w:divBdr>
                            <w:top w:val="single" w:sz="6" w:space="0" w:color="828282"/>
                            <w:left w:val="single" w:sz="6" w:space="0" w:color="828282"/>
                            <w:bottom w:val="single" w:sz="6" w:space="0" w:color="828282"/>
                            <w:right w:val="single" w:sz="6" w:space="0" w:color="828282"/>
                          </w:divBdr>
                          <w:divsChild>
                            <w:div w:id="108550270">
                              <w:marLeft w:val="0"/>
                              <w:marRight w:val="0"/>
                              <w:marTop w:val="0"/>
                              <w:marBottom w:val="0"/>
                              <w:divBdr>
                                <w:top w:val="none" w:sz="0" w:space="0" w:color="auto"/>
                                <w:left w:val="none" w:sz="0" w:space="0" w:color="auto"/>
                                <w:bottom w:val="none" w:sz="0" w:space="0" w:color="auto"/>
                                <w:right w:val="none" w:sz="0" w:space="0" w:color="auto"/>
                              </w:divBdr>
                              <w:divsChild>
                                <w:div w:id="1205604793">
                                  <w:marLeft w:val="0"/>
                                  <w:marRight w:val="0"/>
                                  <w:marTop w:val="0"/>
                                  <w:marBottom w:val="0"/>
                                  <w:divBdr>
                                    <w:top w:val="none" w:sz="0" w:space="0" w:color="auto"/>
                                    <w:left w:val="none" w:sz="0" w:space="0" w:color="auto"/>
                                    <w:bottom w:val="none" w:sz="0" w:space="0" w:color="auto"/>
                                    <w:right w:val="none" w:sz="0" w:space="0" w:color="auto"/>
                                  </w:divBdr>
                                  <w:divsChild>
                                    <w:div w:id="718668705">
                                      <w:marLeft w:val="0"/>
                                      <w:marRight w:val="0"/>
                                      <w:marTop w:val="0"/>
                                      <w:marBottom w:val="0"/>
                                      <w:divBdr>
                                        <w:top w:val="none" w:sz="0" w:space="0" w:color="auto"/>
                                        <w:left w:val="none" w:sz="0" w:space="0" w:color="auto"/>
                                        <w:bottom w:val="none" w:sz="0" w:space="0" w:color="auto"/>
                                        <w:right w:val="none" w:sz="0" w:space="0" w:color="auto"/>
                                      </w:divBdr>
                                      <w:divsChild>
                                        <w:div w:id="395713873">
                                          <w:marLeft w:val="0"/>
                                          <w:marRight w:val="0"/>
                                          <w:marTop w:val="0"/>
                                          <w:marBottom w:val="0"/>
                                          <w:divBdr>
                                            <w:top w:val="none" w:sz="0" w:space="0" w:color="auto"/>
                                            <w:left w:val="none" w:sz="0" w:space="0" w:color="auto"/>
                                            <w:bottom w:val="none" w:sz="0" w:space="0" w:color="auto"/>
                                            <w:right w:val="none" w:sz="0" w:space="0" w:color="auto"/>
                                          </w:divBdr>
                                          <w:divsChild>
                                            <w:div w:id="439644482">
                                              <w:marLeft w:val="0"/>
                                              <w:marRight w:val="0"/>
                                              <w:marTop w:val="0"/>
                                              <w:marBottom w:val="0"/>
                                              <w:divBdr>
                                                <w:top w:val="none" w:sz="0" w:space="0" w:color="auto"/>
                                                <w:left w:val="none" w:sz="0" w:space="0" w:color="auto"/>
                                                <w:bottom w:val="none" w:sz="0" w:space="0" w:color="auto"/>
                                                <w:right w:val="none" w:sz="0" w:space="0" w:color="auto"/>
                                              </w:divBdr>
                                              <w:divsChild>
                                                <w:div w:id="1940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CE2A-AB4F-4768-9F1C-44D892FE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Helen.Yu</dc:creator>
  <cp:lastModifiedBy>geoffrey.leveritt</cp:lastModifiedBy>
  <cp:revision>6</cp:revision>
  <cp:lastPrinted>2014-09-01T00:22:00Z</cp:lastPrinted>
  <dcterms:created xsi:type="dcterms:W3CDTF">2014-09-04T06:09:00Z</dcterms:created>
  <dcterms:modified xsi:type="dcterms:W3CDTF">2014-11-06T21:56:00Z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B831404</vt:lpwstr>
  </property>
  <property fmtid="{D5CDD505-2E9C-101B-9397-08002B2CF9AE}" pid="4" name="Objective-Title">
    <vt:lpwstr>Class Order CO 14-870 Explanatory Statement</vt:lpwstr>
  </property>
  <property fmtid="{D5CDD505-2E9C-101B-9397-08002B2CF9AE}" pid="5" name="Objective-Comment">
    <vt:lpwstr>
    </vt:lpwstr>
  </property>
  <property fmtid="{D5CDD505-2E9C-101B-9397-08002B2CF9AE}" pid="6" name="Objective-CreationStamp">
    <vt:filetime>2014-08-29T02:42:32Z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2014-11-06T21:56:04Z</vt:filetime>
  </property>
  <property fmtid="{D5CDD505-2E9C-101B-9397-08002B2CF9AE}" pid="10" name="Objective-ModificationStamp">
    <vt:filetime>2014-11-06T21:56:05Z</vt:filetime>
  </property>
  <property fmtid="{D5CDD505-2E9C-101B-9397-08002B2CF9AE}" pid="11" name="Objective-Owner">
    <vt:lpwstr>Geoffrey Leveritt</vt:lpwstr>
  </property>
  <property fmtid="{D5CDD505-2E9C-101B-9397-08002B2CF9AE}" pid="12" name="Objective-Path">
    <vt:lpwstr>ASIC BCS:POLICY &amp; REGULATORY FRAMEWORK:Policy Development:Financial Services Regulation (FSR):RG 229 Superannuation Forecasts - update 2013:Class Order:</vt:lpwstr>
  </property>
  <property fmtid="{D5CDD505-2E9C-101B-9397-08002B2CF9AE}" pid="13" name="Objective-Parent">
    <vt:lpwstr>Class Order</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i4>9</vt:i4>
  </property>
  <property fmtid="{D5CDD505-2E9C-101B-9397-08002B2CF9AE}" pid="17" name="Objective-VersionComment">
    <vt:lpwstr>
    </vt:lpwstr>
  </property>
  <property fmtid="{D5CDD505-2E9C-101B-9397-08002B2CF9AE}" pid="18" name="Objective-FileNumber">
    <vt:lpwstr>2013 - 000043</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