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HAnsi" w:hAnsi="Times New Roman" w:cstheme="minorBidi"/>
          <w:b w:val="0"/>
          <w:sz w:val="22"/>
          <w:szCs w:val="22"/>
          <w:u w:val="single"/>
        </w:rPr>
        <w:id w:val="962787086"/>
        <w:lock w:val="contentLocked"/>
        <w:placeholder>
          <w:docPart w:val="DA9DED7D7B2E40A999B4868A4627C7F8"/>
        </w:placeholder>
        <w:group/>
      </w:sdtPr>
      <w:sdtEndPr>
        <w:rPr>
          <w:rFonts w:eastAsiaTheme="minorEastAsia"/>
          <w:szCs w:val="24"/>
          <w:u w:val="none"/>
        </w:rPr>
      </w:sdtEndPr>
      <w:sdtContent>
        <w:p w:rsidR="0059269C" w:rsidRPr="00096B91" w:rsidRDefault="0059269C" w:rsidP="00962FB7">
          <w:pPr>
            <w:pStyle w:val="Title"/>
            <w:rPr>
              <w:rFonts w:ascii="Times New Roman" w:hAnsi="Times New Roman"/>
              <w:u w:val="single"/>
            </w:rPr>
          </w:pPr>
          <w:r w:rsidRPr="00096B91">
            <w:rPr>
              <w:rFonts w:ascii="Times New Roman" w:hAnsi="Times New Roman"/>
              <w:u w:val="single"/>
            </w:rPr>
            <w:t>EXPLANATORY STATEMENT</w:t>
          </w:r>
        </w:p>
        <w:p w:rsidR="0059269C" w:rsidRPr="00096B91" w:rsidRDefault="004E0AAF" w:rsidP="00962FB7">
          <w:pPr>
            <w:jc w:val="center"/>
            <w:rPr>
              <w:rFonts w:ascii="Times New Roman" w:hAnsi="Times New Roman" w:cs="Times New Roman"/>
              <w:sz w:val="24"/>
            </w:rPr>
          </w:pPr>
        </w:p>
      </w:sdtContent>
    </w:sdt>
    <w:p w:rsidR="0059269C" w:rsidRPr="00D408C1" w:rsidRDefault="0059269C" w:rsidP="00962FB7">
      <w:pPr>
        <w:pStyle w:val="Title"/>
        <w:rPr>
          <w:rFonts w:ascii="Times New Roman" w:hAnsi="Times New Roman"/>
          <w:b w:val="0"/>
          <w:sz w:val="16"/>
          <w:szCs w:val="16"/>
        </w:rPr>
      </w:pPr>
      <w:r w:rsidRPr="00826F5E">
        <w:rPr>
          <w:rFonts w:ascii="Times New Roman" w:hAnsi="Times New Roman"/>
          <w:u w:val="single"/>
        </w:rPr>
        <w:t>SE</w:t>
      </w:r>
      <w:r>
        <w:rPr>
          <w:rFonts w:ascii="Times New Roman" w:hAnsi="Times New Roman"/>
          <w:u w:val="single"/>
        </w:rPr>
        <w:t xml:space="preserve">LECT LEGISLATIVE INSTRUMENT </w:t>
      </w:r>
      <w:r w:rsidRPr="001C7AB0">
        <w:rPr>
          <w:rFonts w:ascii="Times New Roman" w:hAnsi="Times New Roman"/>
          <w:u w:val="single"/>
        </w:rPr>
        <w:t>No</w:t>
      </w:r>
      <w:r>
        <w:rPr>
          <w:rFonts w:ascii="Times New Roman" w:hAnsi="Times New Roman"/>
          <w:u w:val="single"/>
        </w:rPr>
        <w:t>.</w:t>
      </w:r>
      <w:r w:rsidR="00C10953">
        <w:rPr>
          <w:rFonts w:ascii="Times New Roman" w:hAnsi="Times New Roman"/>
          <w:u w:val="single"/>
        </w:rPr>
        <w:t xml:space="preserve"> </w:t>
      </w:r>
      <w:r w:rsidR="00193ACE">
        <w:rPr>
          <w:rFonts w:ascii="Times New Roman" w:hAnsi="Times New Roman"/>
          <w:u w:val="single"/>
        </w:rPr>
        <w:t>172</w:t>
      </w:r>
      <w:r w:rsidR="00C10953">
        <w:rPr>
          <w:rFonts w:ascii="Times New Roman" w:hAnsi="Times New Roman"/>
          <w:u w:val="single"/>
        </w:rPr>
        <w:t>, 2014</w:t>
      </w:r>
    </w:p>
    <w:p w:rsidR="0059269C" w:rsidRPr="00454722" w:rsidRDefault="0059269C" w:rsidP="00962FB7">
      <w:pPr>
        <w:pStyle w:val="Title"/>
        <w:rPr>
          <w:rFonts w:ascii="Times New Roman" w:hAnsi="Times New Roman"/>
          <w:b w:val="0"/>
          <w:sz w:val="20"/>
          <w:szCs w:val="16"/>
          <w:u w:val="single"/>
        </w:rPr>
      </w:pPr>
    </w:p>
    <w:p w:rsidR="0059269C" w:rsidRPr="00193ACE" w:rsidRDefault="004E0AAF" w:rsidP="00962FB7">
      <w:pPr>
        <w:jc w:val="center"/>
        <w:rPr>
          <w:rFonts w:ascii="Times New Roman" w:hAnsi="Times New Roman" w:cs="Times New Roman"/>
          <w:sz w:val="24"/>
          <w:u w:val="single"/>
        </w:rPr>
      </w:pPr>
      <w:sdt>
        <w:sdtPr>
          <w:rPr>
            <w:rFonts w:ascii="Times New Roman" w:hAnsi="Times New Roman" w:cs="Times New Roman"/>
            <w:sz w:val="24"/>
            <w:u w:val="single"/>
          </w:rPr>
          <w:id w:val="962787087"/>
          <w:lock w:val="contentLocked"/>
          <w:placeholder>
            <w:docPart w:val="DA9DED7D7B2E40A999B4868A4627C7F8"/>
          </w:placeholder>
          <w:group/>
        </w:sdtPr>
        <w:sdtEndPr/>
        <w:sdtContent>
          <w:r w:rsidR="0059269C" w:rsidRPr="00096B91">
            <w:rPr>
              <w:rFonts w:ascii="Times New Roman" w:hAnsi="Times New Roman" w:cs="Times New Roman"/>
              <w:sz w:val="24"/>
              <w:u w:val="single"/>
            </w:rPr>
            <w:t>Issued by Authority of the</w:t>
          </w:r>
        </w:sdtContent>
      </w:sdt>
      <w:r w:rsidR="0059269C" w:rsidRPr="00096B91">
        <w:rPr>
          <w:rFonts w:ascii="Times New Roman" w:hAnsi="Times New Roman" w:cs="Times New Roman"/>
          <w:sz w:val="24"/>
          <w:u w:val="single"/>
        </w:rPr>
        <w:t xml:space="preserve"> </w:t>
      </w:r>
      <w:r w:rsidR="0059269C" w:rsidRPr="003C1A66">
        <w:rPr>
          <w:rFonts w:ascii="Times New Roman" w:hAnsi="Times New Roman" w:cs="Times New Roman"/>
          <w:sz w:val="24"/>
          <w:u w:val="single"/>
        </w:rPr>
        <w:t>Parliamentary Secretary to the Minister</w:t>
      </w:r>
      <w:r w:rsidR="0059269C" w:rsidRPr="005B759C">
        <w:rPr>
          <w:rFonts w:ascii="Times New Roman" w:hAnsi="Times New Roman" w:cs="Times New Roman"/>
          <w:color w:val="FF0000"/>
          <w:sz w:val="24"/>
          <w:u w:val="single"/>
        </w:rPr>
        <w:t xml:space="preserve"> </w:t>
      </w:r>
      <w:r w:rsidR="0059269C" w:rsidRPr="00096B91">
        <w:rPr>
          <w:rFonts w:ascii="Times New Roman" w:hAnsi="Times New Roman" w:cs="Times New Roman"/>
          <w:sz w:val="24"/>
          <w:u w:val="single"/>
        </w:rPr>
        <w:t>for Agric</w:t>
      </w:r>
      <w:r w:rsidR="0059269C" w:rsidRPr="00193ACE">
        <w:rPr>
          <w:rFonts w:ascii="Times New Roman" w:hAnsi="Times New Roman" w:cs="Times New Roman"/>
          <w:sz w:val="24"/>
          <w:u w:val="single"/>
        </w:rPr>
        <w:t xml:space="preserve">ulture </w:t>
      </w:r>
    </w:p>
    <w:p w:rsidR="0059269C" w:rsidRPr="00193ACE" w:rsidRDefault="0059269C" w:rsidP="00962FB7">
      <w:pPr>
        <w:jc w:val="center"/>
        <w:rPr>
          <w:rFonts w:ascii="Times New Roman" w:hAnsi="Times New Roman" w:cs="Times New Roman"/>
          <w:sz w:val="24"/>
        </w:rPr>
      </w:pPr>
    </w:p>
    <w:p w:rsidR="0059269C" w:rsidRPr="003C1A66" w:rsidRDefault="0059269C" w:rsidP="00962FB7">
      <w:pPr>
        <w:jc w:val="center"/>
        <w:rPr>
          <w:rFonts w:ascii="Times New Roman" w:hAnsi="Times New Roman" w:cs="Times New Roman"/>
          <w:snapToGrid w:val="0"/>
          <w:sz w:val="24"/>
        </w:rPr>
      </w:pPr>
      <w:r w:rsidRPr="003C1A66">
        <w:rPr>
          <w:rFonts w:ascii="Times New Roman" w:hAnsi="Times New Roman" w:cs="Times New Roman"/>
          <w:i/>
          <w:snapToGrid w:val="0"/>
          <w:sz w:val="24"/>
        </w:rPr>
        <w:t>Illegal Logging Prohibition Act 2012</w:t>
      </w:r>
    </w:p>
    <w:p w:rsidR="0059269C" w:rsidRPr="003B1B23" w:rsidRDefault="0059269C" w:rsidP="00962FB7">
      <w:pPr>
        <w:jc w:val="center"/>
        <w:rPr>
          <w:rFonts w:ascii="Times New Roman" w:hAnsi="Times New Roman" w:cs="Times New Roman"/>
          <w:sz w:val="24"/>
        </w:rPr>
      </w:pPr>
    </w:p>
    <w:p w:rsidR="0059269C" w:rsidRPr="003C1A66" w:rsidRDefault="0059269C" w:rsidP="00962FB7">
      <w:pPr>
        <w:jc w:val="center"/>
        <w:rPr>
          <w:rFonts w:ascii="Times New Roman" w:hAnsi="Times New Roman" w:cs="Times New Roman"/>
          <w:i/>
          <w:sz w:val="24"/>
        </w:rPr>
      </w:pPr>
      <w:r w:rsidRPr="003C1A66">
        <w:rPr>
          <w:rFonts w:ascii="Times New Roman" w:hAnsi="Times New Roman" w:cs="Times New Roman"/>
          <w:i/>
          <w:sz w:val="24"/>
        </w:rPr>
        <w:t>Illegal Logging Prohibition Amendment Regulation 2014</w:t>
      </w:r>
      <w:r w:rsidR="007840F1">
        <w:rPr>
          <w:rFonts w:ascii="Times New Roman" w:hAnsi="Times New Roman" w:cs="Times New Roman"/>
          <w:i/>
          <w:sz w:val="24"/>
        </w:rPr>
        <w:t xml:space="preserve"> (No. 1)</w:t>
      </w:r>
    </w:p>
    <w:p w:rsidR="0059269C" w:rsidRPr="0031429D" w:rsidRDefault="0059269C" w:rsidP="00962FB7">
      <w:pPr>
        <w:rPr>
          <w:rFonts w:ascii="Times New Roman" w:hAnsi="Times New Roman" w:cs="Times New Roman"/>
          <w:sz w:val="24"/>
        </w:rPr>
      </w:pPr>
    </w:p>
    <w:p w:rsidR="0059269C" w:rsidRPr="0031429D" w:rsidRDefault="0059269C" w:rsidP="00962FB7">
      <w:pPr>
        <w:tabs>
          <w:tab w:val="left" w:pos="1701"/>
          <w:tab w:val="right" w:pos="9072"/>
        </w:tabs>
        <w:rPr>
          <w:rFonts w:ascii="Times New Roman" w:hAnsi="Times New Roman" w:cs="Times New Roman"/>
          <w:sz w:val="24"/>
        </w:rPr>
      </w:pPr>
      <w:r w:rsidRPr="0031429D">
        <w:rPr>
          <w:rFonts w:ascii="Times New Roman" w:hAnsi="Times New Roman" w:cs="Times New Roman"/>
          <w:b/>
          <w:sz w:val="24"/>
        </w:rPr>
        <w:t>Legislative Authority</w:t>
      </w:r>
    </w:p>
    <w:p w:rsidR="0059269C" w:rsidRPr="0031429D" w:rsidRDefault="0059269C" w:rsidP="00962FB7">
      <w:pPr>
        <w:tabs>
          <w:tab w:val="right" w:pos="9072"/>
        </w:tabs>
        <w:rPr>
          <w:rFonts w:ascii="Times New Roman" w:hAnsi="Times New Roman" w:cs="Times New Roman"/>
          <w:sz w:val="24"/>
        </w:rPr>
      </w:pPr>
    </w:p>
    <w:p w:rsidR="0009158F" w:rsidRDefault="0059269C" w:rsidP="00962FB7">
      <w:pPr>
        <w:tabs>
          <w:tab w:val="left" w:pos="1701"/>
          <w:tab w:val="right" w:pos="9072"/>
        </w:tabs>
        <w:rPr>
          <w:rFonts w:ascii="Times New Roman" w:hAnsi="Times New Roman" w:cs="Times New Roman"/>
          <w:sz w:val="24"/>
        </w:rPr>
      </w:pPr>
      <w:r>
        <w:rPr>
          <w:rFonts w:ascii="Times New Roman" w:hAnsi="Times New Roman" w:cs="Times New Roman"/>
          <w:sz w:val="24"/>
        </w:rPr>
        <w:t xml:space="preserve">Section 86 of the </w:t>
      </w:r>
      <w:r w:rsidRPr="00831280">
        <w:rPr>
          <w:rFonts w:ascii="Times New Roman" w:hAnsi="Times New Roman" w:cs="Times New Roman"/>
          <w:i/>
          <w:sz w:val="24"/>
        </w:rPr>
        <w:t>Illegal Logging Prohibition Act 2012</w:t>
      </w:r>
      <w:r>
        <w:rPr>
          <w:rFonts w:ascii="Times New Roman" w:hAnsi="Times New Roman" w:cs="Times New Roman"/>
          <w:sz w:val="24"/>
        </w:rPr>
        <w:t xml:space="preserve"> (the Act) provides that the Governor-General may make Regulations prescribing </w:t>
      </w:r>
      <w:r w:rsidR="008C0AED">
        <w:rPr>
          <w:rFonts w:ascii="Times New Roman" w:hAnsi="Times New Roman" w:cs="Times New Roman"/>
          <w:sz w:val="24"/>
        </w:rPr>
        <w:t>either:</w:t>
      </w:r>
      <w:r w:rsidR="0009158F">
        <w:rPr>
          <w:rFonts w:ascii="Times New Roman" w:hAnsi="Times New Roman" w:cs="Times New Roman"/>
          <w:sz w:val="24"/>
        </w:rPr>
        <w:t xml:space="preserve"> </w:t>
      </w:r>
      <w:r>
        <w:rPr>
          <w:rFonts w:ascii="Times New Roman" w:hAnsi="Times New Roman" w:cs="Times New Roman"/>
          <w:sz w:val="24"/>
        </w:rPr>
        <w:t>all matters required or permitted by the Act to be prescribed</w:t>
      </w:r>
      <w:r w:rsidR="0009158F">
        <w:rPr>
          <w:rFonts w:ascii="Times New Roman" w:hAnsi="Times New Roman" w:cs="Times New Roman"/>
          <w:sz w:val="24"/>
        </w:rPr>
        <w:t>;</w:t>
      </w:r>
      <w:r>
        <w:rPr>
          <w:rFonts w:ascii="Times New Roman" w:hAnsi="Times New Roman" w:cs="Times New Roman"/>
          <w:sz w:val="24"/>
        </w:rPr>
        <w:t xml:space="preserve"> or</w:t>
      </w:r>
      <w:r w:rsidR="0009158F">
        <w:rPr>
          <w:rFonts w:ascii="Times New Roman" w:hAnsi="Times New Roman" w:cs="Times New Roman"/>
          <w:sz w:val="24"/>
        </w:rPr>
        <w:t xml:space="preserve"> all matters</w:t>
      </w:r>
      <w:r>
        <w:rPr>
          <w:rFonts w:ascii="Times New Roman" w:hAnsi="Times New Roman" w:cs="Times New Roman"/>
          <w:sz w:val="24"/>
        </w:rPr>
        <w:t xml:space="preserve"> necessary or convenient to be prescribed for carrying out or giving effect to the Act. </w:t>
      </w:r>
    </w:p>
    <w:p w:rsidR="0009158F" w:rsidRDefault="0009158F" w:rsidP="00962FB7">
      <w:pPr>
        <w:tabs>
          <w:tab w:val="left" w:pos="1701"/>
          <w:tab w:val="right" w:pos="9072"/>
        </w:tabs>
        <w:rPr>
          <w:rFonts w:ascii="Times New Roman" w:hAnsi="Times New Roman" w:cs="Times New Roman"/>
          <w:sz w:val="24"/>
        </w:rPr>
      </w:pPr>
      <w:bookmarkStart w:id="0" w:name="_GoBack"/>
      <w:bookmarkEnd w:id="0"/>
    </w:p>
    <w:p w:rsidR="0059269C" w:rsidRPr="001077B6" w:rsidRDefault="0059269C" w:rsidP="00962FB7">
      <w:pPr>
        <w:tabs>
          <w:tab w:val="left" w:pos="1701"/>
          <w:tab w:val="right" w:pos="9072"/>
        </w:tabs>
        <w:rPr>
          <w:rFonts w:ascii="Times New Roman" w:hAnsi="Times New Roman" w:cs="Times New Roman"/>
          <w:i/>
          <w:sz w:val="24"/>
        </w:rPr>
      </w:pPr>
      <w:r>
        <w:rPr>
          <w:rFonts w:ascii="Times New Roman" w:hAnsi="Times New Roman" w:cs="Times New Roman"/>
          <w:sz w:val="24"/>
        </w:rPr>
        <w:t xml:space="preserve">The </w:t>
      </w:r>
      <w:r w:rsidRPr="00F04B49">
        <w:rPr>
          <w:rFonts w:ascii="Times New Roman" w:hAnsi="Times New Roman" w:cs="Times New Roman"/>
          <w:i/>
          <w:sz w:val="24"/>
        </w:rPr>
        <w:t>Illegal Logging Prohibition Amendment Regulation 2014</w:t>
      </w:r>
      <w:r w:rsidR="007840F1">
        <w:rPr>
          <w:rFonts w:ascii="Times New Roman" w:hAnsi="Times New Roman" w:cs="Times New Roman"/>
          <w:i/>
          <w:sz w:val="24"/>
        </w:rPr>
        <w:t xml:space="preserve"> (No. 1)</w:t>
      </w:r>
      <w:r>
        <w:rPr>
          <w:rFonts w:ascii="Times New Roman" w:hAnsi="Times New Roman" w:cs="Times New Roman"/>
          <w:sz w:val="24"/>
        </w:rPr>
        <w:t xml:space="preserve"> (the Regulation) </w:t>
      </w:r>
      <w:r w:rsidR="00A27639" w:rsidRPr="00A27639">
        <w:rPr>
          <w:rFonts w:ascii="Times New Roman" w:hAnsi="Times New Roman" w:cs="Times New Roman"/>
          <w:sz w:val="24"/>
        </w:rPr>
        <w:t>provides that sections 1 to 4 and t</w:t>
      </w:r>
      <w:r w:rsidR="00A27639">
        <w:rPr>
          <w:rFonts w:ascii="Times New Roman" w:hAnsi="Times New Roman" w:cs="Times New Roman"/>
          <w:sz w:val="24"/>
        </w:rPr>
        <w:t xml:space="preserve">he measures in Schedule 2 </w:t>
      </w:r>
      <w:r w:rsidR="00A27639" w:rsidRPr="00A27639">
        <w:rPr>
          <w:rFonts w:ascii="Times New Roman" w:hAnsi="Times New Roman" w:cs="Times New Roman"/>
          <w:sz w:val="24"/>
        </w:rPr>
        <w:t>commence</w:t>
      </w:r>
      <w:r w:rsidR="001077B6">
        <w:rPr>
          <w:rFonts w:ascii="Times New Roman" w:hAnsi="Times New Roman" w:cs="Times New Roman"/>
          <w:sz w:val="24"/>
        </w:rPr>
        <w:t xml:space="preserve"> on</w:t>
      </w:r>
      <w:r w:rsidR="00A27639" w:rsidRPr="00A27639">
        <w:rPr>
          <w:rFonts w:ascii="Times New Roman" w:hAnsi="Times New Roman" w:cs="Times New Roman"/>
          <w:sz w:val="24"/>
        </w:rPr>
        <w:t xml:space="preserve"> the day a</w:t>
      </w:r>
      <w:r w:rsidR="001077B6">
        <w:rPr>
          <w:rFonts w:ascii="Times New Roman" w:hAnsi="Times New Roman" w:cs="Times New Roman"/>
          <w:sz w:val="24"/>
        </w:rPr>
        <w:t xml:space="preserve">fter the Regulation is </w:t>
      </w:r>
      <w:r w:rsidR="00A27639">
        <w:rPr>
          <w:rFonts w:ascii="Times New Roman" w:hAnsi="Times New Roman" w:cs="Times New Roman"/>
          <w:sz w:val="24"/>
        </w:rPr>
        <w:t>regist</w:t>
      </w:r>
      <w:r w:rsidR="001077B6">
        <w:rPr>
          <w:rFonts w:ascii="Times New Roman" w:hAnsi="Times New Roman" w:cs="Times New Roman"/>
          <w:sz w:val="24"/>
        </w:rPr>
        <w:t>ered</w:t>
      </w:r>
      <w:r w:rsidR="00A27639" w:rsidRPr="00A27639">
        <w:rPr>
          <w:rFonts w:ascii="Times New Roman" w:hAnsi="Times New Roman" w:cs="Times New Roman"/>
          <w:sz w:val="24"/>
        </w:rPr>
        <w:t xml:space="preserve"> and t</w:t>
      </w:r>
      <w:r w:rsidR="00A27639">
        <w:rPr>
          <w:rFonts w:ascii="Times New Roman" w:hAnsi="Times New Roman" w:cs="Times New Roman"/>
          <w:sz w:val="24"/>
        </w:rPr>
        <w:t xml:space="preserve">he measures in Schedule 1 </w:t>
      </w:r>
      <w:r w:rsidR="00A27639" w:rsidRPr="00A27639">
        <w:rPr>
          <w:rFonts w:ascii="Times New Roman" w:hAnsi="Times New Roman" w:cs="Times New Roman"/>
          <w:sz w:val="24"/>
        </w:rPr>
        <w:t xml:space="preserve">commence on </w:t>
      </w:r>
      <w:r w:rsidR="00A27639">
        <w:rPr>
          <w:rFonts w:ascii="Times New Roman" w:hAnsi="Times New Roman" w:cs="Times New Roman"/>
          <w:sz w:val="24"/>
        </w:rPr>
        <w:t>the start of the day after the Regulation wa</w:t>
      </w:r>
      <w:r w:rsidR="00A27639" w:rsidRPr="00A27639">
        <w:rPr>
          <w:rFonts w:ascii="Times New Roman" w:hAnsi="Times New Roman" w:cs="Times New Roman"/>
          <w:sz w:val="24"/>
        </w:rPr>
        <w:t xml:space="preserve">s registered or immediately after the commencement of the </w:t>
      </w:r>
      <w:r w:rsidR="00A27639" w:rsidRPr="000822E1">
        <w:rPr>
          <w:rFonts w:ascii="Times New Roman" w:hAnsi="Times New Roman"/>
          <w:i/>
          <w:sz w:val="24"/>
        </w:rPr>
        <w:t>Illegal Logging Prohibition Amendment Regulation 2013 (No 1)</w:t>
      </w:r>
      <w:r w:rsidR="001077B6">
        <w:rPr>
          <w:rFonts w:ascii="Times New Roman" w:hAnsi="Times New Roman"/>
          <w:sz w:val="24"/>
        </w:rPr>
        <w:t>, whichever is the later</w:t>
      </w:r>
      <w:r w:rsidR="00A27639">
        <w:rPr>
          <w:rFonts w:ascii="Times New Roman" w:hAnsi="Times New Roman" w:cs="Times New Roman"/>
          <w:sz w:val="24"/>
        </w:rPr>
        <w:t>.</w:t>
      </w:r>
    </w:p>
    <w:p w:rsidR="0059269C" w:rsidRPr="0076573C" w:rsidRDefault="0059269C" w:rsidP="00962FB7">
      <w:pPr>
        <w:tabs>
          <w:tab w:val="left" w:pos="1701"/>
          <w:tab w:val="right" w:pos="9072"/>
        </w:tabs>
        <w:rPr>
          <w:rFonts w:ascii="Times New Roman" w:hAnsi="Times New Roman" w:cs="Times New Roman"/>
          <w:sz w:val="24"/>
        </w:rPr>
      </w:pPr>
    </w:p>
    <w:p w:rsidR="0059269C" w:rsidRPr="0031429D" w:rsidRDefault="0059269C" w:rsidP="00962FB7">
      <w:pPr>
        <w:tabs>
          <w:tab w:val="left" w:pos="1701"/>
          <w:tab w:val="right" w:pos="9072"/>
        </w:tabs>
        <w:rPr>
          <w:rFonts w:ascii="Times New Roman" w:hAnsi="Times New Roman" w:cs="Times New Roman"/>
          <w:b/>
          <w:sz w:val="24"/>
        </w:rPr>
      </w:pPr>
      <w:r w:rsidRPr="0031429D">
        <w:rPr>
          <w:rFonts w:ascii="Times New Roman" w:hAnsi="Times New Roman" w:cs="Times New Roman"/>
          <w:b/>
          <w:sz w:val="24"/>
        </w:rPr>
        <w:t>Purpose</w:t>
      </w:r>
    </w:p>
    <w:p w:rsidR="0059269C" w:rsidRPr="0031429D" w:rsidRDefault="0059269C" w:rsidP="00962FB7">
      <w:pPr>
        <w:tabs>
          <w:tab w:val="right" w:pos="9072"/>
        </w:tabs>
        <w:rPr>
          <w:rFonts w:ascii="Times New Roman" w:hAnsi="Times New Roman" w:cs="Times New Roman"/>
          <w:sz w:val="24"/>
        </w:rPr>
      </w:pPr>
    </w:p>
    <w:p w:rsidR="0059269C" w:rsidRDefault="0059269C" w:rsidP="00962FB7">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w:t>
      </w:r>
      <w:r w:rsidR="000822E1">
        <w:rPr>
          <w:rFonts w:ascii="Times New Roman" w:hAnsi="Times New Roman" w:cs="Times New Roman"/>
          <w:sz w:val="24"/>
        </w:rPr>
        <w:t xml:space="preserve">purpose of the </w:t>
      </w:r>
      <w:r>
        <w:rPr>
          <w:rFonts w:ascii="Times New Roman" w:hAnsi="Times New Roman" w:cs="Times New Roman"/>
          <w:sz w:val="24"/>
        </w:rPr>
        <w:t>Regulation is to give effect to various sections of the Act and for various related purposes. This includes prescribing: regulated timber products; due diligence requirements for persons importing regulated timber products; and due diligence requirements for persons processing</w:t>
      </w:r>
      <w:r w:rsidR="00BE5EDB">
        <w:rPr>
          <w:rFonts w:ascii="Times New Roman" w:hAnsi="Times New Roman" w:cs="Times New Roman"/>
          <w:sz w:val="24"/>
        </w:rPr>
        <w:t xml:space="preserve"> domestically-grown</w:t>
      </w:r>
      <w:r>
        <w:rPr>
          <w:rFonts w:ascii="Times New Roman" w:hAnsi="Times New Roman" w:cs="Times New Roman"/>
          <w:sz w:val="24"/>
        </w:rPr>
        <w:t xml:space="preserve"> raw logs into another form.</w:t>
      </w:r>
      <w:r w:rsidR="000822E1" w:rsidRPr="000822E1">
        <w:rPr>
          <w:rFonts w:ascii="Times New Roman" w:hAnsi="Times New Roman" w:cs="Times New Roman"/>
          <w:sz w:val="24"/>
        </w:rPr>
        <w:t xml:space="preserve"> </w:t>
      </w:r>
    </w:p>
    <w:p w:rsidR="0059269C" w:rsidRDefault="0059269C" w:rsidP="00962FB7">
      <w:pPr>
        <w:tabs>
          <w:tab w:val="left" w:pos="1701"/>
          <w:tab w:val="right" w:pos="9072"/>
        </w:tabs>
        <w:rPr>
          <w:rFonts w:ascii="Times New Roman" w:hAnsi="Times New Roman" w:cs="Times New Roman"/>
          <w:sz w:val="24"/>
        </w:rPr>
      </w:pPr>
    </w:p>
    <w:p w:rsidR="000822E1" w:rsidRDefault="000822E1" w:rsidP="000822E1">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Regulation prescribes minor legislative amendments to clarify terminology or address drafting errors in Schedule 1 </w:t>
      </w:r>
      <w:r w:rsidRPr="000822E1">
        <w:rPr>
          <w:rFonts w:ascii="Times New Roman" w:hAnsi="Times New Roman" w:cs="Times New Roman"/>
          <w:sz w:val="24"/>
        </w:rPr>
        <w:t xml:space="preserve">of the </w:t>
      </w:r>
      <w:r w:rsidRPr="000822E1">
        <w:rPr>
          <w:rFonts w:ascii="Times New Roman" w:hAnsi="Times New Roman"/>
          <w:i/>
          <w:sz w:val="24"/>
        </w:rPr>
        <w:t xml:space="preserve">Illegal Logging Prohibition Amendment Regulation 2013 (No 1) </w:t>
      </w:r>
      <w:r w:rsidRPr="000822E1">
        <w:rPr>
          <w:rFonts w:ascii="Times New Roman" w:hAnsi="Times New Roman"/>
          <w:sz w:val="24"/>
        </w:rPr>
        <w:t xml:space="preserve">(the </w:t>
      </w:r>
      <w:r w:rsidRPr="000822E1">
        <w:rPr>
          <w:rFonts w:ascii="Times New Roman" w:hAnsi="Times New Roman" w:cs="Times New Roman"/>
          <w:sz w:val="24"/>
        </w:rPr>
        <w:t>Amendment Regulation).</w:t>
      </w:r>
      <w:r>
        <w:rPr>
          <w:rFonts w:ascii="Times New Roman" w:hAnsi="Times New Roman" w:cs="Times New Roman"/>
          <w:sz w:val="24"/>
        </w:rPr>
        <w:t xml:space="preserve"> The Regulation also prescribes additional timber legality frameworks, country specific guidelines and state specific guidelines in Schedule 2 of the Amendment Regulation, in order to assist persons importing regulated timber products, or persons processing</w:t>
      </w:r>
      <w:r w:rsidR="00BE5EDB">
        <w:rPr>
          <w:rFonts w:ascii="Times New Roman" w:hAnsi="Times New Roman" w:cs="Times New Roman"/>
          <w:sz w:val="24"/>
        </w:rPr>
        <w:t xml:space="preserve"> domestically-grown</w:t>
      </w:r>
      <w:r>
        <w:rPr>
          <w:rFonts w:ascii="Times New Roman" w:hAnsi="Times New Roman" w:cs="Times New Roman"/>
          <w:sz w:val="24"/>
        </w:rPr>
        <w:t xml:space="preserve"> raw logs into another form, to meet their regulatory due diligence requirements. </w:t>
      </w:r>
    </w:p>
    <w:p w:rsidR="0059269C" w:rsidRPr="0031429D" w:rsidRDefault="0059269C" w:rsidP="00962FB7">
      <w:pPr>
        <w:tabs>
          <w:tab w:val="right" w:pos="9072"/>
        </w:tabs>
        <w:rPr>
          <w:rFonts w:ascii="Times New Roman" w:hAnsi="Times New Roman" w:cs="Times New Roman"/>
          <w:sz w:val="24"/>
        </w:rPr>
      </w:pPr>
    </w:p>
    <w:p w:rsidR="0059269C" w:rsidRPr="00991888" w:rsidRDefault="0059269C" w:rsidP="00962FB7">
      <w:pPr>
        <w:tabs>
          <w:tab w:val="left" w:pos="1701"/>
          <w:tab w:val="right" w:pos="9072"/>
        </w:tabs>
        <w:rPr>
          <w:rFonts w:ascii="Times New Roman" w:hAnsi="Times New Roman" w:cs="Times New Roman"/>
          <w:sz w:val="24"/>
        </w:rPr>
      </w:pPr>
      <w:r w:rsidRPr="00991888">
        <w:rPr>
          <w:rFonts w:ascii="Times New Roman" w:hAnsi="Times New Roman" w:cs="Times New Roman"/>
          <w:b/>
          <w:sz w:val="24"/>
        </w:rPr>
        <w:t>Consultation</w:t>
      </w:r>
    </w:p>
    <w:p w:rsidR="0059269C" w:rsidRPr="00991888" w:rsidRDefault="0059269C" w:rsidP="00962FB7">
      <w:pPr>
        <w:tabs>
          <w:tab w:val="left" w:pos="1701"/>
          <w:tab w:val="right" w:pos="9072"/>
        </w:tabs>
        <w:rPr>
          <w:rFonts w:ascii="Times New Roman" w:hAnsi="Times New Roman" w:cs="Times New Roman"/>
          <w:sz w:val="24"/>
        </w:rPr>
      </w:pPr>
    </w:p>
    <w:p w:rsidR="0059269C" w:rsidRPr="00A116A3" w:rsidRDefault="00A116A3" w:rsidP="00A116A3">
      <w:pPr>
        <w:pStyle w:val="ListBullet"/>
        <w:numPr>
          <w:ilvl w:val="0"/>
          <w:numId w:val="0"/>
        </w:numPr>
        <w:spacing w:after="0"/>
        <w:rPr>
          <w:rFonts w:asciiTheme="minorHAnsi" w:eastAsiaTheme="minorHAnsi" w:hAnsiTheme="minorHAnsi" w:cstheme="minorBidi"/>
          <w:sz w:val="22"/>
        </w:rPr>
      </w:pPr>
      <w:r w:rsidRPr="00991888">
        <w:rPr>
          <w:rFonts w:ascii="Times New Roman" w:hAnsi="Times New Roman"/>
        </w:rPr>
        <w:t>T</w:t>
      </w:r>
      <w:r w:rsidR="0059269C" w:rsidRPr="00991888">
        <w:rPr>
          <w:rFonts w:ascii="Times New Roman" w:hAnsi="Times New Roman"/>
        </w:rPr>
        <w:t>he Department of Agriculture (the department) consulted with</w:t>
      </w:r>
      <w:r w:rsidR="007E36D6" w:rsidRPr="00991888">
        <w:rPr>
          <w:rFonts w:eastAsiaTheme="minorHAnsi"/>
        </w:rPr>
        <w:t xml:space="preserve"> </w:t>
      </w:r>
      <w:r w:rsidR="007E36D6" w:rsidRPr="00991888">
        <w:rPr>
          <w:rFonts w:ascii="Times New Roman" w:hAnsi="Times New Roman"/>
        </w:rPr>
        <w:t>key stakeholders representing a range of business</w:t>
      </w:r>
      <w:r w:rsidRPr="00991888">
        <w:rPr>
          <w:rFonts w:ascii="Times New Roman" w:hAnsi="Times New Roman"/>
        </w:rPr>
        <w:t xml:space="preserve"> interests</w:t>
      </w:r>
      <w:r w:rsidR="007E36D6" w:rsidRPr="00991888">
        <w:rPr>
          <w:rFonts w:ascii="Times New Roman" w:hAnsi="Times New Roman"/>
        </w:rPr>
        <w:t>, industry associations, social justice and environmental groups, state and territory governments and international trading partners</w:t>
      </w:r>
      <w:r w:rsidRPr="00991888">
        <w:rPr>
          <w:rFonts w:ascii="Times New Roman" w:hAnsi="Times New Roman"/>
        </w:rPr>
        <w:t xml:space="preserve"> throughout the development of the</w:t>
      </w:r>
      <w:r w:rsidRPr="00991888">
        <w:rPr>
          <w:rFonts w:ascii="Times New Roman" w:hAnsi="Times New Roman"/>
          <w:i/>
        </w:rPr>
        <w:t xml:space="preserve"> </w:t>
      </w:r>
      <w:r w:rsidR="000822E1">
        <w:rPr>
          <w:rFonts w:ascii="Times New Roman" w:hAnsi="Times New Roman"/>
        </w:rPr>
        <w:t>Amendment Regulation</w:t>
      </w:r>
      <w:r w:rsidR="007E36D6" w:rsidRPr="00991888">
        <w:rPr>
          <w:rFonts w:ascii="Times New Roman" w:hAnsi="Times New Roman"/>
        </w:rPr>
        <w:t>. Some stakeholders, including</w:t>
      </w:r>
      <w:r w:rsidRPr="00991888">
        <w:rPr>
          <w:rFonts w:ascii="Times New Roman" w:hAnsi="Times New Roman"/>
        </w:rPr>
        <w:t xml:space="preserve"> the</w:t>
      </w:r>
      <w:r w:rsidR="007E36D6" w:rsidRPr="00991888">
        <w:rPr>
          <w:rFonts w:ascii="Times New Roman" w:hAnsi="Times New Roman"/>
        </w:rPr>
        <w:t xml:space="preserve"> </w:t>
      </w:r>
      <w:r w:rsidRPr="00991888">
        <w:rPr>
          <w:rFonts w:ascii="Times New Roman" w:hAnsi="Times New Roman"/>
        </w:rPr>
        <w:t xml:space="preserve">Australian Forest Products Association and Timber Development Association, </w:t>
      </w:r>
      <w:r w:rsidR="0059269C" w:rsidRPr="00991888">
        <w:rPr>
          <w:rFonts w:ascii="Times New Roman" w:hAnsi="Times New Roman"/>
        </w:rPr>
        <w:t xml:space="preserve">recommended minor amendments. Where appropriate, the department agreed to make </w:t>
      </w:r>
      <w:r w:rsidR="007E36D6" w:rsidRPr="00991888">
        <w:rPr>
          <w:rFonts w:ascii="Times New Roman" w:hAnsi="Times New Roman"/>
        </w:rPr>
        <w:t>minor legislative</w:t>
      </w:r>
      <w:r w:rsidR="0059269C" w:rsidRPr="00991888">
        <w:rPr>
          <w:rFonts w:ascii="Times New Roman" w:hAnsi="Times New Roman"/>
        </w:rPr>
        <w:t xml:space="preserve"> amendments</w:t>
      </w:r>
      <w:r w:rsidRPr="00991888">
        <w:rPr>
          <w:rFonts w:ascii="Times New Roman" w:hAnsi="Times New Roman"/>
        </w:rPr>
        <w:t xml:space="preserve"> that clarified terminology or addressed existing drafting errors</w:t>
      </w:r>
      <w:r w:rsidR="0059269C" w:rsidRPr="00991888">
        <w:rPr>
          <w:rFonts w:ascii="Times New Roman" w:hAnsi="Times New Roman"/>
        </w:rPr>
        <w:t>.</w:t>
      </w:r>
    </w:p>
    <w:p w:rsidR="0059269C" w:rsidRDefault="0059269C" w:rsidP="00962FB7">
      <w:pPr>
        <w:tabs>
          <w:tab w:val="left" w:pos="1701"/>
          <w:tab w:val="right" w:pos="9072"/>
        </w:tabs>
        <w:rPr>
          <w:rFonts w:ascii="Times New Roman" w:hAnsi="Times New Roman" w:cs="Times New Roman"/>
          <w:sz w:val="24"/>
        </w:rPr>
      </w:pPr>
    </w:p>
    <w:p w:rsidR="0059269C" w:rsidRDefault="0059269C" w:rsidP="00962FB7">
      <w:pPr>
        <w:tabs>
          <w:tab w:val="left" w:pos="1701"/>
          <w:tab w:val="right" w:pos="9072"/>
        </w:tabs>
        <w:rPr>
          <w:rFonts w:ascii="Times New Roman" w:hAnsi="Times New Roman" w:cs="Times New Roman"/>
          <w:sz w:val="24"/>
        </w:rPr>
      </w:pPr>
      <w:r>
        <w:rPr>
          <w:rFonts w:ascii="Times New Roman" w:hAnsi="Times New Roman" w:cs="Times New Roman"/>
          <w:sz w:val="24"/>
        </w:rPr>
        <w:t>The Office of Best Practice Regulation was consulted in the preparation of the Regulation (ID 17242).</w:t>
      </w:r>
    </w:p>
    <w:p w:rsidR="0059269C" w:rsidRDefault="0059269C" w:rsidP="00962FB7">
      <w:pPr>
        <w:tabs>
          <w:tab w:val="right" w:pos="9072"/>
        </w:tabs>
        <w:rPr>
          <w:rFonts w:ascii="Times New Roman" w:hAnsi="Times New Roman" w:cs="Times New Roman"/>
          <w:sz w:val="24"/>
        </w:rPr>
      </w:pPr>
    </w:p>
    <w:p w:rsidR="0059269C" w:rsidRDefault="0059269C" w:rsidP="00962FB7">
      <w:pPr>
        <w:tabs>
          <w:tab w:val="left" w:pos="1701"/>
          <w:tab w:val="right" w:pos="9072"/>
        </w:tabs>
        <w:rPr>
          <w:rFonts w:ascii="Times New Roman" w:hAnsi="Times New Roman" w:cs="Times New Roman"/>
          <w:b/>
          <w:sz w:val="24"/>
        </w:rPr>
      </w:pPr>
      <w:r w:rsidRPr="0031429D">
        <w:rPr>
          <w:rFonts w:ascii="Times New Roman" w:hAnsi="Times New Roman" w:cs="Times New Roman"/>
          <w:b/>
          <w:sz w:val="24"/>
        </w:rPr>
        <w:t>Details</w:t>
      </w:r>
      <w:r w:rsidR="004D20A4">
        <w:rPr>
          <w:rFonts w:ascii="Times New Roman" w:hAnsi="Times New Roman" w:cs="Times New Roman"/>
          <w:b/>
          <w:sz w:val="24"/>
        </w:rPr>
        <w:t xml:space="preserve"> of the Regulation</w:t>
      </w:r>
    </w:p>
    <w:p w:rsidR="00D23175" w:rsidRDefault="00D23175" w:rsidP="00962FB7">
      <w:pPr>
        <w:tabs>
          <w:tab w:val="left" w:pos="1701"/>
          <w:tab w:val="right" w:pos="9072"/>
        </w:tabs>
        <w:rPr>
          <w:rFonts w:ascii="Times New Roman" w:hAnsi="Times New Roman" w:cs="Times New Roman"/>
          <w:b/>
          <w:sz w:val="24"/>
        </w:rPr>
      </w:pPr>
    </w:p>
    <w:p w:rsidR="00D23175" w:rsidRPr="00D23175" w:rsidRDefault="00D23175" w:rsidP="00962FB7">
      <w:pPr>
        <w:tabs>
          <w:tab w:val="left" w:pos="1701"/>
          <w:tab w:val="right" w:pos="9072"/>
        </w:tabs>
        <w:rPr>
          <w:rFonts w:ascii="Times New Roman" w:hAnsi="Times New Roman" w:cs="Times New Roman"/>
          <w:sz w:val="24"/>
        </w:rPr>
      </w:pPr>
      <w:r w:rsidRPr="00D23175">
        <w:rPr>
          <w:rFonts w:ascii="Times New Roman" w:hAnsi="Times New Roman" w:cs="Times New Roman"/>
          <w:sz w:val="24"/>
        </w:rPr>
        <w:t>Details of the Regulation are set out in the Attachment A</w:t>
      </w:r>
      <w:r w:rsidR="00380134">
        <w:rPr>
          <w:rFonts w:ascii="Times New Roman" w:hAnsi="Times New Roman" w:cs="Times New Roman"/>
          <w:sz w:val="24"/>
        </w:rPr>
        <w:t>.</w:t>
      </w:r>
    </w:p>
    <w:p w:rsidR="0059269C" w:rsidRPr="00203AAB" w:rsidRDefault="0059269C" w:rsidP="00962FB7">
      <w:pPr>
        <w:tabs>
          <w:tab w:val="left" w:pos="1701"/>
          <w:tab w:val="right" w:pos="9072"/>
        </w:tabs>
        <w:rPr>
          <w:rFonts w:ascii="Times New Roman" w:hAnsi="Times New Roman" w:cs="Times New Roman"/>
          <w:sz w:val="24"/>
        </w:rPr>
      </w:pPr>
    </w:p>
    <w:p w:rsidR="0059269C" w:rsidRDefault="0059269C" w:rsidP="00962FB7">
      <w:pPr>
        <w:tabs>
          <w:tab w:val="left" w:pos="1701"/>
          <w:tab w:val="right" w:pos="9072"/>
        </w:tabs>
        <w:rPr>
          <w:rFonts w:ascii="Times New Roman" w:hAnsi="Times New Roman" w:cs="Times New Roman"/>
          <w:sz w:val="24"/>
        </w:rPr>
      </w:pPr>
      <w:r w:rsidRPr="00203AAB">
        <w:rPr>
          <w:rFonts w:ascii="Times New Roman" w:hAnsi="Times New Roman" w:cs="Times New Roman"/>
          <w:sz w:val="24"/>
        </w:rPr>
        <w:t xml:space="preserve">The </w:t>
      </w:r>
      <w:r w:rsidRPr="00760F91">
        <w:rPr>
          <w:rFonts w:ascii="Times New Roman" w:hAnsi="Times New Roman" w:cs="Times New Roman"/>
          <w:sz w:val="24"/>
        </w:rPr>
        <w:t xml:space="preserve">Regulation </w:t>
      </w:r>
      <w:r w:rsidR="004D20A4">
        <w:rPr>
          <w:rFonts w:ascii="Times New Roman" w:hAnsi="Times New Roman" w:cs="Times New Roman"/>
          <w:sz w:val="24"/>
        </w:rPr>
        <w:t xml:space="preserve">is </w:t>
      </w:r>
      <w:r w:rsidRPr="00203AAB">
        <w:rPr>
          <w:rFonts w:ascii="Times New Roman" w:hAnsi="Times New Roman" w:cs="Times New Roman"/>
          <w:sz w:val="24"/>
        </w:rPr>
        <w:t xml:space="preserve">a legislative instrument for the purposes of the </w:t>
      </w:r>
      <w:r w:rsidRPr="00203AAB">
        <w:rPr>
          <w:rFonts w:ascii="Times New Roman" w:hAnsi="Times New Roman" w:cs="Times New Roman"/>
          <w:i/>
          <w:sz w:val="24"/>
        </w:rPr>
        <w:t>Legislative Instruments Act 2003</w:t>
      </w:r>
      <w:r w:rsidRPr="00203AAB">
        <w:rPr>
          <w:rFonts w:ascii="Times New Roman" w:hAnsi="Times New Roman" w:cs="Times New Roman"/>
          <w:sz w:val="24"/>
        </w:rPr>
        <w:t>.</w:t>
      </w:r>
    </w:p>
    <w:p w:rsidR="0059269C" w:rsidRDefault="0059269C" w:rsidP="00962FB7">
      <w:pPr>
        <w:tabs>
          <w:tab w:val="left" w:pos="1701"/>
          <w:tab w:val="right" w:pos="9072"/>
        </w:tabs>
        <w:rPr>
          <w:rFonts w:ascii="Times New Roman" w:hAnsi="Times New Roman" w:cs="Times New Roman"/>
          <w:sz w:val="24"/>
        </w:rPr>
      </w:pPr>
    </w:p>
    <w:p w:rsidR="0059269C" w:rsidRPr="00203AAB" w:rsidRDefault="0059269C" w:rsidP="00962FB7">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Regulation is compatible with the human rights and freedoms recognised or declared under section 3 of the </w:t>
      </w:r>
      <w:r w:rsidRPr="00C015D6">
        <w:rPr>
          <w:rFonts w:ascii="Times New Roman" w:hAnsi="Times New Roman" w:cs="Times New Roman"/>
          <w:i/>
          <w:sz w:val="24"/>
        </w:rPr>
        <w:t>Human Rights (Parliamentary Scrutiny) Act 2011</w:t>
      </w:r>
      <w:r>
        <w:rPr>
          <w:rFonts w:ascii="Times New Roman" w:hAnsi="Times New Roman" w:cs="Times New Roman"/>
          <w:sz w:val="24"/>
        </w:rPr>
        <w:t xml:space="preserve">. A full statement of compatibility is set out </w:t>
      </w:r>
      <w:r w:rsidR="007134F4">
        <w:rPr>
          <w:rFonts w:ascii="Times New Roman" w:hAnsi="Times New Roman" w:cs="Times New Roman"/>
          <w:sz w:val="24"/>
        </w:rPr>
        <w:t>in Attachment B</w:t>
      </w:r>
      <w:r>
        <w:rPr>
          <w:rFonts w:ascii="Times New Roman" w:hAnsi="Times New Roman" w:cs="Times New Roman"/>
          <w:sz w:val="24"/>
        </w:rPr>
        <w:t>.</w:t>
      </w:r>
    </w:p>
    <w:p w:rsidR="0059269C" w:rsidRDefault="0059269C" w:rsidP="00962FB7">
      <w:pPr>
        <w:tabs>
          <w:tab w:val="left" w:pos="1701"/>
          <w:tab w:val="right" w:pos="9072"/>
        </w:tabs>
        <w:rPr>
          <w:rFonts w:ascii="Times New Roman" w:hAnsi="Times New Roman" w:cs="Times New Roman"/>
          <w:sz w:val="24"/>
        </w:rPr>
      </w:pPr>
    </w:p>
    <w:p w:rsidR="0059269C" w:rsidRDefault="0059269C" w:rsidP="00962FB7">
      <w:pPr>
        <w:tabs>
          <w:tab w:val="left" w:pos="1701"/>
          <w:tab w:val="right" w:pos="9072"/>
        </w:tabs>
        <w:rPr>
          <w:rFonts w:ascii="Times New Roman" w:hAnsi="Times New Roman" w:cs="Times New Roman"/>
          <w:sz w:val="24"/>
        </w:rPr>
      </w:pPr>
    </w:p>
    <w:p w:rsidR="0059269C" w:rsidRPr="0031429D" w:rsidRDefault="0059269C" w:rsidP="00962FB7">
      <w:pPr>
        <w:tabs>
          <w:tab w:val="left" w:pos="1701"/>
          <w:tab w:val="right" w:pos="9072"/>
        </w:tabs>
        <w:rPr>
          <w:rFonts w:ascii="Times New Roman" w:hAnsi="Times New Roman" w:cs="Times New Roman"/>
          <w:sz w:val="24"/>
        </w:rPr>
      </w:pPr>
    </w:p>
    <w:p w:rsidR="0059269C" w:rsidRDefault="0059269C" w:rsidP="0059269C">
      <w:pPr>
        <w:tabs>
          <w:tab w:val="left" w:pos="1701"/>
          <w:tab w:val="right" w:pos="9072"/>
        </w:tabs>
        <w:rPr>
          <w:rFonts w:ascii="Times New Roman" w:hAnsi="Times New Roman" w:cs="Times New Roman"/>
          <w:sz w:val="24"/>
        </w:rPr>
      </w:pPr>
      <w:r w:rsidRPr="0031429D">
        <w:rPr>
          <w:rFonts w:ascii="Times New Roman" w:hAnsi="Times New Roman" w:cs="Times New Roman"/>
          <w:sz w:val="24"/>
        </w:rPr>
        <w:br w:type="page"/>
      </w:r>
    </w:p>
    <w:p w:rsidR="0059269C" w:rsidRPr="00116E1D" w:rsidRDefault="0059269C" w:rsidP="00962FB7">
      <w:pPr>
        <w:pStyle w:val="Normal-em"/>
        <w:jc w:val="right"/>
        <w:rPr>
          <w:rFonts w:ascii="Times" w:hAnsi="Times"/>
          <w:b/>
          <w:caps/>
          <w:u w:val="single"/>
        </w:rPr>
      </w:pPr>
      <w:r w:rsidRPr="00116E1D">
        <w:rPr>
          <w:rFonts w:ascii="Times" w:hAnsi="Times"/>
          <w:b/>
          <w:caps/>
          <w:u w:val="single"/>
        </w:rPr>
        <w:lastRenderedPageBreak/>
        <w:t>Attachment</w:t>
      </w:r>
      <w:r w:rsidR="007134F4">
        <w:rPr>
          <w:rFonts w:ascii="Times" w:hAnsi="Times"/>
          <w:b/>
          <w:caps/>
          <w:u w:val="single"/>
        </w:rPr>
        <w:t xml:space="preserve"> A </w:t>
      </w:r>
    </w:p>
    <w:p w:rsidR="0059269C" w:rsidRPr="00836D6E" w:rsidRDefault="0059269C" w:rsidP="00962FB7">
      <w:pPr>
        <w:pStyle w:val="Normal-em"/>
        <w:rPr>
          <w:color w:val="auto"/>
          <w:szCs w:val="24"/>
        </w:rPr>
      </w:pPr>
    </w:p>
    <w:p w:rsidR="0059269C" w:rsidRPr="00836D6E" w:rsidRDefault="0059269C" w:rsidP="00962FB7">
      <w:pPr>
        <w:pStyle w:val="Normal-em"/>
        <w:rPr>
          <w:b/>
          <w:iCs/>
          <w:color w:val="auto"/>
          <w:szCs w:val="24"/>
          <w:u w:val="single"/>
        </w:rPr>
      </w:pPr>
      <w:r w:rsidRPr="00836D6E">
        <w:rPr>
          <w:b/>
          <w:iCs/>
          <w:color w:val="auto"/>
          <w:szCs w:val="24"/>
          <w:u w:val="single"/>
        </w:rPr>
        <w:t xml:space="preserve">Details of the </w:t>
      </w:r>
      <w:r w:rsidRPr="009C38CC">
        <w:rPr>
          <w:b/>
          <w:i/>
          <w:color w:val="auto"/>
          <w:u w:val="single"/>
        </w:rPr>
        <w:t xml:space="preserve">Illegal Logging Prohibition </w:t>
      </w:r>
      <w:r w:rsidRPr="009C38CC">
        <w:rPr>
          <w:b/>
          <w:i/>
          <w:iCs/>
          <w:color w:val="auto"/>
          <w:u w:val="single"/>
        </w:rPr>
        <w:t xml:space="preserve">Amendment </w:t>
      </w:r>
      <w:r w:rsidRPr="009C38CC">
        <w:rPr>
          <w:b/>
          <w:i/>
          <w:iCs/>
          <w:color w:val="auto"/>
          <w:szCs w:val="24"/>
          <w:u w:val="single"/>
        </w:rPr>
        <w:t>Regulation 2014</w:t>
      </w:r>
      <w:r w:rsidR="007840F1">
        <w:rPr>
          <w:b/>
          <w:i/>
          <w:iCs/>
          <w:color w:val="auto"/>
          <w:szCs w:val="24"/>
          <w:u w:val="single"/>
        </w:rPr>
        <w:t xml:space="preserve"> (No. 1)</w:t>
      </w:r>
    </w:p>
    <w:p w:rsidR="0059269C" w:rsidRPr="00836D6E" w:rsidRDefault="0059269C" w:rsidP="00962FB7">
      <w:pPr>
        <w:pStyle w:val="Normal-em"/>
        <w:rPr>
          <w:color w:val="auto"/>
          <w:szCs w:val="24"/>
        </w:rPr>
      </w:pPr>
    </w:p>
    <w:p w:rsidR="0059269C" w:rsidRPr="00836D6E" w:rsidRDefault="0059269C" w:rsidP="00962FB7">
      <w:pPr>
        <w:pStyle w:val="Normal-em"/>
        <w:ind w:left="1440" w:hanging="1440"/>
        <w:rPr>
          <w:color w:val="auto"/>
          <w:szCs w:val="24"/>
          <w:u w:val="single"/>
        </w:rPr>
      </w:pPr>
      <w:r w:rsidRPr="00836D6E">
        <w:rPr>
          <w:color w:val="auto"/>
          <w:szCs w:val="24"/>
          <w:u w:val="single"/>
        </w:rPr>
        <w:t>Section 1 – Name of Regulation</w:t>
      </w:r>
    </w:p>
    <w:p w:rsidR="0059269C" w:rsidRPr="00836D6E" w:rsidRDefault="0059269C" w:rsidP="00962FB7">
      <w:pPr>
        <w:pStyle w:val="Normal-em"/>
        <w:ind w:left="1440" w:hanging="1440"/>
        <w:rPr>
          <w:b/>
          <w:color w:val="auto"/>
          <w:szCs w:val="24"/>
        </w:rPr>
      </w:pPr>
    </w:p>
    <w:p w:rsidR="0059269C" w:rsidRPr="00836D6E" w:rsidRDefault="0059269C" w:rsidP="00962FB7">
      <w:pPr>
        <w:pStyle w:val="Normal-em"/>
        <w:rPr>
          <w:i/>
          <w:iCs/>
          <w:color w:val="auto"/>
          <w:szCs w:val="24"/>
        </w:rPr>
      </w:pPr>
      <w:r w:rsidRPr="00836D6E">
        <w:rPr>
          <w:color w:val="auto"/>
          <w:szCs w:val="24"/>
        </w:rPr>
        <w:t>This Section provide</w:t>
      </w:r>
      <w:r>
        <w:rPr>
          <w:color w:val="auto"/>
          <w:szCs w:val="24"/>
        </w:rPr>
        <w:t>s</w:t>
      </w:r>
      <w:r w:rsidRPr="00836D6E">
        <w:rPr>
          <w:color w:val="auto"/>
          <w:szCs w:val="24"/>
        </w:rPr>
        <w:t xml:space="preserve"> for the title of </w:t>
      </w:r>
      <w:r w:rsidRPr="00714851">
        <w:rPr>
          <w:color w:val="auto"/>
          <w:szCs w:val="24"/>
        </w:rPr>
        <w:t xml:space="preserve">the </w:t>
      </w:r>
      <w:r w:rsidRPr="00714851">
        <w:rPr>
          <w:i/>
          <w:color w:val="auto"/>
          <w:szCs w:val="24"/>
        </w:rPr>
        <w:t>Illegal Logging Prohibition Amendment Regulation 2014</w:t>
      </w:r>
      <w:r w:rsidR="007840F1">
        <w:rPr>
          <w:i/>
          <w:color w:val="auto"/>
          <w:szCs w:val="24"/>
        </w:rPr>
        <w:t xml:space="preserve"> (No. 1)</w:t>
      </w:r>
      <w:r w:rsidR="00204443">
        <w:rPr>
          <w:i/>
          <w:color w:val="auto"/>
          <w:szCs w:val="24"/>
        </w:rPr>
        <w:t xml:space="preserve"> </w:t>
      </w:r>
      <w:r w:rsidR="00204443">
        <w:rPr>
          <w:color w:val="auto"/>
          <w:szCs w:val="24"/>
        </w:rPr>
        <w:t>(the Regulation)</w:t>
      </w:r>
      <w:r w:rsidRPr="00714851">
        <w:rPr>
          <w:color w:val="auto"/>
          <w:szCs w:val="24"/>
        </w:rPr>
        <w:t>.</w:t>
      </w:r>
    </w:p>
    <w:p w:rsidR="0059269C" w:rsidRPr="00836D6E" w:rsidRDefault="0059269C" w:rsidP="00962FB7">
      <w:pPr>
        <w:pStyle w:val="Normal-em"/>
        <w:rPr>
          <w:color w:val="auto"/>
          <w:szCs w:val="24"/>
        </w:rPr>
      </w:pPr>
    </w:p>
    <w:p w:rsidR="0059269C" w:rsidRPr="00991888" w:rsidRDefault="0059269C" w:rsidP="00962FB7">
      <w:pPr>
        <w:pStyle w:val="Normal-em"/>
        <w:rPr>
          <w:color w:val="auto"/>
          <w:szCs w:val="24"/>
          <w:u w:val="single"/>
        </w:rPr>
      </w:pPr>
      <w:r w:rsidRPr="00991888">
        <w:rPr>
          <w:color w:val="auto"/>
          <w:szCs w:val="24"/>
          <w:u w:val="single"/>
        </w:rPr>
        <w:t>Section 2 – Commencement</w:t>
      </w:r>
    </w:p>
    <w:p w:rsidR="0059269C" w:rsidRPr="00991888" w:rsidRDefault="0059269C" w:rsidP="00962FB7">
      <w:pPr>
        <w:pStyle w:val="Normal-em"/>
        <w:rPr>
          <w:color w:val="auto"/>
          <w:szCs w:val="24"/>
        </w:rPr>
      </w:pPr>
    </w:p>
    <w:p w:rsidR="00204443" w:rsidRDefault="00204443" w:rsidP="00204443">
      <w:pPr>
        <w:pStyle w:val="Normal-em"/>
        <w:rPr>
          <w:color w:val="auto"/>
          <w:szCs w:val="24"/>
        </w:rPr>
      </w:pPr>
      <w:r w:rsidRPr="00E56F63">
        <w:rPr>
          <w:color w:val="auto"/>
          <w:szCs w:val="24"/>
        </w:rPr>
        <w:t xml:space="preserve">This Section provides that sections 1 to 4 and </w:t>
      </w:r>
      <w:r>
        <w:rPr>
          <w:color w:val="auto"/>
          <w:szCs w:val="24"/>
        </w:rPr>
        <w:t xml:space="preserve">the measures in </w:t>
      </w:r>
      <w:r w:rsidRPr="00E56F63">
        <w:rPr>
          <w:color w:val="auto"/>
          <w:szCs w:val="24"/>
        </w:rPr>
        <w:t xml:space="preserve">Schedule 2 commence </w:t>
      </w:r>
      <w:r w:rsidR="00E12099">
        <w:rPr>
          <w:color w:val="auto"/>
          <w:szCs w:val="24"/>
        </w:rPr>
        <w:t xml:space="preserve">on </w:t>
      </w:r>
      <w:r w:rsidRPr="00E56F63">
        <w:rPr>
          <w:color w:val="auto"/>
          <w:szCs w:val="24"/>
        </w:rPr>
        <w:t>the day after th</w:t>
      </w:r>
      <w:r>
        <w:rPr>
          <w:color w:val="auto"/>
          <w:szCs w:val="24"/>
        </w:rPr>
        <w:t>e Regulation</w:t>
      </w:r>
      <w:r w:rsidRPr="00E56F63">
        <w:rPr>
          <w:color w:val="auto"/>
          <w:szCs w:val="24"/>
        </w:rPr>
        <w:t xml:space="preserve"> is registered. </w:t>
      </w:r>
    </w:p>
    <w:p w:rsidR="00204443" w:rsidRDefault="00204443" w:rsidP="00204443">
      <w:pPr>
        <w:pStyle w:val="Normal-em"/>
        <w:rPr>
          <w:color w:val="auto"/>
          <w:szCs w:val="24"/>
        </w:rPr>
      </w:pPr>
    </w:p>
    <w:p w:rsidR="0059269C" w:rsidRDefault="00204443" w:rsidP="00204443">
      <w:pPr>
        <w:pStyle w:val="Normal-em"/>
        <w:rPr>
          <w:color w:val="auto"/>
          <w:szCs w:val="24"/>
        </w:rPr>
      </w:pPr>
      <w:r w:rsidRPr="00E56F63">
        <w:rPr>
          <w:color w:val="auto"/>
          <w:szCs w:val="24"/>
        </w:rPr>
        <w:t xml:space="preserve">The measures in Schedule 1 commence </w:t>
      </w:r>
      <w:r w:rsidR="008C0AED">
        <w:rPr>
          <w:color w:val="auto"/>
          <w:szCs w:val="24"/>
        </w:rPr>
        <w:t>either:</w:t>
      </w:r>
      <w:r>
        <w:rPr>
          <w:color w:val="auto"/>
          <w:szCs w:val="24"/>
        </w:rPr>
        <w:t xml:space="preserve"> on </w:t>
      </w:r>
      <w:r w:rsidRPr="00E56F63">
        <w:rPr>
          <w:color w:val="auto"/>
          <w:szCs w:val="24"/>
        </w:rPr>
        <w:t>the start of the day after th</w:t>
      </w:r>
      <w:r w:rsidR="00E12099">
        <w:rPr>
          <w:color w:val="auto"/>
          <w:szCs w:val="24"/>
        </w:rPr>
        <w:t>e Regulation</w:t>
      </w:r>
      <w:r w:rsidRPr="00E56F63">
        <w:rPr>
          <w:color w:val="auto"/>
          <w:szCs w:val="24"/>
        </w:rPr>
        <w:t xml:space="preserve"> is registered</w:t>
      </w:r>
      <w:r>
        <w:rPr>
          <w:color w:val="auto"/>
          <w:szCs w:val="24"/>
        </w:rPr>
        <w:t xml:space="preserve">; or </w:t>
      </w:r>
      <w:r w:rsidRPr="00E56F63">
        <w:rPr>
          <w:color w:val="auto"/>
          <w:szCs w:val="24"/>
        </w:rPr>
        <w:t xml:space="preserve">immediately after the commencement of the </w:t>
      </w:r>
      <w:r w:rsidRPr="00E56F63">
        <w:rPr>
          <w:i/>
        </w:rPr>
        <w:t>Illegal Logging Prohibition Amendment Regulation 2013 (No. 1)</w:t>
      </w:r>
      <w:r w:rsidRPr="00E56F63">
        <w:rPr>
          <w:color w:val="auto"/>
          <w:szCs w:val="24"/>
        </w:rPr>
        <w:t xml:space="preserve"> (</w:t>
      </w:r>
      <w:r>
        <w:rPr>
          <w:color w:val="auto"/>
          <w:szCs w:val="24"/>
        </w:rPr>
        <w:t xml:space="preserve">the </w:t>
      </w:r>
      <w:r w:rsidRPr="00E56F63">
        <w:rPr>
          <w:color w:val="auto"/>
          <w:szCs w:val="24"/>
        </w:rPr>
        <w:t>Amendment Regulation)</w:t>
      </w:r>
      <w:r>
        <w:rPr>
          <w:color w:val="auto"/>
          <w:szCs w:val="24"/>
        </w:rPr>
        <w:t>, whichever is later.</w:t>
      </w:r>
      <w:r w:rsidRPr="00F6092A">
        <w:rPr>
          <w:color w:val="auto"/>
          <w:szCs w:val="24"/>
        </w:rPr>
        <w:t xml:space="preserve">  </w:t>
      </w:r>
    </w:p>
    <w:p w:rsidR="00204443" w:rsidRPr="00836D6E" w:rsidRDefault="00204443" w:rsidP="00204443">
      <w:pPr>
        <w:pStyle w:val="Normal-em"/>
        <w:rPr>
          <w:color w:val="auto"/>
          <w:szCs w:val="24"/>
        </w:rPr>
      </w:pPr>
    </w:p>
    <w:p w:rsidR="0059269C" w:rsidRPr="00836D6E" w:rsidRDefault="0059269C" w:rsidP="00962FB7">
      <w:pPr>
        <w:pStyle w:val="Normal-em"/>
        <w:ind w:left="1440" w:hanging="1440"/>
        <w:rPr>
          <w:color w:val="auto"/>
          <w:szCs w:val="24"/>
          <w:u w:val="single"/>
        </w:rPr>
      </w:pPr>
      <w:r w:rsidRPr="00836D6E">
        <w:rPr>
          <w:color w:val="auto"/>
          <w:szCs w:val="24"/>
          <w:u w:val="single"/>
        </w:rPr>
        <w:t>Section 3 –</w:t>
      </w:r>
      <w:r w:rsidR="000D164C">
        <w:rPr>
          <w:color w:val="auto"/>
          <w:szCs w:val="24"/>
          <w:u w:val="single"/>
        </w:rPr>
        <w:t xml:space="preserve"> </w:t>
      </w:r>
      <w:r w:rsidR="007840F1">
        <w:rPr>
          <w:color w:val="auto"/>
          <w:szCs w:val="24"/>
          <w:u w:val="single"/>
        </w:rPr>
        <w:t xml:space="preserve">Authority </w:t>
      </w:r>
    </w:p>
    <w:p w:rsidR="0059269C" w:rsidRPr="00836D6E" w:rsidRDefault="0059269C" w:rsidP="00962FB7">
      <w:pPr>
        <w:pStyle w:val="Normal-em"/>
        <w:rPr>
          <w:color w:val="auto"/>
          <w:szCs w:val="24"/>
        </w:rPr>
      </w:pPr>
    </w:p>
    <w:p w:rsidR="0059269C" w:rsidRPr="00836D6E" w:rsidRDefault="0059269C" w:rsidP="00962FB7">
      <w:pPr>
        <w:pStyle w:val="Normal-em"/>
        <w:rPr>
          <w:iCs/>
          <w:color w:val="auto"/>
          <w:szCs w:val="24"/>
        </w:rPr>
      </w:pPr>
      <w:r w:rsidRPr="00836D6E">
        <w:rPr>
          <w:color w:val="auto"/>
          <w:szCs w:val="24"/>
        </w:rPr>
        <w:t>This Section provide</w:t>
      </w:r>
      <w:r>
        <w:rPr>
          <w:color w:val="auto"/>
          <w:szCs w:val="24"/>
        </w:rPr>
        <w:t>s</w:t>
      </w:r>
      <w:r w:rsidRPr="00836D6E">
        <w:rPr>
          <w:color w:val="auto"/>
          <w:szCs w:val="24"/>
        </w:rPr>
        <w:t xml:space="preserve"> </w:t>
      </w:r>
      <w:r>
        <w:rPr>
          <w:color w:val="auto"/>
          <w:szCs w:val="24"/>
        </w:rPr>
        <w:t xml:space="preserve">that the Regulation is made under the </w:t>
      </w:r>
      <w:r w:rsidRPr="00774629">
        <w:rPr>
          <w:i/>
          <w:color w:val="auto"/>
          <w:szCs w:val="24"/>
        </w:rPr>
        <w:t>Illegal Logging Prohibition Act 2012</w:t>
      </w:r>
      <w:r>
        <w:rPr>
          <w:color w:val="auto"/>
          <w:szCs w:val="24"/>
        </w:rPr>
        <w:t>.</w:t>
      </w:r>
    </w:p>
    <w:p w:rsidR="0059269C" w:rsidRDefault="0059269C" w:rsidP="00962FB7">
      <w:pPr>
        <w:pStyle w:val="Normal-em"/>
        <w:rPr>
          <w:iCs/>
          <w:color w:val="auto"/>
          <w:szCs w:val="24"/>
        </w:rPr>
      </w:pPr>
    </w:p>
    <w:p w:rsidR="00C72585" w:rsidRPr="00991888" w:rsidRDefault="00C72585" w:rsidP="00C72585">
      <w:pPr>
        <w:pStyle w:val="Normal-em"/>
        <w:rPr>
          <w:iCs/>
          <w:u w:val="single"/>
        </w:rPr>
      </w:pPr>
      <w:r w:rsidRPr="00991888">
        <w:rPr>
          <w:iCs/>
          <w:u w:val="single"/>
        </w:rPr>
        <w:t>Section 4 – Schedules</w:t>
      </w:r>
    </w:p>
    <w:p w:rsidR="007608DE" w:rsidRPr="00991888" w:rsidRDefault="007608DE" w:rsidP="00C72585">
      <w:pPr>
        <w:pStyle w:val="Normal-em"/>
        <w:rPr>
          <w:iCs/>
        </w:rPr>
      </w:pPr>
    </w:p>
    <w:p w:rsidR="00C72585" w:rsidRPr="00C72585" w:rsidRDefault="00C72585" w:rsidP="00C72585">
      <w:pPr>
        <w:pStyle w:val="Normal-em"/>
        <w:rPr>
          <w:iCs/>
        </w:rPr>
      </w:pPr>
      <w:r w:rsidRPr="00991888">
        <w:rPr>
          <w:iCs/>
        </w:rPr>
        <w:t xml:space="preserve">This Section provides for the </w:t>
      </w:r>
      <w:r w:rsidRPr="00991888">
        <w:rPr>
          <w:i/>
          <w:iCs/>
        </w:rPr>
        <w:t xml:space="preserve">Illegal Logging Prohibition Act 2012 </w:t>
      </w:r>
      <w:r w:rsidRPr="00991888">
        <w:rPr>
          <w:iCs/>
        </w:rPr>
        <w:t>to be amended as set out in Schedule 1 and 2.</w:t>
      </w:r>
    </w:p>
    <w:p w:rsidR="00C72585" w:rsidRPr="00836D6E" w:rsidRDefault="00C72585" w:rsidP="00962FB7">
      <w:pPr>
        <w:pStyle w:val="Normal-em"/>
        <w:rPr>
          <w:iCs/>
          <w:color w:val="auto"/>
          <w:szCs w:val="24"/>
        </w:rPr>
      </w:pPr>
    </w:p>
    <w:p w:rsidR="0059269C" w:rsidRPr="00836D6E" w:rsidRDefault="0059269C" w:rsidP="00962FB7">
      <w:pPr>
        <w:pStyle w:val="Normal-em"/>
        <w:rPr>
          <w:color w:val="auto"/>
          <w:szCs w:val="24"/>
        </w:rPr>
      </w:pPr>
      <w:r w:rsidRPr="00836D6E">
        <w:rPr>
          <w:color w:val="auto"/>
          <w:szCs w:val="24"/>
          <w:u w:val="single"/>
        </w:rPr>
        <w:t>Schedule 1 – Amendments</w:t>
      </w:r>
    </w:p>
    <w:p w:rsidR="0059269C" w:rsidRPr="002B125B" w:rsidRDefault="0059269C" w:rsidP="00962FB7">
      <w:pPr>
        <w:pStyle w:val="Normal-em"/>
        <w:rPr>
          <w:iCs/>
          <w:color w:val="auto"/>
          <w:szCs w:val="24"/>
        </w:rPr>
      </w:pPr>
    </w:p>
    <w:p w:rsidR="0059269C" w:rsidRPr="002B125B" w:rsidRDefault="0059269C" w:rsidP="00962FB7">
      <w:pPr>
        <w:pStyle w:val="Normal-em"/>
        <w:rPr>
          <w:iCs/>
          <w:color w:val="auto"/>
          <w:szCs w:val="24"/>
        </w:rPr>
      </w:pPr>
      <w:r w:rsidRPr="002B125B">
        <w:rPr>
          <w:b/>
          <w:color w:val="auto"/>
          <w:szCs w:val="24"/>
        </w:rPr>
        <w:t>Item 1</w:t>
      </w:r>
      <w:r w:rsidRPr="002B125B">
        <w:rPr>
          <w:color w:val="auto"/>
          <w:szCs w:val="24"/>
        </w:rPr>
        <w:t xml:space="preserve"> amends subsection 6(3) to insert the term ‘medium density fibreboard’ and omit the term ‘plywood’.</w:t>
      </w:r>
    </w:p>
    <w:p w:rsidR="0059269C" w:rsidRPr="002B125B" w:rsidRDefault="0059269C" w:rsidP="00962FB7">
      <w:pPr>
        <w:rPr>
          <w:rFonts w:ascii="Times New Roman" w:hAnsi="Times New Roman" w:cs="Times New Roman"/>
          <w:sz w:val="24"/>
        </w:rPr>
      </w:pPr>
    </w:p>
    <w:p w:rsidR="0059269C" w:rsidRPr="002B125B" w:rsidRDefault="0059269C" w:rsidP="00962FB7">
      <w:pPr>
        <w:pStyle w:val="Normal-em"/>
        <w:rPr>
          <w:color w:val="auto"/>
          <w:szCs w:val="24"/>
        </w:rPr>
      </w:pPr>
      <w:r w:rsidRPr="002B125B">
        <w:rPr>
          <w:b/>
          <w:color w:val="auto"/>
          <w:szCs w:val="24"/>
        </w:rPr>
        <w:t xml:space="preserve">Item 2 </w:t>
      </w:r>
      <w:r w:rsidRPr="002B125B">
        <w:rPr>
          <w:color w:val="auto"/>
          <w:szCs w:val="24"/>
        </w:rPr>
        <w:t>amends subparagraph 10(2)(a)(ii) to insert the term ‘or scientific name’ and omit the term ‘and scientific name’.</w:t>
      </w:r>
    </w:p>
    <w:p w:rsidR="0059269C" w:rsidRPr="002B125B" w:rsidRDefault="0059269C" w:rsidP="00962FB7">
      <w:pPr>
        <w:pStyle w:val="Normal-em"/>
        <w:rPr>
          <w:color w:val="auto"/>
          <w:szCs w:val="24"/>
        </w:rPr>
      </w:pPr>
    </w:p>
    <w:p w:rsidR="0059269C" w:rsidRPr="002B125B" w:rsidRDefault="0059269C" w:rsidP="00962FB7">
      <w:pPr>
        <w:pStyle w:val="Normal-em"/>
        <w:rPr>
          <w:color w:val="auto"/>
          <w:szCs w:val="24"/>
        </w:rPr>
      </w:pPr>
      <w:r w:rsidRPr="002B125B">
        <w:rPr>
          <w:b/>
          <w:color w:val="auto"/>
          <w:szCs w:val="24"/>
        </w:rPr>
        <w:t>Item 3</w:t>
      </w:r>
      <w:r w:rsidRPr="002B125B">
        <w:rPr>
          <w:color w:val="auto"/>
          <w:szCs w:val="24"/>
        </w:rPr>
        <w:t xml:space="preserve"> amends paragraph 14(3)(a) to insert the term ‘independent’ and omit the term ‘third party’.</w:t>
      </w:r>
    </w:p>
    <w:p w:rsidR="0059269C" w:rsidRPr="002B125B" w:rsidRDefault="0059269C" w:rsidP="00962FB7">
      <w:pPr>
        <w:pStyle w:val="Normal-em"/>
        <w:rPr>
          <w:color w:val="auto"/>
          <w:szCs w:val="24"/>
        </w:rPr>
      </w:pPr>
    </w:p>
    <w:p w:rsidR="0059269C" w:rsidRDefault="0059269C" w:rsidP="00962FB7">
      <w:pPr>
        <w:pStyle w:val="Normal-em"/>
        <w:rPr>
          <w:color w:val="auto"/>
          <w:szCs w:val="24"/>
        </w:rPr>
      </w:pPr>
      <w:r w:rsidRPr="00A5526F">
        <w:rPr>
          <w:b/>
          <w:color w:val="auto"/>
          <w:szCs w:val="24"/>
        </w:rPr>
        <w:t>Item 4</w:t>
      </w:r>
      <w:r>
        <w:rPr>
          <w:color w:val="auto"/>
          <w:szCs w:val="24"/>
        </w:rPr>
        <w:t xml:space="preserve"> amends paragraph 14(3)(b) to insert ‘using the procedures in subsection 11(2), 12(2) or 13(2)’ and omit ‘consideration of each of the matters mentioned in subsection 13(2)’.</w:t>
      </w:r>
    </w:p>
    <w:p w:rsidR="0059269C" w:rsidRDefault="0059269C" w:rsidP="00962FB7">
      <w:pPr>
        <w:pStyle w:val="Normal-em"/>
        <w:rPr>
          <w:color w:val="auto"/>
          <w:szCs w:val="24"/>
        </w:rPr>
      </w:pPr>
    </w:p>
    <w:p w:rsidR="0059269C" w:rsidRDefault="0059269C" w:rsidP="00962FB7">
      <w:pPr>
        <w:pStyle w:val="Normal-em"/>
        <w:rPr>
          <w:color w:val="auto"/>
          <w:szCs w:val="24"/>
        </w:rPr>
      </w:pPr>
      <w:r w:rsidRPr="00A5526F">
        <w:rPr>
          <w:b/>
          <w:color w:val="auto"/>
          <w:szCs w:val="24"/>
        </w:rPr>
        <w:t>Item 5</w:t>
      </w:r>
      <w:r>
        <w:rPr>
          <w:color w:val="auto"/>
          <w:szCs w:val="24"/>
        </w:rPr>
        <w:t xml:space="preserve"> amends paragraph 19(2)(f) to insert the term ‘processor’ and omit the term ‘importer’.</w:t>
      </w:r>
    </w:p>
    <w:p w:rsidR="0059269C" w:rsidRDefault="0059269C" w:rsidP="00962FB7">
      <w:pPr>
        <w:pStyle w:val="Normal-em"/>
        <w:rPr>
          <w:color w:val="auto"/>
          <w:szCs w:val="24"/>
        </w:rPr>
      </w:pPr>
    </w:p>
    <w:p w:rsidR="0059269C" w:rsidRDefault="0059269C" w:rsidP="00962FB7">
      <w:pPr>
        <w:pStyle w:val="Normal-em"/>
        <w:rPr>
          <w:color w:val="auto"/>
          <w:szCs w:val="24"/>
        </w:rPr>
      </w:pPr>
      <w:r w:rsidRPr="004F35ED">
        <w:rPr>
          <w:b/>
          <w:color w:val="auto"/>
          <w:szCs w:val="24"/>
        </w:rPr>
        <w:t>Item 6</w:t>
      </w:r>
      <w:r>
        <w:rPr>
          <w:color w:val="auto"/>
          <w:szCs w:val="24"/>
        </w:rPr>
        <w:t xml:space="preserve"> amends paragraph 23(3)(a) to insert the term ‘independent’ and omit the term ‘third party’.</w:t>
      </w:r>
    </w:p>
    <w:p w:rsidR="0059269C" w:rsidRDefault="0059269C" w:rsidP="00962FB7">
      <w:pPr>
        <w:pStyle w:val="Normal-em"/>
        <w:rPr>
          <w:color w:val="auto"/>
          <w:szCs w:val="24"/>
        </w:rPr>
      </w:pPr>
    </w:p>
    <w:p w:rsidR="0059269C" w:rsidRDefault="0059269C" w:rsidP="00962FB7">
      <w:pPr>
        <w:pStyle w:val="Normal-em"/>
        <w:rPr>
          <w:color w:val="auto"/>
          <w:szCs w:val="24"/>
        </w:rPr>
      </w:pPr>
      <w:r w:rsidRPr="004F35ED">
        <w:rPr>
          <w:b/>
          <w:color w:val="auto"/>
          <w:szCs w:val="24"/>
        </w:rPr>
        <w:t>Item 7</w:t>
      </w:r>
      <w:r>
        <w:rPr>
          <w:color w:val="auto"/>
          <w:szCs w:val="24"/>
        </w:rPr>
        <w:t xml:space="preserve"> amends paragraph 23(3)(b) to insert ‘using the procedures in subsection 20(2), 21(2) or 22(2)’ and omit ‘consideration of each of the matters mentioned in subsection 22(2)’.</w:t>
      </w:r>
    </w:p>
    <w:p w:rsidR="0059269C" w:rsidRDefault="0059269C" w:rsidP="00962FB7">
      <w:pPr>
        <w:pStyle w:val="Normal-em"/>
        <w:rPr>
          <w:color w:val="auto"/>
          <w:szCs w:val="24"/>
        </w:rPr>
      </w:pPr>
    </w:p>
    <w:p w:rsidR="0059269C" w:rsidRDefault="0059269C" w:rsidP="00962FB7">
      <w:pPr>
        <w:pStyle w:val="Normal-em"/>
        <w:rPr>
          <w:color w:val="auto"/>
          <w:szCs w:val="24"/>
        </w:rPr>
      </w:pPr>
      <w:r w:rsidRPr="004F35ED">
        <w:rPr>
          <w:b/>
          <w:color w:val="auto"/>
          <w:szCs w:val="24"/>
        </w:rPr>
        <w:lastRenderedPageBreak/>
        <w:t>Item 8</w:t>
      </w:r>
      <w:r>
        <w:rPr>
          <w:color w:val="auto"/>
          <w:szCs w:val="24"/>
        </w:rPr>
        <w:t xml:space="preserve"> inserts additional items in Schedule 2 at the end of the Regulation.</w:t>
      </w:r>
    </w:p>
    <w:p w:rsidR="0059269C" w:rsidRDefault="0059269C" w:rsidP="00962FB7">
      <w:pPr>
        <w:pStyle w:val="Normal-em"/>
        <w:rPr>
          <w:color w:val="auto"/>
          <w:szCs w:val="24"/>
        </w:rPr>
      </w:pPr>
    </w:p>
    <w:p w:rsidR="0059269C" w:rsidRPr="006809E4" w:rsidRDefault="0059269C" w:rsidP="00962FB7">
      <w:pPr>
        <w:pStyle w:val="Normal-em"/>
        <w:rPr>
          <w:color w:val="auto"/>
          <w:szCs w:val="24"/>
          <w:u w:val="single"/>
        </w:rPr>
      </w:pPr>
      <w:r w:rsidRPr="006809E4">
        <w:rPr>
          <w:color w:val="auto"/>
          <w:szCs w:val="24"/>
          <w:u w:val="single"/>
        </w:rPr>
        <w:t>Schedule 2 – Timber legality frameworks, country specific guidelines and state specific guidelines</w:t>
      </w:r>
    </w:p>
    <w:p w:rsidR="0059269C" w:rsidRDefault="0059269C" w:rsidP="00962FB7">
      <w:pPr>
        <w:pStyle w:val="Normal-em"/>
        <w:rPr>
          <w:color w:val="auto"/>
          <w:szCs w:val="24"/>
        </w:rPr>
      </w:pPr>
    </w:p>
    <w:p w:rsidR="0059269C" w:rsidRPr="006809E4" w:rsidRDefault="0059269C" w:rsidP="00962FB7">
      <w:pPr>
        <w:pStyle w:val="Normal-em"/>
        <w:rPr>
          <w:i/>
          <w:color w:val="auto"/>
          <w:szCs w:val="24"/>
        </w:rPr>
      </w:pPr>
      <w:r w:rsidRPr="006809E4">
        <w:rPr>
          <w:i/>
          <w:color w:val="auto"/>
          <w:szCs w:val="24"/>
        </w:rPr>
        <w:t>Part 1 – Timber legality frameworks</w:t>
      </w:r>
    </w:p>
    <w:p w:rsidR="0059269C" w:rsidRDefault="0059269C" w:rsidP="00962FB7">
      <w:pPr>
        <w:pStyle w:val="Normal-em"/>
        <w:rPr>
          <w:color w:val="auto"/>
          <w:szCs w:val="24"/>
        </w:rPr>
      </w:pPr>
    </w:p>
    <w:p w:rsidR="00204443" w:rsidRPr="000C2D6F" w:rsidRDefault="0059269C" w:rsidP="00204443">
      <w:pPr>
        <w:rPr>
          <w:rFonts w:ascii="Times New Roman" w:hAnsi="Times New Roman" w:cs="Times New Roman"/>
          <w:sz w:val="24"/>
        </w:rPr>
      </w:pPr>
      <w:r w:rsidRPr="001910AA">
        <w:rPr>
          <w:rFonts w:ascii="Times New Roman" w:hAnsi="Times New Roman" w:cs="Times New Roman"/>
          <w:sz w:val="24"/>
        </w:rPr>
        <w:t xml:space="preserve">Timber legality frameworks are listed for the purpose of satisfying the optional requirements in sections 11 and 20 of the </w:t>
      </w:r>
      <w:r w:rsidR="00880B74">
        <w:rPr>
          <w:rFonts w:ascii="Times New Roman" w:hAnsi="Times New Roman" w:cs="Times New Roman"/>
          <w:sz w:val="24"/>
        </w:rPr>
        <w:t>Amendment</w:t>
      </w:r>
      <w:r w:rsidRPr="001910AA">
        <w:rPr>
          <w:rFonts w:ascii="Times New Roman" w:hAnsi="Times New Roman" w:cs="Times New Roman"/>
          <w:sz w:val="24"/>
        </w:rPr>
        <w:t xml:space="preserve"> Regulation. An importer or processor can use these frameworks when undertaking due diligence. </w:t>
      </w:r>
      <w:r w:rsidR="00204443">
        <w:rPr>
          <w:rFonts w:ascii="Times New Roman" w:hAnsi="Times New Roman" w:cs="Times New Roman"/>
          <w:sz w:val="24"/>
        </w:rPr>
        <w:t>S</w:t>
      </w:r>
      <w:r w:rsidR="00204443" w:rsidRPr="000C2D6F">
        <w:rPr>
          <w:rFonts w:ascii="Times New Roman" w:hAnsi="Times New Roman" w:cs="Times New Roman"/>
          <w:sz w:val="24"/>
        </w:rPr>
        <w:t xml:space="preserve">ections 11 and 20 </w:t>
      </w:r>
      <w:r w:rsidR="00204443">
        <w:rPr>
          <w:rFonts w:ascii="Times New Roman" w:hAnsi="Times New Roman" w:cs="Times New Roman"/>
          <w:sz w:val="24"/>
        </w:rPr>
        <w:t xml:space="preserve">of the Amendment Regulation </w:t>
      </w:r>
      <w:r w:rsidR="00204443" w:rsidRPr="000C2D6F">
        <w:rPr>
          <w:rFonts w:ascii="Times New Roman" w:hAnsi="Times New Roman" w:cs="Times New Roman"/>
          <w:sz w:val="24"/>
        </w:rPr>
        <w:t>provide the circumstances for using these frameworks and the potential interaction with ‘risk assessment’ (</w:t>
      </w:r>
      <w:r w:rsidR="00204443">
        <w:rPr>
          <w:rFonts w:ascii="Times New Roman" w:hAnsi="Times New Roman" w:cs="Times New Roman"/>
          <w:sz w:val="24"/>
        </w:rPr>
        <w:t>s</w:t>
      </w:r>
      <w:r w:rsidR="00204443" w:rsidRPr="000C2D6F">
        <w:rPr>
          <w:rFonts w:ascii="Times New Roman" w:hAnsi="Times New Roman" w:cs="Times New Roman"/>
          <w:sz w:val="24"/>
        </w:rPr>
        <w:t xml:space="preserve">ections 13 and 22) and ‘risk mitigation’ (sections 14 and 23). </w:t>
      </w:r>
    </w:p>
    <w:p w:rsidR="00204443" w:rsidRPr="00D07837" w:rsidRDefault="00204443" w:rsidP="00962FB7">
      <w:pPr>
        <w:rPr>
          <w:rFonts w:ascii="Times New Roman" w:hAnsi="Times New Roman" w:cs="Times New Roman"/>
          <w:sz w:val="24"/>
          <w:highlight w:val="yellow"/>
        </w:rPr>
      </w:pPr>
    </w:p>
    <w:p w:rsidR="00204443" w:rsidRPr="002C22A6" w:rsidRDefault="00204443" w:rsidP="00204443">
      <w:pPr>
        <w:rPr>
          <w:rFonts w:ascii="Times New Roman" w:hAnsi="Times New Roman" w:cs="Times New Roman"/>
          <w:sz w:val="24"/>
        </w:rPr>
      </w:pPr>
      <w:r w:rsidRPr="002C22A6">
        <w:rPr>
          <w:rFonts w:ascii="Times New Roman" w:hAnsi="Times New Roman" w:cs="Times New Roman"/>
          <w:sz w:val="24"/>
        </w:rPr>
        <w:t xml:space="preserve">The intention </w:t>
      </w:r>
      <w:r>
        <w:rPr>
          <w:rFonts w:ascii="Times New Roman" w:hAnsi="Times New Roman" w:cs="Times New Roman"/>
          <w:sz w:val="24"/>
        </w:rPr>
        <w:t>of</w:t>
      </w:r>
      <w:r w:rsidRPr="002C22A6">
        <w:rPr>
          <w:rFonts w:ascii="Times New Roman" w:hAnsi="Times New Roman" w:cs="Times New Roman"/>
          <w:sz w:val="24"/>
        </w:rPr>
        <w:t xml:space="preserve"> these provisions </w:t>
      </w:r>
      <w:r>
        <w:rPr>
          <w:rFonts w:ascii="Times New Roman" w:hAnsi="Times New Roman" w:cs="Times New Roman"/>
          <w:sz w:val="24"/>
        </w:rPr>
        <w:t xml:space="preserve">is to enable </w:t>
      </w:r>
      <w:r w:rsidRPr="002C22A6">
        <w:rPr>
          <w:rFonts w:ascii="Times New Roman" w:hAnsi="Times New Roman" w:cs="Times New Roman"/>
          <w:sz w:val="24"/>
        </w:rPr>
        <w:t>importers and processors to use the timber legality frameworks listed</w:t>
      </w:r>
      <w:r>
        <w:rPr>
          <w:rFonts w:ascii="Times New Roman" w:hAnsi="Times New Roman" w:cs="Times New Roman"/>
          <w:sz w:val="24"/>
        </w:rPr>
        <w:t>,</w:t>
      </w:r>
      <w:r w:rsidRPr="002C22A6">
        <w:rPr>
          <w:rFonts w:ascii="Times New Roman" w:hAnsi="Times New Roman" w:cs="Times New Roman"/>
          <w:sz w:val="24"/>
        </w:rPr>
        <w:t xml:space="preserve"> in conjunction with the information gathered under sections 10 and 19 of the Amendment Regulation, to provide an acceptable level of assurance </w:t>
      </w:r>
      <w:r>
        <w:rPr>
          <w:rFonts w:ascii="Times New Roman" w:hAnsi="Times New Roman" w:cs="Times New Roman"/>
          <w:sz w:val="24"/>
        </w:rPr>
        <w:t xml:space="preserve">of the legal compliance and legal origins of </w:t>
      </w:r>
      <w:r w:rsidRPr="002C22A6">
        <w:rPr>
          <w:rFonts w:ascii="Times New Roman" w:hAnsi="Times New Roman" w:cs="Times New Roman"/>
          <w:sz w:val="24"/>
        </w:rPr>
        <w:t>timber harvested in accordance with the frameworks</w:t>
      </w:r>
      <w:r>
        <w:rPr>
          <w:rFonts w:ascii="Times New Roman" w:hAnsi="Times New Roman" w:cs="Times New Roman"/>
          <w:sz w:val="24"/>
        </w:rPr>
        <w:t>.</w:t>
      </w:r>
      <w:r w:rsidRPr="002C22A6">
        <w:rPr>
          <w:rFonts w:ascii="Times New Roman" w:hAnsi="Times New Roman" w:cs="Times New Roman"/>
          <w:sz w:val="24"/>
        </w:rPr>
        <w:t xml:space="preserve"> </w:t>
      </w:r>
    </w:p>
    <w:p w:rsidR="0059269C" w:rsidRPr="00D07837" w:rsidRDefault="0059269C" w:rsidP="00962FB7">
      <w:pPr>
        <w:rPr>
          <w:rFonts w:ascii="Times New Roman" w:hAnsi="Times New Roman" w:cs="Times New Roman"/>
          <w:sz w:val="24"/>
          <w:highlight w:val="yellow"/>
        </w:rPr>
      </w:pPr>
    </w:p>
    <w:p w:rsidR="0059269C" w:rsidRPr="00D07837" w:rsidRDefault="00E12099" w:rsidP="00962FB7">
      <w:pPr>
        <w:rPr>
          <w:rFonts w:ascii="Times New Roman" w:hAnsi="Times New Roman" w:cs="Times New Roman"/>
          <w:sz w:val="24"/>
        </w:rPr>
      </w:pPr>
      <w:r>
        <w:rPr>
          <w:rFonts w:ascii="Times New Roman" w:hAnsi="Times New Roman" w:cs="Times New Roman"/>
          <w:sz w:val="24"/>
        </w:rPr>
        <w:t>This assurance</w:t>
      </w:r>
      <w:r w:rsidR="0059269C" w:rsidRPr="00054F47">
        <w:rPr>
          <w:rFonts w:ascii="Times New Roman" w:hAnsi="Times New Roman" w:cs="Times New Roman"/>
          <w:sz w:val="24"/>
        </w:rPr>
        <w:t xml:space="preserve"> also appl</w:t>
      </w:r>
      <w:r>
        <w:rPr>
          <w:rFonts w:ascii="Times New Roman" w:hAnsi="Times New Roman" w:cs="Times New Roman"/>
          <w:sz w:val="24"/>
        </w:rPr>
        <w:t>ies</w:t>
      </w:r>
      <w:r w:rsidR="0059269C" w:rsidRPr="00054F47">
        <w:rPr>
          <w:rFonts w:ascii="Times New Roman" w:hAnsi="Times New Roman" w:cs="Times New Roman"/>
          <w:sz w:val="24"/>
        </w:rPr>
        <w:t xml:space="preserve"> to in-country schemes endorsed or licensed under these timber legality frameworks, such as the Australian Forestry Standard.</w:t>
      </w:r>
    </w:p>
    <w:p w:rsidR="0059269C" w:rsidRDefault="0059269C" w:rsidP="00962FB7">
      <w:pPr>
        <w:pStyle w:val="Normal-em"/>
        <w:rPr>
          <w:color w:val="auto"/>
          <w:szCs w:val="24"/>
        </w:rPr>
      </w:pPr>
    </w:p>
    <w:p w:rsidR="0059269C" w:rsidRPr="006809E4" w:rsidRDefault="0059269C" w:rsidP="00962FB7">
      <w:pPr>
        <w:pStyle w:val="Normal-em"/>
        <w:rPr>
          <w:i/>
          <w:color w:val="auto"/>
          <w:szCs w:val="24"/>
        </w:rPr>
      </w:pPr>
      <w:r w:rsidRPr="006809E4">
        <w:rPr>
          <w:i/>
          <w:color w:val="auto"/>
          <w:szCs w:val="24"/>
        </w:rPr>
        <w:t>Part 2 – Country specific guidelines</w:t>
      </w:r>
    </w:p>
    <w:p w:rsidR="0059269C" w:rsidRDefault="0059269C" w:rsidP="00962FB7">
      <w:pPr>
        <w:pStyle w:val="Normal-em"/>
        <w:rPr>
          <w:color w:val="auto"/>
          <w:szCs w:val="24"/>
        </w:rPr>
      </w:pPr>
    </w:p>
    <w:p w:rsidR="0059269C" w:rsidRPr="00923F92" w:rsidRDefault="0059269C" w:rsidP="00962FB7">
      <w:pPr>
        <w:rPr>
          <w:rFonts w:ascii="Times New Roman" w:hAnsi="Times New Roman" w:cs="Times New Roman"/>
          <w:sz w:val="24"/>
        </w:rPr>
      </w:pPr>
      <w:r w:rsidRPr="00923F92">
        <w:rPr>
          <w:rFonts w:ascii="Times New Roman" w:hAnsi="Times New Roman" w:cs="Times New Roman"/>
          <w:sz w:val="24"/>
        </w:rPr>
        <w:t xml:space="preserve">Country specific guidelines are being developed by the relevant Australian Government department in consultation with trading partner governments. The guidelines list a range of relevant information about legal timber from a country of harvest which may be used by importers to satisfy the optional requirements in section 12 of the </w:t>
      </w:r>
      <w:r w:rsidR="00880B74">
        <w:rPr>
          <w:rFonts w:ascii="Times New Roman" w:hAnsi="Times New Roman" w:cs="Times New Roman"/>
          <w:sz w:val="24"/>
        </w:rPr>
        <w:t>Amendment</w:t>
      </w:r>
      <w:r w:rsidRPr="00923F92">
        <w:rPr>
          <w:rFonts w:ascii="Times New Roman" w:hAnsi="Times New Roman" w:cs="Times New Roman"/>
          <w:sz w:val="24"/>
        </w:rPr>
        <w:t xml:space="preserve"> Regulation. </w:t>
      </w:r>
    </w:p>
    <w:p w:rsidR="0059269C" w:rsidRPr="00F25343" w:rsidRDefault="0059269C" w:rsidP="00962FB7">
      <w:pPr>
        <w:rPr>
          <w:rFonts w:ascii="Times New Roman" w:hAnsi="Times New Roman" w:cs="Times New Roman"/>
          <w:sz w:val="24"/>
          <w:highlight w:val="yellow"/>
        </w:rPr>
      </w:pPr>
    </w:p>
    <w:p w:rsidR="00204443" w:rsidRDefault="0059269C" w:rsidP="00962FB7">
      <w:pPr>
        <w:rPr>
          <w:rFonts w:ascii="Times New Roman" w:hAnsi="Times New Roman" w:cs="Times New Roman"/>
          <w:sz w:val="24"/>
        </w:rPr>
      </w:pPr>
      <w:r w:rsidRPr="00747672">
        <w:rPr>
          <w:rFonts w:ascii="Times New Roman" w:hAnsi="Times New Roman" w:cs="Times New Roman"/>
          <w:sz w:val="24"/>
        </w:rPr>
        <w:t>The country specific guidelines are lis</w:t>
      </w:r>
      <w:r>
        <w:rPr>
          <w:rFonts w:ascii="Times New Roman" w:hAnsi="Times New Roman" w:cs="Times New Roman"/>
          <w:sz w:val="24"/>
        </w:rPr>
        <w:t xml:space="preserve">ted for individual countries in </w:t>
      </w:r>
      <w:r w:rsidR="00390061">
        <w:rPr>
          <w:rFonts w:ascii="Times New Roman" w:hAnsi="Times New Roman" w:cs="Times New Roman"/>
          <w:sz w:val="24"/>
        </w:rPr>
        <w:t>alphabetical</w:t>
      </w:r>
      <w:r>
        <w:rPr>
          <w:rFonts w:ascii="Times New Roman" w:hAnsi="Times New Roman" w:cs="Times New Roman"/>
          <w:sz w:val="24"/>
        </w:rPr>
        <w:t xml:space="preserve"> order by </w:t>
      </w:r>
      <w:r w:rsidR="00390061">
        <w:rPr>
          <w:rFonts w:ascii="Times New Roman" w:hAnsi="Times New Roman" w:cs="Times New Roman"/>
          <w:sz w:val="24"/>
        </w:rPr>
        <w:t>country name.</w:t>
      </w:r>
      <w:r>
        <w:rPr>
          <w:rFonts w:ascii="Times New Roman" w:hAnsi="Times New Roman" w:cs="Times New Roman"/>
          <w:sz w:val="24"/>
        </w:rPr>
        <w:t xml:space="preserve"> </w:t>
      </w:r>
    </w:p>
    <w:p w:rsidR="00204443" w:rsidRDefault="00204443" w:rsidP="00962FB7">
      <w:pPr>
        <w:rPr>
          <w:rFonts w:ascii="Times New Roman" w:hAnsi="Times New Roman" w:cs="Times New Roman"/>
          <w:sz w:val="24"/>
        </w:rPr>
      </w:pPr>
    </w:p>
    <w:p w:rsidR="0059269C" w:rsidRPr="00747672" w:rsidRDefault="0059269C" w:rsidP="00962FB7">
      <w:pPr>
        <w:rPr>
          <w:rFonts w:ascii="Times New Roman" w:hAnsi="Times New Roman" w:cs="Times New Roman"/>
          <w:sz w:val="24"/>
        </w:rPr>
      </w:pPr>
      <w:r>
        <w:rPr>
          <w:rFonts w:ascii="Times New Roman" w:hAnsi="Times New Roman" w:cs="Times New Roman"/>
          <w:sz w:val="24"/>
        </w:rPr>
        <w:t>The country specific guidelines</w:t>
      </w:r>
      <w:r w:rsidRPr="00747672">
        <w:rPr>
          <w:rFonts w:ascii="Times New Roman" w:hAnsi="Times New Roman" w:cs="Times New Roman"/>
          <w:sz w:val="24"/>
        </w:rPr>
        <w:t xml:space="preserve"> will be consistent with the definition of ‘illegally logged’ in the Act, that is, ‘in relation to timber, means harvested in contravention of the laws in force in the place (whether or not in Australia) where the timber was harvested’.</w:t>
      </w:r>
    </w:p>
    <w:p w:rsidR="0059269C" w:rsidRPr="00F25343" w:rsidRDefault="0059269C" w:rsidP="00962FB7">
      <w:pPr>
        <w:rPr>
          <w:rFonts w:ascii="Times New Roman" w:hAnsi="Times New Roman" w:cs="Times New Roman"/>
          <w:sz w:val="24"/>
          <w:highlight w:val="yellow"/>
        </w:rPr>
      </w:pPr>
      <w:r w:rsidRPr="00F25343">
        <w:rPr>
          <w:rFonts w:ascii="Times New Roman" w:hAnsi="Times New Roman" w:cs="Times New Roman"/>
          <w:sz w:val="24"/>
          <w:highlight w:val="yellow"/>
        </w:rPr>
        <w:t xml:space="preserve"> </w:t>
      </w:r>
    </w:p>
    <w:p w:rsidR="0059269C" w:rsidRDefault="0059269C" w:rsidP="00962FB7">
      <w:pPr>
        <w:rPr>
          <w:rFonts w:ascii="Times New Roman" w:hAnsi="Times New Roman" w:cs="Times New Roman"/>
          <w:sz w:val="24"/>
        </w:rPr>
      </w:pPr>
      <w:r w:rsidRPr="003F2D33">
        <w:rPr>
          <w:rFonts w:ascii="Times New Roman" w:hAnsi="Times New Roman" w:cs="Times New Roman"/>
          <w:sz w:val="24"/>
        </w:rPr>
        <w:t xml:space="preserve">Each country specific guideline includes information on timber harvesting legislation in the country of origin, lists the relevant government authorities and provides their contact details. Each country specific guideline may also list relevant documents issued by the government authorities that an importer may obtain to help satisfy section 12 of the </w:t>
      </w:r>
      <w:r w:rsidR="00880B74">
        <w:rPr>
          <w:rFonts w:ascii="Times New Roman" w:hAnsi="Times New Roman" w:cs="Times New Roman"/>
          <w:sz w:val="24"/>
        </w:rPr>
        <w:t>Amendment</w:t>
      </w:r>
      <w:r w:rsidRPr="003F2D33">
        <w:rPr>
          <w:rFonts w:ascii="Times New Roman" w:hAnsi="Times New Roman" w:cs="Times New Roman"/>
          <w:sz w:val="24"/>
        </w:rPr>
        <w:t xml:space="preserve"> Regulation.</w:t>
      </w:r>
      <w:r>
        <w:rPr>
          <w:rFonts w:ascii="Times New Roman" w:hAnsi="Times New Roman" w:cs="Times New Roman"/>
          <w:sz w:val="24"/>
        </w:rPr>
        <w:t xml:space="preserve"> </w:t>
      </w:r>
    </w:p>
    <w:p w:rsidR="0059269C" w:rsidRDefault="0059269C" w:rsidP="00962FB7">
      <w:pPr>
        <w:pStyle w:val="Normal-em"/>
        <w:rPr>
          <w:color w:val="auto"/>
          <w:szCs w:val="24"/>
        </w:rPr>
      </w:pPr>
    </w:p>
    <w:p w:rsidR="0059269C" w:rsidRPr="006809E4" w:rsidRDefault="0059269C" w:rsidP="00962FB7">
      <w:pPr>
        <w:pStyle w:val="Normal-em"/>
        <w:rPr>
          <w:i/>
          <w:color w:val="auto"/>
          <w:szCs w:val="24"/>
        </w:rPr>
      </w:pPr>
      <w:r w:rsidRPr="006809E4">
        <w:rPr>
          <w:i/>
          <w:color w:val="auto"/>
          <w:szCs w:val="24"/>
        </w:rPr>
        <w:t>Part 3 – State specific guidelines</w:t>
      </w:r>
    </w:p>
    <w:p w:rsidR="0059269C" w:rsidRDefault="0059269C" w:rsidP="00962FB7">
      <w:pPr>
        <w:pStyle w:val="Normal-em"/>
        <w:rPr>
          <w:color w:val="auto"/>
          <w:szCs w:val="24"/>
        </w:rPr>
      </w:pPr>
    </w:p>
    <w:p w:rsidR="0059269C" w:rsidRPr="005A3FF8" w:rsidRDefault="0059269C" w:rsidP="00962FB7">
      <w:pPr>
        <w:pStyle w:val="Normal-em"/>
        <w:rPr>
          <w:color w:val="auto"/>
          <w:szCs w:val="24"/>
        </w:rPr>
      </w:pPr>
      <w:r w:rsidRPr="005A3FF8">
        <w:rPr>
          <w:color w:val="auto"/>
          <w:szCs w:val="24"/>
        </w:rPr>
        <w:t xml:space="preserve">State specific guidelines are being developed by the relevant Australian Government department in consultation with Australian state (and territory) governments. The guidelines list a range of relevant information about legal timber from a state (or territory) of harvest which may be used by processors to satisfy the optional requirements in section 21 of the </w:t>
      </w:r>
      <w:r w:rsidR="00880B74">
        <w:rPr>
          <w:color w:val="auto"/>
          <w:szCs w:val="24"/>
        </w:rPr>
        <w:t>Amendment</w:t>
      </w:r>
      <w:r w:rsidRPr="005A3FF8">
        <w:rPr>
          <w:color w:val="auto"/>
          <w:szCs w:val="24"/>
        </w:rPr>
        <w:t xml:space="preserve"> Regulation.</w:t>
      </w:r>
    </w:p>
    <w:p w:rsidR="0059269C" w:rsidRPr="002361B2" w:rsidRDefault="0059269C" w:rsidP="00962FB7">
      <w:pPr>
        <w:pStyle w:val="Normal-em"/>
        <w:rPr>
          <w:color w:val="auto"/>
          <w:szCs w:val="24"/>
          <w:highlight w:val="yellow"/>
        </w:rPr>
      </w:pPr>
    </w:p>
    <w:p w:rsidR="00204443" w:rsidRDefault="0059269C" w:rsidP="00962FB7">
      <w:pPr>
        <w:pStyle w:val="Normal-em"/>
        <w:rPr>
          <w:color w:val="auto"/>
          <w:szCs w:val="24"/>
        </w:rPr>
      </w:pPr>
      <w:r w:rsidRPr="00747672">
        <w:rPr>
          <w:color w:val="auto"/>
          <w:szCs w:val="24"/>
        </w:rPr>
        <w:lastRenderedPageBreak/>
        <w:t>The state specific guidelines are listed for individ</w:t>
      </w:r>
      <w:r>
        <w:rPr>
          <w:color w:val="auto"/>
          <w:szCs w:val="24"/>
        </w:rPr>
        <w:t xml:space="preserve">ual states (and territories) </w:t>
      </w:r>
      <w:r w:rsidRPr="00FD4C2A">
        <w:rPr>
          <w:color w:val="auto"/>
          <w:szCs w:val="24"/>
        </w:rPr>
        <w:t>by order of their population.</w:t>
      </w:r>
      <w:r w:rsidRPr="00747672">
        <w:rPr>
          <w:color w:val="auto"/>
          <w:szCs w:val="24"/>
        </w:rPr>
        <w:t xml:space="preserve"> </w:t>
      </w:r>
    </w:p>
    <w:p w:rsidR="00204443" w:rsidRDefault="00204443" w:rsidP="00962FB7">
      <w:pPr>
        <w:pStyle w:val="Normal-em"/>
        <w:rPr>
          <w:color w:val="auto"/>
          <w:szCs w:val="24"/>
        </w:rPr>
      </w:pPr>
    </w:p>
    <w:p w:rsidR="0059269C" w:rsidRPr="00747672" w:rsidRDefault="0059269C" w:rsidP="00962FB7">
      <w:pPr>
        <w:pStyle w:val="Normal-em"/>
        <w:rPr>
          <w:color w:val="auto"/>
          <w:szCs w:val="24"/>
        </w:rPr>
      </w:pPr>
      <w:r>
        <w:rPr>
          <w:color w:val="auto"/>
          <w:szCs w:val="24"/>
        </w:rPr>
        <w:t xml:space="preserve">The state specific guidelines </w:t>
      </w:r>
      <w:r w:rsidRPr="00747672">
        <w:rPr>
          <w:color w:val="auto"/>
          <w:szCs w:val="24"/>
        </w:rPr>
        <w:t>will be consistent with the definition of ‘illegally logged’ in the Act, that is, ‘in relation to timber, means harvested in contravention of the laws in force in the place (whether or not in Australia) where the timber was harvested’.</w:t>
      </w:r>
    </w:p>
    <w:p w:rsidR="0059269C" w:rsidRPr="002361B2" w:rsidRDefault="0059269C" w:rsidP="00962FB7">
      <w:pPr>
        <w:pStyle w:val="Normal-em"/>
        <w:rPr>
          <w:color w:val="auto"/>
          <w:szCs w:val="24"/>
          <w:highlight w:val="yellow"/>
        </w:rPr>
      </w:pPr>
    </w:p>
    <w:p w:rsidR="0059269C" w:rsidRPr="0059269C" w:rsidRDefault="0059269C" w:rsidP="0059269C">
      <w:pPr>
        <w:pStyle w:val="Normal-em"/>
        <w:rPr>
          <w:iCs/>
          <w:color w:val="auto"/>
          <w:szCs w:val="24"/>
        </w:rPr>
      </w:pPr>
      <w:r w:rsidRPr="00E2082B">
        <w:rPr>
          <w:color w:val="auto"/>
          <w:szCs w:val="24"/>
        </w:rPr>
        <w:t xml:space="preserve">Each state specific guideline includes information on timber harvesting legislation in the state (or territory) of origin, lists the relevant state (or territory) government authorities and provides their contact details. Each state specific guideline may also list relevant documents issued by the government authorities that a processor may obtain to help satisfy section 21 of the </w:t>
      </w:r>
      <w:r w:rsidR="00880B74">
        <w:rPr>
          <w:color w:val="auto"/>
          <w:szCs w:val="24"/>
        </w:rPr>
        <w:t>Amendment</w:t>
      </w:r>
      <w:r w:rsidRPr="00E2082B">
        <w:rPr>
          <w:color w:val="auto"/>
          <w:szCs w:val="24"/>
        </w:rPr>
        <w:t xml:space="preserve"> Regulation.</w:t>
      </w:r>
    </w:p>
    <w:p w:rsidR="00880B74" w:rsidRDefault="00880B74">
      <w:pPr>
        <w:spacing w:after="200" w:line="276" w:lineRule="auto"/>
        <w:rPr>
          <w:rFonts w:ascii="Times New Roman" w:hAnsi="Times New Roman"/>
          <w:b/>
          <w:sz w:val="28"/>
          <w:szCs w:val="28"/>
        </w:rPr>
      </w:pPr>
      <w:r>
        <w:rPr>
          <w:rFonts w:ascii="Times New Roman" w:hAnsi="Times New Roman"/>
          <w:b/>
          <w:sz w:val="28"/>
          <w:szCs w:val="28"/>
        </w:rPr>
        <w:br w:type="page"/>
      </w:r>
    </w:p>
    <w:p w:rsidR="00D70415" w:rsidRDefault="00204443" w:rsidP="007134F4">
      <w:pPr>
        <w:spacing w:before="360" w:after="120"/>
        <w:jc w:val="right"/>
        <w:rPr>
          <w:rFonts w:ascii="Times New Roman" w:hAnsi="Times New Roman"/>
          <w:b/>
          <w:sz w:val="28"/>
          <w:szCs w:val="28"/>
        </w:rPr>
      </w:pPr>
      <w:r w:rsidRPr="00116E1D">
        <w:rPr>
          <w:rFonts w:ascii="Times" w:hAnsi="Times"/>
          <w:b/>
          <w:caps/>
          <w:u w:val="single"/>
        </w:rPr>
        <w:lastRenderedPageBreak/>
        <w:t>Attachment</w:t>
      </w:r>
      <w:r>
        <w:rPr>
          <w:rFonts w:ascii="Times" w:hAnsi="Times"/>
          <w:b/>
          <w:caps/>
          <w:u w:val="single"/>
        </w:rPr>
        <w:t xml:space="preserve"> B</w:t>
      </w:r>
    </w:p>
    <w:p w:rsidR="0059269C" w:rsidRPr="00E4135E" w:rsidRDefault="0059269C" w:rsidP="00962FB7">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rsidR="0059269C" w:rsidRPr="00E4135E" w:rsidRDefault="0059269C" w:rsidP="00962FB7">
      <w:pPr>
        <w:spacing w:before="120" w:after="120"/>
        <w:jc w:val="center"/>
        <w:rPr>
          <w:rFonts w:ascii="Times New Roman" w:hAnsi="Times New Roman"/>
          <w:sz w:val="24"/>
        </w:rPr>
      </w:pPr>
      <w:r w:rsidRPr="00E4135E">
        <w:rPr>
          <w:rFonts w:ascii="Times New Roman" w:hAnsi="Times New Roman"/>
          <w:i/>
          <w:sz w:val="24"/>
        </w:rPr>
        <w:t>Prepared in accordance with Part 3 of the Human Rights (Parliamentary Scrutiny) Act 2011</w:t>
      </w:r>
    </w:p>
    <w:p w:rsidR="0059269C" w:rsidRPr="00E4135E" w:rsidRDefault="0059269C" w:rsidP="00962FB7">
      <w:pPr>
        <w:spacing w:before="120" w:after="120"/>
        <w:jc w:val="center"/>
        <w:rPr>
          <w:rFonts w:ascii="Times New Roman" w:hAnsi="Times New Roman"/>
          <w:sz w:val="24"/>
        </w:rPr>
      </w:pPr>
    </w:p>
    <w:p w:rsidR="0059269C" w:rsidRPr="005F43B3" w:rsidRDefault="0059269C" w:rsidP="00962FB7">
      <w:pPr>
        <w:spacing w:before="120"/>
        <w:jc w:val="center"/>
        <w:rPr>
          <w:rFonts w:ascii="Times New Roman" w:hAnsi="Times New Roman"/>
          <w:b/>
          <w:sz w:val="24"/>
        </w:rPr>
      </w:pPr>
      <w:r w:rsidRPr="005F43B3">
        <w:rPr>
          <w:rFonts w:ascii="Times New Roman" w:hAnsi="Times New Roman"/>
          <w:b/>
          <w:sz w:val="24"/>
        </w:rPr>
        <w:t>Illegal Logging Prohibition Amendment Regulation 2014</w:t>
      </w:r>
      <w:r w:rsidR="007840F1">
        <w:rPr>
          <w:rFonts w:ascii="Times New Roman" w:hAnsi="Times New Roman"/>
          <w:b/>
          <w:sz w:val="24"/>
        </w:rPr>
        <w:t xml:space="preserve"> (No. 1)</w:t>
      </w:r>
    </w:p>
    <w:sdt>
      <w:sdtPr>
        <w:rPr>
          <w:rFonts w:ascii="Times New Roman" w:hAnsi="Times New Roman"/>
          <w:sz w:val="24"/>
        </w:rPr>
        <w:id w:val="962787082"/>
        <w:lock w:val="contentLocked"/>
        <w:placeholder>
          <w:docPart w:val="DA9DED7D7B2E40A999B4868A4627C7F8"/>
        </w:placeholder>
        <w:group/>
      </w:sdtPr>
      <w:sdtEndPr>
        <w:rPr>
          <w:b/>
        </w:rPr>
      </w:sdtEndPr>
      <w:sdtContent>
        <w:p w:rsidR="0059269C" w:rsidRPr="00E4135E" w:rsidRDefault="0059269C" w:rsidP="00962FB7">
          <w:pPr>
            <w:jc w:val="center"/>
            <w:rPr>
              <w:rFonts w:ascii="Times New Roman" w:hAnsi="Times New Roman"/>
              <w:sz w:val="24"/>
            </w:rPr>
          </w:pPr>
        </w:p>
        <w:p w:rsidR="0059269C" w:rsidRPr="00E4135E" w:rsidRDefault="0059269C" w:rsidP="00962FB7">
          <w:pPr>
            <w:spacing w:before="120" w:after="120"/>
            <w:jc w:val="center"/>
            <w:rPr>
              <w:rFonts w:ascii="Times New Roman" w:hAnsi="Times New Roman"/>
              <w:sz w:val="24"/>
            </w:rPr>
          </w:pPr>
          <w:r w:rsidRPr="00E4135E">
            <w:rPr>
              <w:rFonts w:ascii="Times New Roman" w:hAnsi="Times New Roman"/>
              <w:sz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rPr>
            <w:t>Human Rights (Parliamentary Scrutiny) Act 2011</w:t>
          </w:r>
          <w:r w:rsidRPr="00E4135E">
            <w:rPr>
              <w:rFonts w:ascii="Times New Roman" w:hAnsi="Times New Roman"/>
              <w:sz w:val="24"/>
            </w:rPr>
            <w:t>.</w:t>
          </w:r>
        </w:p>
        <w:p w:rsidR="0059269C" w:rsidRPr="00E4135E" w:rsidRDefault="0059269C" w:rsidP="00962FB7">
          <w:pPr>
            <w:rPr>
              <w:rFonts w:ascii="Times New Roman" w:hAnsi="Times New Roman"/>
              <w:sz w:val="24"/>
            </w:rPr>
          </w:pPr>
        </w:p>
        <w:p w:rsidR="0059269C" w:rsidRPr="00E4135E" w:rsidRDefault="0059269C" w:rsidP="00962FB7">
          <w:pPr>
            <w:spacing w:after="120"/>
            <w:jc w:val="both"/>
            <w:rPr>
              <w:rFonts w:ascii="Times New Roman" w:hAnsi="Times New Roman"/>
              <w:b/>
              <w:sz w:val="24"/>
            </w:rPr>
          </w:pPr>
          <w:r w:rsidRPr="00E4135E">
            <w:rPr>
              <w:rFonts w:ascii="Times New Roman" w:hAnsi="Times New Roman"/>
              <w:b/>
              <w:sz w:val="24"/>
            </w:rPr>
            <w:t>Overview of the Legislative Instrument</w:t>
          </w:r>
        </w:p>
      </w:sdtContent>
    </w:sdt>
    <w:p w:rsidR="002B4E17" w:rsidRDefault="002B4E17" w:rsidP="002B4E17">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Regulation gives effect to various sections of the </w:t>
      </w:r>
      <w:r w:rsidRPr="005F43B3">
        <w:rPr>
          <w:rFonts w:ascii="Times New Roman" w:hAnsi="Times New Roman"/>
          <w:i/>
          <w:sz w:val="24"/>
        </w:rPr>
        <w:t>Illegal Logging Prohibition Act 2012</w:t>
      </w:r>
      <w:r>
        <w:rPr>
          <w:rFonts w:ascii="Times New Roman" w:hAnsi="Times New Roman"/>
          <w:sz w:val="24"/>
        </w:rPr>
        <w:t xml:space="preserve"> </w:t>
      </w:r>
      <w:r>
        <w:rPr>
          <w:rFonts w:ascii="Times New Roman" w:hAnsi="Times New Roman" w:cs="Times New Roman"/>
          <w:sz w:val="24"/>
        </w:rPr>
        <w:t>and for various related purposes. This includes prescribing: regulated timber products; due diligence requirements for persons importing regulated timber products; and due diligence requirements for persons processing</w:t>
      </w:r>
      <w:r w:rsidR="00BE5EDB">
        <w:rPr>
          <w:rFonts w:ascii="Times New Roman" w:hAnsi="Times New Roman" w:cs="Times New Roman"/>
          <w:sz w:val="24"/>
        </w:rPr>
        <w:t xml:space="preserve"> domestically-grown</w:t>
      </w:r>
      <w:r>
        <w:rPr>
          <w:rFonts w:ascii="Times New Roman" w:hAnsi="Times New Roman" w:cs="Times New Roman"/>
          <w:sz w:val="24"/>
        </w:rPr>
        <w:t xml:space="preserve"> raw logs into another form.</w:t>
      </w:r>
      <w:r w:rsidRPr="000822E1">
        <w:rPr>
          <w:rFonts w:ascii="Times New Roman" w:hAnsi="Times New Roman" w:cs="Times New Roman"/>
          <w:sz w:val="24"/>
        </w:rPr>
        <w:t xml:space="preserve"> </w:t>
      </w:r>
    </w:p>
    <w:p w:rsidR="002B4E17" w:rsidRDefault="002B4E17" w:rsidP="002B4E17">
      <w:pPr>
        <w:tabs>
          <w:tab w:val="left" w:pos="1701"/>
          <w:tab w:val="right" w:pos="9072"/>
        </w:tabs>
        <w:rPr>
          <w:rFonts w:ascii="Times New Roman" w:hAnsi="Times New Roman" w:cs="Times New Roman"/>
          <w:sz w:val="24"/>
        </w:rPr>
      </w:pPr>
    </w:p>
    <w:p w:rsidR="0059269C" w:rsidRPr="002B4E17" w:rsidRDefault="002B4E17" w:rsidP="002B4E17">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Regulation also prescribes minor legislative amendments to clarify terminology or address drafting errors in Schedule 1 </w:t>
      </w:r>
      <w:r w:rsidRPr="000822E1">
        <w:rPr>
          <w:rFonts w:ascii="Times New Roman" w:hAnsi="Times New Roman" w:cs="Times New Roman"/>
          <w:sz w:val="24"/>
        </w:rPr>
        <w:t xml:space="preserve">of the </w:t>
      </w:r>
      <w:r w:rsidRPr="000822E1">
        <w:rPr>
          <w:rFonts w:ascii="Times New Roman" w:hAnsi="Times New Roman"/>
          <w:i/>
          <w:sz w:val="24"/>
        </w:rPr>
        <w:t>Illegal Logging Prohibition Amendment Regulation 2013 (No 1)</w:t>
      </w:r>
      <w:r>
        <w:rPr>
          <w:rFonts w:ascii="Times New Roman" w:hAnsi="Times New Roman"/>
          <w:sz w:val="24"/>
        </w:rPr>
        <w:t xml:space="preserve"> (the Amendment Regulation)</w:t>
      </w:r>
      <w:r>
        <w:rPr>
          <w:rFonts w:ascii="Times New Roman" w:hAnsi="Times New Roman" w:cs="Times New Roman"/>
          <w:sz w:val="24"/>
        </w:rPr>
        <w:t>, and prescribes additional timber legality frameworks, country specific guidelines and state specific guidelines in Schedule 2 of the Amendment Regulation, in order to assist persons importing regulated timber products, or persons processing</w:t>
      </w:r>
      <w:r w:rsidR="00BE5EDB">
        <w:rPr>
          <w:rFonts w:ascii="Times New Roman" w:hAnsi="Times New Roman" w:cs="Times New Roman"/>
          <w:sz w:val="24"/>
        </w:rPr>
        <w:t xml:space="preserve"> domestically-grown</w:t>
      </w:r>
      <w:r>
        <w:rPr>
          <w:rFonts w:ascii="Times New Roman" w:hAnsi="Times New Roman" w:cs="Times New Roman"/>
          <w:sz w:val="24"/>
        </w:rPr>
        <w:t xml:space="preserve"> raw logs into another form, to meet their regulatory due diligence requirements. </w:t>
      </w:r>
    </w:p>
    <w:sdt>
      <w:sdtPr>
        <w:rPr>
          <w:rFonts w:ascii="Times New Roman" w:hAnsi="Times New Roman"/>
          <w:sz w:val="24"/>
          <w:szCs w:val="16"/>
        </w:rPr>
        <w:id w:val="962787081"/>
        <w:lock w:val="contentLocked"/>
        <w:placeholder>
          <w:docPart w:val="DA9DED7D7B2E40A999B4868A4627C7F8"/>
        </w:placeholder>
        <w:group/>
      </w:sdtPr>
      <w:sdtEndPr/>
      <w:sdtContent>
        <w:p w:rsidR="0059269C" w:rsidRPr="00E4135E" w:rsidRDefault="0059269C" w:rsidP="00962FB7">
          <w:pPr>
            <w:rPr>
              <w:rFonts w:ascii="Times New Roman" w:hAnsi="Times New Roman"/>
              <w:sz w:val="24"/>
            </w:rPr>
          </w:pPr>
        </w:p>
        <w:p w:rsidR="0059269C" w:rsidRPr="00E4135E" w:rsidRDefault="0059269C" w:rsidP="00962FB7">
          <w:pPr>
            <w:spacing w:after="120"/>
            <w:jc w:val="both"/>
            <w:rPr>
              <w:rFonts w:ascii="Times New Roman" w:hAnsi="Times New Roman"/>
              <w:b/>
              <w:sz w:val="24"/>
            </w:rPr>
          </w:pPr>
          <w:r w:rsidRPr="00E4135E">
            <w:rPr>
              <w:rFonts w:ascii="Times New Roman" w:hAnsi="Times New Roman"/>
              <w:b/>
              <w:sz w:val="24"/>
            </w:rPr>
            <w:t>Human rights implications</w:t>
          </w:r>
        </w:p>
        <w:p w:rsidR="0059269C" w:rsidRPr="00E4135E" w:rsidRDefault="0059269C" w:rsidP="00962FB7">
          <w:pPr>
            <w:rPr>
              <w:rFonts w:ascii="Times New Roman" w:hAnsi="Times New Roman"/>
              <w:sz w:val="24"/>
            </w:rPr>
          </w:pPr>
          <w:r w:rsidRPr="00E4135E">
            <w:rPr>
              <w:rFonts w:ascii="Times New Roman" w:hAnsi="Times New Roman"/>
              <w:sz w:val="24"/>
            </w:rPr>
            <w:t>This Legislative Instrument does not engage any of the applicable rights or freedoms.</w:t>
          </w:r>
        </w:p>
        <w:p w:rsidR="0059269C" w:rsidRPr="00E4135E" w:rsidRDefault="0059269C" w:rsidP="00962FB7">
          <w:pPr>
            <w:rPr>
              <w:rFonts w:ascii="Times New Roman" w:hAnsi="Times New Roman"/>
              <w:sz w:val="24"/>
            </w:rPr>
          </w:pPr>
        </w:p>
        <w:p w:rsidR="0059269C" w:rsidRPr="00E4135E" w:rsidRDefault="0059269C" w:rsidP="00962FB7">
          <w:pPr>
            <w:spacing w:after="120"/>
            <w:jc w:val="both"/>
            <w:rPr>
              <w:rFonts w:ascii="Times New Roman" w:hAnsi="Times New Roman"/>
              <w:b/>
              <w:sz w:val="24"/>
            </w:rPr>
          </w:pPr>
          <w:r w:rsidRPr="00E4135E">
            <w:rPr>
              <w:rFonts w:ascii="Times New Roman" w:hAnsi="Times New Roman"/>
              <w:b/>
              <w:sz w:val="24"/>
            </w:rPr>
            <w:t>Conclusion</w:t>
          </w:r>
        </w:p>
        <w:p w:rsidR="0059269C" w:rsidRPr="00E4135E" w:rsidRDefault="0059269C" w:rsidP="00962FB7">
          <w:pPr>
            <w:rPr>
              <w:rFonts w:ascii="Times New Roman" w:hAnsi="Times New Roman"/>
              <w:sz w:val="24"/>
            </w:rPr>
          </w:pPr>
          <w:r w:rsidRPr="00E4135E">
            <w:rPr>
              <w:rFonts w:ascii="Times New Roman" w:hAnsi="Times New Roman"/>
              <w:sz w:val="24"/>
            </w:rPr>
            <w:t>This Legislative Instrument is compatible with human rights as it does not raise any human rights issues.</w:t>
          </w:r>
        </w:p>
        <w:p w:rsidR="0059269C" w:rsidRDefault="0059269C" w:rsidP="00962FB7">
          <w:pPr>
            <w:rPr>
              <w:rFonts w:ascii="Times New Roman" w:hAnsi="Times New Roman"/>
              <w:sz w:val="24"/>
            </w:rPr>
          </w:pPr>
        </w:p>
        <w:p w:rsidR="0059269C" w:rsidRPr="00E4135E" w:rsidRDefault="004E0AAF" w:rsidP="00962FB7">
          <w:pPr>
            <w:rPr>
              <w:rFonts w:ascii="Times New Roman" w:hAnsi="Times New Roman"/>
              <w:sz w:val="24"/>
            </w:rPr>
          </w:pPr>
        </w:p>
      </w:sdtContent>
    </w:sdt>
    <w:p w:rsidR="0059269C" w:rsidRPr="002B125B" w:rsidRDefault="0059269C" w:rsidP="00962FB7">
      <w:pPr>
        <w:jc w:val="center"/>
        <w:rPr>
          <w:rFonts w:ascii="Times New Roman" w:hAnsi="Times New Roman"/>
          <w:b/>
          <w:bCs/>
          <w:sz w:val="24"/>
        </w:rPr>
      </w:pPr>
    </w:p>
    <w:p w:rsidR="0059269C" w:rsidRPr="002B125B" w:rsidRDefault="0059269C" w:rsidP="00962FB7">
      <w:pPr>
        <w:jc w:val="center"/>
        <w:rPr>
          <w:rFonts w:ascii="Times New Roman" w:hAnsi="Times New Roman"/>
          <w:b/>
          <w:bCs/>
          <w:sz w:val="24"/>
        </w:rPr>
      </w:pPr>
      <w:r w:rsidRPr="002B125B">
        <w:rPr>
          <w:rFonts w:ascii="Times New Roman" w:hAnsi="Times New Roman"/>
          <w:b/>
          <w:bCs/>
          <w:sz w:val="24"/>
        </w:rPr>
        <w:t xml:space="preserve">Senator the Hon. Richard </w:t>
      </w:r>
      <w:proofErr w:type="spellStart"/>
      <w:r w:rsidRPr="002B125B">
        <w:rPr>
          <w:rFonts w:ascii="Times New Roman" w:hAnsi="Times New Roman"/>
          <w:b/>
          <w:bCs/>
          <w:sz w:val="24"/>
        </w:rPr>
        <w:t>Colbeck</w:t>
      </w:r>
      <w:proofErr w:type="spellEnd"/>
      <w:r w:rsidRPr="002B125B">
        <w:rPr>
          <w:rFonts w:ascii="Times New Roman" w:hAnsi="Times New Roman"/>
          <w:b/>
          <w:bCs/>
          <w:sz w:val="24"/>
        </w:rPr>
        <w:t xml:space="preserve"> MP</w:t>
      </w:r>
    </w:p>
    <w:p w:rsidR="0059269C" w:rsidRPr="002B125B" w:rsidRDefault="0059269C" w:rsidP="00962FB7">
      <w:pPr>
        <w:jc w:val="center"/>
        <w:rPr>
          <w:rFonts w:ascii="Times New Roman" w:hAnsi="Times New Roman"/>
          <w:b/>
          <w:bCs/>
          <w:sz w:val="24"/>
        </w:rPr>
      </w:pPr>
      <w:r w:rsidRPr="002B125B">
        <w:rPr>
          <w:rFonts w:ascii="Times New Roman" w:hAnsi="Times New Roman"/>
          <w:b/>
          <w:bCs/>
          <w:sz w:val="24"/>
        </w:rPr>
        <w:t>Parliamentary Secretary to the Minister for Agriculture</w:t>
      </w:r>
    </w:p>
    <w:p w:rsidR="00EC55DA" w:rsidRDefault="00EC55DA"/>
    <w:sectPr w:rsidR="00EC55DA" w:rsidSect="00EC55D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C76" w:rsidRDefault="00F90C76" w:rsidP="000001D9">
      <w:r>
        <w:separator/>
      </w:r>
    </w:p>
  </w:endnote>
  <w:endnote w:type="continuationSeparator" w:id="0">
    <w:p w:rsidR="00F90C76" w:rsidRDefault="00F90C76" w:rsidP="00000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Rounded MT Bold">
    <w:altName w:val="Tahoma"/>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7644"/>
      <w:docPartObj>
        <w:docPartGallery w:val="Page Numbers (Bottom of Page)"/>
        <w:docPartUnique/>
      </w:docPartObj>
    </w:sdtPr>
    <w:sdtEndPr/>
    <w:sdtContent>
      <w:p w:rsidR="00D12213" w:rsidRDefault="00B159F5">
        <w:pPr>
          <w:pStyle w:val="Footer"/>
          <w:jc w:val="center"/>
        </w:pPr>
        <w:r>
          <w:fldChar w:fldCharType="begin"/>
        </w:r>
        <w:r w:rsidR="002B125B">
          <w:instrText xml:space="preserve"> PAGE   \* MERGEFORMAT </w:instrText>
        </w:r>
        <w:r>
          <w:fldChar w:fldCharType="separate"/>
        </w:r>
        <w:r w:rsidR="004E0AAF">
          <w:rPr>
            <w:noProof/>
          </w:rPr>
          <w:t>1</w:t>
        </w:r>
        <w:r>
          <w:rPr>
            <w:noProof/>
          </w:rPr>
          <w:fldChar w:fldCharType="end"/>
        </w:r>
      </w:p>
    </w:sdtContent>
  </w:sdt>
  <w:p w:rsidR="00D12213" w:rsidRDefault="00D122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C76" w:rsidRDefault="00F90C76" w:rsidP="000001D9">
      <w:r>
        <w:separator/>
      </w:r>
    </w:p>
  </w:footnote>
  <w:footnote w:type="continuationSeparator" w:id="0">
    <w:p w:rsidR="00F90C76" w:rsidRDefault="00F90C76" w:rsidP="000001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1F745BC2"/>
    <w:multiLevelType w:val="multilevel"/>
    <w:tmpl w:val="E5E89F92"/>
    <w:numStyleLink w:val="BulletList"/>
  </w:abstractNum>
  <w:abstractNum w:abstractNumId="2">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69C"/>
    <w:rsid w:val="000001D9"/>
    <w:rsid w:val="000152B9"/>
    <w:rsid w:val="00021024"/>
    <w:rsid w:val="000822E1"/>
    <w:rsid w:val="0009158F"/>
    <w:rsid w:val="000D164C"/>
    <w:rsid w:val="001077B6"/>
    <w:rsid w:val="0016046F"/>
    <w:rsid w:val="00193ACE"/>
    <w:rsid w:val="001D5F83"/>
    <w:rsid w:val="002026E6"/>
    <w:rsid w:val="00204443"/>
    <w:rsid w:val="002B125B"/>
    <w:rsid w:val="002B4E17"/>
    <w:rsid w:val="002F011D"/>
    <w:rsid w:val="00300070"/>
    <w:rsid w:val="00380134"/>
    <w:rsid w:val="00390061"/>
    <w:rsid w:val="003979DA"/>
    <w:rsid w:val="003A59BF"/>
    <w:rsid w:val="00422FF8"/>
    <w:rsid w:val="00445D4C"/>
    <w:rsid w:val="00470C59"/>
    <w:rsid w:val="004759CD"/>
    <w:rsid w:val="004D20A4"/>
    <w:rsid w:val="004D716B"/>
    <w:rsid w:val="004E0AAF"/>
    <w:rsid w:val="00520D43"/>
    <w:rsid w:val="00576317"/>
    <w:rsid w:val="0059269C"/>
    <w:rsid w:val="005B67B8"/>
    <w:rsid w:val="006203ED"/>
    <w:rsid w:val="00654E6A"/>
    <w:rsid w:val="00662151"/>
    <w:rsid w:val="007134F4"/>
    <w:rsid w:val="007228DB"/>
    <w:rsid w:val="00744397"/>
    <w:rsid w:val="007608DE"/>
    <w:rsid w:val="007840F1"/>
    <w:rsid w:val="007E36D6"/>
    <w:rsid w:val="007E3FD9"/>
    <w:rsid w:val="00880B74"/>
    <w:rsid w:val="00893837"/>
    <w:rsid w:val="008A7A84"/>
    <w:rsid w:val="008C0AED"/>
    <w:rsid w:val="008D2FCF"/>
    <w:rsid w:val="008D3B62"/>
    <w:rsid w:val="00937D0F"/>
    <w:rsid w:val="00962FB7"/>
    <w:rsid w:val="00966B0D"/>
    <w:rsid w:val="00991888"/>
    <w:rsid w:val="00A116A3"/>
    <w:rsid w:val="00A27639"/>
    <w:rsid w:val="00AB5AD0"/>
    <w:rsid w:val="00B159F5"/>
    <w:rsid w:val="00BE5EDB"/>
    <w:rsid w:val="00C10953"/>
    <w:rsid w:val="00C21B0B"/>
    <w:rsid w:val="00C72585"/>
    <w:rsid w:val="00CC365C"/>
    <w:rsid w:val="00CF4DF7"/>
    <w:rsid w:val="00D12213"/>
    <w:rsid w:val="00D23175"/>
    <w:rsid w:val="00D63506"/>
    <w:rsid w:val="00D64601"/>
    <w:rsid w:val="00D70415"/>
    <w:rsid w:val="00D92198"/>
    <w:rsid w:val="00DA299C"/>
    <w:rsid w:val="00DE7010"/>
    <w:rsid w:val="00E12099"/>
    <w:rsid w:val="00EC15DD"/>
    <w:rsid w:val="00EC55DA"/>
    <w:rsid w:val="00F804F3"/>
    <w:rsid w:val="00F90C76"/>
    <w:rsid w:val="00FD4C2A"/>
    <w:rsid w:val="00FE7B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69C"/>
    <w:pPr>
      <w:spacing w:after="0" w:line="240" w:lineRule="auto"/>
    </w:pPr>
    <w:rPr>
      <w:rFonts w:eastAsiaTheme="minorEastAsi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m">
    <w:name w:val="Normal-em"/>
    <w:basedOn w:val="Normal"/>
    <w:rsid w:val="0059269C"/>
    <w:rPr>
      <w:rFonts w:ascii="Times New Roman" w:eastAsia="Times New Roman" w:hAnsi="Times New Roman" w:cs="Times New Roman"/>
      <w:color w:val="000000"/>
      <w:sz w:val="24"/>
      <w:szCs w:val="20"/>
    </w:rPr>
  </w:style>
  <w:style w:type="paragraph" w:styleId="Title">
    <w:name w:val="Title"/>
    <w:basedOn w:val="Normal"/>
    <w:link w:val="TitleChar"/>
    <w:qFormat/>
    <w:rsid w:val="0059269C"/>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59269C"/>
    <w:rPr>
      <w:rFonts w:ascii="Arial Rounded MT Bold" w:eastAsia="Times New Roman" w:hAnsi="Arial Rounded MT Bold" w:cs="Times New Roman"/>
      <w:b/>
      <w:sz w:val="24"/>
      <w:szCs w:val="20"/>
    </w:rPr>
  </w:style>
  <w:style w:type="paragraph" w:styleId="Header">
    <w:name w:val="header"/>
    <w:basedOn w:val="Normal"/>
    <w:link w:val="HeaderChar"/>
    <w:uiPriority w:val="99"/>
    <w:unhideWhenUsed/>
    <w:rsid w:val="000001D9"/>
    <w:pPr>
      <w:tabs>
        <w:tab w:val="center" w:pos="4513"/>
        <w:tab w:val="right" w:pos="9026"/>
      </w:tabs>
    </w:pPr>
  </w:style>
  <w:style w:type="character" w:customStyle="1" w:styleId="HeaderChar">
    <w:name w:val="Header Char"/>
    <w:basedOn w:val="DefaultParagraphFont"/>
    <w:link w:val="Header"/>
    <w:uiPriority w:val="99"/>
    <w:rsid w:val="000001D9"/>
    <w:rPr>
      <w:rFonts w:eastAsiaTheme="minorEastAsia"/>
      <w:szCs w:val="24"/>
    </w:rPr>
  </w:style>
  <w:style w:type="paragraph" w:styleId="Footer">
    <w:name w:val="footer"/>
    <w:basedOn w:val="Normal"/>
    <w:link w:val="FooterChar"/>
    <w:uiPriority w:val="99"/>
    <w:unhideWhenUsed/>
    <w:rsid w:val="000001D9"/>
    <w:pPr>
      <w:tabs>
        <w:tab w:val="center" w:pos="4513"/>
        <w:tab w:val="right" w:pos="9026"/>
      </w:tabs>
    </w:pPr>
  </w:style>
  <w:style w:type="character" w:customStyle="1" w:styleId="FooterChar">
    <w:name w:val="Footer Char"/>
    <w:basedOn w:val="DefaultParagraphFont"/>
    <w:link w:val="Footer"/>
    <w:uiPriority w:val="99"/>
    <w:rsid w:val="000001D9"/>
    <w:rPr>
      <w:rFonts w:eastAsiaTheme="minorEastAsia"/>
      <w:szCs w:val="24"/>
    </w:rPr>
  </w:style>
  <w:style w:type="character" w:styleId="CommentReference">
    <w:name w:val="annotation reference"/>
    <w:basedOn w:val="DefaultParagraphFont"/>
    <w:uiPriority w:val="99"/>
    <w:semiHidden/>
    <w:unhideWhenUsed/>
    <w:rsid w:val="00FD4C2A"/>
    <w:rPr>
      <w:sz w:val="16"/>
      <w:szCs w:val="16"/>
    </w:rPr>
  </w:style>
  <w:style w:type="paragraph" w:styleId="CommentText">
    <w:name w:val="annotation text"/>
    <w:basedOn w:val="Normal"/>
    <w:link w:val="CommentTextChar"/>
    <w:uiPriority w:val="99"/>
    <w:unhideWhenUsed/>
    <w:rsid w:val="00FD4C2A"/>
    <w:rPr>
      <w:sz w:val="20"/>
      <w:szCs w:val="20"/>
    </w:rPr>
  </w:style>
  <w:style w:type="character" w:customStyle="1" w:styleId="CommentTextChar">
    <w:name w:val="Comment Text Char"/>
    <w:basedOn w:val="DefaultParagraphFont"/>
    <w:link w:val="CommentText"/>
    <w:uiPriority w:val="99"/>
    <w:rsid w:val="00FD4C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D4C2A"/>
    <w:rPr>
      <w:b/>
      <w:bCs/>
    </w:rPr>
  </w:style>
  <w:style w:type="character" w:customStyle="1" w:styleId="CommentSubjectChar">
    <w:name w:val="Comment Subject Char"/>
    <w:basedOn w:val="CommentTextChar"/>
    <w:link w:val="CommentSubject"/>
    <w:uiPriority w:val="99"/>
    <w:semiHidden/>
    <w:rsid w:val="00FD4C2A"/>
    <w:rPr>
      <w:rFonts w:eastAsiaTheme="minorEastAsia"/>
      <w:b/>
      <w:bCs/>
      <w:sz w:val="20"/>
      <w:szCs w:val="20"/>
    </w:rPr>
  </w:style>
  <w:style w:type="paragraph" w:styleId="BalloonText">
    <w:name w:val="Balloon Text"/>
    <w:basedOn w:val="Normal"/>
    <w:link w:val="BalloonTextChar"/>
    <w:uiPriority w:val="99"/>
    <w:semiHidden/>
    <w:unhideWhenUsed/>
    <w:rsid w:val="00FD4C2A"/>
    <w:rPr>
      <w:rFonts w:ascii="Tahoma" w:hAnsi="Tahoma" w:cs="Tahoma"/>
      <w:sz w:val="16"/>
      <w:szCs w:val="16"/>
    </w:rPr>
  </w:style>
  <w:style w:type="character" w:customStyle="1" w:styleId="BalloonTextChar">
    <w:name w:val="Balloon Text Char"/>
    <w:basedOn w:val="DefaultParagraphFont"/>
    <w:link w:val="BalloonText"/>
    <w:uiPriority w:val="99"/>
    <w:semiHidden/>
    <w:rsid w:val="00FD4C2A"/>
    <w:rPr>
      <w:rFonts w:ascii="Tahoma" w:eastAsiaTheme="minorEastAsia" w:hAnsi="Tahoma" w:cs="Tahoma"/>
      <w:sz w:val="16"/>
      <w:szCs w:val="16"/>
    </w:rPr>
  </w:style>
  <w:style w:type="numbering" w:customStyle="1" w:styleId="BulletList">
    <w:name w:val="Bullet List"/>
    <w:uiPriority w:val="99"/>
    <w:rsid w:val="007E36D6"/>
    <w:pPr>
      <w:numPr>
        <w:numId w:val="1"/>
      </w:numPr>
    </w:pPr>
  </w:style>
  <w:style w:type="paragraph" w:styleId="ListBullet">
    <w:name w:val="List Bullet"/>
    <w:basedOn w:val="Normal"/>
    <w:uiPriority w:val="99"/>
    <w:unhideWhenUsed/>
    <w:qFormat/>
    <w:rsid w:val="007E36D6"/>
    <w:pPr>
      <w:numPr>
        <w:numId w:val="2"/>
      </w:numPr>
      <w:spacing w:after="200"/>
    </w:pPr>
    <w:rPr>
      <w:rFonts w:ascii="Calibri" w:eastAsia="Calibri" w:hAnsi="Calibri" w:cs="Times New Roman"/>
      <w:sz w:val="24"/>
      <w:szCs w:val="22"/>
    </w:rPr>
  </w:style>
  <w:style w:type="paragraph" w:styleId="ListBullet2">
    <w:name w:val="List Bullet 2"/>
    <w:basedOn w:val="Normal"/>
    <w:uiPriority w:val="99"/>
    <w:unhideWhenUsed/>
    <w:rsid w:val="007E36D6"/>
    <w:pPr>
      <w:numPr>
        <w:ilvl w:val="1"/>
        <w:numId w:val="2"/>
      </w:numPr>
      <w:spacing w:after="200"/>
    </w:pPr>
    <w:rPr>
      <w:rFonts w:ascii="Calibri" w:eastAsia="Calibri" w:hAnsi="Calibri" w:cs="Times New Roman"/>
      <w:sz w:val="24"/>
      <w:szCs w:val="22"/>
    </w:rPr>
  </w:style>
  <w:style w:type="paragraph" w:styleId="ListBullet3">
    <w:name w:val="List Bullet 3"/>
    <w:basedOn w:val="Normal"/>
    <w:uiPriority w:val="99"/>
    <w:unhideWhenUsed/>
    <w:rsid w:val="007E36D6"/>
    <w:pPr>
      <w:numPr>
        <w:ilvl w:val="2"/>
        <w:numId w:val="2"/>
      </w:numPr>
      <w:spacing w:after="200"/>
    </w:pPr>
    <w:rPr>
      <w:rFonts w:ascii="Calibri" w:eastAsia="Calibri" w:hAnsi="Calibri" w:cs="Times New Roman"/>
      <w:sz w:val="24"/>
      <w:szCs w:val="22"/>
    </w:rPr>
  </w:style>
  <w:style w:type="paragraph" w:styleId="ListBullet4">
    <w:name w:val="List Bullet 4"/>
    <w:basedOn w:val="Normal"/>
    <w:uiPriority w:val="99"/>
    <w:unhideWhenUsed/>
    <w:rsid w:val="007E36D6"/>
    <w:pPr>
      <w:numPr>
        <w:ilvl w:val="3"/>
        <w:numId w:val="2"/>
      </w:numPr>
      <w:spacing w:after="200"/>
    </w:pPr>
    <w:rPr>
      <w:rFonts w:ascii="Calibri" w:eastAsia="Calibri" w:hAnsi="Calibri" w:cs="Times New Roman"/>
      <w:sz w:val="24"/>
      <w:szCs w:val="22"/>
    </w:rPr>
  </w:style>
  <w:style w:type="paragraph" w:styleId="ListBullet5">
    <w:name w:val="List Bullet 5"/>
    <w:basedOn w:val="Normal"/>
    <w:uiPriority w:val="99"/>
    <w:unhideWhenUsed/>
    <w:rsid w:val="007E36D6"/>
    <w:pPr>
      <w:numPr>
        <w:ilvl w:val="4"/>
        <w:numId w:val="2"/>
      </w:numPr>
      <w:spacing w:after="200"/>
    </w:pPr>
    <w:rPr>
      <w:rFonts w:ascii="Calibri" w:eastAsia="Calibri" w:hAnsi="Calibri" w:cs="Times New Roman"/>
      <w:sz w:val="24"/>
      <w:szCs w:val="22"/>
    </w:rPr>
  </w:style>
  <w:style w:type="paragraph" w:customStyle="1" w:styleId="HB-Table-dotpoint">
    <w:name w:val="HB - Table - dot point"/>
    <w:basedOn w:val="Normal"/>
    <w:rsid w:val="00204443"/>
    <w:pPr>
      <w:numPr>
        <w:numId w:val="3"/>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69C"/>
    <w:pPr>
      <w:spacing w:after="0" w:line="240" w:lineRule="auto"/>
    </w:pPr>
    <w:rPr>
      <w:rFonts w:eastAsiaTheme="minorEastAsi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m">
    <w:name w:val="Normal-em"/>
    <w:basedOn w:val="Normal"/>
    <w:rsid w:val="0059269C"/>
    <w:rPr>
      <w:rFonts w:ascii="Times New Roman" w:eastAsia="Times New Roman" w:hAnsi="Times New Roman" w:cs="Times New Roman"/>
      <w:color w:val="000000"/>
      <w:sz w:val="24"/>
      <w:szCs w:val="20"/>
    </w:rPr>
  </w:style>
  <w:style w:type="paragraph" w:styleId="Title">
    <w:name w:val="Title"/>
    <w:basedOn w:val="Normal"/>
    <w:link w:val="TitleChar"/>
    <w:qFormat/>
    <w:rsid w:val="0059269C"/>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59269C"/>
    <w:rPr>
      <w:rFonts w:ascii="Arial Rounded MT Bold" w:eastAsia="Times New Roman" w:hAnsi="Arial Rounded MT Bold" w:cs="Times New Roman"/>
      <w:b/>
      <w:sz w:val="24"/>
      <w:szCs w:val="20"/>
    </w:rPr>
  </w:style>
  <w:style w:type="paragraph" w:styleId="Header">
    <w:name w:val="header"/>
    <w:basedOn w:val="Normal"/>
    <w:link w:val="HeaderChar"/>
    <w:uiPriority w:val="99"/>
    <w:unhideWhenUsed/>
    <w:rsid w:val="000001D9"/>
    <w:pPr>
      <w:tabs>
        <w:tab w:val="center" w:pos="4513"/>
        <w:tab w:val="right" w:pos="9026"/>
      </w:tabs>
    </w:pPr>
  </w:style>
  <w:style w:type="character" w:customStyle="1" w:styleId="HeaderChar">
    <w:name w:val="Header Char"/>
    <w:basedOn w:val="DefaultParagraphFont"/>
    <w:link w:val="Header"/>
    <w:uiPriority w:val="99"/>
    <w:rsid w:val="000001D9"/>
    <w:rPr>
      <w:rFonts w:eastAsiaTheme="minorEastAsia"/>
      <w:szCs w:val="24"/>
    </w:rPr>
  </w:style>
  <w:style w:type="paragraph" w:styleId="Footer">
    <w:name w:val="footer"/>
    <w:basedOn w:val="Normal"/>
    <w:link w:val="FooterChar"/>
    <w:uiPriority w:val="99"/>
    <w:unhideWhenUsed/>
    <w:rsid w:val="000001D9"/>
    <w:pPr>
      <w:tabs>
        <w:tab w:val="center" w:pos="4513"/>
        <w:tab w:val="right" w:pos="9026"/>
      </w:tabs>
    </w:pPr>
  </w:style>
  <w:style w:type="character" w:customStyle="1" w:styleId="FooterChar">
    <w:name w:val="Footer Char"/>
    <w:basedOn w:val="DefaultParagraphFont"/>
    <w:link w:val="Footer"/>
    <w:uiPriority w:val="99"/>
    <w:rsid w:val="000001D9"/>
    <w:rPr>
      <w:rFonts w:eastAsiaTheme="minorEastAsia"/>
      <w:szCs w:val="24"/>
    </w:rPr>
  </w:style>
  <w:style w:type="character" w:styleId="CommentReference">
    <w:name w:val="annotation reference"/>
    <w:basedOn w:val="DefaultParagraphFont"/>
    <w:uiPriority w:val="99"/>
    <w:semiHidden/>
    <w:unhideWhenUsed/>
    <w:rsid w:val="00FD4C2A"/>
    <w:rPr>
      <w:sz w:val="16"/>
      <w:szCs w:val="16"/>
    </w:rPr>
  </w:style>
  <w:style w:type="paragraph" w:styleId="CommentText">
    <w:name w:val="annotation text"/>
    <w:basedOn w:val="Normal"/>
    <w:link w:val="CommentTextChar"/>
    <w:uiPriority w:val="99"/>
    <w:unhideWhenUsed/>
    <w:rsid w:val="00FD4C2A"/>
    <w:rPr>
      <w:sz w:val="20"/>
      <w:szCs w:val="20"/>
    </w:rPr>
  </w:style>
  <w:style w:type="character" w:customStyle="1" w:styleId="CommentTextChar">
    <w:name w:val="Comment Text Char"/>
    <w:basedOn w:val="DefaultParagraphFont"/>
    <w:link w:val="CommentText"/>
    <w:uiPriority w:val="99"/>
    <w:rsid w:val="00FD4C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D4C2A"/>
    <w:rPr>
      <w:b/>
      <w:bCs/>
    </w:rPr>
  </w:style>
  <w:style w:type="character" w:customStyle="1" w:styleId="CommentSubjectChar">
    <w:name w:val="Comment Subject Char"/>
    <w:basedOn w:val="CommentTextChar"/>
    <w:link w:val="CommentSubject"/>
    <w:uiPriority w:val="99"/>
    <w:semiHidden/>
    <w:rsid w:val="00FD4C2A"/>
    <w:rPr>
      <w:rFonts w:eastAsiaTheme="minorEastAsia"/>
      <w:b/>
      <w:bCs/>
      <w:sz w:val="20"/>
      <w:szCs w:val="20"/>
    </w:rPr>
  </w:style>
  <w:style w:type="paragraph" w:styleId="BalloonText">
    <w:name w:val="Balloon Text"/>
    <w:basedOn w:val="Normal"/>
    <w:link w:val="BalloonTextChar"/>
    <w:uiPriority w:val="99"/>
    <w:semiHidden/>
    <w:unhideWhenUsed/>
    <w:rsid w:val="00FD4C2A"/>
    <w:rPr>
      <w:rFonts w:ascii="Tahoma" w:hAnsi="Tahoma" w:cs="Tahoma"/>
      <w:sz w:val="16"/>
      <w:szCs w:val="16"/>
    </w:rPr>
  </w:style>
  <w:style w:type="character" w:customStyle="1" w:styleId="BalloonTextChar">
    <w:name w:val="Balloon Text Char"/>
    <w:basedOn w:val="DefaultParagraphFont"/>
    <w:link w:val="BalloonText"/>
    <w:uiPriority w:val="99"/>
    <w:semiHidden/>
    <w:rsid w:val="00FD4C2A"/>
    <w:rPr>
      <w:rFonts w:ascii="Tahoma" w:eastAsiaTheme="minorEastAsia" w:hAnsi="Tahoma" w:cs="Tahoma"/>
      <w:sz w:val="16"/>
      <w:szCs w:val="16"/>
    </w:rPr>
  </w:style>
  <w:style w:type="numbering" w:customStyle="1" w:styleId="BulletList">
    <w:name w:val="Bullet List"/>
    <w:uiPriority w:val="99"/>
    <w:rsid w:val="007E36D6"/>
    <w:pPr>
      <w:numPr>
        <w:numId w:val="1"/>
      </w:numPr>
    </w:pPr>
  </w:style>
  <w:style w:type="paragraph" w:styleId="ListBullet">
    <w:name w:val="List Bullet"/>
    <w:basedOn w:val="Normal"/>
    <w:uiPriority w:val="99"/>
    <w:unhideWhenUsed/>
    <w:qFormat/>
    <w:rsid w:val="007E36D6"/>
    <w:pPr>
      <w:numPr>
        <w:numId w:val="2"/>
      </w:numPr>
      <w:spacing w:after="200"/>
    </w:pPr>
    <w:rPr>
      <w:rFonts w:ascii="Calibri" w:eastAsia="Calibri" w:hAnsi="Calibri" w:cs="Times New Roman"/>
      <w:sz w:val="24"/>
      <w:szCs w:val="22"/>
    </w:rPr>
  </w:style>
  <w:style w:type="paragraph" w:styleId="ListBullet2">
    <w:name w:val="List Bullet 2"/>
    <w:basedOn w:val="Normal"/>
    <w:uiPriority w:val="99"/>
    <w:unhideWhenUsed/>
    <w:rsid w:val="007E36D6"/>
    <w:pPr>
      <w:numPr>
        <w:ilvl w:val="1"/>
        <w:numId w:val="2"/>
      </w:numPr>
      <w:spacing w:after="200"/>
    </w:pPr>
    <w:rPr>
      <w:rFonts w:ascii="Calibri" w:eastAsia="Calibri" w:hAnsi="Calibri" w:cs="Times New Roman"/>
      <w:sz w:val="24"/>
      <w:szCs w:val="22"/>
    </w:rPr>
  </w:style>
  <w:style w:type="paragraph" w:styleId="ListBullet3">
    <w:name w:val="List Bullet 3"/>
    <w:basedOn w:val="Normal"/>
    <w:uiPriority w:val="99"/>
    <w:unhideWhenUsed/>
    <w:rsid w:val="007E36D6"/>
    <w:pPr>
      <w:numPr>
        <w:ilvl w:val="2"/>
        <w:numId w:val="2"/>
      </w:numPr>
      <w:spacing w:after="200"/>
    </w:pPr>
    <w:rPr>
      <w:rFonts w:ascii="Calibri" w:eastAsia="Calibri" w:hAnsi="Calibri" w:cs="Times New Roman"/>
      <w:sz w:val="24"/>
      <w:szCs w:val="22"/>
    </w:rPr>
  </w:style>
  <w:style w:type="paragraph" w:styleId="ListBullet4">
    <w:name w:val="List Bullet 4"/>
    <w:basedOn w:val="Normal"/>
    <w:uiPriority w:val="99"/>
    <w:unhideWhenUsed/>
    <w:rsid w:val="007E36D6"/>
    <w:pPr>
      <w:numPr>
        <w:ilvl w:val="3"/>
        <w:numId w:val="2"/>
      </w:numPr>
      <w:spacing w:after="200"/>
    </w:pPr>
    <w:rPr>
      <w:rFonts w:ascii="Calibri" w:eastAsia="Calibri" w:hAnsi="Calibri" w:cs="Times New Roman"/>
      <w:sz w:val="24"/>
      <w:szCs w:val="22"/>
    </w:rPr>
  </w:style>
  <w:style w:type="paragraph" w:styleId="ListBullet5">
    <w:name w:val="List Bullet 5"/>
    <w:basedOn w:val="Normal"/>
    <w:uiPriority w:val="99"/>
    <w:unhideWhenUsed/>
    <w:rsid w:val="007E36D6"/>
    <w:pPr>
      <w:numPr>
        <w:ilvl w:val="4"/>
        <w:numId w:val="2"/>
      </w:numPr>
      <w:spacing w:after="200"/>
    </w:pPr>
    <w:rPr>
      <w:rFonts w:ascii="Calibri" w:eastAsia="Calibri" w:hAnsi="Calibri" w:cs="Times New Roman"/>
      <w:sz w:val="24"/>
      <w:szCs w:val="22"/>
    </w:rPr>
  </w:style>
  <w:style w:type="paragraph" w:customStyle="1" w:styleId="HB-Table-dotpoint">
    <w:name w:val="HB - Table - dot point"/>
    <w:basedOn w:val="Normal"/>
    <w:rsid w:val="00204443"/>
    <w:pPr>
      <w:numPr>
        <w:numId w:val="3"/>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A9DED7D7B2E40A999B4868A4627C7F8"/>
        <w:category>
          <w:name w:val="General"/>
          <w:gallery w:val="placeholder"/>
        </w:category>
        <w:types>
          <w:type w:val="bbPlcHdr"/>
        </w:types>
        <w:behaviors>
          <w:behavior w:val="content"/>
        </w:behaviors>
        <w:guid w:val="{7D7A515B-C746-4866-A965-B6059C47E140}"/>
      </w:docPartPr>
      <w:docPartBody>
        <w:p w:rsidR="0031082B" w:rsidRDefault="0060342C" w:rsidP="0060342C">
          <w:pPr>
            <w:pStyle w:val="DA9DED7D7B2E40A999B4868A4627C7F8"/>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Rounded MT Bold">
    <w:altName w:val="Tahoma"/>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60342C"/>
    <w:rsid w:val="0002742C"/>
    <w:rsid w:val="0031082B"/>
    <w:rsid w:val="003876D8"/>
    <w:rsid w:val="0052334E"/>
    <w:rsid w:val="005E5902"/>
    <w:rsid w:val="0060342C"/>
    <w:rsid w:val="006C7813"/>
    <w:rsid w:val="006E0EF1"/>
    <w:rsid w:val="0073258B"/>
    <w:rsid w:val="007B376B"/>
    <w:rsid w:val="007F7264"/>
    <w:rsid w:val="0081238A"/>
    <w:rsid w:val="00933DF6"/>
    <w:rsid w:val="009F7FAB"/>
    <w:rsid w:val="00A97EAA"/>
    <w:rsid w:val="00AF13E4"/>
    <w:rsid w:val="00BF0650"/>
    <w:rsid w:val="00CC516C"/>
    <w:rsid w:val="00E03296"/>
    <w:rsid w:val="00F8217D"/>
    <w:rsid w:val="00FB13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8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342C"/>
    <w:rPr>
      <w:color w:val="808080"/>
    </w:rPr>
  </w:style>
  <w:style w:type="paragraph" w:customStyle="1" w:styleId="DA9DED7D7B2E40A999B4868A4627C7F8">
    <w:name w:val="DA9DED7D7B2E40A999B4868A4627C7F8"/>
    <w:rsid w:val="0060342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D4A3C3-3137-4D40-8C5E-C7D83958C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1516</Words>
  <Characters>8646</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DAFF</dc:creator>
  <cp:lastModifiedBy>Hilhorst, Matt</cp:lastModifiedBy>
  <cp:revision>2</cp:revision>
  <dcterms:created xsi:type="dcterms:W3CDTF">2014-11-17T04:29:00Z</dcterms:created>
  <dcterms:modified xsi:type="dcterms:W3CDTF">2014-11-17T04:29:00Z</dcterms:modified>
</cp:coreProperties>
</file>