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CF" w:rsidRPr="00342E79" w:rsidRDefault="00B910CF" w:rsidP="00B910CF">
      <w:pPr>
        <w:autoSpaceDE w:val="0"/>
        <w:autoSpaceDN w:val="0"/>
        <w:adjustRightInd w:val="0"/>
        <w:jc w:val="center"/>
        <w:rPr>
          <w:sz w:val="22"/>
          <w:szCs w:val="22"/>
          <w:u w:val="single"/>
        </w:rPr>
      </w:pPr>
      <w:r w:rsidRPr="00342E79">
        <w:rPr>
          <w:sz w:val="22"/>
          <w:szCs w:val="22"/>
          <w:u w:val="single"/>
        </w:rPr>
        <w:t>EXPLANATORY STATEMENT</w:t>
      </w:r>
    </w:p>
    <w:p w:rsidR="00B910CF" w:rsidRPr="00342E79" w:rsidRDefault="00B910CF" w:rsidP="00B910CF">
      <w:pPr>
        <w:autoSpaceDE w:val="0"/>
        <w:autoSpaceDN w:val="0"/>
        <w:adjustRightInd w:val="0"/>
        <w:jc w:val="center"/>
        <w:rPr>
          <w:b/>
          <w:sz w:val="22"/>
          <w:szCs w:val="22"/>
        </w:rPr>
      </w:pPr>
    </w:p>
    <w:p w:rsidR="00B910CF" w:rsidRPr="00342E79" w:rsidRDefault="00B910CF" w:rsidP="00B910CF">
      <w:pPr>
        <w:autoSpaceDE w:val="0"/>
        <w:autoSpaceDN w:val="0"/>
        <w:adjustRightInd w:val="0"/>
        <w:jc w:val="center"/>
        <w:rPr>
          <w:b/>
          <w:sz w:val="22"/>
          <w:szCs w:val="22"/>
        </w:rPr>
      </w:pPr>
      <w:r w:rsidRPr="00342E79">
        <w:rPr>
          <w:b/>
          <w:sz w:val="22"/>
          <w:szCs w:val="22"/>
        </w:rPr>
        <w:t>Issued by the Authority of the Australian Fisheries Management Authority</w:t>
      </w:r>
    </w:p>
    <w:p w:rsidR="00B910CF" w:rsidRPr="00342E79" w:rsidRDefault="00B910CF" w:rsidP="00B910CF">
      <w:pPr>
        <w:autoSpaceDE w:val="0"/>
        <w:autoSpaceDN w:val="0"/>
        <w:adjustRightInd w:val="0"/>
        <w:jc w:val="center"/>
        <w:rPr>
          <w:b/>
          <w:sz w:val="22"/>
          <w:szCs w:val="22"/>
        </w:rPr>
      </w:pPr>
    </w:p>
    <w:p w:rsidR="00B910CF" w:rsidRPr="00342E79" w:rsidRDefault="00B910CF" w:rsidP="00B910CF">
      <w:pPr>
        <w:autoSpaceDE w:val="0"/>
        <w:autoSpaceDN w:val="0"/>
        <w:adjustRightInd w:val="0"/>
        <w:jc w:val="center"/>
        <w:rPr>
          <w:i/>
          <w:iCs/>
          <w:sz w:val="22"/>
          <w:szCs w:val="22"/>
        </w:rPr>
      </w:pPr>
      <w:r w:rsidRPr="00342E79">
        <w:rPr>
          <w:i/>
          <w:iCs/>
          <w:sz w:val="22"/>
          <w:szCs w:val="22"/>
        </w:rPr>
        <w:t>Fisheries Management Act 1991</w:t>
      </w:r>
    </w:p>
    <w:p w:rsidR="00B910CF" w:rsidRPr="00342E79" w:rsidRDefault="00B910CF" w:rsidP="00B910CF">
      <w:pPr>
        <w:autoSpaceDE w:val="0"/>
        <w:autoSpaceDN w:val="0"/>
        <w:adjustRightInd w:val="0"/>
        <w:jc w:val="center"/>
        <w:rPr>
          <w:i/>
          <w:iCs/>
          <w:sz w:val="22"/>
          <w:szCs w:val="22"/>
        </w:rPr>
      </w:pPr>
      <w:r w:rsidRPr="00342E79">
        <w:rPr>
          <w:i/>
          <w:iCs/>
          <w:sz w:val="22"/>
          <w:szCs w:val="22"/>
        </w:rPr>
        <w:t>Western Tuna and Billfish Fishery Management Plan 2005</w:t>
      </w:r>
    </w:p>
    <w:p w:rsidR="00B910CF" w:rsidRPr="00342E79" w:rsidRDefault="00B910CF" w:rsidP="00B910CF">
      <w:pPr>
        <w:autoSpaceDE w:val="0"/>
        <w:autoSpaceDN w:val="0"/>
        <w:adjustRightInd w:val="0"/>
        <w:jc w:val="center"/>
        <w:rPr>
          <w:b/>
          <w:sz w:val="22"/>
          <w:szCs w:val="22"/>
        </w:rPr>
      </w:pPr>
    </w:p>
    <w:p w:rsidR="00B910CF" w:rsidRPr="00342E79" w:rsidRDefault="00B910CF" w:rsidP="00B910CF">
      <w:pPr>
        <w:autoSpaceDE w:val="0"/>
        <w:autoSpaceDN w:val="0"/>
        <w:adjustRightInd w:val="0"/>
        <w:ind w:left="360"/>
        <w:jc w:val="center"/>
        <w:rPr>
          <w:b/>
          <w:color w:val="000000"/>
          <w:sz w:val="22"/>
          <w:szCs w:val="22"/>
          <w:lang w:val="en-AU"/>
        </w:rPr>
      </w:pPr>
      <w:r w:rsidRPr="00342E79">
        <w:rPr>
          <w:b/>
          <w:iCs/>
          <w:color w:val="000000"/>
          <w:sz w:val="22"/>
          <w:szCs w:val="22"/>
          <w:lang w:val="en-AU"/>
        </w:rPr>
        <w:t xml:space="preserve">Western Tuna and Billfish Fishery </w:t>
      </w:r>
      <w:r w:rsidRPr="00342E79">
        <w:rPr>
          <w:b/>
          <w:color w:val="000000"/>
          <w:sz w:val="22"/>
          <w:szCs w:val="22"/>
          <w:lang w:val="en-AU"/>
        </w:rPr>
        <w:t>Total Allowable Commercial Catch Determ</w:t>
      </w:r>
      <w:r w:rsidR="00994B87" w:rsidRPr="00342E79">
        <w:rPr>
          <w:b/>
          <w:color w:val="000000"/>
          <w:sz w:val="22"/>
          <w:szCs w:val="22"/>
          <w:lang w:val="en-AU"/>
        </w:rPr>
        <w:t xml:space="preserve">ination </w:t>
      </w:r>
      <w:r w:rsidR="00D2173F">
        <w:rPr>
          <w:b/>
          <w:color w:val="000000"/>
          <w:sz w:val="22"/>
          <w:szCs w:val="22"/>
          <w:lang w:val="en-AU"/>
        </w:rPr>
        <w:t>(No. 2) 2014</w:t>
      </w:r>
    </w:p>
    <w:p w:rsidR="00B910CF" w:rsidRDefault="00B910CF" w:rsidP="00B910CF"/>
    <w:p w:rsidR="00B910CF" w:rsidRPr="00643BC9" w:rsidRDefault="00B910CF" w:rsidP="00B910CF">
      <w:pPr>
        <w:autoSpaceDE w:val="0"/>
        <w:autoSpaceDN w:val="0"/>
        <w:adjustRightInd w:val="0"/>
        <w:spacing w:after="120"/>
        <w:jc w:val="both"/>
        <w:rPr>
          <w:color w:val="000000"/>
          <w:sz w:val="22"/>
          <w:szCs w:val="22"/>
          <w:lang w:val="en-AU"/>
        </w:rPr>
      </w:pPr>
      <w:r w:rsidRPr="00D9674E">
        <w:rPr>
          <w:color w:val="000000"/>
          <w:sz w:val="22"/>
          <w:szCs w:val="22"/>
          <w:lang w:val="en-AU"/>
        </w:rPr>
        <w:t xml:space="preserve">Paragraph 17(6)(aa) of the </w:t>
      </w:r>
      <w:r w:rsidR="00616E29">
        <w:rPr>
          <w:i/>
          <w:color w:val="000000"/>
          <w:sz w:val="22"/>
          <w:szCs w:val="22"/>
          <w:lang w:val="en-AU"/>
        </w:rPr>
        <w:t xml:space="preserve">Fisheries Management </w:t>
      </w:r>
      <w:r w:rsidRPr="00A81D7D">
        <w:rPr>
          <w:i/>
          <w:color w:val="000000"/>
          <w:sz w:val="22"/>
          <w:szCs w:val="22"/>
          <w:lang w:val="en-AU"/>
        </w:rPr>
        <w:t>Act</w:t>
      </w:r>
      <w:r w:rsidRPr="00D9674E">
        <w:rPr>
          <w:color w:val="000000"/>
          <w:sz w:val="22"/>
          <w:szCs w:val="22"/>
          <w:lang w:val="en-AU"/>
        </w:rPr>
        <w:t xml:space="preserve"> </w:t>
      </w:r>
      <w:r w:rsidR="00616E29">
        <w:rPr>
          <w:i/>
          <w:color w:val="000000"/>
          <w:sz w:val="22"/>
          <w:szCs w:val="22"/>
          <w:lang w:val="en-AU"/>
        </w:rPr>
        <w:t xml:space="preserve">1991 </w:t>
      </w:r>
      <w:r w:rsidR="00616E29">
        <w:rPr>
          <w:color w:val="000000"/>
          <w:sz w:val="22"/>
          <w:szCs w:val="22"/>
          <w:lang w:val="en-AU"/>
        </w:rPr>
        <w:t xml:space="preserve">(the Act) </w:t>
      </w:r>
      <w:r w:rsidRPr="00D9674E">
        <w:rPr>
          <w:color w:val="000000"/>
          <w:sz w:val="22"/>
          <w:szCs w:val="22"/>
          <w:lang w:val="en-AU"/>
        </w:rPr>
        <w:t>provides that a plan of management made under the Act may provide for the Australian Fisheries Management Authority (</w:t>
      </w:r>
      <w:r>
        <w:rPr>
          <w:color w:val="000000"/>
          <w:sz w:val="22"/>
          <w:szCs w:val="22"/>
          <w:lang w:val="en-AU"/>
        </w:rPr>
        <w:t>the Authority</w:t>
      </w:r>
      <w:r w:rsidRPr="00D9674E">
        <w:rPr>
          <w:color w:val="000000"/>
          <w:sz w:val="22"/>
          <w:szCs w:val="22"/>
          <w:lang w:val="en-AU"/>
        </w:rPr>
        <w:t>) to determine the fishing capacity permitted for the fishery or a part of the fishery in respect of a particular period or periods.</w:t>
      </w:r>
    </w:p>
    <w:p w:rsidR="00B910CF" w:rsidRPr="00643BC9" w:rsidRDefault="00B910CF" w:rsidP="00B910CF">
      <w:pPr>
        <w:autoSpaceDE w:val="0"/>
        <w:autoSpaceDN w:val="0"/>
        <w:adjustRightInd w:val="0"/>
        <w:spacing w:after="120"/>
        <w:jc w:val="both"/>
        <w:rPr>
          <w:color w:val="000000"/>
          <w:sz w:val="22"/>
          <w:szCs w:val="22"/>
          <w:lang w:val="en-AU"/>
        </w:rPr>
      </w:pPr>
      <w:r w:rsidRPr="00643BC9">
        <w:rPr>
          <w:color w:val="000000"/>
          <w:sz w:val="22"/>
          <w:szCs w:val="22"/>
          <w:lang w:val="en-AU"/>
        </w:rPr>
        <w:t xml:space="preserve">Subsection 11(1) of the </w:t>
      </w:r>
      <w:r w:rsidRPr="00643BC9">
        <w:rPr>
          <w:i/>
          <w:color w:val="000000"/>
          <w:sz w:val="22"/>
          <w:szCs w:val="22"/>
          <w:lang w:val="en-AU"/>
        </w:rPr>
        <w:t>Western Tuna and Billfish Fishery Management Plan 2005</w:t>
      </w:r>
      <w:r w:rsidRPr="00643BC9">
        <w:rPr>
          <w:color w:val="000000"/>
          <w:sz w:val="22"/>
          <w:szCs w:val="22"/>
          <w:lang w:val="en-AU"/>
        </w:rPr>
        <w:t xml:space="preserve"> (the Plan) provides that the Authority must determine a </w:t>
      </w:r>
      <w:r w:rsidR="00616E29">
        <w:rPr>
          <w:color w:val="000000"/>
          <w:sz w:val="22"/>
          <w:szCs w:val="22"/>
          <w:lang w:val="en-AU"/>
        </w:rPr>
        <w:t>T</w:t>
      </w:r>
      <w:r w:rsidRPr="00643BC9">
        <w:rPr>
          <w:color w:val="000000"/>
          <w:sz w:val="22"/>
          <w:szCs w:val="22"/>
          <w:lang w:val="en-AU"/>
        </w:rPr>
        <w:t xml:space="preserve">otal </w:t>
      </w:r>
      <w:r w:rsidR="00616E29">
        <w:rPr>
          <w:color w:val="000000"/>
          <w:sz w:val="22"/>
          <w:szCs w:val="22"/>
          <w:lang w:val="en-AU"/>
        </w:rPr>
        <w:t>A</w:t>
      </w:r>
      <w:r w:rsidRPr="00643BC9">
        <w:rPr>
          <w:color w:val="000000"/>
          <w:sz w:val="22"/>
          <w:szCs w:val="22"/>
          <w:lang w:val="en-AU"/>
        </w:rPr>
        <w:t xml:space="preserve">llowable </w:t>
      </w:r>
      <w:r w:rsidR="00616E29">
        <w:rPr>
          <w:color w:val="000000"/>
          <w:sz w:val="22"/>
          <w:szCs w:val="22"/>
          <w:lang w:val="en-AU"/>
        </w:rPr>
        <w:t>C</w:t>
      </w:r>
      <w:r w:rsidRPr="00643BC9">
        <w:rPr>
          <w:color w:val="000000"/>
          <w:sz w:val="22"/>
          <w:szCs w:val="22"/>
          <w:lang w:val="en-AU"/>
        </w:rPr>
        <w:t xml:space="preserve">ommercial </w:t>
      </w:r>
      <w:r w:rsidR="00616E29">
        <w:rPr>
          <w:color w:val="000000"/>
          <w:sz w:val="22"/>
          <w:szCs w:val="22"/>
          <w:lang w:val="en-AU"/>
        </w:rPr>
        <w:t>C</w:t>
      </w:r>
      <w:r w:rsidRPr="00643BC9">
        <w:rPr>
          <w:color w:val="000000"/>
          <w:sz w:val="22"/>
          <w:szCs w:val="22"/>
          <w:lang w:val="en-AU"/>
        </w:rPr>
        <w:t xml:space="preserve">atch (TACC) for each quota species for the fishing </w:t>
      </w:r>
      <w:r>
        <w:rPr>
          <w:color w:val="000000"/>
          <w:sz w:val="22"/>
          <w:szCs w:val="22"/>
          <w:lang w:val="en-AU"/>
        </w:rPr>
        <w:t>season</w:t>
      </w:r>
      <w:r w:rsidRPr="00643BC9">
        <w:rPr>
          <w:color w:val="000000"/>
          <w:sz w:val="22"/>
          <w:szCs w:val="22"/>
          <w:lang w:val="en-AU"/>
        </w:rPr>
        <w:t xml:space="preserve"> before the fishing season commences. A determination of a TACC must specify the TACC expressed in whole weight or a specified other weight.</w:t>
      </w:r>
    </w:p>
    <w:p w:rsidR="00B910CF" w:rsidRPr="00643BC9" w:rsidRDefault="00B910CF" w:rsidP="00B910CF">
      <w:pPr>
        <w:autoSpaceDE w:val="0"/>
        <w:autoSpaceDN w:val="0"/>
        <w:adjustRightInd w:val="0"/>
        <w:spacing w:after="120"/>
        <w:jc w:val="both"/>
        <w:rPr>
          <w:color w:val="000000"/>
          <w:sz w:val="22"/>
          <w:szCs w:val="22"/>
          <w:lang w:val="en-AU"/>
        </w:rPr>
      </w:pPr>
      <w:r>
        <w:rPr>
          <w:color w:val="000000"/>
          <w:sz w:val="22"/>
          <w:szCs w:val="22"/>
          <w:lang w:val="en-AU"/>
        </w:rPr>
        <w:t>Subs</w:t>
      </w:r>
      <w:r w:rsidRPr="00931428">
        <w:rPr>
          <w:color w:val="000000"/>
          <w:sz w:val="22"/>
          <w:szCs w:val="22"/>
          <w:lang w:val="en-AU"/>
        </w:rPr>
        <w:t xml:space="preserve">ection </w:t>
      </w:r>
      <w:r>
        <w:rPr>
          <w:color w:val="000000"/>
          <w:sz w:val="22"/>
          <w:szCs w:val="22"/>
          <w:lang w:val="en-AU"/>
        </w:rPr>
        <w:t>11(2)</w:t>
      </w:r>
      <w:r w:rsidRPr="00931428">
        <w:rPr>
          <w:color w:val="000000"/>
          <w:sz w:val="22"/>
          <w:szCs w:val="22"/>
          <w:lang w:val="en-AU"/>
        </w:rPr>
        <w:t xml:space="preserve"> of the Plan provides that, before </w:t>
      </w:r>
      <w:r>
        <w:rPr>
          <w:color w:val="000000"/>
          <w:sz w:val="22"/>
          <w:szCs w:val="22"/>
          <w:lang w:val="en-AU"/>
        </w:rPr>
        <w:t>the Authority</w:t>
      </w:r>
      <w:r w:rsidRPr="00931428">
        <w:rPr>
          <w:color w:val="000000"/>
          <w:sz w:val="22"/>
          <w:szCs w:val="22"/>
          <w:lang w:val="en-AU"/>
        </w:rPr>
        <w:t xml:space="preserve"> determines a TACC for a quota species for a fishing </w:t>
      </w:r>
      <w:r>
        <w:rPr>
          <w:color w:val="000000"/>
          <w:sz w:val="22"/>
          <w:szCs w:val="22"/>
          <w:lang w:val="en-AU"/>
        </w:rPr>
        <w:t>season</w:t>
      </w:r>
      <w:r w:rsidRPr="00931428">
        <w:rPr>
          <w:color w:val="000000"/>
          <w:sz w:val="22"/>
          <w:szCs w:val="22"/>
          <w:lang w:val="en-AU"/>
        </w:rPr>
        <w:t xml:space="preserve">, it must consider information given by the advisory committee, other interested Australian and international bodies and other interested persons; the total estimated catch by the commercial, recreational, indigenous and any other users of the fishery; information about the sustainability of marine species in the area of the fishery; the reference points set for the stocks of quota species; the precautionary principle; any decision made by the Minister or an intergovernmental Ministerial Council about resource sharing in the fishery; any decision rule used for setting the TACC; and the likely effect, for the fishing season, of any </w:t>
      </w:r>
      <w:proofErr w:type="spellStart"/>
      <w:r w:rsidRPr="00931428">
        <w:rPr>
          <w:color w:val="000000"/>
          <w:sz w:val="22"/>
          <w:szCs w:val="22"/>
          <w:lang w:val="en-AU"/>
        </w:rPr>
        <w:t>overcatch</w:t>
      </w:r>
      <w:proofErr w:type="spellEnd"/>
      <w:r w:rsidRPr="00931428">
        <w:rPr>
          <w:color w:val="000000"/>
          <w:sz w:val="22"/>
          <w:szCs w:val="22"/>
          <w:lang w:val="en-AU"/>
        </w:rPr>
        <w:t xml:space="preserve"> permitted.</w:t>
      </w:r>
    </w:p>
    <w:p w:rsidR="00616E29" w:rsidRPr="00616E29" w:rsidRDefault="00B910CF" w:rsidP="00616E29">
      <w:pPr>
        <w:autoSpaceDE w:val="0"/>
        <w:autoSpaceDN w:val="0"/>
        <w:adjustRightInd w:val="0"/>
        <w:spacing w:after="120"/>
        <w:jc w:val="both"/>
        <w:rPr>
          <w:color w:val="000000"/>
          <w:sz w:val="22"/>
          <w:szCs w:val="22"/>
          <w:lang w:val="en-AU"/>
        </w:rPr>
      </w:pPr>
      <w:r w:rsidRPr="00643BC9">
        <w:rPr>
          <w:sz w:val="22"/>
          <w:szCs w:val="22"/>
        </w:rPr>
        <w:t xml:space="preserve">The </w:t>
      </w:r>
      <w:r w:rsidR="000F624B">
        <w:rPr>
          <w:sz w:val="22"/>
          <w:szCs w:val="22"/>
        </w:rPr>
        <w:t>Determination</w:t>
      </w:r>
      <w:r w:rsidRPr="00643BC9">
        <w:rPr>
          <w:sz w:val="22"/>
          <w:szCs w:val="22"/>
        </w:rPr>
        <w:t xml:space="preserve"> determines the total allowable commercial catch for quota species in the Western Tuna and Billfish Fishery </w:t>
      </w:r>
      <w:r>
        <w:rPr>
          <w:sz w:val="22"/>
          <w:szCs w:val="22"/>
        </w:rPr>
        <w:t xml:space="preserve">(the Fishery) </w:t>
      </w:r>
      <w:r w:rsidR="00994B87">
        <w:rPr>
          <w:sz w:val="22"/>
          <w:szCs w:val="22"/>
        </w:rPr>
        <w:t>for the 201</w:t>
      </w:r>
      <w:r w:rsidR="00616E29">
        <w:rPr>
          <w:sz w:val="22"/>
          <w:szCs w:val="22"/>
        </w:rPr>
        <w:t>5</w:t>
      </w:r>
      <w:r w:rsidR="004C5585">
        <w:rPr>
          <w:sz w:val="22"/>
          <w:szCs w:val="22"/>
        </w:rPr>
        <w:t>, 2016 and 2017</w:t>
      </w:r>
      <w:r w:rsidRPr="00643BC9">
        <w:rPr>
          <w:sz w:val="22"/>
          <w:szCs w:val="22"/>
        </w:rPr>
        <w:t xml:space="preserve"> fishing season</w:t>
      </w:r>
      <w:r w:rsidR="004C5585">
        <w:rPr>
          <w:sz w:val="22"/>
          <w:szCs w:val="22"/>
        </w:rPr>
        <w:t>s</w:t>
      </w:r>
      <w:r w:rsidRPr="00A81D7D">
        <w:rPr>
          <w:color w:val="000000"/>
          <w:sz w:val="22"/>
          <w:szCs w:val="22"/>
          <w:lang w:val="en-AU"/>
        </w:rPr>
        <w:t xml:space="preserve">.  </w:t>
      </w:r>
    </w:p>
    <w:p w:rsidR="00616E29" w:rsidRPr="000F624B" w:rsidRDefault="00616E29" w:rsidP="00616E29">
      <w:pPr>
        <w:autoSpaceDE w:val="0"/>
        <w:autoSpaceDN w:val="0"/>
        <w:adjustRightInd w:val="0"/>
        <w:spacing w:after="120"/>
        <w:jc w:val="both"/>
        <w:rPr>
          <w:color w:val="000000"/>
          <w:sz w:val="22"/>
          <w:szCs w:val="22"/>
          <w:lang w:val="en-AU"/>
        </w:rPr>
      </w:pPr>
      <w:r w:rsidRPr="00616E29">
        <w:rPr>
          <w:color w:val="000000"/>
          <w:sz w:val="22"/>
          <w:szCs w:val="22"/>
          <w:lang w:val="en-AU"/>
        </w:rPr>
        <w:t>The</w:t>
      </w:r>
      <w:r w:rsidRPr="000F624B">
        <w:rPr>
          <w:color w:val="000000"/>
          <w:sz w:val="22"/>
          <w:szCs w:val="22"/>
          <w:lang w:val="en-AU"/>
        </w:rPr>
        <w:t xml:space="preserve"> </w:t>
      </w:r>
      <w:r w:rsidRPr="00A81D7D">
        <w:rPr>
          <w:i/>
          <w:color w:val="000000"/>
          <w:sz w:val="22"/>
          <w:szCs w:val="22"/>
          <w:lang w:val="en-AU"/>
        </w:rPr>
        <w:t>Western Tuna and Billfish Fishery Total Allowable Commercial Catch Determination</w:t>
      </w:r>
      <w:r w:rsidR="00D2173F">
        <w:rPr>
          <w:i/>
          <w:color w:val="000000"/>
          <w:sz w:val="22"/>
          <w:szCs w:val="22"/>
          <w:lang w:val="en-AU"/>
        </w:rPr>
        <w:t xml:space="preserve"> (No. 2) 2014</w:t>
      </w:r>
      <w:r w:rsidRPr="000F624B">
        <w:rPr>
          <w:color w:val="000000"/>
          <w:sz w:val="22"/>
          <w:szCs w:val="22"/>
          <w:lang w:val="en-AU"/>
        </w:rPr>
        <w:t xml:space="preserve"> (the D</w:t>
      </w:r>
      <w:r>
        <w:rPr>
          <w:color w:val="000000"/>
          <w:sz w:val="22"/>
          <w:szCs w:val="22"/>
          <w:lang w:val="en-AU"/>
        </w:rPr>
        <w:t>etermination</w:t>
      </w:r>
      <w:r w:rsidRPr="000F624B">
        <w:rPr>
          <w:color w:val="000000"/>
          <w:sz w:val="22"/>
          <w:szCs w:val="22"/>
          <w:lang w:val="en-AU"/>
        </w:rPr>
        <w:t xml:space="preserve">) is a legislative instrument for the purposes of the </w:t>
      </w:r>
      <w:r w:rsidRPr="000F624B">
        <w:rPr>
          <w:i/>
          <w:color w:val="000000"/>
          <w:sz w:val="22"/>
          <w:szCs w:val="22"/>
          <w:lang w:val="en-AU"/>
        </w:rPr>
        <w:t>Legislative Instruments Act 2003</w:t>
      </w:r>
      <w:r w:rsidRPr="000F624B">
        <w:rPr>
          <w:color w:val="000000"/>
          <w:sz w:val="22"/>
          <w:szCs w:val="22"/>
          <w:lang w:val="en-AU"/>
        </w:rPr>
        <w:t>.</w:t>
      </w:r>
    </w:p>
    <w:p w:rsidR="0057795B" w:rsidRDefault="00B910CF" w:rsidP="0057795B">
      <w:pPr>
        <w:autoSpaceDE w:val="0"/>
        <w:autoSpaceDN w:val="0"/>
        <w:adjustRightInd w:val="0"/>
        <w:spacing w:before="240"/>
        <w:rPr>
          <w:color w:val="000000"/>
          <w:sz w:val="22"/>
          <w:szCs w:val="22"/>
          <w:lang w:val="en-AU"/>
        </w:rPr>
      </w:pPr>
      <w:r w:rsidRPr="00465A3D">
        <w:rPr>
          <w:b/>
          <w:bCs/>
          <w:sz w:val="22"/>
          <w:szCs w:val="22"/>
        </w:rPr>
        <w:t>The Fishery</w:t>
      </w:r>
      <w:r w:rsidRPr="00465A3D">
        <w:rPr>
          <w:b/>
          <w:bCs/>
          <w:sz w:val="22"/>
          <w:szCs w:val="22"/>
        </w:rPr>
        <w:br/>
      </w:r>
    </w:p>
    <w:p w:rsidR="00B910CF" w:rsidRPr="00465A3D" w:rsidRDefault="00B910CF" w:rsidP="0057795B">
      <w:pPr>
        <w:autoSpaceDE w:val="0"/>
        <w:autoSpaceDN w:val="0"/>
        <w:adjustRightInd w:val="0"/>
        <w:rPr>
          <w:color w:val="000000"/>
          <w:sz w:val="22"/>
          <w:szCs w:val="22"/>
          <w:lang w:val="en-AU"/>
        </w:rPr>
      </w:pPr>
      <w:r w:rsidRPr="00465A3D">
        <w:rPr>
          <w:color w:val="000000"/>
          <w:sz w:val="22"/>
          <w:szCs w:val="22"/>
          <w:lang w:val="en-AU"/>
        </w:rPr>
        <w:t xml:space="preserve">The </w:t>
      </w:r>
      <w:r w:rsidRPr="00D84D99">
        <w:rPr>
          <w:color w:val="000000"/>
          <w:sz w:val="22"/>
          <w:szCs w:val="22"/>
          <w:lang w:val="en-AU"/>
        </w:rPr>
        <w:t xml:space="preserve">Fishery </w:t>
      </w:r>
      <w:r w:rsidRPr="00465A3D">
        <w:rPr>
          <w:color w:val="000000"/>
          <w:sz w:val="22"/>
          <w:szCs w:val="22"/>
          <w:lang w:val="en-AU"/>
        </w:rPr>
        <w:t xml:space="preserve">covers the area of waters in the Australian Exclusive Economic Zone (EEZ) included on the west coast of Australia, westward from Cape York Peninsula (142°30’E) off Queensland to 34°S off the west coast of Western Australia.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w:t>
      </w:r>
      <w:r>
        <w:rPr>
          <w:color w:val="000000"/>
          <w:sz w:val="22"/>
          <w:szCs w:val="22"/>
          <w:lang w:val="en-AU"/>
        </w:rPr>
        <w:t>stralian/Victorian border. The F</w:t>
      </w:r>
      <w:r w:rsidRPr="00465A3D">
        <w:rPr>
          <w:color w:val="000000"/>
          <w:sz w:val="22"/>
          <w:szCs w:val="22"/>
          <w:lang w:val="en-AU"/>
        </w:rPr>
        <w:t xml:space="preserve">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p>
    <w:p w:rsidR="00B910CF" w:rsidRPr="00465A3D" w:rsidRDefault="00B910CF" w:rsidP="00B910CF">
      <w:pPr>
        <w:autoSpaceDE w:val="0"/>
        <w:autoSpaceDN w:val="0"/>
        <w:adjustRightInd w:val="0"/>
        <w:spacing w:after="120"/>
        <w:jc w:val="both"/>
        <w:rPr>
          <w:color w:val="000000"/>
          <w:sz w:val="22"/>
          <w:szCs w:val="22"/>
          <w:lang w:val="en-AU"/>
        </w:rPr>
      </w:pPr>
      <w:r w:rsidRPr="00465A3D">
        <w:rPr>
          <w:color w:val="000000"/>
          <w:sz w:val="22"/>
          <w:szCs w:val="22"/>
          <w:lang w:val="en-AU"/>
        </w:rPr>
        <w:t xml:space="preserve">Management in the </w:t>
      </w:r>
      <w:r>
        <w:rPr>
          <w:color w:val="000000"/>
          <w:sz w:val="22"/>
          <w:szCs w:val="22"/>
          <w:lang w:val="en-AU"/>
        </w:rPr>
        <w:t>Fishery</w:t>
      </w:r>
      <w:r w:rsidRPr="00465A3D">
        <w:rPr>
          <w:color w:val="000000"/>
          <w:sz w:val="22"/>
          <w:szCs w:val="22"/>
          <w:lang w:val="en-AU"/>
        </w:rPr>
        <w:t xml:space="preserve"> has been through output controls in the form of individually transferable quotas since the Plan was determined in 2005.</w:t>
      </w:r>
      <w:r w:rsidRPr="00D84D99">
        <w:rPr>
          <w:color w:val="000000"/>
          <w:sz w:val="22"/>
          <w:szCs w:val="22"/>
          <w:lang w:val="en-AU"/>
        </w:rPr>
        <w:t xml:space="preserve">  </w:t>
      </w:r>
    </w:p>
    <w:p w:rsidR="00B910CF" w:rsidRPr="00931428" w:rsidRDefault="00B910CF" w:rsidP="00B910CF">
      <w:pPr>
        <w:autoSpaceDE w:val="0"/>
        <w:autoSpaceDN w:val="0"/>
        <w:adjustRightInd w:val="0"/>
        <w:spacing w:before="240" w:after="120"/>
        <w:rPr>
          <w:b/>
          <w:bCs/>
          <w:color w:val="000000"/>
          <w:sz w:val="22"/>
          <w:szCs w:val="22"/>
          <w:lang w:val="en-AU"/>
        </w:rPr>
      </w:pPr>
      <w:r w:rsidRPr="00931428">
        <w:rPr>
          <w:b/>
          <w:bCs/>
          <w:color w:val="000000"/>
          <w:sz w:val="22"/>
          <w:szCs w:val="22"/>
          <w:lang w:val="en-AU"/>
        </w:rPr>
        <w:t>Consultation</w:t>
      </w:r>
    </w:p>
    <w:p w:rsidR="00B910CF" w:rsidRPr="00931428" w:rsidRDefault="00B910CF" w:rsidP="00B910CF">
      <w:pPr>
        <w:spacing w:after="120"/>
        <w:jc w:val="both"/>
        <w:rPr>
          <w:sz w:val="22"/>
          <w:szCs w:val="22"/>
          <w:lang w:val="en-AU"/>
        </w:rPr>
      </w:pPr>
      <w:r>
        <w:rPr>
          <w:sz w:val="22"/>
          <w:szCs w:val="22"/>
          <w:lang w:val="en-AU"/>
        </w:rPr>
        <w:t>E</w:t>
      </w:r>
      <w:r w:rsidRPr="00931428">
        <w:rPr>
          <w:sz w:val="22"/>
          <w:szCs w:val="22"/>
          <w:lang w:val="en-AU"/>
        </w:rPr>
        <w:t xml:space="preserve">xtensive consultation </w:t>
      </w:r>
      <w:r>
        <w:rPr>
          <w:sz w:val="22"/>
          <w:szCs w:val="22"/>
          <w:lang w:val="en-AU"/>
        </w:rPr>
        <w:t xml:space="preserve">was undertaken </w:t>
      </w:r>
      <w:r w:rsidRPr="00931428">
        <w:rPr>
          <w:sz w:val="22"/>
          <w:szCs w:val="22"/>
          <w:lang w:val="en-AU"/>
        </w:rPr>
        <w:t xml:space="preserve">to establish the TACCs. Advice from </w:t>
      </w:r>
      <w:r>
        <w:rPr>
          <w:sz w:val="22"/>
          <w:szCs w:val="22"/>
          <w:lang w:val="en-AU"/>
        </w:rPr>
        <w:t>the Tropical Tuna Resource Assessment Group (</w:t>
      </w:r>
      <w:r w:rsidRPr="00931428">
        <w:rPr>
          <w:sz w:val="22"/>
          <w:szCs w:val="22"/>
          <w:lang w:val="en-AU"/>
        </w:rPr>
        <w:t>TTRAG</w:t>
      </w:r>
      <w:r>
        <w:rPr>
          <w:sz w:val="22"/>
          <w:szCs w:val="22"/>
          <w:lang w:val="en-AU"/>
        </w:rPr>
        <w:t>)</w:t>
      </w:r>
      <w:r w:rsidRPr="00931428">
        <w:rPr>
          <w:sz w:val="22"/>
          <w:szCs w:val="22"/>
          <w:lang w:val="en-AU"/>
        </w:rPr>
        <w:t xml:space="preserve"> was considered by the Tropical Tuna Management Advisory Committee (TTMAC). TTMAC discussed the TACC recommendations. </w:t>
      </w:r>
      <w:r w:rsidRPr="00931428">
        <w:rPr>
          <w:color w:val="000000"/>
          <w:sz w:val="22"/>
          <w:szCs w:val="22"/>
        </w:rPr>
        <w:t xml:space="preserve">When considering the TACC recommendations, TTMAC </w:t>
      </w:r>
      <w:r w:rsidRPr="00931428">
        <w:rPr>
          <w:sz w:val="22"/>
          <w:szCs w:val="22"/>
          <w:lang w:val="en-AU"/>
        </w:rPr>
        <w:t xml:space="preserve">took into </w:t>
      </w:r>
      <w:r w:rsidRPr="00931428">
        <w:rPr>
          <w:sz w:val="22"/>
          <w:szCs w:val="22"/>
          <w:lang w:val="en-AU"/>
        </w:rPr>
        <w:lastRenderedPageBreak/>
        <w:t xml:space="preserve">account broader considerations in order to recommend a TACC. These include the Commonwealth Harvest Strategy Policy, stock levels assessed by Indian Ocean Tuna Commission, any whole of government position on catches, total catches from other commercial, recreational and indigenous sectors and any decisions or considerations on resource sharing. </w:t>
      </w:r>
    </w:p>
    <w:p w:rsidR="00B910CF" w:rsidRDefault="00616E29" w:rsidP="00B910CF">
      <w:pPr>
        <w:spacing w:before="100" w:beforeAutospacing="1" w:after="100" w:afterAutospacing="1"/>
        <w:jc w:val="both"/>
        <w:rPr>
          <w:sz w:val="22"/>
          <w:szCs w:val="22"/>
          <w:lang w:val="en-AU"/>
        </w:rPr>
      </w:pPr>
      <w:r>
        <w:rPr>
          <w:color w:val="000000"/>
          <w:sz w:val="22"/>
          <w:szCs w:val="22"/>
        </w:rPr>
        <w:t xml:space="preserve">The Commission of the Australian Fisheries Management Authority determined the TACCs for all quota species at a </w:t>
      </w:r>
      <w:r w:rsidRPr="00525C7B">
        <w:rPr>
          <w:color w:val="000000"/>
          <w:sz w:val="22"/>
          <w:szCs w:val="22"/>
        </w:rPr>
        <w:t xml:space="preserve">meeting on </w:t>
      </w:r>
      <w:r w:rsidR="00A81D7D" w:rsidRPr="00525C7B">
        <w:rPr>
          <w:color w:val="000000"/>
          <w:sz w:val="22"/>
          <w:szCs w:val="22"/>
        </w:rPr>
        <w:t>13 November</w:t>
      </w:r>
      <w:r w:rsidRPr="00525C7B">
        <w:rPr>
          <w:color w:val="000000"/>
          <w:sz w:val="22"/>
          <w:szCs w:val="22"/>
        </w:rPr>
        <w:t xml:space="preserve"> 2014</w:t>
      </w:r>
      <w:r>
        <w:rPr>
          <w:color w:val="000000"/>
          <w:sz w:val="22"/>
          <w:szCs w:val="22"/>
        </w:rPr>
        <w:t xml:space="preserve"> after considering advice</w:t>
      </w:r>
      <w:r w:rsidR="00B910CF" w:rsidRPr="00931428">
        <w:rPr>
          <w:color w:val="000000"/>
          <w:sz w:val="22"/>
          <w:szCs w:val="22"/>
        </w:rPr>
        <w:t xml:space="preserve"> from </w:t>
      </w:r>
      <w:proofErr w:type="spellStart"/>
      <w:r w:rsidR="00B910CF" w:rsidRPr="00931428">
        <w:rPr>
          <w:color w:val="000000"/>
          <w:sz w:val="22"/>
          <w:szCs w:val="22"/>
        </w:rPr>
        <w:t>TTMAC</w:t>
      </w:r>
      <w:proofErr w:type="spellEnd"/>
      <w:r w:rsidR="00B910CF" w:rsidRPr="00931428">
        <w:rPr>
          <w:color w:val="000000"/>
          <w:sz w:val="22"/>
          <w:szCs w:val="22"/>
        </w:rPr>
        <w:t xml:space="preserve"> and </w:t>
      </w:r>
      <w:proofErr w:type="spellStart"/>
      <w:r w:rsidR="00B910CF" w:rsidRPr="00931428">
        <w:rPr>
          <w:color w:val="000000"/>
          <w:sz w:val="22"/>
          <w:szCs w:val="22"/>
        </w:rPr>
        <w:t>TTRAG</w:t>
      </w:r>
      <w:proofErr w:type="spellEnd"/>
      <w:r w:rsidR="00B910CF" w:rsidRPr="00931428">
        <w:rPr>
          <w:color w:val="000000"/>
          <w:sz w:val="22"/>
          <w:szCs w:val="22"/>
        </w:rPr>
        <w:t>.</w:t>
      </w:r>
      <w:r w:rsidR="00B910CF" w:rsidRPr="00931428">
        <w:rPr>
          <w:sz w:val="22"/>
          <w:szCs w:val="22"/>
          <w:lang w:val="en-AU"/>
        </w:rPr>
        <w:t xml:space="preserve"> </w:t>
      </w:r>
    </w:p>
    <w:p w:rsidR="00B910CF" w:rsidRPr="00931428" w:rsidRDefault="00B910CF" w:rsidP="00B910CF">
      <w:pPr>
        <w:autoSpaceDE w:val="0"/>
        <w:autoSpaceDN w:val="0"/>
        <w:adjustRightInd w:val="0"/>
        <w:spacing w:before="240" w:after="120"/>
        <w:rPr>
          <w:b/>
          <w:bCs/>
          <w:color w:val="000000"/>
          <w:sz w:val="22"/>
          <w:szCs w:val="22"/>
          <w:lang w:val="en-AU"/>
        </w:rPr>
      </w:pPr>
      <w:r w:rsidRPr="00931428">
        <w:rPr>
          <w:b/>
          <w:bCs/>
          <w:color w:val="000000"/>
          <w:sz w:val="22"/>
          <w:szCs w:val="22"/>
          <w:lang w:val="en-AU"/>
        </w:rPr>
        <w:t>Regulation Impact Statement</w:t>
      </w:r>
    </w:p>
    <w:p w:rsidR="00B910CF" w:rsidRPr="00D66D2F" w:rsidRDefault="00B910CF" w:rsidP="00B910CF">
      <w:pPr>
        <w:pStyle w:val="AFMANormal"/>
        <w:spacing w:before="0" w:after="220"/>
        <w:rPr>
          <w:sz w:val="22"/>
          <w:szCs w:val="22"/>
        </w:rPr>
      </w:pPr>
      <w:r w:rsidRPr="00D66D2F">
        <w:rPr>
          <w:sz w:val="22"/>
          <w:szCs w:val="22"/>
        </w:rPr>
        <w:t xml:space="preserve">The Office of Best Practice Regulation </w:t>
      </w:r>
      <w:r w:rsidR="00616E29">
        <w:rPr>
          <w:sz w:val="22"/>
          <w:szCs w:val="22"/>
        </w:rPr>
        <w:t xml:space="preserve">has previously </w:t>
      </w:r>
      <w:r w:rsidRPr="00D66D2F">
        <w:rPr>
          <w:sz w:val="22"/>
          <w:szCs w:val="22"/>
        </w:rPr>
        <w:t xml:space="preserve">advised that a Regulation Impact Statement </w:t>
      </w:r>
      <w:r w:rsidR="00616E29">
        <w:rPr>
          <w:sz w:val="22"/>
          <w:szCs w:val="22"/>
        </w:rPr>
        <w:t>is</w:t>
      </w:r>
      <w:r w:rsidR="00616E29" w:rsidRPr="00D66D2F">
        <w:rPr>
          <w:sz w:val="22"/>
          <w:szCs w:val="22"/>
        </w:rPr>
        <w:t xml:space="preserve"> </w:t>
      </w:r>
      <w:r w:rsidRPr="00D66D2F">
        <w:rPr>
          <w:sz w:val="22"/>
          <w:szCs w:val="22"/>
        </w:rPr>
        <w:t xml:space="preserve">not required for </w:t>
      </w:r>
      <w:r w:rsidR="00616E29">
        <w:rPr>
          <w:sz w:val="22"/>
          <w:szCs w:val="22"/>
        </w:rPr>
        <w:t>a</w:t>
      </w:r>
      <w:r w:rsidR="00616E29" w:rsidRPr="00D66D2F">
        <w:rPr>
          <w:sz w:val="22"/>
          <w:szCs w:val="22"/>
        </w:rPr>
        <w:t xml:space="preserve"> </w:t>
      </w:r>
      <w:r w:rsidRPr="00D66D2F">
        <w:rPr>
          <w:sz w:val="22"/>
          <w:szCs w:val="22"/>
        </w:rPr>
        <w:t>Determination</w:t>
      </w:r>
      <w:r w:rsidR="00616E29">
        <w:rPr>
          <w:sz w:val="22"/>
          <w:szCs w:val="22"/>
        </w:rPr>
        <w:t xml:space="preserve"> of this nature,</w:t>
      </w:r>
      <w:r w:rsidRPr="00D66D2F">
        <w:rPr>
          <w:sz w:val="22"/>
          <w:szCs w:val="22"/>
        </w:rPr>
        <w:t xml:space="preserve"> consistent with the agreement in place to cover all regulatory changes deemed to be of a minor or machinery nature.  </w:t>
      </w:r>
    </w:p>
    <w:p w:rsidR="00B97C1A" w:rsidRDefault="00B910CF" w:rsidP="00B97C1A">
      <w:pPr>
        <w:spacing w:before="100" w:beforeAutospacing="1" w:after="120"/>
        <w:jc w:val="both"/>
        <w:rPr>
          <w:b/>
          <w:i/>
          <w:sz w:val="22"/>
          <w:szCs w:val="22"/>
        </w:rPr>
      </w:pPr>
      <w:r w:rsidRPr="00643BC9">
        <w:rPr>
          <w:b/>
          <w:sz w:val="22"/>
          <w:szCs w:val="22"/>
        </w:rPr>
        <w:t xml:space="preserve">Statement of compatibility prepared in accordance with Part 3 of the </w:t>
      </w:r>
      <w:r w:rsidRPr="00643BC9">
        <w:rPr>
          <w:b/>
          <w:i/>
          <w:sz w:val="22"/>
          <w:szCs w:val="22"/>
        </w:rPr>
        <w:t xml:space="preserve">Human Rights (Parliamentary Scrutiny) Act 2011 </w:t>
      </w:r>
    </w:p>
    <w:p w:rsidR="00B910CF" w:rsidRPr="00B97C1A" w:rsidRDefault="00B910CF" w:rsidP="00B97C1A">
      <w:pPr>
        <w:spacing w:before="100" w:beforeAutospacing="1" w:after="120"/>
        <w:jc w:val="both"/>
        <w:rPr>
          <w:b/>
          <w:sz w:val="22"/>
          <w:szCs w:val="22"/>
        </w:rPr>
      </w:pPr>
      <w:r w:rsidRPr="00643BC9">
        <w:rPr>
          <w:sz w:val="22"/>
          <w:szCs w:val="22"/>
        </w:rPr>
        <w:t xml:space="preserve">The Authority assesses under section 3 of the </w:t>
      </w:r>
      <w:r w:rsidRPr="00643BC9">
        <w:rPr>
          <w:i/>
          <w:iCs/>
          <w:sz w:val="22"/>
          <w:szCs w:val="22"/>
        </w:rPr>
        <w:t xml:space="preserve">Human Rights (Parliamentary Scrutiny) Act 2011 </w:t>
      </w:r>
      <w:r w:rsidRPr="00643BC9">
        <w:rPr>
          <w:iCs/>
          <w:sz w:val="22"/>
          <w:szCs w:val="22"/>
        </w:rPr>
        <w:t>that this legislative instrument is compatible with human rights</w:t>
      </w:r>
      <w:r w:rsidRPr="00643BC9">
        <w:rPr>
          <w:sz w:val="22"/>
          <w:szCs w:val="22"/>
        </w:rPr>
        <w:t xml:space="preserve">. The Authority’s Statement of Compatibility is attached as a supporting document.  </w:t>
      </w:r>
    </w:p>
    <w:p w:rsidR="00B910CF" w:rsidRPr="00931428" w:rsidRDefault="00B910CF" w:rsidP="00B910CF">
      <w:pPr>
        <w:autoSpaceDE w:val="0"/>
        <w:autoSpaceDN w:val="0"/>
        <w:adjustRightInd w:val="0"/>
        <w:spacing w:before="240" w:after="120" w:line="360" w:lineRule="auto"/>
        <w:rPr>
          <w:color w:val="000000"/>
          <w:sz w:val="22"/>
          <w:szCs w:val="22"/>
          <w:lang w:val="en-AU"/>
        </w:rPr>
      </w:pPr>
      <w:r w:rsidRPr="00931428">
        <w:rPr>
          <w:color w:val="000000"/>
          <w:sz w:val="22"/>
          <w:szCs w:val="22"/>
          <w:lang w:val="en-AU"/>
        </w:rPr>
        <w:t>Details of the Determination are set out below:</w:t>
      </w:r>
    </w:p>
    <w:p w:rsidR="00B910CF" w:rsidRPr="00931428" w:rsidRDefault="00B910CF" w:rsidP="006A3E36">
      <w:pPr>
        <w:autoSpaceDE w:val="0"/>
        <w:autoSpaceDN w:val="0"/>
        <w:adjustRightInd w:val="0"/>
        <w:spacing w:after="120"/>
        <w:ind w:left="1077" w:hanging="1077"/>
        <w:jc w:val="both"/>
        <w:rPr>
          <w:color w:val="000000"/>
          <w:sz w:val="22"/>
          <w:szCs w:val="22"/>
          <w:lang w:val="en-AU"/>
        </w:rPr>
      </w:pPr>
      <w:r w:rsidRPr="00931428">
        <w:rPr>
          <w:b/>
          <w:bCs/>
          <w:i/>
          <w:iCs/>
          <w:color w:val="000000"/>
          <w:sz w:val="22"/>
          <w:szCs w:val="22"/>
          <w:lang w:val="en-AU"/>
        </w:rPr>
        <w:t>Clause 1</w:t>
      </w:r>
      <w:r>
        <w:rPr>
          <w:b/>
          <w:bCs/>
          <w:i/>
          <w:iCs/>
          <w:color w:val="000000"/>
          <w:sz w:val="22"/>
          <w:szCs w:val="22"/>
          <w:lang w:val="en-AU"/>
        </w:rPr>
        <w:tab/>
      </w:r>
      <w:r>
        <w:rPr>
          <w:color w:val="000000"/>
          <w:sz w:val="22"/>
          <w:szCs w:val="22"/>
          <w:lang w:val="en-AU"/>
        </w:rPr>
        <w:t>P</w:t>
      </w:r>
      <w:r w:rsidRPr="00931428">
        <w:rPr>
          <w:color w:val="000000"/>
          <w:sz w:val="22"/>
          <w:szCs w:val="22"/>
          <w:lang w:val="en-AU"/>
        </w:rPr>
        <w:t>rovides for the Determination to be cited as</w:t>
      </w:r>
      <w:r>
        <w:rPr>
          <w:color w:val="000000"/>
          <w:sz w:val="22"/>
          <w:szCs w:val="22"/>
          <w:lang w:val="en-AU"/>
        </w:rPr>
        <w:t xml:space="preserve"> the</w:t>
      </w:r>
      <w:r w:rsidRPr="00931428">
        <w:rPr>
          <w:color w:val="000000"/>
          <w:sz w:val="22"/>
          <w:szCs w:val="22"/>
          <w:lang w:val="en-AU"/>
        </w:rPr>
        <w:t xml:space="preserve"> </w:t>
      </w:r>
      <w:r w:rsidRPr="00643BC9">
        <w:rPr>
          <w:i/>
          <w:sz w:val="22"/>
          <w:szCs w:val="22"/>
        </w:rPr>
        <w:t>Western Tuna and Billfish Fishery Total Allowable Commercial Catch Determination</w:t>
      </w:r>
      <w:r w:rsidR="00525C7B">
        <w:rPr>
          <w:i/>
          <w:sz w:val="22"/>
          <w:szCs w:val="22"/>
        </w:rPr>
        <w:t xml:space="preserve"> (No. 2) 2014</w:t>
      </w:r>
      <w:r w:rsidRPr="00643BC9">
        <w:rPr>
          <w:sz w:val="22"/>
          <w:szCs w:val="22"/>
        </w:rPr>
        <w:t>.</w:t>
      </w:r>
    </w:p>
    <w:p w:rsidR="00B910CF" w:rsidRDefault="00B910CF" w:rsidP="00B910CF">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Clause 2</w:t>
      </w:r>
      <w:r>
        <w:rPr>
          <w:b/>
          <w:bCs/>
          <w:i/>
          <w:iCs/>
          <w:color w:val="000000"/>
          <w:sz w:val="22"/>
          <w:szCs w:val="22"/>
          <w:lang w:val="en-AU"/>
        </w:rPr>
        <w:t xml:space="preserve">  </w:t>
      </w:r>
      <w:r w:rsidRPr="00931428">
        <w:rPr>
          <w:b/>
          <w:bCs/>
          <w:i/>
          <w:iCs/>
          <w:color w:val="000000"/>
          <w:sz w:val="22"/>
          <w:szCs w:val="22"/>
          <w:lang w:val="en-AU"/>
        </w:rPr>
        <w:t xml:space="preserve"> </w:t>
      </w:r>
      <w:r>
        <w:rPr>
          <w:b/>
          <w:bCs/>
          <w:i/>
          <w:iCs/>
          <w:color w:val="000000"/>
          <w:sz w:val="22"/>
          <w:szCs w:val="22"/>
          <w:lang w:val="en-AU"/>
        </w:rPr>
        <w:t xml:space="preserve">  </w:t>
      </w:r>
      <w:r>
        <w:rPr>
          <w:color w:val="000000"/>
          <w:sz w:val="22"/>
          <w:szCs w:val="22"/>
          <w:lang w:val="en-AU"/>
        </w:rPr>
        <w:t>P</w:t>
      </w:r>
      <w:r w:rsidRPr="00931428">
        <w:rPr>
          <w:color w:val="000000"/>
          <w:sz w:val="22"/>
          <w:szCs w:val="22"/>
          <w:lang w:val="en-AU"/>
        </w:rPr>
        <w:t>rovides for the commencement of the Determination.</w:t>
      </w:r>
    </w:p>
    <w:p w:rsidR="00B910CF" w:rsidRDefault="00B910CF" w:rsidP="00B910CF">
      <w:pPr>
        <w:autoSpaceDE w:val="0"/>
        <w:autoSpaceDN w:val="0"/>
        <w:adjustRightInd w:val="0"/>
        <w:spacing w:after="120" w:line="360" w:lineRule="auto"/>
        <w:rPr>
          <w:color w:val="000000"/>
          <w:sz w:val="22"/>
          <w:szCs w:val="22"/>
          <w:lang w:val="en-AU"/>
        </w:rPr>
      </w:pPr>
      <w:r w:rsidRPr="002F0720">
        <w:rPr>
          <w:b/>
          <w:i/>
          <w:color w:val="000000"/>
          <w:sz w:val="22"/>
          <w:szCs w:val="22"/>
          <w:lang w:val="en-AU"/>
        </w:rPr>
        <w:t>Clause 3</w:t>
      </w:r>
      <w:r>
        <w:rPr>
          <w:color w:val="000000"/>
          <w:sz w:val="22"/>
          <w:szCs w:val="22"/>
          <w:lang w:val="en-AU"/>
        </w:rPr>
        <w:t xml:space="preserve">     P</w:t>
      </w:r>
      <w:proofErr w:type="spellStart"/>
      <w:r>
        <w:rPr>
          <w:color w:val="000000"/>
          <w:sz w:val="22"/>
          <w:szCs w:val="22"/>
        </w:rPr>
        <w:t>rovides</w:t>
      </w:r>
      <w:proofErr w:type="spellEnd"/>
      <w:r>
        <w:rPr>
          <w:color w:val="000000"/>
          <w:sz w:val="22"/>
          <w:szCs w:val="22"/>
        </w:rPr>
        <w:t xml:space="preserve"> that the Determination ceases </w:t>
      </w:r>
      <w:r w:rsidR="00994B87">
        <w:rPr>
          <w:color w:val="000000"/>
          <w:sz w:val="22"/>
          <w:szCs w:val="22"/>
        </w:rPr>
        <w:t xml:space="preserve">as if revoked on 1 February </w:t>
      </w:r>
      <w:r w:rsidR="00616E29">
        <w:rPr>
          <w:color w:val="000000"/>
          <w:sz w:val="22"/>
          <w:szCs w:val="22"/>
        </w:rPr>
        <w:t>201</w:t>
      </w:r>
      <w:r w:rsidR="004C5585">
        <w:rPr>
          <w:color w:val="000000"/>
          <w:sz w:val="22"/>
          <w:szCs w:val="22"/>
        </w:rPr>
        <w:t>8</w:t>
      </w:r>
      <w:r>
        <w:rPr>
          <w:color w:val="000000"/>
          <w:sz w:val="22"/>
          <w:szCs w:val="22"/>
        </w:rPr>
        <w:t>.</w:t>
      </w:r>
    </w:p>
    <w:p w:rsidR="00B910CF" w:rsidRPr="00931428" w:rsidRDefault="00B910CF" w:rsidP="00B910CF">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 xml:space="preserve">Clause </w:t>
      </w:r>
      <w:r>
        <w:rPr>
          <w:b/>
          <w:bCs/>
          <w:i/>
          <w:iCs/>
          <w:color w:val="000000"/>
          <w:sz w:val="22"/>
          <w:szCs w:val="22"/>
          <w:lang w:val="en-AU"/>
        </w:rPr>
        <w:t xml:space="preserve">4     </w:t>
      </w:r>
      <w:r>
        <w:rPr>
          <w:color w:val="000000"/>
          <w:sz w:val="22"/>
          <w:szCs w:val="22"/>
          <w:lang w:val="en-AU"/>
        </w:rPr>
        <w:t>D</w:t>
      </w:r>
      <w:r w:rsidRPr="00931428">
        <w:rPr>
          <w:color w:val="000000"/>
          <w:sz w:val="22"/>
          <w:szCs w:val="22"/>
          <w:lang w:val="en-AU"/>
        </w:rPr>
        <w:t>efines terms used in the Determination.</w:t>
      </w:r>
    </w:p>
    <w:p w:rsidR="00B910CF" w:rsidRDefault="00B910CF" w:rsidP="006A3E36">
      <w:pPr>
        <w:autoSpaceDE w:val="0"/>
        <w:autoSpaceDN w:val="0"/>
        <w:adjustRightInd w:val="0"/>
        <w:spacing w:after="120"/>
        <w:ind w:left="1077" w:hanging="1077"/>
        <w:rPr>
          <w:color w:val="000000"/>
          <w:sz w:val="22"/>
          <w:szCs w:val="22"/>
          <w:lang w:val="en-AU"/>
        </w:rPr>
      </w:pPr>
      <w:r w:rsidRPr="00931428">
        <w:rPr>
          <w:b/>
          <w:bCs/>
          <w:i/>
          <w:iCs/>
          <w:color w:val="000000"/>
          <w:sz w:val="22"/>
          <w:szCs w:val="22"/>
          <w:lang w:val="en-AU"/>
        </w:rPr>
        <w:t xml:space="preserve">Clause </w:t>
      </w:r>
      <w:r>
        <w:rPr>
          <w:b/>
          <w:bCs/>
          <w:i/>
          <w:iCs/>
          <w:color w:val="000000"/>
          <w:sz w:val="22"/>
          <w:szCs w:val="22"/>
          <w:lang w:val="en-AU"/>
        </w:rPr>
        <w:t>5</w:t>
      </w:r>
      <w:r>
        <w:rPr>
          <w:b/>
          <w:bCs/>
          <w:i/>
          <w:iCs/>
          <w:color w:val="000000"/>
          <w:sz w:val="22"/>
          <w:szCs w:val="22"/>
          <w:lang w:val="en-AU"/>
        </w:rPr>
        <w:tab/>
      </w:r>
      <w:r>
        <w:rPr>
          <w:color w:val="000000"/>
          <w:sz w:val="22"/>
          <w:szCs w:val="22"/>
          <w:lang w:val="en-AU"/>
        </w:rPr>
        <w:t>Determines the total allowable commercial catc</w:t>
      </w:r>
      <w:r w:rsidR="00994B87">
        <w:rPr>
          <w:color w:val="000000"/>
          <w:sz w:val="22"/>
          <w:szCs w:val="22"/>
          <w:lang w:val="en-AU"/>
        </w:rPr>
        <w:t xml:space="preserve">h for quota species for the </w:t>
      </w:r>
      <w:r w:rsidR="00616E29">
        <w:rPr>
          <w:color w:val="000000"/>
          <w:sz w:val="22"/>
          <w:szCs w:val="22"/>
          <w:lang w:val="en-AU"/>
        </w:rPr>
        <w:t xml:space="preserve">2015 </w:t>
      </w:r>
      <w:r>
        <w:rPr>
          <w:color w:val="000000"/>
          <w:sz w:val="22"/>
          <w:szCs w:val="22"/>
          <w:lang w:val="en-AU"/>
        </w:rPr>
        <w:t>fishing season commencing on 1 Fe</w:t>
      </w:r>
      <w:r w:rsidR="00994B87">
        <w:rPr>
          <w:color w:val="000000"/>
          <w:sz w:val="22"/>
          <w:szCs w:val="22"/>
          <w:lang w:val="en-AU"/>
        </w:rPr>
        <w:t xml:space="preserve">bruary </w:t>
      </w:r>
      <w:r w:rsidR="00616E29">
        <w:rPr>
          <w:color w:val="000000"/>
          <w:sz w:val="22"/>
          <w:szCs w:val="22"/>
          <w:lang w:val="en-AU"/>
        </w:rPr>
        <w:t xml:space="preserve">2015 </w:t>
      </w:r>
      <w:r w:rsidR="00994B87">
        <w:rPr>
          <w:color w:val="000000"/>
          <w:sz w:val="22"/>
          <w:szCs w:val="22"/>
          <w:lang w:val="en-AU"/>
        </w:rPr>
        <w:t xml:space="preserve">and ending on 31 January </w:t>
      </w:r>
      <w:r w:rsidR="00616E29">
        <w:rPr>
          <w:color w:val="000000"/>
          <w:sz w:val="22"/>
          <w:szCs w:val="22"/>
          <w:lang w:val="en-AU"/>
        </w:rPr>
        <w:t>2016</w:t>
      </w:r>
      <w:r>
        <w:rPr>
          <w:color w:val="000000"/>
          <w:sz w:val="22"/>
          <w:szCs w:val="22"/>
          <w:lang w:val="en-AU"/>
        </w:rPr>
        <w:t>.</w:t>
      </w:r>
    </w:p>
    <w:p w:rsidR="004C5585" w:rsidRDefault="004C5585" w:rsidP="006A3E36">
      <w:pPr>
        <w:autoSpaceDE w:val="0"/>
        <w:autoSpaceDN w:val="0"/>
        <w:adjustRightInd w:val="0"/>
        <w:spacing w:after="120"/>
        <w:ind w:left="1077" w:hanging="1077"/>
        <w:rPr>
          <w:color w:val="000000"/>
          <w:sz w:val="22"/>
          <w:szCs w:val="22"/>
          <w:lang w:val="en-AU"/>
        </w:rPr>
      </w:pPr>
      <w:r>
        <w:rPr>
          <w:b/>
          <w:bCs/>
          <w:i/>
          <w:iCs/>
          <w:color w:val="000000"/>
          <w:sz w:val="22"/>
          <w:szCs w:val="22"/>
          <w:lang w:val="en-AU"/>
        </w:rPr>
        <w:t>Clause 6</w:t>
      </w:r>
      <w:r>
        <w:rPr>
          <w:b/>
          <w:bCs/>
          <w:i/>
          <w:iCs/>
          <w:color w:val="000000"/>
          <w:sz w:val="22"/>
          <w:szCs w:val="22"/>
          <w:lang w:val="en-AU"/>
        </w:rPr>
        <w:tab/>
      </w:r>
      <w:r>
        <w:rPr>
          <w:color w:val="000000"/>
          <w:sz w:val="22"/>
          <w:szCs w:val="22"/>
          <w:lang w:val="en-AU"/>
        </w:rPr>
        <w:t>Determines the total allowable commercial catch for quota species for the 2016 fishing season commencing on 1 February 2016 and ending on 31 January 2017.</w:t>
      </w:r>
    </w:p>
    <w:p w:rsidR="004C5585" w:rsidRDefault="004C5585" w:rsidP="006A3E36">
      <w:pPr>
        <w:autoSpaceDE w:val="0"/>
        <w:autoSpaceDN w:val="0"/>
        <w:adjustRightInd w:val="0"/>
        <w:spacing w:after="120"/>
        <w:ind w:left="1077" w:hanging="1077"/>
        <w:rPr>
          <w:color w:val="000000"/>
          <w:sz w:val="22"/>
          <w:szCs w:val="22"/>
          <w:lang w:val="en-AU"/>
        </w:rPr>
      </w:pPr>
      <w:r>
        <w:rPr>
          <w:b/>
          <w:bCs/>
          <w:i/>
          <w:iCs/>
          <w:color w:val="000000"/>
          <w:sz w:val="22"/>
          <w:szCs w:val="22"/>
          <w:lang w:val="en-AU"/>
        </w:rPr>
        <w:t>Clause 7</w:t>
      </w:r>
      <w:r>
        <w:rPr>
          <w:b/>
          <w:bCs/>
          <w:i/>
          <w:iCs/>
          <w:color w:val="000000"/>
          <w:sz w:val="22"/>
          <w:szCs w:val="22"/>
          <w:lang w:val="en-AU"/>
        </w:rPr>
        <w:tab/>
      </w:r>
      <w:r>
        <w:rPr>
          <w:color w:val="000000"/>
          <w:sz w:val="22"/>
          <w:szCs w:val="22"/>
          <w:lang w:val="en-AU"/>
        </w:rPr>
        <w:t>Determines the total allowable commercial catch for quota species for the 2017 fishing season commencing on 1 February 2017 and ending on 31 January 2018.</w:t>
      </w:r>
    </w:p>
    <w:p w:rsidR="00B910CF" w:rsidRPr="00643BC9" w:rsidRDefault="00B910CF" w:rsidP="00B910CF">
      <w:pPr>
        <w:rPr>
          <w:sz w:val="22"/>
          <w:szCs w:val="22"/>
        </w:rPr>
      </w:pPr>
    </w:p>
    <w:p w:rsidR="00A228D2" w:rsidRDefault="00A228D2">
      <w:pPr>
        <w:spacing w:after="200" w:line="276" w:lineRule="auto"/>
      </w:pPr>
      <w:r>
        <w:br w:type="page"/>
      </w:r>
    </w:p>
    <w:p w:rsidR="00FE07CE" w:rsidRDefault="00A228D2">
      <w:r w:rsidRPr="00A81D7D">
        <w:rPr>
          <w:rFonts w:eastAsiaTheme="minorHAnsi"/>
          <w:noProof/>
          <w:lang w:val="en-AU" w:eastAsia="en-AU"/>
        </w:rPr>
        <w:lastRenderedPageBreak/>
        <mc:AlternateContent>
          <mc:Choice Requires="wps">
            <w:drawing>
              <wp:anchor distT="0" distB="0" distL="114300" distR="114300" simplePos="0" relativeHeight="251659264" behindDoc="0" locked="0" layoutInCell="1" allowOverlap="1" wp14:anchorId="2067B44A" wp14:editId="457C2CEF">
                <wp:simplePos x="0" y="0"/>
                <wp:positionH relativeFrom="column">
                  <wp:posOffset>-295910</wp:posOffset>
                </wp:positionH>
                <wp:positionV relativeFrom="paragraph">
                  <wp:posOffset>100965</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rsidR="00A228D2" w:rsidRDefault="00A228D2" w:rsidP="00A228D2">
                            <w:pPr>
                              <w:spacing w:before="360" w:after="120"/>
                              <w:jc w:val="center"/>
                              <w:rPr>
                                <w:b/>
                                <w:sz w:val="28"/>
                                <w:szCs w:val="28"/>
                              </w:rPr>
                            </w:pPr>
                            <w:r>
                              <w:rPr>
                                <w:b/>
                                <w:sz w:val="28"/>
                                <w:szCs w:val="28"/>
                              </w:rPr>
                              <w:t>Statement of Compatibility with Human Rights</w:t>
                            </w:r>
                          </w:p>
                          <w:p w:rsidR="00A228D2" w:rsidRDefault="00A228D2" w:rsidP="00A228D2">
                            <w:pPr>
                              <w:spacing w:before="120" w:after="120"/>
                              <w:jc w:val="center"/>
                            </w:pPr>
                            <w:r>
                              <w:rPr>
                                <w:i/>
                              </w:rPr>
                              <w:t>Prepared in accordance with Part 3 of the Human Rights (Parliamentary Scrutiny) Act 2011</w:t>
                            </w:r>
                          </w:p>
                          <w:p w:rsidR="00A228D2" w:rsidRDefault="00A228D2" w:rsidP="00A228D2">
                            <w:pPr>
                              <w:spacing w:before="120" w:after="120"/>
                              <w:jc w:val="center"/>
                            </w:pPr>
                          </w:p>
                          <w:p w:rsidR="00A228D2" w:rsidRDefault="00A228D2" w:rsidP="00A228D2">
                            <w:pPr>
                              <w:spacing w:before="120" w:after="120"/>
                              <w:jc w:val="center"/>
                              <w:rPr>
                                <w:b/>
                              </w:rPr>
                            </w:pPr>
                            <w:r>
                              <w:rPr>
                                <w:b/>
                              </w:rPr>
                              <w:t>Western Tuna and Billfish Fishery Total Allowable Commercial Catch Determination</w:t>
                            </w:r>
                            <w:r w:rsidR="00525C7B">
                              <w:rPr>
                                <w:b/>
                              </w:rPr>
                              <w:t xml:space="preserve"> (No. 2) 2014</w:t>
                            </w:r>
                          </w:p>
                          <w:p w:rsidR="00525C7B" w:rsidRDefault="00525C7B" w:rsidP="00A228D2">
                            <w:pPr>
                              <w:spacing w:before="120" w:after="120"/>
                              <w:jc w:val="center"/>
                            </w:pPr>
                          </w:p>
                          <w:p w:rsidR="00A228D2" w:rsidRDefault="00A228D2" w:rsidP="00A228D2">
                            <w:pPr>
                              <w:spacing w:before="120" w:after="120"/>
                              <w:jc w:val="cente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rsidR="00A228D2" w:rsidRDefault="00A228D2" w:rsidP="00A228D2">
                            <w:pPr>
                              <w:spacing w:before="120" w:after="120"/>
                              <w:jc w:val="center"/>
                            </w:pPr>
                          </w:p>
                          <w:p w:rsidR="00A228D2" w:rsidRDefault="00A228D2" w:rsidP="00A228D2">
                            <w:pPr>
                              <w:spacing w:before="120" w:after="120"/>
                              <w:jc w:val="center"/>
                            </w:pPr>
                          </w:p>
                          <w:p w:rsidR="00A228D2" w:rsidRDefault="00A228D2" w:rsidP="00A228D2">
                            <w:pPr>
                              <w:spacing w:before="120" w:after="120"/>
                              <w:jc w:val="both"/>
                              <w:rPr>
                                <w:b/>
                              </w:rPr>
                            </w:pPr>
                            <w:r>
                              <w:rPr>
                                <w:b/>
                              </w:rPr>
                              <w:t>Overview of the Legislative Instrument</w:t>
                            </w:r>
                          </w:p>
                          <w:p w:rsidR="00A228D2" w:rsidRDefault="00A228D2" w:rsidP="00A228D2">
                            <w:pPr>
                              <w:pStyle w:val="AFMANormal"/>
                              <w:jc w:val="left"/>
                            </w:pPr>
                            <w:r>
                              <w:rPr>
                                <w:szCs w:val="24"/>
                              </w:rPr>
                              <w:t xml:space="preserve">This instrument sets the total allowable commercial catch for quota species in the Western Tuna and Billfish Fishery for the 2015, 2016 and 2017 fishing seasons </w:t>
                            </w:r>
                            <w:r>
                              <w:t>commencing on 1 Feb</w:t>
                            </w:r>
                            <w:r w:rsidR="0057795B">
                              <w:t xml:space="preserve">ruary and ending on 31 January </w:t>
                            </w:r>
                            <w:r>
                              <w:t>of each respective year.</w:t>
                            </w:r>
                          </w:p>
                          <w:p w:rsidR="00A228D2" w:rsidRDefault="00A228D2" w:rsidP="00A228D2">
                            <w:pPr>
                              <w:spacing w:before="120" w:after="120"/>
                            </w:pPr>
                          </w:p>
                          <w:p w:rsidR="00A228D2" w:rsidRDefault="00A228D2" w:rsidP="00A228D2">
                            <w:pPr>
                              <w:spacing w:before="120" w:after="120"/>
                              <w:rPr>
                                <w:b/>
                              </w:rPr>
                            </w:pPr>
                            <w:r>
                              <w:rPr>
                                <w:b/>
                              </w:rPr>
                              <w:t>Assessment of human rights implications</w:t>
                            </w:r>
                          </w:p>
                          <w:p w:rsidR="00A228D2" w:rsidRDefault="00A228D2" w:rsidP="00A228D2">
                            <w:pPr>
                              <w:spacing w:before="120" w:after="120"/>
                            </w:pPr>
                            <w:r>
                              <w:t>As this legislative instrument is o</w:t>
                            </w:r>
                            <w:r w:rsidR="0057795B">
                              <w:t xml:space="preserve">f a mechanical nature, it does </w:t>
                            </w:r>
                            <w:r>
                              <w:t>not engage any of the applicable rights or freedoms.</w:t>
                            </w:r>
                          </w:p>
                          <w:p w:rsidR="00A228D2" w:rsidRDefault="00A228D2" w:rsidP="00A228D2">
                            <w:pPr>
                              <w:spacing w:before="120" w:after="120"/>
                            </w:pPr>
                          </w:p>
                          <w:p w:rsidR="00A228D2" w:rsidRDefault="00A228D2" w:rsidP="00A228D2">
                            <w:pPr>
                              <w:spacing w:before="120" w:after="120"/>
                              <w:rPr>
                                <w:b/>
                              </w:rPr>
                            </w:pPr>
                            <w:r>
                              <w:rPr>
                                <w:b/>
                              </w:rPr>
                              <w:t>Conclusion</w:t>
                            </w:r>
                          </w:p>
                          <w:p w:rsidR="00A228D2" w:rsidRDefault="00A228D2" w:rsidP="00A228D2">
                            <w:pPr>
                              <w:spacing w:before="120" w:after="120"/>
                            </w:pPr>
                            <w:r>
                              <w:t>This Legislative Instrument is compatible with human rights as it does not raise any human rights issues.</w:t>
                            </w:r>
                          </w:p>
                          <w:p w:rsidR="00A228D2" w:rsidRDefault="00A228D2" w:rsidP="00A228D2">
                            <w:pPr>
                              <w:spacing w:before="120" w:after="120"/>
                              <w:jc w:val="center"/>
                            </w:pPr>
                          </w:p>
                          <w:p w:rsidR="00A228D2" w:rsidRDefault="00A228D2" w:rsidP="00A228D2">
                            <w:pPr>
                              <w:spacing w:before="120" w:after="120"/>
                              <w:jc w:val="center"/>
                            </w:pPr>
                          </w:p>
                          <w:p w:rsidR="00A228D2" w:rsidRDefault="00A81D7D" w:rsidP="00A228D2">
                            <w:pPr>
                              <w:spacing w:before="120" w:after="120"/>
                              <w:jc w:val="center"/>
                            </w:pPr>
                            <w:r>
                              <w:rPr>
                                <w:b/>
                              </w:rPr>
                              <w:t>Australi</w:t>
                            </w:r>
                            <w:bookmarkStart w:id="0" w:name="_GoBack"/>
                            <w:bookmarkEnd w:id="0"/>
                            <w:r>
                              <w:rPr>
                                <w:b/>
                              </w:rPr>
                              <w:t>an Fisheries Management Authority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3pt;margin-top:7.95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" strokeweight="6pt">
                <v:stroke linestyle="thickBetweenThin"/>
                <v:textbox inset="5mm,,5mm">
                  <w:txbxContent>
                    <w:p w:rsidR="00A228D2" w:rsidRDefault="00A228D2" w:rsidP="00A228D2">
                      <w:pPr>
                        <w:spacing w:before="360" w:after="120"/>
                        <w:jc w:val="center"/>
                        <w:rPr>
                          <w:b/>
                          <w:sz w:val="28"/>
                          <w:szCs w:val="28"/>
                        </w:rPr>
                      </w:pPr>
                      <w:r>
                        <w:rPr>
                          <w:b/>
                          <w:sz w:val="28"/>
                          <w:szCs w:val="28"/>
                        </w:rPr>
                        <w:t>Statement of Compatibility with Human Rights</w:t>
                      </w:r>
                    </w:p>
                    <w:p w:rsidR="00A228D2" w:rsidRDefault="00A228D2" w:rsidP="00A228D2">
                      <w:pPr>
                        <w:spacing w:before="120" w:after="120"/>
                        <w:jc w:val="center"/>
                      </w:pPr>
                      <w:r>
                        <w:rPr>
                          <w:i/>
                        </w:rPr>
                        <w:t>Prepared in accordance with Part 3 of the Human Rights (Parliamentary Scrutiny) Act 2011</w:t>
                      </w:r>
                    </w:p>
                    <w:p w:rsidR="00A228D2" w:rsidRDefault="00A228D2" w:rsidP="00A228D2">
                      <w:pPr>
                        <w:spacing w:before="120" w:after="120"/>
                        <w:jc w:val="center"/>
                      </w:pPr>
                    </w:p>
                    <w:p w:rsidR="00A228D2" w:rsidRDefault="00A228D2" w:rsidP="00A228D2">
                      <w:pPr>
                        <w:spacing w:before="120" w:after="120"/>
                        <w:jc w:val="center"/>
                        <w:rPr>
                          <w:b/>
                        </w:rPr>
                      </w:pPr>
                      <w:r>
                        <w:rPr>
                          <w:b/>
                        </w:rPr>
                        <w:t>Western Tuna and Billfish Fishery Total Allowable Commercial Catch Determination</w:t>
                      </w:r>
                      <w:r w:rsidR="00525C7B">
                        <w:rPr>
                          <w:b/>
                        </w:rPr>
                        <w:t xml:space="preserve"> (No. 2) 2014</w:t>
                      </w:r>
                    </w:p>
                    <w:p w:rsidR="00525C7B" w:rsidRDefault="00525C7B" w:rsidP="00A228D2">
                      <w:pPr>
                        <w:spacing w:before="120" w:after="120"/>
                        <w:jc w:val="center"/>
                      </w:pPr>
                    </w:p>
                    <w:p w:rsidR="00A228D2" w:rsidRDefault="00A228D2" w:rsidP="00A228D2">
                      <w:pPr>
                        <w:spacing w:before="120" w:after="120"/>
                        <w:jc w:val="center"/>
                      </w:pPr>
                      <w:r>
                        <w:t xml:space="preserve">This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rsidR="00A228D2" w:rsidRDefault="00A228D2" w:rsidP="00A228D2">
                      <w:pPr>
                        <w:spacing w:before="120" w:after="120"/>
                        <w:jc w:val="center"/>
                      </w:pPr>
                    </w:p>
                    <w:p w:rsidR="00A228D2" w:rsidRDefault="00A228D2" w:rsidP="00A228D2">
                      <w:pPr>
                        <w:spacing w:before="120" w:after="120"/>
                        <w:jc w:val="center"/>
                      </w:pPr>
                    </w:p>
                    <w:p w:rsidR="00A228D2" w:rsidRDefault="00A228D2" w:rsidP="00A228D2">
                      <w:pPr>
                        <w:spacing w:before="120" w:after="120"/>
                        <w:jc w:val="both"/>
                        <w:rPr>
                          <w:b/>
                        </w:rPr>
                      </w:pPr>
                      <w:r>
                        <w:rPr>
                          <w:b/>
                        </w:rPr>
                        <w:t>Overview of the Legislative Instrument</w:t>
                      </w:r>
                    </w:p>
                    <w:p w:rsidR="00A228D2" w:rsidRDefault="00A228D2" w:rsidP="00A228D2">
                      <w:pPr>
                        <w:pStyle w:val="AFMANormal"/>
                        <w:jc w:val="left"/>
                      </w:pPr>
                      <w:r>
                        <w:rPr>
                          <w:szCs w:val="24"/>
                        </w:rPr>
                        <w:t xml:space="preserve">This instrument sets the total allowable commercial catch for quota species in the Western Tuna and Billfish Fishery for the 2015, 2016 and 2017 fishing seasons </w:t>
                      </w:r>
                      <w:r>
                        <w:t>commencing on 1 Feb</w:t>
                      </w:r>
                      <w:r w:rsidR="0057795B">
                        <w:t xml:space="preserve">ruary and ending on 31 January </w:t>
                      </w:r>
                      <w:r>
                        <w:t>of each respective year.</w:t>
                      </w:r>
                    </w:p>
                    <w:p w:rsidR="00A228D2" w:rsidRDefault="00A228D2" w:rsidP="00A228D2">
                      <w:pPr>
                        <w:spacing w:before="120" w:after="120"/>
                      </w:pPr>
                    </w:p>
                    <w:p w:rsidR="00A228D2" w:rsidRDefault="00A228D2" w:rsidP="00A228D2">
                      <w:pPr>
                        <w:spacing w:before="120" w:after="120"/>
                        <w:rPr>
                          <w:b/>
                        </w:rPr>
                      </w:pPr>
                      <w:r>
                        <w:rPr>
                          <w:b/>
                        </w:rPr>
                        <w:t>Assessment of human rights implications</w:t>
                      </w:r>
                    </w:p>
                    <w:p w:rsidR="00A228D2" w:rsidRDefault="00A228D2" w:rsidP="00A228D2">
                      <w:pPr>
                        <w:spacing w:before="120" w:after="120"/>
                      </w:pPr>
                      <w:r>
                        <w:t>As this legislative instrument is o</w:t>
                      </w:r>
                      <w:r w:rsidR="0057795B">
                        <w:t xml:space="preserve">f a mechanical nature, it does </w:t>
                      </w:r>
                      <w:r>
                        <w:t>not engage any of the applicable rights or freedoms.</w:t>
                      </w:r>
                    </w:p>
                    <w:p w:rsidR="00A228D2" w:rsidRDefault="00A228D2" w:rsidP="00A228D2">
                      <w:pPr>
                        <w:spacing w:before="120" w:after="120"/>
                      </w:pPr>
                    </w:p>
                    <w:p w:rsidR="00A228D2" w:rsidRDefault="00A228D2" w:rsidP="00A228D2">
                      <w:pPr>
                        <w:spacing w:before="120" w:after="120"/>
                        <w:rPr>
                          <w:b/>
                        </w:rPr>
                      </w:pPr>
                      <w:r>
                        <w:rPr>
                          <w:b/>
                        </w:rPr>
                        <w:t>Conclusion</w:t>
                      </w:r>
                    </w:p>
                    <w:p w:rsidR="00A228D2" w:rsidRDefault="00A228D2" w:rsidP="00A228D2">
                      <w:pPr>
                        <w:spacing w:before="120" w:after="120"/>
                      </w:pPr>
                      <w:r>
                        <w:t>This Legislative Instrument is compatible with human rights as it does not raise any human rights issues.</w:t>
                      </w:r>
                    </w:p>
                    <w:p w:rsidR="00A228D2" w:rsidRDefault="00A228D2" w:rsidP="00A228D2">
                      <w:pPr>
                        <w:spacing w:before="120" w:after="120"/>
                        <w:jc w:val="center"/>
                      </w:pPr>
                    </w:p>
                    <w:p w:rsidR="00A228D2" w:rsidRDefault="00A228D2" w:rsidP="00A228D2">
                      <w:pPr>
                        <w:spacing w:before="120" w:after="120"/>
                        <w:jc w:val="center"/>
                      </w:pPr>
                    </w:p>
                    <w:p w:rsidR="00A228D2" w:rsidRDefault="00A81D7D" w:rsidP="00A228D2">
                      <w:pPr>
                        <w:spacing w:before="120" w:after="120"/>
                        <w:jc w:val="center"/>
                      </w:pPr>
                      <w:r>
                        <w:rPr>
                          <w:b/>
                        </w:rPr>
                        <w:t>Australi</w:t>
                      </w:r>
                      <w:bookmarkStart w:id="1" w:name="_GoBack"/>
                      <w:bookmarkEnd w:id="1"/>
                      <w:r>
                        <w:rPr>
                          <w:b/>
                        </w:rPr>
                        <w:t>an Fisheries Management Authority</w:t>
                      </w:r>
                    </w:p>
                  </w:txbxContent>
                </v:textbox>
              </v:rect>
            </w:pict>
          </mc:Fallback>
        </mc:AlternateContent>
      </w:r>
    </w:p>
    <w:sectPr w:rsidR="00FE07CE" w:rsidSect="00F16616">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70" w:rsidRDefault="00B44070">
      <w:r>
        <w:separator/>
      </w:r>
    </w:p>
  </w:endnote>
  <w:endnote w:type="continuationSeparator" w:id="0">
    <w:p w:rsidR="00B44070" w:rsidRDefault="00B4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16" w:rsidRDefault="00994B87" w:rsidP="00871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6616" w:rsidRDefault="00B44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16" w:rsidRDefault="00994B87" w:rsidP="00871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95B">
      <w:rPr>
        <w:rStyle w:val="PageNumber"/>
        <w:noProof/>
      </w:rPr>
      <w:t>2</w:t>
    </w:r>
    <w:r>
      <w:rPr>
        <w:rStyle w:val="PageNumber"/>
      </w:rPr>
      <w:fldChar w:fldCharType="end"/>
    </w:r>
  </w:p>
  <w:p w:rsidR="00F16616" w:rsidRDefault="00B4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70" w:rsidRDefault="00B44070">
      <w:r>
        <w:separator/>
      </w:r>
    </w:p>
  </w:footnote>
  <w:footnote w:type="continuationSeparator" w:id="0">
    <w:p w:rsidR="00B44070" w:rsidRDefault="00B44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F"/>
    <w:rsid w:val="000F624B"/>
    <w:rsid w:val="00243E01"/>
    <w:rsid w:val="002A77CD"/>
    <w:rsid w:val="00342E79"/>
    <w:rsid w:val="004C5585"/>
    <w:rsid w:val="00525C7B"/>
    <w:rsid w:val="0057795B"/>
    <w:rsid w:val="005D0091"/>
    <w:rsid w:val="00616E29"/>
    <w:rsid w:val="006A3E36"/>
    <w:rsid w:val="008F38D2"/>
    <w:rsid w:val="00915857"/>
    <w:rsid w:val="00994B87"/>
    <w:rsid w:val="009F266E"/>
    <w:rsid w:val="00A228D2"/>
    <w:rsid w:val="00A81D7D"/>
    <w:rsid w:val="00B25964"/>
    <w:rsid w:val="00B44070"/>
    <w:rsid w:val="00B54542"/>
    <w:rsid w:val="00B910CF"/>
    <w:rsid w:val="00B97C1A"/>
    <w:rsid w:val="00C33AC5"/>
    <w:rsid w:val="00D2173F"/>
    <w:rsid w:val="00E10C5C"/>
    <w:rsid w:val="00E46545"/>
    <w:rsid w:val="00E7025E"/>
    <w:rsid w:val="00EF44DD"/>
    <w:rsid w:val="00F036B9"/>
    <w:rsid w:val="00F278E9"/>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910C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B910CF"/>
    <w:pPr>
      <w:spacing w:before="100" w:beforeAutospacing="1" w:after="100" w:afterAutospacing="1"/>
    </w:pPr>
    <w:rPr>
      <w:lang w:val="en-AU" w:eastAsia="en-AU"/>
    </w:rPr>
  </w:style>
  <w:style w:type="paragraph" w:styleId="Footer">
    <w:name w:val="footer"/>
    <w:basedOn w:val="Normal"/>
    <w:link w:val="FooterChar"/>
    <w:rsid w:val="00B910CF"/>
    <w:pPr>
      <w:tabs>
        <w:tab w:val="center" w:pos="4153"/>
        <w:tab w:val="right" w:pos="8306"/>
      </w:tabs>
    </w:pPr>
  </w:style>
  <w:style w:type="character" w:customStyle="1" w:styleId="FooterChar">
    <w:name w:val="Footer Char"/>
    <w:basedOn w:val="DefaultParagraphFont"/>
    <w:link w:val="Footer"/>
    <w:rsid w:val="00B910CF"/>
    <w:rPr>
      <w:rFonts w:ascii="Times New Roman" w:eastAsia="Times New Roman" w:hAnsi="Times New Roman" w:cs="Times New Roman"/>
      <w:sz w:val="24"/>
      <w:szCs w:val="24"/>
      <w:lang w:val="en-US"/>
    </w:rPr>
  </w:style>
  <w:style w:type="character" w:styleId="PageNumber">
    <w:name w:val="page number"/>
    <w:basedOn w:val="DefaultParagraphFont"/>
    <w:rsid w:val="00B910CF"/>
  </w:style>
  <w:style w:type="paragraph" w:styleId="BalloonText">
    <w:name w:val="Balloon Text"/>
    <w:basedOn w:val="Normal"/>
    <w:link w:val="BalloonTextChar"/>
    <w:uiPriority w:val="99"/>
    <w:semiHidden/>
    <w:unhideWhenUsed/>
    <w:rsid w:val="00616E29"/>
    <w:rPr>
      <w:rFonts w:ascii="Tahoma" w:hAnsi="Tahoma" w:cs="Tahoma"/>
      <w:sz w:val="16"/>
      <w:szCs w:val="16"/>
    </w:rPr>
  </w:style>
  <w:style w:type="character" w:customStyle="1" w:styleId="BalloonTextChar">
    <w:name w:val="Balloon Text Char"/>
    <w:basedOn w:val="DefaultParagraphFont"/>
    <w:link w:val="BalloonText"/>
    <w:uiPriority w:val="99"/>
    <w:semiHidden/>
    <w:rsid w:val="00616E29"/>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6E29"/>
    <w:rPr>
      <w:sz w:val="16"/>
      <w:szCs w:val="16"/>
    </w:rPr>
  </w:style>
  <w:style w:type="paragraph" w:styleId="CommentText">
    <w:name w:val="annotation text"/>
    <w:basedOn w:val="Normal"/>
    <w:link w:val="CommentTextChar"/>
    <w:uiPriority w:val="99"/>
    <w:semiHidden/>
    <w:unhideWhenUsed/>
    <w:rsid w:val="00616E29"/>
    <w:rPr>
      <w:sz w:val="20"/>
      <w:szCs w:val="20"/>
    </w:rPr>
  </w:style>
  <w:style w:type="character" w:customStyle="1" w:styleId="CommentTextChar">
    <w:name w:val="Comment Text Char"/>
    <w:basedOn w:val="DefaultParagraphFont"/>
    <w:link w:val="CommentText"/>
    <w:uiPriority w:val="99"/>
    <w:semiHidden/>
    <w:rsid w:val="00616E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6E29"/>
    <w:rPr>
      <w:b/>
      <w:bCs/>
    </w:rPr>
  </w:style>
  <w:style w:type="character" w:customStyle="1" w:styleId="CommentSubjectChar">
    <w:name w:val="Comment Subject Char"/>
    <w:basedOn w:val="CommentTextChar"/>
    <w:link w:val="CommentSubject"/>
    <w:uiPriority w:val="99"/>
    <w:semiHidden/>
    <w:rsid w:val="00616E29"/>
    <w:rPr>
      <w:rFonts w:ascii="Times New Roman" w:eastAsia="Times New Roman" w:hAnsi="Times New Roman" w:cs="Times New Roman"/>
      <w:b/>
      <w:bCs/>
      <w:sz w:val="20"/>
      <w:szCs w:val="20"/>
      <w:lang w:val="en-US"/>
    </w:rPr>
  </w:style>
  <w:style w:type="paragraph" w:styleId="Revision">
    <w:name w:val="Revision"/>
    <w:hidden/>
    <w:uiPriority w:val="99"/>
    <w:semiHidden/>
    <w:rsid w:val="00616E29"/>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910C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B910CF"/>
    <w:pPr>
      <w:spacing w:before="100" w:beforeAutospacing="1" w:after="100" w:afterAutospacing="1"/>
    </w:pPr>
    <w:rPr>
      <w:lang w:val="en-AU" w:eastAsia="en-AU"/>
    </w:rPr>
  </w:style>
  <w:style w:type="paragraph" w:styleId="Footer">
    <w:name w:val="footer"/>
    <w:basedOn w:val="Normal"/>
    <w:link w:val="FooterChar"/>
    <w:rsid w:val="00B910CF"/>
    <w:pPr>
      <w:tabs>
        <w:tab w:val="center" w:pos="4153"/>
        <w:tab w:val="right" w:pos="8306"/>
      </w:tabs>
    </w:pPr>
  </w:style>
  <w:style w:type="character" w:customStyle="1" w:styleId="FooterChar">
    <w:name w:val="Footer Char"/>
    <w:basedOn w:val="DefaultParagraphFont"/>
    <w:link w:val="Footer"/>
    <w:rsid w:val="00B910CF"/>
    <w:rPr>
      <w:rFonts w:ascii="Times New Roman" w:eastAsia="Times New Roman" w:hAnsi="Times New Roman" w:cs="Times New Roman"/>
      <w:sz w:val="24"/>
      <w:szCs w:val="24"/>
      <w:lang w:val="en-US"/>
    </w:rPr>
  </w:style>
  <w:style w:type="character" w:styleId="PageNumber">
    <w:name w:val="page number"/>
    <w:basedOn w:val="DefaultParagraphFont"/>
    <w:rsid w:val="00B910CF"/>
  </w:style>
  <w:style w:type="paragraph" w:styleId="BalloonText">
    <w:name w:val="Balloon Text"/>
    <w:basedOn w:val="Normal"/>
    <w:link w:val="BalloonTextChar"/>
    <w:uiPriority w:val="99"/>
    <w:semiHidden/>
    <w:unhideWhenUsed/>
    <w:rsid w:val="00616E29"/>
    <w:rPr>
      <w:rFonts w:ascii="Tahoma" w:hAnsi="Tahoma" w:cs="Tahoma"/>
      <w:sz w:val="16"/>
      <w:szCs w:val="16"/>
    </w:rPr>
  </w:style>
  <w:style w:type="character" w:customStyle="1" w:styleId="BalloonTextChar">
    <w:name w:val="Balloon Text Char"/>
    <w:basedOn w:val="DefaultParagraphFont"/>
    <w:link w:val="BalloonText"/>
    <w:uiPriority w:val="99"/>
    <w:semiHidden/>
    <w:rsid w:val="00616E29"/>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6E29"/>
    <w:rPr>
      <w:sz w:val="16"/>
      <w:szCs w:val="16"/>
    </w:rPr>
  </w:style>
  <w:style w:type="paragraph" w:styleId="CommentText">
    <w:name w:val="annotation text"/>
    <w:basedOn w:val="Normal"/>
    <w:link w:val="CommentTextChar"/>
    <w:uiPriority w:val="99"/>
    <w:semiHidden/>
    <w:unhideWhenUsed/>
    <w:rsid w:val="00616E29"/>
    <w:rPr>
      <w:sz w:val="20"/>
      <w:szCs w:val="20"/>
    </w:rPr>
  </w:style>
  <w:style w:type="character" w:customStyle="1" w:styleId="CommentTextChar">
    <w:name w:val="Comment Text Char"/>
    <w:basedOn w:val="DefaultParagraphFont"/>
    <w:link w:val="CommentText"/>
    <w:uiPriority w:val="99"/>
    <w:semiHidden/>
    <w:rsid w:val="00616E2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6E29"/>
    <w:rPr>
      <w:b/>
      <w:bCs/>
    </w:rPr>
  </w:style>
  <w:style w:type="character" w:customStyle="1" w:styleId="CommentSubjectChar">
    <w:name w:val="Comment Subject Char"/>
    <w:basedOn w:val="CommentTextChar"/>
    <w:link w:val="CommentSubject"/>
    <w:uiPriority w:val="99"/>
    <w:semiHidden/>
    <w:rsid w:val="00616E29"/>
    <w:rPr>
      <w:rFonts w:ascii="Times New Roman" w:eastAsia="Times New Roman" w:hAnsi="Times New Roman" w:cs="Times New Roman"/>
      <w:b/>
      <w:bCs/>
      <w:sz w:val="20"/>
      <w:szCs w:val="20"/>
      <w:lang w:val="en-US"/>
    </w:rPr>
  </w:style>
  <w:style w:type="paragraph" w:styleId="Revision">
    <w:name w:val="Revision"/>
    <w:hidden/>
    <w:uiPriority w:val="99"/>
    <w:semiHidden/>
    <w:rsid w:val="00616E2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Vines, Tim</cp:lastModifiedBy>
  <cp:revision>4</cp:revision>
  <dcterms:created xsi:type="dcterms:W3CDTF">2014-11-19T03:02:00Z</dcterms:created>
  <dcterms:modified xsi:type="dcterms:W3CDTF">2014-11-24T02:25:00Z</dcterms:modified>
</cp:coreProperties>
</file>