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82" w:rsidRDefault="004A7382" w:rsidP="004A7382">
      <w:pPr>
        <w:tabs>
          <w:tab w:val="left" w:pos="1440"/>
        </w:tabs>
        <w:spacing w:before="100" w:beforeAutospacing="1" w:after="100" w:afterAutospacing="1"/>
        <w:jc w:val="center"/>
        <w:rPr>
          <w:b/>
          <w:u w:val="single"/>
        </w:rPr>
      </w:pPr>
      <w:r>
        <w:rPr>
          <w:b/>
          <w:u w:val="single"/>
        </w:rPr>
        <w:t>EXPLANATORY STATEMENT</w:t>
      </w:r>
    </w:p>
    <w:p w:rsidR="004A7382" w:rsidRDefault="004A7382" w:rsidP="004A7382">
      <w:pPr>
        <w:tabs>
          <w:tab w:val="left" w:pos="1440"/>
        </w:tabs>
        <w:spacing w:before="100" w:beforeAutospacing="1" w:after="100" w:afterAutospacing="1"/>
        <w:jc w:val="center"/>
        <w:rPr>
          <w:b/>
          <w:u w:val="single"/>
        </w:rPr>
      </w:pPr>
      <w:r>
        <w:rPr>
          <w:b/>
          <w:u w:val="single"/>
        </w:rPr>
        <w:t xml:space="preserve">Select </w:t>
      </w:r>
      <w:r w:rsidR="00AA7BEE">
        <w:rPr>
          <w:b/>
          <w:u w:val="single"/>
        </w:rPr>
        <w:t>Legislative Instrument</w:t>
      </w:r>
      <w:r w:rsidR="00843A0C">
        <w:rPr>
          <w:b/>
          <w:u w:val="single"/>
        </w:rPr>
        <w:t xml:space="preserve"> No. </w:t>
      </w:r>
      <w:r w:rsidR="00AA7BEE">
        <w:rPr>
          <w:b/>
          <w:u w:val="single"/>
        </w:rPr>
        <w:t>179, 2014</w:t>
      </w:r>
      <w:bookmarkStart w:id="0" w:name="_GoBack"/>
      <w:bookmarkEnd w:id="0"/>
    </w:p>
    <w:p w:rsidR="004A7382" w:rsidRDefault="004A7382" w:rsidP="004A7382">
      <w:pPr>
        <w:tabs>
          <w:tab w:val="left" w:pos="1440"/>
        </w:tabs>
        <w:spacing w:before="100" w:beforeAutospacing="1" w:after="100" w:afterAutospacing="1"/>
        <w:jc w:val="center"/>
        <w:rPr>
          <w:u w:val="single"/>
        </w:rPr>
      </w:pPr>
      <w:r>
        <w:rPr>
          <w:u w:val="single"/>
        </w:rPr>
        <w:t>Issued by the Authority of the Minister for the Environment</w:t>
      </w:r>
    </w:p>
    <w:p w:rsidR="004A7382" w:rsidRDefault="004A7382" w:rsidP="004A7382">
      <w:pPr>
        <w:spacing w:before="120" w:after="120"/>
        <w:ind w:right="91"/>
        <w:jc w:val="center"/>
        <w:rPr>
          <w:i/>
          <w:iCs/>
        </w:rPr>
      </w:pPr>
      <w:r>
        <w:rPr>
          <w:i/>
        </w:rPr>
        <w:t>Clean Energy Act 2011</w:t>
      </w:r>
    </w:p>
    <w:p w:rsidR="004A7382" w:rsidRDefault="004A7382" w:rsidP="004A7382">
      <w:pPr>
        <w:spacing w:before="120" w:after="120"/>
        <w:ind w:right="91"/>
        <w:jc w:val="center"/>
        <w:rPr>
          <w:i/>
          <w:iCs/>
        </w:rPr>
      </w:pPr>
      <w:r>
        <w:rPr>
          <w:i/>
          <w:iCs/>
        </w:rPr>
        <w:t>Renewable Energy (Electricity) Act 2000</w:t>
      </w:r>
    </w:p>
    <w:p w:rsidR="004A7382" w:rsidRPr="0053515F" w:rsidRDefault="004A7382" w:rsidP="004A7382">
      <w:pPr>
        <w:spacing w:before="120"/>
        <w:ind w:right="91"/>
        <w:jc w:val="center"/>
        <w:rPr>
          <w:i/>
          <w:iCs/>
        </w:rPr>
      </w:pPr>
      <w:r w:rsidRPr="0053515F">
        <w:rPr>
          <w:i/>
          <w:iCs/>
        </w:rPr>
        <w:t>Clean Energy Legislation Amendment (</w:t>
      </w:r>
      <w:r w:rsidR="0053515F" w:rsidRPr="0053515F">
        <w:rPr>
          <w:i/>
          <w:iCs/>
        </w:rPr>
        <w:t>2014 Measures No.1</w:t>
      </w:r>
      <w:r w:rsidRPr="0053515F">
        <w:rPr>
          <w:i/>
          <w:iCs/>
        </w:rPr>
        <w:t>) Regulation 201</w:t>
      </w:r>
      <w:r w:rsidR="0047512C" w:rsidRPr="0053515F">
        <w:rPr>
          <w:i/>
          <w:iCs/>
        </w:rPr>
        <w:t>4</w:t>
      </w:r>
    </w:p>
    <w:p w:rsidR="0047512C" w:rsidRDefault="0047512C" w:rsidP="0047512C">
      <w:pPr>
        <w:spacing w:before="0"/>
        <w:ind w:right="91"/>
        <w:rPr>
          <w:lang w:val="en-GB"/>
        </w:rPr>
      </w:pPr>
      <w:r w:rsidRPr="0053515F">
        <w:rPr>
          <w:lang w:val="en-GB"/>
        </w:rPr>
        <w:t xml:space="preserve">The </w:t>
      </w:r>
      <w:r w:rsidR="0053515F" w:rsidRPr="0053515F">
        <w:rPr>
          <w:i/>
          <w:iCs/>
        </w:rPr>
        <w:t>Clean Energy Legislation Amendment (2014 Measures No.1) Regulation 2014</w:t>
      </w:r>
      <w:r w:rsidRPr="0053515F">
        <w:rPr>
          <w:lang w:val="en-GB"/>
        </w:rPr>
        <w:t xml:space="preserve"> (the Regulation) amends the </w:t>
      </w:r>
      <w:r w:rsidRPr="0053515F">
        <w:rPr>
          <w:i/>
          <w:lang w:val="en-GB"/>
        </w:rPr>
        <w:t>Clean Energy Regulations 2011</w:t>
      </w:r>
      <w:r w:rsidRPr="0053515F">
        <w:rPr>
          <w:lang w:val="en-GB"/>
        </w:rPr>
        <w:t xml:space="preserve"> (the CE Regulations) and the</w:t>
      </w:r>
      <w:r>
        <w:rPr>
          <w:lang w:val="en-GB"/>
        </w:rPr>
        <w:t xml:space="preserve"> </w:t>
      </w:r>
      <w:r>
        <w:rPr>
          <w:i/>
          <w:lang w:val="en-GB"/>
        </w:rPr>
        <w:t>Renewable Energy (Electricity) Regulations 2001</w:t>
      </w:r>
      <w:r>
        <w:rPr>
          <w:lang w:val="en-GB"/>
        </w:rPr>
        <w:t xml:space="preserve"> (the RET Regulations).</w:t>
      </w:r>
    </w:p>
    <w:p w:rsidR="004614F6" w:rsidRDefault="00904B2C" w:rsidP="00904B2C">
      <w:pPr>
        <w:spacing w:before="0"/>
        <w:ind w:right="91"/>
      </w:pPr>
      <w:r w:rsidRPr="00517A9A">
        <w:t>The</w:t>
      </w:r>
      <w:r>
        <w:t xml:space="preserve"> </w:t>
      </w:r>
      <w:r w:rsidRPr="000C440D">
        <w:rPr>
          <w:i/>
        </w:rPr>
        <w:t>Clean Energy Act 2011</w:t>
      </w:r>
      <w:r>
        <w:t xml:space="preserve"> (the CE Act)</w:t>
      </w:r>
      <w:r w:rsidRPr="00517A9A">
        <w:t xml:space="preserve">, together with the other Acts of the Clean Energy Legislative Package, </w:t>
      </w:r>
      <w:r>
        <w:t>implemented</w:t>
      </w:r>
      <w:r w:rsidRPr="00517A9A">
        <w:t xml:space="preserve"> the carbon</w:t>
      </w:r>
      <w:r>
        <w:t xml:space="preserve"> tax. The </w:t>
      </w:r>
      <w:r w:rsidRPr="00DA4400">
        <w:rPr>
          <w:i/>
        </w:rPr>
        <w:t>Clean Energy Legislation (Carbon Tax Repeal) Act 2014</w:t>
      </w:r>
      <w:r>
        <w:t xml:space="preserve"> (the Repeal Act) repealed the legislation which gave effect to the operation of the carbon tax and the related </w:t>
      </w:r>
      <w:r w:rsidRPr="009D60F0">
        <w:t xml:space="preserve">assistance under </w:t>
      </w:r>
      <w:r>
        <w:t>the Jobs and Competitiveness Program (</w:t>
      </w:r>
      <w:r w:rsidRPr="009D60F0">
        <w:t>JCP</w:t>
      </w:r>
      <w:r>
        <w:t>)</w:t>
      </w:r>
      <w:r w:rsidRPr="009D60F0">
        <w:t xml:space="preserve"> from 2014</w:t>
      </w:r>
      <w:r w:rsidRPr="009D60F0">
        <w:noBreakHyphen/>
        <w:t>15</w:t>
      </w:r>
      <w:r>
        <w:t>. Despite its repeal, Part 3 of the Repeal Act continues in force certain sections of the CE Act as if repeal had not occurred.</w:t>
      </w:r>
      <w:r w:rsidR="004614F6">
        <w:t xml:space="preserve"> In particular, section 312 of the CE Act is continued in force by the Repeal Act and provides, in part, that the Governor</w:t>
      </w:r>
      <w:r w:rsidR="004614F6">
        <w:noBreakHyphen/>
        <w:t>General may make regulations prescribing matters required or permitted by the CE Act, or necessary or convenient to be prescribed for carrying out or giving effect to the CE Act.</w:t>
      </w:r>
    </w:p>
    <w:p w:rsidR="004614F6" w:rsidRDefault="004614F6" w:rsidP="004614F6">
      <w:pPr>
        <w:tabs>
          <w:tab w:val="left" w:pos="851"/>
        </w:tabs>
      </w:pPr>
      <w:r w:rsidRPr="002776A1">
        <w:t xml:space="preserve">Part 7 of the </w:t>
      </w:r>
      <w:r>
        <w:t xml:space="preserve">CE </w:t>
      </w:r>
      <w:r w:rsidRPr="002776A1">
        <w:t>Act</w:t>
      </w:r>
      <w:r>
        <w:t xml:space="preserve">, as continued in force by the Repeal Act, provides </w:t>
      </w:r>
      <w:r w:rsidRPr="002776A1">
        <w:rPr>
          <w:lang w:val="en-GB"/>
        </w:rPr>
        <w:t xml:space="preserve">for the </w:t>
      </w:r>
      <w:r>
        <w:rPr>
          <w:lang w:val="en-GB"/>
        </w:rPr>
        <w:t xml:space="preserve">establishment of the </w:t>
      </w:r>
      <w:r>
        <w:t xml:space="preserve">JCP </w:t>
      </w:r>
      <w:r w:rsidRPr="002776A1">
        <w:t xml:space="preserve">to support jobs and the competitiveness of </w:t>
      </w:r>
      <w:r>
        <w:t>industries conducting emissions</w:t>
      </w:r>
      <w:r>
        <w:noBreakHyphen/>
        <w:t>intensive, trade</w:t>
      </w:r>
      <w:r>
        <w:noBreakHyphen/>
        <w:t>exposed (</w:t>
      </w:r>
      <w:proofErr w:type="spellStart"/>
      <w:r w:rsidRPr="002776A1">
        <w:t>EITE</w:t>
      </w:r>
      <w:proofErr w:type="spellEnd"/>
      <w:r>
        <w:t>)</w:t>
      </w:r>
      <w:r w:rsidRPr="002776A1">
        <w:t xml:space="preserve"> </w:t>
      </w:r>
      <w:r>
        <w:t>activities during the years in which the carbon tax operated</w:t>
      </w:r>
      <w:r w:rsidR="00C32B94">
        <w:t xml:space="preserve">, </w:t>
      </w:r>
      <w:r>
        <w:t>2012</w:t>
      </w:r>
      <w:r>
        <w:noBreakHyphen/>
        <w:t>13 and 2013</w:t>
      </w:r>
      <w:r>
        <w:noBreakHyphen/>
        <w:t>14</w:t>
      </w:r>
      <w:r w:rsidRPr="002776A1">
        <w:t>.</w:t>
      </w:r>
      <w:r>
        <w:t xml:space="preserve"> The administrative framework for the JCP is contained in the CE Regulations, as continued in force by the Repeal Act.</w:t>
      </w:r>
    </w:p>
    <w:p w:rsidR="004614F6" w:rsidRDefault="004614F6" w:rsidP="004614F6">
      <w:pPr>
        <w:tabs>
          <w:tab w:val="left" w:pos="851"/>
        </w:tabs>
      </w:pPr>
      <w:r w:rsidRPr="00583C11">
        <w:t xml:space="preserve">Section 161 of the </w:t>
      </w:r>
      <w:r w:rsidRPr="00583C11">
        <w:rPr>
          <w:i/>
          <w:iCs/>
        </w:rPr>
        <w:t xml:space="preserve">Renewable Energy (Electricity) Act 2000 </w:t>
      </w:r>
      <w:r w:rsidRPr="00583C11">
        <w:t xml:space="preserve">(the </w:t>
      </w:r>
      <w:r>
        <w:t xml:space="preserve">RET </w:t>
      </w:r>
      <w:r w:rsidRPr="00583C11">
        <w:t>Act)</w:t>
      </w:r>
      <w:r>
        <w:t xml:space="preserve"> </w:t>
      </w:r>
      <w:r w:rsidRPr="00583C11">
        <w:t xml:space="preserve">provides, in part, that the Governor-General may make </w:t>
      </w:r>
      <w:r>
        <w:t>r</w:t>
      </w:r>
      <w:r w:rsidRPr="00583C11">
        <w:t xml:space="preserve">egulations prescribing matters required or permitted by the </w:t>
      </w:r>
      <w:r>
        <w:t xml:space="preserve">RET </w:t>
      </w:r>
      <w:r w:rsidRPr="00583C11">
        <w:t xml:space="preserve">Act, or necessary or convenient to be prescribed for carrying out or giving effect to the </w:t>
      </w:r>
      <w:r>
        <w:t xml:space="preserve">RET </w:t>
      </w:r>
      <w:r w:rsidRPr="00583C11">
        <w:t>Act.</w:t>
      </w:r>
      <w:r>
        <w:t xml:space="preserve"> The RET Act also provides for assistance to industries conducting </w:t>
      </w:r>
      <w:r w:rsidRPr="002776A1">
        <w:t xml:space="preserve">EITE </w:t>
      </w:r>
      <w:r>
        <w:t>activities in the form of Partial Exemption Certificates (PECs) which reduce a liable entity’s requirement to purchase renewable energy for electricity supplied to EITE entities. The administrative framework for this is provided under t</w:t>
      </w:r>
      <w:r w:rsidRPr="006C5B76">
        <w:t xml:space="preserve">he </w:t>
      </w:r>
      <w:r>
        <w:t>RET</w:t>
      </w:r>
      <w:r w:rsidRPr="006C5B76">
        <w:t xml:space="preserve"> Regulations</w:t>
      </w:r>
      <w:r>
        <w:t>.</w:t>
      </w:r>
    </w:p>
    <w:p w:rsidR="004614F6" w:rsidRDefault="004614F6" w:rsidP="004614F6">
      <w:pPr>
        <w:tabs>
          <w:tab w:val="left" w:pos="709"/>
        </w:tabs>
      </w:pPr>
      <w:r>
        <w:rPr>
          <w:lang w:val="en-GB"/>
        </w:rPr>
        <w:t xml:space="preserve">The Regulation </w:t>
      </w:r>
      <w:r w:rsidRPr="002776A1">
        <w:rPr>
          <w:lang w:val="en-GB"/>
        </w:rPr>
        <w:t>amend</w:t>
      </w:r>
      <w:r>
        <w:rPr>
          <w:lang w:val="en-GB"/>
        </w:rPr>
        <w:t>s</w:t>
      </w:r>
      <w:r w:rsidRPr="002776A1">
        <w:rPr>
          <w:lang w:val="en-GB"/>
        </w:rPr>
        <w:t xml:space="preserve"> the</w:t>
      </w:r>
      <w:r>
        <w:rPr>
          <w:lang w:val="en-GB"/>
        </w:rPr>
        <w:t xml:space="preserve"> CE Regulations and RET Regulations </w:t>
      </w:r>
      <w:r w:rsidRPr="002776A1">
        <w:rPr>
          <w:lang w:val="en-GB"/>
        </w:rPr>
        <w:t>to</w:t>
      </w:r>
      <w:r>
        <w:rPr>
          <w:lang w:val="en-GB"/>
        </w:rPr>
        <w:t xml:space="preserve"> add </w:t>
      </w:r>
      <w:r w:rsidR="00716A74">
        <w:rPr>
          <w:lang w:val="en-GB"/>
        </w:rPr>
        <w:t xml:space="preserve">two </w:t>
      </w:r>
      <w:r>
        <w:rPr>
          <w:lang w:val="en-GB"/>
        </w:rPr>
        <w:t>EITE activit</w:t>
      </w:r>
      <w:r w:rsidR="00716A74">
        <w:rPr>
          <w:lang w:val="en-GB"/>
        </w:rPr>
        <w:t>ies</w:t>
      </w:r>
      <w:r>
        <w:rPr>
          <w:lang w:val="en-GB"/>
        </w:rPr>
        <w:t xml:space="preserve"> - the ‘production of ferrovanadium’ </w:t>
      </w:r>
      <w:r w:rsidR="00716A74">
        <w:rPr>
          <w:lang w:val="en-GB"/>
        </w:rPr>
        <w:t>and the ‘rendering of animal by</w:t>
      </w:r>
      <w:r w:rsidR="00716A74">
        <w:rPr>
          <w:lang w:val="en-GB"/>
        </w:rPr>
        <w:noBreakHyphen/>
        <w:t xml:space="preserve">products’ </w:t>
      </w:r>
      <w:r>
        <w:rPr>
          <w:lang w:val="en-GB"/>
        </w:rPr>
        <w:t xml:space="preserve">– </w:t>
      </w:r>
      <w:r w:rsidRPr="00E1410C">
        <w:rPr>
          <w:lang w:val="en-GB"/>
        </w:rPr>
        <w:t xml:space="preserve">as </w:t>
      </w:r>
      <w:r>
        <w:rPr>
          <w:lang w:val="en-GB"/>
        </w:rPr>
        <w:t xml:space="preserve">eligible </w:t>
      </w:r>
      <w:r w:rsidRPr="00E1410C">
        <w:rPr>
          <w:lang w:val="en-GB"/>
        </w:rPr>
        <w:t xml:space="preserve">for </w:t>
      </w:r>
      <w:r>
        <w:rPr>
          <w:lang w:val="en-GB"/>
        </w:rPr>
        <w:t xml:space="preserve">assistance in the form of free carbon units under the JCP </w:t>
      </w:r>
      <w:r w:rsidR="00716A74">
        <w:rPr>
          <w:lang w:val="en-GB"/>
        </w:rPr>
        <w:t xml:space="preserve">for the two years in which the carbon tax operated </w:t>
      </w:r>
      <w:r>
        <w:rPr>
          <w:lang w:val="en-GB"/>
        </w:rPr>
        <w:t>and PECs under the RET scheme</w:t>
      </w:r>
      <w:r w:rsidR="00716A74">
        <w:rPr>
          <w:lang w:val="en-GB"/>
        </w:rPr>
        <w:t xml:space="preserve"> from the 2015 compliance year</w:t>
      </w:r>
      <w:r w:rsidR="00D234DC">
        <w:rPr>
          <w:lang w:val="en-GB"/>
        </w:rPr>
        <w:t xml:space="preserve"> onwards</w:t>
      </w:r>
      <w:r>
        <w:rPr>
          <w:lang w:val="en-GB"/>
        </w:rPr>
        <w:t>.</w:t>
      </w:r>
    </w:p>
    <w:p w:rsidR="004614F6" w:rsidRDefault="004614F6" w:rsidP="0047512C">
      <w:pPr>
        <w:widowControl/>
        <w:autoSpaceDE/>
        <w:autoSpaceDN/>
        <w:adjustRightInd/>
        <w:spacing w:before="100" w:beforeAutospacing="1" w:after="100" w:afterAutospacing="1"/>
        <w:ind w:right="91"/>
      </w:pPr>
    </w:p>
    <w:p w:rsidR="004614F6" w:rsidRDefault="004614F6" w:rsidP="0047512C">
      <w:pPr>
        <w:widowControl/>
        <w:autoSpaceDE/>
        <w:autoSpaceDN/>
        <w:adjustRightInd/>
        <w:spacing w:before="100" w:beforeAutospacing="1" w:after="100" w:afterAutospacing="1"/>
        <w:ind w:right="91"/>
      </w:pPr>
    </w:p>
    <w:p w:rsidR="0047512C" w:rsidRDefault="0047512C" w:rsidP="0047512C">
      <w:pPr>
        <w:widowControl/>
        <w:autoSpaceDE/>
        <w:autoSpaceDN/>
        <w:adjustRightInd/>
        <w:spacing w:before="100" w:beforeAutospacing="1" w:after="100" w:afterAutospacing="1"/>
        <w:ind w:right="91"/>
      </w:pPr>
      <w:r>
        <w:lastRenderedPageBreak/>
        <w:t>The Regulation also:</w:t>
      </w:r>
    </w:p>
    <w:p w:rsidR="0047512C" w:rsidRDefault="007711B7" w:rsidP="0047512C">
      <w:pPr>
        <w:pStyle w:val="ListParagraph"/>
        <w:widowControl/>
        <w:numPr>
          <w:ilvl w:val="0"/>
          <w:numId w:val="35"/>
        </w:numPr>
        <w:autoSpaceDE/>
        <w:autoSpaceDN/>
        <w:adjustRightInd/>
        <w:spacing w:before="0"/>
        <w:ind w:left="714" w:right="91" w:hanging="357"/>
        <w:contextualSpacing w:val="0"/>
      </w:pPr>
      <w:r>
        <w:t>establishes</w:t>
      </w:r>
      <w:r w:rsidR="0047512C">
        <w:t xml:space="preserve"> the baselines for the </w:t>
      </w:r>
      <w:r w:rsidR="00716A74">
        <w:t xml:space="preserve">new EITE </w:t>
      </w:r>
      <w:r w:rsidR="0047512C">
        <w:t>activit</w:t>
      </w:r>
      <w:r w:rsidR="00716A74">
        <w:t>ies</w:t>
      </w:r>
      <w:r w:rsidR="0047512C">
        <w:t xml:space="preserve"> which are used to determine the </w:t>
      </w:r>
      <w:r>
        <w:t xml:space="preserve">number </w:t>
      </w:r>
      <w:r w:rsidR="0047512C">
        <w:t>of free carbon units under the JCP and PECs that each applicant would be eligible f</w:t>
      </w:r>
      <w:r w:rsidR="004614F6">
        <w:t>or in relation to the activit</w:t>
      </w:r>
      <w:r w:rsidR="00716A74">
        <w:t>ies</w:t>
      </w:r>
      <w:r w:rsidR="0047512C">
        <w:t>;</w:t>
      </w:r>
    </w:p>
    <w:p w:rsidR="0047512C" w:rsidRDefault="00D234DC" w:rsidP="0047512C">
      <w:pPr>
        <w:pStyle w:val="ListParagraph"/>
        <w:widowControl/>
        <w:numPr>
          <w:ilvl w:val="0"/>
          <w:numId w:val="35"/>
        </w:numPr>
        <w:autoSpaceDE/>
        <w:autoSpaceDN/>
        <w:adjustRightInd/>
        <w:spacing w:before="0"/>
        <w:ind w:left="714" w:right="91" w:hanging="357"/>
        <w:contextualSpacing w:val="0"/>
      </w:pPr>
      <w:r>
        <w:t xml:space="preserve">permits </w:t>
      </w:r>
      <w:r w:rsidR="0047512C">
        <w:t>JCP application</w:t>
      </w:r>
      <w:r>
        <w:t xml:space="preserve">s to be made retrospectively for </w:t>
      </w:r>
      <w:r w:rsidR="0047512C">
        <w:t xml:space="preserve">the </w:t>
      </w:r>
      <w:r w:rsidR="00716A74">
        <w:t xml:space="preserve">new EITE </w:t>
      </w:r>
      <w:r w:rsidR="0047512C">
        <w:t>activit</w:t>
      </w:r>
      <w:r w:rsidR="00716A74">
        <w:t>ies</w:t>
      </w:r>
      <w:r w:rsidR="0047512C">
        <w:t xml:space="preserve"> for the 2012</w:t>
      </w:r>
      <w:r w:rsidR="0047512C">
        <w:noBreakHyphen/>
        <w:t>13 and 2013</w:t>
      </w:r>
      <w:r w:rsidR="0047512C">
        <w:noBreakHyphen/>
        <w:t xml:space="preserve">14 </w:t>
      </w:r>
      <w:r>
        <w:t xml:space="preserve">financial </w:t>
      </w:r>
      <w:r w:rsidR="0047512C">
        <w:t>years;</w:t>
      </w:r>
    </w:p>
    <w:p w:rsidR="003864A9" w:rsidRDefault="003864A9" w:rsidP="0047512C">
      <w:pPr>
        <w:pStyle w:val="ListParagraph"/>
        <w:widowControl/>
        <w:numPr>
          <w:ilvl w:val="0"/>
          <w:numId w:val="35"/>
        </w:numPr>
        <w:autoSpaceDE/>
        <w:autoSpaceDN/>
        <w:adjustRightInd/>
        <w:spacing w:before="0"/>
        <w:ind w:left="714" w:right="91" w:hanging="357"/>
        <w:contextualSpacing w:val="0"/>
      </w:pPr>
      <w:r>
        <w:t xml:space="preserve">provides that production data for the year of application is required to be provided in applications for JCP assistance in respect of the new </w:t>
      </w:r>
      <w:r w:rsidR="00716A74">
        <w:t xml:space="preserve">EITE </w:t>
      </w:r>
      <w:r>
        <w:t>activit</w:t>
      </w:r>
      <w:r w:rsidR="00716A74">
        <w:t>ies</w:t>
      </w:r>
      <w:r>
        <w:t>, rather than the previous year production data;</w:t>
      </w:r>
    </w:p>
    <w:p w:rsidR="003E08A3" w:rsidRPr="003E08A3" w:rsidRDefault="0047512C" w:rsidP="003E08A3">
      <w:pPr>
        <w:pStyle w:val="ListParagraph"/>
        <w:widowControl/>
        <w:numPr>
          <w:ilvl w:val="0"/>
          <w:numId w:val="35"/>
        </w:numPr>
        <w:autoSpaceDE/>
        <w:autoSpaceDN/>
        <w:adjustRightInd/>
        <w:spacing w:before="0"/>
        <w:ind w:left="714" w:right="91" w:hanging="357"/>
        <w:contextualSpacing w:val="0"/>
      </w:pPr>
      <w:r w:rsidRPr="003E08A3">
        <w:rPr>
          <w:lang w:val="en-GB"/>
        </w:rPr>
        <w:t>make</w:t>
      </w:r>
      <w:r w:rsidR="003E08A3">
        <w:rPr>
          <w:lang w:val="en-GB"/>
        </w:rPr>
        <w:t>s</w:t>
      </w:r>
      <w:r w:rsidRPr="003E08A3">
        <w:rPr>
          <w:lang w:val="en-GB"/>
        </w:rPr>
        <w:t xml:space="preserve"> a minor amendment to the description of the ‘production of coal char’ EITE activity under the JCP and the RET to </w:t>
      </w:r>
      <w:r w:rsidR="007711B7">
        <w:rPr>
          <w:lang w:val="en-GB"/>
        </w:rPr>
        <w:t xml:space="preserve">revise the output </w:t>
      </w:r>
      <w:r w:rsidR="003E08A3">
        <w:rPr>
          <w:lang w:val="en-GB"/>
        </w:rPr>
        <w:t>specification of the activity;</w:t>
      </w:r>
    </w:p>
    <w:p w:rsidR="0047512C" w:rsidRDefault="0047512C" w:rsidP="003E08A3">
      <w:pPr>
        <w:pStyle w:val="ListParagraph"/>
        <w:widowControl/>
        <w:numPr>
          <w:ilvl w:val="0"/>
          <w:numId w:val="35"/>
        </w:numPr>
        <w:autoSpaceDE/>
        <w:autoSpaceDN/>
        <w:adjustRightInd/>
        <w:spacing w:before="0"/>
        <w:ind w:left="714" w:right="91" w:hanging="357"/>
        <w:contextualSpacing w:val="0"/>
      </w:pPr>
      <w:r w:rsidRPr="003E08A3">
        <w:rPr>
          <w:lang w:val="en-GB"/>
        </w:rPr>
        <w:t>make</w:t>
      </w:r>
      <w:r w:rsidR="003E08A3">
        <w:rPr>
          <w:lang w:val="en-GB"/>
        </w:rPr>
        <w:t xml:space="preserve">s </w:t>
      </w:r>
      <w:r w:rsidRPr="003E08A3">
        <w:rPr>
          <w:lang w:val="en-GB"/>
        </w:rPr>
        <w:t>minor amendments to the calculation of the sub</w:t>
      </w:r>
      <w:r w:rsidRPr="003E08A3">
        <w:rPr>
          <w:lang w:val="en-GB"/>
        </w:rPr>
        <w:noBreakHyphen/>
        <w:t>threshold adjustment that is part of the calculation of assistance under the JCP</w:t>
      </w:r>
      <w:r w:rsidR="003E08A3">
        <w:t>; and</w:t>
      </w:r>
    </w:p>
    <w:p w:rsidR="0047512C" w:rsidRPr="003E08A3" w:rsidRDefault="003E08A3" w:rsidP="003E08A3">
      <w:pPr>
        <w:pStyle w:val="ListParagraph"/>
        <w:widowControl/>
        <w:numPr>
          <w:ilvl w:val="0"/>
          <w:numId w:val="35"/>
        </w:numPr>
        <w:autoSpaceDE/>
        <w:autoSpaceDN/>
        <w:adjustRightInd/>
        <w:spacing w:before="0"/>
        <w:ind w:left="714" w:right="91" w:hanging="357"/>
        <w:contextualSpacing w:val="0"/>
      </w:pPr>
      <w:r>
        <w:rPr>
          <w:lang w:val="en-GB"/>
        </w:rPr>
        <w:t xml:space="preserve">makes </w:t>
      </w:r>
      <w:r w:rsidR="0047512C" w:rsidRPr="003E08A3">
        <w:rPr>
          <w:lang w:val="en-GB"/>
        </w:rPr>
        <w:t>minor amendments to the record keeping provisions of the JCP to clarify how they apply in relation to the final true</w:t>
      </w:r>
      <w:r w:rsidR="0047512C" w:rsidRPr="003E08A3">
        <w:rPr>
          <w:lang w:val="en-GB"/>
        </w:rPr>
        <w:noBreakHyphen/>
        <w:t xml:space="preserve">up of allocations under the </w:t>
      </w:r>
      <w:r w:rsidR="0047512C" w:rsidRPr="003E08A3">
        <w:rPr>
          <w:i/>
          <w:lang w:val="en-GB"/>
        </w:rPr>
        <w:t>Clean Energy Legislation (Carbon Tax Repeal) (Jobs and Competitiveness Program) Rules 2014</w:t>
      </w:r>
      <w:r w:rsidR="0047512C" w:rsidRPr="003E08A3">
        <w:rPr>
          <w:lang w:val="en-GB"/>
        </w:rPr>
        <w:t>.</w:t>
      </w:r>
    </w:p>
    <w:p w:rsidR="00CB2D33" w:rsidRDefault="004A7382" w:rsidP="004A7382">
      <w:pPr>
        <w:tabs>
          <w:tab w:val="left" w:pos="851"/>
        </w:tabs>
        <w:spacing w:before="120" w:after="200"/>
      </w:pPr>
      <w:r>
        <w:t xml:space="preserve">Details of the Regulation are included in </w:t>
      </w:r>
      <w:r>
        <w:rPr>
          <w:u w:val="single"/>
        </w:rPr>
        <w:t>Attachment A</w:t>
      </w:r>
      <w:r>
        <w:t>.</w:t>
      </w:r>
    </w:p>
    <w:p w:rsidR="00D234DC" w:rsidRDefault="00D234DC" w:rsidP="00D234DC">
      <w:pPr>
        <w:tabs>
          <w:tab w:val="left" w:pos="0"/>
        </w:tabs>
        <w:spacing w:before="120" w:after="200"/>
        <w:ind w:right="-143"/>
      </w:pPr>
      <w:r>
        <w:t xml:space="preserve">A statement of compatibility with human rights for the purposes of Part 3 of the </w:t>
      </w:r>
      <w:r>
        <w:rPr>
          <w:i/>
        </w:rPr>
        <w:t>Human Rights (Parliamentary Scrutiny) Act 2011</w:t>
      </w:r>
      <w:r>
        <w:t xml:space="preserve"> is set out in </w:t>
      </w:r>
      <w:r>
        <w:rPr>
          <w:u w:val="single"/>
        </w:rPr>
        <w:t>Attachment B</w:t>
      </w:r>
      <w:r>
        <w:t>.</w:t>
      </w:r>
    </w:p>
    <w:p w:rsidR="00D234DC" w:rsidRDefault="00D234DC" w:rsidP="00D234DC">
      <w:pPr>
        <w:rPr>
          <w:lang w:val="en-GB"/>
        </w:rPr>
      </w:pPr>
      <w:r>
        <w:rPr>
          <w:lang w:val="en-GB"/>
        </w:rPr>
        <w:t xml:space="preserve">The Minister has taken into consideration the principles under subsection 145(5) of the CE Act </w:t>
      </w:r>
      <w:r w:rsidRPr="009D60F0">
        <w:rPr>
          <w:lang w:val="en-GB"/>
        </w:rPr>
        <w:t>regarding changes that will have a negative impact on recipients of assistance under the</w:t>
      </w:r>
      <w:r>
        <w:rPr>
          <w:lang w:val="en-GB"/>
        </w:rPr>
        <w:t xml:space="preserve"> JCP</w:t>
      </w:r>
      <w:r w:rsidRPr="009D60F0">
        <w:rPr>
          <w:lang w:val="en-GB"/>
        </w:rPr>
        <w:t>.</w:t>
      </w:r>
      <w:r w:rsidRPr="00D234DC">
        <w:t xml:space="preserve"> </w:t>
      </w:r>
      <w:r w:rsidRPr="004109D3">
        <w:t xml:space="preserve">There are no </w:t>
      </w:r>
      <w:r>
        <w:t xml:space="preserve">further </w:t>
      </w:r>
      <w:r w:rsidRPr="004109D3">
        <w:t>statutory pre-conditions that need to be satisfied before the power to make the Regulation</w:t>
      </w:r>
      <w:r>
        <w:t xml:space="preserve"> may be exercised.</w:t>
      </w:r>
    </w:p>
    <w:p w:rsidR="00D234DC" w:rsidRDefault="00D234DC" w:rsidP="00D234DC">
      <w:pPr>
        <w:rPr>
          <w:i/>
          <w:iCs/>
        </w:rPr>
      </w:pPr>
      <w:r>
        <w:t>The Regulation</w:t>
      </w:r>
      <w:r>
        <w:rPr>
          <w:i/>
          <w:iCs/>
        </w:rPr>
        <w:t xml:space="preserve"> </w:t>
      </w:r>
      <w:r>
        <w:t xml:space="preserve">is a legislative instrument for the purposes of the </w:t>
      </w:r>
      <w:r>
        <w:rPr>
          <w:i/>
          <w:iCs/>
        </w:rPr>
        <w:t>Legislative Instruments Act 2003.</w:t>
      </w:r>
    </w:p>
    <w:p w:rsidR="00D234DC" w:rsidRDefault="00D234DC" w:rsidP="004A7382">
      <w:pPr>
        <w:tabs>
          <w:tab w:val="left" w:pos="851"/>
        </w:tabs>
        <w:spacing w:before="120" w:after="200"/>
        <w:sectPr w:rsidR="00D234DC" w:rsidSect="00387433">
          <w:footerReference w:type="default" r:id="rId9"/>
          <w:pgSz w:w="12240" w:h="15840"/>
          <w:pgMar w:top="1440" w:right="1440" w:bottom="1440" w:left="1440" w:header="720" w:footer="720" w:gutter="0"/>
          <w:cols w:space="720"/>
          <w:noEndnote/>
          <w:titlePg/>
          <w:docGrid w:linePitch="360"/>
        </w:sectPr>
      </w:pPr>
    </w:p>
    <w:p w:rsidR="004A7382" w:rsidRDefault="004A7382" w:rsidP="004A7382">
      <w:pPr>
        <w:tabs>
          <w:tab w:val="left" w:pos="851"/>
        </w:tabs>
        <w:spacing w:before="120" w:after="200"/>
      </w:pPr>
      <w:r>
        <w:rPr>
          <w:b/>
          <w:bCs/>
        </w:rPr>
        <w:lastRenderedPageBreak/>
        <w:t>Consultation</w:t>
      </w:r>
    </w:p>
    <w:p w:rsidR="004A7382" w:rsidRDefault="004A7382" w:rsidP="004A7382">
      <w:r>
        <w:t xml:space="preserve">Since 2011, the </w:t>
      </w:r>
      <w:r w:rsidR="00A80CD3">
        <w:t xml:space="preserve">Department of the Environment (and the </w:t>
      </w:r>
      <w:r>
        <w:t xml:space="preserve">former Department of Climate Change and Energy Efficiency and </w:t>
      </w:r>
      <w:r w:rsidR="00A80CD3">
        <w:t xml:space="preserve">former </w:t>
      </w:r>
      <w:r>
        <w:t>Department of Industry, Innovation, Climate Change, Science, Research and Tertiary Education</w:t>
      </w:r>
      <w:r w:rsidR="00A80CD3">
        <w:t>)</w:t>
      </w:r>
      <w:r>
        <w:t xml:space="preserve"> ha</w:t>
      </w:r>
      <w:r w:rsidR="00904B2C">
        <w:t>s</w:t>
      </w:r>
      <w:r>
        <w:t xml:space="preserve"> undertaken an extensive consultation process to establish the eligibility of EITE activities and develop regulations to implement the </w:t>
      </w:r>
      <w:r w:rsidR="003E08A3">
        <w:t>JCP</w:t>
      </w:r>
      <w:r>
        <w:t xml:space="preserve">. </w:t>
      </w:r>
    </w:p>
    <w:p w:rsidR="004A7382" w:rsidRDefault="004A7382" w:rsidP="004A7382">
      <w:pPr>
        <w:pStyle w:val="NumberLevel1"/>
        <w:numPr>
          <w:ilvl w:val="0"/>
          <w:numId w:val="0"/>
        </w:numPr>
        <w:tabs>
          <w:tab w:val="left" w:pos="720"/>
        </w:tabs>
        <w:spacing w:after="240"/>
        <w:rPr>
          <w:rFonts w:ascii="Times New Roman" w:hAnsi="Times New Roman" w:cs="Times New Roman"/>
          <w:sz w:val="24"/>
          <w:szCs w:val="24"/>
          <w:lang w:val="en-GB"/>
        </w:rPr>
      </w:pPr>
      <w:r>
        <w:rPr>
          <w:rFonts w:ascii="Times New Roman" w:hAnsi="Times New Roman" w:cs="Times New Roman"/>
          <w:sz w:val="24"/>
          <w:szCs w:val="24"/>
          <w:lang w:val="en-GB"/>
        </w:rPr>
        <w:t xml:space="preserve">The policy framework for determining the eligibility of EITE activities for assistance under the </w:t>
      </w:r>
      <w:r w:rsidR="003E08A3">
        <w:rPr>
          <w:rFonts w:ascii="Times New Roman" w:hAnsi="Times New Roman" w:cs="Times New Roman"/>
          <w:sz w:val="24"/>
          <w:szCs w:val="24"/>
          <w:lang w:val="en-GB"/>
        </w:rPr>
        <w:t xml:space="preserve">JCP </w:t>
      </w:r>
      <w:r>
        <w:rPr>
          <w:rFonts w:ascii="Times New Roman" w:hAnsi="Times New Roman" w:cs="Times New Roman"/>
          <w:sz w:val="24"/>
          <w:szCs w:val="24"/>
          <w:lang w:val="en-GB"/>
        </w:rPr>
        <w:t xml:space="preserve">was originally developed in 2009 and has been used to establish the eligibility of activities with respect to assistance provided under the RET scheme. The process for assessing activities and defining the technical aspects of the activities, including setting assistance rates and </w:t>
      </w:r>
      <w:proofErr w:type="spellStart"/>
      <w:r>
        <w:rPr>
          <w:rFonts w:ascii="Times New Roman" w:hAnsi="Times New Roman" w:cs="Times New Roman"/>
          <w:sz w:val="24"/>
          <w:szCs w:val="24"/>
          <w:lang w:val="en-GB"/>
        </w:rPr>
        <w:t>allocative</w:t>
      </w:r>
      <w:proofErr w:type="spellEnd"/>
      <w:r>
        <w:rPr>
          <w:rFonts w:ascii="Times New Roman" w:hAnsi="Times New Roman" w:cs="Times New Roman"/>
          <w:sz w:val="24"/>
          <w:szCs w:val="24"/>
          <w:lang w:val="en-GB"/>
        </w:rPr>
        <w:t xml:space="preserve"> baselines, is outlined in the paper</w:t>
      </w:r>
      <w:r w:rsidR="004A5BB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Establishing the eligibility of activities under the Jobs and Competitiveness Program.</w:t>
      </w:r>
    </w:p>
    <w:p w:rsidR="004A7382" w:rsidRDefault="004A7382" w:rsidP="004A7382">
      <w:pPr>
        <w:keepLines/>
      </w:pPr>
      <w:r>
        <w:t>The formal process for defining and determining the eligibility of an EITE activity involves a stakeholder workshop to formulate</w:t>
      </w:r>
      <w:r w:rsidR="009D60F0">
        <w:t xml:space="preserve"> </w:t>
      </w:r>
      <w:r>
        <w:t>appropriate activity definitions and boundar</w:t>
      </w:r>
      <w:r w:rsidR="009D60F0">
        <w:t>ies</w:t>
      </w:r>
      <w:r>
        <w:t>, and approval of the activity definition</w:t>
      </w:r>
      <w:r w:rsidR="009D60F0">
        <w:t>s</w:t>
      </w:r>
      <w:r>
        <w:t xml:space="preserve"> by the relevant Minister for the purposes of data collection. Audited data based on the approved definition is then submitted to the Australian Government. If determined to be eligible, stakeholders in the relevant industry are consulted on the drafting of the definitions to be included in the Regulations to ensure that the structure of the definitions generally reflects how the activities are conducted. This process has been followed for the </w:t>
      </w:r>
      <w:bookmarkStart w:id="1" w:name="OLE_LINK1"/>
      <w:bookmarkStart w:id="2" w:name="OLE_LINK2"/>
      <w:r w:rsidR="003E08A3">
        <w:t xml:space="preserve">ferrovanadium and meat rendering </w:t>
      </w:r>
      <w:bookmarkEnd w:id="1"/>
      <w:bookmarkEnd w:id="2"/>
      <w:r>
        <w:t>activit</w:t>
      </w:r>
      <w:r w:rsidR="00517A9A">
        <w:t>ies</w:t>
      </w:r>
      <w:r>
        <w:t>.</w:t>
      </w:r>
    </w:p>
    <w:p w:rsidR="004A7382" w:rsidRPr="003E08A3" w:rsidRDefault="004A7382" w:rsidP="003E08A3">
      <w:pPr>
        <w:keepLines/>
      </w:pPr>
      <w:r w:rsidRPr="003E08A3">
        <w:t xml:space="preserve">The Department has consulted with the </w:t>
      </w:r>
      <w:r w:rsidR="003E08A3">
        <w:t xml:space="preserve">ferrovanadium and meat rendering </w:t>
      </w:r>
      <w:r w:rsidRPr="003E08A3">
        <w:t xml:space="preserve">industries regarding the inclusion of the </w:t>
      </w:r>
      <w:r w:rsidR="003E08A3">
        <w:t xml:space="preserve">ferrovanadium and meat rendering </w:t>
      </w:r>
      <w:r w:rsidRPr="003E08A3">
        <w:t>activities throughout the process of developing the Regulation.</w:t>
      </w:r>
    </w:p>
    <w:p w:rsidR="004A7382" w:rsidRDefault="004A7382" w:rsidP="004A7382">
      <w:pPr>
        <w:spacing w:before="120" w:after="200"/>
      </w:pPr>
    </w:p>
    <w:p w:rsidR="00904B2C" w:rsidRPr="00552A87" w:rsidRDefault="00904B2C" w:rsidP="00904B2C">
      <w:pPr>
        <w:pStyle w:val="Bullet"/>
        <w:numPr>
          <w:ilvl w:val="0"/>
          <w:numId w:val="0"/>
        </w:numPr>
        <w:ind w:left="1440" w:hanging="1440"/>
        <w:rPr>
          <w:lang w:val="en-US"/>
        </w:rPr>
      </w:pPr>
      <w:r w:rsidRPr="00BB45F3">
        <w:rPr>
          <w:u w:val="single"/>
        </w:rPr>
        <w:t>Authority</w:t>
      </w:r>
      <w:r>
        <w:rPr>
          <w:u w:val="single"/>
        </w:rPr>
        <w:t>:</w:t>
      </w:r>
      <w:r>
        <w:rPr>
          <w:lang w:val="en-US"/>
        </w:rPr>
        <w:tab/>
      </w:r>
      <w:r w:rsidRPr="00552A87">
        <w:rPr>
          <w:lang w:val="en-US"/>
        </w:rPr>
        <w:t xml:space="preserve">Section 312 of the </w:t>
      </w:r>
      <w:r w:rsidRPr="00516C0A">
        <w:rPr>
          <w:i/>
          <w:lang w:val="en-US"/>
        </w:rPr>
        <w:t xml:space="preserve">Clean Energy </w:t>
      </w:r>
      <w:r w:rsidRPr="00516C0A">
        <w:rPr>
          <w:i/>
          <w:iCs/>
        </w:rPr>
        <w:t>Act 2011</w:t>
      </w:r>
      <w:r w:rsidRPr="00552A87">
        <w:rPr>
          <w:iCs/>
        </w:rPr>
        <w:t xml:space="preserve">, as continued in force by </w:t>
      </w:r>
      <w:r w:rsidRPr="00552A87">
        <w:t xml:space="preserve">section 323 of the </w:t>
      </w:r>
      <w:r w:rsidRPr="00516C0A">
        <w:rPr>
          <w:i/>
        </w:rPr>
        <w:t>Clean Energy Legislation (Carbon Tax Repeal) Act 2014</w:t>
      </w:r>
    </w:p>
    <w:p w:rsidR="00904B2C" w:rsidRDefault="00904B2C" w:rsidP="00904B2C">
      <w:pPr>
        <w:pStyle w:val="Bullet"/>
        <w:numPr>
          <w:ilvl w:val="0"/>
          <w:numId w:val="0"/>
        </w:numPr>
        <w:ind w:left="720" w:firstLine="720"/>
        <w:rPr>
          <w:lang w:val="en-US"/>
        </w:rPr>
      </w:pPr>
      <w:r>
        <w:rPr>
          <w:lang w:val="en-US"/>
        </w:rPr>
        <w:t xml:space="preserve">Section 161 of the </w:t>
      </w:r>
      <w:r w:rsidRPr="00516C0A">
        <w:rPr>
          <w:i/>
          <w:lang w:val="en-US"/>
        </w:rPr>
        <w:t>Renewable Energy (Electricity) Act 2000</w:t>
      </w:r>
    </w:p>
    <w:p w:rsidR="004A7382" w:rsidRDefault="004A7382" w:rsidP="00956BCB">
      <w:pPr>
        <w:widowControl/>
        <w:autoSpaceDE/>
        <w:adjustRightInd/>
        <w:spacing w:before="0" w:after="0"/>
        <w:jc w:val="right"/>
        <w:rPr>
          <w:b/>
          <w:bCs/>
          <w:u w:val="single"/>
        </w:rPr>
      </w:pPr>
      <w:r>
        <w:rPr>
          <w:b/>
          <w:u w:val="single"/>
        </w:rPr>
        <w:br w:type="page"/>
      </w:r>
      <w:r>
        <w:rPr>
          <w:b/>
          <w:u w:val="single"/>
        </w:rPr>
        <w:lastRenderedPageBreak/>
        <w:t>Attachment A</w:t>
      </w:r>
    </w:p>
    <w:p w:rsidR="00AE184C" w:rsidRPr="00AE184C" w:rsidRDefault="00AE184C" w:rsidP="00AE184C">
      <w:pPr>
        <w:keepNext/>
        <w:keepLines/>
        <w:rPr>
          <w:b/>
          <w:bCs/>
          <w:u w:val="single"/>
        </w:rPr>
      </w:pPr>
      <w:r w:rsidRPr="00AE184C">
        <w:rPr>
          <w:b/>
          <w:bCs/>
          <w:u w:val="single"/>
        </w:rPr>
        <w:t xml:space="preserve">Details of the </w:t>
      </w:r>
      <w:r w:rsidR="0053515F" w:rsidRPr="0053515F">
        <w:rPr>
          <w:b/>
          <w:bCs/>
          <w:i/>
          <w:u w:val="single"/>
        </w:rPr>
        <w:t>Clean Energy Legislation Amendment (2014 Measures No.1) Regulation 2014</w:t>
      </w:r>
    </w:p>
    <w:p w:rsidR="00AE184C" w:rsidRPr="00AE184C" w:rsidRDefault="00AE184C" w:rsidP="00AE184C">
      <w:pPr>
        <w:keepLines/>
        <w:spacing w:before="0"/>
        <w:ind w:right="91"/>
        <w:rPr>
          <w:b/>
        </w:rPr>
      </w:pPr>
      <w:r w:rsidRPr="00AE184C">
        <w:rPr>
          <w:b/>
        </w:rPr>
        <w:t xml:space="preserve">Section 1 – Name </w:t>
      </w:r>
    </w:p>
    <w:p w:rsidR="00AE184C" w:rsidRPr="00AE184C" w:rsidRDefault="00956BCB" w:rsidP="00AE184C">
      <w:pPr>
        <w:keepLines/>
        <w:spacing w:before="0"/>
        <w:ind w:right="91"/>
      </w:pPr>
      <w:r w:rsidRPr="0053515F">
        <w:t>This s</w:t>
      </w:r>
      <w:r w:rsidR="00AE184C" w:rsidRPr="0053515F">
        <w:t xml:space="preserve">ection provides that the name of the Regulation is the </w:t>
      </w:r>
      <w:r w:rsidR="0053515F" w:rsidRPr="0053515F">
        <w:rPr>
          <w:i/>
          <w:iCs/>
        </w:rPr>
        <w:t>Clean Energy Legislation Amendment (2014 Measures No.1) Regulation 2014</w:t>
      </w:r>
      <w:r w:rsidR="00AE184C" w:rsidRPr="0053515F">
        <w:rPr>
          <w:i/>
        </w:rPr>
        <w:t xml:space="preserve"> </w:t>
      </w:r>
      <w:r w:rsidR="00AE184C" w:rsidRPr="0053515F">
        <w:t>(the Regulation).</w:t>
      </w:r>
    </w:p>
    <w:p w:rsidR="00AE184C" w:rsidRPr="00AE184C" w:rsidRDefault="00AE184C" w:rsidP="00AE184C">
      <w:pPr>
        <w:keepLines/>
        <w:spacing w:before="0"/>
        <w:ind w:right="91"/>
        <w:rPr>
          <w:b/>
        </w:rPr>
      </w:pPr>
      <w:r w:rsidRPr="00AE184C">
        <w:rPr>
          <w:b/>
        </w:rPr>
        <w:t>Section 2 – Commencement</w:t>
      </w:r>
    </w:p>
    <w:p w:rsidR="00AE184C" w:rsidRPr="00AE184C" w:rsidRDefault="00956BCB" w:rsidP="00AE184C">
      <w:pPr>
        <w:keepLines/>
        <w:spacing w:before="0"/>
        <w:ind w:right="91"/>
      </w:pPr>
      <w:r>
        <w:t>This s</w:t>
      </w:r>
      <w:r w:rsidR="005A3F36">
        <w:t xml:space="preserve">ection </w:t>
      </w:r>
      <w:r w:rsidR="00AE184C" w:rsidRPr="00AE184C">
        <w:t>provides for the Regulation to commence on the day after registration on the Federal Register of Legislative Instruments.</w:t>
      </w:r>
    </w:p>
    <w:p w:rsidR="00AE184C" w:rsidRPr="00AE184C" w:rsidRDefault="00AE184C" w:rsidP="00AE184C">
      <w:pPr>
        <w:keepLines/>
        <w:spacing w:before="0"/>
        <w:ind w:right="91"/>
        <w:rPr>
          <w:b/>
        </w:rPr>
      </w:pPr>
      <w:r w:rsidRPr="00AE184C">
        <w:rPr>
          <w:b/>
        </w:rPr>
        <w:t>Section 3 – Authority</w:t>
      </w:r>
    </w:p>
    <w:p w:rsidR="00AE184C" w:rsidRPr="00AE184C" w:rsidRDefault="00956BCB" w:rsidP="00AE184C">
      <w:pPr>
        <w:keepLines/>
        <w:spacing w:before="100" w:beforeAutospacing="1" w:after="100" w:afterAutospacing="1"/>
      </w:pPr>
      <w:r>
        <w:t>This s</w:t>
      </w:r>
      <w:r w:rsidR="005A3F36">
        <w:t xml:space="preserve">ection </w:t>
      </w:r>
      <w:r w:rsidR="00AE184C" w:rsidRPr="00AE184C">
        <w:t>specifies that the Regulation is made under the</w:t>
      </w:r>
      <w:r>
        <w:t xml:space="preserve"> authority of the </w:t>
      </w:r>
      <w:r w:rsidR="00AE184C" w:rsidRPr="00AE184C">
        <w:rPr>
          <w:i/>
        </w:rPr>
        <w:t>Clean Energy Act 2011</w:t>
      </w:r>
      <w:r w:rsidR="00AE184C" w:rsidRPr="00AE184C">
        <w:t xml:space="preserve"> (CE Act)</w:t>
      </w:r>
      <w:r w:rsidR="004A5BBD">
        <w:rPr>
          <w:rStyle w:val="FootnoteReference"/>
        </w:rPr>
        <w:footnoteReference w:id="1"/>
      </w:r>
      <w:r w:rsidR="0053515F">
        <w:t xml:space="preserve"> </w:t>
      </w:r>
      <w:r>
        <w:t xml:space="preserve">and the </w:t>
      </w:r>
      <w:r w:rsidRPr="00956BCB">
        <w:rPr>
          <w:i/>
        </w:rPr>
        <w:t>Renewable Energy (Electricity) Act 2000</w:t>
      </w:r>
      <w:r>
        <w:t xml:space="preserve"> (the RET Act)</w:t>
      </w:r>
      <w:r w:rsidR="00AE184C" w:rsidRPr="00AE184C">
        <w:t xml:space="preserve">.  </w:t>
      </w:r>
    </w:p>
    <w:p w:rsidR="00AE184C" w:rsidRPr="00AE184C" w:rsidRDefault="00AE184C" w:rsidP="00AE184C">
      <w:pPr>
        <w:keepLines/>
        <w:spacing w:before="100" w:beforeAutospacing="1" w:after="100" w:afterAutospacing="1"/>
        <w:rPr>
          <w:b/>
        </w:rPr>
      </w:pPr>
      <w:r w:rsidRPr="00AE184C">
        <w:rPr>
          <w:b/>
        </w:rPr>
        <w:t>Section 4 – Schedules</w:t>
      </w:r>
    </w:p>
    <w:p w:rsidR="00AE184C" w:rsidRPr="00AE184C" w:rsidRDefault="00956BCB" w:rsidP="00AE184C">
      <w:pPr>
        <w:keepLines/>
        <w:spacing w:before="100" w:beforeAutospacing="1" w:after="100" w:afterAutospacing="1"/>
      </w:pPr>
      <w:r>
        <w:t>This s</w:t>
      </w:r>
      <w:r w:rsidR="005A3F36">
        <w:t xml:space="preserve">ection </w:t>
      </w:r>
      <w:r w:rsidR="00AE184C" w:rsidRPr="00AE184C">
        <w:t>provides that the Regulation amends or repeals each instrument that is specified in a Schedule to the Regulation</w:t>
      </w:r>
      <w:r>
        <w:t xml:space="preserve">, and that any other item in </w:t>
      </w:r>
      <w:r w:rsidR="00817334">
        <w:t xml:space="preserve">a </w:t>
      </w:r>
      <w:r>
        <w:t xml:space="preserve">Schedule </w:t>
      </w:r>
      <w:r w:rsidR="00817334">
        <w:t xml:space="preserve">to this Regulation </w:t>
      </w:r>
      <w:r>
        <w:t>has effect according to its terms</w:t>
      </w:r>
      <w:r w:rsidR="00AE184C" w:rsidRPr="00AE184C">
        <w:t>.</w:t>
      </w:r>
    </w:p>
    <w:p w:rsidR="00AE184C" w:rsidRPr="00F8474C" w:rsidRDefault="003C587B" w:rsidP="00AE184C">
      <w:pPr>
        <w:keepLines/>
        <w:spacing w:before="100" w:beforeAutospacing="1" w:after="100" w:afterAutospacing="1"/>
        <w:rPr>
          <w:b/>
          <w:u w:val="single"/>
        </w:rPr>
      </w:pPr>
      <w:r w:rsidRPr="00F8474C">
        <w:rPr>
          <w:b/>
          <w:u w:val="single"/>
        </w:rPr>
        <w:t>Schedule 1 - Amendments</w:t>
      </w:r>
    </w:p>
    <w:p w:rsidR="00817334" w:rsidRPr="002A0498" w:rsidRDefault="0078686C" w:rsidP="00AE184C">
      <w:pPr>
        <w:keepLines/>
        <w:spacing w:before="100" w:beforeAutospacing="1" w:after="100" w:afterAutospacing="1"/>
        <w:ind w:right="91"/>
        <w:rPr>
          <w:b/>
          <w:bCs/>
          <w:iCs/>
        </w:rPr>
      </w:pPr>
      <w:r>
        <w:rPr>
          <w:b/>
          <w:bCs/>
          <w:iCs/>
        </w:rPr>
        <w:t>PART</w:t>
      </w:r>
      <w:r w:rsidR="00817334" w:rsidRPr="002A0498">
        <w:rPr>
          <w:b/>
          <w:bCs/>
          <w:iCs/>
        </w:rPr>
        <w:t xml:space="preserve"> 1 – </w:t>
      </w:r>
      <w:r>
        <w:rPr>
          <w:b/>
          <w:bCs/>
          <w:iCs/>
        </w:rPr>
        <w:t>MAIN AMENDMENTS</w:t>
      </w:r>
    </w:p>
    <w:p w:rsidR="00AE184C" w:rsidRPr="002A0498" w:rsidRDefault="00AE184C" w:rsidP="00AE184C">
      <w:pPr>
        <w:keepLines/>
        <w:spacing w:before="100" w:beforeAutospacing="1" w:after="100" w:afterAutospacing="1"/>
        <w:ind w:right="91"/>
        <w:rPr>
          <w:b/>
        </w:rPr>
      </w:pPr>
      <w:r w:rsidRPr="002A0498">
        <w:rPr>
          <w:b/>
          <w:bCs/>
          <w:i/>
          <w:iCs/>
        </w:rPr>
        <w:t>Clean Energy Regulations 2011</w:t>
      </w:r>
    </w:p>
    <w:p w:rsidR="00817334" w:rsidRPr="00C657DC" w:rsidRDefault="00817334" w:rsidP="00AE184C">
      <w:pPr>
        <w:keepLines/>
        <w:spacing w:before="100" w:beforeAutospacing="1" w:after="100" w:afterAutospacing="1"/>
        <w:ind w:right="91"/>
        <w:rPr>
          <w:b/>
        </w:rPr>
      </w:pPr>
      <w:r w:rsidRPr="00C657DC">
        <w:rPr>
          <w:b/>
        </w:rPr>
        <w:t>Item 1 – At the end of Part 14</w:t>
      </w:r>
    </w:p>
    <w:p w:rsidR="000B79A0" w:rsidRDefault="00817334" w:rsidP="00AE184C">
      <w:pPr>
        <w:keepLines/>
        <w:spacing w:before="100" w:beforeAutospacing="1" w:after="100" w:afterAutospacing="1"/>
        <w:ind w:right="91"/>
      </w:pPr>
      <w:r w:rsidRPr="00012803">
        <w:t xml:space="preserve">This item adds a new </w:t>
      </w:r>
      <w:r w:rsidR="002A0498">
        <w:t>regulation</w:t>
      </w:r>
      <w:r w:rsidRPr="00012803">
        <w:t xml:space="preserve"> 14.5 to the record </w:t>
      </w:r>
      <w:r w:rsidR="00BA0A15">
        <w:t xml:space="preserve">keeping provisions </w:t>
      </w:r>
      <w:r w:rsidR="00A144A0">
        <w:t xml:space="preserve">in </w:t>
      </w:r>
      <w:r w:rsidR="00BA0A15">
        <w:t xml:space="preserve">Part 14 </w:t>
      </w:r>
      <w:r w:rsidRPr="00012803">
        <w:t xml:space="preserve">of the </w:t>
      </w:r>
      <w:r w:rsidRPr="00012803">
        <w:rPr>
          <w:i/>
        </w:rPr>
        <w:t>Clean Energy Regulations 2011</w:t>
      </w:r>
      <w:r w:rsidRPr="00012803">
        <w:t xml:space="preserve"> </w:t>
      </w:r>
      <w:r w:rsidR="00A144A0">
        <w:t xml:space="preserve">(the </w:t>
      </w:r>
      <w:r w:rsidR="00A90DB6">
        <w:t xml:space="preserve">CE </w:t>
      </w:r>
      <w:r w:rsidR="00A144A0">
        <w:t xml:space="preserve">Regulations) </w:t>
      </w:r>
      <w:r w:rsidRPr="00012803">
        <w:t xml:space="preserve">in relation to </w:t>
      </w:r>
      <w:r w:rsidR="00A144A0">
        <w:t xml:space="preserve">reports that are provided to the Clean Energy Regulator (the Regulator) </w:t>
      </w:r>
      <w:r w:rsidR="00691DC4">
        <w:t xml:space="preserve">for the purpose of a final </w:t>
      </w:r>
      <w:r w:rsidRPr="00012803">
        <w:t>true</w:t>
      </w:r>
      <w:r w:rsidRPr="00012803">
        <w:noBreakHyphen/>
        <w:t xml:space="preserve">up </w:t>
      </w:r>
      <w:r w:rsidR="00691DC4">
        <w:t>of 2013</w:t>
      </w:r>
      <w:r w:rsidR="00691DC4">
        <w:noBreakHyphen/>
        <w:t>14 allocations</w:t>
      </w:r>
      <w:r w:rsidRPr="00012803">
        <w:t xml:space="preserve"> </w:t>
      </w:r>
      <w:r w:rsidR="00012803" w:rsidRPr="00012803">
        <w:t xml:space="preserve">under the Jobs and Competitiveness Program </w:t>
      </w:r>
      <w:r w:rsidR="00012803">
        <w:t>(JCP)</w:t>
      </w:r>
      <w:r w:rsidR="00A90DB6">
        <w:t>.</w:t>
      </w:r>
    </w:p>
    <w:p w:rsidR="000B79A0" w:rsidRDefault="000B79A0" w:rsidP="00AE184C">
      <w:pPr>
        <w:keepLines/>
        <w:spacing w:before="100" w:beforeAutospacing="1" w:after="100" w:afterAutospacing="1"/>
        <w:ind w:right="91"/>
      </w:pPr>
    </w:p>
    <w:p w:rsidR="00BA5055" w:rsidRDefault="00A90DB6" w:rsidP="00AE184C">
      <w:pPr>
        <w:keepLines/>
        <w:spacing w:before="100" w:beforeAutospacing="1" w:after="100" w:afterAutospacing="1"/>
        <w:ind w:right="91"/>
      </w:pPr>
      <w:r>
        <w:lastRenderedPageBreak/>
        <w:t>T</w:t>
      </w:r>
      <w:r w:rsidR="00817334" w:rsidRPr="00012803">
        <w:t xml:space="preserve">he </w:t>
      </w:r>
      <w:r w:rsidR="00817334" w:rsidRPr="00691DC4">
        <w:rPr>
          <w:i/>
        </w:rPr>
        <w:t>Clean Energy Legislation (Carbon Tax Repeal) (Jobs and Competitiveness Program) Rules 2014</w:t>
      </w:r>
      <w:r w:rsidR="00817334" w:rsidRPr="00012803">
        <w:t xml:space="preserve"> (the </w:t>
      </w:r>
      <w:proofErr w:type="spellStart"/>
      <w:r w:rsidR="00817334" w:rsidRPr="00012803">
        <w:t>JCP</w:t>
      </w:r>
      <w:proofErr w:type="spellEnd"/>
      <w:r w:rsidR="00817334" w:rsidRPr="00012803">
        <w:t xml:space="preserve"> </w:t>
      </w:r>
      <w:r w:rsidR="00012803">
        <w:t>T</w:t>
      </w:r>
      <w:r w:rsidR="00817334" w:rsidRPr="00012803">
        <w:t>rue</w:t>
      </w:r>
      <w:r w:rsidR="00817334" w:rsidRPr="00012803">
        <w:noBreakHyphen/>
        <w:t>up Rules)</w:t>
      </w:r>
      <w:r w:rsidR="00012803" w:rsidRPr="00012803">
        <w:t xml:space="preserve"> provide for </w:t>
      </w:r>
      <w:r w:rsidR="00BA0A15">
        <w:t xml:space="preserve">a final adjustment to be made to </w:t>
      </w:r>
      <w:r w:rsidR="00012803">
        <w:t>JCP allocations for 2013</w:t>
      </w:r>
      <w:r w:rsidR="00012803">
        <w:noBreakHyphen/>
        <w:t>14</w:t>
      </w:r>
      <w:r w:rsidR="00BA0A15">
        <w:t xml:space="preserve">, </w:t>
      </w:r>
      <w:r w:rsidR="00012803">
        <w:t xml:space="preserve">given that the adjustment </w:t>
      </w:r>
      <w:r w:rsidR="00BA0A15">
        <w:t xml:space="preserve">which </w:t>
      </w:r>
      <w:r w:rsidR="00012803">
        <w:t>would have occurred in the subsequent year</w:t>
      </w:r>
      <w:r w:rsidR="00BA0A15">
        <w:t xml:space="preserve">’s </w:t>
      </w:r>
      <w:r w:rsidR="00012803">
        <w:t xml:space="preserve">application </w:t>
      </w:r>
      <w:r w:rsidR="00BA0A15">
        <w:t>will no longer occur following the repeal of the carbon tax legislation.</w:t>
      </w:r>
    </w:p>
    <w:p w:rsidR="00817334" w:rsidRDefault="00BA0A15" w:rsidP="00AE184C">
      <w:pPr>
        <w:keepLines/>
        <w:spacing w:before="100" w:beforeAutospacing="1" w:after="100" w:afterAutospacing="1"/>
        <w:ind w:right="91"/>
      </w:pPr>
      <w:r>
        <w:t xml:space="preserve">This item </w:t>
      </w:r>
      <w:r w:rsidR="00A144A0">
        <w:t xml:space="preserve">requires that a person </w:t>
      </w:r>
      <w:r w:rsidR="00826DC8">
        <w:t>who</w:t>
      </w:r>
      <w:r w:rsidR="00A144A0">
        <w:t xml:space="preserve"> gives the Regulator a report or further information </w:t>
      </w:r>
      <w:r>
        <w:t xml:space="preserve">for the purpose of </w:t>
      </w:r>
      <w:r w:rsidR="00A144A0">
        <w:t>a final true</w:t>
      </w:r>
      <w:r w:rsidR="00A144A0">
        <w:noBreakHyphen/>
      </w:r>
      <w:r w:rsidR="00691DC4">
        <w:t xml:space="preserve">up under the </w:t>
      </w:r>
      <w:proofErr w:type="spellStart"/>
      <w:r w:rsidR="00691DC4">
        <w:t>JCP</w:t>
      </w:r>
      <w:proofErr w:type="spellEnd"/>
      <w:r w:rsidR="00691DC4">
        <w:t xml:space="preserve"> True</w:t>
      </w:r>
      <w:r w:rsidR="00691DC4">
        <w:noBreakHyphen/>
        <w:t xml:space="preserve">up Rules </w:t>
      </w:r>
      <w:r w:rsidR="00A144A0">
        <w:t>must keep a record of that document</w:t>
      </w:r>
      <w:r>
        <w:t>.</w:t>
      </w:r>
      <w:r w:rsidR="00A144A0">
        <w:t xml:space="preserve"> Similar record keeping requirements apply to JCP applications in Schedule</w:t>
      </w:r>
      <w:r w:rsidR="00691DC4">
        <w:t> </w:t>
      </w:r>
      <w:r w:rsidR="00A144A0">
        <w:t xml:space="preserve">1 of the </w:t>
      </w:r>
      <w:r w:rsidR="00BA644F">
        <w:t>CE </w:t>
      </w:r>
      <w:r w:rsidR="00A144A0">
        <w:t>Regul</w:t>
      </w:r>
      <w:r w:rsidR="00691DC4">
        <w:t>a</w:t>
      </w:r>
      <w:r w:rsidR="00A144A0">
        <w:t>tions.</w:t>
      </w:r>
    </w:p>
    <w:p w:rsidR="00C657DC" w:rsidRPr="006D10DB" w:rsidRDefault="00C657DC" w:rsidP="00AE184C">
      <w:pPr>
        <w:keepLines/>
        <w:spacing w:before="100" w:beforeAutospacing="1" w:after="100" w:afterAutospacing="1"/>
        <w:ind w:right="91"/>
        <w:rPr>
          <w:b/>
        </w:rPr>
      </w:pPr>
      <w:r w:rsidRPr="006D10DB">
        <w:rPr>
          <w:b/>
        </w:rPr>
        <w:t>Item 2 – After paragraph 337(4)(c) of Schedule 1</w:t>
      </w:r>
    </w:p>
    <w:p w:rsidR="00900884" w:rsidRDefault="00C657DC" w:rsidP="00AE184C">
      <w:pPr>
        <w:keepLines/>
        <w:spacing w:before="100" w:beforeAutospacing="1" w:after="100" w:afterAutospacing="1"/>
        <w:ind w:right="91"/>
      </w:pPr>
      <w:r w:rsidRPr="006D10DB">
        <w:t>This item inserts a new condition under the description of relevant product in the ‘production of magnetite concentrate’ eligible activity</w:t>
      </w:r>
      <w:r w:rsidR="00826DC8">
        <w:t xml:space="preserve">. It is intended </w:t>
      </w:r>
      <w:r w:rsidRPr="006D10DB">
        <w:t xml:space="preserve">to clarify that any magnetite concentrate that is included as relevant product </w:t>
      </w:r>
      <w:r w:rsidR="00826DC8">
        <w:t xml:space="preserve">for the </w:t>
      </w:r>
      <w:r w:rsidRPr="006D10DB">
        <w:t>issu</w:t>
      </w:r>
      <w:r w:rsidR="00826DC8">
        <w:t>e of</w:t>
      </w:r>
      <w:r w:rsidRPr="006D10DB">
        <w:t xml:space="preserve"> free carbon units under the magnetite concentrate activity is </w:t>
      </w:r>
      <w:r w:rsidR="006D10DB" w:rsidRPr="006D10DB">
        <w:t>not also able to be the same magnetite concentrate that is further refined to produce ferrovanadium under the ‘production of ferrovanadium’ activity.</w:t>
      </w:r>
    </w:p>
    <w:p w:rsidR="00C657DC" w:rsidRPr="006D10DB" w:rsidRDefault="00900884" w:rsidP="00AE184C">
      <w:pPr>
        <w:keepLines/>
        <w:spacing w:before="100" w:beforeAutospacing="1" w:after="100" w:afterAutospacing="1"/>
        <w:ind w:right="91"/>
      </w:pPr>
      <w:r>
        <w:t>This item is intended to prevent double dipping of assistance by clarifying that any output of magnetite concentrate that is eligible for assistance as relevant product under the ‘production of magnetite concentrate’ activity is not also eligible to be used in the ‘production of ferrovanadium’ activity.</w:t>
      </w:r>
    </w:p>
    <w:p w:rsidR="003C587B" w:rsidRPr="001C338B" w:rsidRDefault="003C587B" w:rsidP="00AE184C">
      <w:pPr>
        <w:keepLines/>
        <w:spacing w:before="100" w:beforeAutospacing="1" w:after="100" w:afterAutospacing="1"/>
        <w:ind w:right="91"/>
        <w:rPr>
          <w:b/>
        </w:rPr>
      </w:pPr>
      <w:r w:rsidRPr="001C338B">
        <w:rPr>
          <w:b/>
        </w:rPr>
        <w:t xml:space="preserve">Item </w:t>
      </w:r>
      <w:r w:rsidR="006D10DB" w:rsidRPr="001C338B">
        <w:rPr>
          <w:b/>
        </w:rPr>
        <w:t>3</w:t>
      </w:r>
      <w:r w:rsidRPr="001C338B">
        <w:rPr>
          <w:b/>
        </w:rPr>
        <w:t xml:space="preserve"> – </w:t>
      </w:r>
      <w:r w:rsidR="006D10DB" w:rsidRPr="001C338B">
        <w:rPr>
          <w:b/>
        </w:rPr>
        <w:t>Paragraph</w:t>
      </w:r>
      <w:r w:rsidRPr="001C338B">
        <w:rPr>
          <w:b/>
        </w:rPr>
        <w:t xml:space="preserve"> 3</w:t>
      </w:r>
      <w:r w:rsidR="00F8474C" w:rsidRPr="001C338B">
        <w:rPr>
          <w:b/>
        </w:rPr>
        <w:t>52</w:t>
      </w:r>
      <w:r w:rsidRPr="001C338B">
        <w:rPr>
          <w:b/>
        </w:rPr>
        <w:t>(1)</w:t>
      </w:r>
      <w:r w:rsidR="006D10DB" w:rsidRPr="001C338B">
        <w:rPr>
          <w:b/>
        </w:rPr>
        <w:t>(b)</w:t>
      </w:r>
      <w:r w:rsidRPr="001C338B">
        <w:rPr>
          <w:b/>
        </w:rPr>
        <w:t xml:space="preserve"> of Schedule 1</w:t>
      </w:r>
    </w:p>
    <w:p w:rsidR="001C338B" w:rsidRDefault="003C587B" w:rsidP="00520807">
      <w:pPr>
        <w:keepLines/>
        <w:spacing w:before="100" w:beforeAutospacing="1" w:after="100" w:afterAutospacing="1"/>
      </w:pPr>
      <w:r w:rsidRPr="00520807">
        <w:t xml:space="preserve">This item replaces </w:t>
      </w:r>
      <w:r w:rsidR="006D10DB">
        <w:t xml:space="preserve">paragraph </w:t>
      </w:r>
      <w:r w:rsidRPr="00520807">
        <w:t>3</w:t>
      </w:r>
      <w:r w:rsidR="00E11D5D" w:rsidRPr="00520807">
        <w:t>52</w:t>
      </w:r>
      <w:r w:rsidRPr="00520807">
        <w:t>(1)</w:t>
      </w:r>
      <w:r w:rsidR="006D10DB">
        <w:t xml:space="preserve">(b) in the </w:t>
      </w:r>
      <w:r w:rsidRPr="00520807">
        <w:t xml:space="preserve">description of the </w:t>
      </w:r>
      <w:r w:rsidR="006D10DB">
        <w:t>‘</w:t>
      </w:r>
      <w:r w:rsidR="00E11D5D" w:rsidRPr="00520807">
        <w:t>production of coal char</w:t>
      </w:r>
      <w:r w:rsidR="006D10DB">
        <w:t>’</w:t>
      </w:r>
      <w:r w:rsidR="00E11D5D" w:rsidRPr="00520807">
        <w:t xml:space="preserve"> activity</w:t>
      </w:r>
      <w:r w:rsidRPr="00520807">
        <w:t xml:space="preserve"> with a new </w:t>
      </w:r>
      <w:r w:rsidR="006D10DB">
        <w:t xml:space="preserve">paragraph </w:t>
      </w:r>
      <w:r w:rsidRPr="00520807">
        <w:t>3</w:t>
      </w:r>
      <w:r w:rsidR="00E11D5D" w:rsidRPr="00520807">
        <w:t>52</w:t>
      </w:r>
      <w:r w:rsidRPr="00520807">
        <w:t>(1)</w:t>
      </w:r>
      <w:r w:rsidR="006D10DB">
        <w:t>(b)</w:t>
      </w:r>
      <w:r w:rsidR="00826DC8">
        <w:t xml:space="preserve">. This new </w:t>
      </w:r>
      <w:r w:rsidR="00D26AD0">
        <w:t xml:space="preserve">paragraph replaces the </w:t>
      </w:r>
      <w:r w:rsidR="00E11D5D" w:rsidRPr="00520807">
        <w:t xml:space="preserve">criteria that the output exhibits a </w:t>
      </w:r>
      <w:r w:rsidR="00BA644F">
        <w:t xml:space="preserve">certain </w:t>
      </w:r>
      <w:r w:rsidR="00E11D5D" w:rsidRPr="00520807">
        <w:t>silicon dioxide reactivity</w:t>
      </w:r>
      <w:r w:rsidR="006D10DB">
        <w:t xml:space="preserve"> </w:t>
      </w:r>
      <w:r w:rsidR="00D26AD0">
        <w:t xml:space="preserve">with </w:t>
      </w:r>
      <w:r w:rsidR="00E11D5D" w:rsidRPr="00520807">
        <w:t xml:space="preserve">a new specification </w:t>
      </w:r>
      <w:r w:rsidR="00826DC8">
        <w:t xml:space="preserve">that the coal </w:t>
      </w:r>
      <w:r w:rsidR="00E11D5D" w:rsidRPr="00520807">
        <w:t>char has a fixed carbon content of greater than or equal to 92</w:t>
      </w:r>
      <w:r w:rsidR="00CA1265">
        <w:t> per cent</w:t>
      </w:r>
      <w:r w:rsidR="00E11D5D" w:rsidRPr="00520807">
        <w:t xml:space="preserve"> after production</w:t>
      </w:r>
      <w:r w:rsidRPr="00520807">
        <w:t>.</w:t>
      </w:r>
    </w:p>
    <w:p w:rsidR="00520807" w:rsidRPr="00520807" w:rsidRDefault="00CA1265" w:rsidP="00520807">
      <w:pPr>
        <w:keepLines/>
        <w:spacing w:before="100" w:beforeAutospacing="1" w:after="100" w:afterAutospacing="1"/>
      </w:pPr>
      <w:r w:rsidRPr="00B330C2">
        <w:t>Item 1</w:t>
      </w:r>
      <w:r w:rsidR="00D26AD0">
        <w:t>9</w:t>
      </w:r>
      <w:r w:rsidRPr="00B330C2">
        <w:t xml:space="preserve"> </w:t>
      </w:r>
      <w:r w:rsidR="00826DC8">
        <w:t xml:space="preserve">outlined below clarifies </w:t>
      </w:r>
      <w:r w:rsidRPr="00B330C2">
        <w:t>that the</w:t>
      </w:r>
      <w:r w:rsidR="00520807" w:rsidRPr="00B330C2">
        <w:t xml:space="preserve"> new description of the </w:t>
      </w:r>
      <w:r w:rsidRPr="00B330C2">
        <w:t xml:space="preserve">coal char output </w:t>
      </w:r>
      <w:r w:rsidR="001C338B" w:rsidRPr="00B330C2">
        <w:t xml:space="preserve">produced in undertaking the activity </w:t>
      </w:r>
      <w:r w:rsidR="00520807" w:rsidRPr="00B330C2">
        <w:t xml:space="preserve">applies to </w:t>
      </w:r>
      <w:r w:rsidR="001C338B" w:rsidRPr="00B330C2">
        <w:t>J</w:t>
      </w:r>
      <w:r w:rsidR="00520807" w:rsidRPr="00B330C2">
        <w:t>CP applications that have been made for the years 2012</w:t>
      </w:r>
      <w:r w:rsidR="00520807" w:rsidRPr="00B330C2">
        <w:noBreakHyphen/>
        <w:t>13 and 2013</w:t>
      </w:r>
      <w:r w:rsidR="00520807" w:rsidRPr="00B330C2">
        <w:noBreakHyphen/>
        <w:t>14.</w:t>
      </w:r>
      <w:r w:rsidR="00520807">
        <w:t xml:space="preserve"> </w:t>
      </w:r>
    </w:p>
    <w:p w:rsidR="003C587B" w:rsidRPr="001C338B" w:rsidRDefault="003C587B" w:rsidP="003C587B">
      <w:pPr>
        <w:keepLines/>
        <w:spacing w:before="100" w:beforeAutospacing="1" w:after="100" w:afterAutospacing="1"/>
        <w:ind w:right="91"/>
        <w:rPr>
          <w:b/>
        </w:rPr>
      </w:pPr>
      <w:r w:rsidRPr="001C338B">
        <w:rPr>
          <w:b/>
        </w:rPr>
        <w:t xml:space="preserve">Item </w:t>
      </w:r>
      <w:r w:rsidR="00CA1265" w:rsidRPr="001C338B">
        <w:rPr>
          <w:b/>
        </w:rPr>
        <w:t>4</w:t>
      </w:r>
      <w:r w:rsidRPr="001C338B">
        <w:rPr>
          <w:b/>
        </w:rPr>
        <w:t xml:space="preserve"> – </w:t>
      </w:r>
      <w:r w:rsidR="00CA1265" w:rsidRPr="001C338B">
        <w:rPr>
          <w:b/>
        </w:rPr>
        <w:t>Paragraph</w:t>
      </w:r>
      <w:r w:rsidRPr="001C338B">
        <w:rPr>
          <w:b/>
        </w:rPr>
        <w:t xml:space="preserve"> 3</w:t>
      </w:r>
      <w:r w:rsidR="00E11D5D" w:rsidRPr="001C338B">
        <w:rPr>
          <w:b/>
        </w:rPr>
        <w:t>52</w:t>
      </w:r>
      <w:r w:rsidRPr="001C338B">
        <w:rPr>
          <w:b/>
        </w:rPr>
        <w:t>(4)</w:t>
      </w:r>
      <w:r w:rsidR="00CA1265" w:rsidRPr="001C338B">
        <w:rPr>
          <w:b/>
        </w:rPr>
        <w:t>(b)</w:t>
      </w:r>
      <w:r w:rsidRPr="001C338B">
        <w:rPr>
          <w:b/>
        </w:rPr>
        <w:t xml:space="preserve"> of Schedule 1</w:t>
      </w:r>
    </w:p>
    <w:p w:rsidR="00DA7359" w:rsidRPr="00520807" w:rsidRDefault="00DA7359" w:rsidP="00DA7359">
      <w:pPr>
        <w:keepLines/>
        <w:spacing w:before="100" w:beforeAutospacing="1" w:after="100" w:afterAutospacing="1"/>
      </w:pPr>
      <w:r w:rsidRPr="00520807">
        <w:t>This item re</w:t>
      </w:r>
      <w:r w:rsidR="00E87CFD">
        <w:t xml:space="preserve">moves the reactivity specification in </w:t>
      </w:r>
      <w:r w:rsidR="00CA1265">
        <w:t>paragraph</w:t>
      </w:r>
      <w:r w:rsidRPr="00520807">
        <w:t xml:space="preserve"> 3</w:t>
      </w:r>
      <w:r w:rsidR="00E11D5D" w:rsidRPr="00520807">
        <w:t>52</w:t>
      </w:r>
      <w:r w:rsidRPr="00520807">
        <w:t>(4)</w:t>
      </w:r>
      <w:r w:rsidR="00CA1265">
        <w:t>(b)</w:t>
      </w:r>
      <w:r w:rsidRPr="00520807">
        <w:t xml:space="preserve">, which outlines the </w:t>
      </w:r>
      <w:r w:rsidR="00E11D5D" w:rsidRPr="00520807">
        <w:t xml:space="preserve">production of coal char </w:t>
      </w:r>
      <w:r w:rsidRPr="00520807">
        <w:t>for the purpose of describing the basis for the issue of free carbon units to eligible applicants</w:t>
      </w:r>
      <w:r w:rsidR="00E87CFD">
        <w:t>. It includes a new</w:t>
      </w:r>
      <w:r w:rsidRPr="00520807">
        <w:t xml:space="preserve"> </w:t>
      </w:r>
      <w:r w:rsidR="00CA1265">
        <w:t>paragraph</w:t>
      </w:r>
      <w:r w:rsidRPr="00520807">
        <w:t xml:space="preserve"> 3</w:t>
      </w:r>
      <w:r w:rsidR="00E11D5D" w:rsidRPr="00520807">
        <w:t>52</w:t>
      </w:r>
      <w:r w:rsidRPr="00520807">
        <w:t>(4)</w:t>
      </w:r>
      <w:r w:rsidR="00CA1265">
        <w:t>(b)</w:t>
      </w:r>
      <w:r w:rsidRPr="00520807">
        <w:t xml:space="preserve"> to</w:t>
      </w:r>
      <w:r w:rsidR="00E11D5D" w:rsidRPr="00520807">
        <w:t xml:space="preserve"> specif</w:t>
      </w:r>
      <w:r w:rsidR="00E87CFD">
        <w:t>y</w:t>
      </w:r>
      <w:r w:rsidR="00E11D5D" w:rsidRPr="00520807">
        <w:t xml:space="preserve"> </w:t>
      </w:r>
      <w:r w:rsidR="00CA1265">
        <w:t xml:space="preserve">that </w:t>
      </w:r>
      <w:r w:rsidR="00E11D5D" w:rsidRPr="00520807">
        <w:t>the coal char has a fixed carbon content of greater than or equal to 92</w:t>
      </w:r>
      <w:r w:rsidR="00C32B94" w:rsidRPr="00520807">
        <w:t> per cent</w:t>
      </w:r>
      <w:r w:rsidR="00E11D5D" w:rsidRPr="00520807">
        <w:t xml:space="preserve"> after production</w:t>
      </w:r>
      <w:r w:rsidRPr="00520807">
        <w:t xml:space="preserve">. </w:t>
      </w:r>
    </w:p>
    <w:p w:rsidR="001C338B" w:rsidRDefault="001C338B" w:rsidP="001C338B">
      <w:pPr>
        <w:keepLines/>
        <w:spacing w:before="100" w:beforeAutospacing="1" w:after="100" w:afterAutospacing="1"/>
      </w:pPr>
      <w:r w:rsidRPr="00B330C2">
        <w:t>Item 1</w:t>
      </w:r>
      <w:r w:rsidR="00D26AD0">
        <w:t>9</w:t>
      </w:r>
      <w:r w:rsidRPr="00B330C2">
        <w:t xml:space="preserve"> outline</w:t>
      </w:r>
      <w:r w:rsidR="00E87CFD">
        <w:t xml:space="preserve">d below clarifies </w:t>
      </w:r>
      <w:r w:rsidRPr="00B330C2">
        <w:t xml:space="preserve">that the new description of the coal char output </w:t>
      </w:r>
      <w:r w:rsidR="00E87CFD">
        <w:t xml:space="preserve">produced in undertaking the activity </w:t>
      </w:r>
      <w:r w:rsidRPr="00B330C2">
        <w:t>applies to JCP applications that have been made for the years 2012</w:t>
      </w:r>
      <w:r w:rsidRPr="00B330C2">
        <w:noBreakHyphen/>
        <w:t>13 and 2013</w:t>
      </w:r>
      <w:r w:rsidRPr="00B330C2">
        <w:noBreakHyphen/>
        <w:t>14.</w:t>
      </w:r>
      <w:r>
        <w:t xml:space="preserve"> </w:t>
      </w:r>
    </w:p>
    <w:p w:rsidR="00F06ACC" w:rsidRPr="00520807" w:rsidRDefault="00F06ACC" w:rsidP="001C338B">
      <w:pPr>
        <w:keepLines/>
        <w:spacing w:before="100" w:beforeAutospacing="1" w:after="100" w:afterAutospacing="1"/>
      </w:pPr>
    </w:p>
    <w:p w:rsidR="00AE184C" w:rsidRPr="001C338B" w:rsidRDefault="003C587B" w:rsidP="00AE184C">
      <w:pPr>
        <w:keepLines/>
        <w:spacing w:before="100" w:beforeAutospacing="1" w:after="100" w:afterAutospacing="1"/>
        <w:ind w:right="91"/>
        <w:rPr>
          <w:b/>
        </w:rPr>
      </w:pPr>
      <w:r w:rsidRPr="001C338B">
        <w:rPr>
          <w:b/>
        </w:rPr>
        <w:lastRenderedPageBreak/>
        <w:t xml:space="preserve">Item </w:t>
      </w:r>
      <w:r w:rsidR="001C338B" w:rsidRPr="001C338B">
        <w:rPr>
          <w:b/>
        </w:rPr>
        <w:t>5</w:t>
      </w:r>
      <w:r w:rsidRPr="001C338B">
        <w:rPr>
          <w:b/>
        </w:rPr>
        <w:t xml:space="preserve"> - </w:t>
      </w:r>
      <w:r w:rsidR="00A4641E" w:rsidRPr="001C338B">
        <w:rPr>
          <w:b/>
        </w:rPr>
        <w:t>At the end of Part 3 of Schedule 1</w:t>
      </w:r>
    </w:p>
    <w:p w:rsidR="006155A0" w:rsidRDefault="006155A0" w:rsidP="006155A0">
      <w:pPr>
        <w:ind w:right="91"/>
      </w:pPr>
      <w:r w:rsidRPr="00F479D2">
        <w:t xml:space="preserve">This item prescribes </w:t>
      </w:r>
      <w:r w:rsidR="001C338B">
        <w:t>the ‘production of ferrovanadium’</w:t>
      </w:r>
      <w:r w:rsidR="00DA7359" w:rsidRPr="00F479D2">
        <w:t xml:space="preserve"> </w:t>
      </w:r>
      <w:r w:rsidRPr="00F479D2">
        <w:t xml:space="preserve">as </w:t>
      </w:r>
      <w:r w:rsidR="00E11D5D" w:rsidRPr="00F479D2">
        <w:t xml:space="preserve">an </w:t>
      </w:r>
      <w:r w:rsidR="001C338B">
        <w:t>eligible emissions</w:t>
      </w:r>
      <w:r w:rsidR="001C338B">
        <w:noBreakHyphen/>
      </w:r>
      <w:r w:rsidRPr="00F479D2">
        <w:t>intensive trade</w:t>
      </w:r>
      <w:r w:rsidR="00A4269B">
        <w:noBreakHyphen/>
      </w:r>
      <w:r w:rsidRPr="00F479D2">
        <w:t>exposed (</w:t>
      </w:r>
      <w:proofErr w:type="spellStart"/>
      <w:r w:rsidRPr="00F479D2">
        <w:t>EITE</w:t>
      </w:r>
      <w:proofErr w:type="spellEnd"/>
      <w:r w:rsidRPr="00F479D2">
        <w:t>) activit</w:t>
      </w:r>
      <w:r w:rsidR="00E11D5D" w:rsidRPr="00F479D2">
        <w:t>y</w:t>
      </w:r>
      <w:r w:rsidRPr="00F479D2">
        <w:t xml:space="preserve"> for free carbon units under </w:t>
      </w:r>
      <w:r w:rsidR="00DA7359" w:rsidRPr="00F479D2">
        <w:t>the JCP</w:t>
      </w:r>
      <w:r w:rsidR="001C338B">
        <w:t xml:space="preserve"> for the period in which the JCP operated (2012</w:t>
      </w:r>
      <w:r w:rsidR="001C338B">
        <w:noBreakHyphen/>
        <w:t>13 and 2013</w:t>
      </w:r>
      <w:r w:rsidR="001C338B">
        <w:noBreakHyphen/>
        <w:t>14)</w:t>
      </w:r>
      <w:r w:rsidRPr="00F479D2">
        <w:t>.</w:t>
      </w:r>
    </w:p>
    <w:p w:rsidR="008D0B16" w:rsidRPr="00F479D2" w:rsidRDefault="001C338B" w:rsidP="00051FC3">
      <w:pPr>
        <w:spacing w:after="0"/>
        <w:ind w:right="91"/>
        <w:rPr>
          <w:i/>
        </w:rPr>
      </w:pPr>
      <w:r>
        <w:rPr>
          <w:i/>
        </w:rPr>
        <w:t>Division 53</w:t>
      </w:r>
      <w:r w:rsidR="008D0B16" w:rsidRPr="00F479D2">
        <w:rPr>
          <w:i/>
        </w:rPr>
        <w:t xml:space="preserve"> – Production of </w:t>
      </w:r>
      <w:r w:rsidR="00E11D5D" w:rsidRPr="00F479D2">
        <w:rPr>
          <w:i/>
        </w:rPr>
        <w:t>ferrovanadium</w:t>
      </w:r>
    </w:p>
    <w:p w:rsidR="00F87285" w:rsidRPr="00F479D2" w:rsidRDefault="00A4269B" w:rsidP="00030D32">
      <w:pPr>
        <w:spacing w:after="0"/>
        <w:ind w:right="91"/>
      </w:pPr>
      <w:r>
        <w:t>Sub</w:t>
      </w:r>
      <w:r w:rsidR="009072D9">
        <w:t>clause</w:t>
      </w:r>
      <w:r>
        <w:t xml:space="preserve"> </w:t>
      </w:r>
      <w:r w:rsidR="006155A0" w:rsidRPr="00F479D2">
        <w:t>3</w:t>
      </w:r>
      <w:r w:rsidR="00051FC3" w:rsidRPr="00F479D2">
        <w:t>5</w:t>
      </w:r>
      <w:r w:rsidR="00E11D5D" w:rsidRPr="00F479D2">
        <w:t>3</w:t>
      </w:r>
      <w:r>
        <w:t>(1)</w:t>
      </w:r>
      <w:r w:rsidR="006155A0" w:rsidRPr="00F479D2">
        <w:t xml:space="preserve"> provides that the production of </w:t>
      </w:r>
      <w:r w:rsidR="00E11D5D" w:rsidRPr="00F479D2">
        <w:t xml:space="preserve">ferrovanadium </w:t>
      </w:r>
      <w:r w:rsidR="006155A0" w:rsidRPr="00F479D2">
        <w:t xml:space="preserve">is </w:t>
      </w:r>
      <w:r w:rsidR="00030D32" w:rsidRPr="00F479D2">
        <w:t>the physical and chemical transformation of magnetite ore (ore containing Fe</w:t>
      </w:r>
      <w:r w:rsidR="00030D32" w:rsidRPr="00F479D2">
        <w:rPr>
          <w:vertAlign w:val="subscript"/>
        </w:rPr>
        <w:t>3</w:t>
      </w:r>
      <w:r w:rsidR="00030D32" w:rsidRPr="00F479D2">
        <w:t>O</w:t>
      </w:r>
      <w:r w:rsidR="00030D32" w:rsidRPr="00F479D2">
        <w:rPr>
          <w:vertAlign w:val="subscript"/>
        </w:rPr>
        <w:t>4</w:t>
      </w:r>
      <w:r w:rsidR="00030D32" w:rsidRPr="00F479D2">
        <w:t xml:space="preserve"> and mineralised vanadium compounds) combined with soda ash and other chemicals to produce saleable ferrovanadium (</w:t>
      </w:r>
      <w:proofErr w:type="spellStart"/>
      <w:r w:rsidR="00030D32" w:rsidRPr="00F479D2">
        <w:t>FeV</w:t>
      </w:r>
      <w:proofErr w:type="spellEnd"/>
      <w:r w:rsidR="00030D32" w:rsidRPr="00F479D2">
        <w:t>) where the concentration of vanadium (V) is equal to or greater than 75 per cent.</w:t>
      </w:r>
    </w:p>
    <w:p w:rsidR="00051FC3" w:rsidRPr="00F479D2" w:rsidRDefault="00030D32" w:rsidP="00511374">
      <w:pPr>
        <w:spacing w:after="0"/>
        <w:ind w:right="91"/>
      </w:pPr>
      <w:r w:rsidRPr="00F479D2">
        <w:t xml:space="preserve">Vanadium is </w:t>
      </w:r>
      <w:r w:rsidR="00CB2473" w:rsidRPr="00F479D2">
        <w:t xml:space="preserve">a </w:t>
      </w:r>
      <w:r w:rsidRPr="00F479D2">
        <w:t>metal that is primarily used as a hardening agent in steel production.</w:t>
      </w:r>
    </w:p>
    <w:p w:rsidR="006155A0" w:rsidRPr="00F479D2" w:rsidRDefault="00A4269B" w:rsidP="00051FC3">
      <w:pPr>
        <w:ind w:right="91"/>
        <w:rPr>
          <w:lang w:val="en-GB"/>
        </w:rPr>
      </w:pPr>
      <w:r>
        <w:t>Sub</w:t>
      </w:r>
      <w:r w:rsidR="009072D9">
        <w:t>clauses</w:t>
      </w:r>
      <w:r>
        <w:t xml:space="preserve"> </w:t>
      </w:r>
      <w:r w:rsidRPr="00F479D2">
        <w:t>353</w:t>
      </w:r>
      <w:r>
        <w:t>(2) and (3)</w:t>
      </w:r>
      <w:r w:rsidRPr="00F479D2">
        <w:t xml:space="preserve"> provide that the production of ferrovanadium is </w:t>
      </w:r>
      <w:r>
        <w:t>an EITE activity</w:t>
      </w:r>
      <w:r w:rsidR="006155A0" w:rsidRPr="00F479D2">
        <w:rPr>
          <w:lang w:val="en-GB"/>
        </w:rPr>
        <w:t xml:space="preserve"> eligible for assistance at the </w:t>
      </w:r>
      <w:r w:rsidR="00030D32" w:rsidRPr="00F479D2">
        <w:rPr>
          <w:lang w:val="en-GB"/>
        </w:rPr>
        <w:t>highly</w:t>
      </w:r>
      <w:r w:rsidR="00051FC3" w:rsidRPr="00F479D2">
        <w:rPr>
          <w:lang w:val="en-GB"/>
        </w:rPr>
        <w:t xml:space="preserve"> </w:t>
      </w:r>
      <w:r w:rsidR="006155A0" w:rsidRPr="00F479D2">
        <w:rPr>
          <w:lang w:val="en-GB"/>
        </w:rPr>
        <w:t>emissions</w:t>
      </w:r>
      <w:r w:rsidR="006155A0" w:rsidRPr="00F479D2">
        <w:rPr>
          <w:lang w:val="en-GB"/>
        </w:rPr>
        <w:noBreakHyphen/>
        <w:t>intensive rate.</w:t>
      </w:r>
    </w:p>
    <w:p w:rsidR="00FB3560" w:rsidRPr="00F479D2" w:rsidRDefault="00FB3560" w:rsidP="00FB3560">
      <w:pPr>
        <w:ind w:right="91"/>
      </w:pPr>
      <w:r w:rsidRPr="00F479D2">
        <w:t xml:space="preserve">The inputs of the activity have been defined to include </w:t>
      </w:r>
      <w:r w:rsidR="00C32B94" w:rsidRPr="00F479D2">
        <w:t>magnetite ore, soda ash and other chemicals</w:t>
      </w:r>
      <w:r w:rsidRPr="00F479D2">
        <w:t xml:space="preserve">. The output of this activity is tonnes of </w:t>
      </w:r>
      <w:r w:rsidR="00F479D2" w:rsidRPr="00F479D2">
        <w:t>saleable ferrovanadium concentrate where the concentration of vanadium is greater than 75 per cent</w:t>
      </w:r>
      <w:r w:rsidRPr="00F479D2">
        <w:t>.</w:t>
      </w:r>
    </w:p>
    <w:p w:rsidR="00FB3560" w:rsidRPr="00670B32" w:rsidRDefault="00FB3560" w:rsidP="00FB3560">
      <w:pPr>
        <w:ind w:right="91"/>
      </w:pPr>
      <w:r w:rsidRPr="00670B32">
        <w:t xml:space="preserve">The activity does not include the extraction or production of any of the raw materials, such as </w:t>
      </w:r>
      <w:r w:rsidR="00F479D2" w:rsidRPr="00670B32">
        <w:t xml:space="preserve">magnetite ore </w:t>
      </w:r>
      <w:r w:rsidRPr="00670B32">
        <w:t>or soda ash. The activity also does not include any downstream processes such as</w:t>
      </w:r>
      <w:r w:rsidR="00ED2220" w:rsidRPr="00670B32">
        <w:t xml:space="preserve"> steel production, or ancillary activities such as </w:t>
      </w:r>
      <w:r w:rsidRPr="00670B32">
        <w:t>packaging.</w:t>
      </w:r>
    </w:p>
    <w:p w:rsidR="006155A0" w:rsidRPr="00F479D2" w:rsidRDefault="006155A0" w:rsidP="00FB3560">
      <w:pPr>
        <w:ind w:right="91"/>
      </w:pPr>
      <w:r w:rsidRPr="00F479D2">
        <w:t>Subclause 3</w:t>
      </w:r>
      <w:r w:rsidR="00B179E4" w:rsidRPr="00F479D2">
        <w:t>5</w:t>
      </w:r>
      <w:r w:rsidR="00F479D2" w:rsidRPr="00F479D2">
        <w:t>3</w:t>
      </w:r>
      <w:r w:rsidRPr="00F479D2">
        <w:t xml:space="preserve">(4) outlines that the basis of issue of free carbon units is by a </w:t>
      </w:r>
      <w:r w:rsidR="009438F1">
        <w:t xml:space="preserve">tonne of </w:t>
      </w:r>
      <w:r w:rsidR="00F479D2" w:rsidRPr="00F479D2">
        <w:t xml:space="preserve">100 per cent equivalent vanadium </w:t>
      </w:r>
      <w:r w:rsidR="009438F1">
        <w:t xml:space="preserve">concentrate </w:t>
      </w:r>
      <w:r w:rsidR="00F479D2" w:rsidRPr="00F479D2">
        <w:t>contained within saleable ferrovanadium</w:t>
      </w:r>
      <w:r w:rsidR="009438F1">
        <w:t xml:space="preserve"> that has a </w:t>
      </w:r>
      <w:r w:rsidR="00F479D2" w:rsidRPr="00F479D2">
        <w:t xml:space="preserve">concentration of vanadium </w:t>
      </w:r>
      <w:r w:rsidR="00530594">
        <w:t xml:space="preserve">equal to or </w:t>
      </w:r>
      <w:r w:rsidR="00F479D2" w:rsidRPr="00F479D2">
        <w:t>greater than 75 per cent,</w:t>
      </w:r>
      <w:r w:rsidR="008D0B16" w:rsidRPr="00F479D2">
        <w:t xml:space="preserve"> which results from carrying out the activity as described</w:t>
      </w:r>
      <w:r w:rsidRPr="00F479D2">
        <w:t>.</w:t>
      </w:r>
      <w:r w:rsidR="00ED2220">
        <w:t xml:space="preserve"> The amount of 100 per cent </w:t>
      </w:r>
      <w:r w:rsidR="00530594">
        <w:t xml:space="preserve">equivalent </w:t>
      </w:r>
      <w:r w:rsidR="00ED2220">
        <w:t xml:space="preserve">vanadium in tonnes that is contained within the ferrovanadium metal output must be measured and reported as the production amount upon which assistance will be calculated. The baselines outlined in Part 4 </w:t>
      </w:r>
      <w:r w:rsidR="00E87CFD">
        <w:t xml:space="preserve">of Schedule 1 to the CE Regulations </w:t>
      </w:r>
      <w:r w:rsidR="00ED2220">
        <w:t xml:space="preserve">relate to this 100 per cent equivalent vanadium content, not </w:t>
      </w:r>
      <w:r w:rsidR="00900884">
        <w:t xml:space="preserve">just the amount of saleable </w:t>
      </w:r>
      <w:r w:rsidR="00ED2220">
        <w:t xml:space="preserve">ferrovanadium </w:t>
      </w:r>
      <w:r w:rsidR="00900884">
        <w:t xml:space="preserve">that is </w:t>
      </w:r>
      <w:r w:rsidR="00ED2220">
        <w:t xml:space="preserve">produced. </w:t>
      </w:r>
    </w:p>
    <w:p w:rsidR="00A5662F" w:rsidRDefault="006155A0" w:rsidP="00A5662F">
      <w:r w:rsidRPr="00670B32">
        <w:t xml:space="preserve">To be eligible for assistance, the </w:t>
      </w:r>
      <w:r w:rsidR="00710E67" w:rsidRPr="00670B32">
        <w:t xml:space="preserve">ferrovanadium </w:t>
      </w:r>
      <w:r w:rsidRPr="00670B32">
        <w:t xml:space="preserve">must have been produced by carrying on the activity (as defined by </w:t>
      </w:r>
      <w:r w:rsidR="006936F0">
        <w:t>sub</w:t>
      </w:r>
      <w:r w:rsidR="009072D9">
        <w:t>clause</w:t>
      </w:r>
      <w:r w:rsidR="006936F0">
        <w:t xml:space="preserve"> </w:t>
      </w:r>
      <w:r w:rsidRPr="00670B32">
        <w:t>3</w:t>
      </w:r>
      <w:r w:rsidR="00B179E4" w:rsidRPr="00670B32">
        <w:t>5</w:t>
      </w:r>
      <w:r w:rsidR="00710E67" w:rsidRPr="00670B32">
        <w:t>3</w:t>
      </w:r>
      <w:r w:rsidR="006936F0">
        <w:t>(1)</w:t>
      </w:r>
      <w:r w:rsidRPr="00670B32">
        <w:t>)</w:t>
      </w:r>
      <w:r w:rsidR="00710E67" w:rsidRPr="00670B32">
        <w:t xml:space="preserve"> in Australia</w:t>
      </w:r>
      <w:r w:rsidRPr="00670B32">
        <w:t xml:space="preserve"> to be eligible as a relevant product.</w:t>
      </w:r>
      <w:r w:rsidR="00A5662F" w:rsidRPr="00670B32">
        <w:t xml:space="preserve"> For example, if imported </w:t>
      </w:r>
      <w:r w:rsidR="00710E67" w:rsidRPr="00670B32">
        <w:t xml:space="preserve">ferrovanadium </w:t>
      </w:r>
      <w:r w:rsidR="00A5662F" w:rsidRPr="00670B32">
        <w:t xml:space="preserve">is mixed with output produced from the activity, only the </w:t>
      </w:r>
      <w:r w:rsidR="00530594">
        <w:t xml:space="preserve">100 per cent equivalent vanadium that is contained in the </w:t>
      </w:r>
      <w:r w:rsidR="00A5662F" w:rsidRPr="00670B32">
        <w:t xml:space="preserve">proportion of </w:t>
      </w:r>
      <w:r w:rsidR="00710E67" w:rsidRPr="00670B32">
        <w:t xml:space="preserve">ferrovanadium </w:t>
      </w:r>
      <w:r w:rsidR="00A5662F" w:rsidRPr="00670B32">
        <w:t xml:space="preserve">that is an output from the activity </w:t>
      </w:r>
      <w:r w:rsidR="006936F0">
        <w:t xml:space="preserve">undertaken in Australia </w:t>
      </w:r>
      <w:r w:rsidR="00A5662F" w:rsidRPr="00670B32">
        <w:t>would be included in the tonnes of the relevant product.</w:t>
      </w:r>
      <w:r w:rsidRPr="00670B32">
        <w:t xml:space="preserve"> </w:t>
      </w:r>
    </w:p>
    <w:p w:rsidR="00FE40C8" w:rsidRDefault="008163FE" w:rsidP="00A5662F">
      <w:r>
        <w:t xml:space="preserve">Paragraph 353(4)(b) contains a reciprocal provision to that </w:t>
      </w:r>
      <w:r w:rsidR="00422C80">
        <w:t xml:space="preserve">contained </w:t>
      </w:r>
      <w:r w:rsidR="00530594">
        <w:t>in i</w:t>
      </w:r>
      <w:r>
        <w:t xml:space="preserve">tem 2 to </w:t>
      </w:r>
      <w:r w:rsidR="00606C31">
        <w:t xml:space="preserve">specify that any ferrovanadium that is </w:t>
      </w:r>
      <w:r w:rsidR="00422C80">
        <w:t xml:space="preserve">produced under the </w:t>
      </w:r>
      <w:r w:rsidR="00606C31">
        <w:t xml:space="preserve">ferrovanadium activity is not eligible output </w:t>
      </w:r>
      <w:r w:rsidR="00422C80">
        <w:t xml:space="preserve">if it is also eligible </w:t>
      </w:r>
      <w:r w:rsidR="00606C31">
        <w:t xml:space="preserve">under the production of magnetite concentrate activity. The intention is to </w:t>
      </w:r>
      <w:r>
        <w:t xml:space="preserve">clarify that any magnetite concentrate that is eligible for assistance as relevant product for the issue of free carbon units under the ‘production of magnetite concentrate’ activity </w:t>
      </w:r>
      <w:r w:rsidR="00606C31">
        <w:t xml:space="preserve">which is </w:t>
      </w:r>
      <w:r w:rsidR="00422C80">
        <w:t xml:space="preserve">then </w:t>
      </w:r>
      <w:r w:rsidR="00606C31">
        <w:t xml:space="preserve">used in the </w:t>
      </w:r>
      <w:r>
        <w:t xml:space="preserve">production of </w:t>
      </w:r>
      <w:r w:rsidR="00606C31">
        <w:t>vanadium under the ‘production of ferrovanadium’ activity</w:t>
      </w:r>
      <w:r w:rsidR="00422C80">
        <w:t xml:space="preserve"> is not eligible </w:t>
      </w:r>
      <w:r w:rsidR="00422C80">
        <w:lastRenderedPageBreak/>
        <w:t>product for the issue for free carbon units under the ‘production of ferrovanadium’ activity</w:t>
      </w:r>
      <w:r w:rsidR="00606C31">
        <w:t>.</w:t>
      </w:r>
    </w:p>
    <w:p w:rsidR="008163FE" w:rsidRDefault="00FE40C8" w:rsidP="00A5662F">
      <w:r w:rsidRPr="00670B32">
        <w:t xml:space="preserve">The ferrovanadium must be of saleable quality (as defined by </w:t>
      </w:r>
      <w:r w:rsidR="00E87CFD">
        <w:t xml:space="preserve">clause </w:t>
      </w:r>
      <w:r w:rsidRPr="00670B32">
        <w:t xml:space="preserve">202). In particular, the </w:t>
      </w:r>
      <w:r w:rsidR="00530594">
        <w:t xml:space="preserve">tonnes of 100 per cent equivalent </w:t>
      </w:r>
      <w:r w:rsidR="00530594" w:rsidRPr="00670B32">
        <w:t>vanadium</w:t>
      </w:r>
      <w:r w:rsidR="00530594">
        <w:t xml:space="preserve"> contained within saleable ferrovanadium</w:t>
      </w:r>
      <w:r w:rsidR="00530594" w:rsidRPr="00670B32">
        <w:t xml:space="preserve"> </w:t>
      </w:r>
      <w:r w:rsidRPr="00670B32">
        <w:t>which are for testing purposes and are discarded rather than saleable are not to be included in the tonnes of</w:t>
      </w:r>
      <w:r w:rsidR="00530594">
        <w:t xml:space="preserve"> relevant product eligible for assistance</w:t>
      </w:r>
      <w:r w:rsidRPr="00670B32">
        <w:t>.</w:t>
      </w:r>
    </w:p>
    <w:p w:rsidR="00F90432" w:rsidRPr="00F479D2" w:rsidRDefault="00F90432" w:rsidP="00F90432">
      <w:pPr>
        <w:spacing w:after="0"/>
        <w:ind w:right="91"/>
        <w:rPr>
          <w:i/>
        </w:rPr>
      </w:pPr>
      <w:r>
        <w:rPr>
          <w:i/>
        </w:rPr>
        <w:t>Division 54</w:t>
      </w:r>
      <w:r w:rsidRPr="00F479D2">
        <w:rPr>
          <w:i/>
        </w:rPr>
        <w:t xml:space="preserve"> – </w:t>
      </w:r>
      <w:r>
        <w:rPr>
          <w:i/>
        </w:rPr>
        <w:t>Rendering of animal by</w:t>
      </w:r>
      <w:r>
        <w:rPr>
          <w:i/>
        </w:rPr>
        <w:noBreakHyphen/>
        <w:t>products</w:t>
      </w:r>
    </w:p>
    <w:p w:rsidR="00F90432" w:rsidRPr="00F479D2" w:rsidRDefault="00F90432" w:rsidP="00F90432">
      <w:pPr>
        <w:spacing w:after="0"/>
        <w:ind w:right="91"/>
      </w:pPr>
      <w:r>
        <w:t xml:space="preserve">Subclause </w:t>
      </w:r>
      <w:r w:rsidRPr="00F479D2">
        <w:t>3</w:t>
      </w:r>
      <w:r>
        <w:t>54(1)</w:t>
      </w:r>
      <w:r w:rsidRPr="00F479D2">
        <w:t xml:space="preserve"> provides that the </w:t>
      </w:r>
      <w:r>
        <w:t>rendering of animal by</w:t>
      </w:r>
      <w:r>
        <w:noBreakHyphen/>
        <w:t xml:space="preserve">products is </w:t>
      </w:r>
      <w:r w:rsidRPr="00F479D2">
        <w:t xml:space="preserve">the </w:t>
      </w:r>
      <w:r w:rsidRPr="00E05838">
        <w:t xml:space="preserve">physical and chemical transformation of raw livestock-derived animal material, where the output of the activity is processed animal protein </w:t>
      </w:r>
      <w:r w:rsidR="00715931">
        <w:t xml:space="preserve">meal </w:t>
      </w:r>
      <w:r w:rsidRPr="00E05838">
        <w:t>(</w:t>
      </w:r>
      <w:r>
        <w:t>such as</w:t>
      </w:r>
      <w:r w:rsidRPr="00E05838">
        <w:t xml:space="preserve"> meat and bone meal, dried blood </w:t>
      </w:r>
      <w:r>
        <w:t>meal</w:t>
      </w:r>
      <w:r w:rsidR="0013490D">
        <w:t xml:space="preserve">, poultry meal </w:t>
      </w:r>
      <w:r w:rsidRPr="00E05838">
        <w:t>and feather meal) with a moisture content that does not exceed 10 per cent by weight</w:t>
      </w:r>
      <w:r>
        <w:t>,</w:t>
      </w:r>
      <w:r w:rsidRPr="00E05838">
        <w:t xml:space="preserve"> and tallow (refined fat) with a moisture</w:t>
      </w:r>
      <w:r>
        <w:t xml:space="preserve"> </w:t>
      </w:r>
      <w:r w:rsidRPr="00E05838">
        <w:t xml:space="preserve">content </w:t>
      </w:r>
      <w:r>
        <w:t>that</w:t>
      </w:r>
      <w:r w:rsidRPr="00E05838">
        <w:t xml:space="preserve"> does not exceed 4 per cent by</w:t>
      </w:r>
      <w:r>
        <w:t> </w:t>
      </w:r>
      <w:r w:rsidRPr="00E05838">
        <w:t>weight</w:t>
      </w:r>
      <w:r w:rsidRPr="00F479D2">
        <w:t>.</w:t>
      </w:r>
    </w:p>
    <w:p w:rsidR="00F90432" w:rsidRPr="00F90432" w:rsidRDefault="00F90432" w:rsidP="00F90432">
      <w:pPr>
        <w:ind w:right="91"/>
      </w:pPr>
      <w:r>
        <w:t xml:space="preserve">Subclauses </w:t>
      </w:r>
      <w:r w:rsidRPr="00F479D2">
        <w:t>35</w:t>
      </w:r>
      <w:r>
        <w:t>4(2) and (3)</w:t>
      </w:r>
      <w:r w:rsidRPr="00F479D2">
        <w:t xml:space="preserve"> provide that the </w:t>
      </w:r>
      <w:r>
        <w:t>rendering of animal by</w:t>
      </w:r>
      <w:r>
        <w:noBreakHyphen/>
        <w:t xml:space="preserve">products </w:t>
      </w:r>
      <w:r w:rsidRPr="00F479D2">
        <w:t xml:space="preserve">is </w:t>
      </w:r>
      <w:r>
        <w:t>an EITE activity</w:t>
      </w:r>
      <w:r w:rsidRPr="00F479D2">
        <w:rPr>
          <w:lang w:val="en-GB"/>
        </w:rPr>
        <w:t xml:space="preserve"> </w:t>
      </w:r>
      <w:r w:rsidRPr="00F90432">
        <w:t>eligible for assistance at the moderately emissions</w:t>
      </w:r>
      <w:r w:rsidRPr="00F90432">
        <w:noBreakHyphen/>
        <w:t>intensive rate.</w:t>
      </w:r>
    </w:p>
    <w:p w:rsidR="00F90432" w:rsidRDefault="00F90432" w:rsidP="00F90432">
      <w:pPr>
        <w:ind w:right="91"/>
      </w:pPr>
      <w:r w:rsidRPr="00F479D2">
        <w:t xml:space="preserve">The inputs of the activity have been defined to include </w:t>
      </w:r>
      <w:r w:rsidRPr="00E05838">
        <w:t>raw livestock-derived animal material</w:t>
      </w:r>
      <w:r w:rsidRPr="00F479D2">
        <w:t>. The output</w:t>
      </w:r>
      <w:r>
        <w:t>s</w:t>
      </w:r>
      <w:r w:rsidRPr="00F479D2">
        <w:t xml:space="preserve"> of this activity </w:t>
      </w:r>
      <w:r>
        <w:t>are:</w:t>
      </w:r>
    </w:p>
    <w:p w:rsidR="00F90432" w:rsidRDefault="00F90432" w:rsidP="00715931">
      <w:pPr>
        <w:pStyle w:val="ListParagraph"/>
        <w:numPr>
          <w:ilvl w:val="0"/>
          <w:numId w:val="35"/>
        </w:numPr>
        <w:ind w:right="91"/>
      </w:pPr>
      <w:r w:rsidRPr="00287771">
        <w:t xml:space="preserve">tonnes of </w:t>
      </w:r>
      <w:r>
        <w:t xml:space="preserve">saleable </w:t>
      </w:r>
      <w:r w:rsidRPr="00287771">
        <w:t>animal protein meal with a moisture content that does not exceed 10</w:t>
      </w:r>
      <w:r w:rsidR="00847C72">
        <w:t> </w:t>
      </w:r>
      <w:r w:rsidRPr="00287771">
        <w:t>per</w:t>
      </w:r>
      <w:r w:rsidR="00847C72">
        <w:t> </w:t>
      </w:r>
      <w:r w:rsidRPr="00287771">
        <w:t>cent by weight</w:t>
      </w:r>
      <w:r>
        <w:t>;</w:t>
      </w:r>
      <w:r w:rsidRPr="00287771">
        <w:t xml:space="preserve"> and </w:t>
      </w:r>
    </w:p>
    <w:p w:rsidR="00F90432" w:rsidRPr="00F479D2" w:rsidRDefault="00F90432" w:rsidP="00715931">
      <w:pPr>
        <w:pStyle w:val="ListParagraph"/>
        <w:numPr>
          <w:ilvl w:val="0"/>
          <w:numId w:val="35"/>
        </w:numPr>
        <w:ind w:right="91"/>
      </w:pPr>
      <w:r w:rsidRPr="00287771">
        <w:t>tonnes of saleable tallow with a moisture content which does not exceed 4 per cent by weight.</w:t>
      </w:r>
    </w:p>
    <w:p w:rsidR="00F90432" w:rsidRPr="00670B32" w:rsidRDefault="00F90432" w:rsidP="00F90432">
      <w:pPr>
        <w:ind w:right="91"/>
      </w:pPr>
      <w:r w:rsidRPr="00670B32">
        <w:t xml:space="preserve">The activity does not include </w:t>
      </w:r>
      <w:r w:rsidR="002B017C">
        <w:t xml:space="preserve">any </w:t>
      </w:r>
      <w:r w:rsidR="00847C72">
        <w:t xml:space="preserve">meat processing </w:t>
      </w:r>
      <w:r w:rsidR="002B017C">
        <w:t>activities</w:t>
      </w:r>
      <w:r w:rsidRPr="00670B32">
        <w:t xml:space="preserve">. The activity also does not include any downstream </w:t>
      </w:r>
      <w:r w:rsidR="00715931">
        <w:t xml:space="preserve">or ancillary </w:t>
      </w:r>
      <w:r w:rsidRPr="00670B32">
        <w:t>processes such as packaging.</w:t>
      </w:r>
    </w:p>
    <w:p w:rsidR="00F90432" w:rsidRPr="00F479D2" w:rsidRDefault="00F90432" w:rsidP="00F90432">
      <w:pPr>
        <w:ind w:right="91"/>
      </w:pPr>
      <w:r w:rsidRPr="00F479D2">
        <w:t>Subclause 35</w:t>
      </w:r>
      <w:r w:rsidR="00847C72">
        <w:t>4</w:t>
      </w:r>
      <w:r w:rsidRPr="00F479D2">
        <w:t xml:space="preserve">(4) outlines that the basis of issue of free carbon units is by a </w:t>
      </w:r>
      <w:r>
        <w:t xml:space="preserve">tonne of </w:t>
      </w:r>
      <w:r w:rsidR="00B40A87">
        <w:t xml:space="preserve">saleable processed </w:t>
      </w:r>
      <w:r w:rsidR="00B40A87" w:rsidRPr="00E05838">
        <w:t xml:space="preserve">animal protein </w:t>
      </w:r>
      <w:r w:rsidR="00715931">
        <w:t xml:space="preserve">meal </w:t>
      </w:r>
      <w:r w:rsidR="00B40A87" w:rsidRPr="00E05838">
        <w:t>with a moisture content that does not exceed 10 per cent by weight which results from carrying out the activity as described</w:t>
      </w:r>
      <w:r w:rsidRPr="00F479D2">
        <w:t>.</w:t>
      </w:r>
      <w:r>
        <w:t xml:space="preserve"> </w:t>
      </w:r>
    </w:p>
    <w:p w:rsidR="00F90432" w:rsidRDefault="00F90432" w:rsidP="00F90432">
      <w:r w:rsidRPr="00670B32">
        <w:t xml:space="preserve">To be eligible for assistance, the </w:t>
      </w:r>
      <w:r w:rsidR="00B40A87">
        <w:t>animal protein</w:t>
      </w:r>
      <w:r w:rsidR="00715931">
        <w:t xml:space="preserve"> meal </w:t>
      </w:r>
      <w:r w:rsidRPr="00670B32">
        <w:t xml:space="preserve">must </w:t>
      </w:r>
      <w:r w:rsidR="00B40A87">
        <w:t xml:space="preserve">be produced from carrying on the activity </w:t>
      </w:r>
      <w:r w:rsidRPr="00670B32">
        <w:t xml:space="preserve">(as defined by </w:t>
      </w:r>
      <w:r>
        <w:t xml:space="preserve">subclause </w:t>
      </w:r>
      <w:r w:rsidRPr="00670B32">
        <w:t>35</w:t>
      </w:r>
      <w:r w:rsidR="00B40A87">
        <w:t>4</w:t>
      </w:r>
      <w:r>
        <w:t>(1)</w:t>
      </w:r>
      <w:r w:rsidRPr="00670B32">
        <w:t xml:space="preserve">) in Australia to be eligible as a relevant product. For example, if imported </w:t>
      </w:r>
      <w:r w:rsidR="00B40A87">
        <w:t xml:space="preserve">animal protein </w:t>
      </w:r>
      <w:r w:rsidR="00715931">
        <w:t xml:space="preserve">meal </w:t>
      </w:r>
      <w:r w:rsidRPr="00670B32">
        <w:t xml:space="preserve">is mixed with output produced from the activity, only the proportion of </w:t>
      </w:r>
      <w:r w:rsidR="00B40A87">
        <w:t xml:space="preserve">animal protein </w:t>
      </w:r>
      <w:r w:rsidRPr="00670B32">
        <w:t xml:space="preserve">that is an output from the activity </w:t>
      </w:r>
      <w:r>
        <w:t xml:space="preserve">undertaken in Australia </w:t>
      </w:r>
      <w:r w:rsidRPr="00670B32">
        <w:t xml:space="preserve">would be included in the tonnes of the relevant product. </w:t>
      </w:r>
    </w:p>
    <w:p w:rsidR="00F90432" w:rsidRDefault="00F90432" w:rsidP="00F90432">
      <w:r w:rsidRPr="00670B32">
        <w:t xml:space="preserve">The </w:t>
      </w:r>
      <w:r w:rsidR="00B40A87">
        <w:t xml:space="preserve">animal protein </w:t>
      </w:r>
      <w:r w:rsidR="00715931">
        <w:t xml:space="preserve">meal </w:t>
      </w:r>
      <w:r w:rsidRPr="00670B32">
        <w:t xml:space="preserve">must be of saleable quality (as defined by </w:t>
      </w:r>
      <w:r w:rsidR="0013490D">
        <w:t>clause</w:t>
      </w:r>
      <w:r w:rsidRPr="00670B32">
        <w:t xml:space="preserve"> 202). In particular, the tonnes of </w:t>
      </w:r>
      <w:r w:rsidR="00B40A87">
        <w:t xml:space="preserve">animal protein </w:t>
      </w:r>
      <w:r w:rsidR="00715931">
        <w:t xml:space="preserve">meal </w:t>
      </w:r>
      <w:r w:rsidRPr="00670B32">
        <w:t>which are for testing purposes</w:t>
      </w:r>
      <w:r w:rsidR="00B40A87">
        <w:t xml:space="preserve"> or scrap </w:t>
      </w:r>
      <w:r w:rsidRPr="00670B32">
        <w:t xml:space="preserve">and are discarded rather than saleable are not to be included in the tonnes of </w:t>
      </w:r>
      <w:r w:rsidR="00715931">
        <w:t xml:space="preserve">relevant </w:t>
      </w:r>
      <w:r w:rsidR="00B40A87">
        <w:t>animal protein for the purpose of assistance</w:t>
      </w:r>
      <w:r w:rsidRPr="00670B32">
        <w:t>.</w:t>
      </w:r>
    </w:p>
    <w:p w:rsidR="00F06ACC" w:rsidRDefault="00F06ACC" w:rsidP="00F90432"/>
    <w:p w:rsidR="00F06ACC" w:rsidRDefault="00F06ACC" w:rsidP="00F90432"/>
    <w:p w:rsidR="00202966" w:rsidRPr="001609DF" w:rsidRDefault="00202966" w:rsidP="00202966">
      <w:pPr>
        <w:rPr>
          <w:b/>
          <w:bCs/>
        </w:rPr>
      </w:pPr>
      <w:r w:rsidRPr="001609DF">
        <w:rPr>
          <w:b/>
          <w:bCs/>
        </w:rPr>
        <w:lastRenderedPageBreak/>
        <w:t xml:space="preserve">Item </w:t>
      </w:r>
      <w:r w:rsidR="00FE40C8" w:rsidRPr="001609DF">
        <w:rPr>
          <w:b/>
          <w:bCs/>
        </w:rPr>
        <w:t>6</w:t>
      </w:r>
      <w:r w:rsidRPr="001609DF">
        <w:rPr>
          <w:b/>
          <w:bCs/>
        </w:rPr>
        <w:t xml:space="preserve"> - Subclause 401(1) of Schedule 1 (</w:t>
      </w:r>
      <w:r w:rsidR="00670B32" w:rsidRPr="001609DF">
        <w:rPr>
          <w:b/>
          <w:bCs/>
        </w:rPr>
        <w:t>a</w:t>
      </w:r>
      <w:r w:rsidR="004A06C6">
        <w:rPr>
          <w:b/>
          <w:bCs/>
        </w:rPr>
        <w:t xml:space="preserve">fter </w:t>
      </w:r>
      <w:r w:rsidR="00091C76">
        <w:rPr>
          <w:b/>
          <w:bCs/>
        </w:rPr>
        <w:t xml:space="preserve">table </w:t>
      </w:r>
      <w:r w:rsidR="00FE40C8" w:rsidRPr="001609DF">
        <w:rPr>
          <w:b/>
          <w:bCs/>
        </w:rPr>
        <w:t>item 1.35</w:t>
      </w:r>
      <w:r w:rsidRPr="001609DF">
        <w:rPr>
          <w:b/>
          <w:bCs/>
        </w:rPr>
        <w:t>)</w:t>
      </w:r>
    </w:p>
    <w:p w:rsidR="00202966" w:rsidRPr="00670B32" w:rsidRDefault="00CB764A" w:rsidP="00CB764A">
      <w:pPr>
        <w:rPr>
          <w:lang w:val="en-GB"/>
        </w:rPr>
      </w:pPr>
      <w:r w:rsidRPr="00670B32">
        <w:rPr>
          <w:lang w:val="en-GB"/>
        </w:rPr>
        <w:t>This item inserts into the table in Part 4 of Schedule 1</w:t>
      </w:r>
      <w:r w:rsidR="00202966" w:rsidRPr="00670B32">
        <w:rPr>
          <w:lang w:val="en-GB"/>
        </w:rPr>
        <w:t xml:space="preserve"> the </w:t>
      </w:r>
      <w:proofErr w:type="spellStart"/>
      <w:r w:rsidRPr="00670B32">
        <w:rPr>
          <w:lang w:val="en-GB"/>
        </w:rPr>
        <w:t>allocative</w:t>
      </w:r>
      <w:proofErr w:type="spellEnd"/>
      <w:r w:rsidRPr="00670B32">
        <w:rPr>
          <w:lang w:val="en-GB"/>
        </w:rPr>
        <w:t xml:space="preserve"> baselines for assistance that relate to the production of </w:t>
      </w:r>
      <w:r w:rsidR="00670B32" w:rsidRPr="00670B32">
        <w:rPr>
          <w:lang w:val="en-GB"/>
        </w:rPr>
        <w:t xml:space="preserve">ferrovanadium </w:t>
      </w:r>
      <w:r w:rsidR="00FE40C8">
        <w:rPr>
          <w:lang w:val="en-GB"/>
        </w:rPr>
        <w:t>as prescribed by item 5</w:t>
      </w:r>
      <w:r w:rsidR="0013490D">
        <w:rPr>
          <w:lang w:val="en-GB"/>
        </w:rPr>
        <w:t xml:space="preserve"> above</w:t>
      </w:r>
      <w:r w:rsidR="00202966" w:rsidRPr="00670B32">
        <w:rPr>
          <w:lang w:val="en-GB"/>
        </w:rPr>
        <w:t>, which is categorised as a highly emissions</w:t>
      </w:r>
      <w:r w:rsidR="00202966" w:rsidRPr="00670B32">
        <w:rPr>
          <w:lang w:val="en-GB"/>
        </w:rPr>
        <w:noBreakHyphen/>
        <w:t>intensive activity.</w:t>
      </w:r>
    </w:p>
    <w:p w:rsidR="00CB764A" w:rsidRPr="00670B32" w:rsidRDefault="00CB764A" w:rsidP="00CB764A">
      <w:pPr>
        <w:rPr>
          <w:lang w:val="en-GB"/>
        </w:rPr>
      </w:pPr>
      <w:r w:rsidRPr="00670B32">
        <w:rPr>
          <w:lang w:val="en-GB"/>
        </w:rPr>
        <w:t xml:space="preserve">The baselines </w:t>
      </w:r>
      <w:r w:rsidR="00202966" w:rsidRPr="00670B32">
        <w:rPr>
          <w:lang w:val="en-GB"/>
        </w:rPr>
        <w:t xml:space="preserve">outlined in item </w:t>
      </w:r>
      <w:r w:rsidR="0013490D">
        <w:rPr>
          <w:lang w:val="en-GB"/>
        </w:rPr>
        <w:t>6</w:t>
      </w:r>
      <w:r w:rsidR="00202966" w:rsidRPr="00670B32">
        <w:rPr>
          <w:lang w:val="en-GB"/>
        </w:rPr>
        <w:t xml:space="preserve"> </w:t>
      </w:r>
      <w:r w:rsidRPr="00670B32">
        <w:rPr>
          <w:lang w:val="en-GB"/>
        </w:rPr>
        <w:t>are for the direct emissions and electricity u</w:t>
      </w:r>
      <w:r w:rsidR="00E052C0" w:rsidRPr="00670B32">
        <w:rPr>
          <w:lang w:val="en-GB"/>
        </w:rPr>
        <w:t>s</w:t>
      </w:r>
      <w:r w:rsidR="00B179E4" w:rsidRPr="00670B32">
        <w:rPr>
          <w:lang w:val="en-GB"/>
        </w:rPr>
        <w:t xml:space="preserve">e </w:t>
      </w:r>
      <w:r w:rsidR="00091C76" w:rsidRPr="00670B32">
        <w:rPr>
          <w:lang w:val="en-GB"/>
        </w:rPr>
        <w:t xml:space="preserve">for the activity in </w:t>
      </w:r>
      <w:r w:rsidR="0013490D">
        <w:rPr>
          <w:lang w:val="en-GB"/>
        </w:rPr>
        <w:t xml:space="preserve">new </w:t>
      </w:r>
      <w:r w:rsidR="00091C76">
        <w:rPr>
          <w:lang w:val="en-GB"/>
        </w:rPr>
        <w:t xml:space="preserve">Division </w:t>
      </w:r>
      <w:r w:rsidR="00091C76" w:rsidRPr="00670B32">
        <w:rPr>
          <w:lang w:val="en-GB"/>
        </w:rPr>
        <w:t>53</w:t>
      </w:r>
      <w:r w:rsidR="0013490D">
        <w:rPr>
          <w:lang w:val="en-GB"/>
        </w:rPr>
        <w:t xml:space="preserve"> (as outlined in item 5)</w:t>
      </w:r>
      <w:r w:rsidR="00091C76">
        <w:rPr>
          <w:lang w:val="en-GB"/>
        </w:rPr>
        <w:t xml:space="preserve">, to be allocated per tonne of 100 per cent equivalent vanadium contained within saleable </w:t>
      </w:r>
      <w:proofErr w:type="spellStart"/>
      <w:r w:rsidR="00091C76">
        <w:rPr>
          <w:lang w:val="en-GB"/>
        </w:rPr>
        <w:t>ferrovandadium</w:t>
      </w:r>
      <w:proofErr w:type="spellEnd"/>
      <w:r w:rsidR="00091C76">
        <w:rPr>
          <w:lang w:val="en-GB"/>
        </w:rPr>
        <w:t xml:space="preserve"> produced by undertaking the activity as prescribed</w:t>
      </w:r>
      <w:r w:rsidR="00E052C0" w:rsidRPr="00670B32">
        <w:rPr>
          <w:lang w:val="en-GB"/>
        </w:rPr>
        <w:t>.</w:t>
      </w:r>
    </w:p>
    <w:p w:rsidR="00CB764A" w:rsidRDefault="00CB764A" w:rsidP="00CB764A">
      <w:pPr>
        <w:rPr>
          <w:lang w:val="en-GB"/>
        </w:rPr>
      </w:pPr>
      <w:r w:rsidRPr="00670B32">
        <w:rPr>
          <w:lang w:val="en-GB"/>
        </w:rPr>
        <w:t xml:space="preserve">The formula for calculating the number of free permits in Part 9 of Schedule 1 to </w:t>
      </w:r>
      <w:r w:rsidR="00091C76">
        <w:rPr>
          <w:lang w:val="en-GB"/>
        </w:rPr>
        <w:t xml:space="preserve">the </w:t>
      </w:r>
      <w:r w:rsidR="00F06ACC">
        <w:rPr>
          <w:lang w:val="en-GB"/>
        </w:rPr>
        <w:t>CE </w:t>
      </w:r>
      <w:r w:rsidRPr="00670B32">
        <w:rPr>
          <w:lang w:val="en-GB"/>
        </w:rPr>
        <w:t>Regulations applies the baselines as outlined in the table.</w:t>
      </w:r>
    </w:p>
    <w:p w:rsidR="004A06C6" w:rsidRPr="00091C76" w:rsidRDefault="004A06C6" w:rsidP="004A06C6">
      <w:pPr>
        <w:rPr>
          <w:b/>
          <w:bCs/>
        </w:rPr>
      </w:pPr>
      <w:r w:rsidRPr="00091C76">
        <w:rPr>
          <w:b/>
          <w:bCs/>
        </w:rPr>
        <w:t xml:space="preserve">Item </w:t>
      </w:r>
      <w:r w:rsidR="00091C76" w:rsidRPr="00091C76">
        <w:rPr>
          <w:b/>
          <w:bCs/>
        </w:rPr>
        <w:t>7</w:t>
      </w:r>
      <w:r w:rsidRPr="00091C76">
        <w:rPr>
          <w:b/>
          <w:bCs/>
        </w:rPr>
        <w:t xml:space="preserve"> - Subclause 401(1) of Schedule 1 (after </w:t>
      </w:r>
      <w:r w:rsidR="00091C76" w:rsidRPr="00091C76">
        <w:rPr>
          <w:b/>
          <w:bCs/>
        </w:rPr>
        <w:t xml:space="preserve">table </w:t>
      </w:r>
      <w:r w:rsidRPr="00091C76">
        <w:rPr>
          <w:b/>
          <w:bCs/>
        </w:rPr>
        <w:t>item 2.16)</w:t>
      </w:r>
    </w:p>
    <w:p w:rsidR="004A06C6" w:rsidRPr="00091C76" w:rsidRDefault="004A06C6" w:rsidP="004A06C6">
      <w:pPr>
        <w:rPr>
          <w:lang w:val="en-GB"/>
        </w:rPr>
      </w:pPr>
      <w:r w:rsidRPr="00091C76">
        <w:rPr>
          <w:lang w:val="en-GB"/>
        </w:rPr>
        <w:t xml:space="preserve">This item inserts into the table in Part 4 of Schedule 1 the </w:t>
      </w:r>
      <w:proofErr w:type="spellStart"/>
      <w:r w:rsidRPr="00091C76">
        <w:rPr>
          <w:lang w:val="en-GB"/>
        </w:rPr>
        <w:t>allocative</w:t>
      </w:r>
      <w:proofErr w:type="spellEnd"/>
      <w:r w:rsidRPr="00091C76">
        <w:rPr>
          <w:lang w:val="en-GB"/>
        </w:rPr>
        <w:t xml:space="preserve"> baselines for assistance that relate to the rendering of animal by</w:t>
      </w:r>
      <w:r w:rsidRPr="00091C76">
        <w:rPr>
          <w:lang w:val="en-GB"/>
        </w:rPr>
        <w:noBreakHyphen/>
        <w:t>products as prescribed by item 5</w:t>
      </w:r>
      <w:r w:rsidR="007F34BA">
        <w:rPr>
          <w:lang w:val="en-GB"/>
        </w:rPr>
        <w:t xml:space="preserve"> above</w:t>
      </w:r>
      <w:r w:rsidRPr="00091C76">
        <w:rPr>
          <w:lang w:val="en-GB"/>
        </w:rPr>
        <w:t>, which is categorised as a moderately emissions</w:t>
      </w:r>
      <w:r w:rsidRPr="00091C76">
        <w:rPr>
          <w:lang w:val="en-GB"/>
        </w:rPr>
        <w:noBreakHyphen/>
        <w:t>intensive activity.</w:t>
      </w:r>
    </w:p>
    <w:p w:rsidR="004A06C6" w:rsidRPr="00091C76" w:rsidRDefault="004A06C6" w:rsidP="004A06C6">
      <w:pPr>
        <w:rPr>
          <w:lang w:val="en-GB"/>
        </w:rPr>
      </w:pPr>
      <w:r w:rsidRPr="00091C76">
        <w:rPr>
          <w:lang w:val="en-GB"/>
        </w:rPr>
        <w:t xml:space="preserve">The baselines outlined in item </w:t>
      </w:r>
      <w:r w:rsidR="007F34BA">
        <w:rPr>
          <w:lang w:val="en-GB"/>
        </w:rPr>
        <w:t>7</w:t>
      </w:r>
      <w:r w:rsidRPr="00091C76">
        <w:rPr>
          <w:lang w:val="en-GB"/>
        </w:rPr>
        <w:t xml:space="preserve"> are for the direct emissions and electricity use for the activity in </w:t>
      </w:r>
      <w:r w:rsidR="007F34BA">
        <w:rPr>
          <w:lang w:val="en-GB"/>
        </w:rPr>
        <w:t xml:space="preserve">new </w:t>
      </w:r>
      <w:r w:rsidRPr="00091C76">
        <w:rPr>
          <w:lang w:val="en-GB"/>
        </w:rPr>
        <w:t>Division 54</w:t>
      </w:r>
      <w:r w:rsidR="007F34BA">
        <w:rPr>
          <w:lang w:val="en-GB"/>
        </w:rPr>
        <w:t xml:space="preserve"> (as outlined in item 5)</w:t>
      </w:r>
      <w:r w:rsidR="00091C76">
        <w:rPr>
          <w:lang w:val="en-GB"/>
        </w:rPr>
        <w:t>, to be allocated</w:t>
      </w:r>
      <w:r w:rsidR="00091C76" w:rsidRPr="00091C76">
        <w:rPr>
          <w:lang w:val="en-GB"/>
        </w:rPr>
        <w:t xml:space="preserve"> per tonne of saleable processed animal protein meal produced by undertaking the activity as prescribed</w:t>
      </w:r>
      <w:r w:rsidRPr="00091C76">
        <w:rPr>
          <w:lang w:val="en-GB"/>
        </w:rPr>
        <w:t>.</w:t>
      </w:r>
    </w:p>
    <w:p w:rsidR="00091C76" w:rsidRDefault="00091C76" w:rsidP="00091C76">
      <w:pPr>
        <w:rPr>
          <w:lang w:val="en-GB"/>
        </w:rPr>
      </w:pPr>
      <w:r w:rsidRPr="00670B32">
        <w:rPr>
          <w:lang w:val="en-GB"/>
        </w:rPr>
        <w:t xml:space="preserve">The formula for calculating the number of free permits in Part 9 of Schedule 1 to </w:t>
      </w:r>
      <w:r>
        <w:rPr>
          <w:lang w:val="en-GB"/>
        </w:rPr>
        <w:t xml:space="preserve">the </w:t>
      </w:r>
      <w:r w:rsidR="00F06ACC">
        <w:rPr>
          <w:lang w:val="en-GB"/>
        </w:rPr>
        <w:t>CE </w:t>
      </w:r>
      <w:r w:rsidRPr="00670B32">
        <w:rPr>
          <w:lang w:val="en-GB"/>
        </w:rPr>
        <w:t>Regulations applies the baselines as outlined in the table.</w:t>
      </w:r>
    </w:p>
    <w:p w:rsidR="00A57F8F" w:rsidRPr="004A06C6" w:rsidRDefault="00202966" w:rsidP="00A57F8F">
      <w:pPr>
        <w:rPr>
          <w:b/>
        </w:rPr>
      </w:pPr>
      <w:r w:rsidRPr="004A06C6">
        <w:rPr>
          <w:b/>
        </w:rPr>
        <w:t xml:space="preserve">Item </w:t>
      </w:r>
      <w:r w:rsidR="0013222E">
        <w:rPr>
          <w:b/>
        </w:rPr>
        <w:t>8</w:t>
      </w:r>
      <w:r w:rsidRPr="004A06C6">
        <w:rPr>
          <w:b/>
        </w:rPr>
        <w:t xml:space="preserve"> </w:t>
      </w:r>
      <w:r w:rsidR="00FE40C8" w:rsidRPr="004A06C6">
        <w:rPr>
          <w:b/>
        </w:rPr>
        <w:t>–</w:t>
      </w:r>
      <w:r w:rsidRPr="004A06C6">
        <w:rPr>
          <w:b/>
        </w:rPr>
        <w:t xml:space="preserve"> </w:t>
      </w:r>
      <w:r w:rsidR="00FE40C8" w:rsidRPr="004A06C6">
        <w:rPr>
          <w:b/>
        </w:rPr>
        <w:t>After s</w:t>
      </w:r>
      <w:r w:rsidR="000A3C4F" w:rsidRPr="004A06C6">
        <w:rPr>
          <w:b/>
        </w:rPr>
        <w:t>ubc</w:t>
      </w:r>
      <w:r w:rsidR="00B179E4" w:rsidRPr="004A06C6">
        <w:rPr>
          <w:b/>
        </w:rPr>
        <w:t>lause 702</w:t>
      </w:r>
      <w:r w:rsidR="000A3C4F" w:rsidRPr="004A06C6">
        <w:rPr>
          <w:b/>
        </w:rPr>
        <w:t>(1</w:t>
      </w:r>
      <w:r w:rsidR="00FE40C8" w:rsidRPr="004A06C6">
        <w:rPr>
          <w:b/>
        </w:rPr>
        <w:t>C</w:t>
      </w:r>
      <w:r w:rsidR="000A3C4F" w:rsidRPr="004A06C6">
        <w:rPr>
          <w:b/>
        </w:rPr>
        <w:t>) of</w:t>
      </w:r>
      <w:r w:rsidR="00A57F8F" w:rsidRPr="004A06C6">
        <w:rPr>
          <w:b/>
        </w:rPr>
        <w:t xml:space="preserve"> Schedule 1</w:t>
      </w:r>
    </w:p>
    <w:p w:rsidR="000A3C4F" w:rsidRPr="009F17D9" w:rsidRDefault="000A3C4F" w:rsidP="009F17D9">
      <w:pPr>
        <w:rPr>
          <w:lang w:val="en-GB"/>
        </w:rPr>
      </w:pPr>
      <w:r w:rsidRPr="00D923C1">
        <w:t xml:space="preserve">This item amends the timeframes in which applications for free carbon units must be made under </w:t>
      </w:r>
      <w:r w:rsidR="007F34BA">
        <w:t>clause</w:t>
      </w:r>
      <w:r w:rsidR="00150A20" w:rsidRPr="00D923C1">
        <w:t> </w:t>
      </w:r>
      <w:r w:rsidRPr="00D923C1">
        <w:t>702</w:t>
      </w:r>
      <w:r w:rsidR="00FE40C8" w:rsidRPr="00D923C1">
        <w:t xml:space="preserve"> in relation to the ‘production of ferrovanadium’</w:t>
      </w:r>
      <w:r w:rsidR="00DD5C4A" w:rsidRPr="00D923C1">
        <w:t xml:space="preserve"> </w:t>
      </w:r>
      <w:r w:rsidR="004A06C6" w:rsidRPr="00D923C1">
        <w:t>and the ‘rendering of animal by</w:t>
      </w:r>
      <w:r w:rsidR="004A06C6" w:rsidRPr="00D923C1">
        <w:noBreakHyphen/>
        <w:t xml:space="preserve">products’ </w:t>
      </w:r>
      <w:r w:rsidR="00DD5C4A" w:rsidRPr="00D923C1">
        <w:t>activit</w:t>
      </w:r>
      <w:r w:rsidR="004A06C6" w:rsidRPr="00D923C1">
        <w:t>ies</w:t>
      </w:r>
      <w:r w:rsidRPr="00D923C1">
        <w:t xml:space="preserve">. In particular, this item </w:t>
      </w:r>
      <w:r w:rsidR="00FE40C8" w:rsidRPr="00D923C1">
        <w:t xml:space="preserve">inserts </w:t>
      </w:r>
      <w:r w:rsidR="00DD5C4A" w:rsidRPr="00D923C1">
        <w:t xml:space="preserve">a new </w:t>
      </w:r>
      <w:r w:rsidR="009072D9" w:rsidRPr="00D923C1">
        <w:t>subclause</w:t>
      </w:r>
      <w:r w:rsidR="00150A20" w:rsidRPr="00D923C1">
        <w:t> </w:t>
      </w:r>
      <w:r w:rsidR="00DD5C4A" w:rsidRPr="00D923C1">
        <w:t xml:space="preserve">702(1D) which </w:t>
      </w:r>
      <w:r w:rsidR="00A57F8F" w:rsidRPr="00D923C1">
        <w:rPr>
          <w:lang w:val="en-GB"/>
        </w:rPr>
        <w:t>allows for applications for free carbon units</w:t>
      </w:r>
      <w:r w:rsidR="00B179E4" w:rsidRPr="00D923C1">
        <w:rPr>
          <w:lang w:val="en-GB"/>
        </w:rPr>
        <w:t xml:space="preserve"> </w:t>
      </w:r>
      <w:r w:rsidR="009F17D9" w:rsidRPr="00D923C1">
        <w:rPr>
          <w:lang w:val="en-GB"/>
        </w:rPr>
        <w:t xml:space="preserve">in relation to only </w:t>
      </w:r>
      <w:r w:rsidR="004A06C6" w:rsidRPr="00D923C1">
        <w:rPr>
          <w:lang w:val="en-GB"/>
        </w:rPr>
        <w:t xml:space="preserve">these activities </w:t>
      </w:r>
      <w:r w:rsidR="00A57F8F" w:rsidRPr="00D923C1">
        <w:rPr>
          <w:lang w:val="en-GB"/>
        </w:rPr>
        <w:t xml:space="preserve">to be given to the </w:t>
      </w:r>
      <w:r w:rsidR="002F7CCF" w:rsidRPr="00D923C1">
        <w:rPr>
          <w:lang w:val="en-GB"/>
        </w:rPr>
        <w:t xml:space="preserve">Regulator </w:t>
      </w:r>
      <w:r w:rsidRPr="00D923C1">
        <w:rPr>
          <w:lang w:val="en-GB"/>
        </w:rPr>
        <w:t>by</w:t>
      </w:r>
      <w:r w:rsidR="00670B32" w:rsidRPr="00D923C1">
        <w:rPr>
          <w:lang w:val="en-GB"/>
        </w:rPr>
        <w:t xml:space="preserve"> </w:t>
      </w:r>
      <w:r w:rsidR="009F17D9" w:rsidRPr="00D923C1">
        <w:t>3</w:t>
      </w:r>
      <w:r w:rsidR="004A06C6" w:rsidRPr="00D923C1">
        <w:t>1 Dec</w:t>
      </w:r>
      <w:r w:rsidR="009F17D9" w:rsidRPr="00D923C1">
        <w:t>ember 2014. This timeframe applies to applications relating to the financial years ending 30</w:t>
      </w:r>
      <w:r w:rsidR="00150A20" w:rsidRPr="00D923C1">
        <w:t> </w:t>
      </w:r>
      <w:r w:rsidR="009F17D9" w:rsidRPr="00D923C1">
        <w:t>June</w:t>
      </w:r>
      <w:r w:rsidR="00150A20" w:rsidRPr="00D923C1">
        <w:t> </w:t>
      </w:r>
      <w:r w:rsidR="009F17D9" w:rsidRPr="00D923C1">
        <w:t>2013 and 30</w:t>
      </w:r>
      <w:r w:rsidR="00150A20" w:rsidRPr="00D923C1">
        <w:t> </w:t>
      </w:r>
      <w:r w:rsidR="009F17D9" w:rsidRPr="00D923C1">
        <w:t>June</w:t>
      </w:r>
      <w:r w:rsidR="00150A20" w:rsidRPr="00D923C1">
        <w:t> </w:t>
      </w:r>
      <w:r w:rsidR="009F17D9" w:rsidRPr="00D923C1">
        <w:t>2014</w:t>
      </w:r>
      <w:r w:rsidRPr="00D923C1">
        <w:t>.</w:t>
      </w:r>
    </w:p>
    <w:p w:rsidR="00F06ACC" w:rsidRDefault="00F06ACC" w:rsidP="00B179E4">
      <w:pPr>
        <w:rPr>
          <w:b/>
          <w:lang w:val="en-GB"/>
        </w:rPr>
      </w:pPr>
      <w:r>
        <w:rPr>
          <w:b/>
          <w:lang w:val="en-GB"/>
        </w:rPr>
        <w:t xml:space="preserve">Item 9 – After </w:t>
      </w:r>
      <w:proofErr w:type="spellStart"/>
      <w:r>
        <w:rPr>
          <w:b/>
          <w:lang w:val="en-GB"/>
        </w:rPr>
        <w:t>subclause</w:t>
      </w:r>
      <w:proofErr w:type="spellEnd"/>
      <w:r>
        <w:rPr>
          <w:b/>
          <w:lang w:val="en-GB"/>
        </w:rPr>
        <w:t xml:space="preserve"> 902(2) of Schedule 1</w:t>
      </w:r>
    </w:p>
    <w:p w:rsidR="00F06ACC" w:rsidRPr="00F06ACC" w:rsidRDefault="00BE56F4" w:rsidP="00B179E4">
      <w:pPr>
        <w:rPr>
          <w:lang w:val="en-GB"/>
        </w:rPr>
      </w:pPr>
      <w:r>
        <w:rPr>
          <w:lang w:val="en-GB"/>
        </w:rPr>
        <w:t xml:space="preserve">This item refers to the method for determining the number of free carbon units that the Regulator must issue for approved JCP applications in relation to </w:t>
      </w:r>
      <w:r w:rsidR="00BC1148">
        <w:rPr>
          <w:lang w:val="en-GB"/>
        </w:rPr>
        <w:t>the new activities in item 5 (the production of ferrovanadium and the rendering of animal by</w:t>
      </w:r>
      <w:r w:rsidR="00BC1148">
        <w:rPr>
          <w:lang w:val="en-GB"/>
        </w:rPr>
        <w:noBreakHyphen/>
        <w:t xml:space="preserve">products). This item </w:t>
      </w:r>
      <w:r>
        <w:rPr>
          <w:lang w:val="en-GB"/>
        </w:rPr>
        <w:t>provides</w:t>
      </w:r>
      <w:r w:rsidR="00BC1148">
        <w:rPr>
          <w:lang w:val="en-GB"/>
        </w:rPr>
        <w:t xml:space="preserve"> that a maximum cap adjustment and sub-threshold adjustment</w:t>
      </w:r>
      <w:r w:rsidR="00202585">
        <w:rPr>
          <w:lang w:val="en-GB"/>
        </w:rPr>
        <w:t xml:space="preserve"> that </w:t>
      </w:r>
      <w:r w:rsidR="00BC1148">
        <w:rPr>
          <w:lang w:val="en-GB"/>
        </w:rPr>
        <w:t>is relevant to an application</w:t>
      </w:r>
      <w:r w:rsidR="00202585">
        <w:rPr>
          <w:lang w:val="en-GB"/>
        </w:rPr>
        <w:t xml:space="preserve">, which </w:t>
      </w:r>
      <w:r w:rsidR="00BC1148">
        <w:rPr>
          <w:lang w:val="en-GB"/>
        </w:rPr>
        <w:t xml:space="preserve">would have been made ex-post </w:t>
      </w:r>
      <w:r w:rsidR="00202585">
        <w:rPr>
          <w:lang w:val="en-GB"/>
        </w:rPr>
        <w:t>(as part of a 2014</w:t>
      </w:r>
      <w:r w:rsidR="00202585">
        <w:rPr>
          <w:lang w:val="en-GB"/>
        </w:rPr>
        <w:noBreakHyphen/>
        <w:t xml:space="preserve">15 application) </w:t>
      </w:r>
      <w:r w:rsidR="00BC1148">
        <w:rPr>
          <w:lang w:val="en-GB"/>
        </w:rPr>
        <w:t>if the JCP continue</w:t>
      </w:r>
      <w:r w:rsidR="00202585">
        <w:rPr>
          <w:lang w:val="en-GB"/>
        </w:rPr>
        <w:t>d</w:t>
      </w:r>
      <w:r w:rsidR="00BC1148">
        <w:rPr>
          <w:lang w:val="en-GB"/>
        </w:rPr>
        <w:t xml:space="preserve"> </w:t>
      </w:r>
      <w:r w:rsidR="00202585">
        <w:rPr>
          <w:lang w:val="en-GB"/>
        </w:rPr>
        <w:t>beyond 2013</w:t>
      </w:r>
      <w:r w:rsidR="00202585">
        <w:rPr>
          <w:lang w:val="en-GB"/>
        </w:rPr>
        <w:noBreakHyphen/>
        <w:t>14,</w:t>
      </w:r>
      <w:r w:rsidR="00BC1148">
        <w:rPr>
          <w:lang w:val="en-GB"/>
        </w:rPr>
        <w:t xml:space="preserve"> should instead be made as part of the calculation of assistance for the 2013</w:t>
      </w:r>
      <w:r w:rsidR="00BC1148">
        <w:rPr>
          <w:lang w:val="en-GB"/>
        </w:rPr>
        <w:softHyphen/>
      </w:r>
      <w:r w:rsidR="00BC1148">
        <w:rPr>
          <w:lang w:val="en-GB"/>
        </w:rPr>
        <w:noBreakHyphen/>
        <w:t>14 year. The intention of this provision is to avoid the need for applicants in respect of the two new activities to undertake a final true</w:t>
      </w:r>
      <w:r w:rsidR="00BC1148">
        <w:rPr>
          <w:lang w:val="en-GB"/>
        </w:rPr>
        <w:noBreakHyphen/>
        <w:t xml:space="preserve">up process </w:t>
      </w:r>
      <w:r w:rsidR="00202585">
        <w:rPr>
          <w:lang w:val="en-GB"/>
        </w:rPr>
        <w:t xml:space="preserve">as set out in the </w:t>
      </w:r>
      <w:proofErr w:type="spellStart"/>
      <w:r w:rsidR="00202585">
        <w:rPr>
          <w:lang w:val="en-GB"/>
        </w:rPr>
        <w:t>JCP</w:t>
      </w:r>
      <w:proofErr w:type="spellEnd"/>
      <w:r w:rsidR="00202585">
        <w:rPr>
          <w:lang w:val="en-GB"/>
        </w:rPr>
        <w:t xml:space="preserve"> True</w:t>
      </w:r>
      <w:r w:rsidR="00202585">
        <w:rPr>
          <w:lang w:val="en-GB"/>
        </w:rPr>
        <w:noBreakHyphen/>
        <w:t xml:space="preserve">up Rules </w:t>
      </w:r>
      <w:r w:rsidR="00BC1148">
        <w:rPr>
          <w:lang w:val="en-GB"/>
        </w:rPr>
        <w:t>subsequent to the JCP application process</w:t>
      </w:r>
      <w:r w:rsidR="00202585">
        <w:rPr>
          <w:lang w:val="en-GB"/>
        </w:rPr>
        <w:t xml:space="preserve">. Instead, </w:t>
      </w:r>
      <w:r w:rsidR="00BC1148">
        <w:rPr>
          <w:lang w:val="en-GB"/>
        </w:rPr>
        <w:t xml:space="preserve">all relevant adjustments for the year to which the application relates </w:t>
      </w:r>
      <w:r w:rsidR="00202585">
        <w:rPr>
          <w:lang w:val="en-GB"/>
        </w:rPr>
        <w:t xml:space="preserve">should </w:t>
      </w:r>
      <w:r w:rsidR="00BC1148">
        <w:rPr>
          <w:lang w:val="en-GB"/>
        </w:rPr>
        <w:t xml:space="preserve">be made </w:t>
      </w:r>
      <w:r w:rsidR="00202585">
        <w:rPr>
          <w:lang w:val="en-GB"/>
        </w:rPr>
        <w:t xml:space="preserve">in determining the final allocation </w:t>
      </w:r>
      <w:r w:rsidR="00BC1148">
        <w:rPr>
          <w:lang w:val="en-GB"/>
        </w:rPr>
        <w:t>for that year.</w:t>
      </w:r>
    </w:p>
    <w:p w:rsidR="00DD5C4A" w:rsidRPr="00E70CB8" w:rsidRDefault="00EA6D86" w:rsidP="00B179E4">
      <w:pPr>
        <w:rPr>
          <w:b/>
          <w:lang w:val="en-GB"/>
        </w:rPr>
      </w:pPr>
      <w:r w:rsidRPr="00E70CB8">
        <w:rPr>
          <w:b/>
          <w:lang w:val="en-GB"/>
        </w:rPr>
        <w:lastRenderedPageBreak/>
        <w:t xml:space="preserve">Item </w:t>
      </w:r>
      <w:r w:rsidR="00202585">
        <w:rPr>
          <w:b/>
          <w:lang w:val="en-GB"/>
        </w:rPr>
        <w:t>10</w:t>
      </w:r>
      <w:r w:rsidR="000A3C4F" w:rsidRPr="00E70CB8">
        <w:rPr>
          <w:b/>
          <w:lang w:val="en-GB"/>
        </w:rPr>
        <w:t xml:space="preserve"> </w:t>
      </w:r>
      <w:r w:rsidR="00DD5C4A" w:rsidRPr="00E70CB8">
        <w:rPr>
          <w:b/>
          <w:lang w:val="en-GB"/>
        </w:rPr>
        <w:t xml:space="preserve">– </w:t>
      </w:r>
      <w:proofErr w:type="spellStart"/>
      <w:r w:rsidR="00DD5C4A" w:rsidRPr="00E70CB8">
        <w:rPr>
          <w:b/>
          <w:lang w:val="en-GB"/>
        </w:rPr>
        <w:t>Subclause</w:t>
      </w:r>
      <w:proofErr w:type="spellEnd"/>
      <w:r w:rsidR="00DD5C4A" w:rsidRPr="00E70CB8">
        <w:rPr>
          <w:b/>
          <w:lang w:val="en-GB"/>
        </w:rPr>
        <w:t xml:space="preserve"> 906(3) of Schedule 1</w:t>
      </w:r>
    </w:p>
    <w:p w:rsidR="00DD5C4A" w:rsidRPr="006B1DD6" w:rsidRDefault="006B1DD6" w:rsidP="00B179E4">
      <w:pPr>
        <w:rPr>
          <w:lang w:val="en-GB"/>
        </w:rPr>
      </w:pPr>
      <w:r w:rsidRPr="006B1DD6">
        <w:rPr>
          <w:lang w:val="en-GB"/>
        </w:rPr>
        <w:t>This item</w:t>
      </w:r>
      <w:r>
        <w:rPr>
          <w:lang w:val="en-GB"/>
        </w:rPr>
        <w:t xml:space="preserve"> refers to the formula that is used to calculate an allocation of assistance based on an entity’s production. This </w:t>
      </w:r>
      <w:r w:rsidR="006A7FEB">
        <w:rPr>
          <w:lang w:val="en-GB"/>
        </w:rPr>
        <w:t xml:space="preserve">amends the references to the </w:t>
      </w:r>
      <w:r>
        <w:rPr>
          <w:lang w:val="en-GB"/>
        </w:rPr>
        <w:t xml:space="preserve">formula for the calculation of assistance </w:t>
      </w:r>
      <w:r w:rsidR="006A7FEB">
        <w:rPr>
          <w:lang w:val="en-GB"/>
        </w:rPr>
        <w:t>for the activities in Divisions 51 and 52</w:t>
      </w:r>
      <w:r w:rsidR="007F34BA">
        <w:rPr>
          <w:lang w:val="en-GB"/>
        </w:rPr>
        <w:t xml:space="preserve"> of Part 3</w:t>
      </w:r>
      <w:r w:rsidR="006A7FEB">
        <w:rPr>
          <w:lang w:val="en-GB"/>
        </w:rPr>
        <w:t xml:space="preserve"> (the production of glass wool and the production of coal char) to refer to the formula in either </w:t>
      </w:r>
      <w:proofErr w:type="spellStart"/>
      <w:r w:rsidR="009072D9">
        <w:rPr>
          <w:lang w:val="en-GB"/>
        </w:rPr>
        <w:t>subclause</w:t>
      </w:r>
      <w:proofErr w:type="spellEnd"/>
      <w:r>
        <w:rPr>
          <w:lang w:val="en-GB"/>
        </w:rPr>
        <w:t xml:space="preserve"> 907(7) or (7A)</w:t>
      </w:r>
      <w:r w:rsidR="007F34BA">
        <w:rPr>
          <w:lang w:val="en-GB"/>
        </w:rPr>
        <w:t xml:space="preserve">. </w:t>
      </w:r>
      <w:proofErr w:type="spellStart"/>
      <w:r w:rsidR="007F34BA">
        <w:rPr>
          <w:lang w:val="en-GB"/>
        </w:rPr>
        <w:t>Subclause</w:t>
      </w:r>
      <w:proofErr w:type="spellEnd"/>
      <w:r w:rsidR="007F34BA">
        <w:rPr>
          <w:lang w:val="en-GB"/>
        </w:rPr>
        <w:t xml:space="preserve"> 907(7A)</w:t>
      </w:r>
      <w:r>
        <w:rPr>
          <w:lang w:val="en-GB"/>
        </w:rPr>
        <w:t xml:space="preserve"> is a new provision that is inserted by item </w:t>
      </w:r>
      <w:r w:rsidR="00E70CB8">
        <w:rPr>
          <w:lang w:val="en-GB"/>
        </w:rPr>
        <w:t>1</w:t>
      </w:r>
      <w:r w:rsidR="00202585">
        <w:rPr>
          <w:lang w:val="en-GB"/>
        </w:rPr>
        <w:t>2</w:t>
      </w:r>
      <w:r w:rsidR="002038E1">
        <w:rPr>
          <w:lang w:val="en-GB"/>
        </w:rPr>
        <w:t xml:space="preserve"> below</w:t>
      </w:r>
      <w:r>
        <w:rPr>
          <w:lang w:val="en-GB"/>
        </w:rPr>
        <w:t>.</w:t>
      </w:r>
    </w:p>
    <w:p w:rsidR="00C247BB" w:rsidRPr="00E70CB8" w:rsidRDefault="00DD5C4A" w:rsidP="00B179E4">
      <w:pPr>
        <w:rPr>
          <w:b/>
          <w:lang w:val="en-GB"/>
        </w:rPr>
      </w:pPr>
      <w:r w:rsidRPr="00E70CB8">
        <w:rPr>
          <w:b/>
          <w:lang w:val="en-GB"/>
        </w:rPr>
        <w:t xml:space="preserve">Item </w:t>
      </w:r>
      <w:r w:rsidR="00202585">
        <w:rPr>
          <w:b/>
          <w:lang w:val="en-GB"/>
        </w:rPr>
        <w:t>11</w:t>
      </w:r>
      <w:r w:rsidRPr="00E70CB8">
        <w:rPr>
          <w:b/>
          <w:lang w:val="en-GB"/>
        </w:rPr>
        <w:t xml:space="preserve"> </w:t>
      </w:r>
      <w:r w:rsidR="000A3C4F" w:rsidRPr="00E70CB8">
        <w:rPr>
          <w:b/>
          <w:lang w:val="en-GB"/>
        </w:rPr>
        <w:t xml:space="preserve">– At the end of clause </w:t>
      </w:r>
      <w:r w:rsidR="00C247BB" w:rsidRPr="00E70CB8">
        <w:rPr>
          <w:b/>
          <w:lang w:val="en-GB"/>
        </w:rPr>
        <w:t>906</w:t>
      </w:r>
      <w:r w:rsidR="000A3C4F" w:rsidRPr="00E70CB8">
        <w:rPr>
          <w:b/>
          <w:lang w:val="en-GB"/>
        </w:rPr>
        <w:t xml:space="preserve"> of Schedule 1</w:t>
      </w:r>
    </w:p>
    <w:p w:rsidR="002038E1" w:rsidRDefault="00C247BB" w:rsidP="002038E1">
      <w:pPr>
        <w:rPr>
          <w:lang w:val="en-GB"/>
        </w:rPr>
      </w:pPr>
      <w:r w:rsidRPr="00EA6D86">
        <w:rPr>
          <w:lang w:val="en-GB"/>
        </w:rPr>
        <w:t xml:space="preserve">This item </w:t>
      </w:r>
      <w:r w:rsidR="009072D9">
        <w:rPr>
          <w:lang w:val="en-GB"/>
        </w:rPr>
        <w:t xml:space="preserve">inserts a new </w:t>
      </w:r>
      <w:proofErr w:type="spellStart"/>
      <w:r w:rsidR="009072D9">
        <w:rPr>
          <w:lang w:val="en-GB"/>
        </w:rPr>
        <w:t>subclause</w:t>
      </w:r>
      <w:proofErr w:type="spellEnd"/>
      <w:r w:rsidR="009072D9">
        <w:rPr>
          <w:lang w:val="en-GB"/>
        </w:rPr>
        <w:t xml:space="preserve"> 906(4) to provide that </w:t>
      </w:r>
      <w:r w:rsidR="00CB0A07" w:rsidRPr="00EA6D86">
        <w:rPr>
          <w:lang w:val="en-GB"/>
        </w:rPr>
        <w:t xml:space="preserve">the </w:t>
      </w:r>
      <w:r w:rsidR="00E17D99">
        <w:rPr>
          <w:lang w:val="en-GB"/>
        </w:rPr>
        <w:t xml:space="preserve">production amount to be used to calculate the </w:t>
      </w:r>
      <w:r w:rsidR="00CB0A07" w:rsidRPr="00EA6D86">
        <w:rPr>
          <w:lang w:val="en-GB"/>
        </w:rPr>
        <w:t xml:space="preserve">number of free carbon units for </w:t>
      </w:r>
      <w:r w:rsidR="009072D9">
        <w:rPr>
          <w:lang w:val="en-GB"/>
        </w:rPr>
        <w:t xml:space="preserve">a </w:t>
      </w:r>
      <w:r w:rsidR="00E17D99">
        <w:rPr>
          <w:lang w:val="en-GB"/>
        </w:rPr>
        <w:t>2012</w:t>
      </w:r>
      <w:r w:rsidR="00E17D99">
        <w:rPr>
          <w:lang w:val="en-GB"/>
        </w:rPr>
        <w:noBreakHyphen/>
        <w:t>13 and 2013</w:t>
      </w:r>
      <w:r w:rsidR="00E17D99">
        <w:rPr>
          <w:lang w:val="en-GB"/>
        </w:rPr>
        <w:noBreakHyphen/>
        <w:t xml:space="preserve">14 </w:t>
      </w:r>
      <w:r w:rsidR="009072D9">
        <w:rPr>
          <w:lang w:val="en-GB"/>
        </w:rPr>
        <w:t xml:space="preserve">JCP </w:t>
      </w:r>
      <w:r w:rsidRPr="00EA6D86">
        <w:rPr>
          <w:lang w:val="en-GB"/>
        </w:rPr>
        <w:t>applicat</w:t>
      </w:r>
      <w:r w:rsidR="00E83566" w:rsidRPr="00EA6D86">
        <w:rPr>
          <w:lang w:val="en-GB"/>
        </w:rPr>
        <w:t>ion</w:t>
      </w:r>
      <w:r w:rsidRPr="00EA6D86">
        <w:rPr>
          <w:lang w:val="en-GB"/>
        </w:rPr>
        <w:t xml:space="preserve"> </w:t>
      </w:r>
      <w:r w:rsidR="000A3C4F" w:rsidRPr="00EA6D86">
        <w:rPr>
          <w:lang w:val="en-GB"/>
        </w:rPr>
        <w:t xml:space="preserve">in respect of the </w:t>
      </w:r>
      <w:r w:rsidRPr="00EA6D86">
        <w:rPr>
          <w:lang w:val="en-GB"/>
        </w:rPr>
        <w:t xml:space="preserve">production of </w:t>
      </w:r>
      <w:r w:rsidR="00E83566" w:rsidRPr="00EA6D86">
        <w:rPr>
          <w:lang w:val="en-GB"/>
        </w:rPr>
        <w:t xml:space="preserve">ferrovanadium </w:t>
      </w:r>
      <w:r w:rsidR="002038E1">
        <w:rPr>
          <w:lang w:val="en-GB"/>
        </w:rPr>
        <w:t>and</w:t>
      </w:r>
      <w:r w:rsidR="00E70CB8">
        <w:rPr>
          <w:lang w:val="en-GB"/>
        </w:rPr>
        <w:t xml:space="preserve"> the rendering of animal by</w:t>
      </w:r>
      <w:r w:rsidR="00E70CB8">
        <w:rPr>
          <w:lang w:val="en-GB"/>
        </w:rPr>
        <w:noBreakHyphen/>
        <w:t xml:space="preserve">products </w:t>
      </w:r>
      <w:r w:rsidR="00E83566" w:rsidRPr="00EA6D86">
        <w:rPr>
          <w:lang w:val="en-GB"/>
        </w:rPr>
        <w:t>activit</w:t>
      </w:r>
      <w:r w:rsidR="00E70CB8">
        <w:rPr>
          <w:lang w:val="en-GB"/>
        </w:rPr>
        <w:t>ies</w:t>
      </w:r>
      <w:r w:rsidR="00E17D99">
        <w:rPr>
          <w:lang w:val="en-GB"/>
        </w:rPr>
        <w:t xml:space="preserve"> is determined </w:t>
      </w:r>
      <w:r w:rsidR="006A7FEB">
        <w:rPr>
          <w:lang w:val="en-GB"/>
        </w:rPr>
        <w:t xml:space="preserve">using the formula outlined in the new </w:t>
      </w:r>
      <w:proofErr w:type="spellStart"/>
      <w:r w:rsidR="006A7FEB">
        <w:rPr>
          <w:lang w:val="en-GB"/>
        </w:rPr>
        <w:t>subclause</w:t>
      </w:r>
      <w:proofErr w:type="spellEnd"/>
      <w:r w:rsidR="006A7FEB">
        <w:rPr>
          <w:lang w:val="en-GB"/>
        </w:rPr>
        <w:t xml:space="preserve"> 907(7A</w:t>
      </w:r>
      <w:r w:rsidR="002038E1">
        <w:rPr>
          <w:lang w:val="en-GB"/>
        </w:rPr>
        <w:t>).</w:t>
      </w:r>
      <w:r w:rsidR="002038E1" w:rsidRPr="002038E1">
        <w:rPr>
          <w:lang w:val="en-GB"/>
        </w:rPr>
        <w:t xml:space="preserve"> </w:t>
      </w:r>
      <w:proofErr w:type="spellStart"/>
      <w:r w:rsidR="002038E1">
        <w:rPr>
          <w:lang w:val="en-GB"/>
        </w:rPr>
        <w:t>Subclause</w:t>
      </w:r>
      <w:proofErr w:type="spellEnd"/>
      <w:r w:rsidR="002038E1">
        <w:rPr>
          <w:lang w:val="en-GB"/>
        </w:rPr>
        <w:t xml:space="preserve"> 907(7A) is a new provision that is inserted by item 1</w:t>
      </w:r>
      <w:r w:rsidR="00202585">
        <w:rPr>
          <w:lang w:val="en-GB"/>
        </w:rPr>
        <w:t>2</w:t>
      </w:r>
      <w:r w:rsidR="002038E1">
        <w:rPr>
          <w:lang w:val="en-GB"/>
        </w:rPr>
        <w:t xml:space="preserve"> below</w:t>
      </w:r>
      <w:r w:rsidR="002038E1" w:rsidRPr="00EA6D86">
        <w:rPr>
          <w:lang w:val="en-GB"/>
        </w:rPr>
        <w:t>.</w:t>
      </w:r>
    </w:p>
    <w:p w:rsidR="006A7FEB" w:rsidRPr="00E70CB8" w:rsidRDefault="006A7FEB" w:rsidP="006A7FEB">
      <w:pPr>
        <w:rPr>
          <w:b/>
          <w:lang w:val="en-GB"/>
        </w:rPr>
      </w:pPr>
      <w:r w:rsidRPr="00E70CB8">
        <w:rPr>
          <w:b/>
          <w:lang w:val="en-GB"/>
        </w:rPr>
        <w:t xml:space="preserve">Item </w:t>
      </w:r>
      <w:r w:rsidR="00E70CB8">
        <w:rPr>
          <w:b/>
          <w:lang w:val="en-GB"/>
        </w:rPr>
        <w:t>1</w:t>
      </w:r>
      <w:r w:rsidR="00202585">
        <w:rPr>
          <w:b/>
          <w:lang w:val="en-GB"/>
        </w:rPr>
        <w:t>2</w:t>
      </w:r>
      <w:r w:rsidRPr="00E70CB8">
        <w:rPr>
          <w:b/>
          <w:lang w:val="en-GB"/>
        </w:rPr>
        <w:t xml:space="preserve"> – After </w:t>
      </w:r>
      <w:proofErr w:type="spellStart"/>
      <w:r w:rsidRPr="00E70CB8">
        <w:rPr>
          <w:b/>
          <w:lang w:val="en-GB"/>
        </w:rPr>
        <w:t>subclause</w:t>
      </w:r>
      <w:proofErr w:type="spellEnd"/>
      <w:r w:rsidRPr="00E70CB8">
        <w:rPr>
          <w:b/>
          <w:lang w:val="en-GB"/>
        </w:rPr>
        <w:t xml:space="preserve"> 907(7) of Schedule 1</w:t>
      </w:r>
    </w:p>
    <w:p w:rsidR="004719D6" w:rsidRDefault="006A7FEB" w:rsidP="00B179E4">
      <w:pPr>
        <w:rPr>
          <w:lang w:val="en-GB"/>
        </w:rPr>
      </w:pPr>
      <w:r w:rsidRPr="00EA6D86">
        <w:rPr>
          <w:lang w:val="en-GB"/>
        </w:rPr>
        <w:t xml:space="preserve">This item </w:t>
      </w:r>
      <w:r>
        <w:rPr>
          <w:lang w:val="en-GB"/>
        </w:rPr>
        <w:t xml:space="preserve">inserts a new </w:t>
      </w:r>
      <w:proofErr w:type="spellStart"/>
      <w:r>
        <w:rPr>
          <w:lang w:val="en-GB"/>
        </w:rPr>
        <w:t>subclause</w:t>
      </w:r>
      <w:proofErr w:type="spellEnd"/>
      <w:r>
        <w:rPr>
          <w:lang w:val="en-GB"/>
        </w:rPr>
        <w:t xml:space="preserve"> 907(7A) to provide that </w:t>
      </w:r>
      <w:r w:rsidRPr="00EA6D86">
        <w:rPr>
          <w:lang w:val="en-GB"/>
        </w:rPr>
        <w:t xml:space="preserve">the number of free carbon units for </w:t>
      </w:r>
      <w:r>
        <w:rPr>
          <w:lang w:val="en-GB"/>
        </w:rPr>
        <w:t xml:space="preserve">a JCP </w:t>
      </w:r>
      <w:r w:rsidRPr="00EA6D86">
        <w:rPr>
          <w:lang w:val="en-GB"/>
        </w:rPr>
        <w:t xml:space="preserve">application in respect of </w:t>
      </w:r>
      <w:r>
        <w:rPr>
          <w:lang w:val="en-GB"/>
        </w:rPr>
        <w:t>certain activities (</w:t>
      </w:r>
      <w:r w:rsidR="00E70CB8">
        <w:rPr>
          <w:lang w:val="en-GB"/>
        </w:rPr>
        <w:t xml:space="preserve">including </w:t>
      </w:r>
      <w:r>
        <w:rPr>
          <w:lang w:val="en-GB"/>
        </w:rPr>
        <w:t xml:space="preserve">the </w:t>
      </w:r>
      <w:r w:rsidR="00E70CB8">
        <w:rPr>
          <w:lang w:val="en-GB"/>
        </w:rPr>
        <w:t xml:space="preserve">newly prescribed </w:t>
      </w:r>
      <w:r>
        <w:rPr>
          <w:lang w:val="en-GB"/>
        </w:rPr>
        <w:t xml:space="preserve">production of </w:t>
      </w:r>
      <w:r w:rsidRPr="00EA6D86">
        <w:rPr>
          <w:lang w:val="en-GB"/>
        </w:rPr>
        <w:t>ferrovanadium</w:t>
      </w:r>
      <w:r w:rsidR="00E70CB8">
        <w:rPr>
          <w:lang w:val="en-GB"/>
        </w:rPr>
        <w:t xml:space="preserve"> and the rendering of animal by</w:t>
      </w:r>
      <w:r w:rsidR="00E70CB8">
        <w:rPr>
          <w:lang w:val="en-GB"/>
        </w:rPr>
        <w:noBreakHyphen/>
        <w:t>products activities</w:t>
      </w:r>
      <w:r>
        <w:rPr>
          <w:lang w:val="en-GB"/>
        </w:rPr>
        <w:t>)</w:t>
      </w:r>
      <w:r w:rsidRPr="00EA6D86">
        <w:rPr>
          <w:lang w:val="en-GB"/>
        </w:rPr>
        <w:t xml:space="preserve"> </w:t>
      </w:r>
      <w:r w:rsidR="00E17D99">
        <w:rPr>
          <w:lang w:val="en-GB"/>
        </w:rPr>
        <w:t xml:space="preserve">may </w:t>
      </w:r>
      <w:r w:rsidRPr="00EA6D86">
        <w:rPr>
          <w:lang w:val="en-GB"/>
        </w:rPr>
        <w:t>be based on production for the 2012</w:t>
      </w:r>
      <w:r w:rsidRPr="00EA6D86">
        <w:rPr>
          <w:lang w:val="en-GB"/>
        </w:rPr>
        <w:noBreakHyphen/>
        <w:t>13 and 2013</w:t>
      </w:r>
      <w:r w:rsidRPr="00EA6D86">
        <w:rPr>
          <w:lang w:val="en-GB"/>
        </w:rPr>
        <w:noBreakHyphen/>
        <w:t>14 years respectively, rather than providing production data for the previous financ</w:t>
      </w:r>
      <w:r w:rsidR="004719D6">
        <w:rPr>
          <w:lang w:val="en-GB"/>
        </w:rPr>
        <w:t>ial year (2011</w:t>
      </w:r>
      <w:r w:rsidR="004719D6">
        <w:rPr>
          <w:lang w:val="en-GB"/>
        </w:rPr>
        <w:noBreakHyphen/>
        <w:t>12 and 2012</w:t>
      </w:r>
      <w:r w:rsidR="004719D6">
        <w:rPr>
          <w:lang w:val="en-GB"/>
        </w:rPr>
        <w:noBreakHyphen/>
        <w:t>13).</w:t>
      </w:r>
    </w:p>
    <w:p w:rsidR="006A7FEB" w:rsidRPr="00EA6D86" w:rsidRDefault="006A7FEB" w:rsidP="00B179E4">
      <w:pPr>
        <w:rPr>
          <w:lang w:val="en-GB"/>
        </w:rPr>
      </w:pPr>
      <w:r w:rsidRPr="00EA6D86">
        <w:rPr>
          <w:lang w:val="en-GB"/>
        </w:rPr>
        <w:t xml:space="preserve">This allows the applicants to provide to the Regulator audited information on actual production at the facility </w:t>
      </w:r>
      <w:r w:rsidR="000E1E21">
        <w:rPr>
          <w:lang w:val="en-GB"/>
        </w:rPr>
        <w:t xml:space="preserve">for the relevant financial year of the application </w:t>
      </w:r>
      <w:r w:rsidRPr="00EA6D86">
        <w:rPr>
          <w:lang w:val="en-GB"/>
        </w:rPr>
        <w:t>in order to calculate the free carbon units</w:t>
      </w:r>
      <w:r>
        <w:rPr>
          <w:lang w:val="en-GB"/>
        </w:rPr>
        <w:t xml:space="preserve">. Given that production for the two eligible financial years is available, allowing actual production to be used avoids </w:t>
      </w:r>
      <w:r w:rsidRPr="00EA6D86">
        <w:rPr>
          <w:lang w:val="en-GB"/>
        </w:rPr>
        <w:t xml:space="preserve">the </w:t>
      </w:r>
      <w:r>
        <w:rPr>
          <w:lang w:val="en-GB"/>
        </w:rPr>
        <w:t xml:space="preserve">process usually undertaken for </w:t>
      </w:r>
      <w:r w:rsidR="00E17D99">
        <w:rPr>
          <w:lang w:val="en-GB"/>
        </w:rPr>
        <w:t xml:space="preserve">other </w:t>
      </w:r>
      <w:r>
        <w:rPr>
          <w:lang w:val="en-GB"/>
        </w:rPr>
        <w:t xml:space="preserve">JCP applications where </w:t>
      </w:r>
      <w:r w:rsidRPr="00EA6D86">
        <w:rPr>
          <w:lang w:val="en-GB"/>
        </w:rPr>
        <w:t>the Regulator calculate</w:t>
      </w:r>
      <w:r>
        <w:rPr>
          <w:lang w:val="en-GB"/>
        </w:rPr>
        <w:t>s</w:t>
      </w:r>
      <w:r w:rsidRPr="00EA6D86">
        <w:rPr>
          <w:lang w:val="en-GB"/>
        </w:rPr>
        <w:t xml:space="preserve"> the number of free carbon units </w:t>
      </w:r>
      <w:r>
        <w:rPr>
          <w:lang w:val="en-GB"/>
        </w:rPr>
        <w:t xml:space="preserve">based </w:t>
      </w:r>
      <w:r w:rsidRPr="00EA6D86">
        <w:rPr>
          <w:lang w:val="en-GB"/>
        </w:rPr>
        <w:t>on the previous financial year’s production and then undertake</w:t>
      </w:r>
      <w:r w:rsidR="00E70CB8">
        <w:rPr>
          <w:lang w:val="en-GB"/>
        </w:rPr>
        <w:t>s</w:t>
      </w:r>
      <w:r w:rsidRPr="00EA6D86">
        <w:rPr>
          <w:lang w:val="en-GB"/>
        </w:rPr>
        <w:t xml:space="preserve"> a process to true-up the allocation of free carbon units based on the actual production.</w:t>
      </w:r>
    </w:p>
    <w:p w:rsidR="00E64697" w:rsidRPr="000E1E21" w:rsidRDefault="00E64697" w:rsidP="00690FF5">
      <w:pPr>
        <w:rPr>
          <w:b/>
          <w:lang w:val="en-GB"/>
        </w:rPr>
      </w:pPr>
      <w:r w:rsidRPr="000E1E21">
        <w:rPr>
          <w:b/>
          <w:lang w:val="en-GB"/>
        </w:rPr>
        <w:t>Item 1</w:t>
      </w:r>
      <w:r w:rsidR="000E1E21" w:rsidRPr="000E1E21">
        <w:rPr>
          <w:b/>
          <w:lang w:val="en-GB"/>
        </w:rPr>
        <w:t>3</w:t>
      </w:r>
      <w:r w:rsidRPr="000E1E21">
        <w:rPr>
          <w:b/>
          <w:lang w:val="en-GB"/>
        </w:rPr>
        <w:t xml:space="preserve"> – After </w:t>
      </w:r>
      <w:proofErr w:type="spellStart"/>
      <w:r w:rsidRPr="000E1E21">
        <w:rPr>
          <w:b/>
          <w:lang w:val="en-GB"/>
        </w:rPr>
        <w:t>subclause</w:t>
      </w:r>
      <w:proofErr w:type="spellEnd"/>
      <w:r w:rsidRPr="000E1E21">
        <w:rPr>
          <w:b/>
          <w:lang w:val="en-GB"/>
        </w:rPr>
        <w:t xml:space="preserve"> 912(</w:t>
      </w:r>
      <w:r w:rsidR="000E1E21" w:rsidRPr="000E1E21">
        <w:rPr>
          <w:b/>
          <w:lang w:val="en-GB"/>
        </w:rPr>
        <w:t>5</w:t>
      </w:r>
      <w:r w:rsidRPr="000E1E21">
        <w:rPr>
          <w:b/>
          <w:lang w:val="en-GB"/>
        </w:rPr>
        <w:t>) of Schedule 1</w:t>
      </w:r>
    </w:p>
    <w:p w:rsidR="00347D02" w:rsidRDefault="00E64697" w:rsidP="00690FF5">
      <w:pPr>
        <w:rPr>
          <w:lang w:val="en-GB"/>
        </w:rPr>
      </w:pPr>
      <w:r w:rsidRPr="00DE1DDD">
        <w:rPr>
          <w:lang w:val="en-GB"/>
        </w:rPr>
        <w:t>This item inserts a</w:t>
      </w:r>
      <w:r w:rsidR="007F6F12" w:rsidRPr="00DE1DDD">
        <w:rPr>
          <w:lang w:val="en-GB"/>
        </w:rPr>
        <w:t xml:space="preserve">n alternative </w:t>
      </w:r>
      <w:r w:rsidR="00347D02">
        <w:rPr>
          <w:lang w:val="en-GB"/>
        </w:rPr>
        <w:t xml:space="preserve">to the </w:t>
      </w:r>
      <w:r w:rsidR="00D55419" w:rsidRPr="00DE1DDD">
        <w:rPr>
          <w:lang w:val="en-GB"/>
        </w:rPr>
        <w:t xml:space="preserve">sub-threshold adjustment </w:t>
      </w:r>
      <w:r w:rsidR="00347D02">
        <w:rPr>
          <w:lang w:val="en-GB"/>
        </w:rPr>
        <w:t xml:space="preserve">under </w:t>
      </w:r>
      <w:r w:rsidR="00B326C6" w:rsidRPr="00DE1DDD">
        <w:rPr>
          <w:lang w:val="en-GB"/>
        </w:rPr>
        <w:t>Method</w:t>
      </w:r>
      <w:r w:rsidR="007F6F12" w:rsidRPr="00DE1DDD">
        <w:rPr>
          <w:lang w:val="en-GB"/>
        </w:rPr>
        <w:t> </w:t>
      </w:r>
      <w:r w:rsidR="00B326C6" w:rsidRPr="00DE1DDD">
        <w:rPr>
          <w:lang w:val="en-GB"/>
        </w:rPr>
        <w:t>1</w:t>
      </w:r>
      <w:r w:rsidR="000E1E21" w:rsidRPr="00DE1DDD">
        <w:rPr>
          <w:lang w:val="en-GB"/>
        </w:rPr>
        <w:t xml:space="preserve"> </w:t>
      </w:r>
      <w:r w:rsidR="00D55419" w:rsidRPr="00DE1DDD">
        <w:rPr>
          <w:lang w:val="en-GB"/>
        </w:rPr>
        <w:t xml:space="preserve">for applications where the adjustment would otherwise result in a negative allocation </w:t>
      </w:r>
      <w:r w:rsidR="00B326C6" w:rsidRPr="00DE1DDD">
        <w:rPr>
          <w:lang w:val="en-GB"/>
        </w:rPr>
        <w:t xml:space="preserve">for </w:t>
      </w:r>
      <w:r w:rsidR="007F6F12" w:rsidRPr="00DE1DDD">
        <w:rPr>
          <w:lang w:val="en-GB"/>
        </w:rPr>
        <w:t>a sub</w:t>
      </w:r>
      <w:r w:rsidR="007F6F12" w:rsidRPr="00DE1DDD">
        <w:rPr>
          <w:lang w:val="en-GB"/>
        </w:rPr>
        <w:noBreakHyphen/>
        <w:t xml:space="preserve">threshold </w:t>
      </w:r>
      <w:r w:rsidR="00D55419" w:rsidRPr="00DE1DDD">
        <w:rPr>
          <w:lang w:val="en-GB"/>
        </w:rPr>
        <w:t xml:space="preserve">facility. </w:t>
      </w:r>
      <w:r w:rsidR="00DE1DDD">
        <w:rPr>
          <w:lang w:val="en-GB"/>
        </w:rPr>
        <w:t xml:space="preserve">This item provides that in </w:t>
      </w:r>
      <w:r w:rsidR="00D55419" w:rsidRPr="00DE1DDD">
        <w:rPr>
          <w:lang w:val="en-GB"/>
        </w:rPr>
        <w:t xml:space="preserve">these cases, the </w:t>
      </w:r>
      <w:r w:rsidR="00DE1DDD">
        <w:rPr>
          <w:lang w:val="en-GB"/>
        </w:rPr>
        <w:t xml:space="preserve">sub-threshold adjustment would be to reduce the number of free carbon units that are to be issued to an eligible applicant by </w:t>
      </w:r>
      <w:r w:rsidR="00357401">
        <w:rPr>
          <w:lang w:val="en-GB"/>
        </w:rPr>
        <w:t xml:space="preserve">an equivalent number of carbon units to the </w:t>
      </w:r>
      <w:r w:rsidR="00E636B0">
        <w:rPr>
          <w:lang w:val="en-GB"/>
        </w:rPr>
        <w:t xml:space="preserve">allocation for the direct emissions baseline of an activity (that is, the EI allocation) </w:t>
      </w:r>
      <w:r w:rsidR="00357401" w:rsidRPr="00E636B0">
        <w:rPr>
          <w:lang w:val="en-GB"/>
        </w:rPr>
        <w:t>that was provided to an applica</w:t>
      </w:r>
      <w:r w:rsidR="00E636B0" w:rsidRPr="00E636B0">
        <w:rPr>
          <w:lang w:val="en-GB"/>
        </w:rPr>
        <w:t>nt</w:t>
      </w:r>
      <w:r w:rsidR="00357401" w:rsidRPr="00E636B0">
        <w:rPr>
          <w:lang w:val="en-GB"/>
        </w:rPr>
        <w:t xml:space="preserve"> in the previous</w:t>
      </w:r>
      <w:r w:rsidR="00357401">
        <w:rPr>
          <w:lang w:val="en-GB"/>
        </w:rPr>
        <w:t xml:space="preserve"> financial year.</w:t>
      </w:r>
    </w:p>
    <w:p w:rsidR="00E64697" w:rsidRPr="00E64697" w:rsidRDefault="00357401" w:rsidP="00690FF5">
      <w:pPr>
        <w:rPr>
          <w:lang w:val="en-GB"/>
        </w:rPr>
      </w:pPr>
      <w:r>
        <w:rPr>
          <w:lang w:val="en-GB"/>
        </w:rPr>
        <w:t xml:space="preserve">The effect of this </w:t>
      </w:r>
      <w:r w:rsidR="008E0585">
        <w:rPr>
          <w:lang w:val="en-GB"/>
        </w:rPr>
        <w:t xml:space="preserve">provision </w:t>
      </w:r>
      <w:r w:rsidR="007F6F12" w:rsidRPr="00DE1DDD">
        <w:rPr>
          <w:lang w:val="en-GB"/>
        </w:rPr>
        <w:t xml:space="preserve">would be </w:t>
      </w:r>
      <w:r>
        <w:rPr>
          <w:lang w:val="en-GB"/>
        </w:rPr>
        <w:t xml:space="preserve">to </w:t>
      </w:r>
      <w:r w:rsidR="008E0585">
        <w:rPr>
          <w:lang w:val="en-GB"/>
        </w:rPr>
        <w:t>allow the Regulator to make an ex</w:t>
      </w:r>
      <w:r w:rsidR="008E0585">
        <w:rPr>
          <w:lang w:val="en-GB"/>
        </w:rPr>
        <w:noBreakHyphen/>
        <w:t xml:space="preserve">post </w:t>
      </w:r>
      <w:r w:rsidR="00347D02">
        <w:rPr>
          <w:lang w:val="en-GB"/>
        </w:rPr>
        <w:t>adjust</w:t>
      </w:r>
      <w:r w:rsidR="008E0585">
        <w:rPr>
          <w:lang w:val="en-GB"/>
        </w:rPr>
        <w:t xml:space="preserve">ment to </w:t>
      </w:r>
      <w:r>
        <w:rPr>
          <w:lang w:val="en-GB"/>
        </w:rPr>
        <w:t>a sub</w:t>
      </w:r>
      <w:r>
        <w:rPr>
          <w:lang w:val="en-GB"/>
        </w:rPr>
        <w:noBreakHyphen/>
        <w:t>threshold facility</w:t>
      </w:r>
      <w:r w:rsidR="00347D02">
        <w:rPr>
          <w:lang w:val="en-GB"/>
        </w:rPr>
        <w:t xml:space="preserve">’s allocation </w:t>
      </w:r>
      <w:r w:rsidR="00E636B0">
        <w:rPr>
          <w:lang w:val="en-GB"/>
        </w:rPr>
        <w:t xml:space="preserve">for its </w:t>
      </w:r>
      <w:r w:rsidR="00347D02">
        <w:rPr>
          <w:lang w:val="en-GB"/>
        </w:rPr>
        <w:t>2013</w:t>
      </w:r>
      <w:r w:rsidR="00347D02">
        <w:rPr>
          <w:lang w:val="en-GB"/>
        </w:rPr>
        <w:noBreakHyphen/>
        <w:t xml:space="preserve">14 </w:t>
      </w:r>
      <w:r w:rsidR="00E636B0">
        <w:rPr>
          <w:lang w:val="en-GB"/>
        </w:rPr>
        <w:t xml:space="preserve">application </w:t>
      </w:r>
      <w:r w:rsidR="00123747">
        <w:rPr>
          <w:lang w:val="en-GB"/>
        </w:rPr>
        <w:t>as if the</w:t>
      </w:r>
      <w:r>
        <w:rPr>
          <w:lang w:val="en-GB"/>
        </w:rPr>
        <w:t xml:space="preserve"> EI allocation in </w:t>
      </w:r>
      <w:r w:rsidR="00123747">
        <w:rPr>
          <w:lang w:val="en-GB"/>
        </w:rPr>
        <w:t>2012</w:t>
      </w:r>
      <w:r w:rsidR="00123747">
        <w:rPr>
          <w:lang w:val="en-GB"/>
        </w:rPr>
        <w:noBreakHyphen/>
        <w:t>13 were</w:t>
      </w:r>
      <w:r w:rsidR="008E0585">
        <w:rPr>
          <w:lang w:val="en-GB"/>
        </w:rPr>
        <w:t xml:space="preserve"> </w:t>
      </w:r>
      <w:r w:rsidR="007F6F12" w:rsidRPr="00DE1DDD">
        <w:rPr>
          <w:lang w:val="en-GB"/>
        </w:rPr>
        <w:t>zero</w:t>
      </w:r>
      <w:r w:rsidR="008E0585">
        <w:rPr>
          <w:lang w:val="en-GB"/>
        </w:rPr>
        <w:t>.</w:t>
      </w:r>
      <w:r w:rsidR="007F6F12" w:rsidRPr="00DE1DDD">
        <w:rPr>
          <w:lang w:val="en-GB"/>
        </w:rPr>
        <w:t xml:space="preserve"> </w:t>
      </w:r>
      <w:r>
        <w:rPr>
          <w:lang w:val="en-GB"/>
        </w:rPr>
        <w:t>This would avoid a situation where a sub</w:t>
      </w:r>
      <w:r w:rsidR="00123747">
        <w:rPr>
          <w:lang w:val="en-GB"/>
        </w:rPr>
        <w:noBreakHyphen/>
      </w:r>
      <w:r>
        <w:rPr>
          <w:lang w:val="en-GB"/>
        </w:rPr>
        <w:t>threshold adjustment under M</w:t>
      </w:r>
      <w:r w:rsidRPr="005E0DD2">
        <w:rPr>
          <w:lang w:val="en-GB"/>
        </w:rPr>
        <w:t>ethod 1</w:t>
      </w:r>
      <w:r w:rsidR="005E0DD2" w:rsidRPr="005E0DD2">
        <w:rPr>
          <w:lang w:val="en-GB"/>
        </w:rPr>
        <w:t xml:space="preserve"> </w:t>
      </w:r>
      <w:r w:rsidR="00535145" w:rsidRPr="005E0DD2">
        <w:rPr>
          <w:lang w:val="en-GB"/>
        </w:rPr>
        <w:t>(w</w:t>
      </w:r>
      <w:r w:rsidR="00535145" w:rsidRPr="00DE1DDD">
        <w:rPr>
          <w:lang w:val="en-GB"/>
        </w:rPr>
        <w:t xml:space="preserve">here Method 2 </w:t>
      </w:r>
      <w:r w:rsidR="00535145">
        <w:rPr>
          <w:lang w:val="en-GB"/>
        </w:rPr>
        <w:t>was not possible</w:t>
      </w:r>
      <w:r w:rsidR="00535145" w:rsidRPr="00DE1DDD">
        <w:rPr>
          <w:lang w:val="en-GB"/>
        </w:rPr>
        <w:t>)</w:t>
      </w:r>
      <w:r>
        <w:rPr>
          <w:lang w:val="en-GB"/>
        </w:rPr>
        <w:t xml:space="preserve"> would result in a negative allocation because a facility’s total direct emissions </w:t>
      </w:r>
      <w:r w:rsidR="00123747">
        <w:rPr>
          <w:lang w:val="en-GB"/>
        </w:rPr>
        <w:t xml:space="preserve">(excluding emissions from combustion of natural gas) </w:t>
      </w:r>
      <w:r>
        <w:rPr>
          <w:lang w:val="en-GB"/>
        </w:rPr>
        <w:t xml:space="preserve">are greater than </w:t>
      </w:r>
      <w:r w:rsidR="00123747">
        <w:rPr>
          <w:lang w:val="en-GB"/>
        </w:rPr>
        <w:t xml:space="preserve">its </w:t>
      </w:r>
      <w:r>
        <w:rPr>
          <w:lang w:val="en-GB"/>
        </w:rPr>
        <w:t xml:space="preserve">allocation in </w:t>
      </w:r>
      <w:r w:rsidR="00123747">
        <w:rPr>
          <w:lang w:val="en-GB"/>
        </w:rPr>
        <w:t>the previous year</w:t>
      </w:r>
      <w:r w:rsidR="00B326C6" w:rsidRPr="00DE1DDD">
        <w:rPr>
          <w:lang w:val="en-GB"/>
        </w:rPr>
        <w:t>.</w:t>
      </w:r>
    </w:p>
    <w:p w:rsidR="00690FF5" w:rsidRPr="00E64697" w:rsidRDefault="00690FF5" w:rsidP="00690FF5">
      <w:pPr>
        <w:rPr>
          <w:b/>
          <w:lang w:val="en-GB"/>
        </w:rPr>
      </w:pPr>
      <w:r w:rsidRPr="00E64697">
        <w:rPr>
          <w:b/>
          <w:lang w:val="en-GB"/>
        </w:rPr>
        <w:lastRenderedPageBreak/>
        <w:t xml:space="preserve">Item </w:t>
      </w:r>
      <w:r w:rsidR="00B326C6">
        <w:rPr>
          <w:b/>
          <w:lang w:val="en-GB"/>
        </w:rPr>
        <w:t>1</w:t>
      </w:r>
      <w:r w:rsidR="00CA092E">
        <w:rPr>
          <w:b/>
          <w:lang w:val="en-GB"/>
        </w:rPr>
        <w:t>4</w:t>
      </w:r>
      <w:r w:rsidRPr="00E64697">
        <w:rPr>
          <w:b/>
          <w:lang w:val="en-GB"/>
        </w:rPr>
        <w:t xml:space="preserve"> – After </w:t>
      </w:r>
      <w:proofErr w:type="spellStart"/>
      <w:r w:rsidRPr="00E64697">
        <w:rPr>
          <w:b/>
          <w:lang w:val="en-GB"/>
        </w:rPr>
        <w:t>subclause</w:t>
      </w:r>
      <w:proofErr w:type="spellEnd"/>
      <w:r w:rsidRPr="00E64697">
        <w:rPr>
          <w:b/>
          <w:lang w:val="en-GB"/>
        </w:rPr>
        <w:t xml:space="preserve"> 1206(1) of Schedule 1</w:t>
      </w:r>
    </w:p>
    <w:p w:rsidR="00CA092E" w:rsidRDefault="00690FF5" w:rsidP="00CA092E">
      <w:pPr>
        <w:rPr>
          <w:b/>
          <w:bCs/>
          <w:i/>
          <w:iCs/>
        </w:rPr>
      </w:pPr>
      <w:r w:rsidRPr="00EA6D86">
        <w:rPr>
          <w:lang w:val="en-GB"/>
        </w:rPr>
        <w:t xml:space="preserve">This item </w:t>
      </w:r>
      <w:r>
        <w:rPr>
          <w:lang w:val="en-GB"/>
        </w:rPr>
        <w:t xml:space="preserve">inserts a new </w:t>
      </w:r>
      <w:proofErr w:type="spellStart"/>
      <w:r>
        <w:rPr>
          <w:lang w:val="en-GB"/>
        </w:rPr>
        <w:t>subclause</w:t>
      </w:r>
      <w:proofErr w:type="spellEnd"/>
      <w:r>
        <w:rPr>
          <w:lang w:val="en-GB"/>
        </w:rPr>
        <w:t xml:space="preserve"> 1206(1A) to provide that the requirement to report to the Regulator that no application will be made in the following financial year does not apply if that following financial year </w:t>
      </w:r>
      <w:r w:rsidRPr="00295B5D">
        <w:rPr>
          <w:lang w:val="en-GB"/>
        </w:rPr>
        <w:t>commences on 1 July</w:t>
      </w:r>
      <w:r w:rsidR="00F32000" w:rsidRPr="00295B5D">
        <w:rPr>
          <w:lang w:val="en-GB"/>
        </w:rPr>
        <w:t> </w:t>
      </w:r>
      <w:r w:rsidRPr="00295B5D">
        <w:rPr>
          <w:lang w:val="en-GB"/>
        </w:rPr>
        <w:t>2013 or a later</w:t>
      </w:r>
      <w:r>
        <w:rPr>
          <w:lang w:val="en-GB"/>
        </w:rPr>
        <w:t xml:space="preserve"> date. This is intended to clarify that with the repeal of the carbon tax legislation, the JCP will not operate for the 2014</w:t>
      </w:r>
      <w:r>
        <w:rPr>
          <w:lang w:val="en-GB"/>
        </w:rPr>
        <w:noBreakHyphen/>
        <w:t>15 compliance year or a later year, so</w:t>
      </w:r>
      <w:r w:rsidR="004719D6">
        <w:rPr>
          <w:lang w:val="en-GB"/>
        </w:rPr>
        <w:t xml:space="preserve"> the Regulator is aware that</w:t>
      </w:r>
      <w:r>
        <w:rPr>
          <w:lang w:val="en-GB"/>
        </w:rPr>
        <w:t xml:space="preserve"> no applications for free units will be made after the 2013</w:t>
      </w:r>
      <w:r>
        <w:rPr>
          <w:lang w:val="en-GB"/>
        </w:rPr>
        <w:noBreakHyphen/>
        <w:t>14 comp</w:t>
      </w:r>
      <w:r w:rsidR="00F32000">
        <w:rPr>
          <w:lang w:val="en-GB"/>
        </w:rPr>
        <w:t>l</w:t>
      </w:r>
      <w:r>
        <w:rPr>
          <w:lang w:val="en-GB"/>
        </w:rPr>
        <w:t>iance year.</w:t>
      </w:r>
    </w:p>
    <w:p w:rsidR="00CB0A07" w:rsidRPr="00CA092E" w:rsidRDefault="00DB455F" w:rsidP="00CA092E">
      <w:pPr>
        <w:rPr>
          <w:b/>
          <w:bCs/>
          <w:i/>
          <w:iCs/>
          <w:highlight w:val="yellow"/>
        </w:rPr>
      </w:pPr>
      <w:r w:rsidRPr="003660C0">
        <w:rPr>
          <w:b/>
          <w:bCs/>
          <w:i/>
          <w:iCs/>
        </w:rPr>
        <w:t>Renewable Energy (Electricity) Regulations 2001</w:t>
      </w:r>
    </w:p>
    <w:p w:rsidR="003740B2" w:rsidRPr="00697E5F" w:rsidRDefault="00DB455F" w:rsidP="003740B2">
      <w:pPr>
        <w:rPr>
          <w:b/>
          <w:lang w:val="en-GB"/>
        </w:rPr>
      </w:pPr>
      <w:r w:rsidRPr="00697E5F">
        <w:rPr>
          <w:b/>
          <w:lang w:val="en-GB"/>
        </w:rPr>
        <w:t xml:space="preserve">Item </w:t>
      </w:r>
      <w:r w:rsidR="003660C0" w:rsidRPr="00697E5F">
        <w:rPr>
          <w:b/>
          <w:lang w:val="en-GB"/>
        </w:rPr>
        <w:t>1</w:t>
      </w:r>
      <w:r w:rsidR="00CA092E">
        <w:rPr>
          <w:b/>
          <w:lang w:val="en-GB"/>
        </w:rPr>
        <w:t>5</w:t>
      </w:r>
      <w:r w:rsidRPr="00697E5F">
        <w:rPr>
          <w:b/>
          <w:lang w:val="en-GB"/>
        </w:rPr>
        <w:t xml:space="preserve"> –</w:t>
      </w:r>
      <w:r w:rsidR="00520807" w:rsidRPr="00697E5F">
        <w:rPr>
          <w:b/>
          <w:lang w:val="en-GB"/>
        </w:rPr>
        <w:t xml:space="preserve"> </w:t>
      </w:r>
      <w:r w:rsidR="00F32000" w:rsidRPr="00697E5F">
        <w:rPr>
          <w:b/>
          <w:lang w:val="en-GB"/>
        </w:rPr>
        <w:t>After paragraph 715(c)</w:t>
      </w:r>
      <w:r w:rsidR="003740B2" w:rsidRPr="00697E5F">
        <w:rPr>
          <w:b/>
          <w:lang w:val="en-GB"/>
        </w:rPr>
        <w:t xml:space="preserve"> of Schedule 6</w:t>
      </w:r>
    </w:p>
    <w:p w:rsidR="00697E5F" w:rsidRDefault="00697E5F" w:rsidP="00697E5F">
      <w:pPr>
        <w:keepLines/>
        <w:spacing w:before="100" w:beforeAutospacing="1" w:after="100" w:afterAutospacing="1"/>
        <w:ind w:right="91"/>
      </w:pPr>
      <w:r w:rsidRPr="006D10DB">
        <w:t>This item inserts a new condition under the description of relevant product in the ‘production of magnetite concentrate’ eligible activity</w:t>
      </w:r>
      <w:r w:rsidR="004719D6">
        <w:t>. This description cl</w:t>
      </w:r>
      <w:r w:rsidRPr="006D10DB">
        <w:t>arif</w:t>
      </w:r>
      <w:r w:rsidR="004719D6">
        <w:t>ies</w:t>
      </w:r>
      <w:r w:rsidRPr="006D10DB">
        <w:t xml:space="preserve"> that any magnetite concentrate that is included as relevant product </w:t>
      </w:r>
      <w:r w:rsidR="004719D6">
        <w:t xml:space="preserve">for assistance under the </w:t>
      </w:r>
      <w:r w:rsidRPr="006D10DB">
        <w:t>magnetite concentrate activity is not also able to be the same magnetite concentrate that is further refined to produce ferrovanadium under the ‘production of ferrovanadium’ activity.</w:t>
      </w:r>
    </w:p>
    <w:p w:rsidR="00697E5F" w:rsidRPr="006D10DB" w:rsidRDefault="00697E5F" w:rsidP="00697E5F">
      <w:pPr>
        <w:keepLines/>
        <w:spacing w:before="100" w:beforeAutospacing="1" w:after="100" w:afterAutospacing="1"/>
        <w:ind w:right="91"/>
      </w:pPr>
      <w:r>
        <w:t>This item is intended to prevent double dipping of assistance by clarifying that any output of magnetite concentrate that is eligible for assistance as relevant product under the ‘production of magnetite concentrate’ activity is not also eligible to be used in the ‘production of ferrovanadium’ activity.</w:t>
      </w:r>
    </w:p>
    <w:p w:rsidR="00697E5F" w:rsidRPr="001C338B" w:rsidRDefault="00697E5F" w:rsidP="00697E5F">
      <w:pPr>
        <w:keepLines/>
        <w:spacing w:before="100" w:beforeAutospacing="1" w:after="100" w:afterAutospacing="1"/>
        <w:ind w:right="91"/>
        <w:rPr>
          <w:b/>
        </w:rPr>
      </w:pPr>
      <w:r w:rsidRPr="001C338B">
        <w:rPr>
          <w:b/>
        </w:rPr>
        <w:t xml:space="preserve">Item </w:t>
      </w:r>
      <w:r>
        <w:rPr>
          <w:b/>
        </w:rPr>
        <w:t>1</w:t>
      </w:r>
      <w:r w:rsidR="00CA092E">
        <w:rPr>
          <w:b/>
        </w:rPr>
        <w:t>6</w:t>
      </w:r>
      <w:r w:rsidRPr="001C338B">
        <w:rPr>
          <w:b/>
        </w:rPr>
        <w:t xml:space="preserve"> – Paragraph </w:t>
      </w:r>
      <w:r>
        <w:rPr>
          <w:b/>
        </w:rPr>
        <w:t>7</w:t>
      </w:r>
      <w:r w:rsidRPr="001C338B">
        <w:rPr>
          <w:b/>
        </w:rPr>
        <w:t xml:space="preserve">52(1)(b) of Schedule </w:t>
      </w:r>
      <w:r>
        <w:rPr>
          <w:b/>
        </w:rPr>
        <w:t>6</w:t>
      </w:r>
    </w:p>
    <w:p w:rsidR="00697E5F" w:rsidRDefault="00697E5F" w:rsidP="00697E5F">
      <w:pPr>
        <w:keepLines/>
        <w:spacing w:before="100" w:beforeAutospacing="1" w:after="100" w:afterAutospacing="1"/>
      </w:pPr>
      <w:r w:rsidRPr="00520807">
        <w:t xml:space="preserve">This item replaces </w:t>
      </w:r>
      <w:r>
        <w:t>paragraph 7</w:t>
      </w:r>
      <w:r w:rsidRPr="00520807">
        <w:t>52(1)</w:t>
      </w:r>
      <w:r>
        <w:t xml:space="preserve">(b) in the </w:t>
      </w:r>
      <w:r w:rsidRPr="00520807">
        <w:t xml:space="preserve">description of the </w:t>
      </w:r>
      <w:r>
        <w:t>‘</w:t>
      </w:r>
      <w:r w:rsidRPr="00520807">
        <w:t>production of coal char</w:t>
      </w:r>
      <w:r>
        <w:t>’</w:t>
      </w:r>
      <w:r w:rsidRPr="00520807">
        <w:t xml:space="preserve"> activity with a new </w:t>
      </w:r>
      <w:r>
        <w:t>paragraph 7</w:t>
      </w:r>
      <w:r w:rsidRPr="00520807">
        <w:t>52(1)</w:t>
      </w:r>
      <w:r>
        <w:t>(b)</w:t>
      </w:r>
      <w:r w:rsidR="005F7B55">
        <w:t xml:space="preserve">. This item </w:t>
      </w:r>
      <w:r w:rsidRPr="00520807">
        <w:t>remove</w:t>
      </w:r>
      <w:r w:rsidR="005F7B55">
        <w:t>s</w:t>
      </w:r>
      <w:r w:rsidRPr="00520807">
        <w:t xml:space="preserve"> the criteria that the </w:t>
      </w:r>
      <w:r w:rsidR="005F7B55">
        <w:t xml:space="preserve">coal char </w:t>
      </w:r>
      <w:r w:rsidRPr="00520807">
        <w:t>output exhibits a silicon dioxide reactivity</w:t>
      </w:r>
      <w:r>
        <w:t xml:space="preserve"> and </w:t>
      </w:r>
      <w:r w:rsidR="005F7B55">
        <w:t xml:space="preserve">replaces this with </w:t>
      </w:r>
      <w:r w:rsidRPr="00520807">
        <w:t>a new specification that the coal char has a fixed carbon content of greater than or equal to 92</w:t>
      </w:r>
      <w:r>
        <w:t> per cent</w:t>
      </w:r>
      <w:r w:rsidRPr="00520807">
        <w:t xml:space="preserve"> after production.</w:t>
      </w:r>
    </w:p>
    <w:p w:rsidR="00606DA0" w:rsidRPr="00F32000" w:rsidRDefault="00606DA0" w:rsidP="00606DA0">
      <w:pPr>
        <w:rPr>
          <w:lang w:val="en-GB"/>
        </w:rPr>
      </w:pPr>
      <w:r>
        <w:rPr>
          <w:lang w:val="en-GB"/>
        </w:rPr>
        <w:t>T</w:t>
      </w:r>
      <w:r w:rsidRPr="00F32000">
        <w:rPr>
          <w:lang w:val="en-GB"/>
        </w:rPr>
        <w:t xml:space="preserve">his new description of the activity applies to any PEC application for the 2015 year onwards. </w:t>
      </w:r>
    </w:p>
    <w:p w:rsidR="00697E5F" w:rsidRPr="001C338B" w:rsidRDefault="00697E5F" w:rsidP="00697E5F">
      <w:pPr>
        <w:keepLines/>
        <w:spacing w:before="100" w:beforeAutospacing="1" w:after="100" w:afterAutospacing="1"/>
        <w:ind w:right="91"/>
        <w:rPr>
          <w:b/>
        </w:rPr>
      </w:pPr>
      <w:r w:rsidRPr="001C338B">
        <w:rPr>
          <w:b/>
        </w:rPr>
        <w:t xml:space="preserve">Item </w:t>
      </w:r>
      <w:r>
        <w:rPr>
          <w:b/>
        </w:rPr>
        <w:t>1</w:t>
      </w:r>
      <w:r w:rsidR="00CA092E">
        <w:rPr>
          <w:b/>
        </w:rPr>
        <w:t>7</w:t>
      </w:r>
      <w:r w:rsidRPr="001C338B">
        <w:rPr>
          <w:b/>
        </w:rPr>
        <w:t xml:space="preserve"> – Paragraph </w:t>
      </w:r>
      <w:r>
        <w:rPr>
          <w:b/>
        </w:rPr>
        <w:t>754</w:t>
      </w:r>
      <w:r w:rsidRPr="001C338B">
        <w:rPr>
          <w:b/>
        </w:rPr>
        <w:t xml:space="preserve">(b) of Schedule </w:t>
      </w:r>
      <w:r>
        <w:rPr>
          <w:b/>
        </w:rPr>
        <w:t>6</w:t>
      </w:r>
    </w:p>
    <w:p w:rsidR="00697E5F" w:rsidRPr="00520807" w:rsidRDefault="00697E5F" w:rsidP="00697E5F">
      <w:pPr>
        <w:keepLines/>
        <w:spacing w:before="100" w:beforeAutospacing="1" w:after="100" w:afterAutospacing="1"/>
      </w:pPr>
      <w:r w:rsidRPr="00520807">
        <w:t xml:space="preserve">This item replaces </w:t>
      </w:r>
      <w:r>
        <w:t>paragraph</w:t>
      </w:r>
      <w:r w:rsidRPr="00520807">
        <w:t xml:space="preserve"> </w:t>
      </w:r>
      <w:r>
        <w:t>754(b)</w:t>
      </w:r>
      <w:r w:rsidRPr="00520807">
        <w:t xml:space="preserve">, which outlines the production of coal char for the purpose of describing the basis for </w:t>
      </w:r>
      <w:r>
        <w:t>partial exemption certificates</w:t>
      </w:r>
      <w:r w:rsidRPr="00520807">
        <w:t xml:space="preserve"> to eligible applicants</w:t>
      </w:r>
      <w:r w:rsidR="005F7B55">
        <w:t xml:space="preserve">. This item </w:t>
      </w:r>
      <w:r w:rsidR="005F7B55" w:rsidRPr="00520807">
        <w:t>remove</w:t>
      </w:r>
      <w:r w:rsidR="005F7B55">
        <w:t>s</w:t>
      </w:r>
      <w:r w:rsidR="005F7B55" w:rsidRPr="00520807">
        <w:t xml:space="preserve"> the criteria that the output exhibits silicon dioxide reactivity</w:t>
      </w:r>
      <w:r w:rsidR="005F7B55">
        <w:t xml:space="preserve"> adds </w:t>
      </w:r>
      <w:r w:rsidRPr="00520807">
        <w:t xml:space="preserve">a new </w:t>
      </w:r>
      <w:r>
        <w:t>paragraph</w:t>
      </w:r>
      <w:r w:rsidRPr="00520807">
        <w:t xml:space="preserve"> </w:t>
      </w:r>
      <w:r>
        <w:t>754(b)</w:t>
      </w:r>
      <w:r w:rsidRPr="00520807">
        <w:t xml:space="preserve"> </w:t>
      </w:r>
      <w:r w:rsidR="005F7B55">
        <w:t xml:space="preserve">to specify </w:t>
      </w:r>
      <w:r>
        <w:t xml:space="preserve">that </w:t>
      </w:r>
      <w:r w:rsidRPr="00520807">
        <w:t xml:space="preserve">the coal char has a fixed carbon content of greater than or equal to 92 per cent after production. </w:t>
      </w:r>
    </w:p>
    <w:p w:rsidR="00C247BB" w:rsidRPr="00F32000" w:rsidRDefault="00697E5F" w:rsidP="00F32000">
      <w:pPr>
        <w:rPr>
          <w:lang w:val="en-GB"/>
        </w:rPr>
      </w:pPr>
      <w:r>
        <w:rPr>
          <w:lang w:val="en-GB"/>
        </w:rPr>
        <w:t>T</w:t>
      </w:r>
      <w:r w:rsidR="00520807" w:rsidRPr="00F32000">
        <w:rPr>
          <w:lang w:val="en-GB"/>
        </w:rPr>
        <w:t xml:space="preserve">his new description of the activity applies to any PEC application for the 2015 year onwards. </w:t>
      </w:r>
    </w:p>
    <w:p w:rsidR="00CA092E" w:rsidRDefault="00CA092E" w:rsidP="003740B2">
      <w:pPr>
        <w:keepLines/>
        <w:spacing w:before="100" w:beforeAutospacing="1" w:after="100" w:afterAutospacing="1"/>
        <w:rPr>
          <w:b/>
        </w:rPr>
      </w:pPr>
    </w:p>
    <w:p w:rsidR="00CA092E" w:rsidRDefault="00CA092E" w:rsidP="003740B2">
      <w:pPr>
        <w:keepLines/>
        <w:spacing w:before="100" w:beforeAutospacing="1" w:after="100" w:afterAutospacing="1"/>
        <w:rPr>
          <w:b/>
        </w:rPr>
      </w:pPr>
    </w:p>
    <w:p w:rsidR="003740B2" w:rsidRPr="00295B5D" w:rsidRDefault="003740B2" w:rsidP="003740B2">
      <w:pPr>
        <w:keepLines/>
        <w:spacing w:before="100" w:beforeAutospacing="1" w:after="100" w:afterAutospacing="1"/>
        <w:rPr>
          <w:b/>
        </w:rPr>
      </w:pPr>
      <w:r w:rsidRPr="00295B5D">
        <w:rPr>
          <w:b/>
        </w:rPr>
        <w:lastRenderedPageBreak/>
        <w:t xml:space="preserve">Item </w:t>
      </w:r>
      <w:r w:rsidR="00295B5D" w:rsidRPr="00295B5D">
        <w:rPr>
          <w:b/>
        </w:rPr>
        <w:t>1</w:t>
      </w:r>
      <w:r w:rsidR="00CA092E">
        <w:rPr>
          <w:b/>
        </w:rPr>
        <w:t>8</w:t>
      </w:r>
      <w:r w:rsidRPr="00295B5D">
        <w:rPr>
          <w:b/>
        </w:rPr>
        <w:t xml:space="preserve"> – At the end of </w:t>
      </w:r>
      <w:r w:rsidR="00893079">
        <w:rPr>
          <w:b/>
        </w:rPr>
        <w:t>the Regulations</w:t>
      </w:r>
    </w:p>
    <w:p w:rsidR="007E399C" w:rsidRDefault="004D18D4" w:rsidP="00F32000">
      <w:pPr>
        <w:rPr>
          <w:lang w:val="en-GB"/>
        </w:rPr>
      </w:pPr>
      <w:r w:rsidRPr="00F32000">
        <w:rPr>
          <w:lang w:val="en-GB"/>
        </w:rPr>
        <w:t>This i</w:t>
      </w:r>
      <w:r w:rsidR="003740B2" w:rsidRPr="00F32000">
        <w:rPr>
          <w:lang w:val="en-GB"/>
        </w:rPr>
        <w:t>tem inserts in Schedule 6 to the RET Regulations new Part</w:t>
      </w:r>
      <w:r w:rsidR="00295B5D">
        <w:rPr>
          <w:lang w:val="en-GB"/>
        </w:rPr>
        <w:t>s</w:t>
      </w:r>
      <w:r w:rsidR="003740B2" w:rsidRPr="00F32000">
        <w:rPr>
          <w:lang w:val="en-GB"/>
        </w:rPr>
        <w:t xml:space="preserve"> 5</w:t>
      </w:r>
      <w:r w:rsidRPr="00F32000">
        <w:rPr>
          <w:lang w:val="en-GB"/>
        </w:rPr>
        <w:t>3</w:t>
      </w:r>
      <w:r w:rsidR="003740B2" w:rsidRPr="00F32000">
        <w:rPr>
          <w:lang w:val="en-GB"/>
        </w:rPr>
        <w:t xml:space="preserve"> </w:t>
      </w:r>
      <w:r w:rsidR="00295B5D">
        <w:rPr>
          <w:lang w:val="en-GB"/>
        </w:rPr>
        <w:t xml:space="preserve">and 54, each </w:t>
      </w:r>
      <w:r w:rsidR="003740B2" w:rsidRPr="00F32000">
        <w:rPr>
          <w:lang w:val="en-GB"/>
        </w:rPr>
        <w:t xml:space="preserve">comprising </w:t>
      </w:r>
      <w:r w:rsidR="00295B5D">
        <w:rPr>
          <w:lang w:val="en-GB"/>
        </w:rPr>
        <w:t>three </w:t>
      </w:r>
      <w:r w:rsidR="00513709">
        <w:rPr>
          <w:lang w:val="en-GB"/>
        </w:rPr>
        <w:t>D</w:t>
      </w:r>
      <w:r w:rsidR="003740B2" w:rsidRPr="00F32000">
        <w:rPr>
          <w:lang w:val="en-GB"/>
        </w:rPr>
        <w:t>ivisions which together define</w:t>
      </w:r>
      <w:r w:rsidR="005F7B55">
        <w:rPr>
          <w:lang w:val="en-GB"/>
        </w:rPr>
        <w:t xml:space="preserve"> two </w:t>
      </w:r>
      <w:r w:rsidR="00295B5D">
        <w:rPr>
          <w:lang w:val="en-GB"/>
        </w:rPr>
        <w:t xml:space="preserve">new </w:t>
      </w:r>
      <w:r w:rsidR="005F7B55">
        <w:rPr>
          <w:lang w:val="en-GB"/>
        </w:rPr>
        <w:t xml:space="preserve">EITE </w:t>
      </w:r>
      <w:r w:rsidR="00295B5D">
        <w:rPr>
          <w:lang w:val="en-GB"/>
        </w:rPr>
        <w:t xml:space="preserve">activities </w:t>
      </w:r>
      <w:r w:rsidR="00513709">
        <w:rPr>
          <w:lang w:val="en-GB"/>
        </w:rPr>
        <w:t>-</w:t>
      </w:r>
      <w:r w:rsidR="00295B5D">
        <w:rPr>
          <w:lang w:val="en-GB"/>
        </w:rPr>
        <w:t xml:space="preserve"> the </w:t>
      </w:r>
      <w:r w:rsidR="003740B2" w:rsidRPr="00F32000">
        <w:rPr>
          <w:lang w:val="en-GB"/>
        </w:rPr>
        <w:t>production</w:t>
      </w:r>
      <w:r w:rsidRPr="00F32000">
        <w:rPr>
          <w:lang w:val="en-GB"/>
        </w:rPr>
        <w:t xml:space="preserve"> of ferrovanadium</w:t>
      </w:r>
      <w:r w:rsidR="00295B5D">
        <w:rPr>
          <w:lang w:val="en-GB"/>
        </w:rPr>
        <w:t xml:space="preserve"> and the rendering of animal by</w:t>
      </w:r>
      <w:r w:rsidR="00295B5D">
        <w:rPr>
          <w:lang w:val="en-GB"/>
        </w:rPr>
        <w:noBreakHyphen/>
        <w:t>products</w:t>
      </w:r>
      <w:r w:rsidR="00513709">
        <w:rPr>
          <w:lang w:val="en-GB"/>
        </w:rPr>
        <w:t xml:space="preserve">. </w:t>
      </w:r>
      <w:r w:rsidR="007E399C" w:rsidRPr="00F32000">
        <w:rPr>
          <w:lang w:val="en-GB"/>
        </w:rPr>
        <w:t>The inclusion of the</w:t>
      </w:r>
      <w:r w:rsidR="00295B5D">
        <w:rPr>
          <w:lang w:val="en-GB"/>
        </w:rPr>
        <w:t xml:space="preserve">se EITE activities in </w:t>
      </w:r>
      <w:r w:rsidR="007E399C" w:rsidRPr="00F32000">
        <w:rPr>
          <w:lang w:val="en-GB"/>
        </w:rPr>
        <w:t xml:space="preserve">the RET Regulations will enable partial exemptions from liability under the RET scheme to be provided in respect of electricity used in undertaking </w:t>
      </w:r>
      <w:r w:rsidR="00295B5D">
        <w:rPr>
          <w:lang w:val="en-GB"/>
        </w:rPr>
        <w:t xml:space="preserve">the </w:t>
      </w:r>
      <w:r w:rsidR="007E399C" w:rsidRPr="00F32000">
        <w:rPr>
          <w:lang w:val="en-GB"/>
        </w:rPr>
        <w:t>activit</w:t>
      </w:r>
      <w:r w:rsidR="00295B5D">
        <w:rPr>
          <w:lang w:val="en-GB"/>
        </w:rPr>
        <w:t>ies</w:t>
      </w:r>
      <w:r w:rsidRPr="00F32000">
        <w:rPr>
          <w:lang w:val="en-GB"/>
        </w:rPr>
        <w:t xml:space="preserve"> for 2015 onwards</w:t>
      </w:r>
      <w:r w:rsidR="007E399C" w:rsidRPr="00F32000">
        <w:rPr>
          <w:lang w:val="en-GB"/>
        </w:rPr>
        <w:t>.</w:t>
      </w:r>
    </w:p>
    <w:p w:rsidR="00A5662F" w:rsidRPr="00295B5D" w:rsidRDefault="00A5662F" w:rsidP="00A5662F">
      <w:pPr>
        <w:pStyle w:val="Bullet"/>
        <w:numPr>
          <w:ilvl w:val="0"/>
          <w:numId w:val="0"/>
        </w:numPr>
        <w:rPr>
          <w:b/>
          <w:iCs/>
        </w:rPr>
      </w:pPr>
      <w:r w:rsidRPr="00295B5D">
        <w:rPr>
          <w:b/>
          <w:iCs/>
        </w:rPr>
        <w:t>Part 5</w:t>
      </w:r>
      <w:r w:rsidR="00F20714" w:rsidRPr="00295B5D">
        <w:rPr>
          <w:b/>
          <w:iCs/>
        </w:rPr>
        <w:t>3</w:t>
      </w:r>
      <w:r w:rsidRPr="00295B5D">
        <w:rPr>
          <w:b/>
          <w:iCs/>
        </w:rPr>
        <w:t xml:space="preserve"> – Production of </w:t>
      </w:r>
      <w:r w:rsidR="00F20714" w:rsidRPr="00295B5D">
        <w:rPr>
          <w:b/>
          <w:iCs/>
        </w:rPr>
        <w:t>ferrovanadium</w:t>
      </w:r>
    </w:p>
    <w:p w:rsidR="00A5662F" w:rsidRPr="00295B5D" w:rsidRDefault="00A5662F" w:rsidP="00A5662F">
      <w:pPr>
        <w:pStyle w:val="Bullet"/>
        <w:numPr>
          <w:ilvl w:val="0"/>
          <w:numId w:val="0"/>
        </w:numPr>
        <w:rPr>
          <w:b/>
          <w:iCs/>
        </w:rPr>
      </w:pPr>
      <w:r w:rsidRPr="00295B5D">
        <w:rPr>
          <w:b/>
          <w:iCs/>
        </w:rPr>
        <w:t xml:space="preserve">Division 1 – Production of </w:t>
      </w:r>
      <w:r w:rsidR="00F20714" w:rsidRPr="00295B5D">
        <w:rPr>
          <w:b/>
          <w:iCs/>
        </w:rPr>
        <w:t>ferrovanadium</w:t>
      </w:r>
    </w:p>
    <w:p w:rsidR="007E399C" w:rsidRPr="00295B5D" w:rsidRDefault="007E399C" w:rsidP="007E399C">
      <w:pPr>
        <w:pStyle w:val="Bullet"/>
        <w:numPr>
          <w:ilvl w:val="0"/>
          <w:numId w:val="0"/>
        </w:numPr>
        <w:rPr>
          <w:iCs/>
          <w:u w:val="single"/>
        </w:rPr>
      </w:pPr>
      <w:r w:rsidRPr="00295B5D">
        <w:rPr>
          <w:iCs/>
          <w:u w:val="single"/>
        </w:rPr>
        <w:t>Clause 7</w:t>
      </w:r>
      <w:r w:rsidR="00F20714" w:rsidRPr="00295B5D">
        <w:rPr>
          <w:iCs/>
          <w:u w:val="single"/>
        </w:rPr>
        <w:t>5</w:t>
      </w:r>
      <w:r w:rsidR="00295B5D" w:rsidRPr="00295B5D">
        <w:rPr>
          <w:iCs/>
          <w:u w:val="single"/>
        </w:rPr>
        <w:t>5</w:t>
      </w:r>
      <w:r w:rsidRPr="00295B5D">
        <w:rPr>
          <w:iCs/>
          <w:u w:val="single"/>
        </w:rPr>
        <w:t xml:space="preserve"> – Production of </w:t>
      </w:r>
      <w:r w:rsidR="00F20714" w:rsidRPr="00295B5D">
        <w:rPr>
          <w:iCs/>
          <w:u w:val="single"/>
        </w:rPr>
        <w:t>ferrovanadium</w:t>
      </w:r>
    </w:p>
    <w:p w:rsidR="00F20714" w:rsidRPr="00F20714" w:rsidRDefault="007E399C" w:rsidP="00F20714">
      <w:pPr>
        <w:spacing w:after="0"/>
        <w:ind w:right="91"/>
      </w:pPr>
      <w:r w:rsidRPr="00F20714">
        <w:t>Clause 7</w:t>
      </w:r>
      <w:r w:rsidR="00F20714" w:rsidRPr="00F20714">
        <w:t>5</w:t>
      </w:r>
      <w:r w:rsidR="00295B5D">
        <w:t>5</w:t>
      </w:r>
      <w:r w:rsidRPr="00F20714">
        <w:t xml:space="preserve"> provides that the production of </w:t>
      </w:r>
      <w:r w:rsidR="00F20714" w:rsidRPr="00F20714">
        <w:t>ferrovanadium is the physical and chemical transformation of magnetite ore (ore containing Fe</w:t>
      </w:r>
      <w:r w:rsidR="00F20714" w:rsidRPr="00F20714">
        <w:rPr>
          <w:vertAlign w:val="subscript"/>
        </w:rPr>
        <w:t>3</w:t>
      </w:r>
      <w:r w:rsidR="00F20714" w:rsidRPr="00F20714">
        <w:t>O</w:t>
      </w:r>
      <w:r w:rsidR="00F20714" w:rsidRPr="00F20714">
        <w:rPr>
          <w:vertAlign w:val="subscript"/>
        </w:rPr>
        <w:t>4</w:t>
      </w:r>
      <w:r w:rsidR="00F20714" w:rsidRPr="00F20714">
        <w:t xml:space="preserve"> and mineralised vanadium compounds) combined with soda ash and other chemicals to produce saleable ferrovanadium (</w:t>
      </w:r>
      <w:proofErr w:type="spellStart"/>
      <w:r w:rsidR="00F20714" w:rsidRPr="00F20714">
        <w:t>FeV</w:t>
      </w:r>
      <w:proofErr w:type="spellEnd"/>
      <w:r w:rsidR="00F20714" w:rsidRPr="00F20714">
        <w:t>) where the concentration of vanadium (V) is equal to or greater than 75 per cent</w:t>
      </w:r>
      <w:r w:rsidRPr="00F20714">
        <w:t xml:space="preserve">. </w:t>
      </w:r>
    </w:p>
    <w:p w:rsidR="00F20714" w:rsidRPr="00F479D2" w:rsidRDefault="00F20714" w:rsidP="00F20714">
      <w:pPr>
        <w:spacing w:after="0"/>
        <w:ind w:right="91"/>
      </w:pPr>
      <w:r w:rsidRPr="00F20714">
        <w:t>Vanadium is a metal that is primarily used as a hardening agent in steel production.</w:t>
      </w:r>
    </w:p>
    <w:p w:rsidR="00F20714" w:rsidRPr="00F479D2" w:rsidRDefault="00F20714" w:rsidP="00F20714">
      <w:pPr>
        <w:ind w:right="91"/>
      </w:pPr>
      <w:r w:rsidRPr="00F479D2">
        <w:t>The inputs of the activity have been defined to include magnetite ore, soda ash and other chemicals. The output of this activity is tonnes of saleable ferrovanadium concentrate where the concentration of vanadium is greater than 75 per cent.</w:t>
      </w:r>
    </w:p>
    <w:p w:rsidR="00F20714" w:rsidRPr="00670B32" w:rsidRDefault="00F20714" w:rsidP="00F20714">
      <w:pPr>
        <w:ind w:right="91"/>
      </w:pPr>
      <w:r w:rsidRPr="00670B32">
        <w:t>The activity does not include the extraction or production of any of the raw materials, such as magnetite ore or soda ash. The activity also does not include any downstream processes such as steel production, or ancillary activities such as packaging.</w:t>
      </w:r>
    </w:p>
    <w:p w:rsidR="00597742" w:rsidRPr="00F20714" w:rsidRDefault="00597742" w:rsidP="00597742">
      <w:r w:rsidRPr="00F20714">
        <w:t>The activity is an eligible EITE activity for the purpose of PECs issued under the RET scheme.</w:t>
      </w:r>
    </w:p>
    <w:p w:rsidR="007E399C" w:rsidRPr="00295B5D" w:rsidRDefault="007E399C" w:rsidP="007E399C">
      <w:pPr>
        <w:rPr>
          <w:b/>
        </w:rPr>
      </w:pPr>
      <w:r w:rsidRPr="00295B5D">
        <w:rPr>
          <w:b/>
        </w:rPr>
        <w:t>Division 2 Classification of activity</w:t>
      </w:r>
    </w:p>
    <w:p w:rsidR="007E399C" w:rsidRPr="00295B5D" w:rsidRDefault="007E399C" w:rsidP="007E399C">
      <w:pPr>
        <w:pStyle w:val="Bullet"/>
        <w:numPr>
          <w:ilvl w:val="0"/>
          <w:numId w:val="0"/>
        </w:numPr>
        <w:rPr>
          <w:iCs/>
          <w:u w:val="single"/>
        </w:rPr>
      </w:pPr>
      <w:r w:rsidRPr="00295B5D">
        <w:rPr>
          <w:iCs/>
          <w:u w:val="single"/>
        </w:rPr>
        <w:t>Clause 7</w:t>
      </w:r>
      <w:r w:rsidR="00A5662F" w:rsidRPr="00295B5D">
        <w:rPr>
          <w:iCs/>
          <w:u w:val="single"/>
        </w:rPr>
        <w:t>5</w:t>
      </w:r>
      <w:r w:rsidR="00295B5D" w:rsidRPr="00295B5D">
        <w:rPr>
          <w:iCs/>
          <w:u w:val="single"/>
        </w:rPr>
        <w:t>6</w:t>
      </w:r>
      <w:r w:rsidRPr="00295B5D">
        <w:rPr>
          <w:iCs/>
          <w:u w:val="single"/>
        </w:rPr>
        <w:t xml:space="preserve"> – Classification of activity</w:t>
      </w:r>
    </w:p>
    <w:p w:rsidR="007E399C" w:rsidRPr="00F20714" w:rsidRDefault="007E399C" w:rsidP="007E399C">
      <w:pPr>
        <w:pStyle w:val="NumberLevel1"/>
        <w:numPr>
          <w:ilvl w:val="0"/>
          <w:numId w:val="0"/>
        </w:numPr>
        <w:spacing w:after="240"/>
        <w:rPr>
          <w:rFonts w:ascii="Times New Roman" w:hAnsi="Times New Roman" w:cs="Times New Roman"/>
          <w:sz w:val="24"/>
          <w:szCs w:val="24"/>
          <w:lang w:val="en-GB"/>
        </w:rPr>
      </w:pPr>
      <w:r w:rsidRPr="00295B5D">
        <w:rPr>
          <w:rFonts w:ascii="Times New Roman" w:hAnsi="Times New Roman" w:cs="Times New Roman"/>
          <w:sz w:val="24"/>
          <w:szCs w:val="24"/>
          <w:lang w:val="en-GB"/>
        </w:rPr>
        <w:t>Clause 7</w:t>
      </w:r>
      <w:r w:rsidR="00A5662F" w:rsidRPr="00295B5D">
        <w:rPr>
          <w:rFonts w:ascii="Times New Roman" w:hAnsi="Times New Roman" w:cs="Times New Roman"/>
          <w:sz w:val="24"/>
          <w:szCs w:val="24"/>
          <w:lang w:val="en-GB"/>
        </w:rPr>
        <w:t>5</w:t>
      </w:r>
      <w:r w:rsidR="00295B5D" w:rsidRPr="00295B5D">
        <w:rPr>
          <w:rFonts w:ascii="Times New Roman" w:hAnsi="Times New Roman" w:cs="Times New Roman"/>
          <w:sz w:val="24"/>
          <w:szCs w:val="24"/>
          <w:lang w:val="en-GB"/>
        </w:rPr>
        <w:t>6</w:t>
      </w:r>
      <w:r w:rsidRPr="00295B5D">
        <w:rPr>
          <w:rFonts w:ascii="Times New Roman" w:hAnsi="Times New Roman" w:cs="Times New Roman"/>
          <w:sz w:val="24"/>
          <w:szCs w:val="24"/>
          <w:lang w:val="en-GB"/>
        </w:rPr>
        <w:t xml:space="preserve"> prescribes that the production of</w:t>
      </w:r>
      <w:r w:rsidR="00F20714" w:rsidRPr="00295B5D">
        <w:rPr>
          <w:rFonts w:ascii="Times New Roman" w:hAnsi="Times New Roman" w:cs="Times New Roman"/>
          <w:sz w:val="24"/>
          <w:szCs w:val="24"/>
          <w:lang w:val="en-GB"/>
        </w:rPr>
        <w:t xml:space="preserve"> ferrovanadium </w:t>
      </w:r>
      <w:r w:rsidR="00A5662F" w:rsidRPr="00295B5D">
        <w:rPr>
          <w:rFonts w:ascii="Times New Roman" w:hAnsi="Times New Roman" w:cs="Times New Roman"/>
          <w:sz w:val="24"/>
          <w:szCs w:val="24"/>
          <w:lang w:val="en-GB"/>
        </w:rPr>
        <w:t>is</w:t>
      </w:r>
      <w:r w:rsidRPr="00295B5D">
        <w:rPr>
          <w:rFonts w:ascii="Times New Roman" w:hAnsi="Times New Roman" w:cs="Times New Roman"/>
          <w:sz w:val="24"/>
          <w:szCs w:val="24"/>
          <w:lang w:val="en-GB"/>
        </w:rPr>
        <w:t xml:space="preserve"> classified as a </w:t>
      </w:r>
      <w:r w:rsidR="00F20714" w:rsidRPr="00295B5D">
        <w:rPr>
          <w:rFonts w:ascii="Times New Roman" w:hAnsi="Times New Roman" w:cs="Times New Roman"/>
          <w:sz w:val="24"/>
          <w:szCs w:val="24"/>
          <w:lang w:val="en-GB"/>
        </w:rPr>
        <w:t>high</w:t>
      </w:r>
      <w:r w:rsidRPr="00295B5D">
        <w:rPr>
          <w:rFonts w:ascii="Times New Roman" w:hAnsi="Times New Roman" w:cs="Times New Roman"/>
          <w:sz w:val="24"/>
          <w:szCs w:val="24"/>
          <w:lang w:val="en-GB"/>
        </w:rPr>
        <w:t>ly emissions</w:t>
      </w:r>
      <w:r w:rsidRPr="00295B5D">
        <w:rPr>
          <w:rFonts w:ascii="Times New Roman" w:hAnsi="Times New Roman" w:cs="Times New Roman"/>
          <w:sz w:val="24"/>
          <w:szCs w:val="24"/>
          <w:lang w:val="en-GB"/>
        </w:rPr>
        <w:noBreakHyphen/>
        <w:t>intensive activity. This has the effect that electricity used in the activity as defined is</w:t>
      </w:r>
      <w:r w:rsidRPr="00F20714">
        <w:rPr>
          <w:rFonts w:ascii="Times New Roman" w:hAnsi="Times New Roman" w:cs="Times New Roman"/>
          <w:sz w:val="24"/>
          <w:szCs w:val="24"/>
          <w:lang w:val="en-GB"/>
        </w:rPr>
        <w:t xml:space="preserve"> eligible for a partial exemption from RET liability at the </w:t>
      </w:r>
      <w:r w:rsidR="00F20714" w:rsidRPr="00F20714">
        <w:rPr>
          <w:rFonts w:ascii="Times New Roman" w:hAnsi="Times New Roman" w:cs="Times New Roman"/>
          <w:sz w:val="24"/>
          <w:szCs w:val="24"/>
          <w:lang w:val="en-GB"/>
        </w:rPr>
        <w:t>high</w:t>
      </w:r>
      <w:r w:rsidRPr="00F20714">
        <w:rPr>
          <w:rFonts w:ascii="Times New Roman" w:hAnsi="Times New Roman" w:cs="Times New Roman"/>
          <w:sz w:val="24"/>
          <w:szCs w:val="24"/>
          <w:lang w:val="en-GB"/>
        </w:rPr>
        <w:t>ly emissions</w:t>
      </w:r>
      <w:r w:rsidRPr="00F20714">
        <w:rPr>
          <w:rFonts w:ascii="Times New Roman" w:hAnsi="Times New Roman" w:cs="Times New Roman"/>
          <w:sz w:val="24"/>
          <w:szCs w:val="24"/>
          <w:lang w:val="en-GB"/>
        </w:rPr>
        <w:noBreakHyphen/>
        <w:t>intensive rate.</w:t>
      </w:r>
    </w:p>
    <w:p w:rsidR="007E399C" w:rsidRPr="00295B5D" w:rsidRDefault="007E399C" w:rsidP="007E399C">
      <w:pPr>
        <w:rPr>
          <w:b/>
        </w:rPr>
      </w:pPr>
      <w:r w:rsidRPr="00295B5D">
        <w:rPr>
          <w:b/>
        </w:rPr>
        <w:t>Division 3 Electricity baseline for calculating partial exemption</w:t>
      </w:r>
    </w:p>
    <w:p w:rsidR="007E399C" w:rsidRPr="00295B5D" w:rsidRDefault="007E399C" w:rsidP="007E399C">
      <w:pPr>
        <w:pStyle w:val="Bullet"/>
        <w:numPr>
          <w:ilvl w:val="0"/>
          <w:numId w:val="0"/>
        </w:numPr>
        <w:rPr>
          <w:iCs/>
          <w:u w:val="single"/>
        </w:rPr>
      </w:pPr>
      <w:r w:rsidRPr="00295B5D">
        <w:rPr>
          <w:iCs/>
          <w:u w:val="single"/>
        </w:rPr>
        <w:t>Clause 7</w:t>
      </w:r>
      <w:r w:rsidR="00A5662F" w:rsidRPr="00295B5D">
        <w:rPr>
          <w:iCs/>
          <w:u w:val="single"/>
        </w:rPr>
        <w:t>5</w:t>
      </w:r>
      <w:r w:rsidR="00295B5D">
        <w:rPr>
          <w:iCs/>
          <w:u w:val="single"/>
        </w:rPr>
        <w:t>7</w:t>
      </w:r>
      <w:r w:rsidRPr="00295B5D">
        <w:rPr>
          <w:iCs/>
          <w:u w:val="single"/>
        </w:rPr>
        <w:t xml:space="preserve"> – Electricity baseline for product</w:t>
      </w:r>
    </w:p>
    <w:p w:rsidR="007E399C" w:rsidRPr="00FA1DB4" w:rsidRDefault="007E399C" w:rsidP="007E399C">
      <w:r w:rsidRPr="00FA1DB4">
        <w:t>Clause 7</w:t>
      </w:r>
      <w:r w:rsidR="00A5662F" w:rsidRPr="00FA1DB4">
        <w:t>5</w:t>
      </w:r>
      <w:r w:rsidR="00295B5D">
        <w:t>7</w:t>
      </w:r>
      <w:r w:rsidRPr="00FA1DB4">
        <w:t xml:space="preserve"> provides that the electricity baseline for calculating the amount of a liable entity’s partial exemption for the production of </w:t>
      </w:r>
      <w:r w:rsidR="00FA1DB4">
        <w:t xml:space="preserve">ferrovanadium </w:t>
      </w:r>
      <w:r w:rsidRPr="00FA1DB4">
        <w:t xml:space="preserve">is </w:t>
      </w:r>
      <w:r w:rsidR="00FA1DB4">
        <w:t>58.7</w:t>
      </w:r>
      <w:r w:rsidR="00A5662F" w:rsidRPr="00FA1DB4">
        <w:t> </w:t>
      </w:r>
      <w:r w:rsidRPr="00FA1DB4">
        <w:t>megawatt</w:t>
      </w:r>
      <w:r w:rsidRPr="00FA1DB4">
        <w:noBreakHyphen/>
        <w:t>hours (</w:t>
      </w:r>
      <w:proofErr w:type="spellStart"/>
      <w:r w:rsidRPr="00FA1DB4">
        <w:t>MWh</w:t>
      </w:r>
      <w:proofErr w:type="spellEnd"/>
      <w:r w:rsidRPr="00FA1DB4">
        <w:t xml:space="preserve">) per tonne of </w:t>
      </w:r>
      <w:r w:rsidR="00FA1DB4">
        <w:t xml:space="preserve">100 per cent equivalent vanadium </w:t>
      </w:r>
      <w:r w:rsidR="00513709">
        <w:t xml:space="preserve">concentrate </w:t>
      </w:r>
      <w:r w:rsidR="00FA1DB4">
        <w:t xml:space="preserve">contained within </w:t>
      </w:r>
      <w:r w:rsidR="00A5662F" w:rsidRPr="00FA1DB4">
        <w:t xml:space="preserve">saleable </w:t>
      </w:r>
      <w:r w:rsidR="00FA1DB4">
        <w:t>ferrovanadium</w:t>
      </w:r>
      <w:r w:rsidR="00513709">
        <w:t xml:space="preserve"> in which the concentration of vanadium is equal to or greater than 75 per cent</w:t>
      </w:r>
      <w:r w:rsidRPr="00FA1DB4">
        <w:t xml:space="preserve">. </w:t>
      </w:r>
    </w:p>
    <w:p w:rsidR="00FA1DB4" w:rsidRDefault="00FA1DB4" w:rsidP="00FA1DB4">
      <w:r w:rsidRPr="00670B32">
        <w:lastRenderedPageBreak/>
        <w:t>To be eligible for assistance, the ferrovanadium must have been produced by carrying on the activity (as defined by clause</w:t>
      </w:r>
      <w:r>
        <w:t xml:space="preserve"> 75</w:t>
      </w:r>
      <w:r w:rsidR="00513709">
        <w:t>5</w:t>
      </w:r>
      <w:r>
        <w:t xml:space="preserve">) </w:t>
      </w:r>
      <w:r w:rsidRPr="00670B32">
        <w:t>in Australia to be eligible as a relevant product. For example, if imported ferrovanadium is mixed with output produced from the activity, only the proportion of ferrovanadium that is an output from the activity would be included in the tonnes of the relevant product.</w:t>
      </w:r>
    </w:p>
    <w:p w:rsidR="00BC6C08" w:rsidRDefault="00BC6C08" w:rsidP="00FA1DB4">
      <w:r>
        <w:t>Any ferrovanadium that is produced from magnetite concentrate that was eligible for assistance under the production of magnetite concentrate activity is not eligible as relevant product under the production of ferrovanadium activity.</w:t>
      </w:r>
    </w:p>
    <w:p w:rsidR="00FA1DB4" w:rsidRDefault="00FA1DB4" w:rsidP="00FA1DB4">
      <w:r w:rsidRPr="00670B32">
        <w:t xml:space="preserve">The ferrovanadium must be of saleable quality (as defined </w:t>
      </w:r>
      <w:r w:rsidRPr="00FA1DB4">
        <w:t xml:space="preserve">in </w:t>
      </w:r>
      <w:r w:rsidR="00BC6C08">
        <w:t>r</w:t>
      </w:r>
      <w:r w:rsidRPr="00FA1DB4">
        <w:t xml:space="preserve">egulation 22C of the </w:t>
      </w:r>
      <w:r w:rsidR="00BC6C08">
        <w:t>RET</w:t>
      </w:r>
      <w:r w:rsidRPr="00FA1DB4">
        <w:t xml:space="preserve"> Regulations</w:t>
      </w:r>
      <w:r w:rsidRPr="00670B32">
        <w:t xml:space="preserve">). In particular, the tonnes of ferrovanadium which are for testing purposes and are discarded rather than saleable are not to be included in the tonnes of </w:t>
      </w:r>
      <w:r>
        <w:t xml:space="preserve">100 per cent equivalent </w:t>
      </w:r>
      <w:r w:rsidRPr="00670B32">
        <w:t>vanadium</w:t>
      </w:r>
      <w:r>
        <w:t xml:space="preserve"> contained within saleable ferrovanadium</w:t>
      </w:r>
      <w:r w:rsidRPr="00670B32">
        <w:t>.</w:t>
      </w:r>
    </w:p>
    <w:p w:rsidR="00A70AC7" w:rsidRPr="00295B5D" w:rsidRDefault="00A70AC7" w:rsidP="00A70AC7">
      <w:pPr>
        <w:pStyle w:val="Bullet"/>
        <w:numPr>
          <w:ilvl w:val="0"/>
          <w:numId w:val="0"/>
        </w:numPr>
        <w:rPr>
          <w:b/>
          <w:iCs/>
        </w:rPr>
      </w:pPr>
      <w:r w:rsidRPr="00295B5D">
        <w:rPr>
          <w:b/>
          <w:iCs/>
        </w:rPr>
        <w:t>Part 5</w:t>
      </w:r>
      <w:r>
        <w:rPr>
          <w:b/>
          <w:iCs/>
        </w:rPr>
        <w:t>4</w:t>
      </w:r>
      <w:r w:rsidRPr="00295B5D">
        <w:rPr>
          <w:b/>
          <w:iCs/>
        </w:rPr>
        <w:t xml:space="preserve"> – </w:t>
      </w:r>
      <w:r>
        <w:rPr>
          <w:b/>
          <w:iCs/>
        </w:rPr>
        <w:t>Rendering of animal by</w:t>
      </w:r>
      <w:r>
        <w:rPr>
          <w:b/>
          <w:iCs/>
        </w:rPr>
        <w:noBreakHyphen/>
        <w:t>products</w:t>
      </w:r>
    </w:p>
    <w:p w:rsidR="00A70AC7" w:rsidRPr="00295B5D" w:rsidRDefault="00A70AC7" w:rsidP="00A70AC7">
      <w:pPr>
        <w:pStyle w:val="Bullet"/>
        <w:numPr>
          <w:ilvl w:val="0"/>
          <w:numId w:val="0"/>
        </w:numPr>
        <w:rPr>
          <w:b/>
          <w:iCs/>
        </w:rPr>
      </w:pPr>
      <w:r w:rsidRPr="00295B5D">
        <w:rPr>
          <w:b/>
          <w:iCs/>
        </w:rPr>
        <w:t xml:space="preserve">Division 1 – </w:t>
      </w:r>
      <w:r>
        <w:rPr>
          <w:b/>
          <w:iCs/>
        </w:rPr>
        <w:t>Rendering of animal by</w:t>
      </w:r>
      <w:r>
        <w:rPr>
          <w:b/>
          <w:iCs/>
        </w:rPr>
        <w:noBreakHyphen/>
        <w:t>products</w:t>
      </w:r>
    </w:p>
    <w:p w:rsidR="00A70AC7" w:rsidRPr="00295B5D" w:rsidRDefault="00A70AC7" w:rsidP="00A70AC7">
      <w:pPr>
        <w:pStyle w:val="Bullet"/>
        <w:numPr>
          <w:ilvl w:val="0"/>
          <w:numId w:val="0"/>
        </w:numPr>
        <w:rPr>
          <w:iCs/>
          <w:u w:val="single"/>
        </w:rPr>
      </w:pPr>
      <w:r w:rsidRPr="00295B5D">
        <w:rPr>
          <w:iCs/>
          <w:u w:val="single"/>
        </w:rPr>
        <w:t>Clause 75</w:t>
      </w:r>
      <w:r>
        <w:rPr>
          <w:iCs/>
          <w:u w:val="single"/>
        </w:rPr>
        <w:t>8</w:t>
      </w:r>
      <w:r w:rsidRPr="00295B5D">
        <w:rPr>
          <w:iCs/>
          <w:u w:val="single"/>
        </w:rPr>
        <w:t xml:space="preserve"> – </w:t>
      </w:r>
      <w:r>
        <w:rPr>
          <w:iCs/>
          <w:u w:val="single"/>
        </w:rPr>
        <w:t>Rendering of animal by</w:t>
      </w:r>
      <w:r>
        <w:rPr>
          <w:iCs/>
          <w:u w:val="single"/>
        </w:rPr>
        <w:noBreakHyphen/>
        <w:t>products</w:t>
      </w:r>
    </w:p>
    <w:p w:rsidR="00A70AC7" w:rsidRPr="00F479D2" w:rsidRDefault="00A70AC7" w:rsidP="00A70AC7">
      <w:pPr>
        <w:spacing w:after="0"/>
        <w:ind w:right="91"/>
      </w:pPr>
      <w:r w:rsidRPr="00F20714">
        <w:t>Clause 75</w:t>
      </w:r>
      <w:r>
        <w:t>8</w:t>
      </w:r>
      <w:r w:rsidRPr="00F20714">
        <w:t xml:space="preserve"> provides that the </w:t>
      </w:r>
      <w:r>
        <w:t>rendering of animal by</w:t>
      </w:r>
      <w:r>
        <w:noBreakHyphen/>
        <w:t xml:space="preserve">products is the </w:t>
      </w:r>
      <w:r w:rsidRPr="00E05838">
        <w:t>physical and</w:t>
      </w:r>
      <w:r>
        <w:t>/or</w:t>
      </w:r>
      <w:r w:rsidRPr="00E05838">
        <w:t xml:space="preserve"> chemical transformation of raw livestock-derived animal material, where the output of the activity is processed animal protein (</w:t>
      </w:r>
      <w:r>
        <w:t>such as</w:t>
      </w:r>
      <w:r w:rsidRPr="00E05838">
        <w:t xml:space="preserve"> meat and bone meal, dried blood </w:t>
      </w:r>
      <w:r>
        <w:t>meal</w:t>
      </w:r>
      <w:r w:rsidR="002F089D">
        <w:t>, poultry meal</w:t>
      </w:r>
      <w:r>
        <w:t xml:space="preserve"> </w:t>
      </w:r>
      <w:r w:rsidRPr="00E05838">
        <w:t>and feather meal) with a moisture content that does not exceed 10 per cent by weight</w:t>
      </w:r>
      <w:r>
        <w:t>,</w:t>
      </w:r>
      <w:r w:rsidRPr="00E05838">
        <w:t xml:space="preserve"> and tallow (refined fat) with a moisture</w:t>
      </w:r>
      <w:r>
        <w:t xml:space="preserve"> </w:t>
      </w:r>
      <w:r w:rsidRPr="00E05838">
        <w:t xml:space="preserve">content </w:t>
      </w:r>
      <w:r>
        <w:t>that</w:t>
      </w:r>
      <w:r w:rsidRPr="00E05838">
        <w:t xml:space="preserve"> does not exceed 4 per cent by</w:t>
      </w:r>
      <w:r>
        <w:t> </w:t>
      </w:r>
      <w:r w:rsidRPr="00E05838">
        <w:t>weight</w:t>
      </w:r>
      <w:r w:rsidRPr="00F20714">
        <w:t>.</w:t>
      </w:r>
    </w:p>
    <w:p w:rsidR="00A70AC7" w:rsidRDefault="00A70AC7" w:rsidP="00A70AC7">
      <w:pPr>
        <w:ind w:right="91"/>
      </w:pPr>
      <w:r w:rsidRPr="00F479D2">
        <w:t xml:space="preserve">The inputs of the activity have been defined to include </w:t>
      </w:r>
      <w:r w:rsidRPr="00E05838">
        <w:t>raw livestock-derived animal material</w:t>
      </w:r>
      <w:r w:rsidRPr="00F479D2">
        <w:t>. The output</w:t>
      </w:r>
      <w:r>
        <w:t>s</w:t>
      </w:r>
      <w:r w:rsidRPr="00F479D2">
        <w:t xml:space="preserve"> of this activity </w:t>
      </w:r>
      <w:r>
        <w:t>are:</w:t>
      </w:r>
    </w:p>
    <w:p w:rsidR="00A70AC7" w:rsidRDefault="00A70AC7" w:rsidP="002F089D">
      <w:pPr>
        <w:pStyle w:val="ListParagraph"/>
        <w:numPr>
          <w:ilvl w:val="0"/>
          <w:numId w:val="35"/>
        </w:numPr>
        <w:ind w:right="91"/>
      </w:pPr>
      <w:r w:rsidRPr="00287771">
        <w:t xml:space="preserve">tonnes of </w:t>
      </w:r>
      <w:r>
        <w:t xml:space="preserve">saleable </w:t>
      </w:r>
      <w:r w:rsidRPr="00287771">
        <w:t>animal protein meal with a moisture content that does not exceed 10</w:t>
      </w:r>
      <w:r>
        <w:t> </w:t>
      </w:r>
      <w:r w:rsidRPr="00287771">
        <w:t>per</w:t>
      </w:r>
      <w:r>
        <w:t> </w:t>
      </w:r>
      <w:r w:rsidRPr="00287771">
        <w:t>cent by weight</w:t>
      </w:r>
      <w:r>
        <w:t>;</w:t>
      </w:r>
      <w:r w:rsidRPr="00287771">
        <w:t xml:space="preserve"> and </w:t>
      </w:r>
    </w:p>
    <w:p w:rsidR="00A70AC7" w:rsidRPr="00F479D2" w:rsidRDefault="00A70AC7" w:rsidP="002F089D">
      <w:pPr>
        <w:pStyle w:val="ListParagraph"/>
        <w:numPr>
          <w:ilvl w:val="0"/>
          <w:numId w:val="35"/>
        </w:numPr>
        <w:ind w:right="91"/>
      </w:pPr>
      <w:r w:rsidRPr="00287771">
        <w:t>tonnes of saleable tallow with a moisture content which does not exceed 4 per cent by weight.</w:t>
      </w:r>
    </w:p>
    <w:p w:rsidR="00A70AC7" w:rsidRPr="00670B32" w:rsidRDefault="00A70AC7" w:rsidP="00A70AC7">
      <w:pPr>
        <w:ind w:right="91"/>
      </w:pPr>
      <w:r w:rsidRPr="00670B32">
        <w:t xml:space="preserve">The activity does not include </w:t>
      </w:r>
      <w:r>
        <w:t>any meat processing activities</w:t>
      </w:r>
      <w:r w:rsidRPr="00670B32">
        <w:t>. The activity also does not include any downstream processes such as packaging.</w:t>
      </w:r>
    </w:p>
    <w:p w:rsidR="00A70AC7" w:rsidRPr="00F20714" w:rsidRDefault="00A70AC7" w:rsidP="00A70AC7">
      <w:r w:rsidRPr="00F20714">
        <w:t>The activity is an eligible EITE activity for the purpose of PECs issued under the RET scheme.</w:t>
      </w:r>
    </w:p>
    <w:p w:rsidR="00A70AC7" w:rsidRPr="00295B5D" w:rsidRDefault="00A70AC7" w:rsidP="00A70AC7">
      <w:pPr>
        <w:rPr>
          <w:b/>
        </w:rPr>
      </w:pPr>
      <w:r w:rsidRPr="00295B5D">
        <w:rPr>
          <w:b/>
        </w:rPr>
        <w:t>Division 2 Classification of activity</w:t>
      </w:r>
    </w:p>
    <w:p w:rsidR="00A70AC7" w:rsidRPr="00295B5D" w:rsidRDefault="00A70AC7" w:rsidP="00A70AC7">
      <w:pPr>
        <w:pStyle w:val="Bullet"/>
        <w:numPr>
          <w:ilvl w:val="0"/>
          <w:numId w:val="0"/>
        </w:numPr>
        <w:rPr>
          <w:iCs/>
          <w:u w:val="single"/>
        </w:rPr>
      </w:pPr>
      <w:r w:rsidRPr="00295B5D">
        <w:rPr>
          <w:iCs/>
          <w:u w:val="single"/>
        </w:rPr>
        <w:t>Clause 75</w:t>
      </w:r>
      <w:r>
        <w:rPr>
          <w:iCs/>
          <w:u w:val="single"/>
        </w:rPr>
        <w:t>9</w:t>
      </w:r>
      <w:r w:rsidRPr="00295B5D">
        <w:rPr>
          <w:iCs/>
          <w:u w:val="single"/>
        </w:rPr>
        <w:t xml:space="preserve"> – Classification of activity</w:t>
      </w:r>
    </w:p>
    <w:p w:rsidR="00A70AC7" w:rsidRDefault="00A70AC7" w:rsidP="00A70AC7">
      <w:pPr>
        <w:pStyle w:val="NumberLevel1"/>
        <w:numPr>
          <w:ilvl w:val="0"/>
          <w:numId w:val="0"/>
        </w:numPr>
        <w:spacing w:after="240"/>
        <w:rPr>
          <w:rFonts w:ascii="Times New Roman" w:hAnsi="Times New Roman" w:cs="Times New Roman"/>
          <w:sz w:val="24"/>
          <w:szCs w:val="24"/>
          <w:lang w:val="en-GB"/>
        </w:rPr>
      </w:pPr>
      <w:r w:rsidRPr="00295B5D">
        <w:rPr>
          <w:rFonts w:ascii="Times New Roman" w:hAnsi="Times New Roman" w:cs="Times New Roman"/>
          <w:sz w:val="24"/>
          <w:szCs w:val="24"/>
          <w:lang w:val="en-GB"/>
        </w:rPr>
        <w:t>Clause 75</w:t>
      </w:r>
      <w:r w:rsidR="005B555A">
        <w:rPr>
          <w:rFonts w:ascii="Times New Roman" w:hAnsi="Times New Roman" w:cs="Times New Roman"/>
          <w:sz w:val="24"/>
          <w:szCs w:val="24"/>
          <w:lang w:val="en-GB"/>
        </w:rPr>
        <w:t>9</w:t>
      </w:r>
      <w:r w:rsidRPr="00295B5D">
        <w:rPr>
          <w:rFonts w:ascii="Times New Roman" w:hAnsi="Times New Roman" w:cs="Times New Roman"/>
          <w:sz w:val="24"/>
          <w:szCs w:val="24"/>
          <w:lang w:val="en-GB"/>
        </w:rPr>
        <w:t xml:space="preserve"> prescribes that the </w:t>
      </w:r>
      <w:r w:rsidR="005B555A">
        <w:rPr>
          <w:rFonts w:ascii="Times New Roman" w:hAnsi="Times New Roman" w:cs="Times New Roman"/>
          <w:sz w:val="24"/>
          <w:szCs w:val="24"/>
          <w:lang w:val="en-GB"/>
        </w:rPr>
        <w:t>rendering of animal by</w:t>
      </w:r>
      <w:r w:rsidR="005B555A">
        <w:rPr>
          <w:rFonts w:ascii="Times New Roman" w:hAnsi="Times New Roman" w:cs="Times New Roman"/>
          <w:sz w:val="24"/>
          <w:szCs w:val="24"/>
          <w:lang w:val="en-GB"/>
        </w:rPr>
        <w:noBreakHyphen/>
        <w:t xml:space="preserve">products </w:t>
      </w:r>
      <w:r w:rsidRPr="00295B5D">
        <w:rPr>
          <w:rFonts w:ascii="Times New Roman" w:hAnsi="Times New Roman" w:cs="Times New Roman"/>
          <w:sz w:val="24"/>
          <w:szCs w:val="24"/>
          <w:lang w:val="en-GB"/>
        </w:rPr>
        <w:t xml:space="preserve">is classified as a </w:t>
      </w:r>
      <w:r w:rsidR="005B555A">
        <w:rPr>
          <w:rFonts w:ascii="Times New Roman" w:hAnsi="Times New Roman" w:cs="Times New Roman"/>
          <w:sz w:val="24"/>
          <w:szCs w:val="24"/>
          <w:lang w:val="en-GB"/>
        </w:rPr>
        <w:t xml:space="preserve">moderately </w:t>
      </w:r>
      <w:r w:rsidRPr="00295B5D">
        <w:rPr>
          <w:rFonts w:ascii="Times New Roman" w:hAnsi="Times New Roman" w:cs="Times New Roman"/>
          <w:sz w:val="24"/>
          <w:szCs w:val="24"/>
          <w:lang w:val="en-GB"/>
        </w:rPr>
        <w:t>emissions</w:t>
      </w:r>
      <w:r w:rsidRPr="00295B5D">
        <w:rPr>
          <w:rFonts w:ascii="Times New Roman" w:hAnsi="Times New Roman" w:cs="Times New Roman"/>
          <w:sz w:val="24"/>
          <w:szCs w:val="24"/>
          <w:lang w:val="en-GB"/>
        </w:rPr>
        <w:noBreakHyphen/>
        <w:t>intensive activity. This has the effect that electricity used in the activity as defined is</w:t>
      </w:r>
      <w:r w:rsidRPr="00F20714">
        <w:rPr>
          <w:rFonts w:ascii="Times New Roman" w:hAnsi="Times New Roman" w:cs="Times New Roman"/>
          <w:sz w:val="24"/>
          <w:szCs w:val="24"/>
          <w:lang w:val="en-GB"/>
        </w:rPr>
        <w:t xml:space="preserve"> eligible for a partial exemption from RET liability at the </w:t>
      </w:r>
      <w:r w:rsidR="005B555A">
        <w:rPr>
          <w:rFonts w:ascii="Times New Roman" w:hAnsi="Times New Roman" w:cs="Times New Roman"/>
          <w:sz w:val="24"/>
          <w:szCs w:val="24"/>
          <w:lang w:val="en-GB"/>
        </w:rPr>
        <w:t xml:space="preserve">moderately </w:t>
      </w:r>
      <w:r w:rsidRPr="00F20714">
        <w:rPr>
          <w:rFonts w:ascii="Times New Roman" w:hAnsi="Times New Roman" w:cs="Times New Roman"/>
          <w:sz w:val="24"/>
          <w:szCs w:val="24"/>
          <w:lang w:val="en-GB"/>
        </w:rPr>
        <w:t>emissions</w:t>
      </w:r>
      <w:r w:rsidRPr="00F20714">
        <w:rPr>
          <w:rFonts w:ascii="Times New Roman" w:hAnsi="Times New Roman" w:cs="Times New Roman"/>
          <w:sz w:val="24"/>
          <w:szCs w:val="24"/>
          <w:lang w:val="en-GB"/>
        </w:rPr>
        <w:noBreakHyphen/>
        <w:t>intensive rate.</w:t>
      </w:r>
    </w:p>
    <w:p w:rsidR="00A70AC7" w:rsidRPr="00295B5D" w:rsidRDefault="00A70AC7" w:rsidP="00DE1B84">
      <w:pPr>
        <w:spacing w:after="120"/>
        <w:rPr>
          <w:b/>
        </w:rPr>
      </w:pPr>
      <w:r w:rsidRPr="00295B5D">
        <w:rPr>
          <w:b/>
        </w:rPr>
        <w:lastRenderedPageBreak/>
        <w:t>Division 3 Electricity baseline for calculating partial exemption</w:t>
      </w:r>
    </w:p>
    <w:p w:rsidR="00A70AC7" w:rsidRPr="00295B5D" w:rsidRDefault="00A70AC7" w:rsidP="00DE1B84">
      <w:pPr>
        <w:pStyle w:val="Bullet"/>
        <w:numPr>
          <w:ilvl w:val="0"/>
          <w:numId w:val="0"/>
        </w:numPr>
        <w:spacing w:after="120"/>
        <w:rPr>
          <w:iCs/>
          <w:u w:val="single"/>
        </w:rPr>
      </w:pPr>
      <w:r w:rsidRPr="00F07463">
        <w:rPr>
          <w:iCs/>
          <w:u w:val="single"/>
        </w:rPr>
        <w:t>Clause 7</w:t>
      </w:r>
      <w:r w:rsidR="005B555A" w:rsidRPr="00F07463">
        <w:rPr>
          <w:iCs/>
          <w:u w:val="single"/>
        </w:rPr>
        <w:t>60</w:t>
      </w:r>
      <w:r w:rsidRPr="00F07463">
        <w:rPr>
          <w:iCs/>
          <w:u w:val="single"/>
        </w:rPr>
        <w:t xml:space="preserve"> – Electricity baseline for product</w:t>
      </w:r>
    </w:p>
    <w:p w:rsidR="00A70AC7" w:rsidRPr="00FA1DB4" w:rsidRDefault="00A70AC7" w:rsidP="00A70AC7">
      <w:r w:rsidRPr="00FA1DB4">
        <w:t>Clause 7</w:t>
      </w:r>
      <w:r w:rsidR="005B555A">
        <w:t>60</w:t>
      </w:r>
      <w:r w:rsidRPr="00FA1DB4">
        <w:t xml:space="preserve"> provides that the electricity baseline for calculating the amount of a liable entity’s partial exemption for the</w:t>
      </w:r>
      <w:r w:rsidR="005B555A">
        <w:t xml:space="preserve"> rendering of animal by</w:t>
      </w:r>
      <w:r w:rsidR="005B555A">
        <w:noBreakHyphen/>
        <w:t xml:space="preserve">products </w:t>
      </w:r>
      <w:r w:rsidRPr="00FA1DB4">
        <w:t xml:space="preserve">is </w:t>
      </w:r>
      <w:r w:rsidR="005B555A">
        <w:t>0.248</w:t>
      </w:r>
      <w:r w:rsidRPr="00FA1DB4">
        <w:t> megawatt</w:t>
      </w:r>
      <w:r w:rsidRPr="00FA1DB4">
        <w:noBreakHyphen/>
        <w:t>hours (</w:t>
      </w:r>
      <w:proofErr w:type="spellStart"/>
      <w:r w:rsidRPr="00FA1DB4">
        <w:t>MWh</w:t>
      </w:r>
      <w:proofErr w:type="spellEnd"/>
      <w:r w:rsidRPr="00FA1DB4">
        <w:t xml:space="preserve">) per </w:t>
      </w:r>
      <w:r w:rsidR="005B555A">
        <w:t xml:space="preserve">tonne of saleable processed </w:t>
      </w:r>
      <w:r w:rsidR="005B555A" w:rsidRPr="00E05838">
        <w:t xml:space="preserve">animal protein </w:t>
      </w:r>
      <w:r w:rsidR="002F089D">
        <w:t xml:space="preserve">meal </w:t>
      </w:r>
      <w:r w:rsidR="005B555A" w:rsidRPr="00E05838">
        <w:t>with a moisture content that does not exceed 10</w:t>
      </w:r>
      <w:r w:rsidR="005B555A">
        <w:t> </w:t>
      </w:r>
      <w:r w:rsidR="005B555A" w:rsidRPr="00E05838">
        <w:t>per</w:t>
      </w:r>
      <w:r w:rsidR="005B555A">
        <w:t> </w:t>
      </w:r>
      <w:r w:rsidR="005B555A" w:rsidRPr="00E05838">
        <w:t>cent by weight which results from carrying out the activity as described</w:t>
      </w:r>
      <w:r w:rsidRPr="00FA1DB4">
        <w:t xml:space="preserve">. </w:t>
      </w:r>
    </w:p>
    <w:p w:rsidR="00A70AC7" w:rsidRDefault="00A70AC7" w:rsidP="00A70AC7">
      <w:r w:rsidRPr="00670B32">
        <w:t xml:space="preserve">To be eligible for assistance, the </w:t>
      </w:r>
      <w:r w:rsidR="005B555A">
        <w:t xml:space="preserve">animal protein </w:t>
      </w:r>
      <w:r w:rsidRPr="00670B32">
        <w:t>must have been produced by carrying on the activity (as defined by clause</w:t>
      </w:r>
      <w:r>
        <w:t xml:space="preserve"> 75</w:t>
      </w:r>
      <w:r w:rsidR="002F089D">
        <w:t>8</w:t>
      </w:r>
      <w:r>
        <w:t xml:space="preserve">) </w:t>
      </w:r>
      <w:r w:rsidRPr="00670B32">
        <w:t>in Australia to be eligible as a re</w:t>
      </w:r>
      <w:r w:rsidR="005B555A">
        <w:t xml:space="preserve">levant product. </w:t>
      </w:r>
      <w:r w:rsidR="005B555A" w:rsidRPr="00670B32">
        <w:t xml:space="preserve">For example, if imported </w:t>
      </w:r>
      <w:r w:rsidR="005B555A">
        <w:t xml:space="preserve">animal protein </w:t>
      </w:r>
      <w:r w:rsidR="005B555A" w:rsidRPr="00670B32">
        <w:t xml:space="preserve">is mixed with output produced from the activity, only the proportion of </w:t>
      </w:r>
      <w:r w:rsidR="005B555A">
        <w:t xml:space="preserve">animal protein </w:t>
      </w:r>
      <w:r w:rsidR="005B555A" w:rsidRPr="00670B32">
        <w:t xml:space="preserve">that is an output from the activity </w:t>
      </w:r>
      <w:r w:rsidR="005B555A">
        <w:t xml:space="preserve">undertaken in Australia </w:t>
      </w:r>
      <w:r w:rsidR="005B555A" w:rsidRPr="00670B32">
        <w:t>would be included in the tonnes of the relevant product</w:t>
      </w:r>
      <w:r w:rsidRPr="00670B32">
        <w:t>.</w:t>
      </w:r>
    </w:p>
    <w:p w:rsidR="00A70AC7" w:rsidRDefault="005B555A" w:rsidP="00A70AC7">
      <w:r w:rsidRPr="00670B32">
        <w:t xml:space="preserve">The </w:t>
      </w:r>
      <w:r>
        <w:t xml:space="preserve">animal protein </w:t>
      </w:r>
      <w:r w:rsidRPr="00670B32">
        <w:t xml:space="preserve">must be of saleable quality </w:t>
      </w:r>
      <w:r w:rsidR="00A70AC7" w:rsidRPr="00670B32">
        <w:t xml:space="preserve">(as defined </w:t>
      </w:r>
      <w:r w:rsidR="00A70AC7" w:rsidRPr="00FA1DB4">
        <w:t xml:space="preserve">in </w:t>
      </w:r>
      <w:r w:rsidR="002F089D">
        <w:t>r</w:t>
      </w:r>
      <w:r w:rsidR="00A70AC7" w:rsidRPr="00FA1DB4">
        <w:t xml:space="preserve">egulation 22C of the </w:t>
      </w:r>
      <w:r w:rsidR="002F089D">
        <w:t xml:space="preserve">RET </w:t>
      </w:r>
      <w:r w:rsidR="00A70AC7" w:rsidRPr="00FA1DB4">
        <w:t>Regulations</w:t>
      </w:r>
      <w:r w:rsidR="00A70AC7" w:rsidRPr="00670B32">
        <w:t xml:space="preserve">). In particular, the </w:t>
      </w:r>
      <w:r w:rsidRPr="00670B32">
        <w:t xml:space="preserve">tonnes of </w:t>
      </w:r>
      <w:r>
        <w:t xml:space="preserve">animal protein </w:t>
      </w:r>
      <w:r w:rsidRPr="00670B32">
        <w:t>which are for testing purposes</w:t>
      </w:r>
      <w:r>
        <w:t xml:space="preserve"> or scrap </w:t>
      </w:r>
      <w:r w:rsidRPr="00670B32">
        <w:t xml:space="preserve">and are discarded rather than saleable are not to be included in the tonnes of </w:t>
      </w:r>
      <w:r>
        <w:t>animal protein</w:t>
      </w:r>
      <w:r w:rsidR="002F089D">
        <w:t xml:space="preserve"> meal</w:t>
      </w:r>
      <w:r>
        <w:t xml:space="preserve"> for the purpose of assistance</w:t>
      </w:r>
      <w:r w:rsidR="00A70AC7" w:rsidRPr="00670B32">
        <w:t>.</w:t>
      </w:r>
    </w:p>
    <w:p w:rsidR="00A70AC7" w:rsidRPr="005B555A" w:rsidRDefault="005B555A" w:rsidP="00DE1B84">
      <w:pPr>
        <w:spacing w:after="120"/>
        <w:rPr>
          <w:b/>
        </w:rPr>
      </w:pPr>
      <w:r w:rsidRPr="005B555A">
        <w:rPr>
          <w:b/>
        </w:rPr>
        <w:t>P</w:t>
      </w:r>
      <w:r w:rsidR="002F089D">
        <w:rPr>
          <w:b/>
        </w:rPr>
        <w:t>ART</w:t>
      </w:r>
      <w:r w:rsidRPr="005B555A">
        <w:rPr>
          <w:b/>
        </w:rPr>
        <w:t xml:space="preserve"> 2 – </w:t>
      </w:r>
      <w:r w:rsidR="002F089D">
        <w:rPr>
          <w:b/>
        </w:rPr>
        <w:t>APPLICATION AND TRANSITIONAL PROVISIONS</w:t>
      </w:r>
    </w:p>
    <w:p w:rsidR="005B555A" w:rsidRPr="00513709" w:rsidRDefault="005B555A" w:rsidP="00DE1B84">
      <w:pPr>
        <w:spacing w:after="120"/>
        <w:rPr>
          <w:b/>
          <w:i/>
        </w:rPr>
      </w:pPr>
      <w:r w:rsidRPr="00513709">
        <w:rPr>
          <w:b/>
          <w:i/>
        </w:rPr>
        <w:t>Clean Energy Regulations 2011</w:t>
      </w:r>
    </w:p>
    <w:p w:rsidR="005B555A" w:rsidRPr="00893079" w:rsidRDefault="005B555A" w:rsidP="00893079">
      <w:pPr>
        <w:keepLines/>
        <w:spacing w:before="100" w:beforeAutospacing="1" w:after="100" w:afterAutospacing="1"/>
        <w:rPr>
          <w:b/>
        </w:rPr>
      </w:pPr>
      <w:r w:rsidRPr="00893079">
        <w:rPr>
          <w:b/>
        </w:rPr>
        <w:t>Item 1</w:t>
      </w:r>
      <w:r w:rsidR="00CA092E">
        <w:rPr>
          <w:b/>
        </w:rPr>
        <w:t>9</w:t>
      </w:r>
      <w:r w:rsidRPr="00893079">
        <w:rPr>
          <w:b/>
        </w:rPr>
        <w:t xml:space="preserve"> </w:t>
      </w:r>
      <w:r w:rsidR="00893079" w:rsidRPr="00893079">
        <w:rPr>
          <w:b/>
        </w:rPr>
        <w:t>–</w:t>
      </w:r>
      <w:r w:rsidRPr="00893079">
        <w:rPr>
          <w:b/>
        </w:rPr>
        <w:t xml:space="preserve"> </w:t>
      </w:r>
      <w:r w:rsidR="00893079" w:rsidRPr="00893079">
        <w:rPr>
          <w:b/>
        </w:rPr>
        <w:t>After Part 23</w:t>
      </w:r>
    </w:p>
    <w:p w:rsidR="009C136D" w:rsidRDefault="00893079" w:rsidP="00597742">
      <w:r>
        <w:t xml:space="preserve">This item inserts a new Part 24 in the </w:t>
      </w:r>
      <w:r w:rsidR="00F264C0">
        <w:t xml:space="preserve">CE </w:t>
      </w:r>
      <w:r>
        <w:t xml:space="preserve">Regulations </w:t>
      </w:r>
      <w:r w:rsidR="00F264C0">
        <w:t>to clarify th</w:t>
      </w:r>
      <w:r w:rsidR="0078686C">
        <w:t xml:space="preserve">e application of the </w:t>
      </w:r>
      <w:r w:rsidR="00F264C0">
        <w:t>amendments made by items 3 and 4 of Schedule 1 to th</w:t>
      </w:r>
      <w:r w:rsidR="0078686C">
        <w:t xml:space="preserve">is </w:t>
      </w:r>
      <w:r w:rsidR="00F264C0">
        <w:t>Regulation</w:t>
      </w:r>
      <w:r w:rsidR="0078686C">
        <w:t xml:space="preserve">. This item specifies that the new </w:t>
      </w:r>
      <w:r w:rsidR="00F264C0">
        <w:t>description of the coal char activity appl</w:t>
      </w:r>
      <w:r w:rsidR="0078686C">
        <w:t xml:space="preserve">ies </w:t>
      </w:r>
      <w:r w:rsidR="00F264C0">
        <w:t xml:space="preserve">to JCP applications that have already been made </w:t>
      </w:r>
      <w:r w:rsidR="00591EC2">
        <w:t xml:space="preserve">to the Regulator in circumstances </w:t>
      </w:r>
      <w:r w:rsidR="00F264C0">
        <w:t xml:space="preserve">where the Regulator has not already </w:t>
      </w:r>
      <w:r w:rsidR="009C136D">
        <w:t xml:space="preserve">made a final determination on (that is, </w:t>
      </w:r>
      <w:r w:rsidR="00F264C0">
        <w:t>approved or rejected</w:t>
      </w:r>
      <w:r w:rsidR="009C136D">
        <w:t xml:space="preserve">) </w:t>
      </w:r>
      <w:r w:rsidR="00F264C0">
        <w:t xml:space="preserve">the application. The intention is to avoid the need for an applicant to submit an additional application </w:t>
      </w:r>
      <w:r w:rsidR="00591EC2">
        <w:t xml:space="preserve">where one has already been </w:t>
      </w:r>
      <w:r w:rsidR="009C136D">
        <w:t xml:space="preserve">submitted but for which a decision by the Regulator has not been made. The Regulator could manage the application of the minor </w:t>
      </w:r>
      <w:r w:rsidR="00F264C0">
        <w:t>adjustment to the description of the coal char activity</w:t>
      </w:r>
      <w:r w:rsidR="00591EC2">
        <w:t xml:space="preserve"> </w:t>
      </w:r>
      <w:r w:rsidR="009C136D">
        <w:t xml:space="preserve">to relevant existing applications by requesting </w:t>
      </w:r>
      <w:r w:rsidR="00591EC2">
        <w:t xml:space="preserve">additional information </w:t>
      </w:r>
      <w:r w:rsidR="009C136D">
        <w:t>from applicants.</w:t>
      </w:r>
    </w:p>
    <w:p w:rsidR="00F264C0" w:rsidRPr="00513709" w:rsidRDefault="00F264C0" w:rsidP="00F264C0">
      <w:pPr>
        <w:rPr>
          <w:b/>
          <w:i/>
        </w:rPr>
      </w:pPr>
      <w:r w:rsidRPr="00513709">
        <w:rPr>
          <w:b/>
          <w:i/>
        </w:rPr>
        <w:t>Renewable Energy (Electricity) Regulations 2001</w:t>
      </w:r>
    </w:p>
    <w:p w:rsidR="00F264C0" w:rsidRPr="00893079" w:rsidRDefault="00F264C0" w:rsidP="00DE1B84">
      <w:pPr>
        <w:keepLines/>
        <w:spacing w:before="0" w:after="0"/>
        <w:rPr>
          <w:b/>
        </w:rPr>
      </w:pPr>
      <w:r w:rsidRPr="00893079">
        <w:rPr>
          <w:b/>
        </w:rPr>
        <w:t xml:space="preserve">Item </w:t>
      </w:r>
      <w:r w:rsidR="00CA092E">
        <w:rPr>
          <w:b/>
        </w:rPr>
        <w:t>20</w:t>
      </w:r>
      <w:r w:rsidRPr="00893079">
        <w:rPr>
          <w:b/>
        </w:rPr>
        <w:t xml:space="preserve"> – After Part </w:t>
      </w:r>
      <w:r>
        <w:rPr>
          <w:b/>
        </w:rPr>
        <w:t>8</w:t>
      </w:r>
    </w:p>
    <w:p w:rsidR="00AC23BF" w:rsidRDefault="00F264C0" w:rsidP="00904B2C">
      <w:pPr>
        <w:rPr>
          <w:b/>
        </w:rPr>
      </w:pPr>
      <w:r>
        <w:t>This item inserts a new Part 9 in the RE</w:t>
      </w:r>
      <w:r w:rsidR="00CA2ED2">
        <w:t>T</w:t>
      </w:r>
      <w:r>
        <w:t xml:space="preserve"> Regulations to clarify </w:t>
      </w:r>
      <w:r w:rsidR="00CA2ED2">
        <w:t xml:space="preserve">the application of the </w:t>
      </w:r>
      <w:r>
        <w:t xml:space="preserve">amendments made by items 14 and 15 of Schedule 1 to </w:t>
      </w:r>
      <w:r w:rsidR="00CA2ED2">
        <w:t xml:space="preserve">this </w:t>
      </w:r>
      <w:r>
        <w:t>Regulation</w:t>
      </w:r>
      <w:r w:rsidR="00CA2ED2">
        <w:t xml:space="preserve">. This item specifies that </w:t>
      </w:r>
      <w:r>
        <w:t xml:space="preserve">the </w:t>
      </w:r>
      <w:r w:rsidR="00CA2ED2">
        <w:t xml:space="preserve">new </w:t>
      </w:r>
      <w:r>
        <w:t>description of the coal char activity appl</w:t>
      </w:r>
      <w:r w:rsidR="00CA2ED2">
        <w:t xml:space="preserve">ies </w:t>
      </w:r>
      <w:r>
        <w:t xml:space="preserve">to applications </w:t>
      </w:r>
      <w:r w:rsidR="00591EC2">
        <w:t xml:space="preserve">for partial exemption certificates </w:t>
      </w:r>
      <w:r>
        <w:t xml:space="preserve">that have already been made </w:t>
      </w:r>
      <w:r w:rsidR="00591EC2">
        <w:t xml:space="preserve">to the Regulator in circumstances </w:t>
      </w:r>
      <w:r>
        <w:t xml:space="preserve">where the Regulator has not already </w:t>
      </w:r>
      <w:r w:rsidR="00591EC2">
        <w:t xml:space="preserve">made a final determination on the </w:t>
      </w:r>
      <w:r>
        <w:t>application</w:t>
      </w:r>
      <w:r w:rsidR="00904B2C">
        <w:t xml:space="preserve">. </w:t>
      </w:r>
      <w:r w:rsidR="00591EC2">
        <w:t>The intention is to avoid the need for an applicant to submit an additional application to cover off on a minor adjustment to the description of the coal char activity.</w:t>
      </w:r>
      <w:r w:rsidR="00904B2C">
        <w:t xml:space="preserve"> </w:t>
      </w:r>
      <w:r w:rsidR="00591EC2">
        <w:t xml:space="preserve">The new description also applies in relation to future applications that are made </w:t>
      </w:r>
      <w:r w:rsidR="00904B2C">
        <w:t xml:space="preserve">in relation to coal char </w:t>
      </w:r>
      <w:r w:rsidR="00591EC2">
        <w:t>after</w:t>
      </w:r>
      <w:r>
        <w:t xml:space="preserve"> the </w:t>
      </w:r>
      <w:r w:rsidR="00591EC2">
        <w:t>R</w:t>
      </w:r>
      <w:r>
        <w:t>egulation</w:t>
      </w:r>
      <w:r w:rsidR="00CA2ED2">
        <w:t xml:space="preserve"> is</w:t>
      </w:r>
      <w:r>
        <w:t xml:space="preserve"> made.</w:t>
      </w:r>
      <w:r w:rsidR="00904B2C">
        <w:t xml:space="preserve"> </w:t>
      </w:r>
      <w:r w:rsidR="00AC23BF">
        <w:rPr>
          <w:b/>
        </w:rPr>
        <w:br w:type="page"/>
      </w:r>
    </w:p>
    <w:p w:rsidR="00EB50B3" w:rsidRPr="00EB50B3" w:rsidRDefault="00EB50B3" w:rsidP="00EB50B3">
      <w:pPr>
        <w:jc w:val="right"/>
        <w:rPr>
          <w:b/>
        </w:rPr>
      </w:pPr>
      <w:r w:rsidRPr="00EB50B3">
        <w:rPr>
          <w:b/>
        </w:rPr>
        <w:lastRenderedPageBreak/>
        <w:t>Attachment B</w:t>
      </w:r>
    </w:p>
    <w:p w:rsidR="00EB50B3" w:rsidRPr="00222093" w:rsidRDefault="00EB50B3" w:rsidP="00EB50B3">
      <w:pPr>
        <w:spacing w:before="360" w:after="120"/>
        <w:jc w:val="center"/>
        <w:rPr>
          <w:b/>
          <w:sz w:val="28"/>
          <w:szCs w:val="28"/>
        </w:rPr>
      </w:pPr>
      <w:r w:rsidRPr="00222093">
        <w:rPr>
          <w:b/>
          <w:sz w:val="28"/>
          <w:szCs w:val="28"/>
        </w:rPr>
        <w:t>Statement of Compatibility with Human Rights</w:t>
      </w:r>
    </w:p>
    <w:p w:rsidR="00EB50B3" w:rsidRPr="00222093" w:rsidRDefault="00EB50B3" w:rsidP="00EB50B3">
      <w:pPr>
        <w:spacing w:before="120" w:after="120"/>
        <w:jc w:val="center"/>
      </w:pPr>
      <w:r w:rsidRPr="00222093">
        <w:rPr>
          <w:i/>
        </w:rPr>
        <w:t>Prepared in accordance with Part 3 of the Human Rights (Parliamentary Scrutiny) Act 2011</w:t>
      </w:r>
    </w:p>
    <w:p w:rsidR="00EB50B3" w:rsidRPr="00222093" w:rsidRDefault="00EB50B3" w:rsidP="00EB50B3">
      <w:pPr>
        <w:spacing w:before="120" w:after="120"/>
        <w:jc w:val="center"/>
      </w:pPr>
    </w:p>
    <w:p w:rsidR="00EB50B3" w:rsidRPr="00C976F6" w:rsidRDefault="00C976F6" w:rsidP="00EB50B3">
      <w:pPr>
        <w:spacing w:before="120" w:after="120"/>
        <w:jc w:val="center"/>
        <w:rPr>
          <w:b/>
        </w:rPr>
      </w:pPr>
      <w:r w:rsidRPr="00C976F6">
        <w:rPr>
          <w:b/>
          <w:iCs/>
        </w:rPr>
        <w:t>Clean Energy Legislation Amendment (2014 Measures No.1) Regulation 2014</w:t>
      </w:r>
    </w:p>
    <w:p w:rsidR="00EB50B3" w:rsidRPr="00222093" w:rsidRDefault="00EB50B3" w:rsidP="00EB50B3">
      <w:pPr>
        <w:spacing w:before="120" w:after="120"/>
        <w:jc w:val="center"/>
      </w:pPr>
    </w:p>
    <w:p w:rsidR="00EB50B3" w:rsidRPr="00222093" w:rsidRDefault="00EB50B3" w:rsidP="00EB50B3">
      <w:pPr>
        <w:spacing w:before="120" w:after="120"/>
        <w:jc w:val="center"/>
      </w:pPr>
      <w:r w:rsidRPr="00222093">
        <w:t xml:space="preserve">This Legislative Instrument is compatible with the human rights and freedoms recognised or declared in the international instruments listed in section 3 of the </w:t>
      </w:r>
      <w:r w:rsidRPr="00222093">
        <w:rPr>
          <w:i/>
        </w:rPr>
        <w:t>Human Rights (Parliamentary Scrutiny) Act 2011</w:t>
      </w:r>
      <w:r w:rsidRPr="00222093">
        <w:t>.</w:t>
      </w:r>
    </w:p>
    <w:p w:rsidR="00EB50B3" w:rsidRPr="00222093" w:rsidRDefault="00EB50B3" w:rsidP="00EB50B3">
      <w:pPr>
        <w:spacing w:before="120" w:after="120"/>
        <w:jc w:val="center"/>
      </w:pPr>
    </w:p>
    <w:p w:rsidR="00EB50B3" w:rsidRPr="00C976F6" w:rsidRDefault="00EB50B3" w:rsidP="00EB50B3">
      <w:pPr>
        <w:spacing w:before="120" w:after="120"/>
        <w:jc w:val="both"/>
        <w:rPr>
          <w:b/>
        </w:rPr>
      </w:pPr>
      <w:r w:rsidRPr="00C976F6">
        <w:rPr>
          <w:b/>
        </w:rPr>
        <w:t xml:space="preserve">Overview of the </w:t>
      </w:r>
      <w:r w:rsidR="00C976F6" w:rsidRPr="00C976F6">
        <w:rPr>
          <w:b/>
          <w:iCs/>
        </w:rPr>
        <w:t>Clean Energy Legislation Amendment (2014 Measures No.1) Regulation 2014</w:t>
      </w:r>
    </w:p>
    <w:p w:rsidR="00EB50B3" w:rsidRDefault="00EB50B3" w:rsidP="00EB50B3">
      <w:pPr>
        <w:spacing w:before="120" w:after="120"/>
      </w:pPr>
      <w:r w:rsidRPr="00222093">
        <w:t xml:space="preserve">The Regulation is designed to </w:t>
      </w:r>
      <w:r>
        <w:t xml:space="preserve">include </w:t>
      </w:r>
      <w:r w:rsidR="00303706">
        <w:t xml:space="preserve">two </w:t>
      </w:r>
      <w:r w:rsidR="00296874">
        <w:t>additional activit</w:t>
      </w:r>
      <w:r w:rsidR="00303706">
        <w:t>ies</w:t>
      </w:r>
      <w:r w:rsidR="00296874">
        <w:t xml:space="preserve">, the production of </w:t>
      </w:r>
      <w:r w:rsidR="0008089A">
        <w:t>ferrovanadium</w:t>
      </w:r>
      <w:r w:rsidR="00303706">
        <w:t xml:space="preserve"> and the rendering of animal by</w:t>
      </w:r>
      <w:r w:rsidR="00303706">
        <w:noBreakHyphen/>
        <w:t>products</w:t>
      </w:r>
      <w:r w:rsidR="00296874">
        <w:t>,</w:t>
      </w:r>
      <w:r>
        <w:t xml:space="preserve"> as eligible under t</w:t>
      </w:r>
      <w:r w:rsidRPr="00222093">
        <w:t xml:space="preserve">he Jobs </w:t>
      </w:r>
      <w:r w:rsidR="0008089A">
        <w:t>and Competitiveness Program (JCP</w:t>
      </w:r>
      <w:r w:rsidRPr="00222093">
        <w:t>)</w:t>
      </w:r>
      <w:r w:rsidR="00296874">
        <w:t xml:space="preserve"> </w:t>
      </w:r>
      <w:r w:rsidR="0008089A">
        <w:t xml:space="preserve">for the two years in which the carbon tax operated, and on an ongoing basis under the </w:t>
      </w:r>
      <w:r w:rsidR="00296874">
        <w:t>Renewable Energy Target (RET) scheme</w:t>
      </w:r>
      <w:r>
        <w:t>.</w:t>
      </w:r>
    </w:p>
    <w:p w:rsidR="00EB50B3" w:rsidRDefault="00EB50B3" w:rsidP="00EB50B3">
      <w:pPr>
        <w:spacing w:before="120" w:after="120"/>
      </w:pPr>
      <w:r w:rsidRPr="00A73E0B">
        <w:t xml:space="preserve">The Regulation is </w:t>
      </w:r>
      <w:r w:rsidR="00296874">
        <w:t>also designed to extend the deadline for applications to be made under the</w:t>
      </w:r>
      <w:r w:rsidR="0008089A">
        <w:t xml:space="preserve"> JCP to allow assistance to be provided retrospectively for the 2012</w:t>
      </w:r>
      <w:r w:rsidR="0008089A">
        <w:noBreakHyphen/>
        <w:t>13 and 2013</w:t>
      </w:r>
      <w:r w:rsidR="0008089A">
        <w:noBreakHyphen/>
        <w:t>14 compliance years</w:t>
      </w:r>
      <w:r w:rsidR="00296874">
        <w:t xml:space="preserve"> in relation to the new</w:t>
      </w:r>
      <w:r w:rsidR="00E453D4">
        <w:t xml:space="preserve"> eligible</w:t>
      </w:r>
      <w:r w:rsidR="00296874">
        <w:t xml:space="preserve"> activit</w:t>
      </w:r>
      <w:r w:rsidR="00303706">
        <w:t>ies</w:t>
      </w:r>
      <w:r w:rsidRPr="00A73E0B">
        <w:t>.</w:t>
      </w:r>
    </w:p>
    <w:p w:rsidR="0008089A" w:rsidRPr="00222093" w:rsidRDefault="0008089A" w:rsidP="00EB50B3">
      <w:pPr>
        <w:spacing w:before="120" w:after="120"/>
      </w:pPr>
      <w:r>
        <w:t>The Regulation is also designed to make other minor amendments in relation to the description of the ‘production of coal char’ eligible activity</w:t>
      </w:r>
      <w:r w:rsidR="00CA2ED2">
        <w:t xml:space="preserve"> under both the JCP and the RET</w:t>
      </w:r>
      <w:r>
        <w:t>, the calculation of the sub</w:t>
      </w:r>
      <w:r>
        <w:noBreakHyphen/>
        <w:t xml:space="preserve">threshold adjustment to </w:t>
      </w:r>
      <w:proofErr w:type="spellStart"/>
      <w:r>
        <w:t>JCP</w:t>
      </w:r>
      <w:proofErr w:type="spellEnd"/>
      <w:r>
        <w:t xml:space="preserve"> allocations and to the record keeping provisions</w:t>
      </w:r>
      <w:r w:rsidR="00CA2ED2">
        <w:t xml:space="preserve"> of the JCP</w:t>
      </w:r>
      <w:r>
        <w:t>.</w:t>
      </w:r>
    </w:p>
    <w:p w:rsidR="00EB50B3" w:rsidRPr="00222093" w:rsidRDefault="00EB50B3" w:rsidP="00EB50B3">
      <w:pPr>
        <w:spacing w:before="120" w:after="120"/>
      </w:pPr>
    </w:p>
    <w:p w:rsidR="00EB50B3" w:rsidRPr="00222093" w:rsidRDefault="00EB50B3" w:rsidP="00EB50B3">
      <w:pPr>
        <w:spacing w:before="120" w:after="120"/>
        <w:rPr>
          <w:b/>
        </w:rPr>
      </w:pPr>
      <w:r w:rsidRPr="00222093">
        <w:rPr>
          <w:b/>
        </w:rPr>
        <w:t>Human rights implications</w:t>
      </w:r>
    </w:p>
    <w:p w:rsidR="00EB50B3" w:rsidRPr="00222093" w:rsidRDefault="00EB50B3" w:rsidP="00EB50B3">
      <w:pPr>
        <w:spacing w:before="120" w:after="120"/>
      </w:pPr>
      <w:r w:rsidRPr="00222093">
        <w:t>This Legislative Instrument does not engage any of the applicable rights or freedoms.</w:t>
      </w:r>
    </w:p>
    <w:p w:rsidR="00EB50B3" w:rsidRPr="00222093" w:rsidRDefault="00EB50B3" w:rsidP="00EB50B3">
      <w:pPr>
        <w:spacing w:before="120" w:after="120"/>
      </w:pPr>
    </w:p>
    <w:p w:rsidR="00EB50B3" w:rsidRPr="00222093" w:rsidRDefault="00EB50B3" w:rsidP="00EB50B3">
      <w:pPr>
        <w:spacing w:before="120" w:after="120"/>
        <w:rPr>
          <w:b/>
        </w:rPr>
      </w:pPr>
      <w:r w:rsidRPr="00222093">
        <w:rPr>
          <w:b/>
        </w:rPr>
        <w:t>Conclusion</w:t>
      </w:r>
    </w:p>
    <w:p w:rsidR="00EB50B3" w:rsidRPr="00222093" w:rsidRDefault="00EB50B3" w:rsidP="00EB50B3">
      <w:pPr>
        <w:spacing w:before="120" w:after="120"/>
      </w:pPr>
      <w:r w:rsidRPr="00222093">
        <w:t>This Legislative Instrument is compatible with human rights as it does not raise any human rights issues.</w:t>
      </w:r>
    </w:p>
    <w:p w:rsidR="00EB50B3" w:rsidRPr="00222093" w:rsidRDefault="00EB50B3" w:rsidP="00EB50B3">
      <w:pPr>
        <w:spacing w:before="120" w:after="120"/>
        <w:jc w:val="center"/>
      </w:pPr>
    </w:p>
    <w:p w:rsidR="00EB50B3" w:rsidRPr="00222093" w:rsidRDefault="00EB50B3" w:rsidP="00EB50B3">
      <w:pPr>
        <w:spacing w:before="120" w:after="120"/>
        <w:jc w:val="center"/>
      </w:pPr>
    </w:p>
    <w:p w:rsidR="00EB50B3" w:rsidRPr="00222093" w:rsidRDefault="00EB50B3" w:rsidP="00EB50B3">
      <w:pPr>
        <w:spacing w:before="120" w:after="120"/>
        <w:jc w:val="center"/>
        <w:rPr>
          <w:b/>
        </w:rPr>
      </w:pPr>
      <w:r w:rsidRPr="00222093">
        <w:rPr>
          <w:b/>
        </w:rPr>
        <w:t xml:space="preserve">Greg </w:t>
      </w:r>
      <w:r>
        <w:rPr>
          <w:b/>
        </w:rPr>
        <w:t>Hun</w:t>
      </w:r>
      <w:r w:rsidRPr="00222093">
        <w:rPr>
          <w:b/>
        </w:rPr>
        <w:t>t</w:t>
      </w:r>
    </w:p>
    <w:p w:rsidR="00EB50B3" w:rsidRPr="003740B2" w:rsidRDefault="00EB50B3" w:rsidP="0008089A">
      <w:pPr>
        <w:spacing w:before="120" w:after="120"/>
        <w:jc w:val="center"/>
      </w:pPr>
      <w:r w:rsidRPr="00222093">
        <w:rPr>
          <w:b/>
        </w:rPr>
        <w:t xml:space="preserve">Minister for </w:t>
      </w:r>
      <w:r>
        <w:rPr>
          <w:b/>
        </w:rPr>
        <w:t>the Environment</w:t>
      </w:r>
    </w:p>
    <w:sectPr w:rsidR="00EB50B3" w:rsidRPr="003740B2" w:rsidSect="00387433">
      <w:headerReference w:type="first" r:id="rId10"/>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B0" w:rsidRDefault="00E636B0" w:rsidP="0056784D">
      <w:pPr>
        <w:spacing w:before="0" w:after="0"/>
      </w:pPr>
      <w:r>
        <w:separator/>
      </w:r>
    </w:p>
  </w:endnote>
  <w:endnote w:type="continuationSeparator" w:id="0">
    <w:p w:rsidR="00E636B0" w:rsidRDefault="00E636B0" w:rsidP="0056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6B0" w:rsidRDefault="00AA7BEE">
    <w:pPr>
      <w:pStyle w:val="Footer"/>
      <w:jc w:val="right"/>
    </w:pPr>
    <w:r>
      <w:fldChar w:fldCharType="begin"/>
    </w:r>
    <w:r>
      <w:instrText xml:space="preserve"> PAGE   \* MERGEFORMAT </w:instrText>
    </w:r>
    <w:r>
      <w:fldChar w:fldCharType="separate"/>
    </w:r>
    <w:r>
      <w:rPr>
        <w:noProof/>
      </w:rPr>
      <w:t>14</w:t>
    </w:r>
    <w:r>
      <w:rPr>
        <w:noProof/>
      </w:rPr>
      <w:fldChar w:fldCharType="end"/>
    </w:r>
  </w:p>
  <w:p w:rsidR="00E636B0" w:rsidRDefault="00E63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B0" w:rsidRDefault="00E636B0" w:rsidP="0056784D">
      <w:pPr>
        <w:spacing w:before="0" w:after="0"/>
      </w:pPr>
      <w:r>
        <w:separator/>
      </w:r>
    </w:p>
  </w:footnote>
  <w:footnote w:type="continuationSeparator" w:id="0">
    <w:p w:rsidR="00E636B0" w:rsidRDefault="00E636B0" w:rsidP="0056784D">
      <w:pPr>
        <w:spacing w:before="0" w:after="0"/>
      </w:pPr>
      <w:r>
        <w:continuationSeparator/>
      </w:r>
    </w:p>
  </w:footnote>
  <w:footnote w:id="1">
    <w:p w:rsidR="00E636B0" w:rsidRPr="000B79A0" w:rsidRDefault="00E636B0" w:rsidP="004A5BBD">
      <w:pPr>
        <w:pStyle w:val="FootnoteText"/>
      </w:pPr>
      <w:r w:rsidRPr="000B79A0">
        <w:rPr>
          <w:rStyle w:val="FootnoteReference"/>
          <w:sz w:val="16"/>
          <w:szCs w:val="16"/>
        </w:rPr>
        <w:footnoteRef/>
      </w:r>
      <w:r w:rsidRPr="000B79A0">
        <w:rPr>
          <w:sz w:val="16"/>
          <w:szCs w:val="16"/>
        </w:rPr>
        <w:t xml:space="preserve"> </w:t>
      </w:r>
      <w:r w:rsidRPr="000B79A0">
        <w:t xml:space="preserve">Although the CE Act has been repealed by the </w:t>
      </w:r>
      <w:r w:rsidRPr="000B79A0">
        <w:rPr>
          <w:i/>
        </w:rPr>
        <w:t>Clean Energy Legislation (Carbon Tax Repeal) Act 2014</w:t>
      </w:r>
      <w:r w:rsidRPr="000B79A0">
        <w:t xml:space="preserve"> (the Repeal Act), section 323 of the Repeal Act provides that section 312 of the CE Act continues in force for the purposes of compliance in the 2012-13 and 2013-14 financial years. The amendments made to the </w:t>
      </w:r>
      <w:r w:rsidRPr="000B79A0">
        <w:rPr>
          <w:i/>
        </w:rPr>
        <w:t>Clean Energy Regulations 2011</w:t>
      </w:r>
      <w:r w:rsidRPr="000B79A0">
        <w:t xml:space="preserve"> by the </w:t>
      </w:r>
      <w:r w:rsidRPr="000B79A0">
        <w:rPr>
          <w:i/>
        </w:rPr>
        <w:t>Clean Energy Legislation Amendment (2014 Measures No. 1) Regulation 2014</w:t>
      </w:r>
      <w:r w:rsidRPr="000B79A0">
        <w:t xml:space="preserve"> are limited in scope to these years.</w:t>
      </w:r>
    </w:p>
    <w:p w:rsidR="00E636B0" w:rsidRDefault="00E636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18257"/>
      <w:docPartObj>
        <w:docPartGallery w:val="Page Numbers (Top of Page)"/>
        <w:docPartUnique/>
      </w:docPartObj>
    </w:sdtPr>
    <w:sdtEndPr>
      <w:rPr>
        <w:noProof/>
      </w:rPr>
    </w:sdtEndPr>
    <w:sdtContent>
      <w:p w:rsidR="00E636B0" w:rsidRDefault="00AA7BEE" w:rsidP="00CB2D33">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1">
    <w:nsid w:val="01931166"/>
    <w:multiLevelType w:val="hybridMultilevel"/>
    <w:tmpl w:val="73445768"/>
    <w:lvl w:ilvl="0" w:tplc="61183C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F87154"/>
    <w:multiLevelType w:val="hybridMultilevel"/>
    <w:tmpl w:val="4FACD712"/>
    <w:lvl w:ilvl="0" w:tplc="D6B8F466">
      <w:start w:val="1"/>
      <w:numFmt w:val="lowerLetter"/>
      <w:lvlText w:val="%1."/>
      <w:lvlJc w:val="left"/>
      <w:pPr>
        <w:ind w:left="1440" w:hanging="360"/>
      </w:pPr>
    </w:lvl>
    <w:lvl w:ilvl="1" w:tplc="B162A36A" w:tentative="1">
      <w:start w:val="1"/>
      <w:numFmt w:val="lowerLetter"/>
      <w:lvlText w:val="%2."/>
      <w:lvlJc w:val="left"/>
      <w:pPr>
        <w:ind w:left="2160" w:hanging="360"/>
      </w:pPr>
    </w:lvl>
    <w:lvl w:ilvl="2" w:tplc="A2AE749A" w:tentative="1">
      <w:start w:val="1"/>
      <w:numFmt w:val="lowerRoman"/>
      <w:lvlText w:val="%3."/>
      <w:lvlJc w:val="right"/>
      <w:pPr>
        <w:ind w:left="2880" w:hanging="180"/>
      </w:pPr>
    </w:lvl>
    <w:lvl w:ilvl="3" w:tplc="C6568592" w:tentative="1">
      <w:start w:val="1"/>
      <w:numFmt w:val="decimal"/>
      <w:lvlText w:val="%4."/>
      <w:lvlJc w:val="left"/>
      <w:pPr>
        <w:ind w:left="3600" w:hanging="360"/>
      </w:pPr>
    </w:lvl>
    <w:lvl w:ilvl="4" w:tplc="AF1E89F6" w:tentative="1">
      <w:start w:val="1"/>
      <w:numFmt w:val="lowerLetter"/>
      <w:lvlText w:val="%5."/>
      <w:lvlJc w:val="left"/>
      <w:pPr>
        <w:ind w:left="4320" w:hanging="360"/>
      </w:pPr>
    </w:lvl>
    <w:lvl w:ilvl="5" w:tplc="18A4D55A" w:tentative="1">
      <w:start w:val="1"/>
      <w:numFmt w:val="lowerRoman"/>
      <w:lvlText w:val="%6."/>
      <w:lvlJc w:val="right"/>
      <w:pPr>
        <w:ind w:left="5040" w:hanging="180"/>
      </w:pPr>
    </w:lvl>
    <w:lvl w:ilvl="6" w:tplc="892CD16A" w:tentative="1">
      <w:start w:val="1"/>
      <w:numFmt w:val="decimal"/>
      <w:lvlText w:val="%7."/>
      <w:lvlJc w:val="left"/>
      <w:pPr>
        <w:ind w:left="5760" w:hanging="360"/>
      </w:pPr>
    </w:lvl>
    <w:lvl w:ilvl="7" w:tplc="8A7C1DB8" w:tentative="1">
      <w:start w:val="1"/>
      <w:numFmt w:val="lowerLetter"/>
      <w:lvlText w:val="%8."/>
      <w:lvlJc w:val="left"/>
      <w:pPr>
        <w:ind w:left="6480" w:hanging="360"/>
      </w:pPr>
    </w:lvl>
    <w:lvl w:ilvl="8" w:tplc="71ECF790" w:tentative="1">
      <w:start w:val="1"/>
      <w:numFmt w:val="lowerRoman"/>
      <w:lvlText w:val="%9."/>
      <w:lvlJc w:val="right"/>
      <w:pPr>
        <w:ind w:left="7200" w:hanging="180"/>
      </w:pPr>
    </w:lvl>
  </w:abstractNum>
  <w:abstractNum w:abstractNumId="4">
    <w:nsid w:val="04402DC7"/>
    <w:multiLevelType w:val="hybridMultilevel"/>
    <w:tmpl w:val="B7501F3C"/>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EF77B8"/>
    <w:multiLevelType w:val="multilevel"/>
    <w:tmpl w:val="D0ACFD6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BlockTex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872C93"/>
    <w:multiLevelType w:val="hybridMultilevel"/>
    <w:tmpl w:val="95A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6E2A87"/>
    <w:multiLevelType w:val="hybridMultilevel"/>
    <w:tmpl w:val="38A0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18790E"/>
    <w:multiLevelType w:val="hybridMultilevel"/>
    <w:tmpl w:val="A35CA836"/>
    <w:lvl w:ilvl="0" w:tplc="E9C4CC68">
      <w:numFmt w:val="bullet"/>
      <w:lvlText w:val="-"/>
      <w:lvlJc w:val="left"/>
      <w:pPr>
        <w:ind w:left="720" w:hanging="360"/>
      </w:pPr>
      <w:rPr>
        <w:rFonts w:ascii="Times New Roman" w:eastAsia="Times New Roman" w:hAnsi="Times New Roman" w:cs="Times New Roman" w:hint="default"/>
      </w:rPr>
    </w:lvl>
    <w:lvl w:ilvl="1" w:tplc="50DA40FA">
      <w:start w:val="1"/>
      <w:numFmt w:val="bullet"/>
      <w:lvlText w:val="o"/>
      <w:lvlJc w:val="left"/>
      <w:pPr>
        <w:ind w:left="1440" w:hanging="360"/>
      </w:pPr>
      <w:rPr>
        <w:rFonts w:ascii="Courier New" w:hAnsi="Courier New" w:cs="Courier New" w:hint="default"/>
      </w:rPr>
    </w:lvl>
    <w:lvl w:ilvl="2" w:tplc="2DEC2DFE">
      <w:start w:val="1"/>
      <w:numFmt w:val="bullet"/>
      <w:lvlText w:val=""/>
      <w:lvlJc w:val="left"/>
      <w:pPr>
        <w:ind w:left="2160" w:hanging="360"/>
      </w:pPr>
      <w:rPr>
        <w:rFonts w:ascii="Wingdings" w:hAnsi="Wingdings" w:hint="default"/>
      </w:rPr>
    </w:lvl>
    <w:lvl w:ilvl="3" w:tplc="F4FC24BE">
      <w:start w:val="1"/>
      <w:numFmt w:val="bullet"/>
      <w:lvlText w:val=""/>
      <w:lvlJc w:val="left"/>
      <w:pPr>
        <w:ind w:left="2880" w:hanging="360"/>
      </w:pPr>
      <w:rPr>
        <w:rFonts w:ascii="Symbol" w:hAnsi="Symbol" w:hint="default"/>
      </w:rPr>
    </w:lvl>
    <w:lvl w:ilvl="4" w:tplc="18D4D1C2">
      <w:start w:val="1"/>
      <w:numFmt w:val="bullet"/>
      <w:lvlText w:val="o"/>
      <w:lvlJc w:val="left"/>
      <w:pPr>
        <w:ind w:left="3600" w:hanging="360"/>
      </w:pPr>
      <w:rPr>
        <w:rFonts w:ascii="Courier New" w:hAnsi="Courier New" w:cs="Courier New" w:hint="default"/>
      </w:rPr>
    </w:lvl>
    <w:lvl w:ilvl="5" w:tplc="95D8130E">
      <w:start w:val="1"/>
      <w:numFmt w:val="bullet"/>
      <w:lvlText w:val=""/>
      <w:lvlJc w:val="left"/>
      <w:pPr>
        <w:ind w:left="4320" w:hanging="360"/>
      </w:pPr>
      <w:rPr>
        <w:rFonts w:ascii="Wingdings" w:hAnsi="Wingdings" w:hint="default"/>
      </w:rPr>
    </w:lvl>
    <w:lvl w:ilvl="6" w:tplc="86644DA4">
      <w:start w:val="1"/>
      <w:numFmt w:val="bullet"/>
      <w:lvlText w:val=""/>
      <w:lvlJc w:val="left"/>
      <w:pPr>
        <w:ind w:left="5040" w:hanging="360"/>
      </w:pPr>
      <w:rPr>
        <w:rFonts w:ascii="Symbol" w:hAnsi="Symbol" w:hint="default"/>
      </w:rPr>
    </w:lvl>
    <w:lvl w:ilvl="7" w:tplc="16286624">
      <w:start w:val="1"/>
      <w:numFmt w:val="bullet"/>
      <w:lvlText w:val="o"/>
      <w:lvlJc w:val="left"/>
      <w:pPr>
        <w:ind w:left="5760" w:hanging="360"/>
      </w:pPr>
      <w:rPr>
        <w:rFonts w:ascii="Courier New" w:hAnsi="Courier New" w:cs="Courier New" w:hint="default"/>
      </w:rPr>
    </w:lvl>
    <w:lvl w:ilvl="8" w:tplc="F19A669E">
      <w:start w:val="1"/>
      <w:numFmt w:val="bullet"/>
      <w:lvlText w:val=""/>
      <w:lvlJc w:val="left"/>
      <w:pPr>
        <w:ind w:left="6480" w:hanging="360"/>
      </w:pPr>
      <w:rPr>
        <w:rFonts w:ascii="Wingdings" w:hAnsi="Wingdings" w:hint="default"/>
      </w:rPr>
    </w:lvl>
  </w:abstractNum>
  <w:abstractNum w:abstractNumId="9">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A305492"/>
    <w:multiLevelType w:val="hybridMultilevel"/>
    <w:tmpl w:val="5B98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524CEB"/>
    <w:multiLevelType w:val="hybridMultilevel"/>
    <w:tmpl w:val="4FACD712"/>
    <w:lvl w:ilvl="0" w:tplc="A1DC1CC2">
      <w:start w:val="1"/>
      <w:numFmt w:val="lowerLetter"/>
      <w:lvlText w:val="%1."/>
      <w:lvlJc w:val="left"/>
      <w:pPr>
        <w:ind w:left="1440" w:hanging="360"/>
      </w:pPr>
    </w:lvl>
    <w:lvl w:ilvl="1" w:tplc="80F010A2" w:tentative="1">
      <w:start w:val="1"/>
      <w:numFmt w:val="lowerLetter"/>
      <w:lvlText w:val="%2."/>
      <w:lvlJc w:val="left"/>
      <w:pPr>
        <w:ind w:left="2160" w:hanging="360"/>
      </w:pPr>
    </w:lvl>
    <w:lvl w:ilvl="2" w:tplc="71A8AC06" w:tentative="1">
      <w:start w:val="1"/>
      <w:numFmt w:val="lowerRoman"/>
      <w:lvlText w:val="%3."/>
      <w:lvlJc w:val="right"/>
      <w:pPr>
        <w:ind w:left="2880" w:hanging="180"/>
      </w:pPr>
    </w:lvl>
    <w:lvl w:ilvl="3" w:tplc="DE70F5AE" w:tentative="1">
      <w:start w:val="1"/>
      <w:numFmt w:val="decimal"/>
      <w:lvlText w:val="%4."/>
      <w:lvlJc w:val="left"/>
      <w:pPr>
        <w:ind w:left="3600" w:hanging="360"/>
      </w:pPr>
    </w:lvl>
    <w:lvl w:ilvl="4" w:tplc="BBDC84D6" w:tentative="1">
      <w:start w:val="1"/>
      <w:numFmt w:val="lowerLetter"/>
      <w:lvlText w:val="%5."/>
      <w:lvlJc w:val="left"/>
      <w:pPr>
        <w:ind w:left="4320" w:hanging="360"/>
      </w:pPr>
    </w:lvl>
    <w:lvl w:ilvl="5" w:tplc="A8265B5C" w:tentative="1">
      <w:start w:val="1"/>
      <w:numFmt w:val="lowerRoman"/>
      <w:lvlText w:val="%6."/>
      <w:lvlJc w:val="right"/>
      <w:pPr>
        <w:ind w:left="5040" w:hanging="180"/>
      </w:pPr>
    </w:lvl>
    <w:lvl w:ilvl="6" w:tplc="3C5E2AD0" w:tentative="1">
      <w:start w:val="1"/>
      <w:numFmt w:val="decimal"/>
      <w:lvlText w:val="%7."/>
      <w:lvlJc w:val="left"/>
      <w:pPr>
        <w:ind w:left="5760" w:hanging="360"/>
      </w:pPr>
    </w:lvl>
    <w:lvl w:ilvl="7" w:tplc="D7CE8DEA" w:tentative="1">
      <w:start w:val="1"/>
      <w:numFmt w:val="lowerLetter"/>
      <w:lvlText w:val="%8."/>
      <w:lvlJc w:val="left"/>
      <w:pPr>
        <w:ind w:left="6480" w:hanging="360"/>
      </w:pPr>
    </w:lvl>
    <w:lvl w:ilvl="8" w:tplc="ACAE1AAE" w:tentative="1">
      <w:start w:val="1"/>
      <w:numFmt w:val="lowerRoman"/>
      <w:lvlText w:val="%9."/>
      <w:lvlJc w:val="right"/>
      <w:pPr>
        <w:ind w:left="7200" w:hanging="180"/>
      </w:pPr>
    </w:lvl>
  </w:abstractNum>
  <w:abstractNum w:abstractNumId="12">
    <w:nsid w:val="1B7A51CB"/>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313BE6"/>
    <w:multiLevelType w:val="hybridMultilevel"/>
    <w:tmpl w:val="711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8F3570"/>
    <w:multiLevelType w:val="hybridMultilevel"/>
    <w:tmpl w:val="A4BC69BC"/>
    <w:lvl w:ilvl="0" w:tplc="679A047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2773576"/>
    <w:multiLevelType w:val="hybridMultilevel"/>
    <w:tmpl w:val="3BFE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D70DC"/>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9F4056"/>
    <w:multiLevelType w:val="hybridMultilevel"/>
    <w:tmpl w:val="4FACD712"/>
    <w:lvl w:ilvl="0" w:tplc="70328602">
      <w:start w:val="1"/>
      <w:numFmt w:val="lowerLetter"/>
      <w:lvlText w:val="%1."/>
      <w:lvlJc w:val="left"/>
      <w:pPr>
        <w:ind w:left="1440" w:hanging="360"/>
      </w:pPr>
    </w:lvl>
    <w:lvl w:ilvl="1" w:tplc="5F1ACE58" w:tentative="1">
      <w:start w:val="1"/>
      <w:numFmt w:val="lowerLetter"/>
      <w:lvlText w:val="%2."/>
      <w:lvlJc w:val="left"/>
      <w:pPr>
        <w:ind w:left="2160" w:hanging="360"/>
      </w:pPr>
    </w:lvl>
    <w:lvl w:ilvl="2" w:tplc="99748CF6" w:tentative="1">
      <w:start w:val="1"/>
      <w:numFmt w:val="lowerRoman"/>
      <w:lvlText w:val="%3."/>
      <w:lvlJc w:val="right"/>
      <w:pPr>
        <w:ind w:left="2880" w:hanging="180"/>
      </w:pPr>
    </w:lvl>
    <w:lvl w:ilvl="3" w:tplc="46BC13EA" w:tentative="1">
      <w:start w:val="1"/>
      <w:numFmt w:val="decimal"/>
      <w:lvlText w:val="%4."/>
      <w:lvlJc w:val="left"/>
      <w:pPr>
        <w:ind w:left="3600" w:hanging="360"/>
      </w:pPr>
    </w:lvl>
    <w:lvl w:ilvl="4" w:tplc="7902B178" w:tentative="1">
      <w:start w:val="1"/>
      <w:numFmt w:val="lowerLetter"/>
      <w:lvlText w:val="%5."/>
      <w:lvlJc w:val="left"/>
      <w:pPr>
        <w:ind w:left="4320" w:hanging="360"/>
      </w:pPr>
    </w:lvl>
    <w:lvl w:ilvl="5" w:tplc="DAACB6C6" w:tentative="1">
      <w:start w:val="1"/>
      <w:numFmt w:val="lowerRoman"/>
      <w:lvlText w:val="%6."/>
      <w:lvlJc w:val="right"/>
      <w:pPr>
        <w:ind w:left="5040" w:hanging="180"/>
      </w:pPr>
    </w:lvl>
    <w:lvl w:ilvl="6" w:tplc="58BEC904" w:tentative="1">
      <w:start w:val="1"/>
      <w:numFmt w:val="decimal"/>
      <w:lvlText w:val="%7."/>
      <w:lvlJc w:val="left"/>
      <w:pPr>
        <w:ind w:left="5760" w:hanging="360"/>
      </w:pPr>
    </w:lvl>
    <w:lvl w:ilvl="7" w:tplc="54F222FC" w:tentative="1">
      <w:start w:val="1"/>
      <w:numFmt w:val="lowerLetter"/>
      <w:lvlText w:val="%8."/>
      <w:lvlJc w:val="left"/>
      <w:pPr>
        <w:ind w:left="6480" w:hanging="360"/>
      </w:pPr>
    </w:lvl>
    <w:lvl w:ilvl="8" w:tplc="A2368C44" w:tentative="1">
      <w:start w:val="1"/>
      <w:numFmt w:val="lowerRoman"/>
      <w:lvlText w:val="%9."/>
      <w:lvlJc w:val="right"/>
      <w:pPr>
        <w:ind w:left="7200" w:hanging="180"/>
      </w:pPr>
    </w:lvl>
  </w:abstractNum>
  <w:abstractNum w:abstractNumId="18">
    <w:nsid w:val="3C6405E2"/>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8237BD"/>
    <w:multiLevelType w:val="hybridMultilevel"/>
    <w:tmpl w:val="35C43058"/>
    <w:lvl w:ilvl="0" w:tplc="F5F0BA5E">
      <w:start w:val="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994A62"/>
    <w:multiLevelType w:val="hybridMultilevel"/>
    <w:tmpl w:val="CA9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themeColor="text1"/>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3">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564E7C"/>
    <w:multiLevelType w:val="hybridMultilevel"/>
    <w:tmpl w:val="5308E694"/>
    <w:lvl w:ilvl="0" w:tplc="AC5A85E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197828"/>
    <w:multiLevelType w:val="hybridMultilevel"/>
    <w:tmpl w:val="E5E62A9A"/>
    <w:name w:val="StandardBulletedList"/>
    <w:lvl w:ilvl="0" w:tplc="6BEA7C0A">
      <w:start w:val="1"/>
      <w:numFmt w:val="bullet"/>
      <w:pStyle w:val="Style4"/>
      <w:lvlText w:val=""/>
      <w:lvlJc w:val="left"/>
      <w:pPr>
        <w:ind w:left="720" w:hanging="360"/>
      </w:pPr>
      <w:rPr>
        <w:rFonts w:ascii="Symbol" w:hAnsi="Symbol" w:hint="default"/>
      </w:rPr>
    </w:lvl>
    <w:lvl w:ilvl="1" w:tplc="EA72D1CE" w:tentative="1">
      <w:start w:val="1"/>
      <w:numFmt w:val="bullet"/>
      <w:lvlText w:val="o"/>
      <w:lvlJc w:val="left"/>
      <w:pPr>
        <w:ind w:left="1440" w:hanging="360"/>
      </w:pPr>
      <w:rPr>
        <w:rFonts w:ascii="Courier New" w:hAnsi="Courier New" w:cs="Courier New" w:hint="default"/>
      </w:rPr>
    </w:lvl>
    <w:lvl w:ilvl="2" w:tplc="6986BCD0" w:tentative="1">
      <w:start w:val="1"/>
      <w:numFmt w:val="bullet"/>
      <w:lvlText w:val=""/>
      <w:lvlJc w:val="left"/>
      <w:pPr>
        <w:ind w:left="2160" w:hanging="360"/>
      </w:pPr>
      <w:rPr>
        <w:rFonts w:ascii="Wingdings" w:hAnsi="Wingdings" w:hint="default"/>
      </w:rPr>
    </w:lvl>
    <w:lvl w:ilvl="3" w:tplc="19AEAA92" w:tentative="1">
      <w:start w:val="1"/>
      <w:numFmt w:val="bullet"/>
      <w:lvlText w:val=""/>
      <w:lvlJc w:val="left"/>
      <w:pPr>
        <w:ind w:left="2880" w:hanging="360"/>
      </w:pPr>
      <w:rPr>
        <w:rFonts w:ascii="Symbol" w:hAnsi="Symbol" w:hint="default"/>
      </w:rPr>
    </w:lvl>
    <w:lvl w:ilvl="4" w:tplc="4EFC6E12" w:tentative="1">
      <w:start w:val="1"/>
      <w:numFmt w:val="bullet"/>
      <w:lvlText w:val="o"/>
      <w:lvlJc w:val="left"/>
      <w:pPr>
        <w:ind w:left="3600" w:hanging="360"/>
      </w:pPr>
      <w:rPr>
        <w:rFonts w:ascii="Courier New" w:hAnsi="Courier New" w:cs="Courier New" w:hint="default"/>
      </w:rPr>
    </w:lvl>
    <w:lvl w:ilvl="5" w:tplc="2C841D5C" w:tentative="1">
      <w:start w:val="1"/>
      <w:numFmt w:val="bullet"/>
      <w:lvlText w:val=""/>
      <w:lvlJc w:val="left"/>
      <w:pPr>
        <w:ind w:left="4320" w:hanging="360"/>
      </w:pPr>
      <w:rPr>
        <w:rFonts w:ascii="Wingdings" w:hAnsi="Wingdings" w:hint="default"/>
      </w:rPr>
    </w:lvl>
    <w:lvl w:ilvl="6" w:tplc="C9848986" w:tentative="1">
      <w:start w:val="1"/>
      <w:numFmt w:val="bullet"/>
      <w:lvlText w:val=""/>
      <w:lvlJc w:val="left"/>
      <w:pPr>
        <w:ind w:left="5040" w:hanging="360"/>
      </w:pPr>
      <w:rPr>
        <w:rFonts w:ascii="Symbol" w:hAnsi="Symbol" w:hint="default"/>
      </w:rPr>
    </w:lvl>
    <w:lvl w:ilvl="7" w:tplc="855EFE00" w:tentative="1">
      <w:start w:val="1"/>
      <w:numFmt w:val="bullet"/>
      <w:lvlText w:val="o"/>
      <w:lvlJc w:val="left"/>
      <w:pPr>
        <w:ind w:left="5760" w:hanging="360"/>
      </w:pPr>
      <w:rPr>
        <w:rFonts w:ascii="Courier New" w:hAnsi="Courier New" w:cs="Courier New" w:hint="default"/>
      </w:rPr>
    </w:lvl>
    <w:lvl w:ilvl="8" w:tplc="00E24FA4" w:tentative="1">
      <w:start w:val="1"/>
      <w:numFmt w:val="bullet"/>
      <w:lvlText w:val=""/>
      <w:lvlJc w:val="left"/>
      <w:pPr>
        <w:ind w:left="6480" w:hanging="360"/>
      </w:pPr>
      <w:rPr>
        <w:rFonts w:ascii="Wingdings" w:hAnsi="Wingdings" w:hint="default"/>
      </w:rPr>
    </w:lvl>
  </w:abstractNum>
  <w:abstractNum w:abstractNumId="26">
    <w:nsid w:val="4A705DE3"/>
    <w:multiLevelType w:val="hybridMultilevel"/>
    <w:tmpl w:val="568A6C50"/>
    <w:lvl w:ilvl="0" w:tplc="50ECB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F33E36"/>
    <w:multiLevelType w:val="hybridMultilevel"/>
    <w:tmpl w:val="E14CC44E"/>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4B3935"/>
    <w:multiLevelType w:val="hybridMultilevel"/>
    <w:tmpl w:val="C2605A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FF702AA"/>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55E21471"/>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E168F1"/>
    <w:multiLevelType w:val="hybridMultilevel"/>
    <w:tmpl w:val="701A0698"/>
    <w:lvl w:ilvl="0" w:tplc="F710A90A">
      <w:start w:val="39"/>
      <w:numFmt w:val="bullet"/>
      <w:lvlText w:val="-"/>
      <w:lvlJc w:val="left"/>
      <w:pPr>
        <w:ind w:left="720" w:hanging="360"/>
      </w:pPr>
      <w:rPr>
        <w:rFonts w:ascii="Calibri" w:eastAsia="Times New Roman" w:hAnsi="Calibri" w:cs="Times New Roman" w:hint="default"/>
      </w:rPr>
    </w:lvl>
    <w:lvl w:ilvl="1" w:tplc="60528708">
      <w:start w:val="1"/>
      <w:numFmt w:val="bullet"/>
      <w:lvlText w:val="o"/>
      <w:lvlJc w:val="left"/>
      <w:pPr>
        <w:ind w:left="1440" w:hanging="360"/>
      </w:pPr>
      <w:rPr>
        <w:rFonts w:ascii="Courier New" w:hAnsi="Courier New" w:cs="Courier New" w:hint="default"/>
      </w:rPr>
    </w:lvl>
    <w:lvl w:ilvl="2" w:tplc="D71E57EA" w:tentative="1">
      <w:start w:val="1"/>
      <w:numFmt w:val="bullet"/>
      <w:lvlText w:val=""/>
      <w:lvlJc w:val="left"/>
      <w:pPr>
        <w:ind w:left="2160" w:hanging="360"/>
      </w:pPr>
      <w:rPr>
        <w:rFonts w:ascii="Wingdings" w:hAnsi="Wingdings" w:hint="default"/>
      </w:rPr>
    </w:lvl>
    <w:lvl w:ilvl="3" w:tplc="480C54FA" w:tentative="1">
      <w:start w:val="1"/>
      <w:numFmt w:val="bullet"/>
      <w:lvlText w:val=""/>
      <w:lvlJc w:val="left"/>
      <w:pPr>
        <w:ind w:left="2880" w:hanging="360"/>
      </w:pPr>
      <w:rPr>
        <w:rFonts w:ascii="Symbol" w:hAnsi="Symbol" w:hint="default"/>
      </w:rPr>
    </w:lvl>
    <w:lvl w:ilvl="4" w:tplc="4D44BE72" w:tentative="1">
      <w:start w:val="1"/>
      <w:numFmt w:val="bullet"/>
      <w:lvlText w:val="o"/>
      <w:lvlJc w:val="left"/>
      <w:pPr>
        <w:ind w:left="3600" w:hanging="360"/>
      </w:pPr>
      <w:rPr>
        <w:rFonts w:ascii="Courier New" w:hAnsi="Courier New" w:cs="Courier New" w:hint="default"/>
      </w:rPr>
    </w:lvl>
    <w:lvl w:ilvl="5" w:tplc="90A23556" w:tentative="1">
      <w:start w:val="1"/>
      <w:numFmt w:val="bullet"/>
      <w:lvlText w:val=""/>
      <w:lvlJc w:val="left"/>
      <w:pPr>
        <w:ind w:left="4320" w:hanging="360"/>
      </w:pPr>
      <w:rPr>
        <w:rFonts w:ascii="Wingdings" w:hAnsi="Wingdings" w:hint="default"/>
      </w:rPr>
    </w:lvl>
    <w:lvl w:ilvl="6" w:tplc="A31ACB92" w:tentative="1">
      <w:start w:val="1"/>
      <w:numFmt w:val="bullet"/>
      <w:lvlText w:val=""/>
      <w:lvlJc w:val="left"/>
      <w:pPr>
        <w:ind w:left="5040" w:hanging="360"/>
      </w:pPr>
      <w:rPr>
        <w:rFonts w:ascii="Symbol" w:hAnsi="Symbol" w:hint="default"/>
      </w:rPr>
    </w:lvl>
    <w:lvl w:ilvl="7" w:tplc="4510013C" w:tentative="1">
      <w:start w:val="1"/>
      <w:numFmt w:val="bullet"/>
      <w:lvlText w:val="o"/>
      <w:lvlJc w:val="left"/>
      <w:pPr>
        <w:ind w:left="5760" w:hanging="360"/>
      </w:pPr>
      <w:rPr>
        <w:rFonts w:ascii="Courier New" w:hAnsi="Courier New" w:cs="Courier New" w:hint="default"/>
      </w:rPr>
    </w:lvl>
    <w:lvl w:ilvl="8" w:tplc="B9E63ABA" w:tentative="1">
      <w:start w:val="1"/>
      <w:numFmt w:val="bullet"/>
      <w:lvlText w:val=""/>
      <w:lvlJc w:val="left"/>
      <w:pPr>
        <w:ind w:left="6480" w:hanging="360"/>
      </w:pPr>
      <w:rPr>
        <w:rFonts w:ascii="Wingdings" w:hAnsi="Wingdings" w:hint="default"/>
      </w:rPr>
    </w:lvl>
  </w:abstractNum>
  <w:abstractNum w:abstractNumId="32">
    <w:nsid w:val="5A0B2259"/>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3">
    <w:nsid w:val="5B2A196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4">
    <w:nsid w:val="60112C6D"/>
    <w:multiLevelType w:val="multilevel"/>
    <w:tmpl w:val="01BAA67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5">
    <w:nsid w:val="63CF4365"/>
    <w:multiLevelType w:val="hybridMultilevel"/>
    <w:tmpl w:val="970C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E067F9"/>
    <w:multiLevelType w:val="hybridMultilevel"/>
    <w:tmpl w:val="07267AF2"/>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C533C9"/>
    <w:multiLevelType w:val="hybridMultilevel"/>
    <w:tmpl w:val="31FCFD3E"/>
    <w:lvl w:ilvl="0" w:tplc="CB60AD64">
      <w:start w:val="1"/>
      <w:numFmt w:val="lowerLetter"/>
      <w:lvlText w:val="%1)"/>
      <w:lvlJc w:val="left"/>
      <w:pPr>
        <w:ind w:left="720" w:hanging="360"/>
      </w:pPr>
    </w:lvl>
    <w:lvl w:ilvl="1" w:tplc="733E9216" w:tentative="1">
      <w:start w:val="1"/>
      <w:numFmt w:val="lowerLetter"/>
      <w:lvlText w:val="%2."/>
      <w:lvlJc w:val="left"/>
      <w:pPr>
        <w:ind w:left="1440" w:hanging="360"/>
      </w:pPr>
    </w:lvl>
    <w:lvl w:ilvl="2" w:tplc="02024FEC" w:tentative="1">
      <w:start w:val="1"/>
      <w:numFmt w:val="lowerRoman"/>
      <w:lvlText w:val="%3."/>
      <w:lvlJc w:val="right"/>
      <w:pPr>
        <w:ind w:left="2160" w:hanging="180"/>
      </w:pPr>
    </w:lvl>
    <w:lvl w:ilvl="3" w:tplc="9C108A1E" w:tentative="1">
      <w:start w:val="1"/>
      <w:numFmt w:val="decimal"/>
      <w:lvlText w:val="%4."/>
      <w:lvlJc w:val="left"/>
      <w:pPr>
        <w:ind w:left="2880" w:hanging="360"/>
      </w:pPr>
    </w:lvl>
    <w:lvl w:ilvl="4" w:tplc="4336D71C" w:tentative="1">
      <w:start w:val="1"/>
      <w:numFmt w:val="lowerLetter"/>
      <w:lvlText w:val="%5."/>
      <w:lvlJc w:val="left"/>
      <w:pPr>
        <w:ind w:left="3600" w:hanging="360"/>
      </w:pPr>
    </w:lvl>
    <w:lvl w:ilvl="5" w:tplc="D7209426" w:tentative="1">
      <w:start w:val="1"/>
      <w:numFmt w:val="lowerRoman"/>
      <w:lvlText w:val="%6."/>
      <w:lvlJc w:val="right"/>
      <w:pPr>
        <w:ind w:left="4320" w:hanging="180"/>
      </w:pPr>
    </w:lvl>
    <w:lvl w:ilvl="6" w:tplc="F4562A3A" w:tentative="1">
      <w:start w:val="1"/>
      <w:numFmt w:val="decimal"/>
      <w:lvlText w:val="%7."/>
      <w:lvlJc w:val="left"/>
      <w:pPr>
        <w:ind w:left="5040" w:hanging="360"/>
      </w:pPr>
    </w:lvl>
    <w:lvl w:ilvl="7" w:tplc="72E2C1FA" w:tentative="1">
      <w:start w:val="1"/>
      <w:numFmt w:val="lowerLetter"/>
      <w:lvlText w:val="%8."/>
      <w:lvlJc w:val="left"/>
      <w:pPr>
        <w:ind w:left="5760" w:hanging="360"/>
      </w:pPr>
    </w:lvl>
    <w:lvl w:ilvl="8" w:tplc="2F5EA7DA" w:tentative="1">
      <w:start w:val="1"/>
      <w:numFmt w:val="lowerRoman"/>
      <w:lvlText w:val="%9."/>
      <w:lvlJc w:val="right"/>
      <w:pPr>
        <w:ind w:left="6480" w:hanging="180"/>
      </w:pPr>
    </w:lvl>
  </w:abstractNum>
  <w:abstractNum w:abstractNumId="38">
    <w:nsid w:val="6AB85CD0"/>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3765CF"/>
    <w:multiLevelType w:val="hybridMultilevel"/>
    <w:tmpl w:val="CA7C8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C3F6AB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0000D54"/>
    <w:multiLevelType w:val="hybridMultilevel"/>
    <w:tmpl w:val="31FCFD3E"/>
    <w:lvl w:ilvl="0" w:tplc="8C88E608">
      <w:start w:val="1"/>
      <w:numFmt w:val="lowerLetter"/>
      <w:lvlText w:val="%1)"/>
      <w:lvlJc w:val="left"/>
      <w:pPr>
        <w:ind w:left="720" w:hanging="360"/>
      </w:pPr>
    </w:lvl>
    <w:lvl w:ilvl="1" w:tplc="550E73D6" w:tentative="1">
      <w:start w:val="1"/>
      <w:numFmt w:val="lowerLetter"/>
      <w:lvlText w:val="%2."/>
      <w:lvlJc w:val="left"/>
      <w:pPr>
        <w:ind w:left="1440" w:hanging="360"/>
      </w:pPr>
    </w:lvl>
    <w:lvl w:ilvl="2" w:tplc="5686DDB0" w:tentative="1">
      <w:start w:val="1"/>
      <w:numFmt w:val="lowerRoman"/>
      <w:lvlText w:val="%3."/>
      <w:lvlJc w:val="right"/>
      <w:pPr>
        <w:ind w:left="2160" w:hanging="180"/>
      </w:pPr>
    </w:lvl>
    <w:lvl w:ilvl="3" w:tplc="6AB8793E" w:tentative="1">
      <w:start w:val="1"/>
      <w:numFmt w:val="decimal"/>
      <w:lvlText w:val="%4."/>
      <w:lvlJc w:val="left"/>
      <w:pPr>
        <w:ind w:left="2880" w:hanging="360"/>
      </w:pPr>
    </w:lvl>
    <w:lvl w:ilvl="4" w:tplc="DF30B67A" w:tentative="1">
      <w:start w:val="1"/>
      <w:numFmt w:val="lowerLetter"/>
      <w:lvlText w:val="%5."/>
      <w:lvlJc w:val="left"/>
      <w:pPr>
        <w:ind w:left="3600" w:hanging="360"/>
      </w:pPr>
    </w:lvl>
    <w:lvl w:ilvl="5" w:tplc="DFFEA306" w:tentative="1">
      <w:start w:val="1"/>
      <w:numFmt w:val="lowerRoman"/>
      <w:lvlText w:val="%6."/>
      <w:lvlJc w:val="right"/>
      <w:pPr>
        <w:ind w:left="4320" w:hanging="180"/>
      </w:pPr>
    </w:lvl>
    <w:lvl w:ilvl="6" w:tplc="89F2AF28" w:tentative="1">
      <w:start w:val="1"/>
      <w:numFmt w:val="decimal"/>
      <w:lvlText w:val="%7."/>
      <w:lvlJc w:val="left"/>
      <w:pPr>
        <w:ind w:left="5040" w:hanging="360"/>
      </w:pPr>
    </w:lvl>
    <w:lvl w:ilvl="7" w:tplc="2B6EA214" w:tentative="1">
      <w:start w:val="1"/>
      <w:numFmt w:val="lowerLetter"/>
      <w:lvlText w:val="%8."/>
      <w:lvlJc w:val="left"/>
      <w:pPr>
        <w:ind w:left="5760" w:hanging="360"/>
      </w:pPr>
    </w:lvl>
    <w:lvl w:ilvl="8" w:tplc="433CEAC2" w:tentative="1">
      <w:start w:val="1"/>
      <w:numFmt w:val="lowerRoman"/>
      <w:lvlText w:val="%9."/>
      <w:lvlJc w:val="right"/>
      <w:pPr>
        <w:ind w:left="6480" w:hanging="180"/>
      </w:pPr>
    </w:lvl>
  </w:abstractNum>
  <w:abstractNum w:abstractNumId="42">
    <w:nsid w:val="7510289C"/>
    <w:multiLevelType w:val="hybridMultilevel"/>
    <w:tmpl w:val="86C0DF90"/>
    <w:lvl w:ilvl="0" w:tplc="0C090017">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6AF78C2"/>
    <w:multiLevelType w:val="hybridMultilevel"/>
    <w:tmpl w:val="C2EC763C"/>
    <w:lvl w:ilvl="0" w:tplc="DF08B2A4">
      <w:start w:val="1"/>
      <w:numFmt w:val="lowerLetter"/>
      <w:lvlText w:val="%1."/>
      <w:lvlJc w:val="left"/>
      <w:pPr>
        <w:ind w:left="720" w:hanging="360"/>
      </w:pPr>
      <w:rPr>
        <w:rFonts w:hint="default"/>
      </w:rPr>
    </w:lvl>
    <w:lvl w:ilvl="1" w:tplc="E8C8D70C" w:tentative="1">
      <w:start w:val="1"/>
      <w:numFmt w:val="lowerLetter"/>
      <w:lvlText w:val="%2."/>
      <w:lvlJc w:val="left"/>
      <w:pPr>
        <w:ind w:left="1440" w:hanging="360"/>
      </w:pPr>
    </w:lvl>
    <w:lvl w:ilvl="2" w:tplc="6A6656B8" w:tentative="1">
      <w:start w:val="1"/>
      <w:numFmt w:val="lowerRoman"/>
      <w:lvlText w:val="%3."/>
      <w:lvlJc w:val="right"/>
      <w:pPr>
        <w:ind w:left="2160" w:hanging="180"/>
      </w:pPr>
    </w:lvl>
    <w:lvl w:ilvl="3" w:tplc="5A4A563A" w:tentative="1">
      <w:start w:val="1"/>
      <w:numFmt w:val="decimal"/>
      <w:lvlText w:val="%4."/>
      <w:lvlJc w:val="left"/>
      <w:pPr>
        <w:ind w:left="2880" w:hanging="360"/>
      </w:pPr>
    </w:lvl>
    <w:lvl w:ilvl="4" w:tplc="66EE4A26" w:tentative="1">
      <w:start w:val="1"/>
      <w:numFmt w:val="lowerLetter"/>
      <w:lvlText w:val="%5."/>
      <w:lvlJc w:val="left"/>
      <w:pPr>
        <w:ind w:left="3600" w:hanging="360"/>
      </w:pPr>
    </w:lvl>
    <w:lvl w:ilvl="5" w:tplc="0186CF90" w:tentative="1">
      <w:start w:val="1"/>
      <w:numFmt w:val="lowerRoman"/>
      <w:lvlText w:val="%6."/>
      <w:lvlJc w:val="right"/>
      <w:pPr>
        <w:ind w:left="4320" w:hanging="180"/>
      </w:pPr>
    </w:lvl>
    <w:lvl w:ilvl="6" w:tplc="48C40252" w:tentative="1">
      <w:start w:val="1"/>
      <w:numFmt w:val="decimal"/>
      <w:lvlText w:val="%7."/>
      <w:lvlJc w:val="left"/>
      <w:pPr>
        <w:ind w:left="5040" w:hanging="360"/>
      </w:pPr>
    </w:lvl>
    <w:lvl w:ilvl="7" w:tplc="4D787F72" w:tentative="1">
      <w:start w:val="1"/>
      <w:numFmt w:val="lowerLetter"/>
      <w:lvlText w:val="%8."/>
      <w:lvlJc w:val="left"/>
      <w:pPr>
        <w:ind w:left="5760" w:hanging="360"/>
      </w:pPr>
    </w:lvl>
    <w:lvl w:ilvl="8" w:tplc="B0A63BF2" w:tentative="1">
      <w:start w:val="1"/>
      <w:numFmt w:val="lowerRoman"/>
      <w:lvlText w:val="%9."/>
      <w:lvlJc w:val="right"/>
      <w:pPr>
        <w:ind w:left="6480" w:hanging="180"/>
      </w:pPr>
    </w:lvl>
  </w:abstractNum>
  <w:abstractNum w:abstractNumId="44">
    <w:nsid w:val="79B90E1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45">
    <w:nsid w:val="7EC23B8A"/>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num w:numId="1">
    <w:abstractNumId w:val="23"/>
  </w:num>
  <w:num w:numId="2">
    <w:abstractNumId w:val="25"/>
  </w:num>
  <w:num w:numId="3">
    <w:abstractNumId w:val="9"/>
  </w:num>
  <w:num w:numId="4">
    <w:abstractNumId w:val="19"/>
  </w:num>
  <w:num w:numId="5">
    <w:abstractNumId w:val="2"/>
  </w:num>
  <w:num w:numId="6">
    <w:abstractNumId w:val="42"/>
  </w:num>
  <w:num w:numId="7">
    <w:abstractNumId w:val="11"/>
  </w:num>
  <w:num w:numId="8">
    <w:abstractNumId w:val="31"/>
  </w:num>
  <w:num w:numId="9">
    <w:abstractNumId w:val="3"/>
  </w:num>
  <w:num w:numId="10">
    <w:abstractNumId w:val="17"/>
  </w:num>
  <w:num w:numId="11">
    <w:abstractNumId w:val="6"/>
  </w:num>
  <w:num w:numId="12">
    <w:abstractNumId w:val="13"/>
  </w:num>
  <w:num w:numId="13">
    <w:abstractNumId w:val="15"/>
  </w:num>
  <w:num w:numId="14">
    <w:abstractNumId w:val="22"/>
  </w:num>
  <w:num w:numId="15">
    <w:abstractNumId w:val="32"/>
  </w:num>
  <w:num w:numId="16">
    <w:abstractNumId w:val="45"/>
  </w:num>
  <w:num w:numId="17">
    <w:abstractNumId w:val="34"/>
  </w:num>
  <w:num w:numId="18">
    <w:abstractNumId w:val="44"/>
  </w:num>
  <w:num w:numId="19">
    <w:abstractNumId w:val="22"/>
  </w:num>
  <w:num w:numId="20">
    <w:abstractNumId w:val="33"/>
  </w:num>
  <w:num w:numId="21">
    <w:abstractNumId w:val="24"/>
  </w:num>
  <w:num w:numId="22">
    <w:abstractNumId w:val="21"/>
  </w:num>
  <w:num w:numId="23">
    <w:abstractNumId w:val="27"/>
  </w:num>
  <w:num w:numId="24">
    <w:abstractNumId w:val="14"/>
  </w:num>
  <w:num w:numId="25">
    <w:abstractNumId w:val="4"/>
  </w:num>
  <w:num w:numId="26">
    <w:abstractNumId w:val="7"/>
  </w:num>
  <w:num w:numId="27">
    <w:abstractNumId w:val="36"/>
  </w:num>
  <w:num w:numId="28">
    <w:abstractNumId w:val="20"/>
  </w:num>
  <w:num w:numId="29">
    <w:abstractNumId w:val="0"/>
  </w:num>
  <w:num w:numId="30">
    <w:abstractNumId w:val="28"/>
  </w:num>
  <w:num w:numId="31">
    <w:abstractNumId w:val="30"/>
  </w:num>
  <w:num w:numId="32">
    <w:abstractNumId w:val="26"/>
  </w:num>
  <w:num w:numId="3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8"/>
  </w:num>
  <w:num w:numId="35">
    <w:abstractNumId w:val="1"/>
  </w:num>
  <w:num w:numId="36">
    <w:abstractNumId w:val="40"/>
  </w:num>
  <w:num w:numId="37">
    <w:abstractNumId w:val="29"/>
  </w:num>
  <w:num w:numId="38">
    <w:abstractNumId w:val="5"/>
  </w:num>
  <w:num w:numId="39">
    <w:abstractNumId w:val="39"/>
  </w:num>
  <w:num w:numId="40">
    <w:abstractNumId w:val="12"/>
  </w:num>
  <w:num w:numId="41">
    <w:abstractNumId w:val="16"/>
  </w:num>
  <w:num w:numId="42">
    <w:abstractNumId w:val="18"/>
  </w:num>
  <w:num w:numId="43">
    <w:abstractNumId w:val="43"/>
  </w:num>
  <w:num w:numId="44">
    <w:abstractNumId w:val="41"/>
  </w:num>
  <w:num w:numId="45">
    <w:abstractNumId w:val="37"/>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77DC"/>
    <w:rsid w:val="00004417"/>
    <w:rsid w:val="00012803"/>
    <w:rsid w:val="000147FA"/>
    <w:rsid w:val="00030D32"/>
    <w:rsid w:val="00051FC3"/>
    <w:rsid w:val="00054588"/>
    <w:rsid w:val="000748A2"/>
    <w:rsid w:val="0008089A"/>
    <w:rsid w:val="00091C76"/>
    <w:rsid w:val="00094075"/>
    <w:rsid w:val="00095A8D"/>
    <w:rsid w:val="000A3016"/>
    <w:rsid w:val="000A3C4F"/>
    <w:rsid w:val="000A428B"/>
    <w:rsid w:val="000B5B40"/>
    <w:rsid w:val="000B79A0"/>
    <w:rsid w:val="000C2DC2"/>
    <w:rsid w:val="000C4649"/>
    <w:rsid w:val="000D0949"/>
    <w:rsid w:val="000D5C24"/>
    <w:rsid w:val="000E1E21"/>
    <w:rsid w:val="000F08C8"/>
    <w:rsid w:val="000F5C25"/>
    <w:rsid w:val="00106594"/>
    <w:rsid w:val="00123747"/>
    <w:rsid w:val="00125A9D"/>
    <w:rsid w:val="0013222E"/>
    <w:rsid w:val="0013490D"/>
    <w:rsid w:val="00146C95"/>
    <w:rsid w:val="00150A20"/>
    <w:rsid w:val="001533CD"/>
    <w:rsid w:val="00156BF6"/>
    <w:rsid w:val="001609DF"/>
    <w:rsid w:val="001A249C"/>
    <w:rsid w:val="001B41D6"/>
    <w:rsid w:val="001C3255"/>
    <w:rsid w:val="001C338B"/>
    <w:rsid w:val="001C3EA1"/>
    <w:rsid w:val="001E7272"/>
    <w:rsid w:val="001F7139"/>
    <w:rsid w:val="002008BA"/>
    <w:rsid w:val="00202585"/>
    <w:rsid w:val="00202966"/>
    <w:rsid w:val="00203481"/>
    <w:rsid w:val="002038E1"/>
    <w:rsid w:val="00205118"/>
    <w:rsid w:val="0021781E"/>
    <w:rsid w:val="00220E14"/>
    <w:rsid w:val="00220F9F"/>
    <w:rsid w:val="00222FCD"/>
    <w:rsid w:val="00224A23"/>
    <w:rsid w:val="00227E5C"/>
    <w:rsid w:val="00244136"/>
    <w:rsid w:val="00253019"/>
    <w:rsid w:val="00262BB3"/>
    <w:rsid w:val="00271521"/>
    <w:rsid w:val="002819A1"/>
    <w:rsid w:val="00295B5D"/>
    <w:rsid w:val="00296874"/>
    <w:rsid w:val="002A0498"/>
    <w:rsid w:val="002A6BB3"/>
    <w:rsid w:val="002B017C"/>
    <w:rsid w:val="002B7017"/>
    <w:rsid w:val="002C0B63"/>
    <w:rsid w:val="002D22E9"/>
    <w:rsid w:val="002E1C95"/>
    <w:rsid w:val="002E78CA"/>
    <w:rsid w:val="002F089D"/>
    <w:rsid w:val="002F7CCF"/>
    <w:rsid w:val="00303706"/>
    <w:rsid w:val="0030668C"/>
    <w:rsid w:val="00314D71"/>
    <w:rsid w:val="00335C60"/>
    <w:rsid w:val="0033669D"/>
    <w:rsid w:val="00345CD0"/>
    <w:rsid w:val="00347D02"/>
    <w:rsid w:val="0035377D"/>
    <w:rsid w:val="00353A34"/>
    <w:rsid w:val="00357401"/>
    <w:rsid w:val="003660C0"/>
    <w:rsid w:val="003675CB"/>
    <w:rsid w:val="003740B2"/>
    <w:rsid w:val="003864A9"/>
    <w:rsid w:val="00387433"/>
    <w:rsid w:val="00387877"/>
    <w:rsid w:val="003938D1"/>
    <w:rsid w:val="003A191A"/>
    <w:rsid w:val="003A347C"/>
    <w:rsid w:val="003A4042"/>
    <w:rsid w:val="003A755F"/>
    <w:rsid w:val="003C0A27"/>
    <w:rsid w:val="003C587B"/>
    <w:rsid w:val="003E08A3"/>
    <w:rsid w:val="003F1CD8"/>
    <w:rsid w:val="004035BD"/>
    <w:rsid w:val="00422C80"/>
    <w:rsid w:val="004258A2"/>
    <w:rsid w:val="00426E8F"/>
    <w:rsid w:val="00445D2E"/>
    <w:rsid w:val="0045337F"/>
    <w:rsid w:val="004564F7"/>
    <w:rsid w:val="0045728F"/>
    <w:rsid w:val="004614F6"/>
    <w:rsid w:val="004719D6"/>
    <w:rsid w:val="0047512C"/>
    <w:rsid w:val="00482CEF"/>
    <w:rsid w:val="004941AD"/>
    <w:rsid w:val="004A06C6"/>
    <w:rsid w:val="004A3450"/>
    <w:rsid w:val="004A5475"/>
    <w:rsid w:val="004A5BBD"/>
    <w:rsid w:val="004A71E6"/>
    <w:rsid w:val="004A7382"/>
    <w:rsid w:val="004B17A7"/>
    <w:rsid w:val="004B253C"/>
    <w:rsid w:val="004B637A"/>
    <w:rsid w:val="004D18D4"/>
    <w:rsid w:val="004D656F"/>
    <w:rsid w:val="004D7AC7"/>
    <w:rsid w:val="004E59B6"/>
    <w:rsid w:val="004E7070"/>
    <w:rsid w:val="004F06CD"/>
    <w:rsid w:val="00511374"/>
    <w:rsid w:val="005115D5"/>
    <w:rsid w:val="005136F1"/>
    <w:rsid w:val="00513709"/>
    <w:rsid w:val="00517A9A"/>
    <w:rsid w:val="00520807"/>
    <w:rsid w:val="005209B5"/>
    <w:rsid w:val="005264AA"/>
    <w:rsid w:val="005272E4"/>
    <w:rsid w:val="00530594"/>
    <w:rsid w:val="00535145"/>
    <w:rsid w:val="0053515F"/>
    <w:rsid w:val="00554F1D"/>
    <w:rsid w:val="00556277"/>
    <w:rsid w:val="0056784D"/>
    <w:rsid w:val="0057662F"/>
    <w:rsid w:val="00581DD2"/>
    <w:rsid w:val="005877E9"/>
    <w:rsid w:val="00591EC2"/>
    <w:rsid w:val="00596816"/>
    <w:rsid w:val="00597742"/>
    <w:rsid w:val="005A3F36"/>
    <w:rsid w:val="005B3074"/>
    <w:rsid w:val="005B3749"/>
    <w:rsid w:val="005B555A"/>
    <w:rsid w:val="005B7D70"/>
    <w:rsid w:val="005E0DD2"/>
    <w:rsid w:val="005E61F4"/>
    <w:rsid w:val="005F7B55"/>
    <w:rsid w:val="00606C31"/>
    <w:rsid w:val="00606DA0"/>
    <w:rsid w:val="006152A8"/>
    <w:rsid w:val="006155A0"/>
    <w:rsid w:val="006313B8"/>
    <w:rsid w:val="00637DB4"/>
    <w:rsid w:val="00642ECA"/>
    <w:rsid w:val="00653F5A"/>
    <w:rsid w:val="00660C70"/>
    <w:rsid w:val="006623EC"/>
    <w:rsid w:val="006641BB"/>
    <w:rsid w:val="00670B32"/>
    <w:rsid w:val="00674453"/>
    <w:rsid w:val="00690FF5"/>
    <w:rsid w:val="00691820"/>
    <w:rsid w:val="00691DC4"/>
    <w:rsid w:val="006936F0"/>
    <w:rsid w:val="00697E5F"/>
    <w:rsid w:val="006A7FEB"/>
    <w:rsid w:val="006B0541"/>
    <w:rsid w:val="006B1DD6"/>
    <w:rsid w:val="006B50D6"/>
    <w:rsid w:val="006C731F"/>
    <w:rsid w:val="006C7687"/>
    <w:rsid w:val="006D10DB"/>
    <w:rsid w:val="006D503F"/>
    <w:rsid w:val="006F189F"/>
    <w:rsid w:val="006F4C92"/>
    <w:rsid w:val="00704F20"/>
    <w:rsid w:val="00710E67"/>
    <w:rsid w:val="00715931"/>
    <w:rsid w:val="00716A74"/>
    <w:rsid w:val="007304BC"/>
    <w:rsid w:val="00732782"/>
    <w:rsid w:val="00750C8B"/>
    <w:rsid w:val="0075699E"/>
    <w:rsid w:val="007711B7"/>
    <w:rsid w:val="007761D9"/>
    <w:rsid w:val="0078095A"/>
    <w:rsid w:val="0078686C"/>
    <w:rsid w:val="00786C21"/>
    <w:rsid w:val="007A3F9B"/>
    <w:rsid w:val="007A4342"/>
    <w:rsid w:val="007B21C1"/>
    <w:rsid w:val="007C041F"/>
    <w:rsid w:val="007C444C"/>
    <w:rsid w:val="007E399C"/>
    <w:rsid w:val="007F25B0"/>
    <w:rsid w:val="007F34BA"/>
    <w:rsid w:val="007F6F12"/>
    <w:rsid w:val="008040C4"/>
    <w:rsid w:val="00812CBD"/>
    <w:rsid w:val="00813916"/>
    <w:rsid w:val="008163FE"/>
    <w:rsid w:val="00817334"/>
    <w:rsid w:val="00826DC8"/>
    <w:rsid w:val="00835C53"/>
    <w:rsid w:val="00836FF7"/>
    <w:rsid w:val="00841BD5"/>
    <w:rsid w:val="00843A0C"/>
    <w:rsid w:val="00847C72"/>
    <w:rsid w:val="00850B97"/>
    <w:rsid w:val="00853098"/>
    <w:rsid w:val="00853E81"/>
    <w:rsid w:val="00861BD5"/>
    <w:rsid w:val="00893079"/>
    <w:rsid w:val="008A0C08"/>
    <w:rsid w:val="008A18BA"/>
    <w:rsid w:val="008B586C"/>
    <w:rsid w:val="008C7FA4"/>
    <w:rsid w:val="008D0B16"/>
    <w:rsid w:val="008D4237"/>
    <w:rsid w:val="008D5DE2"/>
    <w:rsid w:val="008D6670"/>
    <w:rsid w:val="008E0585"/>
    <w:rsid w:val="008E7900"/>
    <w:rsid w:val="008F0555"/>
    <w:rsid w:val="00900884"/>
    <w:rsid w:val="00904B2C"/>
    <w:rsid w:val="00906346"/>
    <w:rsid w:val="009072D9"/>
    <w:rsid w:val="009077DC"/>
    <w:rsid w:val="00911384"/>
    <w:rsid w:val="00926ABE"/>
    <w:rsid w:val="009438F1"/>
    <w:rsid w:val="009523CF"/>
    <w:rsid w:val="00955B9C"/>
    <w:rsid w:val="00956BCB"/>
    <w:rsid w:val="009906BA"/>
    <w:rsid w:val="009A2C14"/>
    <w:rsid w:val="009A3357"/>
    <w:rsid w:val="009A4210"/>
    <w:rsid w:val="009B11E3"/>
    <w:rsid w:val="009C0EFD"/>
    <w:rsid w:val="009C136D"/>
    <w:rsid w:val="009C1B33"/>
    <w:rsid w:val="009C21A9"/>
    <w:rsid w:val="009D0AAC"/>
    <w:rsid w:val="009D0D44"/>
    <w:rsid w:val="009D4905"/>
    <w:rsid w:val="009D60F0"/>
    <w:rsid w:val="009E23A6"/>
    <w:rsid w:val="009F17D9"/>
    <w:rsid w:val="00A04A44"/>
    <w:rsid w:val="00A11CFC"/>
    <w:rsid w:val="00A1385D"/>
    <w:rsid w:val="00A144A0"/>
    <w:rsid w:val="00A15093"/>
    <w:rsid w:val="00A17980"/>
    <w:rsid w:val="00A25048"/>
    <w:rsid w:val="00A25E56"/>
    <w:rsid w:val="00A40593"/>
    <w:rsid w:val="00A4269B"/>
    <w:rsid w:val="00A4641E"/>
    <w:rsid w:val="00A5662F"/>
    <w:rsid w:val="00A57F8F"/>
    <w:rsid w:val="00A60964"/>
    <w:rsid w:val="00A65B19"/>
    <w:rsid w:val="00A675AB"/>
    <w:rsid w:val="00A70AC7"/>
    <w:rsid w:val="00A80CD3"/>
    <w:rsid w:val="00A823D4"/>
    <w:rsid w:val="00A90DB6"/>
    <w:rsid w:val="00AA7BEE"/>
    <w:rsid w:val="00AC23BF"/>
    <w:rsid w:val="00AE184C"/>
    <w:rsid w:val="00AE6567"/>
    <w:rsid w:val="00AF146B"/>
    <w:rsid w:val="00AF6C64"/>
    <w:rsid w:val="00B04E79"/>
    <w:rsid w:val="00B10716"/>
    <w:rsid w:val="00B10E77"/>
    <w:rsid w:val="00B16C5D"/>
    <w:rsid w:val="00B1769C"/>
    <w:rsid w:val="00B179E4"/>
    <w:rsid w:val="00B21E12"/>
    <w:rsid w:val="00B24DB8"/>
    <w:rsid w:val="00B326C6"/>
    <w:rsid w:val="00B330C2"/>
    <w:rsid w:val="00B40A87"/>
    <w:rsid w:val="00B45699"/>
    <w:rsid w:val="00B51928"/>
    <w:rsid w:val="00B52DCB"/>
    <w:rsid w:val="00B574A4"/>
    <w:rsid w:val="00BA0A15"/>
    <w:rsid w:val="00BA5055"/>
    <w:rsid w:val="00BA644F"/>
    <w:rsid w:val="00BB211A"/>
    <w:rsid w:val="00BC1148"/>
    <w:rsid w:val="00BC1AFD"/>
    <w:rsid w:val="00BC6C08"/>
    <w:rsid w:val="00BE56F4"/>
    <w:rsid w:val="00BE5C43"/>
    <w:rsid w:val="00BE6B70"/>
    <w:rsid w:val="00BF72E1"/>
    <w:rsid w:val="00C123F0"/>
    <w:rsid w:val="00C247BB"/>
    <w:rsid w:val="00C301CF"/>
    <w:rsid w:val="00C32B94"/>
    <w:rsid w:val="00C3490C"/>
    <w:rsid w:val="00C35D4A"/>
    <w:rsid w:val="00C412CE"/>
    <w:rsid w:val="00C62F33"/>
    <w:rsid w:val="00C657DC"/>
    <w:rsid w:val="00C70CD1"/>
    <w:rsid w:val="00C7732E"/>
    <w:rsid w:val="00C8289B"/>
    <w:rsid w:val="00C86286"/>
    <w:rsid w:val="00C866C4"/>
    <w:rsid w:val="00C86760"/>
    <w:rsid w:val="00C933C2"/>
    <w:rsid w:val="00C976F6"/>
    <w:rsid w:val="00CA092E"/>
    <w:rsid w:val="00CA1265"/>
    <w:rsid w:val="00CA2ED2"/>
    <w:rsid w:val="00CB0A07"/>
    <w:rsid w:val="00CB0AB2"/>
    <w:rsid w:val="00CB1878"/>
    <w:rsid w:val="00CB2473"/>
    <w:rsid w:val="00CB2D33"/>
    <w:rsid w:val="00CB764A"/>
    <w:rsid w:val="00CC5B9C"/>
    <w:rsid w:val="00CD4652"/>
    <w:rsid w:val="00CE413C"/>
    <w:rsid w:val="00CE5D35"/>
    <w:rsid w:val="00D057C4"/>
    <w:rsid w:val="00D133AA"/>
    <w:rsid w:val="00D17BCF"/>
    <w:rsid w:val="00D20AC0"/>
    <w:rsid w:val="00D21D95"/>
    <w:rsid w:val="00D234DC"/>
    <w:rsid w:val="00D26959"/>
    <w:rsid w:val="00D26AD0"/>
    <w:rsid w:val="00D33127"/>
    <w:rsid w:val="00D3540C"/>
    <w:rsid w:val="00D4255A"/>
    <w:rsid w:val="00D44790"/>
    <w:rsid w:val="00D44A4E"/>
    <w:rsid w:val="00D55419"/>
    <w:rsid w:val="00D5737E"/>
    <w:rsid w:val="00D608CF"/>
    <w:rsid w:val="00D923C1"/>
    <w:rsid w:val="00D9766D"/>
    <w:rsid w:val="00DA7359"/>
    <w:rsid w:val="00DB455F"/>
    <w:rsid w:val="00DB5B21"/>
    <w:rsid w:val="00DC5C78"/>
    <w:rsid w:val="00DD5C4A"/>
    <w:rsid w:val="00DD788C"/>
    <w:rsid w:val="00DE1B84"/>
    <w:rsid w:val="00DE1DDD"/>
    <w:rsid w:val="00DF06D8"/>
    <w:rsid w:val="00DF67DC"/>
    <w:rsid w:val="00E03FA6"/>
    <w:rsid w:val="00E052C0"/>
    <w:rsid w:val="00E10826"/>
    <w:rsid w:val="00E11D5D"/>
    <w:rsid w:val="00E14FC4"/>
    <w:rsid w:val="00E17D99"/>
    <w:rsid w:val="00E2618D"/>
    <w:rsid w:val="00E266DF"/>
    <w:rsid w:val="00E42B3E"/>
    <w:rsid w:val="00E44887"/>
    <w:rsid w:val="00E453D4"/>
    <w:rsid w:val="00E52B76"/>
    <w:rsid w:val="00E56905"/>
    <w:rsid w:val="00E600F0"/>
    <w:rsid w:val="00E60CEA"/>
    <w:rsid w:val="00E636B0"/>
    <w:rsid w:val="00E64697"/>
    <w:rsid w:val="00E70CB8"/>
    <w:rsid w:val="00E83566"/>
    <w:rsid w:val="00E87CFD"/>
    <w:rsid w:val="00EA4934"/>
    <w:rsid w:val="00EA6D86"/>
    <w:rsid w:val="00EB01E7"/>
    <w:rsid w:val="00EB18BB"/>
    <w:rsid w:val="00EB50B3"/>
    <w:rsid w:val="00ED2220"/>
    <w:rsid w:val="00ED2870"/>
    <w:rsid w:val="00ED4145"/>
    <w:rsid w:val="00EF4786"/>
    <w:rsid w:val="00F01332"/>
    <w:rsid w:val="00F0349F"/>
    <w:rsid w:val="00F06ACC"/>
    <w:rsid w:val="00F07463"/>
    <w:rsid w:val="00F12D88"/>
    <w:rsid w:val="00F20714"/>
    <w:rsid w:val="00F21268"/>
    <w:rsid w:val="00F21F2E"/>
    <w:rsid w:val="00F264C0"/>
    <w:rsid w:val="00F32000"/>
    <w:rsid w:val="00F476F4"/>
    <w:rsid w:val="00F479D2"/>
    <w:rsid w:val="00F51099"/>
    <w:rsid w:val="00F57C2A"/>
    <w:rsid w:val="00F824E1"/>
    <w:rsid w:val="00F8474C"/>
    <w:rsid w:val="00F8720F"/>
    <w:rsid w:val="00F87285"/>
    <w:rsid w:val="00F90432"/>
    <w:rsid w:val="00FA1DB4"/>
    <w:rsid w:val="00FA7220"/>
    <w:rsid w:val="00FB0F84"/>
    <w:rsid w:val="00FB3560"/>
    <w:rsid w:val="00FC37FA"/>
    <w:rsid w:val="00FD224A"/>
    <w:rsid w:val="00FD7BE6"/>
    <w:rsid w:val="00FE2B83"/>
    <w:rsid w:val="00FE40C8"/>
    <w:rsid w:val="00FF2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numPr>
        <w:numId w:val="37"/>
      </w:numPr>
      <w:outlineLvl w:val="0"/>
    </w:pPr>
    <w:rPr>
      <w:b/>
      <w:sz w:val="28"/>
    </w:rPr>
  </w:style>
  <w:style w:type="paragraph" w:styleId="Heading2">
    <w:name w:val="heading 2"/>
    <w:basedOn w:val="Normal"/>
    <w:next w:val="Normal"/>
    <w:link w:val="Heading2Char"/>
    <w:uiPriority w:val="99"/>
    <w:qFormat/>
    <w:rsid w:val="009077DC"/>
    <w:pPr>
      <w:numPr>
        <w:ilvl w:val="1"/>
        <w:numId w:val="37"/>
      </w:numPr>
      <w:outlineLvl w:val="1"/>
    </w:pPr>
  </w:style>
  <w:style w:type="paragraph" w:styleId="Heading3">
    <w:name w:val="heading 3"/>
    <w:basedOn w:val="Normal"/>
    <w:next w:val="Normal"/>
    <w:link w:val="Heading3Char"/>
    <w:uiPriority w:val="99"/>
    <w:qFormat/>
    <w:rsid w:val="009077DC"/>
    <w:pPr>
      <w:numPr>
        <w:ilvl w:val="2"/>
        <w:numId w:val="37"/>
      </w:numPr>
      <w:outlineLvl w:val="2"/>
    </w:pPr>
  </w:style>
  <w:style w:type="paragraph" w:styleId="Heading4">
    <w:name w:val="heading 4"/>
    <w:basedOn w:val="Normal"/>
    <w:next w:val="Normal"/>
    <w:link w:val="Heading4Char"/>
    <w:uiPriority w:val="99"/>
    <w:qFormat/>
    <w:rsid w:val="009077DC"/>
    <w:pPr>
      <w:numPr>
        <w:ilvl w:val="3"/>
        <w:numId w:val="37"/>
      </w:numPr>
      <w:outlineLvl w:val="3"/>
    </w:pPr>
  </w:style>
  <w:style w:type="paragraph" w:styleId="Heading5">
    <w:name w:val="heading 5"/>
    <w:basedOn w:val="Normal"/>
    <w:next w:val="Normal"/>
    <w:link w:val="Heading5Char"/>
    <w:uiPriority w:val="99"/>
    <w:qFormat/>
    <w:rsid w:val="009077DC"/>
    <w:pPr>
      <w:numPr>
        <w:ilvl w:val="4"/>
        <w:numId w:val="37"/>
      </w:numPr>
      <w:outlineLvl w:val="4"/>
    </w:pPr>
  </w:style>
  <w:style w:type="paragraph" w:styleId="Heading6">
    <w:name w:val="heading 6"/>
    <w:basedOn w:val="Normal"/>
    <w:next w:val="Normal"/>
    <w:link w:val="Heading6Char"/>
    <w:uiPriority w:val="99"/>
    <w:qFormat/>
    <w:rsid w:val="009077DC"/>
    <w:pPr>
      <w:numPr>
        <w:ilvl w:val="5"/>
        <w:numId w:val="37"/>
      </w:numPr>
      <w:outlineLvl w:val="5"/>
    </w:pPr>
  </w:style>
  <w:style w:type="paragraph" w:styleId="Heading7">
    <w:name w:val="heading 7"/>
    <w:basedOn w:val="Normal"/>
    <w:next w:val="Normal"/>
    <w:link w:val="Heading7Char"/>
    <w:uiPriority w:val="9"/>
    <w:semiHidden/>
    <w:unhideWhenUsed/>
    <w:qFormat/>
    <w:rsid w:val="00FB3560"/>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3560"/>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3560"/>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 w:type="paragraph" w:customStyle="1" w:styleId="Quotation3">
    <w:name w:val="Quotation 3"/>
    <w:basedOn w:val="PlainParagraph"/>
    <w:uiPriority w:val="99"/>
    <w:semiHidden/>
    <w:rsid w:val="006155A0"/>
    <w:pPr>
      <w:spacing w:before="0" w:line="260" w:lineRule="atLeast"/>
      <w:ind w:left="1440" w:hanging="360"/>
    </w:pPr>
    <w:rPr>
      <w:sz w:val="20"/>
      <w:szCs w:val="20"/>
    </w:rPr>
  </w:style>
  <w:style w:type="numbering" w:styleId="1ai">
    <w:name w:val="Outline List 1"/>
    <w:basedOn w:val="NoList"/>
    <w:semiHidden/>
    <w:rsid w:val="00FB3560"/>
    <w:pPr>
      <w:numPr>
        <w:numId w:val="36"/>
      </w:numPr>
    </w:pPr>
  </w:style>
  <w:style w:type="character" w:customStyle="1" w:styleId="Heading7Char">
    <w:name w:val="Heading 7 Char"/>
    <w:basedOn w:val="DefaultParagraphFont"/>
    <w:link w:val="Heading7"/>
    <w:uiPriority w:val="9"/>
    <w:semiHidden/>
    <w:rsid w:val="00FB3560"/>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FB356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B3560"/>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semiHidden/>
    <w:rsid w:val="00FB3560"/>
    <w:pPr>
      <w:numPr>
        <w:numId w:val="37"/>
      </w:numPr>
    </w:pPr>
  </w:style>
  <w:style w:type="paragraph" w:styleId="BlockText">
    <w:name w:val="Block Text"/>
    <w:basedOn w:val="Normal"/>
    <w:uiPriority w:val="99"/>
    <w:semiHidden/>
    <w:rsid w:val="00FB3560"/>
    <w:pPr>
      <w:widowControl/>
      <w:numPr>
        <w:ilvl w:val="2"/>
        <w:numId w:val="38"/>
      </w:numPr>
      <w:tabs>
        <w:tab w:val="clear" w:pos="1560"/>
      </w:tabs>
      <w:autoSpaceDE/>
      <w:autoSpaceDN/>
      <w:adjustRightInd/>
      <w:spacing w:before="0" w:after="120"/>
      <w:ind w:left="1440" w:right="1440" w:firstLine="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1838">
      <w:bodyDiv w:val="1"/>
      <w:marLeft w:val="0"/>
      <w:marRight w:val="0"/>
      <w:marTop w:val="0"/>
      <w:marBottom w:val="0"/>
      <w:divBdr>
        <w:top w:val="none" w:sz="0" w:space="0" w:color="auto"/>
        <w:left w:val="none" w:sz="0" w:space="0" w:color="auto"/>
        <w:bottom w:val="none" w:sz="0" w:space="0" w:color="auto"/>
        <w:right w:val="none" w:sz="0" w:space="0" w:color="auto"/>
      </w:divBdr>
    </w:div>
    <w:div w:id="1058238975">
      <w:bodyDiv w:val="1"/>
      <w:marLeft w:val="0"/>
      <w:marRight w:val="0"/>
      <w:marTop w:val="0"/>
      <w:marBottom w:val="0"/>
      <w:divBdr>
        <w:top w:val="none" w:sz="0" w:space="0" w:color="auto"/>
        <w:left w:val="none" w:sz="0" w:space="0" w:color="auto"/>
        <w:bottom w:val="none" w:sz="0" w:space="0" w:color="auto"/>
        <w:right w:val="none" w:sz="0" w:space="0" w:color="auto"/>
      </w:divBdr>
    </w:div>
    <w:div w:id="1700276305">
      <w:bodyDiv w:val="1"/>
      <w:marLeft w:val="0"/>
      <w:marRight w:val="0"/>
      <w:marTop w:val="0"/>
      <w:marBottom w:val="0"/>
      <w:divBdr>
        <w:top w:val="none" w:sz="0" w:space="0" w:color="auto"/>
        <w:left w:val="none" w:sz="0" w:space="0" w:color="auto"/>
        <w:bottom w:val="none" w:sz="0" w:space="0" w:color="auto"/>
        <w:right w:val="none" w:sz="0" w:space="0" w:color="auto"/>
      </w:divBdr>
      <w:divsChild>
        <w:div w:id="1577741219">
          <w:marLeft w:val="0"/>
          <w:marRight w:val="0"/>
          <w:marTop w:val="0"/>
          <w:marBottom w:val="0"/>
          <w:divBdr>
            <w:top w:val="none" w:sz="0" w:space="0" w:color="auto"/>
            <w:left w:val="none" w:sz="0" w:space="0" w:color="auto"/>
            <w:bottom w:val="none" w:sz="0" w:space="0" w:color="auto"/>
            <w:right w:val="none" w:sz="0" w:space="0" w:color="auto"/>
          </w:divBdr>
          <w:divsChild>
            <w:div w:id="1258825833">
              <w:marLeft w:val="0"/>
              <w:marRight w:val="0"/>
              <w:marTop w:val="0"/>
              <w:marBottom w:val="0"/>
              <w:divBdr>
                <w:top w:val="none" w:sz="0" w:space="0" w:color="auto"/>
                <w:left w:val="none" w:sz="0" w:space="0" w:color="auto"/>
                <w:bottom w:val="none" w:sz="0" w:space="0" w:color="auto"/>
                <w:right w:val="none" w:sz="0" w:space="0" w:color="auto"/>
              </w:divBdr>
              <w:divsChild>
                <w:div w:id="1022249104">
                  <w:marLeft w:val="0"/>
                  <w:marRight w:val="0"/>
                  <w:marTop w:val="0"/>
                  <w:marBottom w:val="0"/>
                  <w:divBdr>
                    <w:top w:val="none" w:sz="0" w:space="0" w:color="auto"/>
                    <w:left w:val="none" w:sz="0" w:space="0" w:color="auto"/>
                    <w:bottom w:val="none" w:sz="0" w:space="0" w:color="auto"/>
                    <w:right w:val="none" w:sz="0" w:space="0" w:color="auto"/>
                  </w:divBdr>
                  <w:divsChild>
                    <w:div w:id="1552576748">
                      <w:marLeft w:val="0"/>
                      <w:marRight w:val="0"/>
                      <w:marTop w:val="0"/>
                      <w:marBottom w:val="0"/>
                      <w:divBdr>
                        <w:top w:val="none" w:sz="0" w:space="0" w:color="auto"/>
                        <w:left w:val="none" w:sz="0" w:space="0" w:color="auto"/>
                        <w:bottom w:val="none" w:sz="0" w:space="0" w:color="auto"/>
                        <w:right w:val="none" w:sz="0" w:space="0" w:color="auto"/>
                      </w:divBdr>
                      <w:divsChild>
                        <w:div w:id="1349789164">
                          <w:marLeft w:val="0"/>
                          <w:marRight w:val="0"/>
                          <w:marTop w:val="0"/>
                          <w:marBottom w:val="0"/>
                          <w:divBdr>
                            <w:top w:val="single" w:sz="6" w:space="0" w:color="828282"/>
                            <w:left w:val="single" w:sz="6" w:space="0" w:color="828282"/>
                            <w:bottom w:val="single" w:sz="6" w:space="0" w:color="828282"/>
                            <w:right w:val="single" w:sz="6" w:space="0" w:color="828282"/>
                          </w:divBdr>
                          <w:divsChild>
                            <w:div w:id="1702122861">
                              <w:marLeft w:val="0"/>
                              <w:marRight w:val="0"/>
                              <w:marTop w:val="0"/>
                              <w:marBottom w:val="0"/>
                              <w:divBdr>
                                <w:top w:val="none" w:sz="0" w:space="0" w:color="auto"/>
                                <w:left w:val="none" w:sz="0" w:space="0" w:color="auto"/>
                                <w:bottom w:val="none" w:sz="0" w:space="0" w:color="auto"/>
                                <w:right w:val="none" w:sz="0" w:space="0" w:color="auto"/>
                              </w:divBdr>
                              <w:divsChild>
                                <w:div w:id="899099116">
                                  <w:marLeft w:val="0"/>
                                  <w:marRight w:val="0"/>
                                  <w:marTop w:val="0"/>
                                  <w:marBottom w:val="0"/>
                                  <w:divBdr>
                                    <w:top w:val="none" w:sz="0" w:space="0" w:color="auto"/>
                                    <w:left w:val="none" w:sz="0" w:space="0" w:color="auto"/>
                                    <w:bottom w:val="none" w:sz="0" w:space="0" w:color="auto"/>
                                    <w:right w:val="none" w:sz="0" w:space="0" w:color="auto"/>
                                  </w:divBdr>
                                  <w:divsChild>
                                    <w:div w:id="113184204">
                                      <w:marLeft w:val="0"/>
                                      <w:marRight w:val="0"/>
                                      <w:marTop w:val="0"/>
                                      <w:marBottom w:val="0"/>
                                      <w:divBdr>
                                        <w:top w:val="none" w:sz="0" w:space="0" w:color="auto"/>
                                        <w:left w:val="none" w:sz="0" w:space="0" w:color="auto"/>
                                        <w:bottom w:val="none" w:sz="0" w:space="0" w:color="auto"/>
                                        <w:right w:val="none" w:sz="0" w:space="0" w:color="auto"/>
                                      </w:divBdr>
                                      <w:divsChild>
                                        <w:div w:id="770513955">
                                          <w:marLeft w:val="0"/>
                                          <w:marRight w:val="0"/>
                                          <w:marTop w:val="0"/>
                                          <w:marBottom w:val="0"/>
                                          <w:divBdr>
                                            <w:top w:val="none" w:sz="0" w:space="0" w:color="auto"/>
                                            <w:left w:val="none" w:sz="0" w:space="0" w:color="auto"/>
                                            <w:bottom w:val="none" w:sz="0" w:space="0" w:color="auto"/>
                                            <w:right w:val="none" w:sz="0" w:space="0" w:color="auto"/>
                                          </w:divBdr>
                                          <w:divsChild>
                                            <w:div w:id="331837132">
                                              <w:marLeft w:val="0"/>
                                              <w:marRight w:val="0"/>
                                              <w:marTop w:val="0"/>
                                              <w:marBottom w:val="0"/>
                                              <w:divBdr>
                                                <w:top w:val="none" w:sz="0" w:space="0" w:color="auto"/>
                                                <w:left w:val="none" w:sz="0" w:space="0" w:color="auto"/>
                                                <w:bottom w:val="none" w:sz="0" w:space="0" w:color="auto"/>
                                                <w:right w:val="none" w:sz="0" w:space="0" w:color="auto"/>
                                              </w:divBdr>
                                              <w:divsChild>
                                                <w:div w:id="1286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1FC9-6DBA-4079-94E0-8A4CF867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4811</Words>
  <Characters>29543</Characters>
  <Application>Microsoft Office Word</Application>
  <DocSecurity>0</DocSecurity>
  <Lines>1477</Lines>
  <Paragraphs>1272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Douglas, Justin</cp:lastModifiedBy>
  <cp:revision>3</cp:revision>
  <cp:lastPrinted>2014-11-11T04:35:00Z</cp:lastPrinted>
  <dcterms:created xsi:type="dcterms:W3CDTF">2014-11-25T04:56:00Z</dcterms:created>
  <dcterms:modified xsi:type="dcterms:W3CDTF">2014-11-25T05:36:00Z</dcterms:modified>
</cp:coreProperties>
</file>