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AB3" w:rsidRPr="00C0014E" w:rsidRDefault="00784AB3" w:rsidP="00784AB3">
      <w:pPr>
        <w:rPr>
          <w:noProof/>
          <w:sz w:val="20"/>
          <w:lang w:val="en-AU" w:eastAsia="en-AU"/>
        </w:rPr>
      </w:pPr>
      <w:r w:rsidRPr="00C0014E">
        <w:rPr>
          <w:noProof/>
          <w:sz w:val="20"/>
          <w:lang w:eastAsia="en-GB" w:bidi="ar-SA"/>
        </w:rPr>
        <w:drawing>
          <wp:inline distT="0" distB="0" distL="0" distR="0" wp14:anchorId="221EB497" wp14:editId="0F02B7A9">
            <wp:extent cx="2657475" cy="438150"/>
            <wp:effectExtent l="0" t="0" r="9525" b="0"/>
            <wp:docPr id="3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AB3" w:rsidRPr="006153A1" w:rsidRDefault="00784AB3" w:rsidP="00784AB3">
      <w:pPr>
        <w:pStyle w:val="Title"/>
        <w:pBdr>
          <w:bottom w:val="single" w:sz="4" w:space="1" w:color="auto"/>
        </w:pBdr>
        <w:rPr>
          <w:b w:val="0"/>
          <w:bCs w:val="0"/>
          <w:szCs w:val="20"/>
          <w:lang w:val="en-GB"/>
        </w:rPr>
      </w:pPr>
    </w:p>
    <w:p w:rsidR="00784AB3" w:rsidRDefault="00784AB3" w:rsidP="00784AB3">
      <w:pPr>
        <w:pBdr>
          <w:bottom w:val="single" w:sz="4" w:space="1" w:color="auto"/>
        </w:pBdr>
        <w:rPr>
          <w:b/>
          <w:sz w:val="20"/>
        </w:rPr>
      </w:pPr>
      <w:r w:rsidRPr="006153A1">
        <w:rPr>
          <w:b/>
          <w:sz w:val="20"/>
        </w:rPr>
        <w:t>Food Standards (</w:t>
      </w:r>
      <w:r w:rsidRPr="00F618DF">
        <w:rPr>
          <w:b/>
          <w:sz w:val="20"/>
        </w:rPr>
        <w:t>A</w:t>
      </w:r>
      <w:r>
        <w:rPr>
          <w:b/>
          <w:sz w:val="20"/>
        </w:rPr>
        <w:t xml:space="preserve">1091 </w:t>
      </w:r>
      <w:r w:rsidRPr="00A32232">
        <w:rPr>
          <w:b/>
          <w:sz w:val="20"/>
        </w:rPr>
        <w:t xml:space="preserve">– </w:t>
      </w:r>
      <w:r>
        <w:rPr>
          <w:b/>
          <w:sz w:val="20"/>
        </w:rPr>
        <w:t>Enzyme Nomenclature Change – C</w:t>
      </w:r>
      <w:r w:rsidRPr="00721849">
        <w:rPr>
          <w:b/>
          <w:sz w:val="20"/>
        </w:rPr>
        <w:t xml:space="preserve">arboxyl </w:t>
      </w:r>
      <w:r>
        <w:rPr>
          <w:b/>
          <w:sz w:val="20"/>
        </w:rPr>
        <w:t>P</w:t>
      </w:r>
      <w:r w:rsidRPr="00721849">
        <w:rPr>
          <w:b/>
          <w:sz w:val="20"/>
        </w:rPr>
        <w:t>roteinase</w:t>
      </w:r>
      <w:r>
        <w:rPr>
          <w:b/>
          <w:sz w:val="20"/>
        </w:rPr>
        <w:t xml:space="preserve"> to Aspergillopepsin </w:t>
      </w:r>
      <w:r w:rsidRPr="004C5609">
        <w:rPr>
          <w:rFonts w:cs="Arial"/>
          <w:b/>
          <w:sz w:val="20"/>
        </w:rPr>
        <w:t>I &amp; II)</w:t>
      </w:r>
      <w:r w:rsidRPr="00C0014E">
        <w:rPr>
          <w:b/>
          <w:sz w:val="20"/>
        </w:rPr>
        <w:t xml:space="preserve"> Variation</w:t>
      </w:r>
    </w:p>
    <w:p w:rsidR="00784AB3" w:rsidRPr="00C0014E" w:rsidRDefault="00784AB3" w:rsidP="00784AB3">
      <w:pPr>
        <w:pBdr>
          <w:bottom w:val="single" w:sz="4" w:space="1" w:color="auto"/>
        </w:pBdr>
        <w:rPr>
          <w:b/>
          <w:sz w:val="20"/>
        </w:rPr>
      </w:pPr>
    </w:p>
    <w:p w:rsidR="00784AB3" w:rsidRPr="008F2616" w:rsidRDefault="00784AB3" w:rsidP="00784AB3">
      <w:pPr>
        <w:rPr>
          <w:sz w:val="20"/>
        </w:rPr>
      </w:pPr>
    </w:p>
    <w:p w:rsidR="00784AB3" w:rsidRPr="008F2616" w:rsidRDefault="00784AB3" w:rsidP="00784AB3">
      <w:pPr>
        <w:rPr>
          <w:sz w:val="20"/>
        </w:rPr>
      </w:pPr>
      <w:r w:rsidRPr="008F2616">
        <w:rPr>
          <w:sz w:val="20"/>
        </w:rPr>
        <w:t xml:space="preserve">The Board of Food Standards Australia New Zealand gives notice of the making of this variation under section 92 of the </w:t>
      </w:r>
      <w:r w:rsidRPr="008F2616">
        <w:rPr>
          <w:i/>
          <w:sz w:val="20"/>
        </w:rPr>
        <w:t>Food Standards Australia New Zealand Act 1991</w:t>
      </w:r>
      <w:r w:rsidRPr="008F2616">
        <w:rPr>
          <w:sz w:val="20"/>
        </w:rPr>
        <w:t>.  The Standard commences on the date specified in clause 3 of this variation.</w:t>
      </w:r>
    </w:p>
    <w:p w:rsidR="00784AB3" w:rsidRPr="008F2616" w:rsidRDefault="00784AB3" w:rsidP="00784AB3">
      <w:pPr>
        <w:rPr>
          <w:sz w:val="20"/>
        </w:rPr>
      </w:pPr>
    </w:p>
    <w:p w:rsidR="003312C9" w:rsidRPr="003312C9" w:rsidRDefault="003312C9" w:rsidP="003312C9">
      <w:pPr>
        <w:rPr>
          <w:sz w:val="20"/>
        </w:rPr>
      </w:pPr>
      <w:bookmarkStart w:id="0" w:name="_GoBack"/>
      <w:r w:rsidRPr="003312C9">
        <w:rPr>
          <w:sz w:val="20"/>
        </w:rPr>
        <w:t>Dated 1 December 2014</w:t>
      </w:r>
    </w:p>
    <w:p w:rsidR="003312C9" w:rsidRPr="003312C9" w:rsidRDefault="003312C9" w:rsidP="003312C9">
      <w:pPr>
        <w:rPr>
          <w:sz w:val="20"/>
        </w:rPr>
      </w:pPr>
      <w:r w:rsidRPr="003312C9">
        <w:rPr>
          <w:noProof/>
          <w:sz w:val="20"/>
          <w:lang w:eastAsia="en-GB" w:bidi="ar-SA"/>
        </w:rPr>
        <w:drawing>
          <wp:inline distT="0" distB="0" distL="0" distR="0" wp14:anchorId="2E48FEB2" wp14:editId="415FCE00">
            <wp:extent cx="1343025" cy="790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2C9" w:rsidRPr="003312C9" w:rsidRDefault="003312C9" w:rsidP="003312C9">
      <w:pPr>
        <w:rPr>
          <w:sz w:val="20"/>
        </w:rPr>
      </w:pPr>
      <w:r w:rsidRPr="003312C9">
        <w:rPr>
          <w:sz w:val="20"/>
        </w:rPr>
        <w:t>Standards Management Officer</w:t>
      </w:r>
    </w:p>
    <w:p w:rsidR="003312C9" w:rsidRPr="003312C9" w:rsidRDefault="003312C9" w:rsidP="003312C9">
      <w:pPr>
        <w:rPr>
          <w:sz w:val="20"/>
        </w:rPr>
      </w:pPr>
      <w:r w:rsidRPr="003312C9">
        <w:rPr>
          <w:sz w:val="20"/>
        </w:rPr>
        <w:t>Delegate of the Board of Food Standards Australia New Zealand</w:t>
      </w:r>
    </w:p>
    <w:p w:rsidR="003312C9" w:rsidRPr="003312C9" w:rsidRDefault="003312C9" w:rsidP="003312C9">
      <w:pPr>
        <w:rPr>
          <w:sz w:val="20"/>
        </w:rPr>
      </w:pPr>
    </w:p>
    <w:p w:rsidR="003312C9" w:rsidRPr="003312C9" w:rsidRDefault="003312C9" w:rsidP="003312C9">
      <w:pPr>
        <w:rPr>
          <w:sz w:val="20"/>
        </w:rPr>
      </w:pPr>
    </w:p>
    <w:p w:rsidR="003312C9" w:rsidRPr="003312C9" w:rsidRDefault="003312C9" w:rsidP="003312C9">
      <w:pPr>
        <w:rPr>
          <w:sz w:val="20"/>
        </w:rPr>
      </w:pPr>
    </w:p>
    <w:p w:rsidR="003312C9" w:rsidRPr="003312C9" w:rsidRDefault="003312C9" w:rsidP="003312C9">
      <w:pPr>
        <w:rPr>
          <w:sz w:val="20"/>
        </w:rPr>
      </w:pPr>
    </w:p>
    <w:p w:rsidR="003312C9" w:rsidRPr="003312C9" w:rsidRDefault="003312C9" w:rsidP="003312C9">
      <w:pPr>
        <w:rPr>
          <w:sz w:val="20"/>
        </w:rPr>
      </w:pPr>
    </w:p>
    <w:p w:rsidR="003312C9" w:rsidRPr="003312C9" w:rsidRDefault="003312C9" w:rsidP="003312C9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b/>
          <w:sz w:val="20"/>
          <w:lang w:val="en-AU"/>
        </w:rPr>
      </w:pPr>
      <w:r w:rsidRPr="003312C9">
        <w:rPr>
          <w:b/>
          <w:sz w:val="20"/>
          <w:lang w:val="en-AU"/>
        </w:rPr>
        <w:t xml:space="preserve">Note:  </w:t>
      </w:r>
    </w:p>
    <w:p w:rsidR="003312C9" w:rsidRPr="003312C9" w:rsidRDefault="003312C9" w:rsidP="003312C9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sz w:val="20"/>
          <w:lang w:val="en-AU"/>
        </w:rPr>
      </w:pPr>
    </w:p>
    <w:p w:rsidR="003312C9" w:rsidRPr="003312C9" w:rsidRDefault="003312C9" w:rsidP="003312C9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sz w:val="20"/>
          <w:lang w:val="en-AU"/>
        </w:rPr>
      </w:pPr>
      <w:r w:rsidRPr="003312C9">
        <w:rPr>
          <w:sz w:val="20"/>
          <w:lang w:val="en-AU"/>
        </w:rPr>
        <w:t xml:space="preserve">This variation will be published in the Commonwealth of Australia Gazette No. FSC 93 on 4 December 2014. This means that this date is the gazettal date for the purposes of clause 3 of the variation. </w:t>
      </w:r>
    </w:p>
    <w:p w:rsidR="00784AB3" w:rsidRPr="003312C9" w:rsidRDefault="00784AB3" w:rsidP="00784AB3">
      <w:pPr>
        <w:rPr>
          <w:sz w:val="18"/>
        </w:rPr>
      </w:pPr>
    </w:p>
    <w:bookmarkEnd w:id="0"/>
    <w:p w:rsidR="00784AB3" w:rsidRDefault="00784AB3" w:rsidP="00784AB3">
      <w:pPr>
        <w:widowControl/>
        <w:rPr>
          <w:sz w:val="20"/>
        </w:rPr>
      </w:pPr>
      <w:r>
        <w:rPr>
          <w:sz w:val="20"/>
        </w:rPr>
        <w:br w:type="page"/>
      </w:r>
    </w:p>
    <w:p w:rsidR="00784AB3" w:rsidRDefault="00784AB3" w:rsidP="00784AB3">
      <w:pPr>
        <w:pStyle w:val="Clauseheading"/>
      </w:pPr>
      <w:r>
        <w:lastRenderedPageBreak/>
        <w:t>1</w:t>
      </w:r>
      <w:r>
        <w:tab/>
        <w:t>Name</w:t>
      </w:r>
    </w:p>
    <w:p w:rsidR="00784AB3" w:rsidRDefault="00784AB3" w:rsidP="00784AB3">
      <w:pPr>
        <w:pStyle w:val="Clause"/>
      </w:pPr>
    </w:p>
    <w:p w:rsidR="00784AB3" w:rsidRPr="00F618DF" w:rsidRDefault="00784AB3" w:rsidP="00784AB3">
      <w:pPr>
        <w:pStyle w:val="Clause"/>
      </w:pPr>
      <w:r w:rsidRPr="00DB170D">
        <w:t xml:space="preserve">This instrument is the </w:t>
      </w:r>
      <w:r>
        <w:rPr>
          <w:i/>
        </w:rPr>
        <w:t xml:space="preserve">Food Standards </w:t>
      </w:r>
      <w:r w:rsidRPr="00F618DF">
        <w:rPr>
          <w:i/>
        </w:rPr>
        <w:t>(</w:t>
      </w:r>
      <w:r w:rsidRPr="006C3FEB">
        <w:rPr>
          <w:i/>
        </w:rPr>
        <w:t xml:space="preserve">A1091 – Enzyme Nomenclature Change </w:t>
      </w:r>
      <w:r>
        <w:rPr>
          <w:i/>
        </w:rPr>
        <w:t>–</w:t>
      </w:r>
      <w:r w:rsidRPr="006C3FEB">
        <w:rPr>
          <w:i/>
        </w:rPr>
        <w:t xml:space="preserve"> Carboxyl Proteinase to Aspergillopepsin</w:t>
      </w:r>
      <w:r w:rsidRPr="004C5609">
        <w:rPr>
          <w:rFonts w:cs="Arial"/>
          <w:i/>
        </w:rPr>
        <w:t xml:space="preserve"> I &amp; II</w:t>
      </w:r>
      <w:r w:rsidRPr="00F618DF">
        <w:rPr>
          <w:i/>
        </w:rPr>
        <w:t>) Variation</w:t>
      </w:r>
      <w:r w:rsidRPr="00F618DF">
        <w:t>.</w:t>
      </w:r>
    </w:p>
    <w:p w:rsidR="00784AB3" w:rsidRDefault="00784AB3" w:rsidP="00784AB3">
      <w:pPr>
        <w:pStyle w:val="Clause"/>
      </w:pPr>
    </w:p>
    <w:p w:rsidR="00784AB3" w:rsidRPr="0036244B" w:rsidRDefault="00784AB3" w:rsidP="00784AB3">
      <w:pPr>
        <w:pStyle w:val="Clauseheading"/>
      </w:pPr>
      <w:r w:rsidRPr="0036244B">
        <w:t>2</w:t>
      </w:r>
      <w:r w:rsidRPr="0036244B">
        <w:tab/>
      </w:r>
      <w:r w:rsidRPr="00840145">
        <w:t>Variation</w:t>
      </w:r>
      <w:r w:rsidRPr="0036244B">
        <w:t xml:space="preserve"> to </w:t>
      </w:r>
      <w:r>
        <w:t xml:space="preserve">a </w:t>
      </w:r>
      <w:r w:rsidRPr="0036244B">
        <w:t xml:space="preserve">Standard in the </w:t>
      </w:r>
      <w:r w:rsidRPr="00395BDF">
        <w:rPr>
          <w:i/>
        </w:rPr>
        <w:t>Australia New Zealand Food Standards Code</w:t>
      </w:r>
    </w:p>
    <w:p w:rsidR="00784AB3" w:rsidRDefault="00784AB3" w:rsidP="00784AB3">
      <w:pPr>
        <w:pStyle w:val="Clause"/>
      </w:pPr>
    </w:p>
    <w:p w:rsidR="00784AB3" w:rsidRDefault="00784AB3" w:rsidP="00784AB3">
      <w:pPr>
        <w:pStyle w:val="Clause"/>
      </w:pPr>
      <w:r>
        <w:t xml:space="preserve">The Schedule varies a Standard in the </w:t>
      </w:r>
      <w:r w:rsidRPr="00FF1C11">
        <w:rPr>
          <w:i/>
        </w:rPr>
        <w:t>Australia New Zealand Food Standards Code</w:t>
      </w:r>
      <w:r>
        <w:t>.</w:t>
      </w:r>
    </w:p>
    <w:p w:rsidR="00784AB3" w:rsidRDefault="00784AB3" w:rsidP="00784AB3">
      <w:pPr>
        <w:rPr>
          <w:sz w:val="20"/>
        </w:rPr>
      </w:pPr>
    </w:p>
    <w:p w:rsidR="00784AB3" w:rsidRDefault="00784AB3" w:rsidP="00784AB3">
      <w:pPr>
        <w:pStyle w:val="Clauseheading"/>
      </w:pPr>
      <w:r>
        <w:t>3</w:t>
      </w:r>
      <w:r>
        <w:tab/>
        <w:t>Commencement</w:t>
      </w:r>
    </w:p>
    <w:p w:rsidR="00784AB3" w:rsidRDefault="00784AB3" w:rsidP="00784AB3">
      <w:pPr>
        <w:pStyle w:val="Clause"/>
      </w:pPr>
    </w:p>
    <w:p w:rsidR="00784AB3" w:rsidRDefault="00784AB3" w:rsidP="00784AB3">
      <w:pPr>
        <w:pStyle w:val="Clause"/>
      </w:pPr>
      <w:r>
        <w:t>The variation commenc</w:t>
      </w:r>
      <w:r w:rsidRPr="000055C4">
        <w:t>e</w:t>
      </w:r>
      <w:r>
        <w:t>s</w:t>
      </w:r>
      <w:r w:rsidRPr="000055C4">
        <w:t xml:space="preserve"> on</w:t>
      </w:r>
      <w:r>
        <w:t xml:space="preserve"> </w:t>
      </w:r>
      <w:r w:rsidRPr="00B7527A">
        <w:rPr>
          <w:rFonts w:eastAsia="Calibri"/>
        </w:rPr>
        <w:t>the date of gazettal</w:t>
      </w:r>
      <w:r>
        <w:rPr>
          <w:rFonts w:eastAsia="Calibri" w:cs="Arial"/>
          <w:sz w:val="22"/>
          <w:szCs w:val="22"/>
        </w:rPr>
        <w:t>.</w:t>
      </w:r>
    </w:p>
    <w:p w:rsidR="00784AB3" w:rsidRDefault="00784AB3" w:rsidP="00784AB3">
      <w:pPr>
        <w:pStyle w:val="ScheduleHeading"/>
      </w:pPr>
    </w:p>
    <w:p w:rsidR="00784AB3" w:rsidRDefault="00784AB3" w:rsidP="00784AB3">
      <w:pPr>
        <w:pStyle w:val="ScheduleHeading"/>
      </w:pPr>
      <w:r>
        <w:t>SCHEDULE</w:t>
      </w:r>
    </w:p>
    <w:p w:rsidR="00784AB3" w:rsidRPr="0036244B" w:rsidRDefault="00784AB3" w:rsidP="00784AB3">
      <w:pPr>
        <w:widowControl/>
        <w:rPr>
          <w:sz w:val="20"/>
        </w:rPr>
      </w:pPr>
    </w:p>
    <w:p w:rsidR="00784AB3" w:rsidRDefault="00784AB3" w:rsidP="00784AB3">
      <w:pPr>
        <w:pStyle w:val="Clause"/>
      </w:pPr>
      <w:r w:rsidRPr="00F93FC3">
        <w:rPr>
          <w:b/>
          <w:bCs/>
        </w:rPr>
        <w:t>[1]</w:t>
      </w:r>
      <w:r w:rsidRPr="00F93FC3">
        <w:tab/>
      </w:r>
      <w:r w:rsidRPr="00F93FC3">
        <w:rPr>
          <w:b/>
          <w:bCs/>
        </w:rPr>
        <w:t>Standard 1.</w:t>
      </w:r>
      <w:r>
        <w:rPr>
          <w:b/>
          <w:bCs/>
        </w:rPr>
        <w:t>3</w:t>
      </w:r>
      <w:r w:rsidRPr="00F93FC3">
        <w:rPr>
          <w:b/>
          <w:bCs/>
        </w:rPr>
        <w:t>.</w:t>
      </w:r>
      <w:r>
        <w:rPr>
          <w:b/>
          <w:bCs/>
        </w:rPr>
        <w:t>3</w:t>
      </w:r>
      <w:r w:rsidRPr="00F93FC3">
        <w:t xml:space="preserve"> is varied by</w:t>
      </w:r>
    </w:p>
    <w:p w:rsidR="00784AB3" w:rsidRDefault="00784AB3" w:rsidP="00784AB3">
      <w:pPr>
        <w:pStyle w:val="Clause"/>
      </w:pPr>
    </w:p>
    <w:p w:rsidR="00784AB3" w:rsidRDefault="00784AB3" w:rsidP="00784AB3">
      <w:pPr>
        <w:pStyle w:val="Subclause"/>
      </w:pPr>
      <w:r>
        <w:t>[1.1]</w:t>
      </w:r>
      <w:r>
        <w:tab/>
        <w:t>omitting from the Table to clause 17</w:t>
      </w:r>
    </w:p>
    <w:p w:rsidR="00784AB3" w:rsidRPr="00A37D4B" w:rsidRDefault="00784AB3" w:rsidP="00A37D4B">
      <w:pPr>
        <w:pStyle w:val="Subclause"/>
      </w:pPr>
    </w:p>
    <w:p w:rsidR="00784AB3" w:rsidRDefault="00784AB3" w:rsidP="00784AB3">
      <w:pPr>
        <w:pStyle w:val="Subclause"/>
      </w:pPr>
      <w:r>
        <w:t>“</w:t>
      </w:r>
    </w:p>
    <w:tbl>
      <w:tblPr>
        <w:tblW w:w="9072" w:type="dxa"/>
        <w:jc w:val="center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001"/>
        <w:gridCol w:w="5071"/>
      </w:tblGrid>
      <w:tr w:rsidR="00784AB3" w:rsidRPr="00C63437" w:rsidDel="00B6101B" w:rsidTr="00B6743E">
        <w:trPr>
          <w:cantSplit/>
          <w:jc w:val="center"/>
        </w:trPr>
        <w:tc>
          <w:tcPr>
            <w:tcW w:w="4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AB3" w:rsidRPr="00A37D4B" w:rsidRDefault="00784AB3" w:rsidP="00A37D4B">
            <w:pPr>
              <w:pStyle w:val="Table2"/>
            </w:pPr>
            <w:r w:rsidRPr="00A37D4B">
              <w:t>Carboxyl proteinase</w:t>
            </w:r>
          </w:p>
          <w:p w:rsidR="00784AB3" w:rsidRPr="00A37D4B" w:rsidDel="00B6101B" w:rsidRDefault="00784AB3" w:rsidP="00A37D4B">
            <w:pPr>
              <w:pStyle w:val="Table2"/>
            </w:pPr>
            <w:r w:rsidRPr="00A37D4B">
              <w:t>EC 3.4.23.6</w:t>
            </w:r>
          </w:p>
        </w:tc>
        <w:tc>
          <w:tcPr>
            <w:tcW w:w="50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84AB3" w:rsidRPr="00A37D4B" w:rsidRDefault="00784AB3" w:rsidP="00A37D4B">
            <w:pPr>
              <w:pStyle w:val="Table2"/>
              <w:rPr>
                <w:i/>
              </w:rPr>
            </w:pPr>
            <w:r w:rsidRPr="00A37D4B">
              <w:rPr>
                <w:i/>
              </w:rPr>
              <w:t>Aspergillus melleus</w:t>
            </w:r>
          </w:p>
          <w:p w:rsidR="00784AB3" w:rsidRPr="00A37D4B" w:rsidRDefault="00784AB3" w:rsidP="00A37D4B">
            <w:pPr>
              <w:pStyle w:val="Table2"/>
              <w:rPr>
                <w:i/>
              </w:rPr>
            </w:pPr>
            <w:r w:rsidRPr="00A37D4B">
              <w:rPr>
                <w:i/>
              </w:rPr>
              <w:t>Aspergillus niger</w:t>
            </w:r>
          </w:p>
          <w:p w:rsidR="00784AB3" w:rsidRPr="00A37D4B" w:rsidRDefault="00784AB3" w:rsidP="00A37D4B">
            <w:pPr>
              <w:pStyle w:val="Table2"/>
              <w:rPr>
                <w:i/>
              </w:rPr>
            </w:pPr>
            <w:r w:rsidRPr="00A37D4B">
              <w:rPr>
                <w:i/>
              </w:rPr>
              <w:t>Aspergillus oryzae</w:t>
            </w:r>
          </w:p>
          <w:p w:rsidR="00784AB3" w:rsidRPr="00A37D4B" w:rsidDel="00B6101B" w:rsidRDefault="00784AB3" w:rsidP="00A37D4B">
            <w:pPr>
              <w:pStyle w:val="Table2"/>
              <w:rPr>
                <w:i/>
              </w:rPr>
            </w:pPr>
            <w:r w:rsidRPr="00A37D4B">
              <w:rPr>
                <w:i/>
              </w:rPr>
              <w:t>Rhizomucor miehei</w:t>
            </w:r>
          </w:p>
        </w:tc>
      </w:tr>
    </w:tbl>
    <w:p w:rsidR="00784AB3" w:rsidRDefault="00784AB3" w:rsidP="00784AB3">
      <w:pPr>
        <w:pStyle w:val="Subclause"/>
        <w:jc w:val="right"/>
      </w:pPr>
      <w:r w:rsidRPr="00F93FC3">
        <w:t>”</w:t>
      </w:r>
    </w:p>
    <w:p w:rsidR="00784AB3" w:rsidRDefault="00784AB3" w:rsidP="00784AB3">
      <w:pPr>
        <w:pStyle w:val="Subclause"/>
      </w:pPr>
      <w:r>
        <w:t>[1.2]</w:t>
      </w:r>
      <w:r>
        <w:tab/>
        <w:t>inserting in the Table to clause 17, in alphabetical order</w:t>
      </w:r>
    </w:p>
    <w:p w:rsidR="00784AB3" w:rsidRDefault="00784AB3" w:rsidP="00784AB3">
      <w:pPr>
        <w:pStyle w:val="Subclause"/>
      </w:pPr>
    </w:p>
    <w:p w:rsidR="00784AB3" w:rsidRDefault="00784AB3" w:rsidP="00784AB3">
      <w:pPr>
        <w:pStyle w:val="Subclause"/>
      </w:pPr>
      <w:r>
        <w:t>“</w:t>
      </w:r>
    </w:p>
    <w:tbl>
      <w:tblPr>
        <w:tblW w:w="9072" w:type="dxa"/>
        <w:jc w:val="center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001"/>
        <w:gridCol w:w="5071"/>
      </w:tblGrid>
      <w:tr w:rsidR="00784AB3" w:rsidRPr="002F704A" w:rsidDel="00B6101B" w:rsidTr="00B6743E">
        <w:trPr>
          <w:cantSplit/>
          <w:jc w:val="center"/>
        </w:trPr>
        <w:tc>
          <w:tcPr>
            <w:tcW w:w="4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AB3" w:rsidRDefault="00784AB3" w:rsidP="00B6743E">
            <w:pPr>
              <w:pStyle w:val="Table2"/>
              <w:rPr>
                <w:rFonts w:ascii="Times New Roman" w:hAnsi="Times New Roman"/>
              </w:rPr>
            </w:pPr>
            <w:r w:rsidRPr="001B61E4">
              <w:t xml:space="preserve">Aspergillopepsin </w:t>
            </w:r>
            <w:r w:rsidRPr="001B61E4">
              <w:rPr>
                <w:rFonts w:ascii="Times New Roman" w:hAnsi="Times New Roman"/>
              </w:rPr>
              <w:t>I</w:t>
            </w:r>
          </w:p>
          <w:p w:rsidR="00784AB3" w:rsidRPr="001B61E4" w:rsidRDefault="00784AB3" w:rsidP="00B6743E">
            <w:pPr>
              <w:pStyle w:val="Table2"/>
            </w:pPr>
            <w:r>
              <w:t>EC 3.4.23.18</w:t>
            </w:r>
          </w:p>
        </w:tc>
        <w:tc>
          <w:tcPr>
            <w:tcW w:w="50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84AB3" w:rsidRDefault="00784AB3" w:rsidP="00B6743E">
            <w:pPr>
              <w:pStyle w:val="Table2"/>
              <w:rPr>
                <w:i/>
              </w:rPr>
            </w:pPr>
            <w:r>
              <w:rPr>
                <w:i/>
              </w:rPr>
              <w:t>Aspergillus niger</w:t>
            </w:r>
          </w:p>
          <w:p w:rsidR="00784AB3" w:rsidRPr="002F704A" w:rsidDel="00B6101B" w:rsidRDefault="00784AB3" w:rsidP="00B6743E">
            <w:pPr>
              <w:pStyle w:val="Table2"/>
              <w:rPr>
                <w:i/>
              </w:rPr>
            </w:pPr>
            <w:r>
              <w:rPr>
                <w:i/>
              </w:rPr>
              <w:t>Aspergillus oryzae</w:t>
            </w:r>
          </w:p>
        </w:tc>
      </w:tr>
      <w:tr w:rsidR="00784AB3" w:rsidRPr="002F704A" w:rsidDel="00B6101B" w:rsidTr="00B6743E">
        <w:trPr>
          <w:cantSplit/>
          <w:jc w:val="center"/>
        </w:trPr>
        <w:tc>
          <w:tcPr>
            <w:tcW w:w="4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AB3" w:rsidRDefault="00784AB3" w:rsidP="00B6743E">
            <w:pPr>
              <w:pStyle w:val="Table2"/>
              <w:rPr>
                <w:rFonts w:ascii="Times New Roman" w:hAnsi="Times New Roman"/>
              </w:rPr>
            </w:pPr>
            <w:r w:rsidRPr="001B61E4">
              <w:t xml:space="preserve">Aspergillopepsin </w:t>
            </w:r>
            <w:r w:rsidRPr="001B61E4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>I</w:t>
            </w:r>
          </w:p>
          <w:p w:rsidR="00784AB3" w:rsidRPr="001B61E4" w:rsidRDefault="00784AB3" w:rsidP="00B6743E">
            <w:pPr>
              <w:pStyle w:val="Table2"/>
            </w:pPr>
            <w:r>
              <w:t>EC 3.4.23.19</w:t>
            </w:r>
          </w:p>
        </w:tc>
        <w:tc>
          <w:tcPr>
            <w:tcW w:w="50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84AB3" w:rsidRDefault="00784AB3" w:rsidP="00B6743E">
            <w:pPr>
              <w:pStyle w:val="Table2"/>
              <w:rPr>
                <w:i/>
              </w:rPr>
            </w:pPr>
            <w:r>
              <w:rPr>
                <w:i/>
              </w:rPr>
              <w:t>Aspergillus niger</w:t>
            </w:r>
          </w:p>
          <w:p w:rsidR="00784AB3" w:rsidRDefault="00784AB3" w:rsidP="00B6743E">
            <w:pPr>
              <w:pStyle w:val="Table2"/>
              <w:rPr>
                <w:i/>
              </w:rPr>
            </w:pPr>
          </w:p>
        </w:tc>
      </w:tr>
    </w:tbl>
    <w:p w:rsidR="00784AB3" w:rsidRDefault="00784AB3" w:rsidP="00784AB3">
      <w:pPr>
        <w:pStyle w:val="Subclause"/>
        <w:jc w:val="right"/>
      </w:pPr>
      <w:r w:rsidRPr="00F93FC3">
        <w:t>”</w:t>
      </w:r>
    </w:p>
    <w:p w:rsidR="00784AB3" w:rsidRPr="00395BDF" w:rsidRDefault="00784AB3" w:rsidP="00784AB3">
      <w:pPr>
        <w:rPr>
          <w:sz w:val="20"/>
        </w:rPr>
      </w:pPr>
    </w:p>
    <w:p w:rsidR="00D5526B" w:rsidRPr="00184403" w:rsidRDefault="00D5526B" w:rsidP="00793DE6"/>
    <w:sectPr w:rsidR="00D5526B" w:rsidRPr="00184403" w:rsidSect="008E2339"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AB3" w:rsidRDefault="00784AB3" w:rsidP="00784AB3">
      <w:r>
        <w:separator/>
      </w:r>
    </w:p>
  </w:endnote>
  <w:endnote w:type="continuationSeparator" w:id="0">
    <w:p w:rsidR="00784AB3" w:rsidRDefault="00784AB3" w:rsidP="00784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07081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84AB3" w:rsidRDefault="00784AB3" w:rsidP="00784A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12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AB3" w:rsidRDefault="00784AB3" w:rsidP="00784AB3">
      <w:r>
        <w:separator/>
      </w:r>
    </w:p>
  </w:footnote>
  <w:footnote w:type="continuationSeparator" w:id="0">
    <w:p w:rsidR="00784AB3" w:rsidRDefault="00784AB3" w:rsidP="00784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4BB8"/>
    <w:multiLevelType w:val="hybridMultilevel"/>
    <w:tmpl w:val="B9EE6DBE"/>
    <w:lvl w:ilvl="0" w:tplc="04C42AFA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4"/>
  </w:num>
  <w:num w:numId="9">
    <w:abstractNumId w:val="2"/>
  </w:num>
  <w:num w:numId="10">
    <w:abstractNumId w:val="3"/>
  </w:num>
  <w:num w:numId="11">
    <w:abstractNumId w:val="4"/>
  </w:num>
  <w:num w:numId="12">
    <w:abstractNumId w:val="2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AB3"/>
    <w:rsid w:val="0000542C"/>
    <w:rsid w:val="00041643"/>
    <w:rsid w:val="000622E7"/>
    <w:rsid w:val="00066854"/>
    <w:rsid w:val="00066D85"/>
    <w:rsid w:val="000A38F8"/>
    <w:rsid w:val="000F2196"/>
    <w:rsid w:val="001734EA"/>
    <w:rsid w:val="00184403"/>
    <w:rsid w:val="00191770"/>
    <w:rsid w:val="001C5126"/>
    <w:rsid w:val="001E696B"/>
    <w:rsid w:val="002232B1"/>
    <w:rsid w:val="00234C31"/>
    <w:rsid w:val="0033021F"/>
    <w:rsid w:val="003312C9"/>
    <w:rsid w:val="00341D25"/>
    <w:rsid w:val="00404702"/>
    <w:rsid w:val="00441D77"/>
    <w:rsid w:val="00443F05"/>
    <w:rsid w:val="00486619"/>
    <w:rsid w:val="004D3868"/>
    <w:rsid w:val="004E6694"/>
    <w:rsid w:val="0054036E"/>
    <w:rsid w:val="005B578D"/>
    <w:rsid w:val="005C1996"/>
    <w:rsid w:val="006B6900"/>
    <w:rsid w:val="006D473E"/>
    <w:rsid w:val="00784AB3"/>
    <w:rsid w:val="00793DE6"/>
    <w:rsid w:val="007F6456"/>
    <w:rsid w:val="00830393"/>
    <w:rsid w:val="00833D5A"/>
    <w:rsid w:val="00860EE7"/>
    <w:rsid w:val="00877A81"/>
    <w:rsid w:val="008931F6"/>
    <w:rsid w:val="008E2339"/>
    <w:rsid w:val="00935023"/>
    <w:rsid w:val="009806A5"/>
    <w:rsid w:val="009E265A"/>
    <w:rsid w:val="00A25B29"/>
    <w:rsid w:val="00A26F82"/>
    <w:rsid w:val="00A37D4B"/>
    <w:rsid w:val="00B53154"/>
    <w:rsid w:val="00BC2133"/>
    <w:rsid w:val="00BE4F3A"/>
    <w:rsid w:val="00C019A6"/>
    <w:rsid w:val="00C572A2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A37D4B"/>
    <w:pPr>
      <w:widowControl w:val="0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qFormat/>
    <w:rsid w:val="00404702"/>
    <w:pPr>
      <w:ind w:left="142" w:hanging="142"/>
    </w:pPr>
    <w:rPr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hAnsi="Arial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sz w:val="20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qFormat/>
    <w:rsid w:val="00404702"/>
    <w:pPr>
      <w:keepNext/>
      <w:tabs>
        <w:tab w:val="left" w:pos="851"/>
      </w:tabs>
    </w:pPr>
    <w:rPr>
      <w:b/>
      <w:sz w:val="20"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sz w:val="20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</w:rPr>
  </w:style>
  <w:style w:type="paragraph" w:customStyle="1" w:styleId="EditorialNotetext">
    <w:name w:val="Editorial Note text"/>
    <w:basedOn w:val="EditorialNoteLine1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cs="Arial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qFormat/>
    <w:rsid w:val="00404702"/>
    <w:pPr>
      <w:tabs>
        <w:tab w:val="left" w:pos="851"/>
      </w:tabs>
      <w:jc w:val="center"/>
    </w:pPr>
    <w:rPr>
      <w:b/>
      <w:caps/>
      <w:sz w:val="20"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b/>
      <w:i/>
      <w:iCs/>
      <w:caps/>
      <w:sz w:val="28"/>
      <w:szCs w:val="20"/>
    </w:rPr>
  </w:style>
  <w:style w:type="paragraph" w:customStyle="1" w:styleId="Subclause">
    <w:name w:val="Subclause"/>
    <w:basedOn w:val="Clause"/>
    <w:qFormat/>
    <w:rsid w:val="00A37D4B"/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sz w:val="20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styleId="Title">
    <w:name w:val="Title"/>
    <w:basedOn w:val="Normal"/>
    <w:link w:val="TitleChar"/>
    <w:uiPriority w:val="10"/>
    <w:qFormat/>
    <w:rsid w:val="00784AB3"/>
    <w:pPr>
      <w:tabs>
        <w:tab w:val="left" w:pos="851"/>
      </w:tabs>
      <w:jc w:val="center"/>
    </w:pPr>
    <w:rPr>
      <w:b/>
      <w:bCs/>
      <w:sz w:val="20"/>
      <w:lang w:val="en-AU" w:bidi="ar-SA"/>
    </w:rPr>
  </w:style>
  <w:style w:type="character" w:customStyle="1" w:styleId="TitleChar">
    <w:name w:val="Title Char"/>
    <w:basedOn w:val="DefaultParagraphFont"/>
    <w:link w:val="Title"/>
    <w:uiPriority w:val="10"/>
    <w:rsid w:val="00784AB3"/>
    <w:rPr>
      <w:rFonts w:eastAsia="Times New Roman" w:cs="Times New Roman"/>
      <w:b/>
      <w:bCs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A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AB3"/>
    <w:rPr>
      <w:rFonts w:ascii="Tahoma" w:eastAsia="Times New Roman" w:hAnsi="Tahoma" w:cs="Tahoma"/>
      <w:sz w:val="16"/>
      <w:szCs w:val="16"/>
      <w:lang w:val="en-GB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A37D4B"/>
    <w:pPr>
      <w:widowControl w:val="0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qFormat/>
    <w:rsid w:val="00404702"/>
    <w:pPr>
      <w:ind w:left="142" w:hanging="142"/>
    </w:pPr>
    <w:rPr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hAnsi="Arial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sz w:val="20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qFormat/>
    <w:rsid w:val="00404702"/>
    <w:pPr>
      <w:keepNext/>
      <w:tabs>
        <w:tab w:val="left" w:pos="851"/>
      </w:tabs>
    </w:pPr>
    <w:rPr>
      <w:b/>
      <w:sz w:val="20"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sz w:val="20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</w:rPr>
  </w:style>
  <w:style w:type="paragraph" w:customStyle="1" w:styleId="EditorialNotetext">
    <w:name w:val="Editorial Note text"/>
    <w:basedOn w:val="EditorialNoteLine1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cs="Arial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qFormat/>
    <w:rsid w:val="00404702"/>
    <w:pPr>
      <w:tabs>
        <w:tab w:val="left" w:pos="851"/>
      </w:tabs>
      <w:jc w:val="center"/>
    </w:pPr>
    <w:rPr>
      <w:b/>
      <w:caps/>
      <w:sz w:val="20"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b/>
      <w:i/>
      <w:iCs/>
      <w:caps/>
      <w:sz w:val="28"/>
      <w:szCs w:val="20"/>
    </w:rPr>
  </w:style>
  <w:style w:type="paragraph" w:customStyle="1" w:styleId="Subclause">
    <w:name w:val="Subclause"/>
    <w:basedOn w:val="Clause"/>
    <w:qFormat/>
    <w:rsid w:val="00A37D4B"/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sz w:val="20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styleId="Title">
    <w:name w:val="Title"/>
    <w:basedOn w:val="Normal"/>
    <w:link w:val="TitleChar"/>
    <w:uiPriority w:val="10"/>
    <w:qFormat/>
    <w:rsid w:val="00784AB3"/>
    <w:pPr>
      <w:tabs>
        <w:tab w:val="left" w:pos="851"/>
      </w:tabs>
      <w:jc w:val="center"/>
    </w:pPr>
    <w:rPr>
      <w:b/>
      <w:bCs/>
      <w:sz w:val="20"/>
      <w:lang w:val="en-AU" w:bidi="ar-SA"/>
    </w:rPr>
  </w:style>
  <w:style w:type="character" w:customStyle="1" w:styleId="TitleChar">
    <w:name w:val="Title Char"/>
    <w:basedOn w:val="DefaultParagraphFont"/>
    <w:link w:val="Title"/>
    <w:uiPriority w:val="10"/>
    <w:rsid w:val="00784AB3"/>
    <w:rPr>
      <w:rFonts w:eastAsia="Times New Roman" w:cs="Times New Roman"/>
      <w:b/>
      <w:bCs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A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AB3"/>
    <w:rPr>
      <w:rFonts w:ascii="Tahoma" w:eastAsia="Times New Roman" w:hAnsi="Tahoma" w:cs="Tahoma"/>
      <w:sz w:val="16"/>
      <w:szCs w:val="16"/>
      <w:lang w:val="en-GB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6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BF8CB-A308-4F6E-8A65-89AF8C3DF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217</Words>
  <Characters>1237</Characters>
  <Application>Microsoft Office Word</Application>
  <DocSecurity>0</DocSecurity>
  <Lines>10</Lines>
  <Paragraphs>2</Paragraphs>
  <ScaleCrop>false</ScaleCrop>
  <Company>Foodstandards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humphc</dc:creator>
  <cp:lastModifiedBy>humphc</cp:lastModifiedBy>
  <cp:revision>3</cp:revision>
  <dcterms:created xsi:type="dcterms:W3CDTF">2014-10-09T22:14:00Z</dcterms:created>
  <dcterms:modified xsi:type="dcterms:W3CDTF">2014-11-24T06:47:00Z</dcterms:modified>
</cp:coreProperties>
</file>