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48" w:rsidRPr="00A27335" w:rsidRDefault="00BA4F48" w:rsidP="00BA4F48">
      <w:pPr>
        <w:tabs>
          <w:tab w:val="left" w:pos="900"/>
        </w:tabs>
      </w:pPr>
    </w:p>
    <w:p w:rsidR="00BA4F48" w:rsidRPr="00A27335" w:rsidRDefault="00BA4F48" w:rsidP="00BA4F48">
      <w:pPr>
        <w:tabs>
          <w:tab w:val="left" w:pos="900"/>
        </w:tabs>
        <w:jc w:val="center"/>
      </w:pPr>
    </w:p>
    <w:p w:rsidR="00BA4F48" w:rsidRPr="00A27335" w:rsidRDefault="00BA4F48" w:rsidP="00BA4F48">
      <w:pPr>
        <w:tabs>
          <w:tab w:val="left" w:pos="900"/>
        </w:tabs>
        <w:jc w:val="center"/>
      </w:pPr>
    </w:p>
    <w:p w:rsidR="00BA4F48" w:rsidRPr="00CA7971" w:rsidRDefault="00194C83" w:rsidP="00194C83">
      <w:pPr>
        <w:tabs>
          <w:tab w:val="left" w:pos="900"/>
        </w:tabs>
        <w:jc w:val="center"/>
      </w:pPr>
      <w:r w:rsidRPr="00194C83">
        <w:rPr>
          <w:b/>
          <w:sz w:val="40"/>
          <w:szCs w:val="40"/>
        </w:rPr>
        <w:t>Vehicle Standard (Australian Design Rule 14/02 – Rear Vision Mirrors)</w:t>
      </w:r>
      <w:r w:rsidR="007D64F5">
        <w:rPr>
          <w:b/>
          <w:sz w:val="40"/>
          <w:szCs w:val="40"/>
        </w:rPr>
        <w:t xml:space="preserve"> 2006 Amendment 1</w:t>
      </w:r>
    </w:p>
    <w:p w:rsidR="00485E16" w:rsidRPr="00CA7971" w:rsidRDefault="00485E16"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jc w:val="center"/>
      </w:pPr>
      <w:r w:rsidRPr="00CA7971">
        <w:t xml:space="preserve">Made under section 7 of the </w:t>
      </w:r>
      <w:r w:rsidRPr="00B97E32">
        <w:rPr>
          <w:i/>
        </w:rPr>
        <w:t>Motor Vehicle Standards Act 1989</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pStyle w:val="ADRTitle"/>
        <w:tabs>
          <w:tab w:val="left" w:pos="900"/>
        </w:tabs>
        <w:jc w:val="center"/>
      </w:pPr>
      <w:r w:rsidRPr="00CA7971">
        <w:t>Explanatory Statement</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jc w:val="center"/>
      </w:pPr>
      <w:r w:rsidRPr="00CA7971">
        <w:t xml:space="preserve">Issued by the authority of the </w:t>
      </w:r>
      <w:r w:rsidR="00E8388B">
        <w:t xml:space="preserve">Assistant </w:t>
      </w:r>
      <w:r w:rsidR="008C0815" w:rsidRPr="00CA7971">
        <w:t xml:space="preserve">Minister for </w:t>
      </w:r>
      <w:r w:rsidR="00174399">
        <w:t>Infrastructure and Regional Development</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F249CE" w:rsidP="00BA4F48">
      <w:pPr>
        <w:pStyle w:val="ADRTitle"/>
        <w:tabs>
          <w:tab w:val="left" w:pos="900"/>
        </w:tabs>
        <w:jc w:val="center"/>
      </w:pPr>
      <w:r>
        <w:t>November</w:t>
      </w:r>
      <w:r w:rsidR="002F0BD8" w:rsidRPr="00CA7971">
        <w:t xml:space="preserve"> </w:t>
      </w:r>
      <w:r w:rsidR="00194C83">
        <w:t>2014</w:t>
      </w:r>
    </w:p>
    <w:p w:rsidR="00BA4F48" w:rsidRPr="00CA7971" w:rsidRDefault="00BA4F48" w:rsidP="00BA4F48">
      <w:pPr>
        <w:tabs>
          <w:tab w:val="left" w:pos="900"/>
        </w:tabs>
      </w:pPr>
    </w:p>
    <w:p w:rsidR="00BA4F48" w:rsidRPr="00CA7971" w:rsidRDefault="00BA4F48" w:rsidP="0028346B">
      <w:pPr>
        <w:tabs>
          <w:tab w:val="left" w:pos="900"/>
        </w:tabs>
      </w:pPr>
    </w:p>
    <w:p w:rsidR="00BA4F48" w:rsidRPr="00CA7971" w:rsidRDefault="00A27335" w:rsidP="00BA4F48">
      <w:pPr>
        <w:tabs>
          <w:tab w:val="left" w:pos="900"/>
        </w:tabs>
        <w:jc w:val="center"/>
        <w:rPr>
          <w:b/>
        </w:rPr>
      </w:pPr>
      <w:r w:rsidRPr="00CA7971">
        <w:rPr>
          <w:b/>
        </w:rPr>
        <w:br w:type="page"/>
      </w:r>
      <w:r w:rsidR="00BA4F48" w:rsidRPr="00CA7971">
        <w:rPr>
          <w:b/>
        </w:rPr>
        <w:lastRenderedPageBreak/>
        <w:t>CONTENTS</w:t>
      </w:r>
    </w:p>
    <w:p w:rsidR="00BA4F48" w:rsidRPr="00CA7971" w:rsidRDefault="00BA4F48" w:rsidP="00BA4F48">
      <w:pPr>
        <w:tabs>
          <w:tab w:val="left" w:pos="900"/>
        </w:tabs>
        <w:rPr>
          <w:b/>
        </w:rPr>
      </w:pPr>
    </w:p>
    <w:p w:rsidR="00AA3C7B" w:rsidRDefault="00D650FB">
      <w:pPr>
        <w:pStyle w:val="TOC1"/>
        <w:rPr>
          <w:rFonts w:asciiTheme="minorHAnsi" w:eastAsiaTheme="minorEastAsia" w:hAnsiTheme="minorHAnsi" w:cstheme="minorBidi"/>
          <w:caps w:val="0"/>
          <w:noProof/>
          <w:sz w:val="22"/>
          <w:szCs w:val="22"/>
        </w:rPr>
      </w:pPr>
      <w:r>
        <w:fldChar w:fldCharType="begin"/>
      </w:r>
      <w:r>
        <w:instrText xml:space="preserve"> TOC \f \h \z \t "Main Headding,1,Sub section,2" </w:instrText>
      </w:r>
      <w:r>
        <w:fldChar w:fldCharType="separate"/>
      </w:r>
      <w:hyperlink w:anchor="_Toc398125169" w:history="1">
        <w:r w:rsidR="00AA3C7B" w:rsidRPr="007822E4">
          <w:rPr>
            <w:rStyle w:val="Hyperlink"/>
            <w:noProof/>
          </w:rPr>
          <w:t>1.</w:t>
        </w:r>
        <w:r w:rsidR="00AA3C7B">
          <w:rPr>
            <w:rFonts w:asciiTheme="minorHAnsi" w:eastAsiaTheme="minorEastAsia" w:hAnsiTheme="minorHAnsi" w:cstheme="minorBidi"/>
            <w:caps w:val="0"/>
            <w:noProof/>
            <w:sz w:val="22"/>
            <w:szCs w:val="22"/>
          </w:rPr>
          <w:tab/>
        </w:r>
        <w:r w:rsidR="00AA3C7B" w:rsidRPr="007822E4">
          <w:rPr>
            <w:rStyle w:val="Hyperlink"/>
            <w:noProof/>
          </w:rPr>
          <w:t>legislative context</w:t>
        </w:r>
        <w:r w:rsidR="00AA3C7B">
          <w:rPr>
            <w:noProof/>
            <w:webHidden/>
          </w:rPr>
          <w:tab/>
        </w:r>
        <w:r w:rsidR="00AA3C7B">
          <w:rPr>
            <w:noProof/>
            <w:webHidden/>
          </w:rPr>
          <w:fldChar w:fldCharType="begin"/>
        </w:r>
        <w:r w:rsidR="00AA3C7B">
          <w:rPr>
            <w:noProof/>
            <w:webHidden/>
          </w:rPr>
          <w:instrText xml:space="preserve"> PAGEREF _Toc398125169 \h </w:instrText>
        </w:r>
        <w:r w:rsidR="00AA3C7B">
          <w:rPr>
            <w:noProof/>
            <w:webHidden/>
          </w:rPr>
        </w:r>
        <w:r w:rsidR="00AA3C7B">
          <w:rPr>
            <w:noProof/>
            <w:webHidden/>
          </w:rPr>
          <w:fldChar w:fldCharType="separate"/>
        </w:r>
        <w:r w:rsidR="00A477DC">
          <w:rPr>
            <w:noProof/>
            <w:webHidden/>
          </w:rPr>
          <w:t>3</w:t>
        </w:r>
        <w:r w:rsidR="00AA3C7B">
          <w:rPr>
            <w:noProof/>
            <w:webHidden/>
          </w:rPr>
          <w:fldChar w:fldCharType="end"/>
        </w:r>
      </w:hyperlink>
    </w:p>
    <w:p w:rsidR="00AA3C7B" w:rsidRDefault="00F249CE">
      <w:pPr>
        <w:pStyle w:val="TOC1"/>
        <w:rPr>
          <w:rFonts w:asciiTheme="minorHAnsi" w:eastAsiaTheme="minorEastAsia" w:hAnsiTheme="minorHAnsi" w:cstheme="minorBidi"/>
          <w:caps w:val="0"/>
          <w:noProof/>
          <w:sz w:val="22"/>
          <w:szCs w:val="22"/>
        </w:rPr>
      </w:pPr>
      <w:hyperlink w:anchor="_Toc398125170" w:history="1">
        <w:r w:rsidR="00AA3C7B" w:rsidRPr="007822E4">
          <w:rPr>
            <w:rStyle w:val="Hyperlink"/>
            <w:rFonts w:cs="Arial"/>
            <w:noProof/>
          </w:rPr>
          <w:t>2.</w:t>
        </w:r>
        <w:r w:rsidR="00AA3C7B">
          <w:rPr>
            <w:rFonts w:asciiTheme="minorHAnsi" w:eastAsiaTheme="minorEastAsia" w:hAnsiTheme="minorHAnsi" w:cstheme="minorBidi"/>
            <w:caps w:val="0"/>
            <w:noProof/>
            <w:sz w:val="22"/>
            <w:szCs w:val="22"/>
          </w:rPr>
          <w:tab/>
        </w:r>
        <w:r w:rsidR="00AA3C7B" w:rsidRPr="007822E4">
          <w:rPr>
            <w:rStyle w:val="Hyperlink"/>
            <w:noProof/>
          </w:rPr>
          <w:t>content and effect of ADR 14/02 – Rear vision mirrors</w:t>
        </w:r>
        <w:r w:rsidR="00AA3C7B">
          <w:rPr>
            <w:noProof/>
            <w:webHidden/>
          </w:rPr>
          <w:tab/>
        </w:r>
        <w:r w:rsidR="00AA3C7B">
          <w:rPr>
            <w:noProof/>
            <w:webHidden/>
          </w:rPr>
          <w:fldChar w:fldCharType="begin"/>
        </w:r>
        <w:r w:rsidR="00AA3C7B">
          <w:rPr>
            <w:noProof/>
            <w:webHidden/>
          </w:rPr>
          <w:instrText xml:space="preserve"> PAGEREF _Toc398125170 \h </w:instrText>
        </w:r>
        <w:r w:rsidR="00AA3C7B">
          <w:rPr>
            <w:noProof/>
            <w:webHidden/>
          </w:rPr>
        </w:r>
        <w:r w:rsidR="00AA3C7B">
          <w:rPr>
            <w:noProof/>
            <w:webHidden/>
          </w:rPr>
          <w:fldChar w:fldCharType="separate"/>
        </w:r>
        <w:r w:rsidR="00A477DC">
          <w:rPr>
            <w:noProof/>
            <w:webHidden/>
          </w:rPr>
          <w:t>3</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71" w:history="1">
        <w:r w:rsidR="00AA3C7B" w:rsidRPr="007822E4">
          <w:rPr>
            <w:rStyle w:val="Hyperlink"/>
            <w:noProof/>
          </w:rPr>
          <w:t>2.1.</w:t>
        </w:r>
        <w:r w:rsidR="00AA3C7B">
          <w:rPr>
            <w:rFonts w:asciiTheme="minorHAnsi" w:eastAsiaTheme="minorEastAsia" w:hAnsiTheme="minorHAnsi" w:cstheme="minorBidi"/>
            <w:noProof/>
            <w:sz w:val="22"/>
            <w:szCs w:val="22"/>
          </w:rPr>
          <w:tab/>
        </w:r>
        <w:r w:rsidR="00AA3C7B" w:rsidRPr="007822E4">
          <w:rPr>
            <w:rStyle w:val="Hyperlink"/>
            <w:noProof/>
          </w:rPr>
          <w:t>Overview of the ADR</w:t>
        </w:r>
        <w:r w:rsidR="00AA3C7B">
          <w:rPr>
            <w:noProof/>
            <w:webHidden/>
          </w:rPr>
          <w:tab/>
        </w:r>
        <w:r w:rsidR="00AA3C7B">
          <w:rPr>
            <w:noProof/>
            <w:webHidden/>
          </w:rPr>
          <w:fldChar w:fldCharType="begin"/>
        </w:r>
        <w:r w:rsidR="00AA3C7B">
          <w:rPr>
            <w:noProof/>
            <w:webHidden/>
          </w:rPr>
          <w:instrText xml:space="preserve"> PAGEREF _Toc398125171 \h </w:instrText>
        </w:r>
        <w:r w:rsidR="00AA3C7B">
          <w:rPr>
            <w:noProof/>
            <w:webHidden/>
          </w:rPr>
        </w:r>
        <w:r w:rsidR="00AA3C7B">
          <w:rPr>
            <w:noProof/>
            <w:webHidden/>
          </w:rPr>
          <w:fldChar w:fldCharType="separate"/>
        </w:r>
        <w:r w:rsidR="00A477DC">
          <w:rPr>
            <w:noProof/>
            <w:webHidden/>
          </w:rPr>
          <w:t>3</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72" w:history="1">
        <w:r w:rsidR="00AA3C7B" w:rsidRPr="007822E4">
          <w:rPr>
            <w:rStyle w:val="Hyperlink"/>
            <w:noProof/>
          </w:rPr>
          <w:t>2.2.</w:t>
        </w:r>
        <w:r w:rsidR="00AA3C7B">
          <w:rPr>
            <w:rFonts w:asciiTheme="minorHAnsi" w:eastAsiaTheme="minorEastAsia" w:hAnsiTheme="minorHAnsi" w:cstheme="minorBidi"/>
            <w:noProof/>
            <w:sz w:val="22"/>
            <w:szCs w:val="22"/>
          </w:rPr>
          <w:tab/>
        </w:r>
        <w:r w:rsidR="00AA3C7B" w:rsidRPr="007822E4">
          <w:rPr>
            <w:rStyle w:val="Hyperlink"/>
            <w:noProof/>
          </w:rPr>
          <w:t>Effect of the ADR Amendment</w:t>
        </w:r>
        <w:r w:rsidR="00AA3C7B">
          <w:rPr>
            <w:noProof/>
            <w:webHidden/>
          </w:rPr>
          <w:tab/>
        </w:r>
        <w:r w:rsidR="00AA3C7B">
          <w:rPr>
            <w:noProof/>
            <w:webHidden/>
          </w:rPr>
          <w:fldChar w:fldCharType="begin"/>
        </w:r>
        <w:r w:rsidR="00AA3C7B">
          <w:rPr>
            <w:noProof/>
            <w:webHidden/>
          </w:rPr>
          <w:instrText xml:space="preserve"> PAGEREF _Toc398125172 \h </w:instrText>
        </w:r>
        <w:r w:rsidR="00AA3C7B">
          <w:rPr>
            <w:noProof/>
            <w:webHidden/>
          </w:rPr>
        </w:r>
        <w:r w:rsidR="00AA3C7B">
          <w:rPr>
            <w:noProof/>
            <w:webHidden/>
          </w:rPr>
          <w:fldChar w:fldCharType="separate"/>
        </w:r>
        <w:r w:rsidR="00A477DC">
          <w:rPr>
            <w:noProof/>
            <w:webHidden/>
          </w:rPr>
          <w:t>3</w:t>
        </w:r>
        <w:r w:rsidR="00AA3C7B">
          <w:rPr>
            <w:noProof/>
            <w:webHidden/>
          </w:rPr>
          <w:fldChar w:fldCharType="end"/>
        </w:r>
      </w:hyperlink>
    </w:p>
    <w:p w:rsidR="00AA3C7B" w:rsidRDefault="00F249CE">
      <w:pPr>
        <w:pStyle w:val="TOC1"/>
        <w:rPr>
          <w:rFonts w:asciiTheme="minorHAnsi" w:eastAsiaTheme="minorEastAsia" w:hAnsiTheme="minorHAnsi" w:cstheme="minorBidi"/>
          <w:caps w:val="0"/>
          <w:noProof/>
          <w:sz w:val="22"/>
          <w:szCs w:val="22"/>
        </w:rPr>
      </w:pPr>
      <w:hyperlink w:anchor="_Toc398125173" w:history="1">
        <w:r w:rsidR="00AA3C7B" w:rsidRPr="007822E4">
          <w:rPr>
            <w:rStyle w:val="Hyperlink"/>
            <w:noProof/>
          </w:rPr>
          <w:t>3.</w:t>
        </w:r>
        <w:r w:rsidR="00AA3C7B">
          <w:rPr>
            <w:rFonts w:asciiTheme="minorHAnsi" w:eastAsiaTheme="minorEastAsia" w:hAnsiTheme="minorHAnsi" w:cstheme="minorBidi"/>
            <w:caps w:val="0"/>
            <w:noProof/>
            <w:sz w:val="22"/>
            <w:szCs w:val="22"/>
          </w:rPr>
          <w:tab/>
        </w:r>
        <w:r w:rsidR="00AA3C7B" w:rsidRPr="007822E4">
          <w:rPr>
            <w:rStyle w:val="Hyperlink"/>
            <w:noProof/>
          </w:rPr>
          <w:t>best practice regulation</w:t>
        </w:r>
        <w:r w:rsidR="00AA3C7B">
          <w:rPr>
            <w:noProof/>
            <w:webHidden/>
          </w:rPr>
          <w:tab/>
        </w:r>
        <w:r w:rsidR="00AA3C7B">
          <w:rPr>
            <w:noProof/>
            <w:webHidden/>
          </w:rPr>
          <w:fldChar w:fldCharType="begin"/>
        </w:r>
        <w:r w:rsidR="00AA3C7B">
          <w:rPr>
            <w:noProof/>
            <w:webHidden/>
          </w:rPr>
          <w:instrText xml:space="preserve"> PAGEREF _Toc398125173 \h </w:instrText>
        </w:r>
        <w:r w:rsidR="00AA3C7B">
          <w:rPr>
            <w:noProof/>
            <w:webHidden/>
          </w:rPr>
        </w:r>
        <w:r w:rsidR="00AA3C7B">
          <w:rPr>
            <w:noProof/>
            <w:webHidden/>
          </w:rPr>
          <w:fldChar w:fldCharType="separate"/>
        </w:r>
        <w:r w:rsidR="00A477DC">
          <w:rPr>
            <w:noProof/>
            <w:webHidden/>
          </w:rPr>
          <w:t>5</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74" w:history="1">
        <w:r w:rsidR="00AA3C7B" w:rsidRPr="007822E4">
          <w:rPr>
            <w:rStyle w:val="Hyperlink"/>
            <w:noProof/>
          </w:rPr>
          <w:t>3.1.</w:t>
        </w:r>
        <w:r w:rsidR="00AA3C7B">
          <w:rPr>
            <w:rFonts w:asciiTheme="minorHAnsi" w:eastAsiaTheme="minorEastAsia" w:hAnsiTheme="minorHAnsi" w:cstheme="minorBidi"/>
            <w:noProof/>
            <w:sz w:val="22"/>
            <w:szCs w:val="22"/>
          </w:rPr>
          <w:tab/>
        </w:r>
        <w:r w:rsidR="00AA3C7B" w:rsidRPr="007822E4">
          <w:rPr>
            <w:rStyle w:val="Hyperlink"/>
            <w:noProof/>
          </w:rPr>
          <w:t>Business Cost Calculator</w:t>
        </w:r>
        <w:r w:rsidR="00AA3C7B">
          <w:rPr>
            <w:noProof/>
            <w:webHidden/>
          </w:rPr>
          <w:tab/>
        </w:r>
        <w:r w:rsidR="00AA3C7B">
          <w:rPr>
            <w:noProof/>
            <w:webHidden/>
          </w:rPr>
          <w:fldChar w:fldCharType="begin"/>
        </w:r>
        <w:r w:rsidR="00AA3C7B">
          <w:rPr>
            <w:noProof/>
            <w:webHidden/>
          </w:rPr>
          <w:instrText xml:space="preserve"> PAGEREF _Toc398125174 \h </w:instrText>
        </w:r>
        <w:r w:rsidR="00AA3C7B">
          <w:rPr>
            <w:noProof/>
            <w:webHidden/>
          </w:rPr>
        </w:r>
        <w:r w:rsidR="00AA3C7B">
          <w:rPr>
            <w:noProof/>
            <w:webHidden/>
          </w:rPr>
          <w:fldChar w:fldCharType="separate"/>
        </w:r>
        <w:r w:rsidR="00A477DC">
          <w:rPr>
            <w:noProof/>
            <w:webHidden/>
          </w:rPr>
          <w:t>5</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75" w:history="1">
        <w:r w:rsidR="00AA3C7B" w:rsidRPr="007822E4">
          <w:rPr>
            <w:rStyle w:val="Hyperlink"/>
            <w:noProof/>
          </w:rPr>
          <w:t>3.2.</w:t>
        </w:r>
        <w:r w:rsidR="00AA3C7B">
          <w:rPr>
            <w:rFonts w:asciiTheme="minorHAnsi" w:eastAsiaTheme="minorEastAsia" w:hAnsiTheme="minorHAnsi" w:cstheme="minorBidi"/>
            <w:noProof/>
            <w:sz w:val="22"/>
            <w:szCs w:val="22"/>
          </w:rPr>
          <w:tab/>
        </w:r>
        <w:r w:rsidR="00AA3C7B" w:rsidRPr="007822E4">
          <w:rPr>
            <w:rStyle w:val="Hyperlink"/>
            <w:noProof/>
          </w:rPr>
          <w:t>General Consultation Arrangements</w:t>
        </w:r>
        <w:r w:rsidR="00AA3C7B">
          <w:rPr>
            <w:noProof/>
            <w:webHidden/>
          </w:rPr>
          <w:tab/>
        </w:r>
        <w:r w:rsidR="00AA3C7B">
          <w:rPr>
            <w:noProof/>
            <w:webHidden/>
          </w:rPr>
          <w:fldChar w:fldCharType="begin"/>
        </w:r>
        <w:r w:rsidR="00AA3C7B">
          <w:rPr>
            <w:noProof/>
            <w:webHidden/>
          </w:rPr>
          <w:instrText xml:space="preserve"> PAGEREF _Toc398125175 \h </w:instrText>
        </w:r>
        <w:r w:rsidR="00AA3C7B">
          <w:rPr>
            <w:noProof/>
            <w:webHidden/>
          </w:rPr>
        </w:r>
        <w:r w:rsidR="00AA3C7B">
          <w:rPr>
            <w:noProof/>
            <w:webHidden/>
          </w:rPr>
          <w:fldChar w:fldCharType="separate"/>
        </w:r>
        <w:r w:rsidR="00A477DC">
          <w:rPr>
            <w:noProof/>
            <w:webHidden/>
          </w:rPr>
          <w:t>5</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76" w:history="1">
        <w:r w:rsidR="00AA3C7B" w:rsidRPr="007822E4">
          <w:rPr>
            <w:rStyle w:val="Hyperlink"/>
            <w:noProof/>
          </w:rPr>
          <w:t>3.3.</w:t>
        </w:r>
        <w:r w:rsidR="00AA3C7B">
          <w:rPr>
            <w:rFonts w:asciiTheme="minorHAnsi" w:eastAsiaTheme="minorEastAsia" w:hAnsiTheme="minorHAnsi" w:cstheme="minorBidi"/>
            <w:noProof/>
            <w:sz w:val="22"/>
            <w:szCs w:val="22"/>
          </w:rPr>
          <w:tab/>
        </w:r>
        <w:r w:rsidR="00AA3C7B" w:rsidRPr="007822E4">
          <w:rPr>
            <w:rStyle w:val="Hyperlink"/>
            <w:noProof/>
          </w:rPr>
          <w:t>Specific Consultation Arrangements for this Vehicle Standard</w:t>
        </w:r>
        <w:r w:rsidR="00AA3C7B">
          <w:rPr>
            <w:noProof/>
            <w:webHidden/>
          </w:rPr>
          <w:tab/>
        </w:r>
        <w:r w:rsidR="00AA3C7B">
          <w:rPr>
            <w:noProof/>
            <w:webHidden/>
          </w:rPr>
          <w:fldChar w:fldCharType="begin"/>
        </w:r>
        <w:r w:rsidR="00AA3C7B">
          <w:rPr>
            <w:noProof/>
            <w:webHidden/>
          </w:rPr>
          <w:instrText xml:space="preserve"> PAGEREF _Toc398125176 \h </w:instrText>
        </w:r>
        <w:r w:rsidR="00AA3C7B">
          <w:rPr>
            <w:noProof/>
            <w:webHidden/>
          </w:rPr>
        </w:r>
        <w:r w:rsidR="00AA3C7B">
          <w:rPr>
            <w:noProof/>
            <w:webHidden/>
          </w:rPr>
          <w:fldChar w:fldCharType="separate"/>
        </w:r>
        <w:r w:rsidR="00A477DC">
          <w:rPr>
            <w:noProof/>
            <w:webHidden/>
          </w:rPr>
          <w:t>6</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77" w:history="1">
        <w:r w:rsidR="00AA3C7B" w:rsidRPr="007822E4">
          <w:rPr>
            <w:rStyle w:val="Hyperlink"/>
            <w:noProof/>
          </w:rPr>
          <w:t>3.4.</w:t>
        </w:r>
        <w:r w:rsidR="00AA3C7B">
          <w:rPr>
            <w:rFonts w:asciiTheme="minorHAnsi" w:eastAsiaTheme="minorEastAsia" w:hAnsiTheme="minorHAnsi" w:cstheme="minorBidi"/>
            <w:noProof/>
            <w:sz w:val="22"/>
            <w:szCs w:val="22"/>
          </w:rPr>
          <w:tab/>
        </w:r>
        <w:r w:rsidR="00AA3C7B" w:rsidRPr="007822E4">
          <w:rPr>
            <w:rStyle w:val="Hyperlink"/>
            <w:noProof/>
          </w:rPr>
          <w:t>Regulation Impact Statement</w:t>
        </w:r>
        <w:r w:rsidR="00AA3C7B">
          <w:rPr>
            <w:noProof/>
            <w:webHidden/>
          </w:rPr>
          <w:tab/>
        </w:r>
        <w:r w:rsidR="00AA3C7B">
          <w:rPr>
            <w:noProof/>
            <w:webHidden/>
          </w:rPr>
          <w:fldChar w:fldCharType="begin"/>
        </w:r>
        <w:r w:rsidR="00AA3C7B">
          <w:rPr>
            <w:noProof/>
            <w:webHidden/>
          </w:rPr>
          <w:instrText xml:space="preserve"> PAGEREF _Toc398125177 \h </w:instrText>
        </w:r>
        <w:r w:rsidR="00AA3C7B">
          <w:rPr>
            <w:noProof/>
            <w:webHidden/>
          </w:rPr>
        </w:r>
        <w:r w:rsidR="00AA3C7B">
          <w:rPr>
            <w:noProof/>
            <w:webHidden/>
          </w:rPr>
          <w:fldChar w:fldCharType="separate"/>
        </w:r>
        <w:r w:rsidR="00A477DC">
          <w:rPr>
            <w:noProof/>
            <w:webHidden/>
          </w:rPr>
          <w:t>6</w:t>
        </w:r>
        <w:r w:rsidR="00AA3C7B">
          <w:rPr>
            <w:noProof/>
            <w:webHidden/>
          </w:rPr>
          <w:fldChar w:fldCharType="end"/>
        </w:r>
      </w:hyperlink>
    </w:p>
    <w:p w:rsidR="00AA3C7B" w:rsidRDefault="00F249CE">
      <w:pPr>
        <w:pStyle w:val="TOC1"/>
        <w:rPr>
          <w:rFonts w:asciiTheme="minorHAnsi" w:eastAsiaTheme="minorEastAsia" w:hAnsiTheme="minorHAnsi" w:cstheme="minorBidi"/>
          <w:caps w:val="0"/>
          <w:noProof/>
          <w:sz w:val="22"/>
          <w:szCs w:val="22"/>
        </w:rPr>
      </w:pPr>
      <w:hyperlink w:anchor="_Toc398125178" w:history="1">
        <w:r w:rsidR="00AA3C7B" w:rsidRPr="007822E4">
          <w:rPr>
            <w:rStyle w:val="Hyperlink"/>
            <w:noProof/>
          </w:rPr>
          <w:t>4.</w:t>
        </w:r>
        <w:r w:rsidR="00AA3C7B">
          <w:rPr>
            <w:rFonts w:asciiTheme="minorHAnsi" w:eastAsiaTheme="minorEastAsia" w:hAnsiTheme="minorHAnsi" w:cstheme="minorBidi"/>
            <w:caps w:val="0"/>
            <w:noProof/>
            <w:sz w:val="22"/>
            <w:szCs w:val="22"/>
          </w:rPr>
          <w:tab/>
        </w:r>
        <w:r w:rsidR="00AA3C7B" w:rsidRPr="007822E4">
          <w:rPr>
            <w:rStyle w:val="Hyperlink"/>
            <w:noProof/>
          </w:rPr>
          <w:t>STATEMENT OF COMPATIBILITY WITH HUMAN RIGHTS</w:t>
        </w:r>
        <w:r w:rsidR="00AA3C7B">
          <w:rPr>
            <w:noProof/>
            <w:webHidden/>
          </w:rPr>
          <w:tab/>
        </w:r>
        <w:r w:rsidR="00AA3C7B">
          <w:rPr>
            <w:noProof/>
            <w:webHidden/>
          </w:rPr>
          <w:fldChar w:fldCharType="begin"/>
        </w:r>
        <w:r w:rsidR="00AA3C7B">
          <w:rPr>
            <w:noProof/>
            <w:webHidden/>
          </w:rPr>
          <w:instrText xml:space="preserve"> PAGEREF _Toc398125178 \h </w:instrText>
        </w:r>
        <w:r w:rsidR="00AA3C7B">
          <w:rPr>
            <w:noProof/>
            <w:webHidden/>
          </w:rPr>
        </w:r>
        <w:r w:rsidR="00AA3C7B">
          <w:rPr>
            <w:noProof/>
            <w:webHidden/>
          </w:rPr>
          <w:fldChar w:fldCharType="separate"/>
        </w:r>
        <w:r w:rsidR="00A477DC">
          <w:rPr>
            <w:noProof/>
            <w:webHidden/>
          </w:rPr>
          <w:t>6</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79" w:history="1">
        <w:r w:rsidR="00AA3C7B" w:rsidRPr="007822E4">
          <w:rPr>
            <w:rStyle w:val="Hyperlink"/>
            <w:noProof/>
          </w:rPr>
          <w:t>4.1.</w:t>
        </w:r>
        <w:r w:rsidR="00AA3C7B">
          <w:rPr>
            <w:rFonts w:asciiTheme="minorHAnsi" w:eastAsiaTheme="minorEastAsia" w:hAnsiTheme="minorHAnsi" w:cstheme="minorBidi"/>
            <w:noProof/>
            <w:sz w:val="22"/>
            <w:szCs w:val="22"/>
          </w:rPr>
          <w:tab/>
        </w:r>
        <w:r w:rsidR="00AA3C7B" w:rsidRPr="007822E4">
          <w:rPr>
            <w:rStyle w:val="Hyperlink"/>
            <w:noProof/>
          </w:rPr>
          <w:t>Overview of the Legislative Instrument</w:t>
        </w:r>
        <w:r w:rsidR="00AA3C7B">
          <w:rPr>
            <w:noProof/>
            <w:webHidden/>
          </w:rPr>
          <w:tab/>
        </w:r>
        <w:r w:rsidR="00AA3C7B">
          <w:rPr>
            <w:noProof/>
            <w:webHidden/>
          </w:rPr>
          <w:fldChar w:fldCharType="begin"/>
        </w:r>
        <w:r w:rsidR="00AA3C7B">
          <w:rPr>
            <w:noProof/>
            <w:webHidden/>
          </w:rPr>
          <w:instrText xml:space="preserve"> PAGEREF _Toc398125179 \h </w:instrText>
        </w:r>
        <w:r w:rsidR="00AA3C7B">
          <w:rPr>
            <w:noProof/>
            <w:webHidden/>
          </w:rPr>
        </w:r>
        <w:r w:rsidR="00AA3C7B">
          <w:rPr>
            <w:noProof/>
            <w:webHidden/>
          </w:rPr>
          <w:fldChar w:fldCharType="separate"/>
        </w:r>
        <w:r w:rsidR="00A477DC">
          <w:rPr>
            <w:noProof/>
            <w:webHidden/>
          </w:rPr>
          <w:t>6</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80" w:history="1">
        <w:r w:rsidR="00AA3C7B" w:rsidRPr="007822E4">
          <w:rPr>
            <w:rStyle w:val="Hyperlink"/>
            <w:noProof/>
          </w:rPr>
          <w:t>4.2.</w:t>
        </w:r>
        <w:r w:rsidR="00AA3C7B">
          <w:rPr>
            <w:rFonts w:asciiTheme="minorHAnsi" w:eastAsiaTheme="minorEastAsia" w:hAnsiTheme="minorHAnsi" w:cstheme="minorBidi"/>
            <w:noProof/>
            <w:sz w:val="22"/>
            <w:szCs w:val="22"/>
          </w:rPr>
          <w:tab/>
        </w:r>
        <w:r w:rsidR="00AA3C7B" w:rsidRPr="007822E4">
          <w:rPr>
            <w:rStyle w:val="Hyperlink"/>
            <w:noProof/>
          </w:rPr>
          <w:t>Human Rights Implications</w:t>
        </w:r>
        <w:r w:rsidR="00AA3C7B">
          <w:rPr>
            <w:noProof/>
            <w:webHidden/>
          </w:rPr>
          <w:tab/>
        </w:r>
        <w:r w:rsidR="00AA3C7B">
          <w:rPr>
            <w:noProof/>
            <w:webHidden/>
          </w:rPr>
          <w:fldChar w:fldCharType="begin"/>
        </w:r>
        <w:r w:rsidR="00AA3C7B">
          <w:rPr>
            <w:noProof/>
            <w:webHidden/>
          </w:rPr>
          <w:instrText xml:space="preserve"> PAGEREF _Toc398125180 \h </w:instrText>
        </w:r>
        <w:r w:rsidR="00AA3C7B">
          <w:rPr>
            <w:noProof/>
            <w:webHidden/>
          </w:rPr>
        </w:r>
        <w:r w:rsidR="00AA3C7B">
          <w:rPr>
            <w:noProof/>
            <w:webHidden/>
          </w:rPr>
          <w:fldChar w:fldCharType="separate"/>
        </w:r>
        <w:r w:rsidR="00A477DC">
          <w:rPr>
            <w:noProof/>
            <w:webHidden/>
          </w:rPr>
          <w:t>6</w:t>
        </w:r>
        <w:r w:rsidR="00AA3C7B">
          <w:rPr>
            <w:noProof/>
            <w:webHidden/>
          </w:rPr>
          <w:fldChar w:fldCharType="end"/>
        </w:r>
      </w:hyperlink>
    </w:p>
    <w:p w:rsidR="00AA3C7B" w:rsidRDefault="00F249CE">
      <w:pPr>
        <w:pStyle w:val="TOC2"/>
        <w:tabs>
          <w:tab w:val="left" w:pos="851"/>
          <w:tab w:val="right" w:leader="dot" w:pos="8302"/>
        </w:tabs>
        <w:rPr>
          <w:rFonts w:asciiTheme="minorHAnsi" w:eastAsiaTheme="minorEastAsia" w:hAnsiTheme="minorHAnsi" w:cstheme="minorBidi"/>
          <w:noProof/>
          <w:sz w:val="22"/>
          <w:szCs w:val="22"/>
        </w:rPr>
      </w:pPr>
      <w:hyperlink w:anchor="_Toc398125181" w:history="1">
        <w:r w:rsidR="00AA3C7B" w:rsidRPr="007822E4">
          <w:rPr>
            <w:rStyle w:val="Hyperlink"/>
            <w:noProof/>
          </w:rPr>
          <w:t>4.3.</w:t>
        </w:r>
        <w:r w:rsidR="00AA3C7B">
          <w:rPr>
            <w:rFonts w:asciiTheme="minorHAnsi" w:eastAsiaTheme="minorEastAsia" w:hAnsiTheme="minorHAnsi" w:cstheme="minorBidi"/>
            <w:noProof/>
            <w:sz w:val="22"/>
            <w:szCs w:val="22"/>
          </w:rPr>
          <w:tab/>
        </w:r>
        <w:r w:rsidR="00AA3C7B" w:rsidRPr="007822E4">
          <w:rPr>
            <w:rStyle w:val="Hyperlink"/>
            <w:noProof/>
          </w:rPr>
          <w:t>Conclusion</w:t>
        </w:r>
        <w:r w:rsidR="00AA3C7B">
          <w:rPr>
            <w:noProof/>
            <w:webHidden/>
          </w:rPr>
          <w:tab/>
        </w:r>
        <w:r w:rsidR="00AA3C7B">
          <w:rPr>
            <w:noProof/>
            <w:webHidden/>
          </w:rPr>
          <w:fldChar w:fldCharType="begin"/>
        </w:r>
        <w:r w:rsidR="00AA3C7B">
          <w:rPr>
            <w:noProof/>
            <w:webHidden/>
          </w:rPr>
          <w:instrText xml:space="preserve"> PAGEREF _Toc398125181 \h </w:instrText>
        </w:r>
        <w:r w:rsidR="00AA3C7B">
          <w:rPr>
            <w:noProof/>
            <w:webHidden/>
          </w:rPr>
        </w:r>
        <w:r w:rsidR="00AA3C7B">
          <w:rPr>
            <w:noProof/>
            <w:webHidden/>
          </w:rPr>
          <w:fldChar w:fldCharType="separate"/>
        </w:r>
        <w:r w:rsidR="00A477DC">
          <w:rPr>
            <w:noProof/>
            <w:webHidden/>
          </w:rPr>
          <w:t>6</w:t>
        </w:r>
        <w:r w:rsidR="00AA3C7B">
          <w:rPr>
            <w:noProof/>
            <w:webHidden/>
          </w:rPr>
          <w:fldChar w:fldCharType="end"/>
        </w:r>
      </w:hyperlink>
    </w:p>
    <w:p w:rsidR="00BA4F48" w:rsidRPr="00CA7971" w:rsidRDefault="00D650FB" w:rsidP="008D1860">
      <w:pPr>
        <w:tabs>
          <w:tab w:val="left" w:pos="900"/>
          <w:tab w:val="right" w:leader="dot" w:pos="8222"/>
        </w:tabs>
      </w:pPr>
      <w:r>
        <w:fldChar w:fldCharType="end"/>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C56213">
      <w:pPr>
        <w:tabs>
          <w:tab w:val="left" w:pos="222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pStyle w:val="MainHeadding"/>
        <w:tabs>
          <w:tab w:val="left" w:pos="900"/>
        </w:tabs>
      </w:pPr>
      <w:r w:rsidRPr="00CA7971">
        <w:rPr>
          <w:color w:val="3366FF"/>
        </w:rPr>
        <w:br w:type="page"/>
      </w:r>
      <w:bookmarkStart w:id="0" w:name="_Toc167864611"/>
      <w:bookmarkStart w:id="1" w:name="_Toc390430612"/>
      <w:bookmarkStart w:id="2" w:name="_Toc398125169"/>
      <w:r w:rsidRPr="00CA7971">
        <w:lastRenderedPageBreak/>
        <w:t>legislative context</w:t>
      </w:r>
      <w:bookmarkEnd w:id="0"/>
      <w:bookmarkEnd w:id="1"/>
      <w:bookmarkEnd w:id="2"/>
    </w:p>
    <w:p w:rsidR="003F01D5" w:rsidRPr="00CA7971" w:rsidRDefault="00EC6915" w:rsidP="003F01D5">
      <w:pPr>
        <w:spacing w:after="240"/>
        <w:rPr>
          <w:rFonts w:cs="Arial"/>
          <w:i/>
        </w:rPr>
      </w:pPr>
      <w:r w:rsidRPr="00B97E32">
        <w:rPr>
          <w:rFonts w:cs="Arial"/>
        </w:rPr>
        <w:t>Vehicle Standard (</w:t>
      </w:r>
      <w:r w:rsidR="00F74E8C" w:rsidRPr="00B97E32">
        <w:rPr>
          <w:rFonts w:cs="Arial"/>
        </w:rPr>
        <w:t>Australian Design Rule </w:t>
      </w:r>
      <w:r w:rsidR="00A8189D">
        <w:rPr>
          <w:rFonts w:cs="Arial"/>
        </w:rPr>
        <w:t>14/02</w:t>
      </w:r>
      <w:r w:rsidRPr="00B97E32">
        <w:rPr>
          <w:rFonts w:cs="Arial"/>
        </w:rPr>
        <w:t xml:space="preserve"> – </w:t>
      </w:r>
      <w:r w:rsidR="00A8189D">
        <w:rPr>
          <w:rFonts w:cs="Arial"/>
        </w:rPr>
        <w:t>Rear Vision Mirrors</w:t>
      </w:r>
      <w:r w:rsidRPr="00B97E32">
        <w:rPr>
          <w:rFonts w:cs="Arial"/>
        </w:rPr>
        <w:t>) 20</w:t>
      </w:r>
      <w:r w:rsidR="00A8189D">
        <w:rPr>
          <w:rFonts w:cs="Arial"/>
        </w:rPr>
        <w:t>06</w:t>
      </w:r>
      <w:r w:rsidR="003A37E6">
        <w:rPr>
          <w:rFonts w:cs="Arial"/>
        </w:rPr>
        <w:t xml:space="preserve"> Amendment 1</w:t>
      </w:r>
      <w:r w:rsidRPr="00B97E32">
        <w:rPr>
          <w:rFonts w:cs="Arial"/>
        </w:rPr>
        <w:t xml:space="preserve"> </w:t>
      </w:r>
      <w:r w:rsidR="003F01D5" w:rsidRPr="00B97E32">
        <w:rPr>
          <w:rFonts w:cs="Arial"/>
        </w:rPr>
        <w:t>is</w:t>
      </w:r>
      <w:r w:rsidR="003F01D5" w:rsidRPr="00CA7971">
        <w:rPr>
          <w:rFonts w:cs="Arial"/>
        </w:rPr>
        <w:t xml:space="preserve"> made under the </w:t>
      </w:r>
      <w:r w:rsidR="003F01D5" w:rsidRPr="00CA7971">
        <w:rPr>
          <w:rFonts w:cs="Arial"/>
          <w:i/>
        </w:rPr>
        <w:t>Motor Vehicle Standards Act 1989</w:t>
      </w:r>
      <w:r w:rsidR="003F01D5" w:rsidRPr="00CA7971">
        <w:rPr>
          <w:rFonts w:cs="Arial"/>
        </w:rPr>
        <w:t xml:space="preserve"> (the Act).  </w:t>
      </w:r>
      <w:r w:rsidR="00373A7D" w:rsidRPr="00CA7971">
        <w:rPr>
          <w:rFonts w:cs="Arial"/>
        </w:rPr>
        <w:t>The Act enables the Australian Government to establish nationally uniform standards that apply to new road vehicles when they are first supplied to the market in Australia.  The Act applies to such vehicles whether they are manufactured in Australia or imported</w:t>
      </w:r>
      <w:r w:rsidR="003D7A8F">
        <w:rPr>
          <w:rFonts w:cs="Arial"/>
        </w:rPr>
        <w:t>.</w:t>
      </w:r>
    </w:p>
    <w:p w:rsidR="003F01D5" w:rsidRDefault="003F01D5" w:rsidP="003F01D5">
      <w:pPr>
        <w:pStyle w:val="StyledotArialLeft0cmFirstline0cmAfter12pt"/>
      </w:pPr>
      <w:r w:rsidRPr="00CA7971">
        <w:t>The making of the vehicle standards necessary for the Act's effective operation is provided for in section 7 which empowers the Minister to "determine vehicle standards for road vehicles or vehicle components".</w:t>
      </w:r>
    </w:p>
    <w:p w:rsidR="00EE2C80" w:rsidRPr="00CA7971" w:rsidRDefault="00EE2C80" w:rsidP="00EE2C80">
      <w:pPr>
        <w:pStyle w:val="StyledotArialLeft0cmFirstline0cmAfter12pt"/>
      </w:pPr>
      <w:r>
        <w:t>Vehicle Standard (Australian Design Rule 14/02 – Rear Vision Mirrors) 2006 (ADR 14/02) was originally determined in 2006.</w:t>
      </w:r>
    </w:p>
    <w:p w:rsidR="00BA4F48" w:rsidRPr="00CA7971" w:rsidRDefault="00BA4F48" w:rsidP="00BA4F48">
      <w:pPr>
        <w:pStyle w:val="MainHeadding"/>
        <w:rPr>
          <w:rFonts w:cs="Arial"/>
        </w:rPr>
      </w:pPr>
      <w:bookmarkStart w:id="3" w:name="_Toc167864612"/>
      <w:bookmarkStart w:id="4" w:name="_Toc390430613"/>
      <w:bookmarkStart w:id="5" w:name="_Toc398125170"/>
      <w:r w:rsidRPr="00CA7971">
        <w:t xml:space="preserve">content and effect of ADR </w:t>
      </w:r>
      <w:bookmarkEnd w:id="3"/>
      <w:r w:rsidR="00EE2C80">
        <w:t>14/02</w:t>
      </w:r>
      <w:r w:rsidR="003F01D5" w:rsidRPr="00CA7971">
        <w:t xml:space="preserve"> –</w:t>
      </w:r>
      <w:r w:rsidR="005B114C" w:rsidRPr="00CA7971">
        <w:t xml:space="preserve"> </w:t>
      </w:r>
      <w:r w:rsidR="00EE2C80">
        <w:t>Rear vision mirrors</w:t>
      </w:r>
      <w:bookmarkEnd w:id="4"/>
      <w:bookmarkEnd w:id="5"/>
      <w:r w:rsidR="00EE2C80">
        <w:t xml:space="preserve"> </w:t>
      </w:r>
    </w:p>
    <w:p w:rsidR="00BA4F48" w:rsidRPr="00CA7971" w:rsidRDefault="00BA4F48" w:rsidP="00BA4F48">
      <w:pPr>
        <w:pStyle w:val="Subsection"/>
      </w:pPr>
      <w:bookmarkStart w:id="6" w:name="_Toc167864613"/>
      <w:bookmarkStart w:id="7" w:name="_Toc390430614"/>
      <w:bookmarkStart w:id="8" w:name="_Toc398125171"/>
      <w:r w:rsidRPr="00CA7971">
        <w:t>Overview of the ADR</w:t>
      </w:r>
      <w:bookmarkEnd w:id="6"/>
      <w:bookmarkEnd w:id="7"/>
      <w:bookmarkEnd w:id="8"/>
    </w:p>
    <w:p w:rsidR="003F01D5" w:rsidRPr="00CA7971" w:rsidRDefault="00652448" w:rsidP="002F0BD8">
      <w:r>
        <w:t xml:space="preserve">The function of ADR 14/02 </w:t>
      </w:r>
      <w:r w:rsidR="003D7A8F">
        <w:t>is to specify requirements for devices that provide</w:t>
      </w:r>
      <w:r w:rsidR="003D7A8F" w:rsidRPr="003D7A8F">
        <w:t xml:space="preserve"> indirect vision such as rear vision mirrors or cameras. </w:t>
      </w:r>
      <w:r w:rsidR="002F0BD8" w:rsidRPr="002F0BD8">
        <w:t>Th</w:t>
      </w:r>
      <w:r w:rsidR="002F0BD8">
        <w:t>e</w:t>
      </w:r>
      <w:r w:rsidR="002F0BD8" w:rsidRPr="002F0BD8">
        <w:t xml:space="preserve"> </w:t>
      </w:r>
      <w:r w:rsidR="00EE2C80" w:rsidRPr="002F0BD8">
        <w:t>standard include</w:t>
      </w:r>
      <w:r w:rsidR="001D3682" w:rsidRPr="002F0BD8">
        <w:t>s</w:t>
      </w:r>
      <w:r w:rsidR="00EE2C80" w:rsidRPr="002F0BD8">
        <w:t xml:space="preserve"> the technical content of </w:t>
      </w:r>
      <w:r w:rsidR="00CE757E" w:rsidRPr="002F0BD8">
        <w:t xml:space="preserve">United </w:t>
      </w:r>
      <w:r w:rsidR="008205EF" w:rsidRPr="002F0BD8">
        <w:t>Nations (UN</w:t>
      </w:r>
      <w:r w:rsidR="00CE757E" w:rsidRPr="002F0BD8">
        <w:t xml:space="preserve">) </w:t>
      </w:r>
      <w:r w:rsidR="008205EF" w:rsidRPr="002F0BD8">
        <w:t>Regulation</w:t>
      </w:r>
      <w:r w:rsidR="00FE0A7B" w:rsidRPr="002F0BD8">
        <w:t xml:space="preserve"> </w:t>
      </w:r>
      <w:r w:rsidR="008205EF" w:rsidRPr="002F0BD8">
        <w:t>No.</w:t>
      </w:r>
      <w:r w:rsidR="002F0BD8">
        <w:t xml:space="preserve"> </w:t>
      </w:r>
      <w:r w:rsidR="00FE0A7B" w:rsidRPr="002F0BD8">
        <w:t xml:space="preserve">46 </w:t>
      </w:r>
      <w:r w:rsidR="008205EF" w:rsidRPr="002F0BD8">
        <w:t xml:space="preserve">(R 46) </w:t>
      </w:r>
      <w:r w:rsidR="00FE0A7B" w:rsidRPr="002F0BD8">
        <w:t>and R</w:t>
      </w:r>
      <w:r w:rsidR="008205EF" w:rsidRPr="002F0BD8">
        <w:t>egulation</w:t>
      </w:r>
      <w:r w:rsidR="00FE0A7B" w:rsidRPr="002F0BD8">
        <w:t xml:space="preserve"> </w:t>
      </w:r>
      <w:r w:rsidR="008205EF" w:rsidRPr="002F0BD8">
        <w:t>No.</w:t>
      </w:r>
      <w:r w:rsidR="002F0BD8">
        <w:t xml:space="preserve"> </w:t>
      </w:r>
      <w:r w:rsidR="00EE2C80" w:rsidRPr="002F0BD8">
        <w:t>81</w:t>
      </w:r>
      <w:r w:rsidR="008205EF" w:rsidRPr="002F0BD8">
        <w:t>(R 81)</w:t>
      </w:r>
      <w:r w:rsidR="002F0BD8">
        <w:t>.</w:t>
      </w:r>
    </w:p>
    <w:p w:rsidR="003F01D5" w:rsidRPr="00CA7971" w:rsidRDefault="003F01D5" w:rsidP="009231EC">
      <w:pPr>
        <w:pStyle w:val="Subsection"/>
      </w:pPr>
      <w:bookmarkStart w:id="9" w:name="_Toc167864614"/>
      <w:bookmarkStart w:id="10" w:name="_Toc390430615"/>
      <w:bookmarkStart w:id="11" w:name="_Toc398125172"/>
      <w:r w:rsidRPr="00CA7971">
        <w:t>Effect of</w:t>
      </w:r>
      <w:r w:rsidR="00BA4F48" w:rsidRPr="00CA7971">
        <w:t xml:space="preserve"> the ADR</w:t>
      </w:r>
      <w:bookmarkEnd w:id="9"/>
      <w:bookmarkEnd w:id="10"/>
      <w:r w:rsidR="006F2E05">
        <w:t xml:space="preserve"> Amendment</w:t>
      </w:r>
      <w:bookmarkEnd w:id="11"/>
    </w:p>
    <w:p w:rsidR="002F0BD8" w:rsidRDefault="00652448" w:rsidP="002F0BD8">
      <w:pPr>
        <w:pStyle w:val="StyledotArialLeft0cmFirstline0cmAfter12pt"/>
      </w:pPr>
      <w:bookmarkStart w:id="12" w:name="_Toc167864615"/>
      <w:r w:rsidRPr="00652448">
        <w:t xml:space="preserve">ADR 14/02 </w:t>
      </w:r>
      <w:r>
        <w:t>currently</w:t>
      </w:r>
      <w:r w:rsidR="00EE2C80">
        <w:t xml:space="preserve"> </w:t>
      </w:r>
      <w:r w:rsidR="002F0BD8">
        <w:t xml:space="preserve">incorporates technical content that is based on UN R 46/02 </w:t>
      </w:r>
      <w:r w:rsidR="005F58B0">
        <w:t xml:space="preserve">in Appendix A </w:t>
      </w:r>
      <w:r w:rsidR="002F0BD8">
        <w:t xml:space="preserve">and </w:t>
      </w:r>
      <w:r w:rsidR="005F58B0">
        <w:t xml:space="preserve">UN R </w:t>
      </w:r>
      <w:r w:rsidR="002F0BD8">
        <w:t xml:space="preserve">81/00 </w:t>
      </w:r>
      <w:r w:rsidR="005F58B0">
        <w:t xml:space="preserve">in Appendix B, </w:t>
      </w:r>
      <w:r w:rsidR="002F0BD8">
        <w:t xml:space="preserve">and </w:t>
      </w:r>
      <w:r w:rsidR="00EE2C80">
        <w:t>lists UN R</w:t>
      </w:r>
      <w:r w:rsidR="008205EF">
        <w:t xml:space="preserve"> 46</w:t>
      </w:r>
      <w:r w:rsidR="002F0BD8">
        <w:t>/02</w:t>
      </w:r>
      <w:r w:rsidR="005F43D7">
        <w:t xml:space="preserve"> and </w:t>
      </w:r>
      <w:r w:rsidR="00FE0A7B">
        <w:t xml:space="preserve">R </w:t>
      </w:r>
      <w:r w:rsidR="005F43D7">
        <w:t>81</w:t>
      </w:r>
      <w:r w:rsidR="002F0BD8">
        <w:t>/00</w:t>
      </w:r>
      <w:r w:rsidR="00350BE9">
        <w:t xml:space="preserve"> as </w:t>
      </w:r>
      <w:r w:rsidR="00EE2C80">
        <w:t>alternative standard</w:t>
      </w:r>
      <w:r w:rsidR="00350BE9">
        <w:t>s</w:t>
      </w:r>
      <w:r w:rsidR="00EE2C80">
        <w:t xml:space="preserve">. </w:t>
      </w:r>
      <w:r w:rsidR="008205EF">
        <w:t xml:space="preserve"> </w:t>
      </w:r>
      <w:r w:rsidR="002F0BD8">
        <w:t xml:space="preserve">This amendment updates the technical content of </w:t>
      </w:r>
      <w:r w:rsidR="005F58B0">
        <w:t xml:space="preserve">Appendix A of </w:t>
      </w:r>
      <w:r w:rsidR="002F0BD8">
        <w:t>the ADR to that of UN</w:t>
      </w:r>
      <w:r w:rsidR="008205EF">
        <w:t xml:space="preserve"> R 46</w:t>
      </w:r>
      <w:r w:rsidR="002F0BD8">
        <w:t>/04 and will allow for UN R 46/03 and 46/04 as alternative standards.</w:t>
      </w:r>
      <w:r w:rsidR="00003F3F">
        <w:t xml:space="preserve">  It also includes published</w:t>
      </w:r>
      <w:r w:rsidR="00003F3F" w:rsidRPr="00337735">
        <w:t xml:space="preserve"> amendments </w:t>
      </w:r>
      <w:r w:rsidR="00003F3F">
        <w:t xml:space="preserve">to UN R 81/00 </w:t>
      </w:r>
      <w:r w:rsidR="005F58B0">
        <w:t xml:space="preserve">in Appendix B </w:t>
      </w:r>
      <w:r w:rsidR="00003F3F">
        <w:t>that are editorial in nature</w:t>
      </w:r>
      <w:r w:rsidR="00C5119E">
        <w:t>.</w:t>
      </w:r>
    </w:p>
    <w:p w:rsidR="00EE2C80" w:rsidRDefault="002F0BD8" w:rsidP="00EE2C80">
      <w:pPr>
        <w:pStyle w:val="StyledotArialLeft0cmFirstline0cmAfter12pt"/>
      </w:pPr>
      <w:r>
        <w:t>UN R 46</w:t>
      </w:r>
      <w:r w:rsidR="00EE2C80">
        <w:t xml:space="preserve"> was updated to the 04 series in </w:t>
      </w:r>
      <w:r w:rsidR="00FB64B7">
        <w:t>November</w:t>
      </w:r>
      <w:r w:rsidR="00EE2C80">
        <w:t xml:space="preserve"> 2013</w:t>
      </w:r>
      <w:r w:rsidR="005F43D7">
        <w:t>,</w:t>
      </w:r>
      <w:r w:rsidR="00EE2C80">
        <w:t xml:space="preserve"> </w:t>
      </w:r>
      <w:r w:rsidR="00D1453C" w:rsidRPr="00D1453C">
        <w:t xml:space="preserve">which </w:t>
      </w:r>
      <w:r w:rsidR="005F7227">
        <w:t xml:space="preserve">includes </w:t>
      </w:r>
      <w:r w:rsidR="00D1453C" w:rsidRPr="00D1453C">
        <w:t>addition</w:t>
      </w:r>
      <w:r w:rsidR="005F7227">
        <w:t>al requirements</w:t>
      </w:r>
      <w:r w:rsidR="00D1453C" w:rsidRPr="00D1453C">
        <w:t xml:space="preserve"> for new devices for indirect vision such as cameras, requirements and defin</w:t>
      </w:r>
      <w:r w:rsidR="006C2BDC">
        <w:t>itions for new class VII mirrors</w:t>
      </w:r>
      <w:r w:rsidR="00D1453C" w:rsidRPr="00D1453C">
        <w:t xml:space="preserve"> used by two or three wheeled vehicles with bodywork, and multiple changes to the required field of vision for class I to VI and VII </w:t>
      </w:r>
      <w:r w:rsidR="00E70210">
        <w:t xml:space="preserve">mirrors </w:t>
      </w:r>
      <w:r w:rsidR="00D1453C" w:rsidRPr="00D1453C">
        <w:t>including increased field of vision on the passenger side for large vehicles excluding omnibuses.</w:t>
      </w:r>
    </w:p>
    <w:p w:rsidR="00EE2C80" w:rsidRDefault="006F2E05" w:rsidP="00EE2C80">
      <w:pPr>
        <w:pStyle w:val="StyledotArialLeft0cmFirstline0cmAfter12pt"/>
      </w:pPr>
      <w:r>
        <w:t>These changes do not increase the stringency of the ADR</w:t>
      </w:r>
      <w:r w:rsidR="002F0BD8">
        <w:t>,</w:t>
      </w:r>
      <w:r>
        <w:t xml:space="preserve"> </w:t>
      </w:r>
      <w:r w:rsidR="00EE2C80">
        <w:t xml:space="preserve">as an alternative standard clause </w:t>
      </w:r>
      <w:r w:rsidR="00CE757E">
        <w:t xml:space="preserve">within ADR 14/02 </w:t>
      </w:r>
      <w:r w:rsidR="00EE2C80">
        <w:t xml:space="preserve">will continue to provide the option of </w:t>
      </w:r>
      <w:r>
        <w:t xml:space="preserve">complying with earlier versions of UN R </w:t>
      </w:r>
      <w:r w:rsidR="00CE757E">
        <w:t>46</w:t>
      </w:r>
      <w:r>
        <w:t>.</w:t>
      </w:r>
    </w:p>
    <w:p w:rsidR="00350BE9" w:rsidRDefault="00A5206F" w:rsidP="002F0BD8">
      <w:pPr>
        <w:pStyle w:val="StyledotArialLeft0cmFirstline0cmAfter12pt"/>
      </w:pPr>
      <w:r>
        <w:t xml:space="preserve">The </w:t>
      </w:r>
      <w:r w:rsidR="005F58B0">
        <w:t xml:space="preserve">principal </w:t>
      </w:r>
      <w:r>
        <w:t xml:space="preserve">changes </w:t>
      </w:r>
      <w:r w:rsidR="002115C8">
        <w:t xml:space="preserve">being made </w:t>
      </w:r>
      <w:r>
        <w:t xml:space="preserve">to </w:t>
      </w:r>
      <w:r w:rsidR="005F58B0">
        <w:t xml:space="preserve">Appendix </w:t>
      </w:r>
      <w:proofErr w:type="gramStart"/>
      <w:r w:rsidR="005F58B0">
        <w:t>A</w:t>
      </w:r>
      <w:proofErr w:type="gramEnd"/>
      <w:r w:rsidR="005F58B0">
        <w:t xml:space="preserve"> of ADR 14/02 were first introduced in UN R 46 as follows:</w:t>
      </w:r>
      <w:r>
        <w:t xml:space="preserve"> </w:t>
      </w:r>
    </w:p>
    <w:p w:rsidR="00350BE9" w:rsidRDefault="005F58B0" w:rsidP="00EE2C80">
      <w:pPr>
        <w:pStyle w:val="StyledotArialLeft0cmFirstline0cmAfter12pt"/>
      </w:pPr>
      <w:r>
        <w:t xml:space="preserve">Revisions to the </w:t>
      </w:r>
      <w:r w:rsidR="00C8623E">
        <w:t xml:space="preserve">02 </w:t>
      </w:r>
      <w:r w:rsidR="00A5206F">
        <w:t>Series</w:t>
      </w:r>
      <w:r w:rsidR="002115C8">
        <w:t>:</w:t>
      </w:r>
    </w:p>
    <w:p w:rsidR="000D408B" w:rsidRDefault="00910D6C" w:rsidP="007C7E7E">
      <w:pPr>
        <w:pStyle w:val="StyledotArialLeft0cmFirstline0cmAfter12pt"/>
        <w:numPr>
          <w:ilvl w:val="0"/>
          <w:numId w:val="21"/>
        </w:numPr>
      </w:pPr>
      <w:r>
        <w:t xml:space="preserve">Rephrased </w:t>
      </w:r>
      <w:r w:rsidR="00973CB3">
        <w:t xml:space="preserve">and clarified </w:t>
      </w:r>
      <w:r>
        <w:t xml:space="preserve">the scope of the regulation </w:t>
      </w:r>
      <w:r w:rsidR="00C62060">
        <w:t xml:space="preserve">and </w:t>
      </w:r>
      <w:r w:rsidR="000D408B">
        <w:t>i</w:t>
      </w:r>
      <w:r w:rsidR="000D408B" w:rsidRPr="000D408B">
        <w:t xml:space="preserve">ntroduced a new class of mirrors, namely Class VII mirrors which are used on two and three wheeled </w:t>
      </w:r>
      <w:r w:rsidR="000D408B" w:rsidRPr="000D408B">
        <w:lastRenderedPageBreak/>
        <w:t xml:space="preserve">vehicles with bodywork.  </w:t>
      </w:r>
      <w:r w:rsidR="002115C8">
        <w:t>R</w:t>
      </w:r>
      <w:r w:rsidR="000D408B" w:rsidRPr="000D408B">
        <w:t xml:space="preserve">equirements for these mirrors include their stability, allowable dimensions, a new bending test for protective housings for </w:t>
      </w:r>
      <w:r w:rsidR="002115C8">
        <w:t>the</w:t>
      </w:r>
      <w:r w:rsidR="000D408B" w:rsidRPr="000D408B">
        <w:t xml:space="preserve"> mirror</w:t>
      </w:r>
      <w:r w:rsidR="006C2BDC">
        <w:t>s</w:t>
      </w:r>
      <w:r w:rsidR="000D408B" w:rsidRPr="000D408B">
        <w:t>, an</w:t>
      </w:r>
      <w:r w:rsidR="000D408B">
        <w:t xml:space="preserve">d the required field of vision </w:t>
      </w:r>
      <w:r w:rsidR="002115C8">
        <w:t>the</w:t>
      </w:r>
      <w:r w:rsidR="000D408B">
        <w:t xml:space="preserve"> mirrors</w:t>
      </w:r>
      <w:r w:rsidR="00631C7E">
        <w:t xml:space="preserve"> must achieve;</w:t>
      </w:r>
    </w:p>
    <w:p w:rsidR="00BB267D" w:rsidRPr="000D408B" w:rsidRDefault="00BB267D" w:rsidP="00BB267D">
      <w:pPr>
        <w:pStyle w:val="StyledotArialLeft0cmFirstline0cmAfter12pt"/>
        <w:numPr>
          <w:ilvl w:val="0"/>
          <w:numId w:val="21"/>
        </w:numPr>
      </w:pPr>
      <w:r>
        <w:t>Updated requirements to the minimum number of mirrors required for two and three wheeled vehicles with bodywork;</w:t>
      </w:r>
    </w:p>
    <w:p w:rsidR="00973CB3" w:rsidRDefault="00973CB3" w:rsidP="00CE2B7C">
      <w:pPr>
        <w:pStyle w:val="StyledotArialLeft0cmFirstline0cmAfter12pt"/>
        <w:numPr>
          <w:ilvl w:val="0"/>
          <w:numId w:val="21"/>
        </w:numPr>
      </w:pPr>
      <w:r>
        <w:t xml:space="preserve">Added definitions for </w:t>
      </w:r>
      <w:r w:rsidR="00CE2B7C">
        <w:t>“</w:t>
      </w:r>
      <w:r w:rsidR="00C978A1">
        <w:t>vision</w:t>
      </w:r>
      <w:r>
        <w:t xml:space="preserve"> support system</w:t>
      </w:r>
      <w:r w:rsidR="00CE2B7C">
        <w:t>” and “</w:t>
      </w:r>
      <w:r w:rsidR="00CE2B7C" w:rsidRPr="00CE2B7C">
        <w:t>surveillance camera-monitor-recording device</w:t>
      </w:r>
      <w:r w:rsidR="00CE2B7C">
        <w:t>”</w:t>
      </w:r>
      <w:r w:rsidR="00631C7E">
        <w:t>;</w:t>
      </w:r>
    </w:p>
    <w:p w:rsidR="00CE2B7C" w:rsidRDefault="00CE2B7C" w:rsidP="00CE2B7C">
      <w:pPr>
        <w:pStyle w:val="StyledotArialLeft0cmFirstline0cmAfter12pt"/>
        <w:numPr>
          <w:ilvl w:val="0"/>
          <w:numId w:val="21"/>
        </w:numPr>
      </w:pPr>
      <w:r>
        <w:t xml:space="preserve">Changed definitions for </w:t>
      </w:r>
      <w:r w:rsidRPr="00CE2B7C">
        <w:t>“field of vision”</w:t>
      </w:r>
      <w:r w:rsidR="00631C7E">
        <w:t>;</w:t>
      </w:r>
    </w:p>
    <w:p w:rsidR="003E2474" w:rsidRDefault="00A25D5B" w:rsidP="00EE2C80">
      <w:pPr>
        <w:pStyle w:val="StyledotArialLeft0cmFirstline0cmAfter12pt"/>
        <w:numPr>
          <w:ilvl w:val="0"/>
          <w:numId w:val="21"/>
        </w:numPr>
      </w:pPr>
      <w:r>
        <w:t xml:space="preserve">Exterior wide-angle and close-proximity mirrors </w:t>
      </w:r>
      <w:r w:rsidR="000D408B">
        <w:t>are made</w:t>
      </w:r>
      <w:r>
        <w:t xml:space="preserve"> compulsory for medium goods vehicles less than 7.5 tonnes under certain conditions</w:t>
      </w:r>
      <w:r w:rsidR="003F753C">
        <w:t>;</w:t>
      </w:r>
    </w:p>
    <w:p w:rsidR="003F753C" w:rsidRDefault="003F753C" w:rsidP="003F753C">
      <w:pPr>
        <w:pStyle w:val="StyledotArialLeft0cmFirstline0cmAfter12pt"/>
        <w:numPr>
          <w:ilvl w:val="0"/>
          <w:numId w:val="21"/>
        </w:numPr>
      </w:pPr>
      <w:r>
        <w:t xml:space="preserve">Changed the definition of “vehicle in running order” to the definition provided in the </w:t>
      </w:r>
      <w:r w:rsidR="007C7E7E">
        <w:t xml:space="preserve">UN </w:t>
      </w:r>
      <w:r w:rsidRPr="003F753C">
        <w:t>Consolidated Resolution on the Construction of Vehicles</w:t>
      </w:r>
      <w:r>
        <w:t>; and</w:t>
      </w:r>
    </w:p>
    <w:p w:rsidR="000D408B" w:rsidRDefault="003F753C" w:rsidP="00EE2C80">
      <w:pPr>
        <w:pStyle w:val="StyledotArialLeft0cmFirstline0cmAfter12pt"/>
        <w:numPr>
          <w:ilvl w:val="0"/>
          <w:numId w:val="21"/>
        </w:numPr>
      </w:pPr>
      <w:r>
        <w:t>Changed the requirements for window</w:t>
      </w:r>
      <w:r w:rsidR="00517B14">
        <w:t>s</w:t>
      </w:r>
      <w:r>
        <w:t xml:space="preserve"> light transmittance. The regulation now refers</w:t>
      </w:r>
      <w:r w:rsidR="000D408B">
        <w:t xml:space="preserve"> to UN </w:t>
      </w:r>
      <w:r w:rsidR="007C7E7E">
        <w:t>R</w:t>
      </w:r>
      <w:r w:rsidR="000D408B">
        <w:t xml:space="preserve"> 43 to determine light transmittance of wind</w:t>
      </w:r>
      <w:r>
        <w:t>ows</w:t>
      </w:r>
      <w:r w:rsidR="00517B14">
        <w:t>.</w:t>
      </w:r>
      <w:r>
        <w:t xml:space="preserve"> </w:t>
      </w:r>
    </w:p>
    <w:p w:rsidR="00A5206F" w:rsidRDefault="00C8623E" w:rsidP="00EE2C80">
      <w:pPr>
        <w:pStyle w:val="StyledotArialLeft0cmFirstline0cmAfter12pt"/>
      </w:pPr>
      <w:r>
        <w:t xml:space="preserve">03 </w:t>
      </w:r>
      <w:r w:rsidR="00A5206F">
        <w:t>Series:</w:t>
      </w:r>
    </w:p>
    <w:p w:rsidR="00973CB3" w:rsidRDefault="00973CB3" w:rsidP="00973CB3">
      <w:pPr>
        <w:pStyle w:val="StyledotArialLeft0cmFirstline0cmAfter12pt"/>
        <w:numPr>
          <w:ilvl w:val="0"/>
          <w:numId w:val="20"/>
        </w:numPr>
      </w:pPr>
      <w:r>
        <w:t xml:space="preserve">Changed the definition </w:t>
      </w:r>
      <w:r w:rsidR="006D4998">
        <w:t>of</w:t>
      </w:r>
      <w:r>
        <w:t xml:space="preserve"> </w:t>
      </w:r>
      <w:r w:rsidR="006D4998">
        <w:t>“</w:t>
      </w:r>
      <w:r>
        <w:t>critical object</w:t>
      </w:r>
      <w:r w:rsidR="006D4998">
        <w:t>”</w:t>
      </w:r>
      <w:r>
        <w:t xml:space="preserve"> to a cylindrical object</w:t>
      </w:r>
      <w:r w:rsidRPr="00973CB3">
        <w:t xml:space="preserve"> with a height of 0.50 m and a diameter of 0.</w:t>
      </w:r>
      <w:r>
        <w:t xml:space="preserve">30 m. The critical object is used in multiple tests in the regulation and </w:t>
      </w:r>
      <w:r w:rsidR="00173BFD">
        <w:t xml:space="preserve">this change </w:t>
      </w:r>
      <w:r>
        <w:t>provides a better representation</w:t>
      </w:r>
      <w:r w:rsidR="000D408B">
        <w:t xml:space="preserve"> of real world objects;</w:t>
      </w:r>
    </w:p>
    <w:p w:rsidR="00CE2B7C" w:rsidRDefault="00173BFD" w:rsidP="00973CB3">
      <w:pPr>
        <w:pStyle w:val="StyledotArialLeft0cmFirstline0cmAfter12pt"/>
        <w:numPr>
          <w:ilvl w:val="0"/>
          <w:numId w:val="20"/>
        </w:numPr>
      </w:pPr>
      <w:r>
        <w:t xml:space="preserve">Changed the definition of </w:t>
      </w:r>
      <w:r w:rsidR="00DA325E">
        <w:t>“</w:t>
      </w:r>
      <w:r>
        <w:t>critical perception</w:t>
      </w:r>
      <w:r w:rsidR="00DA325E">
        <w:t>”</w:t>
      </w:r>
      <w:r>
        <w:t xml:space="preserve">, </w:t>
      </w:r>
      <w:r w:rsidR="00CE2B7C">
        <w:t>and</w:t>
      </w:r>
      <w:r>
        <w:t xml:space="preserve"> </w:t>
      </w:r>
      <w:r w:rsidR="00DA325E">
        <w:t>“</w:t>
      </w:r>
      <w:r>
        <w:t>detection distance</w:t>
      </w:r>
      <w:r w:rsidR="00DA325E">
        <w:t>”</w:t>
      </w:r>
      <w:r w:rsidR="000D408B">
        <w:t>;</w:t>
      </w:r>
    </w:p>
    <w:p w:rsidR="006E4CDA" w:rsidRDefault="006E4CDA" w:rsidP="00973CB3">
      <w:pPr>
        <w:pStyle w:val="StyledotArialLeft0cmFirstline0cmAfter12pt"/>
        <w:numPr>
          <w:ilvl w:val="0"/>
          <w:numId w:val="20"/>
        </w:numPr>
      </w:pPr>
      <w:r>
        <w:t>A new camera</w:t>
      </w:r>
      <w:r w:rsidR="00977D17">
        <w:t>-monitor device</w:t>
      </w:r>
      <w:r>
        <w:t xml:space="preserve"> test to ensure the</w:t>
      </w:r>
      <w:r w:rsidR="00977D17">
        <w:t xml:space="preserve"> device</w:t>
      </w:r>
      <w:r>
        <w:t xml:space="preserve"> can function well when sunlight falls on the camera</w:t>
      </w:r>
      <w:r w:rsidR="00977D17">
        <w:t>’s surface</w:t>
      </w:r>
      <w:r>
        <w:t xml:space="preserve">. This replaces the </w:t>
      </w:r>
      <w:r w:rsidR="006D4998">
        <w:t>requirement used to determine camera performance under</w:t>
      </w:r>
      <w:r>
        <w:t xml:space="preserve"> low sunlight conditions</w:t>
      </w:r>
      <w:r w:rsidR="006D4998">
        <w:t>;</w:t>
      </w:r>
    </w:p>
    <w:p w:rsidR="009272D0" w:rsidRDefault="009272D0" w:rsidP="00973CB3">
      <w:pPr>
        <w:pStyle w:val="StyledotArialLeft0cmFirstline0cmAfter12pt"/>
        <w:numPr>
          <w:ilvl w:val="0"/>
          <w:numId w:val="20"/>
        </w:numPr>
      </w:pPr>
      <w:r>
        <w:t xml:space="preserve">Added new tests for </w:t>
      </w:r>
      <w:r w:rsidR="00CD4822">
        <w:t>the “</w:t>
      </w:r>
      <w:r>
        <w:t>calculation of the detection distance</w:t>
      </w:r>
      <w:r w:rsidR="00CD4822">
        <w:t>”</w:t>
      </w:r>
      <w:r>
        <w:t xml:space="preserve"> and </w:t>
      </w:r>
      <w:r w:rsidR="00CD4822">
        <w:t>“</w:t>
      </w:r>
      <w:r>
        <w:t>the determination of the displayed object size</w:t>
      </w:r>
      <w:r w:rsidR="00CD4822">
        <w:t>”</w:t>
      </w:r>
      <w:r w:rsidR="000D408B">
        <w:t>;</w:t>
      </w:r>
    </w:p>
    <w:p w:rsidR="00173BFD" w:rsidRDefault="00CD4822" w:rsidP="00CD4822">
      <w:pPr>
        <w:pStyle w:val="StyledotArialLeft0cmFirstline0cmAfter12pt"/>
        <w:numPr>
          <w:ilvl w:val="0"/>
          <w:numId w:val="20"/>
        </w:numPr>
      </w:pPr>
      <w:r w:rsidRPr="00CD4822">
        <w:t>Added definitions for “smear”</w:t>
      </w:r>
      <w:r>
        <w:t xml:space="preserve"> and r</w:t>
      </w:r>
      <w:r w:rsidR="00173BFD">
        <w:t xml:space="preserve">emoved definitions for </w:t>
      </w:r>
      <w:r w:rsidR="00DA325E">
        <w:t>“</w:t>
      </w:r>
      <w:r w:rsidR="00173BFD">
        <w:t>critical field of vision</w:t>
      </w:r>
      <w:r w:rsidR="00DA325E">
        <w:t>”</w:t>
      </w:r>
      <w:r w:rsidR="00173BFD">
        <w:t xml:space="preserve"> and </w:t>
      </w:r>
      <w:r w:rsidR="00DA325E">
        <w:t>“</w:t>
      </w:r>
      <w:r w:rsidR="00173BFD">
        <w:t>viewing reference points</w:t>
      </w:r>
      <w:r w:rsidR="00DA325E">
        <w:t xml:space="preserve">” as </w:t>
      </w:r>
      <w:r w:rsidR="000D408B">
        <w:t>they are no longer used;</w:t>
      </w:r>
    </w:p>
    <w:p w:rsidR="003E2474" w:rsidRDefault="003E2474" w:rsidP="00CC66C8">
      <w:pPr>
        <w:pStyle w:val="StyledotArialLeft0cmFirstline0cmAfter12pt"/>
        <w:numPr>
          <w:ilvl w:val="0"/>
          <w:numId w:val="20"/>
        </w:numPr>
      </w:pPr>
      <w:r>
        <w:t xml:space="preserve">When a Class I interior rear-view mirrors protrudes out of its protective housing, there is no longer a requirement which specifies that </w:t>
      </w:r>
      <w:r w:rsidR="00CC66C8">
        <w:t xml:space="preserve">the mirror must be returned to the housing </w:t>
      </w:r>
      <w:r w:rsidR="000E3274">
        <w:t>under</w:t>
      </w:r>
      <w:r w:rsidR="00CC66C8">
        <w:t xml:space="preserve"> a force of 50 N. Instead the radius of curvature on the perimeter of the </w:t>
      </w:r>
      <w:r w:rsidR="00910D6C">
        <w:t xml:space="preserve">protruded </w:t>
      </w:r>
      <w:r w:rsidR="00CC66C8">
        <w:t>reflective surf</w:t>
      </w:r>
      <w:r w:rsidR="000D408B">
        <w:t>ace must be no less than 2.5 mm;</w:t>
      </w:r>
      <w:r w:rsidR="006E4CDA">
        <w:t xml:space="preserve"> and</w:t>
      </w:r>
    </w:p>
    <w:p w:rsidR="00910D6C" w:rsidRPr="00A864E1" w:rsidRDefault="003E2474" w:rsidP="006E4CDA">
      <w:pPr>
        <w:pStyle w:val="StyledotArialLeft0cmFirstline0cmAfter12pt"/>
        <w:numPr>
          <w:ilvl w:val="0"/>
          <w:numId w:val="20"/>
        </w:numPr>
      </w:pPr>
      <w:r w:rsidRPr="00D12D5E">
        <w:t xml:space="preserve">A new method to measure projection of a mirror </w:t>
      </w:r>
      <w:r w:rsidR="00D41F82" w:rsidRPr="00D12D5E">
        <w:t>with</w:t>
      </w:r>
      <w:r w:rsidRPr="00D12D5E">
        <w:t xml:space="preserve"> a</w:t>
      </w:r>
      <w:r w:rsidR="00D41F82" w:rsidRPr="00A864E1">
        <w:t xml:space="preserve"> non-c</w:t>
      </w:r>
      <w:r w:rsidR="00D41F82" w:rsidRPr="00B570A7">
        <w:t>onvex</w:t>
      </w:r>
      <w:r w:rsidR="00CC66C8" w:rsidRPr="000640FC">
        <w:t xml:space="preserve"> surface is introduced</w:t>
      </w:r>
      <w:r w:rsidR="000D408B" w:rsidRPr="00A864E1">
        <w:t xml:space="preserve"> to ensure accurate measurement</w:t>
      </w:r>
      <w:r w:rsidR="006E4CDA" w:rsidRPr="00A864E1">
        <w:t>.</w:t>
      </w:r>
    </w:p>
    <w:p w:rsidR="007C7E7E" w:rsidRDefault="007C7E7E">
      <w:pPr>
        <w:rPr>
          <w:szCs w:val="20"/>
        </w:rPr>
      </w:pPr>
      <w:r>
        <w:br w:type="page"/>
      </w:r>
    </w:p>
    <w:p w:rsidR="00A5206F" w:rsidRPr="00A864E1" w:rsidRDefault="00C8623E" w:rsidP="00EE2C80">
      <w:pPr>
        <w:pStyle w:val="StyledotArialLeft0cmFirstline0cmAfter12pt"/>
      </w:pPr>
      <w:r w:rsidRPr="00A864E1">
        <w:lastRenderedPageBreak/>
        <w:t xml:space="preserve">04 </w:t>
      </w:r>
      <w:r w:rsidR="00A5206F" w:rsidRPr="00A864E1">
        <w:t>Series:</w:t>
      </w:r>
    </w:p>
    <w:p w:rsidR="002C6C23" w:rsidRDefault="009007C9" w:rsidP="002C6C23">
      <w:pPr>
        <w:pStyle w:val="ListParagraph"/>
        <w:numPr>
          <w:ilvl w:val="0"/>
          <w:numId w:val="21"/>
        </w:numPr>
        <w:rPr>
          <w:szCs w:val="20"/>
        </w:rPr>
      </w:pPr>
      <w:r w:rsidRPr="00A864E1">
        <w:t xml:space="preserve">An increase in the required field of vision </w:t>
      </w:r>
      <w:r w:rsidR="00BB267D" w:rsidRPr="00A864E1">
        <w:t>for class V</w:t>
      </w:r>
      <w:r w:rsidRPr="00A864E1">
        <w:t xml:space="preserve"> </w:t>
      </w:r>
      <w:r w:rsidR="00BB267D" w:rsidRPr="00A864E1">
        <w:t xml:space="preserve">close-proximity mirrors </w:t>
      </w:r>
      <w:r w:rsidRPr="00A864E1">
        <w:t xml:space="preserve">for certain large vehicles </w:t>
      </w:r>
      <w:r w:rsidR="00631C7E" w:rsidRPr="00A864E1">
        <w:t>excluding omnibuses</w:t>
      </w:r>
      <w:r w:rsidR="002C6C23" w:rsidRPr="00A864E1">
        <w:t>.</w:t>
      </w:r>
      <w:r w:rsidR="002C6C23" w:rsidRPr="00A864E1">
        <w:rPr>
          <w:szCs w:val="20"/>
        </w:rPr>
        <w:t xml:space="preserve"> The increased field of vision </w:t>
      </w:r>
      <w:r w:rsidR="002C6C23" w:rsidRPr="002C6C23">
        <w:rPr>
          <w:szCs w:val="20"/>
        </w:rPr>
        <w:t xml:space="preserve">can be achieved by a combination of </w:t>
      </w:r>
      <w:r w:rsidR="00E52D65">
        <w:rPr>
          <w:szCs w:val="20"/>
        </w:rPr>
        <w:t xml:space="preserve">a </w:t>
      </w:r>
      <w:r w:rsidR="00592345">
        <w:rPr>
          <w:szCs w:val="20"/>
        </w:rPr>
        <w:t xml:space="preserve">certain </w:t>
      </w:r>
      <w:r w:rsidR="00E52D65">
        <w:rPr>
          <w:szCs w:val="20"/>
        </w:rPr>
        <w:t xml:space="preserve">set of </w:t>
      </w:r>
      <w:r w:rsidR="002C6C23" w:rsidRPr="002C6C23">
        <w:rPr>
          <w:szCs w:val="20"/>
        </w:rPr>
        <w:t xml:space="preserve">direct and indirect vision devices. </w:t>
      </w:r>
    </w:p>
    <w:p w:rsidR="00ED4DF9" w:rsidRPr="005D21F5" w:rsidRDefault="00ED4DF9" w:rsidP="00ED4DF9">
      <w:pPr>
        <w:pStyle w:val="MainHeadding"/>
      </w:pPr>
      <w:bookmarkStart w:id="13" w:name="_Toc317158947"/>
      <w:bookmarkStart w:id="14" w:name="_Toc317171386"/>
      <w:bookmarkStart w:id="15" w:name="_Toc317171512"/>
      <w:bookmarkStart w:id="16" w:name="_Toc377388629"/>
      <w:bookmarkStart w:id="17" w:name="_Toc393194583"/>
      <w:bookmarkStart w:id="18" w:name="_Toc398125173"/>
      <w:bookmarkStart w:id="19" w:name="_Toc167864618"/>
      <w:bookmarkStart w:id="20" w:name="_Toc390430618"/>
      <w:bookmarkStart w:id="21" w:name="_Toc318271645"/>
      <w:bookmarkStart w:id="22" w:name="_Toc317171517"/>
      <w:bookmarkStart w:id="23" w:name="_Toc317171391"/>
      <w:bookmarkStart w:id="24" w:name="_Toc317158948"/>
      <w:bookmarkStart w:id="25" w:name="_Toc318272904"/>
      <w:bookmarkStart w:id="26" w:name="_Toc319402529"/>
      <w:bookmarkStart w:id="27" w:name="_Toc390430619"/>
      <w:bookmarkEnd w:id="12"/>
      <w:r w:rsidRPr="005D21F5">
        <w:t>best practice regulation</w:t>
      </w:r>
      <w:bookmarkEnd w:id="13"/>
      <w:bookmarkEnd w:id="14"/>
      <w:bookmarkEnd w:id="15"/>
      <w:bookmarkEnd w:id="16"/>
      <w:bookmarkEnd w:id="17"/>
      <w:bookmarkEnd w:id="18"/>
    </w:p>
    <w:p w:rsidR="00ED4DF9" w:rsidRPr="00952B82" w:rsidRDefault="00ED4DF9" w:rsidP="00ED4DF9">
      <w:pPr>
        <w:pStyle w:val="Subsection"/>
      </w:pPr>
      <w:bookmarkStart w:id="28" w:name="_Toc167864616"/>
      <w:bookmarkStart w:id="29" w:name="_Toc317171387"/>
      <w:bookmarkStart w:id="30" w:name="_Toc317171513"/>
      <w:bookmarkStart w:id="31" w:name="_Toc377388630"/>
      <w:bookmarkStart w:id="32" w:name="_Toc393194584"/>
      <w:bookmarkStart w:id="33" w:name="_Toc398125174"/>
      <w:r w:rsidRPr="00952B82">
        <w:t>Business Cost Calculator</w:t>
      </w:r>
      <w:bookmarkEnd w:id="28"/>
      <w:bookmarkEnd w:id="29"/>
      <w:bookmarkEnd w:id="30"/>
      <w:bookmarkEnd w:id="31"/>
      <w:bookmarkEnd w:id="32"/>
      <w:bookmarkEnd w:id="33"/>
    </w:p>
    <w:p w:rsidR="00ED4DF9" w:rsidRPr="00AA3C7B" w:rsidRDefault="00AA3C7B" w:rsidP="00003F3F">
      <w:r w:rsidRPr="00AA3C7B">
        <w:t>It is estimated that this amendment will provide savings of $1.46</w:t>
      </w:r>
      <w:r w:rsidR="00003F3F">
        <w:t xml:space="preserve"> million</w:t>
      </w:r>
      <w:r w:rsidRPr="00AA3C7B">
        <w:t>.</w:t>
      </w:r>
    </w:p>
    <w:p w:rsidR="00ED4DF9" w:rsidRDefault="00ED4DF9" w:rsidP="00ED4DF9">
      <w:pPr>
        <w:pStyle w:val="Subsection"/>
      </w:pPr>
      <w:bookmarkStart w:id="34" w:name="_Toc167864617"/>
      <w:bookmarkStart w:id="35" w:name="_Toc317171388"/>
      <w:bookmarkStart w:id="36" w:name="_Toc317171514"/>
      <w:bookmarkStart w:id="37" w:name="_Toc377388631"/>
      <w:bookmarkStart w:id="38" w:name="_Toc393194585"/>
      <w:bookmarkStart w:id="39" w:name="_Toc398125175"/>
      <w:r>
        <w:t>General Consultation Arrangements</w:t>
      </w:r>
      <w:bookmarkEnd w:id="34"/>
      <w:bookmarkEnd w:id="35"/>
      <w:bookmarkEnd w:id="36"/>
      <w:bookmarkEnd w:id="37"/>
      <w:bookmarkEnd w:id="38"/>
      <w:bookmarkEnd w:id="39"/>
    </w:p>
    <w:p w:rsidR="00ED4DF9" w:rsidRDefault="00ED4DF9" w:rsidP="00ED4DF9">
      <w:pPr>
        <w:spacing w:after="240"/>
        <w:rPr>
          <w:rFonts w:cs="Arial"/>
        </w:rPr>
      </w:pPr>
      <w:r w:rsidRPr="005D1AA0">
        <w:rPr>
          <w:rFonts w:cs="Arial"/>
        </w:rPr>
        <w:t xml:space="preserve">It has been longstanding practice to consult widely on proposed new or amended vehicle standards.  For many years there has been active collaboration between the Federal </w:t>
      </w:r>
      <w:r>
        <w:rPr>
          <w:rFonts w:cs="Arial"/>
        </w:rPr>
        <w:t xml:space="preserve">Government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ED4DF9" w:rsidRPr="00A01A9E" w:rsidRDefault="00ED4DF9" w:rsidP="00ED4DF9">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rsidR="00ED4DF9" w:rsidRDefault="00ED4DF9" w:rsidP="00ED4DF9">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ED4DF9" w:rsidRDefault="00ED4DF9"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ED4DF9" w:rsidRDefault="00ED4DF9"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ED4DF9" w:rsidRPr="00A01A9E" w:rsidRDefault="00ED4DF9"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ED4DF9" w:rsidRPr="00A01A9E" w:rsidRDefault="00ED4DF9" w:rsidP="00ED4DF9">
      <w:pPr>
        <w:numPr>
          <w:ilvl w:val="0"/>
          <w:numId w:val="22"/>
        </w:numPr>
        <w:spacing w:after="240"/>
        <w:rPr>
          <w:rFonts w:cs="Arial"/>
        </w:rPr>
      </w:pPr>
      <w:r>
        <w:rPr>
          <w:rFonts w:cs="Arial"/>
        </w:rPr>
        <w:lastRenderedPageBreak/>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ED4DF9" w:rsidRDefault="00ED4DF9" w:rsidP="00ED4DF9">
      <w:pPr>
        <w:spacing w:after="240"/>
        <w:rPr>
          <w:rFonts w:cs="Arial"/>
        </w:rPr>
      </w:pPr>
      <w:r>
        <w:rPr>
          <w:rFonts w:cs="Arial"/>
        </w:rPr>
        <w:t xml:space="preserve">Editorial changes and changes to correct errors are processed by the Department of </w:t>
      </w:r>
      <w:r>
        <w:t xml:space="preserve">Infrastructure and </w:t>
      </w:r>
      <w:r w:rsidRPr="00AF0EC9">
        <w:t>Regional Development</w:t>
      </w:r>
      <w:r>
        <w:rPr>
          <w:rFonts w:cs="Arial"/>
        </w:rPr>
        <w:t>.  This approach is only used where the amendments do not vary the intent of the vehicle standard.</w:t>
      </w:r>
    </w:p>
    <w:p w:rsidR="00ED4DF9" w:rsidRPr="008607BD" w:rsidRDefault="00ED4DF9"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sidR="00003F3F">
        <w:rPr>
          <w:rFonts w:cs="Arial"/>
        </w:rPr>
        <w:t>’</w:t>
      </w:r>
      <w:r w:rsidRPr="00867B73">
        <w:rPr>
          <w:rFonts w:cs="Arial"/>
        </w:rPr>
        <w:t xml:space="preserve">s </w:t>
      </w:r>
      <w:r w:rsidR="00003F3F" w:rsidRPr="00AB6B4E">
        <w:rPr>
          <w:rFonts w:cs="Arial"/>
          <w:i/>
          <w:iCs/>
        </w:rPr>
        <w:t>Best Practice Regulation: A Guide</w:t>
      </w:r>
      <w:r w:rsidR="00003F3F">
        <w:rPr>
          <w:rFonts w:cs="Arial"/>
        </w:rPr>
        <w:t xml:space="preserve"> </w:t>
      </w:r>
      <w:r w:rsidRPr="00867B73">
        <w:rPr>
          <w:rFonts w:cs="Arial"/>
          <w:i/>
        </w:rPr>
        <w:t>for Ministerial Councils and Standard-Setting Bodies</w:t>
      </w:r>
      <w:r w:rsidRPr="00867B73">
        <w:rPr>
          <w:rFonts w:cs="Arial"/>
        </w:rPr>
        <w:t>.</w:t>
      </w:r>
    </w:p>
    <w:p w:rsidR="00ED4DF9" w:rsidRPr="00875240" w:rsidRDefault="00ED4DF9" w:rsidP="00ED4DF9">
      <w:pPr>
        <w:pStyle w:val="Subsection"/>
      </w:pPr>
      <w:bookmarkStart w:id="40" w:name="_Toc317171389"/>
      <w:bookmarkStart w:id="41" w:name="_Toc317171515"/>
      <w:bookmarkStart w:id="42" w:name="_Toc377388632"/>
      <w:bookmarkStart w:id="43" w:name="_Toc393194586"/>
      <w:bookmarkStart w:id="44" w:name="_Toc398125176"/>
      <w:r w:rsidRPr="00875240">
        <w:t>Specific Consultation Arrangements for this Vehicle Standard</w:t>
      </w:r>
      <w:bookmarkEnd w:id="40"/>
      <w:bookmarkEnd w:id="41"/>
      <w:bookmarkEnd w:id="42"/>
      <w:bookmarkEnd w:id="43"/>
      <w:bookmarkEnd w:id="44"/>
    </w:p>
    <w:p w:rsidR="00E9296B" w:rsidRDefault="00003F3F" w:rsidP="00ED4DF9">
      <w:pPr>
        <w:spacing w:after="240"/>
      </w:pPr>
      <w:r>
        <w:t>The proposal for amendment to</w:t>
      </w:r>
      <w:r w:rsidR="002501C9">
        <w:t xml:space="preserve"> ADR 14/02</w:t>
      </w:r>
      <w:r>
        <w:t xml:space="preserve"> relating to UN R 46 was provided to AMVCB and TLG members in March 2014</w:t>
      </w:r>
      <w:r w:rsidR="002501C9">
        <w:t xml:space="preserve"> and to SVSEG members in May 2014.  No objections were subsequently raised.</w:t>
      </w:r>
    </w:p>
    <w:p w:rsidR="00ED4DF9" w:rsidRPr="00FC40B0" w:rsidRDefault="00ED4DF9"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rsidR="00ED4DF9" w:rsidRPr="00AD1A1D" w:rsidRDefault="00ED4DF9" w:rsidP="00ED4DF9">
      <w:pPr>
        <w:pStyle w:val="Subsection"/>
      </w:pPr>
      <w:bookmarkStart w:id="45" w:name="_Toc317171390"/>
      <w:bookmarkStart w:id="46" w:name="_Toc317171516"/>
      <w:bookmarkStart w:id="47" w:name="_Toc377388633"/>
      <w:bookmarkStart w:id="48" w:name="_Toc393194587"/>
      <w:bookmarkStart w:id="49" w:name="_Toc398125177"/>
      <w:r w:rsidRPr="00AD1A1D">
        <w:t>Regulation Impact Statement</w:t>
      </w:r>
      <w:bookmarkEnd w:id="45"/>
      <w:bookmarkEnd w:id="46"/>
      <w:bookmarkEnd w:id="47"/>
      <w:bookmarkEnd w:id="48"/>
      <w:bookmarkEnd w:id="49"/>
      <w:r w:rsidRPr="00AD1A1D">
        <w:t xml:space="preserve"> </w:t>
      </w:r>
    </w:p>
    <w:p w:rsidR="00ED4DF9" w:rsidRDefault="00ED4DF9" w:rsidP="00ED4DF9">
      <w:pPr>
        <w:spacing w:after="240"/>
      </w:pPr>
      <w:r>
        <w:t>As the proposed amendment does not increase the stringency of the ADR, a Regulation Impact Statement is not required.</w:t>
      </w:r>
    </w:p>
    <w:p w:rsidR="00ED4DF9" w:rsidRDefault="00ED4DF9" w:rsidP="00ED4DF9">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w:t>
      </w:r>
      <w:r w:rsidRPr="00AA3C7B">
        <w:t xml:space="preserve">(OBPR Reference ID </w:t>
      </w:r>
      <w:r w:rsidR="00D42676" w:rsidRPr="00AA3C7B">
        <w:t>17193</w:t>
      </w:r>
      <w:r w:rsidRPr="00AA3C7B">
        <w:t>).</w:t>
      </w:r>
    </w:p>
    <w:p w:rsidR="00586887" w:rsidRPr="00CA7971" w:rsidRDefault="00586887" w:rsidP="00586887">
      <w:pPr>
        <w:pStyle w:val="MainHeadding"/>
        <w:tabs>
          <w:tab w:val="left" w:pos="900"/>
        </w:tabs>
      </w:pPr>
      <w:bookmarkStart w:id="50" w:name="_Toc398125178"/>
      <w:bookmarkEnd w:id="19"/>
      <w:bookmarkEnd w:id="20"/>
      <w:r w:rsidRPr="00CA7971">
        <w:t>STATEMENT OF COMPATIBILITY WITH HUMAN RIGHTS</w:t>
      </w:r>
      <w:bookmarkEnd w:id="21"/>
      <w:bookmarkEnd w:id="22"/>
      <w:bookmarkEnd w:id="23"/>
      <w:bookmarkEnd w:id="24"/>
      <w:bookmarkEnd w:id="25"/>
      <w:bookmarkEnd w:id="26"/>
      <w:bookmarkEnd w:id="27"/>
      <w:bookmarkEnd w:id="50"/>
    </w:p>
    <w:p w:rsidR="00586887" w:rsidRPr="00CA7971" w:rsidRDefault="00586887" w:rsidP="00586887">
      <w:r w:rsidRPr="00CA7971">
        <w:t xml:space="preserve">The following Statement is prepared in accordance with Part 3 of the </w:t>
      </w:r>
      <w:r w:rsidRPr="00CA7971">
        <w:rPr>
          <w:i/>
          <w:iCs/>
        </w:rPr>
        <w:t>Human Rights (Parliamentary Scrutiny) Act 2011.</w:t>
      </w:r>
      <w:r w:rsidRPr="00CA7971">
        <w:t xml:space="preserve"> </w:t>
      </w:r>
    </w:p>
    <w:p w:rsidR="00586887" w:rsidRPr="00CA7971" w:rsidRDefault="00586887" w:rsidP="00586887">
      <w:pPr>
        <w:pStyle w:val="Subsection"/>
      </w:pPr>
      <w:bookmarkStart w:id="51" w:name="_Toc318271646"/>
      <w:bookmarkStart w:id="52" w:name="_Toc317171518"/>
      <w:bookmarkStart w:id="53" w:name="_Toc317171392"/>
      <w:bookmarkStart w:id="54" w:name="_Toc318272905"/>
      <w:bookmarkStart w:id="55" w:name="_Toc319402530"/>
      <w:bookmarkStart w:id="56" w:name="_Toc390430620"/>
      <w:bookmarkStart w:id="57" w:name="_Toc398125179"/>
      <w:r w:rsidRPr="00CA7971">
        <w:t>Overview of the Legislative Instrument</w:t>
      </w:r>
      <w:bookmarkEnd w:id="51"/>
      <w:bookmarkEnd w:id="52"/>
      <w:bookmarkEnd w:id="53"/>
      <w:bookmarkEnd w:id="54"/>
      <w:bookmarkEnd w:id="55"/>
      <w:bookmarkEnd w:id="56"/>
      <w:bookmarkEnd w:id="57"/>
    </w:p>
    <w:p w:rsidR="00586887" w:rsidRPr="00CA7971" w:rsidRDefault="00194C83" w:rsidP="002501C9">
      <w:r w:rsidRPr="00194C83">
        <w:t xml:space="preserve">This amendment </w:t>
      </w:r>
      <w:r w:rsidR="002501C9">
        <w:t>incorporates technical content that is based on UN R 46/04 into ADR 14/02 and allows UN R 46/03 and 46/04 as alternative standards</w:t>
      </w:r>
      <w:r w:rsidR="00E80BD7" w:rsidRPr="00E80BD7">
        <w:t>.</w:t>
      </w:r>
      <w:r w:rsidR="002115C8">
        <w:t xml:space="preserve">  It also includes published</w:t>
      </w:r>
      <w:r w:rsidR="002115C8" w:rsidRPr="00337735">
        <w:t xml:space="preserve"> amendments </w:t>
      </w:r>
      <w:r w:rsidR="002115C8">
        <w:t>to UN R 81/00 that are editorial in nature.</w:t>
      </w:r>
    </w:p>
    <w:p w:rsidR="00586887" w:rsidRPr="00CA7971" w:rsidRDefault="00586887" w:rsidP="00586887">
      <w:pPr>
        <w:pStyle w:val="Subsection"/>
      </w:pPr>
      <w:bookmarkStart w:id="58" w:name="_Toc318271647"/>
      <w:bookmarkStart w:id="59" w:name="_Toc317171519"/>
      <w:bookmarkStart w:id="60" w:name="_Toc317171393"/>
      <w:bookmarkStart w:id="61" w:name="_Toc318272906"/>
      <w:bookmarkStart w:id="62" w:name="_Toc319402531"/>
      <w:bookmarkStart w:id="63" w:name="_Toc390430621"/>
      <w:bookmarkStart w:id="64" w:name="_Toc398125180"/>
      <w:r w:rsidRPr="00CA7971">
        <w:t>Human Rights Implications</w:t>
      </w:r>
      <w:bookmarkEnd w:id="58"/>
      <w:bookmarkEnd w:id="59"/>
      <w:bookmarkEnd w:id="60"/>
      <w:bookmarkEnd w:id="61"/>
      <w:bookmarkEnd w:id="62"/>
      <w:bookmarkEnd w:id="63"/>
      <w:bookmarkEnd w:id="64"/>
    </w:p>
    <w:p w:rsidR="00E45699" w:rsidRDefault="00194C83" w:rsidP="00194C83">
      <w:bookmarkStart w:id="65" w:name="_Toc319402532"/>
      <w:r w:rsidRPr="00194C83">
        <w:t xml:space="preserve">This amendment to ADR 14/02 does not engage any of the human rights and freedoms recognised or declared in the international instruments listed in section 3 of the </w:t>
      </w:r>
      <w:r w:rsidRPr="00E45699">
        <w:rPr>
          <w:i/>
        </w:rPr>
        <w:t>Human Rights (Parliamentary Scrutiny) Act 2011</w:t>
      </w:r>
      <w:r w:rsidRPr="00194C83">
        <w:t>.</w:t>
      </w:r>
    </w:p>
    <w:p w:rsidR="00E45699" w:rsidRDefault="00E45699" w:rsidP="00194C83"/>
    <w:p w:rsidR="007C7E7E" w:rsidRDefault="007C7E7E">
      <w:bookmarkStart w:id="66" w:name="_Toc398125181"/>
      <w:bookmarkStart w:id="67" w:name="_GoBack"/>
      <w:bookmarkEnd w:id="67"/>
      <w:r>
        <w:br w:type="page"/>
      </w:r>
    </w:p>
    <w:p w:rsidR="00586887" w:rsidRPr="00CA7971" w:rsidRDefault="00586887" w:rsidP="00E45699">
      <w:pPr>
        <w:pStyle w:val="Subsection"/>
      </w:pPr>
      <w:r w:rsidRPr="00CA7971">
        <w:lastRenderedPageBreak/>
        <w:t>Conclusion</w:t>
      </w:r>
      <w:bookmarkEnd w:id="65"/>
      <w:bookmarkEnd w:id="66"/>
    </w:p>
    <w:p w:rsidR="002D7277" w:rsidRPr="007A3BB4" w:rsidRDefault="00194C83" w:rsidP="0012110B">
      <w:r w:rsidRPr="00194C83">
        <w:t>This amendment to ADR 14/02 is compatible with human rights as it does not raise any human rights issues.</w:t>
      </w:r>
    </w:p>
    <w:sectPr w:rsidR="002D7277" w:rsidRPr="007A3BB4" w:rsidSect="003F0AC5">
      <w:headerReference w:type="default" r:id="rId9"/>
      <w:footerReference w:type="default" r:id="rId10"/>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6F" w:rsidRDefault="0049576F">
      <w:r>
        <w:separator/>
      </w:r>
    </w:p>
  </w:endnote>
  <w:endnote w:type="continuationSeparator" w:id="0">
    <w:p w:rsidR="0049576F" w:rsidRDefault="0049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B" w:rsidRDefault="006B2A4B" w:rsidP="00C12E27">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6F" w:rsidRDefault="0049576F">
      <w:r>
        <w:separator/>
      </w:r>
    </w:p>
  </w:footnote>
  <w:footnote w:type="continuationSeparator" w:id="0">
    <w:p w:rsidR="0049576F" w:rsidRDefault="0049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B" w:rsidRDefault="00C72F93">
    <w:pPr>
      <w:pStyle w:val="Header"/>
      <w:jc w:val="right"/>
    </w:pPr>
    <w:r>
      <w:fldChar w:fldCharType="begin"/>
    </w:r>
    <w:r w:rsidR="008142FF">
      <w:instrText xml:space="preserve"> PAGE   \* MERGEFORMAT </w:instrText>
    </w:r>
    <w:r>
      <w:fldChar w:fldCharType="separate"/>
    </w:r>
    <w:r w:rsidR="00F249CE">
      <w:rPr>
        <w:noProof/>
      </w:rPr>
      <w:t>2</w:t>
    </w:r>
    <w:r>
      <w:rPr>
        <w:noProof/>
      </w:rPr>
      <w:fldChar w:fldCharType="end"/>
    </w:r>
  </w:p>
  <w:p w:rsidR="006B2A4B" w:rsidRPr="003234FA" w:rsidRDefault="006B2A4B" w:rsidP="0012110B">
    <w:pPr>
      <w:pStyle w:val="Header"/>
      <w:rPr>
        <w:szCs w:val="20"/>
      </w:rPr>
    </w:pPr>
    <w:r w:rsidRPr="003234FA">
      <w:rPr>
        <w:szCs w:val="20"/>
      </w:rPr>
      <w:t>Explanatory Statement</w:t>
    </w:r>
  </w:p>
  <w:p w:rsidR="006B2A4B" w:rsidRDefault="00D5709E" w:rsidP="0012110B">
    <w:pPr>
      <w:pStyle w:val="Header"/>
      <w:pBdr>
        <w:bottom w:val="single" w:sz="4" w:space="1" w:color="auto"/>
      </w:pBdr>
      <w:tabs>
        <w:tab w:val="clear" w:pos="4153"/>
        <w:tab w:val="left" w:pos="7740"/>
      </w:tabs>
      <w:rPr>
        <w:szCs w:val="20"/>
      </w:rPr>
    </w:pPr>
    <w:r w:rsidRPr="00DC33CF">
      <w:rPr>
        <w:szCs w:val="20"/>
      </w:rPr>
      <w:t>Vehicle Standard (</w:t>
    </w:r>
    <w:r w:rsidR="00194C83" w:rsidRPr="00791D27">
      <w:rPr>
        <w:szCs w:val="20"/>
      </w:rPr>
      <w:t xml:space="preserve">Australian Design Rule </w:t>
    </w:r>
    <w:r w:rsidR="00194C83">
      <w:rPr>
        <w:szCs w:val="20"/>
      </w:rPr>
      <w:t>14/02</w:t>
    </w:r>
    <w:r w:rsidR="00194C83" w:rsidRPr="00791D27">
      <w:rPr>
        <w:szCs w:val="20"/>
      </w:rPr>
      <w:t xml:space="preserve"> </w:t>
    </w:r>
    <w:r w:rsidR="00194C83">
      <w:rPr>
        <w:szCs w:val="20"/>
      </w:rPr>
      <w:t>- Rear Vision Mirrors</w:t>
    </w:r>
    <w:r w:rsidR="00194C83">
      <w:t>) 2006</w:t>
    </w:r>
    <w:r w:rsidR="003E571B">
      <w:t xml:space="preserve"> Amendment 1</w:t>
    </w:r>
  </w:p>
  <w:p w:rsidR="006B2A4B" w:rsidRDefault="006B2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42403"/>
    <w:multiLevelType w:val="hybridMultilevel"/>
    <w:tmpl w:val="9676B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nsid w:val="6F137C94"/>
    <w:multiLevelType w:val="hybridMultilevel"/>
    <w:tmpl w:val="FBBA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
  </w:num>
  <w:num w:numId="4">
    <w:abstractNumId w:val="14"/>
  </w:num>
  <w:num w:numId="5">
    <w:abstractNumId w:val="0"/>
  </w:num>
  <w:num w:numId="6">
    <w:abstractNumId w:val="13"/>
  </w:num>
  <w:num w:numId="7">
    <w:abstractNumId w:val="2"/>
  </w:num>
  <w:num w:numId="8">
    <w:abstractNumId w:val="10"/>
  </w:num>
  <w:num w:numId="9">
    <w:abstractNumId w:val="6"/>
  </w:num>
  <w:num w:numId="10">
    <w:abstractNumId w:val="12"/>
  </w:num>
  <w:num w:numId="11">
    <w:abstractNumId w:val="5"/>
  </w:num>
  <w:num w:numId="12">
    <w:abstractNumId w:val="8"/>
  </w:num>
  <w:num w:numId="13">
    <w:abstractNumId w:val="3"/>
  </w:num>
  <w:num w:numId="14">
    <w:abstractNumId w:val="7"/>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48"/>
    <w:rsid w:val="00003F3F"/>
    <w:rsid w:val="000157B0"/>
    <w:rsid w:val="000220C0"/>
    <w:rsid w:val="00022CA1"/>
    <w:rsid w:val="000245BE"/>
    <w:rsid w:val="00027929"/>
    <w:rsid w:val="0003223D"/>
    <w:rsid w:val="000335E2"/>
    <w:rsid w:val="000562F1"/>
    <w:rsid w:val="000640FC"/>
    <w:rsid w:val="00066F93"/>
    <w:rsid w:val="000713D8"/>
    <w:rsid w:val="000740DE"/>
    <w:rsid w:val="00074D90"/>
    <w:rsid w:val="00075396"/>
    <w:rsid w:val="0008418F"/>
    <w:rsid w:val="0008652F"/>
    <w:rsid w:val="000A2AB4"/>
    <w:rsid w:val="000A4D4D"/>
    <w:rsid w:val="000B1C73"/>
    <w:rsid w:val="000B3DBE"/>
    <w:rsid w:val="000C0E62"/>
    <w:rsid w:val="000C14D3"/>
    <w:rsid w:val="000C171E"/>
    <w:rsid w:val="000C57AC"/>
    <w:rsid w:val="000C7A88"/>
    <w:rsid w:val="000D3459"/>
    <w:rsid w:val="000D408B"/>
    <w:rsid w:val="000D44AB"/>
    <w:rsid w:val="000D6331"/>
    <w:rsid w:val="000E3161"/>
    <w:rsid w:val="000E3274"/>
    <w:rsid w:val="000E36A9"/>
    <w:rsid w:val="000E3CB6"/>
    <w:rsid w:val="000E46B1"/>
    <w:rsid w:val="000E6F99"/>
    <w:rsid w:val="000E7A76"/>
    <w:rsid w:val="000F4182"/>
    <w:rsid w:val="000F534E"/>
    <w:rsid w:val="000F793B"/>
    <w:rsid w:val="00101E42"/>
    <w:rsid w:val="00102EE7"/>
    <w:rsid w:val="00105209"/>
    <w:rsid w:val="00106C75"/>
    <w:rsid w:val="001143B9"/>
    <w:rsid w:val="0012110B"/>
    <w:rsid w:val="0013356D"/>
    <w:rsid w:val="00135B6F"/>
    <w:rsid w:val="00141FF9"/>
    <w:rsid w:val="0015067B"/>
    <w:rsid w:val="00152636"/>
    <w:rsid w:val="00155FE4"/>
    <w:rsid w:val="00160C84"/>
    <w:rsid w:val="00170AE8"/>
    <w:rsid w:val="001717FC"/>
    <w:rsid w:val="00171B84"/>
    <w:rsid w:val="00173BFD"/>
    <w:rsid w:val="0017428B"/>
    <w:rsid w:val="00174399"/>
    <w:rsid w:val="00177ADF"/>
    <w:rsid w:val="00187070"/>
    <w:rsid w:val="00187D37"/>
    <w:rsid w:val="00194C83"/>
    <w:rsid w:val="00197EE4"/>
    <w:rsid w:val="001B0EFB"/>
    <w:rsid w:val="001B38AA"/>
    <w:rsid w:val="001D17F3"/>
    <w:rsid w:val="001D3682"/>
    <w:rsid w:val="001E1A19"/>
    <w:rsid w:val="001E4169"/>
    <w:rsid w:val="001E6F6F"/>
    <w:rsid w:val="001E7240"/>
    <w:rsid w:val="00200879"/>
    <w:rsid w:val="002019EC"/>
    <w:rsid w:val="0020737C"/>
    <w:rsid w:val="002115C8"/>
    <w:rsid w:val="00212153"/>
    <w:rsid w:val="00216DD3"/>
    <w:rsid w:val="00217A33"/>
    <w:rsid w:val="00225589"/>
    <w:rsid w:val="0022575C"/>
    <w:rsid w:val="00226CB6"/>
    <w:rsid w:val="0022719C"/>
    <w:rsid w:val="00227A72"/>
    <w:rsid w:val="0023125C"/>
    <w:rsid w:val="00233F4B"/>
    <w:rsid w:val="00237831"/>
    <w:rsid w:val="002425A0"/>
    <w:rsid w:val="00242D6F"/>
    <w:rsid w:val="002449FF"/>
    <w:rsid w:val="00246F06"/>
    <w:rsid w:val="002501C9"/>
    <w:rsid w:val="002550C2"/>
    <w:rsid w:val="002640E7"/>
    <w:rsid w:val="00266FE7"/>
    <w:rsid w:val="00267FAC"/>
    <w:rsid w:val="00270FAD"/>
    <w:rsid w:val="002714C6"/>
    <w:rsid w:val="00282AAC"/>
    <w:rsid w:val="00283230"/>
    <w:rsid w:val="0028346B"/>
    <w:rsid w:val="002904A2"/>
    <w:rsid w:val="00292D0D"/>
    <w:rsid w:val="002968C5"/>
    <w:rsid w:val="002975C7"/>
    <w:rsid w:val="002A063C"/>
    <w:rsid w:val="002B1FE3"/>
    <w:rsid w:val="002B20F4"/>
    <w:rsid w:val="002B459D"/>
    <w:rsid w:val="002B574B"/>
    <w:rsid w:val="002B6EFC"/>
    <w:rsid w:val="002B7491"/>
    <w:rsid w:val="002B7CA5"/>
    <w:rsid w:val="002C066A"/>
    <w:rsid w:val="002C6C23"/>
    <w:rsid w:val="002D070C"/>
    <w:rsid w:val="002D3608"/>
    <w:rsid w:val="002D508E"/>
    <w:rsid w:val="002D5997"/>
    <w:rsid w:val="002D7277"/>
    <w:rsid w:val="002E1691"/>
    <w:rsid w:val="002E1BBE"/>
    <w:rsid w:val="002E37E2"/>
    <w:rsid w:val="002E5035"/>
    <w:rsid w:val="002E5D10"/>
    <w:rsid w:val="002E6D99"/>
    <w:rsid w:val="002F0BD8"/>
    <w:rsid w:val="002F17FE"/>
    <w:rsid w:val="002F3EEF"/>
    <w:rsid w:val="0030081B"/>
    <w:rsid w:val="003039C0"/>
    <w:rsid w:val="00304422"/>
    <w:rsid w:val="00310E9F"/>
    <w:rsid w:val="003119C5"/>
    <w:rsid w:val="003157F6"/>
    <w:rsid w:val="003210C8"/>
    <w:rsid w:val="00334827"/>
    <w:rsid w:val="00341EF6"/>
    <w:rsid w:val="003443C2"/>
    <w:rsid w:val="003447E5"/>
    <w:rsid w:val="00344A42"/>
    <w:rsid w:val="00347408"/>
    <w:rsid w:val="00347940"/>
    <w:rsid w:val="0035037C"/>
    <w:rsid w:val="00350BE9"/>
    <w:rsid w:val="00353C97"/>
    <w:rsid w:val="00353DBD"/>
    <w:rsid w:val="003567BF"/>
    <w:rsid w:val="0036261D"/>
    <w:rsid w:val="00365500"/>
    <w:rsid w:val="00370FED"/>
    <w:rsid w:val="00373116"/>
    <w:rsid w:val="003736E6"/>
    <w:rsid w:val="003737A4"/>
    <w:rsid w:val="00373A7D"/>
    <w:rsid w:val="003778A3"/>
    <w:rsid w:val="0039439E"/>
    <w:rsid w:val="00395DAB"/>
    <w:rsid w:val="00396C92"/>
    <w:rsid w:val="003A3373"/>
    <w:rsid w:val="003A37E6"/>
    <w:rsid w:val="003A45FB"/>
    <w:rsid w:val="003A4F94"/>
    <w:rsid w:val="003B08C9"/>
    <w:rsid w:val="003B220C"/>
    <w:rsid w:val="003B2EB6"/>
    <w:rsid w:val="003B3887"/>
    <w:rsid w:val="003B4057"/>
    <w:rsid w:val="003B4482"/>
    <w:rsid w:val="003B6992"/>
    <w:rsid w:val="003C0EB6"/>
    <w:rsid w:val="003D1AB8"/>
    <w:rsid w:val="003D3D0D"/>
    <w:rsid w:val="003D3D19"/>
    <w:rsid w:val="003D7A8F"/>
    <w:rsid w:val="003E2474"/>
    <w:rsid w:val="003E2522"/>
    <w:rsid w:val="003E2ACE"/>
    <w:rsid w:val="003E5643"/>
    <w:rsid w:val="003E56E7"/>
    <w:rsid w:val="003E571B"/>
    <w:rsid w:val="003F01D5"/>
    <w:rsid w:val="003F0AC5"/>
    <w:rsid w:val="003F25A8"/>
    <w:rsid w:val="003F4B5B"/>
    <w:rsid w:val="003F51E5"/>
    <w:rsid w:val="003F6981"/>
    <w:rsid w:val="003F753C"/>
    <w:rsid w:val="00402B28"/>
    <w:rsid w:val="00404CC7"/>
    <w:rsid w:val="00405FA8"/>
    <w:rsid w:val="00410063"/>
    <w:rsid w:val="00412A94"/>
    <w:rsid w:val="004161CF"/>
    <w:rsid w:val="004174F7"/>
    <w:rsid w:val="00422A41"/>
    <w:rsid w:val="00426BF7"/>
    <w:rsid w:val="00431883"/>
    <w:rsid w:val="00433473"/>
    <w:rsid w:val="00436451"/>
    <w:rsid w:val="00437142"/>
    <w:rsid w:val="00441D7B"/>
    <w:rsid w:val="00442D5E"/>
    <w:rsid w:val="004433E1"/>
    <w:rsid w:val="004454CA"/>
    <w:rsid w:val="00450F3A"/>
    <w:rsid w:val="00453027"/>
    <w:rsid w:val="004619D3"/>
    <w:rsid w:val="00464026"/>
    <w:rsid w:val="00476B93"/>
    <w:rsid w:val="00477592"/>
    <w:rsid w:val="00485D93"/>
    <w:rsid w:val="00485E16"/>
    <w:rsid w:val="0049576F"/>
    <w:rsid w:val="004A7D83"/>
    <w:rsid w:val="004B17C6"/>
    <w:rsid w:val="004C52F0"/>
    <w:rsid w:val="004C68B7"/>
    <w:rsid w:val="004C77FE"/>
    <w:rsid w:val="004D6CC1"/>
    <w:rsid w:val="004D785B"/>
    <w:rsid w:val="004E210A"/>
    <w:rsid w:val="004E3903"/>
    <w:rsid w:val="004E7515"/>
    <w:rsid w:val="004F747E"/>
    <w:rsid w:val="005022F7"/>
    <w:rsid w:val="00510E74"/>
    <w:rsid w:val="0051368F"/>
    <w:rsid w:val="00517B14"/>
    <w:rsid w:val="00525905"/>
    <w:rsid w:val="0053359C"/>
    <w:rsid w:val="005338E3"/>
    <w:rsid w:val="00536F80"/>
    <w:rsid w:val="0054701F"/>
    <w:rsid w:val="0055053C"/>
    <w:rsid w:val="00550A6B"/>
    <w:rsid w:val="00560C37"/>
    <w:rsid w:val="00561BCD"/>
    <w:rsid w:val="00564479"/>
    <w:rsid w:val="0056701E"/>
    <w:rsid w:val="005725C2"/>
    <w:rsid w:val="005753E3"/>
    <w:rsid w:val="00581C0B"/>
    <w:rsid w:val="00586887"/>
    <w:rsid w:val="0059095D"/>
    <w:rsid w:val="00592345"/>
    <w:rsid w:val="00594765"/>
    <w:rsid w:val="00595B2F"/>
    <w:rsid w:val="005963A1"/>
    <w:rsid w:val="00596853"/>
    <w:rsid w:val="005B114C"/>
    <w:rsid w:val="005B1D19"/>
    <w:rsid w:val="005C46E4"/>
    <w:rsid w:val="005C48D4"/>
    <w:rsid w:val="005C65A4"/>
    <w:rsid w:val="005D100B"/>
    <w:rsid w:val="005D21F5"/>
    <w:rsid w:val="005D79C8"/>
    <w:rsid w:val="005E2B4C"/>
    <w:rsid w:val="005F0774"/>
    <w:rsid w:val="005F1B3E"/>
    <w:rsid w:val="005F26EF"/>
    <w:rsid w:val="005F43D7"/>
    <w:rsid w:val="005F58B0"/>
    <w:rsid w:val="005F7227"/>
    <w:rsid w:val="005F7F32"/>
    <w:rsid w:val="0060390A"/>
    <w:rsid w:val="00606506"/>
    <w:rsid w:val="006132B9"/>
    <w:rsid w:val="006136AA"/>
    <w:rsid w:val="00614AE7"/>
    <w:rsid w:val="0062622F"/>
    <w:rsid w:val="00626DBC"/>
    <w:rsid w:val="00630795"/>
    <w:rsid w:val="00631C7E"/>
    <w:rsid w:val="006334AE"/>
    <w:rsid w:val="00633730"/>
    <w:rsid w:val="00633A06"/>
    <w:rsid w:val="00635090"/>
    <w:rsid w:val="006434F1"/>
    <w:rsid w:val="006438BB"/>
    <w:rsid w:val="006440AF"/>
    <w:rsid w:val="00645C09"/>
    <w:rsid w:val="00652448"/>
    <w:rsid w:val="00654C03"/>
    <w:rsid w:val="00662397"/>
    <w:rsid w:val="00663810"/>
    <w:rsid w:val="00672700"/>
    <w:rsid w:val="00680C49"/>
    <w:rsid w:val="006815B3"/>
    <w:rsid w:val="00681FF3"/>
    <w:rsid w:val="0069365C"/>
    <w:rsid w:val="00694C9C"/>
    <w:rsid w:val="00696758"/>
    <w:rsid w:val="006A0D9E"/>
    <w:rsid w:val="006A3C57"/>
    <w:rsid w:val="006A5E2A"/>
    <w:rsid w:val="006A6CDC"/>
    <w:rsid w:val="006B2A4B"/>
    <w:rsid w:val="006B55BE"/>
    <w:rsid w:val="006B7D2E"/>
    <w:rsid w:val="006B7D5F"/>
    <w:rsid w:val="006C1E06"/>
    <w:rsid w:val="006C2BDC"/>
    <w:rsid w:val="006C4478"/>
    <w:rsid w:val="006C69D9"/>
    <w:rsid w:val="006D3438"/>
    <w:rsid w:val="006D3E64"/>
    <w:rsid w:val="006D4998"/>
    <w:rsid w:val="006D5556"/>
    <w:rsid w:val="006D6283"/>
    <w:rsid w:val="006E4CDA"/>
    <w:rsid w:val="006F2BF5"/>
    <w:rsid w:val="006F2E05"/>
    <w:rsid w:val="006F6F26"/>
    <w:rsid w:val="007011DC"/>
    <w:rsid w:val="00707003"/>
    <w:rsid w:val="007136C2"/>
    <w:rsid w:val="0071541C"/>
    <w:rsid w:val="007243F0"/>
    <w:rsid w:val="0073109B"/>
    <w:rsid w:val="00733478"/>
    <w:rsid w:val="007358A7"/>
    <w:rsid w:val="00743AC9"/>
    <w:rsid w:val="00743B9A"/>
    <w:rsid w:val="00747F6A"/>
    <w:rsid w:val="00760342"/>
    <w:rsid w:val="00760426"/>
    <w:rsid w:val="00762957"/>
    <w:rsid w:val="007653BB"/>
    <w:rsid w:val="007668B6"/>
    <w:rsid w:val="007753E7"/>
    <w:rsid w:val="0078303D"/>
    <w:rsid w:val="00785BEC"/>
    <w:rsid w:val="00785C95"/>
    <w:rsid w:val="00792C5E"/>
    <w:rsid w:val="00796570"/>
    <w:rsid w:val="007A1559"/>
    <w:rsid w:val="007A1E1A"/>
    <w:rsid w:val="007A36C3"/>
    <w:rsid w:val="007A3BB4"/>
    <w:rsid w:val="007A576D"/>
    <w:rsid w:val="007B14D6"/>
    <w:rsid w:val="007B247C"/>
    <w:rsid w:val="007B6B17"/>
    <w:rsid w:val="007C337C"/>
    <w:rsid w:val="007C454A"/>
    <w:rsid w:val="007C7E7E"/>
    <w:rsid w:val="007D28E4"/>
    <w:rsid w:val="007D64F5"/>
    <w:rsid w:val="007D65A6"/>
    <w:rsid w:val="007D671C"/>
    <w:rsid w:val="007E69D0"/>
    <w:rsid w:val="007F1CA7"/>
    <w:rsid w:val="007F3A3C"/>
    <w:rsid w:val="00811BFA"/>
    <w:rsid w:val="008142FF"/>
    <w:rsid w:val="00816F99"/>
    <w:rsid w:val="008205EF"/>
    <w:rsid w:val="0082139D"/>
    <w:rsid w:val="008235EB"/>
    <w:rsid w:val="00827FAE"/>
    <w:rsid w:val="008353AD"/>
    <w:rsid w:val="008356AB"/>
    <w:rsid w:val="00836D1B"/>
    <w:rsid w:val="00845ABF"/>
    <w:rsid w:val="00846B0F"/>
    <w:rsid w:val="008470F8"/>
    <w:rsid w:val="0085194A"/>
    <w:rsid w:val="00854C95"/>
    <w:rsid w:val="008553C3"/>
    <w:rsid w:val="0085695A"/>
    <w:rsid w:val="0085751C"/>
    <w:rsid w:val="00862803"/>
    <w:rsid w:val="00863EF3"/>
    <w:rsid w:val="00863F76"/>
    <w:rsid w:val="00865F2F"/>
    <w:rsid w:val="00872B7C"/>
    <w:rsid w:val="00875846"/>
    <w:rsid w:val="00880D9C"/>
    <w:rsid w:val="0088281D"/>
    <w:rsid w:val="00887FC8"/>
    <w:rsid w:val="008905F3"/>
    <w:rsid w:val="008933EB"/>
    <w:rsid w:val="00896B15"/>
    <w:rsid w:val="008A1EBB"/>
    <w:rsid w:val="008A4638"/>
    <w:rsid w:val="008A51A2"/>
    <w:rsid w:val="008A5F73"/>
    <w:rsid w:val="008B457B"/>
    <w:rsid w:val="008C0815"/>
    <w:rsid w:val="008C185F"/>
    <w:rsid w:val="008C1BC3"/>
    <w:rsid w:val="008C3DED"/>
    <w:rsid w:val="008C5907"/>
    <w:rsid w:val="008C605A"/>
    <w:rsid w:val="008C7693"/>
    <w:rsid w:val="008D1860"/>
    <w:rsid w:val="008D374F"/>
    <w:rsid w:val="008F2C8A"/>
    <w:rsid w:val="008F6DCD"/>
    <w:rsid w:val="008F74E6"/>
    <w:rsid w:val="009007C9"/>
    <w:rsid w:val="0090191B"/>
    <w:rsid w:val="009043D9"/>
    <w:rsid w:val="009074B5"/>
    <w:rsid w:val="00910D6C"/>
    <w:rsid w:val="0091237F"/>
    <w:rsid w:val="00917571"/>
    <w:rsid w:val="00921439"/>
    <w:rsid w:val="00922A50"/>
    <w:rsid w:val="009231EC"/>
    <w:rsid w:val="009272D0"/>
    <w:rsid w:val="00927FBE"/>
    <w:rsid w:val="009327EF"/>
    <w:rsid w:val="0093299E"/>
    <w:rsid w:val="00933218"/>
    <w:rsid w:val="00934F06"/>
    <w:rsid w:val="00935B60"/>
    <w:rsid w:val="00937B65"/>
    <w:rsid w:val="00940B32"/>
    <w:rsid w:val="00944396"/>
    <w:rsid w:val="00946AE0"/>
    <w:rsid w:val="00950BD1"/>
    <w:rsid w:val="00950F8F"/>
    <w:rsid w:val="0095143D"/>
    <w:rsid w:val="0095255D"/>
    <w:rsid w:val="00952B82"/>
    <w:rsid w:val="0095554F"/>
    <w:rsid w:val="00956D94"/>
    <w:rsid w:val="00957B66"/>
    <w:rsid w:val="00961F3B"/>
    <w:rsid w:val="00963ABC"/>
    <w:rsid w:val="00971128"/>
    <w:rsid w:val="00973CB3"/>
    <w:rsid w:val="00976110"/>
    <w:rsid w:val="00977D17"/>
    <w:rsid w:val="009846F3"/>
    <w:rsid w:val="00985846"/>
    <w:rsid w:val="009860B3"/>
    <w:rsid w:val="00996AA3"/>
    <w:rsid w:val="00997893"/>
    <w:rsid w:val="009A1670"/>
    <w:rsid w:val="009A38D2"/>
    <w:rsid w:val="009A3B5E"/>
    <w:rsid w:val="009A40C7"/>
    <w:rsid w:val="009C0B8F"/>
    <w:rsid w:val="009C1BA6"/>
    <w:rsid w:val="009C1F80"/>
    <w:rsid w:val="009C3304"/>
    <w:rsid w:val="009C407C"/>
    <w:rsid w:val="009C69B1"/>
    <w:rsid w:val="009C6FCA"/>
    <w:rsid w:val="009D2E35"/>
    <w:rsid w:val="009D6FB6"/>
    <w:rsid w:val="009E6091"/>
    <w:rsid w:val="009E67A7"/>
    <w:rsid w:val="009E7D0B"/>
    <w:rsid w:val="009F04AC"/>
    <w:rsid w:val="009F5065"/>
    <w:rsid w:val="009F5254"/>
    <w:rsid w:val="009F6964"/>
    <w:rsid w:val="009F75E4"/>
    <w:rsid w:val="00A01B43"/>
    <w:rsid w:val="00A065ED"/>
    <w:rsid w:val="00A06839"/>
    <w:rsid w:val="00A1063D"/>
    <w:rsid w:val="00A10F22"/>
    <w:rsid w:val="00A13488"/>
    <w:rsid w:val="00A2496B"/>
    <w:rsid w:val="00A25D5B"/>
    <w:rsid w:val="00A27335"/>
    <w:rsid w:val="00A30666"/>
    <w:rsid w:val="00A30939"/>
    <w:rsid w:val="00A30DC9"/>
    <w:rsid w:val="00A321D7"/>
    <w:rsid w:val="00A34A31"/>
    <w:rsid w:val="00A35B99"/>
    <w:rsid w:val="00A362A2"/>
    <w:rsid w:val="00A36FAB"/>
    <w:rsid w:val="00A40CD4"/>
    <w:rsid w:val="00A42D23"/>
    <w:rsid w:val="00A43237"/>
    <w:rsid w:val="00A477DC"/>
    <w:rsid w:val="00A501A3"/>
    <w:rsid w:val="00A50768"/>
    <w:rsid w:val="00A51E84"/>
    <w:rsid w:val="00A5206F"/>
    <w:rsid w:val="00A53073"/>
    <w:rsid w:val="00A53C3C"/>
    <w:rsid w:val="00A54A7E"/>
    <w:rsid w:val="00A62388"/>
    <w:rsid w:val="00A63852"/>
    <w:rsid w:val="00A63A1A"/>
    <w:rsid w:val="00A63FE4"/>
    <w:rsid w:val="00A65A2C"/>
    <w:rsid w:val="00A65E15"/>
    <w:rsid w:val="00A66D92"/>
    <w:rsid w:val="00A67D0C"/>
    <w:rsid w:val="00A71585"/>
    <w:rsid w:val="00A8189D"/>
    <w:rsid w:val="00A82184"/>
    <w:rsid w:val="00A82B4B"/>
    <w:rsid w:val="00A8398A"/>
    <w:rsid w:val="00A864E1"/>
    <w:rsid w:val="00A86509"/>
    <w:rsid w:val="00A8675A"/>
    <w:rsid w:val="00AA319A"/>
    <w:rsid w:val="00AA3817"/>
    <w:rsid w:val="00AA3C7B"/>
    <w:rsid w:val="00AB119D"/>
    <w:rsid w:val="00AB42B4"/>
    <w:rsid w:val="00AB6B4E"/>
    <w:rsid w:val="00AC40BD"/>
    <w:rsid w:val="00AC74A7"/>
    <w:rsid w:val="00AC79ED"/>
    <w:rsid w:val="00AE3600"/>
    <w:rsid w:val="00AE4F77"/>
    <w:rsid w:val="00AE5123"/>
    <w:rsid w:val="00AE52FE"/>
    <w:rsid w:val="00AE5AB2"/>
    <w:rsid w:val="00AE6EF0"/>
    <w:rsid w:val="00AE7E33"/>
    <w:rsid w:val="00AF5477"/>
    <w:rsid w:val="00B021A4"/>
    <w:rsid w:val="00B03FF8"/>
    <w:rsid w:val="00B07906"/>
    <w:rsid w:val="00B07B3F"/>
    <w:rsid w:val="00B129D9"/>
    <w:rsid w:val="00B1441E"/>
    <w:rsid w:val="00B14F33"/>
    <w:rsid w:val="00B25A3B"/>
    <w:rsid w:val="00B27156"/>
    <w:rsid w:val="00B31E5C"/>
    <w:rsid w:val="00B36270"/>
    <w:rsid w:val="00B45F4C"/>
    <w:rsid w:val="00B468E6"/>
    <w:rsid w:val="00B50379"/>
    <w:rsid w:val="00B50DFD"/>
    <w:rsid w:val="00B5379B"/>
    <w:rsid w:val="00B559A6"/>
    <w:rsid w:val="00B56230"/>
    <w:rsid w:val="00B570A7"/>
    <w:rsid w:val="00B633CD"/>
    <w:rsid w:val="00B64155"/>
    <w:rsid w:val="00B779DB"/>
    <w:rsid w:val="00B81CED"/>
    <w:rsid w:val="00B83C7F"/>
    <w:rsid w:val="00B84E3B"/>
    <w:rsid w:val="00B92896"/>
    <w:rsid w:val="00B97E32"/>
    <w:rsid w:val="00BA0190"/>
    <w:rsid w:val="00BA233E"/>
    <w:rsid w:val="00BA4F48"/>
    <w:rsid w:val="00BA7601"/>
    <w:rsid w:val="00BB05C3"/>
    <w:rsid w:val="00BB267D"/>
    <w:rsid w:val="00BB5D41"/>
    <w:rsid w:val="00BC1371"/>
    <w:rsid w:val="00BC2B83"/>
    <w:rsid w:val="00BC77EA"/>
    <w:rsid w:val="00BE4399"/>
    <w:rsid w:val="00BE44C6"/>
    <w:rsid w:val="00BE51BB"/>
    <w:rsid w:val="00BE5C7D"/>
    <w:rsid w:val="00C01432"/>
    <w:rsid w:val="00C02832"/>
    <w:rsid w:val="00C030D6"/>
    <w:rsid w:val="00C03DAD"/>
    <w:rsid w:val="00C04554"/>
    <w:rsid w:val="00C11D56"/>
    <w:rsid w:val="00C12E27"/>
    <w:rsid w:val="00C15408"/>
    <w:rsid w:val="00C16AC9"/>
    <w:rsid w:val="00C17636"/>
    <w:rsid w:val="00C20AA8"/>
    <w:rsid w:val="00C271D6"/>
    <w:rsid w:val="00C319A8"/>
    <w:rsid w:val="00C319F9"/>
    <w:rsid w:val="00C35C89"/>
    <w:rsid w:val="00C45889"/>
    <w:rsid w:val="00C476BC"/>
    <w:rsid w:val="00C501A5"/>
    <w:rsid w:val="00C5119E"/>
    <w:rsid w:val="00C52421"/>
    <w:rsid w:val="00C52AD3"/>
    <w:rsid w:val="00C56213"/>
    <w:rsid w:val="00C62060"/>
    <w:rsid w:val="00C6582D"/>
    <w:rsid w:val="00C667DD"/>
    <w:rsid w:val="00C67E74"/>
    <w:rsid w:val="00C7166F"/>
    <w:rsid w:val="00C7224A"/>
    <w:rsid w:val="00C72F93"/>
    <w:rsid w:val="00C74150"/>
    <w:rsid w:val="00C7636C"/>
    <w:rsid w:val="00C80926"/>
    <w:rsid w:val="00C818D7"/>
    <w:rsid w:val="00C847AA"/>
    <w:rsid w:val="00C8623E"/>
    <w:rsid w:val="00C87C30"/>
    <w:rsid w:val="00C92559"/>
    <w:rsid w:val="00C978A1"/>
    <w:rsid w:val="00CA25DB"/>
    <w:rsid w:val="00CA46B8"/>
    <w:rsid w:val="00CA51A0"/>
    <w:rsid w:val="00CA6875"/>
    <w:rsid w:val="00CA7778"/>
    <w:rsid w:val="00CA7971"/>
    <w:rsid w:val="00CA7F62"/>
    <w:rsid w:val="00CA7FA6"/>
    <w:rsid w:val="00CB0314"/>
    <w:rsid w:val="00CB2CAE"/>
    <w:rsid w:val="00CB3A64"/>
    <w:rsid w:val="00CB5631"/>
    <w:rsid w:val="00CB5A16"/>
    <w:rsid w:val="00CC28A7"/>
    <w:rsid w:val="00CC66C8"/>
    <w:rsid w:val="00CD02EB"/>
    <w:rsid w:val="00CD21F7"/>
    <w:rsid w:val="00CD3BF9"/>
    <w:rsid w:val="00CD4822"/>
    <w:rsid w:val="00CD54A0"/>
    <w:rsid w:val="00CD7B08"/>
    <w:rsid w:val="00CE2B7C"/>
    <w:rsid w:val="00CE757E"/>
    <w:rsid w:val="00CE7CEC"/>
    <w:rsid w:val="00CF0DE5"/>
    <w:rsid w:val="00CF6DAA"/>
    <w:rsid w:val="00CF7B2E"/>
    <w:rsid w:val="00D0611E"/>
    <w:rsid w:val="00D07716"/>
    <w:rsid w:val="00D12D5E"/>
    <w:rsid w:val="00D1453C"/>
    <w:rsid w:val="00D160C9"/>
    <w:rsid w:val="00D17622"/>
    <w:rsid w:val="00D20CAA"/>
    <w:rsid w:val="00D2209E"/>
    <w:rsid w:val="00D322CE"/>
    <w:rsid w:val="00D36368"/>
    <w:rsid w:val="00D41F82"/>
    <w:rsid w:val="00D42676"/>
    <w:rsid w:val="00D42718"/>
    <w:rsid w:val="00D43A16"/>
    <w:rsid w:val="00D47605"/>
    <w:rsid w:val="00D50541"/>
    <w:rsid w:val="00D514DB"/>
    <w:rsid w:val="00D53571"/>
    <w:rsid w:val="00D5709E"/>
    <w:rsid w:val="00D60FA3"/>
    <w:rsid w:val="00D647E7"/>
    <w:rsid w:val="00D64E3D"/>
    <w:rsid w:val="00D650FB"/>
    <w:rsid w:val="00D6618A"/>
    <w:rsid w:val="00D747D8"/>
    <w:rsid w:val="00D7635A"/>
    <w:rsid w:val="00D81A4E"/>
    <w:rsid w:val="00D835B4"/>
    <w:rsid w:val="00D850AF"/>
    <w:rsid w:val="00D86FF6"/>
    <w:rsid w:val="00D8777D"/>
    <w:rsid w:val="00D914B4"/>
    <w:rsid w:val="00D91886"/>
    <w:rsid w:val="00D92FE3"/>
    <w:rsid w:val="00D952C5"/>
    <w:rsid w:val="00D96789"/>
    <w:rsid w:val="00DA325E"/>
    <w:rsid w:val="00DA4154"/>
    <w:rsid w:val="00DA45D5"/>
    <w:rsid w:val="00DB3101"/>
    <w:rsid w:val="00DC4200"/>
    <w:rsid w:val="00DC7027"/>
    <w:rsid w:val="00DD375E"/>
    <w:rsid w:val="00DD3D05"/>
    <w:rsid w:val="00DD51BB"/>
    <w:rsid w:val="00DD5EA6"/>
    <w:rsid w:val="00DD6F4A"/>
    <w:rsid w:val="00DE0385"/>
    <w:rsid w:val="00DE1C49"/>
    <w:rsid w:val="00DF203C"/>
    <w:rsid w:val="00DF4F8A"/>
    <w:rsid w:val="00DF536E"/>
    <w:rsid w:val="00E03457"/>
    <w:rsid w:val="00E0625B"/>
    <w:rsid w:val="00E069A2"/>
    <w:rsid w:val="00E13FD9"/>
    <w:rsid w:val="00E261F6"/>
    <w:rsid w:val="00E32662"/>
    <w:rsid w:val="00E36D21"/>
    <w:rsid w:val="00E3785E"/>
    <w:rsid w:val="00E43E64"/>
    <w:rsid w:val="00E44BDA"/>
    <w:rsid w:val="00E45699"/>
    <w:rsid w:val="00E4695D"/>
    <w:rsid w:val="00E4712A"/>
    <w:rsid w:val="00E52D65"/>
    <w:rsid w:val="00E55368"/>
    <w:rsid w:val="00E5721E"/>
    <w:rsid w:val="00E61E45"/>
    <w:rsid w:val="00E70210"/>
    <w:rsid w:val="00E708DE"/>
    <w:rsid w:val="00E72475"/>
    <w:rsid w:val="00E80BD7"/>
    <w:rsid w:val="00E82B1F"/>
    <w:rsid w:val="00E82C94"/>
    <w:rsid w:val="00E8388B"/>
    <w:rsid w:val="00E86850"/>
    <w:rsid w:val="00E919FA"/>
    <w:rsid w:val="00E91E6B"/>
    <w:rsid w:val="00E9296B"/>
    <w:rsid w:val="00E9460A"/>
    <w:rsid w:val="00E952CB"/>
    <w:rsid w:val="00EA1477"/>
    <w:rsid w:val="00EA57A3"/>
    <w:rsid w:val="00EB037C"/>
    <w:rsid w:val="00EB07AF"/>
    <w:rsid w:val="00EB0B49"/>
    <w:rsid w:val="00EB1C77"/>
    <w:rsid w:val="00EB3DE0"/>
    <w:rsid w:val="00EB5F9C"/>
    <w:rsid w:val="00EB7D96"/>
    <w:rsid w:val="00EC3B6B"/>
    <w:rsid w:val="00EC6915"/>
    <w:rsid w:val="00EC7758"/>
    <w:rsid w:val="00ED3152"/>
    <w:rsid w:val="00ED3E7E"/>
    <w:rsid w:val="00ED4DF9"/>
    <w:rsid w:val="00EE2C80"/>
    <w:rsid w:val="00EE32E7"/>
    <w:rsid w:val="00EF3239"/>
    <w:rsid w:val="00EF414D"/>
    <w:rsid w:val="00F10914"/>
    <w:rsid w:val="00F10C86"/>
    <w:rsid w:val="00F122DA"/>
    <w:rsid w:val="00F12511"/>
    <w:rsid w:val="00F14473"/>
    <w:rsid w:val="00F175EF"/>
    <w:rsid w:val="00F249CE"/>
    <w:rsid w:val="00F24B9A"/>
    <w:rsid w:val="00F37EEF"/>
    <w:rsid w:val="00F407EE"/>
    <w:rsid w:val="00F425AC"/>
    <w:rsid w:val="00F45D54"/>
    <w:rsid w:val="00F4754C"/>
    <w:rsid w:val="00F47E5E"/>
    <w:rsid w:val="00F51B92"/>
    <w:rsid w:val="00F553C0"/>
    <w:rsid w:val="00F56EDC"/>
    <w:rsid w:val="00F57937"/>
    <w:rsid w:val="00F6085C"/>
    <w:rsid w:val="00F648B2"/>
    <w:rsid w:val="00F65091"/>
    <w:rsid w:val="00F74E8C"/>
    <w:rsid w:val="00F7536E"/>
    <w:rsid w:val="00F80A33"/>
    <w:rsid w:val="00F82B48"/>
    <w:rsid w:val="00F8343B"/>
    <w:rsid w:val="00F83987"/>
    <w:rsid w:val="00F8665A"/>
    <w:rsid w:val="00F90262"/>
    <w:rsid w:val="00F92159"/>
    <w:rsid w:val="00F97BE5"/>
    <w:rsid w:val="00FA622B"/>
    <w:rsid w:val="00FA6A12"/>
    <w:rsid w:val="00FB2D24"/>
    <w:rsid w:val="00FB46FD"/>
    <w:rsid w:val="00FB64B7"/>
    <w:rsid w:val="00FC003D"/>
    <w:rsid w:val="00FC6B80"/>
    <w:rsid w:val="00FC7C4B"/>
    <w:rsid w:val="00FD59BF"/>
    <w:rsid w:val="00FD67A1"/>
    <w:rsid w:val="00FE05F0"/>
    <w:rsid w:val="00FE0A7B"/>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EA7F-E66B-4146-A426-916AB5E7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1613</Words>
  <Characters>9836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2014-10-09T03:03:00Z</dcterms:created>
  <dcterms:modified xsi:type="dcterms:W3CDTF">2014-12-02T03:40:00Z</dcterms:modified>
</cp:coreProperties>
</file>