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07" w:rsidRDefault="002436BD">
      <w:pPr>
        <w:pStyle w:val="Heading"/>
        <w:spacing w:before="120"/>
        <w:jc w:val="center"/>
        <w:rPr>
          <w:rFonts w:ascii="Times New Roman" w:hAnsi="Times New Roman"/>
          <w:sz w:val="24"/>
          <w:szCs w:val="24"/>
        </w:rPr>
      </w:pPr>
      <w:r w:rsidRPr="002C6D26">
        <w:rPr>
          <w:rFonts w:ascii="Times New Roman" w:hAnsi="Times New Roman"/>
          <w:sz w:val="24"/>
          <w:szCs w:val="24"/>
        </w:rPr>
        <w:t>Banking (prudential standard) determination</w:t>
      </w:r>
      <w:r w:rsidR="00940F92">
        <w:rPr>
          <w:rFonts w:ascii="Times New Roman" w:hAnsi="Times New Roman"/>
          <w:sz w:val="24"/>
          <w:szCs w:val="24"/>
        </w:rPr>
        <w:t>s</w:t>
      </w:r>
      <w:r w:rsidRPr="002C6D26">
        <w:rPr>
          <w:rFonts w:ascii="Times New Roman" w:hAnsi="Times New Roman"/>
          <w:sz w:val="24"/>
          <w:szCs w:val="24"/>
        </w:rPr>
        <w:t xml:space="preserve"> No</w:t>
      </w:r>
      <w:r w:rsidR="00AC1F0F">
        <w:rPr>
          <w:rFonts w:ascii="Times New Roman" w:hAnsi="Times New Roman"/>
          <w:sz w:val="24"/>
          <w:szCs w:val="24"/>
        </w:rPr>
        <w:t>s</w:t>
      </w:r>
      <w:r w:rsidRPr="002C6D26">
        <w:rPr>
          <w:rFonts w:ascii="Times New Roman" w:hAnsi="Times New Roman"/>
          <w:sz w:val="24"/>
          <w:szCs w:val="24"/>
        </w:rPr>
        <w:t xml:space="preserve">. </w:t>
      </w:r>
      <w:r w:rsidR="006C2F24" w:rsidRPr="007C7C72">
        <w:rPr>
          <w:rFonts w:ascii="Times New Roman" w:hAnsi="Times New Roman"/>
          <w:sz w:val="24"/>
          <w:szCs w:val="24"/>
        </w:rPr>
        <w:t>3</w:t>
      </w:r>
      <w:r w:rsidR="00AC1F0F">
        <w:rPr>
          <w:rFonts w:ascii="Times New Roman" w:hAnsi="Times New Roman"/>
          <w:sz w:val="24"/>
          <w:szCs w:val="24"/>
        </w:rPr>
        <w:t xml:space="preserve"> to </w:t>
      </w:r>
      <w:r w:rsidR="006C2F24" w:rsidRPr="007C7C72">
        <w:rPr>
          <w:rFonts w:ascii="Times New Roman" w:hAnsi="Times New Roman"/>
          <w:sz w:val="24"/>
          <w:szCs w:val="24"/>
        </w:rPr>
        <w:t>11</w:t>
      </w:r>
      <w:r w:rsidR="00AC1F0F">
        <w:rPr>
          <w:rFonts w:ascii="Times New Roman" w:hAnsi="Times New Roman"/>
          <w:sz w:val="24"/>
          <w:szCs w:val="24"/>
        </w:rPr>
        <w:t xml:space="preserve"> </w:t>
      </w:r>
      <w:r w:rsidR="00940F92">
        <w:rPr>
          <w:rFonts w:ascii="Times New Roman" w:hAnsi="Times New Roman"/>
          <w:sz w:val="24"/>
          <w:szCs w:val="24"/>
        </w:rPr>
        <w:t>of 201</w:t>
      </w:r>
      <w:r w:rsidR="00C37326">
        <w:rPr>
          <w:rFonts w:ascii="Times New Roman" w:hAnsi="Times New Roman"/>
          <w:sz w:val="24"/>
          <w:szCs w:val="24"/>
        </w:rPr>
        <w:t>4</w:t>
      </w:r>
    </w:p>
    <w:p w:rsidR="00234207" w:rsidRDefault="002436BD">
      <w:pPr>
        <w:pStyle w:val="Heading"/>
        <w:tabs>
          <w:tab w:val="left" w:pos="360"/>
        </w:tabs>
        <w:spacing w:before="12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rsidR="00234207" w:rsidRDefault="002436BD">
      <w:pPr>
        <w:pStyle w:val="Heading"/>
        <w:spacing w:before="12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rsidR="00234207" w:rsidRDefault="002436BD">
      <w:pPr>
        <w:pStyle w:val="Heading"/>
        <w:tabs>
          <w:tab w:val="left" w:pos="360"/>
        </w:tabs>
        <w:spacing w:before="120"/>
        <w:jc w:val="center"/>
        <w:rPr>
          <w:rFonts w:ascii="Times New Roman" w:hAnsi="Times New Roman"/>
          <w:b w:val="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rsidR="002436BD" w:rsidRPr="002C6D26" w:rsidRDefault="002436BD" w:rsidP="003771F3">
      <w:pPr>
        <w:pStyle w:val="Heading"/>
        <w:tabs>
          <w:tab w:val="left" w:pos="360"/>
        </w:tabs>
        <w:spacing w:before="120"/>
        <w:rPr>
          <w:rFonts w:ascii="Times New Roman" w:hAnsi="Times New Roman"/>
          <w:b w:val="0"/>
          <w:color w:val="000000"/>
          <w:sz w:val="24"/>
          <w:szCs w:val="24"/>
        </w:rPr>
      </w:pPr>
    </w:p>
    <w:p w:rsidR="002436BD" w:rsidRPr="002C6D26" w:rsidRDefault="00D12D91" w:rsidP="003771F3">
      <w:pPr>
        <w:widowControl w:val="0"/>
        <w:spacing w:before="120" w:after="60"/>
        <w:jc w:val="both"/>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11AF(1) of the </w:t>
      </w:r>
      <w:r w:rsidRPr="002C6D26">
        <w:rPr>
          <w:rFonts w:ascii="Times New Roman" w:hAnsi="Times New Roman"/>
          <w:i/>
          <w:sz w:val="24"/>
          <w:szCs w:val="24"/>
        </w:rPr>
        <w:t>Banking Act 1959</w:t>
      </w:r>
      <w:r w:rsidRPr="002C6D26">
        <w:rPr>
          <w:rFonts w:ascii="Times New Roman" w:hAnsi="Times New Roman"/>
          <w:sz w:val="24"/>
          <w:szCs w:val="24"/>
        </w:rPr>
        <w:t xml:space="preserve"> (</w:t>
      </w:r>
      <w:r w:rsidRPr="00BA3C4F">
        <w:rPr>
          <w:rFonts w:ascii="Times New Roman" w:hAnsi="Times New Roman"/>
          <w:sz w:val="24"/>
          <w:szCs w:val="24"/>
        </w:rPr>
        <w:t>the</w:t>
      </w:r>
      <w:r w:rsidRPr="002C6D26">
        <w:rPr>
          <w:rFonts w:ascii="Times New Roman" w:hAnsi="Times New Roman"/>
          <w:b/>
          <w:i/>
          <w:sz w:val="24"/>
          <w:szCs w:val="24"/>
        </w:rPr>
        <w:t xml:space="preserve"> </w:t>
      </w:r>
      <w:r w:rsidRPr="005B1CDA">
        <w:rPr>
          <w:rFonts w:ascii="Times New Roman" w:hAnsi="Times New Roman"/>
          <w:b/>
          <w:sz w:val="24"/>
          <w:szCs w:val="24"/>
        </w:rPr>
        <w:t>Act</w:t>
      </w:r>
      <w:r w:rsidRPr="002C6D26">
        <w:rPr>
          <w:rFonts w:ascii="Times New Roman" w:hAnsi="Times New Roman"/>
          <w:sz w:val="24"/>
          <w:szCs w:val="24"/>
        </w:rPr>
        <w:t>), APRA has the power to determine standards (</w:t>
      </w:r>
      <w:r w:rsidRPr="005B1CDA">
        <w:rPr>
          <w:rFonts w:ascii="Times New Roman" w:hAnsi="Times New Roman"/>
          <w:b/>
          <w:sz w:val="24"/>
          <w:szCs w:val="24"/>
        </w:rPr>
        <w:t>prudential standards</w:t>
      </w:r>
      <w:r w:rsidRPr="002C6D26">
        <w:rPr>
          <w:rFonts w:ascii="Times New Roman" w:hAnsi="Times New Roman"/>
          <w:sz w:val="24"/>
          <w:szCs w:val="24"/>
        </w:rPr>
        <w:t>), in writing, in relation to prudential matters to be complied with by authorised deposit-taking institutions (</w:t>
      </w:r>
      <w:r w:rsidRPr="005B1CDA">
        <w:rPr>
          <w:rFonts w:ascii="Times New Roman" w:hAnsi="Times New Roman"/>
          <w:b/>
          <w:sz w:val="24"/>
          <w:szCs w:val="24"/>
        </w:rPr>
        <w:t>ADIs</w:t>
      </w:r>
      <w:r w:rsidRPr="002C6D26">
        <w:rPr>
          <w:rFonts w:ascii="Times New Roman" w:hAnsi="Times New Roman"/>
          <w:sz w:val="24"/>
          <w:szCs w:val="24"/>
        </w:rPr>
        <w:t>) and authorised non-operating holding companies (</w:t>
      </w:r>
      <w:r w:rsidRPr="005B1CDA">
        <w:rPr>
          <w:rFonts w:ascii="Times New Roman" w:hAnsi="Times New Roman"/>
          <w:b/>
          <w:sz w:val="24"/>
          <w:szCs w:val="24"/>
        </w:rPr>
        <w:t>authorised NOHCs</w:t>
      </w:r>
      <w:r w:rsidRPr="002C6D26">
        <w:rPr>
          <w:rFonts w:ascii="Times New Roman" w:hAnsi="Times New Roman"/>
          <w:sz w:val="24"/>
          <w:szCs w:val="24"/>
        </w:rPr>
        <w:t xml:space="preserve">). Under subsection </w:t>
      </w:r>
      <w:r>
        <w:rPr>
          <w:rFonts w:ascii="Times New Roman" w:hAnsi="Times New Roman"/>
          <w:sz w:val="24"/>
          <w:szCs w:val="24"/>
        </w:rPr>
        <w:t>11AF</w:t>
      </w:r>
      <w:r w:rsidRPr="002C6D26">
        <w:rPr>
          <w:rFonts w:ascii="Times New Roman" w:hAnsi="Times New Roman"/>
          <w:sz w:val="24"/>
          <w:szCs w:val="24"/>
        </w:rPr>
        <w:t>(3) of the Act, APRA may, in writing, vary or revoke a prudential standard.</w:t>
      </w:r>
      <w:r w:rsidR="002436BD" w:rsidRPr="002C6D26">
        <w:rPr>
          <w:rFonts w:ascii="Times New Roman" w:hAnsi="Times New Roman"/>
          <w:sz w:val="24"/>
          <w:szCs w:val="24"/>
        </w:rPr>
        <w:t xml:space="preserve"> </w:t>
      </w:r>
    </w:p>
    <w:p w:rsidR="001A4EFF" w:rsidRDefault="001A4EFF" w:rsidP="003771F3">
      <w:pPr>
        <w:jc w:val="both"/>
        <w:rPr>
          <w:rFonts w:ascii="Times New Roman" w:hAnsi="Times New Roman"/>
          <w:sz w:val="24"/>
          <w:szCs w:val="24"/>
        </w:rPr>
      </w:pPr>
    </w:p>
    <w:p w:rsidR="00246723" w:rsidRPr="00246723" w:rsidRDefault="00CA1910" w:rsidP="003771F3">
      <w:pPr>
        <w:jc w:val="both"/>
        <w:rPr>
          <w:rFonts w:ascii="Times New Roman" w:hAnsi="Times New Roman"/>
          <w:sz w:val="24"/>
          <w:szCs w:val="24"/>
        </w:rPr>
      </w:pPr>
      <w:r>
        <w:rPr>
          <w:rFonts w:ascii="Times New Roman" w:hAnsi="Times New Roman"/>
          <w:sz w:val="24"/>
          <w:szCs w:val="24"/>
        </w:rPr>
        <w:t xml:space="preserve">On 3 </w:t>
      </w:r>
      <w:bookmarkStart w:id="3" w:name="_GoBack"/>
      <w:bookmarkEnd w:id="3"/>
      <w:r w:rsidR="007C7C72" w:rsidRPr="007C7C72">
        <w:rPr>
          <w:rFonts w:ascii="Times New Roman" w:hAnsi="Times New Roman"/>
          <w:sz w:val="24"/>
          <w:szCs w:val="24"/>
        </w:rPr>
        <w:t>December</w:t>
      </w:r>
      <w:r w:rsidR="007C7C72" w:rsidRPr="00246723">
        <w:rPr>
          <w:rFonts w:ascii="Times New Roman" w:hAnsi="Times New Roman"/>
          <w:sz w:val="24"/>
          <w:szCs w:val="24"/>
        </w:rPr>
        <w:t xml:space="preserve"> </w:t>
      </w:r>
      <w:r w:rsidR="00246723" w:rsidRPr="00246723">
        <w:rPr>
          <w:rFonts w:ascii="Times New Roman" w:hAnsi="Times New Roman"/>
          <w:sz w:val="24"/>
          <w:szCs w:val="24"/>
        </w:rPr>
        <w:t>APRA made the following determinations (the instruments):</w:t>
      </w:r>
    </w:p>
    <w:p w:rsidR="00AC7A56" w:rsidRDefault="00AC7A56" w:rsidP="005B1CDA">
      <w:pPr>
        <w:widowControl w:val="0"/>
        <w:spacing w:before="120" w:after="60"/>
        <w:ind w:left="567" w:hanging="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D12D91" w:rsidRPr="002C6D26">
        <w:rPr>
          <w:rFonts w:ascii="Times New Roman" w:hAnsi="Times New Roman"/>
          <w:sz w:val="24"/>
          <w:szCs w:val="24"/>
        </w:rPr>
        <w:t>Banking (prudenti</w:t>
      </w:r>
      <w:r w:rsidR="00BB1F58">
        <w:rPr>
          <w:rFonts w:ascii="Times New Roman" w:hAnsi="Times New Roman"/>
          <w:sz w:val="24"/>
          <w:szCs w:val="24"/>
        </w:rPr>
        <w:t xml:space="preserve">al standard) determination No. </w:t>
      </w:r>
      <w:r w:rsidR="002F7092" w:rsidRPr="001B58CF">
        <w:rPr>
          <w:rFonts w:ascii="Times New Roman" w:hAnsi="Times New Roman"/>
          <w:sz w:val="24"/>
          <w:szCs w:val="24"/>
        </w:rPr>
        <w:t>3</w:t>
      </w:r>
      <w:r w:rsidR="00BB1F58">
        <w:rPr>
          <w:rFonts w:ascii="Times New Roman" w:hAnsi="Times New Roman"/>
          <w:sz w:val="24"/>
          <w:szCs w:val="24"/>
        </w:rPr>
        <w:t xml:space="preserve"> of 201</w:t>
      </w:r>
      <w:r w:rsidR="008B4518">
        <w:rPr>
          <w:rFonts w:ascii="Times New Roman" w:hAnsi="Times New Roman"/>
          <w:sz w:val="24"/>
          <w:szCs w:val="24"/>
        </w:rPr>
        <w:t>4</w:t>
      </w:r>
      <w:r w:rsidR="00D12D91" w:rsidRPr="002C6D26">
        <w:rPr>
          <w:rFonts w:ascii="Times New Roman" w:hAnsi="Times New Roman"/>
          <w:sz w:val="24"/>
          <w:szCs w:val="24"/>
        </w:rPr>
        <w:t xml:space="preserve"> </w:t>
      </w:r>
      <w:r w:rsidR="00D12D91">
        <w:rPr>
          <w:rFonts w:ascii="Times New Roman" w:hAnsi="Times New Roman"/>
          <w:sz w:val="24"/>
          <w:szCs w:val="24"/>
        </w:rPr>
        <w:t>(the instrument)</w:t>
      </w:r>
      <w:r w:rsidR="00A47E64">
        <w:rPr>
          <w:rFonts w:ascii="Times New Roman" w:hAnsi="Times New Roman"/>
          <w:sz w:val="24"/>
          <w:szCs w:val="24"/>
        </w:rPr>
        <w:t>,</w:t>
      </w:r>
      <w:r w:rsidR="00D12D91">
        <w:rPr>
          <w:rFonts w:ascii="Times New Roman" w:hAnsi="Times New Roman"/>
          <w:sz w:val="24"/>
          <w:szCs w:val="24"/>
        </w:rPr>
        <w:t xml:space="preserve"> which </w:t>
      </w:r>
      <w:r w:rsidR="008B4518">
        <w:rPr>
          <w:rFonts w:ascii="Times New Roman" w:hAnsi="Times New Roman"/>
          <w:sz w:val="24"/>
          <w:szCs w:val="24"/>
        </w:rPr>
        <w:t xml:space="preserve">revokes </w:t>
      </w:r>
      <w:r w:rsidR="008B4518">
        <w:rPr>
          <w:rFonts w:ascii="Times New Roman" w:hAnsi="Times New Roman"/>
          <w:i/>
          <w:sz w:val="24"/>
          <w:szCs w:val="24"/>
        </w:rPr>
        <w:t xml:space="preserve">Prudential Standard APS 001 Definitions </w:t>
      </w:r>
      <w:r w:rsidR="008B4518">
        <w:rPr>
          <w:rFonts w:ascii="Times New Roman" w:hAnsi="Times New Roman"/>
          <w:sz w:val="24"/>
          <w:szCs w:val="24"/>
        </w:rPr>
        <w:t>made under Banking (prudential standard) determination No.2 of 2012</w:t>
      </w:r>
      <w:r w:rsidR="002F7092">
        <w:rPr>
          <w:rFonts w:ascii="Times New Roman" w:hAnsi="Times New Roman"/>
          <w:sz w:val="24"/>
          <w:szCs w:val="24"/>
        </w:rPr>
        <w:t>,</w:t>
      </w:r>
      <w:r w:rsidR="008B4518">
        <w:rPr>
          <w:rFonts w:ascii="Times New Roman" w:hAnsi="Times New Roman"/>
          <w:sz w:val="24"/>
          <w:szCs w:val="24"/>
        </w:rPr>
        <w:t xml:space="preserve"> </w:t>
      </w:r>
      <w:r w:rsidR="002F7092">
        <w:rPr>
          <w:rFonts w:ascii="Times New Roman" w:hAnsi="Times New Roman"/>
          <w:sz w:val="24"/>
          <w:szCs w:val="24"/>
        </w:rPr>
        <w:t xml:space="preserve">and </w:t>
      </w:r>
      <w:r w:rsidR="00D12D91">
        <w:rPr>
          <w:rFonts w:ascii="Times New Roman" w:hAnsi="Times New Roman"/>
          <w:sz w:val="24"/>
          <w:szCs w:val="24"/>
        </w:rPr>
        <w:t xml:space="preserve">determines a new </w:t>
      </w:r>
      <w:r w:rsidR="00D12D91">
        <w:rPr>
          <w:rFonts w:ascii="Times New Roman" w:hAnsi="Times New Roman"/>
          <w:i/>
          <w:sz w:val="24"/>
          <w:szCs w:val="24"/>
        </w:rPr>
        <w:t xml:space="preserve">Prudential Standard APS </w:t>
      </w:r>
      <w:r w:rsidR="00BB1F58">
        <w:rPr>
          <w:rFonts w:ascii="Times New Roman" w:hAnsi="Times New Roman"/>
          <w:i/>
          <w:sz w:val="24"/>
          <w:szCs w:val="24"/>
        </w:rPr>
        <w:t xml:space="preserve">001 Definitions </w:t>
      </w:r>
      <w:r w:rsidR="00D12D91" w:rsidRPr="001A698C">
        <w:rPr>
          <w:rFonts w:ascii="Times New Roman" w:hAnsi="Times New Roman"/>
          <w:sz w:val="24"/>
          <w:szCs w:val="24"/>
        </w:rPr>
        <w:t>(APS</w:t>
      </w:r>
      <w:r w:rsidR="00D12D91">
        <w:rPr>
          <w:rFonts w:ascii="Times New Roman" w:hAnsi="Times New Roman"/>
          <w:i/>
          <w:sz w:val="24"/>
          <w:szCs w:val="24"/>
        </w:rPr>
        <w:t xml:space="preserve"> </w:t>
      </w:r>
      <w:r w:rsidR="00BB1F58">
        <w:rPr>
          <w:rFonts w:ascii="Times New Roman" w:hAnsi="Times New Roman"/>
          <w:sz w:val="24"/>
          <w:szCs w:val="24"/>
        </w:rPr>
        <w:t>001</w:t>
      </w:r>
      <w:r w:rsidR="00D12D91" w:rsidRPr="001A698C">
        <w:rPr>
          <w:rFonts w:ascii="Times New Roman" w:hAnsi="Times New Roman"/>
          <w:sz w:val="24"/>
          <w:szCs w:val="24"/>
        </w:rPr>
        <w:t>)</w:t>
      </w:r>
      <w:r>
        <w:rPr>
          <w:rFonts w:ascii="Times New Roman" w:hAnsi="Times New Roman"/>
          <w:sz w:val="24"/>
          <w:szCs w:val="24"/>
        </w:rPr>
        <w:t>;</w:t>
      </w:r>
    </w:p>
    <w:p w:rsidR="00207E12" w:rsidRDefault="00207E12" w:rsidP="005B1CDA">
      <w:pPr>
        <w:widowControl w:val="0"/>
        <w:spacing w:before="120" w:after="60"/>
        <w:ind w:left="567" w:hanging="567"/>
        <w:jc w:val="both"/>
        <w:rPr>
          <w:rFonts w:ascii="Times New Roman" w:hAnsi="Times New Roman"/>
          <w:sz w:val="24"/>
          <w:szCs w:val="24"/>
        </w:rPr>
      </w:pPr>
      <w:r>
        <w:rPr>
          <w:rFonts w:ascii="Times New Roman" w:hAnsi="Times New Roman"/>
          <w:sz w:val="24"/>
          <w:szCs w:val="24"/>
        </w:rPr>
        <w:t>(</w:t>
      </w:r>
      <w:r w:rsidR="00E7573F">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Pr="002C6D26">
        <w:rPr>
          <w:rFonts w:ascii="Times New Roman" w:hAnsi="Times New Roman"/>
          <w:sz w:val="24"/>
          <w:szCs w:val="24"/>
        </w:rPr>
        <w:t>Banking (prudenti</w:t>
      </w:r>
      <w:r w:rsidR="00D34991">
        <w:rPr>
          <w:rFonts w:ascii="Times New Roman" w:hAnsi="Times New Roman"/>
          <w:sz w:val="24"/>
          <w:szCs w:val="24"/>
        </w:rPr>
        <w:t xml:space="preserve">al standard) determination No. </w:t>
      </w:r>
      <w:r w:rsidR="002F7092">
        <w:rPr>
          <w:rFonts w:ascii="Times New Roman" w:hAnsi="Times New Roman"/>
          <w:sz w:val="24"/>
          <w:szCs w:val="24"/>
        </w:rPr>
        <w:t>4</w:t>
      </w:r>
      <w:r w:rsidR="00D34991">
        <w:rPr>
          <w:rFonts w:ascii="Times New Roman" w:hAnsi="Times New Roman"/>
          <w:sz w:val="24"/>
          <w:szCs w:val="24"/>
        </w:rPr>
        <w:t xml:space="preserve"> of 201</w:t>
      </w:r>
      <w:r w:rsidR="00E7573F">
        <w:rPr>
          <w:rFonts w:ascii="Times New Roman" w:hAnsi="Times New Roman"/>
          <w:sz w:val="24"/>
          <w:szCs w:val="24"/>
        </w:rPr>
        <w:t>4</w:t>
      </w:r>
      <w:r w:rsidRPr="002C6D26">
        <w:rPr>
          <w:rFonts w:ascii="Times New Roman" w:hAnsi="Times New Roman"/>
          <w:sz w:val="24"/>
          <w:szCs w:val="24"/>
        </w:rPr>
        <w:t xml:space="preserve"> </w:t>
      </w:r>
      <w:r>
        <w:rPr>
          <w:rFonts w:ascii="Times New Roman" w:hAnsi="Times New Roman"/>
          <w:sz w:val="24"/>
          <w:szCs w:val="24"/>
        </w:rPr>
        <w:t>(the instrument)</w:t>
      </w:r>
      <w:r w:rsidR="00A47E64">
        <w:rPr>
          <w:rFonts w:ascii="Times New Roman" w:hAnsi="Times New Roman"/>
          <w:sz w:val="24"/>
          <w:szCs w:val="24"/>
        </w:rPr>
        <w:t>,</w:t>
      </w:r>
      <w:r>
        <w:rPr>
          <w:rFonts w:ascii="Times New Roman" w:hAnsi="Times New Roman"/>
          <w:sz w:val="24"/>
          <w:szCs w:val="24"/>
        </w:rPr>
        <w:t xml:space="preserve"> which revokes</w:t>
      </w:r>
      <w:r w:rsidRPr="002C6D26">
        <w:rPr>
          <w:rFonts w:ascii="Times New Roman" w:hAnsi="Times New Roman"/>
          <w:sz w:val="24"/>
          <w:szCs w:val="24"/>
        </w:rPr>
        <w:t xml:space="preserve"> </w:t>
      </w:r>
      <w:r w:rsidRPr="00950847">
        <w:rPr>
          <w:rFonts w:ascii="Times New Roman" w:hAnsi="Times New Roman"/>
          <w:i/>
          <w:sz w:val="24"/>
          <w:szCs w:val="24"/>
        </w:rPr>
        <w:t xml:space="preserve">Prudential Standard APS </w:t>
      </w:r>
      <w:r w:rsidR="00D34991" w:rsidRPr="00950847">
        <w:rPr>
          <w:rFonts w:ascii="Times New Roman" w:hAnsi="Times New Roman"/>
          <w:i/>
          <w:sz w:val="24"/>
          <w:szCs w:val="24"/>
        </w:rPr>
        <w:t>116 Capital Adequacy: Market Risk</w:t>
      </w:r>
      <w:r w:rsidR="00D34991" w:rsidRPr="005B1CDA">
        <w:rPr>
          <w:rFonts w:ascii="Times New Roman" w:hAnsi="Times New Roman"/>
          <w:sz w:val="24"/>
          <w:szCs w:val="24"/>
        </w:rPr>
        <w:t xml:space="preserve"> </w:t>
      </w:r>
      <w:r w:rsidR="00567401">
        <w:rPr>
          <w:rFonts w:ascii="Times New Roman" w:hAnsi="Times New Roman"/>
          <w:sz w:val="24"/>
          <w:szCs w:val="24"/>
        </w:rPr>
        <w:t xml:space="preserve">made under Banking (prudential standard) determination No. </w:t>
      </w:r>
      <w:r w:rsidR="00E7573F">
        <w:rPr>
          <w:rFonts w:ascii="Times New Roman" w:hAnsi="Times New Roman"/>
          <w:sz w:val="24"/>
          <w:szCs w:val="24"/>
        </w:rPr>
        <w:t>9</w:t>
      </w:r>
      <w:r w:rsidR="00567401">
        <w:rPr>
          <w:rFonts w:ascii="Times New Roman" w:hAnsi="Times New Roman"/>
          <w:sz w:val="24"/>
          <w:szCs w:val="24"/>
        </w:rPr>
        <w:t xml:space="preserve"> of 201</w:t>
      </w:r>
      <w:r w:rsidR="00E7573F">
        <w:rPr>
          <w:rFonts w:ascii="Times New Roman" w:hAnsi="Times New Roman"/>
          <w:sz w:val="24"/>
          <w:szCs w:val="24"/>
        </w:rPr>
        <w:t>2</w:t>
      </w:r>
      <w:r w:rsidR="00567401">
        <w:rPr>
          <w:rFonts w:ascii="Times New Roman" w:hAnsi="Times New Roman"/>
          <w:sz w:val="24"/>
          <w:szCs w:val="24"/>
        </w:rPr>
        <w:t xml:space="preserve">, </w:t>
      </w:r>
      <w:r>
        <w:rPr>
          <w:rFonts w:ascii="Times New Roman" w:hAnsi="Times New Roman"/>
          <w:sz w:val="24"/>
          <w:szCs w:val="24"/>
        </w:rPr>
        <w:t xml:space="preserve">and determines a new </w:t>
      </w:r>
      <w:r w:rsidR="00D34991" w:rsidRPr="00950847">
        <w:rPr>
          <w:rFonts w:ascii="Times New Roman" w:hAnsi="Times New Roman"/>
          <w:i/>
          <w:sz w:val="24"/>
          <w:szCs w:val="24"/>
        </w:rPr>
        <w:t>Prudential Standard APS 116 Capital Adequacy: Market Risk</w:t>
      </w:r>
      <w:r w:rsidR="00D34991" w:rsidRPr="005B1CDA">
        <w:rPr>
          <w:rFonts w:ascii="Times New Roman" w:hAnsi="Times New Roman"/>
          <w:sz w:val="24"/>
          <w:szCs w:val="24"/>
        </w:rPr>
        <w:t xml:space="preserve"> </w:t>
      </w:r>
      <w:r w:rsidRPr="001A698C">
        <w:rPr>
          <w:rFonts w:ascii="Times New Roman" w:hAnsi="Times New Roman"/>
          <w:sz w:val="24"/>
          <w:szCs w:val="24"/>
        </w:rPr>
        <w:t>(APS</w:t>
      </w:r>
      <w:r w:rsidRPr="005B1CDA">
        <w:rPr>
          <w:rFonts w:ascii="Times New Roman" w:hAnsi="Times New Roman"/>
          <w:sz w:val="24"/>
          <w:szCs w:val="24"/>
        </w:rPr>
        <w:t xml:space="preserve"> </w:t>
      </w:r>
      <w:r w:rsidR="00D34991">
        <w:rPr>
          <w:rFonts w:ascii="Times New Roman" w:hAnsi="Times New Roman"/>
          <w:sz w:val="24"/>
          <w:szCs w:val="24"/>
        </w:rPr>
        <w:t>116</w:t>
      </w:r>
      <w:r w:rsidRPr="001A698C">
        <w:rPr>
          <w:rFonts w:ascii="Times New Roman" w:hAnsi="Times New Roman"/>
          <w:sz w:val="24"/>
          <w:szCs w:val="24"/>
        </w:rPr>
        <w:t>)</w:t>
      </w:r>
      <w:r>
        <w:rPr>
          <w:rFonts w:ascii="Times New Roman" w:hAnsi="Times New Roman"/>
          <w:sz w:val="24"/>
          <w:szCs w:val="24"/>
        </w:rPr>
        <w:t xml:space="preserve">; </w:t>
      </w:r>
    </w:p>
    <w:p w:rsidR="00207E12" w:rsidRDefault="00207E12" w:rsidP="005B1CDA">
      <w:pPr>
        <w:widowControl w:val="0"/>
        <w:spacing w:before="120" w:after="60"/>
        <w:ind w:left="567" w:hanging="567"/>
        <w:jc w:val="both"/>
        <w:rPr>
          <w:rFonts w:ascii="Times New Roman" w:hAnsi="Times New Roman"/>
          <w:sz w:val="24"/>
          <w:szCs w:val="24"/>
        </w:rPr>
      </w:pPr>
      <w:r>
        <w:rPr>
          <w:rFonts w:ascii="Times New Roman" w:hAnsi="Times New Roman"/>
          <w:sz w:val="24"/>
          <w:szCs w:val="24"/>
        </w:rPr>
        <w:t>(</w:t>
      </w:r>
      <w:r w:rsidR="005B1CDA">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r>
      <w:r w:rsidRPr="002C6D26">
        <w:rPr>
          <w:rFonts w:ascii="Times New Roman" w:hAnsi="Times New Roman"/>
          <w:sz w:val="24"/>
          <w:szCs w:val="24"/>
        </w:rPr>
        <w:t>Banking (prudenti</w:t>
      </w:r>
      <w:r w:rsidR="00A30170">
        <w:rPr>
          <w:rFonts w:ascii="Times New Roman" w:hAnsi="Times New Roman"/>
          <w:sz w:val="24"/>
          <w:szCs w:val="24"/>
        </w:rPr>
        <w:t xml:space="preserve">al standard) determination No. </w:t>
      </w:r>
      <w:r w:rsidR="002F7092">
        <w:rPr>
          <w:rFonts w:ascii="Times New Roman" w:hAnsi="Times New Roman"/>
          <w:sz w:val="24"/>
          <w:szCs w:val="24"/>
        </w:rPr>
        <w:t>7</w:t>
      </w:r>
      <w:r w:rsidR="00A30170">
        <w:rPr>
          <w:rFonts w:ascii="Times New Roman" w:hAnsi="Times New Roman"/>
          <w:sz w:val="24"/>
          <w:szCs w:val="24"/>
        </w:rPr>
        <w:t xml:space="preserve"> of 201</w:t>
      </w:r>
      <w:r w:rsidR="00E62122">
        <w:rPr>
          <w:rFonts w:ascii="Times New Roman" w:hAnsi="Times New Roman"/>
          <w:sz w:val="24"/>
          <w:szCs w:val="24"/>
        </w:rPr>
        <w:t>4</w:t>
      </w:r>
      <w:r w:rsidRPr="002C6D26">
        <w:rPr>
          <w:rFonts w:ascii="Times New Roman" w:hAnsi="Times New Roman"/>
          <w:sz w:val="24"/>
          <w:szCs w:val="24"/>
        </w:rPr>
        <w:t xml:space="preserve"> </w:t>
      </w:r>
      <w:r>
        <w:rPr>
          <w:rFonts w:ascii="Times New Roman" w:hAnsi="Times New Roman"/>
          <w:sz w:val="24"/>
          <w:szCs w:val="24"/>
        </w:rPr>
        <w:t>(the instrument)</w:t>
      </w:r>
      <w:r w:rsidR="00A47E64">
        <w:rPr>
          <w:rFonts w:ascii="Times New Roman" w:hAnsi="Times New Roman"/>
          <w:sz w:val="24"/>
          <w:szCs w:val="24"/>
        </w:rPr>
        <w:t>,</w:t>
      </w:r>
      <w:r>
        <w:rPr>
          <w:rFonts w:ascii="Times New Roman" w:hAnsi="Times New Roman"/>
          <w:sz w:val="24"/>
          <w:szCs w:val="24"/>
        </w:rPr>
        <w:t xml:space="preserve"> which revokes</w:t>
      </w:r>
      <w:r w:rsidRPr="002C6D26">
        <w:rPr>
          <w:rFonts w:ascii="Times New Roman" w:hAnsi="Times New Roman"/>
          <w:sz w:val="24"/>
          <w:szCs w:val="24"/>
        </w:rPr>
        <w:t xml:space="preserve"> </w:t>
      </w:r>
      <w:r w:rsidRPr="00950847">
        <w:rPr>
          <w:rFonts w:ascii="Times New Roman" w:hAnsi="Times New Roman"/>
          <w:i/>
          <w:sz w:val="24"/>
          <w:szCs w:val="24"/>
        </w:rPr>
        <w:t xml:space="preserve">Prudential Standard APS </w:t>
      </w:r>
      <w:r w:rsidR="00A30170" w:rsidRPr="00950847">
        <w:rPr>
          <w:rFonts w:ascii="Times New Roman" w:hAnsi="Times New Roman"/>
          <w:i/>
          <w:sz w:val="24"/>
          <w:szCs w:val="24"/>
        </w:rPr>
        <w:t>120 Securitisation</w:t>
      </w:r>
      <w:r w:rsidR="00A30170" w:rsidRPr="005B1CDA">
        <w:rPr>
          <w:rFonts w:ascii="Times New Roman" w:hAnsi="Times New Roman"/>
          <w:sz w:val="24"/>
          <w:szCs w:val="24"/>
        </w:rPr>
        <w:t xml:space="preserve"> </w:t>
      </w:r>
      <w:r w:rsidR="00567401">
        <w:rPr>
          <w:rFonts w:ascii="Times New Roman" w:hAnsi="Times New Roman"/>
          <w:sz w:val="24"/>
          <w:szCs w:val="24"/>
        </w:rPr>
        <w:t xml:space="preserve">made under Banking (prudential standard) determination No. </w:t>
      </w:r>
      <w:r w:rsidR="00E62122">
        <w:rPr>
          <w:rFonts w:ascii="Times New Roman" w:hAnsi="Times New Roman"/>
          <w:sz w:val="24"/>
          <w:szCs w:val="24"/>
        </w:rPr>
        <w:t>11</w:t>
      </w:r>
      <w:r w:rsidR="00567401">
        <w:rPr>
          <w:rFonts w:ascii="Times New Roman" w:hAnsi="Times New Roman"/>
          <w:sz w:val="24"/>
          <w:szCs w:val="24"/>
        </w:rPr>
        <w:t xml:space="preserve"> of 20</w:t>
      </w:r>
      <w:r w:rsidR="00E62122">
        <w:rPr>
          <w:rFonts w:ascii="Times New Roman" w:hAnsi="Times New Roman"/>
          <w:sz w:val="24"/>
          <w:szCs w:val="24"/>
        </w:rPr>
        <w:t>12</w:t>
      </w:r>
      <w:r w:rsidR="00567401">
        <w:rPr>
          <w:rFonts w:ascii="Times New Roman" w:hAnsi="Times New Roman"/>
          <w:sz w:val="24"/>
          <w:szCs w:val="24"/>
        </w:rPr>
        <w:t xml:space="preserve">, </w:t>
      </w:r>
      <w:r>
        <w:rPr>
          <w:rFonts w:ascii="Times New Roman" w:hAnsi="Times New Roman"/>
          <w:sz w:val="24"/>
          <w:szCs w:val="24"/>
        </w:rPr>
        <w:t xml:space="preserve">and determines a new </w:t>
      </w:r>
      <w:r w:rsidR="00A47E64" w:rsidRPr="00950847">
        <w:rPr>
          <w:rFonts w:ascii="Times New Roman" w:hAnsi="Times New Roman"/>
          <w:i/>
          <w:sz w:val="24"/>
          <w:szCs w:val="24"/>
        </w:rPr>
        <w:t xml:space="preserve">Prudential Standard APS </w:t>
      </w:r>
      <w:r w:rsidR="00A30170" w:rsidRPr="00950847">
        <w:rPr>
          <w:rFonts w:ascii="Times New Roman" w:hAnsi="Times New Roman"/>
          <w:i/>
          <w:sz w:val="24"/>
          <w:szCs w:val="24"/>
        </w:rPr>
        <w:t>120 Securitisation</w:t>
      </w:r>
      <w:r w:rsidR="00A30170" w:rsidRPr="005B1CDA">
        <w:rPr>
          <w:rFonts w:ascii="Times New Roman" w:hAnsi="Times New Roman"/>
          <w:sz w:val="24"/>
          <w:szCs w:val="24"/>
        </w:rPr>
        <w:t xml:space="preserve"> </w:t>
      </w:r>
      <w:r w:rsidRPr="001A698C">
        <w:rPr>
          <w:rFonts w:ascii="Times New Roman" w:hAnsi="Times New Roman"/>
          <w:sz w:val="24"/>
          <w:szCs w:val="24"/>
        </w:rPr>
        <w:t>(APS</w:t>
      </w:r>
      <w:r w:rsidRPr="005B1CDA">
        <w:rPr>
          <w:rFonts w:ascii="Times New Roman" w:hAnsi="Times New Roman"/>
          <w:sz w:val="24"/>
          <w:szCs w:val="24"/>
        </w:rPr>
        <w:t xml:space="preserve"> </w:t>
      </w:r>
      <w:r w:rsidR="00A30170">
        <w:rPr>
          <w:rFonts w:ascii="Times New Roman" w:hAnsi="Times New Roman"/>
          <w:sz w:val="24"/>
          <w:szCs w:val="24"/>
        </w:rPr>
        <w:t>120</w:t>
      </w:r>
      <w:r w:rsidRPr="001A698C">
        <w:rPr>
          <w:rFonts w:ascii="Times New Roman" w:hAnsi="Times New Roman"/>
          <w:sz w:val="24"/>
          <w:szCs w:val="24"/>
        </w:rPr>
        <w:t>)</w:t>
      </w:r>
      <w:r>
        <w:rPr>
          <w:rFonts w:ascii="Times New Roman" w:hAnsi="Times New Roman"/>
          <w:sz w:val="24"/>
          <w:szCs w:val="24"/>
        </w:rPr>
        <w:t xml:space="preserve">; </w:t>
      </w:r>
    </w:p>
    <w:p w:rsidR="00207E12" w:rsidRDefault="00207E12" w:rsidP="005B1CDA">
      <w:pPr>
        <w:widowControl w:val="0"/>
        <w:spacing w:before="120" w:after="60"/>
        <w:ind w:left="567" w:hanging="567"/>
        <w:jc w:val="both"/>
        <w:rPr>
          <w:rFonts w:ascii="Times New Roman" w:hAnsi="Times New Roman"/>
          <w:sz w:val="24"/>
          <w:szCs w:val="24"/>
        </w:rPr>
      </w:pPr>
      <w:r>
        <w:rPr>
          <w:rFonts w:ascii="Times New Roman" w:hAnsi="Times New Roman"/>
          <w:sz w:val="24"/>
          <w:szCs w:val="24"/>
        </w:rPr>
        <w:t>(</w:t>
      </w:r>
      <w:r w:rsidR="005B1CDA">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2C6D26">
        <w:rPr>
          <w:rFonts w:ascii="Times New Roman" w:hAnsi="Times New Roman"/>
          <w:sz w:val="24"/>
          <w:szCs w:val="24"/>
        </w:rPr>
        <w:t>Banking (prudenti</w:t>
      </w:r>
      <w:r w:rsidR="001504C8">
        <w:rPr>
          <w:rFonts w:ascii="Times New Roman" w:hAnsi="Times New Roman"/>
          <w:sz w:val="24"/>
          <w:szCs w:val="24"/>
        </w:rPr>
        <w:t xml:space="preserve">al standard) determination No. </w:t>
      </w:r>
      <w:r w:rsidR="002F7092">
        <w:rPr>
          <w:rFonts w:ascii="Times New Roman" w:hAnsi="Times New Roman"/>
          <w:sz w:val="24"/>
          <w:szCs w:val="24"/>
        </w:rPr>
        <w:t>8</w:t>
      </w:r>
      <w:r w:rsidR="001504C8">
        <w:rPr>
          <w:rFonts w:ascii="Times New Roman" w:hAnsi="Times New Roman"/>
          <w:sz w:val="24"/>
          <w:szCs w:val="24"/>
        </w:rPr>
        <w:t xml:space="preserve"> of 201</w:t>
      </w:r>
      <w:r w:rsidR="00E62122">
        <w:rPr>
          <w:rFonts w:ascii="Times New Roman" w:hAnsi="Times New Roman"/>
          <w:sz w:val="24"/>
          <w:szCs w:val="24"/>
        </w:rPr>
        <w:t>4</w:t>
      </w:r>
      <w:r w:rsidRPr="002C6D26">
        <w:rPr>
          <w:rFonts w:ascii="Times New Roman" w:hAnsi="Times New Roman"/>
          <w:sz w:val="24"/>
          <w:szCs w:val="24"/>
        </w:rPr>
        <w:t xml:space="preserve"> </w:t>
      </w:r>
      <w:r>
        <w:rPr>
          <w:rFonts w:ascii="Times New Roman" w:hAnsi="Times New Roman"/>
          <w:sz w:val="24"/>
          <w:szCs w:val="24"/>
        </w:rPr>
        <w:t>(the instrument)</w:t>
      </w:r>
      <w:r w:rsidR="00A47E64">
        <w:rPr>
          <w:rFonts w:ascii="Times New Roman" w:hAnsi="Times New Roman"/>
          <w:sz w:val="24"/>
          <w:szCs w:val="24"/>
        </w:rPr>
        <w:t>,</w:t>
      </w:r>
      <w:r>
        <w:rPr>
          <w:rFonts w:ascii="Times New Roman" w:hAnsi="Times New Roman"/>
          <w:sz w:val="24"/>
          <w:szCs w:val="24"/>
        </w:rPr>
        <w:t xml:space="preserve"> which revokes</w:t>
      </w:r>
      <w:r w:rsidRPr="002C6D26">
        <w:rPr>
          <w:rFonts w:ascii="Times New Roman" w:hAnsi="Times New Roman"/>
          <w:sz w:val="24"/>
          <w:szCs w:val="24"/>
        </w:rPr>
        <w:t xml:space="preserve"> </w:t>
      </w:r>
      <w:r w:rsidRPr="00950847">
        <w:rPr>
          <w:rFonts w:ascii="Times New Roman" w:hAnsi="Times New Roman"/>
          <w:i/>
          <w:sz w:val="24"/>
          <w:szCs w:val="24"/>
        </w:rPr>
        <w:t xml:space="preserve">Prudential Standard APS </w:t>
      </w:r>
      <w:r w:rsidR="001504C8" w:rsidRPr="00950847">
        <w:rPr>
          <w:rFonts w:ascii="Times New Roman" w:hAnsi="Times New Roman"/>
          <w:i/>
          <w:sz w:val="24"/>
          <w:szCs w:val="24"/>
        </w:rPr>
        <w:t>220 Credit Quality</w:t>
      </w:r>
      <w:r w:rsidR="001504C8" w:rsidRPr="005B1CDA">
        <w:rPr>
          <w:rFonts w:ascii="Times New Roman" w:hAnsi="Times New Roman"/>
          <w:sz w:val="24"/>
          <w:szCs w:val="24"/>
        </w:rPr>
        <w:t xml:space="preserve"> </w:t>
      </w:r>
      <w:r w:rsidR="00567401">
        <w:rPr>
          <w:rFonts w:ascii="Times New Roman" w:hAnsi="Times New Roman"/>
          <w:sz w:val="24"/>
          <w:szCs w:val="24"/>
        </w:rPr>
        <w:t xml:space="preserve">made under Banking (prudential standard) determination No. </w:t>
      </w:r>
      <w:r w:rsidR="00E62122">
        <w:rPr>
          <w:rFonts w:ascii="Times New Roman" w:hAnsi="Times New Roman"/>
          <w:sz w:val="24"/>
          <w:szCs w:val="24"/>
        </w:rPr>
        <w:t>12</w:t>
      </w:r>
      <w:r w:rsidR="00567401">
        <w:rPr>
          <w:rFonts w:ascii="Times New Roman" w:hAnsi="Times New Roman"/>
          <w:sz w:val="24"/>
          <w:szCs w:val="24"/>
        </w:rPr>
        <w:t xml:space="preserve"> of 20</w:t>
      </w:r>
      <w:r w:rsidR="00E62122">
        <w:rPr>
          <w:rFonts w:ascii="Times New Roman" w:hAnsi="Times New Roman"/>
          <w:sz w:val="24"/>
          <w:szCs w:val="24"/>
        </w:rPr>
        <w:t>12</w:t>
      </w:r>
      <w:r w:rsidR="00567401">
        <w:rPr>
          <w:rFonts w:ascii="Times New Roman" w:hAnsi="Times New Roman"/>
          <w:sz w:val="24"/>
          <w:szCs w:val="24"/>
        </w:rPr>
        <w:t xml:space="preserve">, </w:t>
      </w:r>
      <w:r>
        <w:rPr>
          <w:rFonts w:ascii="Times New Roman" w:hAnsi="Times New Roman"/>
          <w:sz w:val="24"/>
          <w:szCs w:val="24"/>
        </w:rPr>
        <w:t xml:space="preserve">and determines a new </w:t>
      </w:r>
      <w:r w:rsidR="001504C8" w:rsidRPr="00950847">
        <w:rPr>
          <w:rFonts w:ascii="Times New Roman" w:hAnsi="Times New Roman"/>
          <w:i/>
          <w:sz w:val="24"/>
          <w:szCs w:val="24"/>
        </w:rPr>
        <w:t>Prudential Standard APS 220 Credit Quality</w:t>
      </w:r>
      <w:r w:rsidR="001504C8" w:rsidRPr="005B1CDA">
        <w:rPr>
          <w:rFonts w:ascii="Times New Roman" w:hAnsi="Times New Roman"/>
          <w:sz w:val="24"/>
          <w:szCs w:val="24"/>
        </w:rPr>
        <w:t xml:space="preserve"> </w:t>
      </w:r>
      <w:r w:rsidRPr="001A698C">
        <w:rPr>
          <w:rFonts w:ascii="Times New Roman" w:hAnsi="Times New Roman"/>
          <w:sz w:val="24"/>
          <w:szCs w:val="24"/>
        </w:rPr>
        <w:t>(APS</w:t>
      </w:r>
      <w:r w:rsidRPr="005B1CDA">
        <w:rPr>
          <w:rFonts w:ascii="Times New Roman" w:hAnsi="Times New Roman"/>
          <w:sz w:val="24"/>
          <w:szCs w:val="24"/>
        </w:rPr>
        <w:t xml:space="preserve"> </w:t>
      </w:r>
      <w:r w:rsidR="001504C8">
        <w:rPr>
          <w:rFonts w:ascii="Times New Roman" w:hAnsi="Times New Roman"/>
          <w:sz w:val="24"/>
          <w:szCs w:val="24"/>
        </w:rPr>
        <w:t>220</w:t>
      </w:r>
      <w:r w:rsidRPr="001A698C">
        <w:rPr>
          <w:rFonts w:ascii="Times New Roman" w:hAnsi="Times New Roman"/>
          <w:sz w:val="24"/>
          <w:szCs w:val="24"/>
        </w:rPr>
        <w:t>)</w:t>
      </w:r>
      <w:r>
        <w:rPr>
          <w:rFonts w:ascii="Times New Roman" w:hAnsi="Times New Roman"/>
          <w:sz w:val="24"/>
          <w:szCs w:val="24"/>
        </w:rPr>
        <w:t xml:space="preserve">; </w:t>
      </w:r>
    </w:p>
    <w:p w:rsidR="00207E12" w:rsidRDefault="00207E12" w:rsidP="005B1CDA">
      <w:pPr>
        <w:widowControl w:val="0"/>
        <w:spacing w:before="120" w:after="60"/>
        <w:ind w:left="567" w:hanging="567"/>
        <w:jc w:val="both"/>
        <w:rPr>
          <w:rFonts w:ascii="Times New Roman" w:hAnsi="Times New Roman"/>
          <w:sz w:val="24"/>
          <w:szCs w:val="24"/>
        </w:rPr>
      </w:pPr>
      <w:r>
        <w:rPr>
          <w:rFonts w:ascii="Times New Roman" w:hAnsi="Times New Roman"/>
          <w:sz w:val="24"/>
          <w:szCs w:val="24"/>
        </w:rPr>
        <w:t>(</w:t>
      </w:r>
      <w:r w:rsidR="005B1CDA">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Pr="002C6D26">
        <w:rPr>
          <w:rFonts w:ascii="Times New Roman" w:hAnsi="Times New Roman"/>
          <w:sz w:val="24"/>
          <w:szCs w:val="24"/>
        </w:rPr>
        <w:t>Banking (prudenti</w:t>
      </w:r>
      <w:r w:rsidR="00C67286">
        <w:rPr>
          <w:rFonts w:ascii="Times New Roman" w:hAnsi="Times New Roman"/>
          <w:sz w:val="24"/>
          <w:szCs w:val="24"/>
        </w:rPr>
        <w:t xml:space="preserve">al standard) determination No. </w:t>
      </w:r>
      <w:r w:rsidR="002F7092">
        <w:rPr>
          <w:rFonts w:ascii="Times New Roman" w:hAnsi="Times New Roman"/>
          <w:sz w:val="24"/>
          <w:szCs w:val="24"/>
        </w:rPr>
        <w:t>5</w:t>
      </w:r>
      <w:r w:rsidR="00C67286">
        <w:rPr>
          <w:rFonts w:ascii="Times New Roman" w:hAnsi="Times New Roman"/>
          <w:sz w:val="24"/>
          <w:szCs w:val="24"/>
        </w:rPr>
        <w:t xml:space="preserve"> of 201</w:t>
      </w:r>
      <w:r w:rsidR="00665533">
        <w:rPr>
          <w:rFonts w:ascii="Times New Roman" w:hAnsi="Times New Roman"/>
          <w:sz w:val="24"/>
          <w:szCs w:val="24"/>
        </w:rPr>
        <w:t>4</w:t>
      </w:r>
      <w:r w:rsidRPr="002C6D26">
        <w:rPr>
          <w:rFonts w:ascii="Times New Roman" w:hAnsi="Times New Roman"/>
          <w:sz w:val="24"/>
          <w:szCs w:val="24"/>
        </w:rPr>
        <w:t xml:space="preserve"> </w:t>
      </w:r>
      <w:r>
        <w:rPr>
          <w:rFonts w:ascii="Times New Roman" w:hAnsi="Times New Roman"/>
          <w:sz w:val="24"/>
          <w:szCs w:val="24"/>
        </w:rPr>
        <w:t>(the instrument)</w:t>
      </w:r>
      <w:r w:rsidR="00A47E64">
        <w:rPr>
          <w:rFonts w:ascii="Times New Roman" w:hAnsi="Times New Roman"/>
          <w:sz w:val="24"/>
          <w:szCs w:val="24"/>
        </w:rPr>
        <w:t>,</w:t>
      </w:r>
      <w:r>
        <w:rPr>
          <w:rFonts w:ascii="Times New Roman" w:hAnsi="Times New Roman"/>
          <w:sz w:val="24"/>
          <w:szCs w:val="24"/>
        </w:rPr>
        <w:t xml:space="preserve"> which revokes</w:t>
      </w:r>
      <w:r w:rsidRPr="002C6D26">
        <w:rPr>
          <w:rFonts w:ascii="Times New Roman" w:hAnsi="Times New Roman"/>
          <w:sz w:val="24"/>
          <w:szCs w:val="24"/>
        </w:rPr>
        <w:t xml:space="preserve"> </w:t>
      </w:r>
      <w:r w:rsidRPr="00950847">
        <w:rPr>
          <w:rFonts w:ascii="Times New Roman" w:hAnsi="Times New Roman"/>
          <w:i/>
          <w:sz w:val="24"/>
          <w:szCs w:val="24"/>
        </w:rPr>
        <w:t xml:space="preserve">Prudential Standard APS </w:t>
      </w:r>
      <w:r w:rsidR="00C67286" w:rsidRPr="00950847">
        <w:rPr>
          <w:rFonts w:ascii="Times New Roman" w:hAnsi="Times New Roman"/>
          <w:i/>
          <w:sz w:val="24"/>
          <w:szCs w:val="24"/>
        </w:rPr>
        <w:t>221 Large Exposures</w:t>
      </w:r>
      <w:r w:rsidR="00C67286" w:rsidRPr="005B1CDA">
        <w:rPr>
          <w:rFonts w:ascii="Times New Roman" w:hAnsi="Times New Roman"/>
          <w:sz w:val="24"/>
          <w:szCs w:val="24"/>
        </w:rPr>
        <w:t xml:space="preserve"> </w:t>
      </w:r>
      <w:r w:rsidR="00567401">
        <w:rPr>
          <w:rFonts w:ascii="Times New Roman" w:hAnsi="Times New Roman"/>
          <w:sz w:val="24"/>
          <w:szCs w:val="24"/>
        </w:rPr>
        <w:t xml:space="preserve">made under Banking (prudential standard) determination No. </w:t>
      </w:r>
      <w:r w:rsidR="00665533">
        <w:rPr>
          <w:rFonts w:ascii="Times New Roman" w:hAnsi="Times New Roman"/>
          <w:sz w:val="24"/>
          <w:szCs w:val="24"/>
        </w:rPr>
        <w:t>13</w:t>
      </w:r>
      <w:r w:rsidR="00567401">
        <w:rPr>
          <w:rFonts w:ascii="Times New Roman" w:hAnsi="Times New Roman"/>
          <w:sz w:val="24"/>
          <w:szCs w:val="24"/>
        </w:rPr>
        <w:t xml:space="preserve"> of 20</w:t>
      </w:r>
      <w:r w:rsidR="00665533">
        <w:rPr>
          <w:rFonts w:ascii="Times New Roman" w:hAnsi="Times New Roman"/>
          <w:sz w:val="24"/>
          <w:szCs w:val="24"/>
        </w:rPr>
        <w:t>12</w:t>
      </w:r>
      <w:r w:rsidR="00567401">
        <w:rPr>
          <w:rFonts w:ascii="Times New Roman" w:hAnsi="Times New Roman"/>
          <w:sz w:val="24"/>
          <w:szCs w:val="24"/>
        </w:rPr>
        <w:t xml:space="preserve">, </w:t>
      </w:r>
      <w:r>
        <w:rPr>
          <w:rFonts w:ascii="Times New Roman" w:hAnsi="Times New Roman"/>
          <w:sz w:val="24"/>
          <w:szCs w:val="24"/>
        </w:rPr>
        <w:t xml:space="preserve">and determines a new </w:t>
      </w:r>
      <w:r w:rsidR="00C67286" w:rsidRPr="00950847">
        <w:rPr>
          <w:rFonts w:ascii="Times New Roman" w:hAnsi="Times New Roman"/>
          <w:i/>
          <w:sz w:val="24"/>
          <w:szCs w:val="24"/>
        </w:rPr>
        <w:t>Prudential Standard APS 221 Large Exposures</w:t>
      </w:r>
      <w:r w:rsidR="00C67286" w:rsidRPr="005B1CDA">
        <w:rPr>
          <w:rFonts w:ascii="Times New Roman" w:hAnsi="Times New Roman"/>
          <w:sz w:val="24"/>
          <w:szCs w:val="24"/>
        </w:rPr>
        <w:t xml:space="preserve"> </w:t>
      </w:r>
      <w:r w:rsidRPr="001A698C">
        <w:rPr>
          <w:rFonts w:ascii="Times New Roman" w:hAnsi="Times New Roman"/>
          <w:sz w:val="24"/>
          <w:szCs w:val="24"/>
        </w:rPr>
        <w:t>(APS</w:t>
      </w:r>
      <w:r w:rsidRPr="005B1CDA">
        <w:rPr>
          <w:rFonts w:ascii="Times New Roman" w:hAnsi="Times New Roman"/>
          <w:sz w:val="24"/>
          <w:szCs w:val="24"/>
        </w:rPr>
        <w:t xml:space="preserve"> </w:t>
      </w:r>
      <w:r w:rsidR="00C67286">
        <w:rPr>
          <w:rFonts w:ascii="Times New Roman" w:hAnsi="Times New Roman"/>
          <w:sz w:val="24"/>
          <w:szCs w:val="24"/>
        </w:rPr>
        <w:t>221</w:t>
      </w:r>
      <w:r w:rsidRPr="001A698C">
        <w:rPr>
          <w:rFonts w:ascii="Times New Roman" w:hAnsi="Times New Roman"/>
          <w:sz w:val="24"/>
          <w:szCs w:val="24"/>
        </w:rPr>
        <w:t>)</w:t>
      </w:r>
      <w:r>
        <w:rPr>
          <w:rFonts w:ascii="Times New Roman" w:hAnsi="Times New Roman"/>
          <w:sz w:val="24"/>
          <w:szCs w:val="24"/>
        </w:rPr>
        <w:t xml:space="preserve">; </w:t>
      </w:r>
    </w:p>
    <w:p w:rsidR="00207E12" w:rsidRDefault="00207E12" w:rsidP="005B1CDA">
      <w:pPr>
        <w:widowControl w:val="0"/>
        <w:spacing w:before="120" w:after="60"/>
        <w:ind w:left="567" w:hanging="567"/>
        <w:jc w:val="both"/>
        <w:rPr>
          <w:rFonts w:ascii="Times New Roman" w:hAnsi="Times New Roman"/>
          <w:sz w:val="24"/>
          <w:szCs w:val="24"/>
        </w:rPr>
      </w:pPr>
      <w:r>
        <w:rPr>
          <w:rFonts w:ascii="Times New Roman" w:hAnsi="Times New Roman"/>
          <w:sz w:val="24"/>
          <w:szCs w:val="24"/>
        </w:rPr>
        <w:t>(</w:t>
      </w:r>
      <w:r w:rsidR="005B1CDA">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Pr="002C6D26">
        <w:rPr>
          <w:rFonts w:ascii="Times New Roman" w:hAnsi="Times New Roman"/>
          <w:sz w:val="24"/>
          <w:szCs w:val="24"/>
        </w:rPr>
        <w:t>Banking (prudenti</w:t>
      </w:r>
      <w:r w:rsidR="00C67286">
        <w:rPr>
          <w:rFonts w:ascii="Times New Roman" w:hAnsi="Times New Roman"/>
          <w:sz w:val="24"/>
          <w:szCs w:val="24"/>
        </w:rPr>
        <w:t xml:space="preserve">al standard) determination No. </w:t>
      </w:r>
      <w:r w:rsidR="002F7092">
        <w:rPr>
          <w:rFonts w:ascii="Times New Roman" w:hAnsi="Times New Roman"/>
          <w:sz w:val="24"/>
          <w:szCs w:val="24"/>
        </w:rPr>
        <w:t>9</w:t>
      </w:r>
      <w:r w:rsidR="00716212" w:rsidRPr="005B1CDA">
        <w:rPr>
          <w:rFonts w:ascii="Times New Roman" w:hAnsi="Times New Roman"/>
          <w:sz w:val="24"/>
          <w:szCs w:val="24"/>
        </w:rPr>
        <w:t xml:space="preserve"> </w:t>
      </w:r>
      <w:r w:rsidR="00716212">
        <w:rPr>
          <w:rFonts w:ascii="Times New Roman" w:hAnsi="Times New Roman"/>
          <w:sz w:val="24"/>
          <w:szCs w:val="24"/>
        </w:rPr>
        <w:t xml:space="preserve">of </w:t>
      </w:r>
      <w:r w:rsidR="00607C17">
        <w:rPr>
          <w:rFonts w:ascii="Times New Roman" w:hAnsi="Times New Roman"/>
          <w:sz w:val="24"/>
          <w:szCs w:val="24"/>
        </w:rPr>
        <w:t>2014</w:t>
      </w:r>
      <w:r w:rsidRPr="002C6D26">
        <w:rPr>
          <w:rFonts w:ascii="Times New Roman" w:hAnsi="Times New Roman"/>
          <w:sz w:val="24"/>
          <w:szCs w:val="24"/>
        </w:rPr>
        <w:t xml:space="preserve"> </w:t>
      </w:r>
      <w:r>
        <w:rPr>
          <w:rFonts w:ascii="Times New Roman" w:hAnsi="Times New Roman"/>
          <w:sz w:val="24"/>
          <w:szCs w:val="24"/>
        </w:rPr>
        <w:t>(the instrument)</w:t>
      </w:r>
      <w:r w:rsidR="00A47E64">
        <w:rPr>
          <w:rFonts w:ascii="Times New Roman" w:hAnsi="Times New Roman"/>
          <w:sz w:val="24"/>
          <w:szCs w:val="24"/>
        </w:rPr>
        <w:t>,</w:t>
      </w:r>
      <w:r>
        <w:rPr>
          <w:rFonts w:ascii="Times New Roman" w:hAnsi="Times New Roman"/>
          <w:sz w:val="24"/>
          <w:szCs w:val="24"/>
        </w:rPr>
        <w:t xml:space="preserve"> which revokes</w:t>
      </w:r>
      <w:r w:rsidRPr="002C6D26">
        <w:rPr>
          <w:rFonts w:ascii="Times New Roman" w:hAnsi="Times New Roman"/>
          <w:sz w:val="24"/>
          <w:szCs w:val="24"/>
        </w:rPr>
        <w:t xml:space="preserve"> </w:t>
      </w:r>
      <w:r w:rsidRPr="00950847">
        <w:rPr>
          <w:rFonts w:ascii="Times New Roman" w:hAnsi="Times New Roman"/>
          <w:i/>
          <w:sz w:val="24"/>
          <w:szCs w:val="24"/>
        </w:rPr>
        <w:t xml:space="preserve">Prudential Standard APS </w:t>
      </w:r>
      <w:r w:rsidR="00716212" w:rsidRPr="00950847">
        <w:rPr>
          <w:rFonts w:ascii="Times New Roman" w:hAnsi="Times New Roman"/>
          <w:i/>
          <w:sz w:val="24"/>
          <w:szCs w:val="24"/>
        </w:rPr>
        <w:t>222 Associations with Related Entities</w:t>
      </w:r>
      <w:r w:rsidR="00716212" w:rsidRPr="005B1CDA">
        <w:rPr>
          <w:rFonts w:ascii="Times New Roman" w:hAnsi="Times New Roman"/>
          <w:sz w:val="24"/>
          <w:szCs w:val="24"/>
        </w:rPr>
        <w:t xml:space="preserve"> </w:t>
      </w:r>
      <w:r w:rsidR="00567401">
        <w:rPr>
          <w:rFonts w:ascii="Times New Roman" w:hAnsi="Times New Roman"/>
          <w:sz w:val="24"/>
          <w:szCs w:val="24"/>
        </w:rPr>
        <w:t xml:space="preserve">made under Banking (prudential standard) determination No. </w:t>
      </w:r>
      <w:r w:rsidR="00607C17">
        <w:rPr>
          <w:rFonts w:ascii="Times New Roman" w:hAnsi="Times New Roman"/>
          <w:sz w:val="24"/>
          <w:szCs w:val="24"/>
        </w:rPr>
        <w:t>14</w:t>
      </w:r>
      <w:r w:rsidR="00567401">
        <w:rPr>
          <w:rFonts w:ascii="Times New Roman" w:hAnsi="Times New Roman"/>
          <w:sz w:val="24"/>
          <w:szCs w:val="24"/>
        </w:rPr>
        <w:t xml:space="preserve"> of 20</w:t>
      </w:r>
      <w:r w:rsidR="00607C17">
        <w:rPr>
          <w:rFonts w:ascii="Times New Roman" w:hAnsi="Times New Roman"/>
          <w:sz w:val="24"/>
          <w:szCs w:val="24"/>
        </w:rPr>
        <w:t>12</w:t>
      </w:r>
      <w:r w:rsidR="00567401">
        <w:rPr>
          <w:rFonts w:ascii="Times New Roman" w:hAnsi="Times New Roman"/>
          <w:sz w:val="24"/>
          <w:szCs w:val="24"/>
        </w:rPr>
        <w:t xml:space="preserve">, </w:t>
      </w:r>
      <w:r>
        <w:rPr>
          <w:rFonts w:ascii="Times New Roman" w:hAnsi="Times New Roman"/>
          <w:sz w:val="24"/>
          <w:szCs w:val="24"/>
        </w:rPr>
        <w:t xml:space="preserve">and determines a new </w:t>
      </w:r>
      <w:r w:rsidR="00716212" w:rsidRPr="00950847">
        <w:rPr>
          <w:rFonts w:ascii="Times New Roman" w:hAnsi="Times New Roman"/>
          <w:i/>
          <w:sz w:val="24"/>
          <w:szCs w:val="24"/>
        </w:rPr>
        <w:t>Prudential Standard APS 222 Associations with Related Entities</w:t>
      </w:r>
      <w:r w:rsidR="00716212" w:rsidRPr="005B1CDA">
        <w:rPr>
          <w:rFonts w:ascii="Times New Roman" w:hAnsi="Times New Roman"/>
          <w:sz w:val="24"/>
          <w:szCs w:val="24"/>
        </w:rPr>
        <w:t xml:space="preserve"> </w:t>
      </w:r>
      <w:r w:rsidRPr="001A698C">
        <w:rPr>
          <w:rFonts w:ascii="Times New Roman" w:hAnsi="Times New Roman"/>
          <w:sz w:val="24"/>
          <w:szCs w:val="24"/>
        </w:rPr>
        <w:t>(APS</w:t>
      </w:r>
      <w:r w:rsidRPr="005B1CDA">
        <w:rPr>
          <w:rFonts w:ascii="Times New Roman" w:hAnsi="Times New Roman"/>
          <w:sz w:val="24"/>
          <w:szCs w:val="24"/>
        </w:rPr>
        <w:t xml:space="preserve"> </w:t>
      </w:r>
      <w:r w:rsidR="00716212">
        <w:rPr>
          <w:rFonts w:ascii="Times New Roman" w:hAnsi="Times New Roman"/>
          <w:sz w:val="24"/>
          <w:szCs w:val="24"/>
        </w:rPr>
        <w:t>222</w:t>
      </w:r>
      <w:r w:rsidRPr="001A698C">
        <w:rPr>
          <w:rFonts w:ascii="Times New Roman" w:hAnsi="Times New Roman"/>
          <w:sz w:val="24"/>
          <w:szCs w:val="24"/>
        </w:rPr>
        <w:t>)</w:t>
      </w:r>
      <w:r>
        <w:rPr>
          <w:rFonts w:ascii="Times New Roman" w:hAnsi="Times New Roman"/>
          <w:sz w:val="24"/>
          <w:szCs w:val="24"/>
        </w:rPr>
        <w:t xml:space="preserve">; </w:t>
      </w:r>
    </w:p>
    <w:p w:rsidR="00207E12" w:rsidRDefault="00207E12" w:rsidP="005B1CDA">
      <w:pPr>
        <w:widowControl w:val="0"/>
        <w:spacing w:before="120" w:after="60"/>
        <w:ind w:left="567" w:hanging="567"/>
        <w:jc w:val="both"/>
        <w:rPr>
          <w:rFonts w:ascii="Times New Roman" w:hAnsi="Times New Roman"/>
          <w:sz w:val="24"/>
          <w:szCs w:val="24"/>
        </w:rPr>
      </w:pPr>
      <w:r>
        <w:rPr>
          <w:rFonts w:ascii="Times New Roman" w:hAnsi="Times New Roman"/>
          <w:sz w:val="24"/>
          <w:szCs w:val="24"/>
        </w:rPr>
        <w:t>(</w:t>
      </w:r>
      <w:r w:rsidR="005B1CDA">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Pr="002C6D26">
        <w:rPr>
          <w:rFonts w:ascii="Times New Roman" w:hAnsi="Times New Roman"/>
          <w:sz w:val="24"/>
          <w:szCs w:val="24"/>
        </w:rPr>
        <w:t>Banking (prudentia</w:t>
      </w:r>
      <w:r w:rsidR="00CF5B83">
        <w:rPr>
          <w:rFonts w:ascii="Times New Roman" w:hAnsi="Times New Roman"/>
          <w:sz w:val="24"/>
          <w:szCs w:val="24"/>
        </w:rPr>
        <w:t xml:space="preserve">l standard) determination No. </w:t>
      </w:r>
      <w:r w:rsidR="002F7092">
        <w:rPr>
          <w:rFonts w:ascii="Times New Roman" w:hAnsi="Times New Roman"/>
          <w:sz w:val="24"/>
          <w:szCs w:val="24"/>
        </w:rPr>
        <w:t>10</w:t>
      </w:r>
      <w:r w:rsidR="00CF5B83">
        <w:rPr>
          <w:rFonts w:ascii="Times New Roman" w:hAnsi="Times New Roman"/>
          <w:sz w:val="24"/>
          <w:szCs w:val="24"/>
        </w:rPr>
        <w:t xml:space="preserve"> of 201</w:t>
      </w:r>
      <w:r w:rsidR="00607C17">
        <w:rPr>
          <w:rFonts w:ascii="Times New Roman" w:hAnsi="Times New Roman"/>
          <w:sz w:val="24"/>
          <w:szCs w:val="24"/>
        </w:rPr>
        <w:t>4</w:t>
      </w:r>
      <w:r w:rsidRPr="002C6D26">
        <w:rPr>
          <w:rFonts w:ascii="Times New Roman" w:hAnsi="Times New Roman"/>
          <w:sz w:val="24"/>
          <w:szCs w:val="24"/>
        </w:rPr>
        <w:t xml:space="preserve"> </w:t>
      </w:r>
      <w:r>
        <w:rPr>
          <w:rFonts w:ascii="Times New Roman" w:hAnsi="Times New Roman"/>
          <w:sz w:val="24"/>
          <w:szCs w:val="24"/>
        </w:rPr>
        <w:t>(the instrument)</w:t>
      </w:r>
      <w:r w:rsidR="00A47E64">
        <w:rPr>
          <w:rFonts w:ascii="Times New Roman" w:hAnsi="Times New Roman"/>
          <w:sz w:val="24"/>
          <w:szCs w:val="24"/>
        </w:rPr>
        <w:t>,</w:t>
      </w:r>
      <w:r>
        <w:rPr>
          <w:rFonts w:ascii="Times New Roman" w:hAnsi="Times New Roman"/>
          <w:sz w:val="24"/>
          <w:szCs w:val="24"/>
        </w:rPr>
        <w:t xml:space="preserve"> which revokes</w:t>
      </w:r>
      <w:r w:rsidRPr="002C6D26">
        <w:rPr>
          <w:rFonts w:ascii="Times New Roman" w:hAnsi="Times New Roman"/>
          <w:sz w:val="24"/>
          <w:szCs w:val="24"/>
        </w:rPr>
        <w:t xml:space="preserve"> </w:t>
      </w:r>
      <w:r w:rsidRPr="00950847">
        <w:rPr>
          <w:rFonts w:ascii="Times New Roman" w:hAnsi="Times New Roman"/>
          <w:i/>
          <w:sz w:val="24"/>
          <w:szCs w:val="24"/>
        </w:rPr>
        <w:t xml:space="preserve">Prudential Standard APS </w:t>
      </w:r>
      <w:r w:rsidR="00CF5B83" w:rsidRPr="00950847">
        <w:rPr>
          <w:rFonts w:ascii="Times New Roman" w:hAnsi="Times New Roman"/>
          <w:i/>
          <w:sz w:val="24"/>
          <w:szCs w:val="24"/>
        </w:rPr>
        <w:t>310 Audit and Related Matters</w:t>
      </w:r>
      <w:r w:rsidR="00CF5B83" w:rsidRPr="005B1CDA">
        <w:rPr>
          <w:rFonts w:ascii="Times New Roman" w:hAnsi="Times New Roman"/>
          <w:sz w:val="24"/>
          <w:szCs w:val="24"/>
        </w:rPr>
        <w:t xml:space="preserve"> </w:t>
      </w:r>
      <w:r w:rsidR="00567401">
        <w:rPr>
          <w:rFonts w:ascii="Times New Roman" w:hAnsi="Times New Roman"/>
          <w:sz w:val="24"/>
          <w:szCs w:val="24"/>
        </w:rPr>
        <w:t xml:space="preserve">made under Banking (prudential standard) determination No. </w:t>
      </w:r>
      <w:r w:rsidR="00607C17">
        <w:rPr>
          <w:rFonts w:ascii="Times New Roman" w:hAnsi="Times New Roman"/>
          <w:sz w:val="24"/>
          <w:szCs w:val="24"/>
        </w:rPr>
        <w:t>15</w:t>
      </w:r>
      <w:r w:rsidR="00567401">
        <w:rPr>
          <w:rFonts w:ascii="Times New Roman" w:hAnsi="Times New Roman"/>
          <w:sz w:val="24"/>
          <w:szCs w:val="24"/>
        </w:rPr>
        <w:t xml:space="preserve"> of 20</w:t>
      </w:r>
      <w:r w:rsidR="00607C17">
        <w:rPr>
          <w:rFonts w:ascii="Times New Roman" w:hAnsi="Times New Roman"/>
          <w:sz w:val="24"/>
          <w:szCs w:val="24"/>
        </w:rPr>
        <w:t>12</w:t>
      </w:r>
      <w:r w:rsidR="00567401">
        <w:rPr>
          <w:rFonts w:ascii="Times New Roman" w:hAnsi="Times New Roman"/>
          <w:sz w:val="24"/>
          <w:szCs w:val="24"/>
        </w:rPr>
        <w:t xml:space="preserve">, </w:t>
      </w:r>
      <w:r>
        <w:rPr>
          <w:rFonts w:ascii="Times New Roman" w:hAnsi="Times New Roman"/>
          <w:sz w:val="24"/>
          <w:szCs w:val="24"/>
        </w:rPr>
        <w:t xml:space="preserve">and determines a new </w:t>
      </w:r>
      <w:r w:rsidR="00CF5B83" w:rsidRPr="00950847">
        <w:rPr>
          <w:rFonts w:ascii="Times New Roman" w:hAnsi="Times New Roman"/>
          <w:i/>
          <w:sz w:val="24"/>
          <w:szCs w:val="24"/>
        </w:rPr>
        <w:t>Prudential Standard APS 310 Audit and Related Matters</w:t>
      </w:r>
      <w:r w:rsidR="00CF5B83" w:rsidRPr="005B1CDA">
        <w:rPr>
          <w:rFonts w:ascii="Times New Roman" w:hAnsi="Times New Roman"/>
          <w:sz w:val="24"/>
          <w:szCs w:val="24"/>
        </w:rPr>
        <w:t xml:space="preserve"> </w:t>
      </w:r>
      <w:r w:rsidRPr="001A698C">
        <w:rPr>
          <w:rFonts w:ascii="Times New Roman" w:hAnsi="Times New Roman"/>
          <w:sz w:val="24"/>
          <w:szCs w:val="24"/>
        </w:rPr>
        <w:t>(APS</w:t>
      </w:r>
      <w:r w:rsidRPr="005B1CDA">
        <w:rPr>
          <w:rFonts w:ascii="Times New Roman" w:hAnsi="Times New Roman"/>
          <w:sz w:val="24"/>
          <w:szCs w:val="24"/>
        </w:rPr>
        <w:t xml:space="preserve"> </w:t>
      </w:r>
      <w:r w:rsidR="00CF5B83">
        <w:rPr>
          <w:rFonts w:ascii="Times New Roman" w:hAnsi="Times New Roman"/>
          <w:sz w:val="24"/>
          <w:szCs w:val="24"/>
        </w:rPr>
        <w:t>310</w:t>
      </w:r>
      <w:r w:rsidRPr="001A698C">
        <w:rPr>
          <w:rFonts w:ascii="Times New Roman" w:hAnsi="Times New Roman"/>
          <w:sz w:val="24"/>
          <w:szCs w:val="24"/>
        </w:rPr>
        <w:t>)</w:t>
      </w:r>
      <w:r>
        <w:rPr>
          <w:rFonts w:ascii="Times New Roman" w:hAnsi="Times New Roman"/>
          <w:sz w:val="24"/>
          <w:szCs w:val="24"/>
        </w:rPr>
        <w:t xml:space="preserve">; </w:t>
      </w:r>
    </w:p>
    <w:p w:rsidR="00207E12" w:rsidRDefault="00207E12" w:rsidP="005B1CDA">
      <w:pPr>
        <w:widowControl w:val="0"/>
        <w:spacing w:before="120" w:after="60"/>
        <w:ind w:left="567" w:hanging="567"/>
        <w:jc w:val="both"/>
        <w:rPr>
          <w:rFonts w:ascii="Times New Roman" w:hAnsi="Times New Roman"/>
          <w:sz w:val="24"/>
          <w:szCs w:val="24"/>
        </w:rPr>
      </w:pPr>
      <w:r>
        <w:rPr>
          <w:rFonts w:ascii="Times New Roman" w:hAnsi="Times New Roman"/>
          <w:sz w:val="24"/>
          <w:szCs w:val="24"/>
        </w:rPr>
        <w:t>(</w:t>
      </w:r>
      <w:r w:rsidR="005B1CDA">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r w:rsidRPr="002C6D26">
        <w:rPr>
          <w:rFonts w:ascii="Times New Roman" w:hAnsi="Times New Roman"/>
          <w:sz w:val="24"/>
          <w:szCs w:val="24"/>
        </w:rPr>
        <w:t>Banking (prudenti</w:t>
      </w:r>
      <w:r w:rsidR="009F4E29">
        <w:rPr>
          <w:rFonts w:ascii="Times New Roman" w:hAnsi="Times New Roman"/>
          <w:sz w:val="24"/>
          <w:szCs w:val="24"/>
        </w:rPr>
        <w:t xml:space="preserve">al standard) determination No. </w:t>
      </w:r>
      <w:r w:rsidR="002F7092">
        <w:rPr>
          <w:rFonts w:ascii="Times New Roman" w:hAnsi="Times New Roman"/>
          <w:sz w:val="24"/>
          <w:szCs w:val="24"/>
        </w:rPr>
        <w:t>11</w:t>
      </w:r>
      <w:r w:rsidR="009F4E29">
        <w:rPr>
          <w:rFonts w:ascii="Times New Roman" w:hAnsi="Times New Roman"/>
          <w:sz w:val="24"/>
          <w:szCs w:val="24"/>
        </w:rPr>
        <w:t xml:space="preserve"> of 201</w:t>
      </w:r>
      <w:r w:rsidR="009C4A6E">
        <w:rPr>
          <w:rFonts w:ascii="Times New Roman" w:hAnsi="Times New Roman"/>
          <w:sz w:val="24"/>
          <w:szCs w:val="24"/>
        </w:rPr>
        <w:t>4</w:t>
      </w:r>
      <w:r w:rsidRPr="002C6D26">
        <w:rPr>
          <w:rFonts w:ascii="Times New Roman" w:hAnsi="Times New Roman"/>
          <w:sz w:val="24"/>
          <w:szCs w:val="24"/>
        </w:rPr>
        <w:t xml:space="preserve"> </w:t>
      </w:r>
      <w:r>
        <w:rPr>
          <w:rFonts w:ascii="Times New Roman" w:hAnsi="Times New Roman"/>
          <w:sz w:val="24"/>
          <w:szCs w:val="24"/>
        </w:rPr>
        <w:t>(the instrument)</w:t>
      </w:r>
      <w:r w:rsidR="00A47E64">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which revokes</w:t>
      </w:r>
      <w:r w:rsidRPr="002C6D26">
        <w:rPr>
          <w:rFonts w:ascii="Times New Roman" w:hAnsi="Times New Roman"/>
          <w:sz w:val="24"/>
          <w:szCs w:val="24"/>
        </w:rPr>
        <w:t xml:space="preserve"> </w:t>
      </w:r>
      <w:r w:rsidRPr="00950847">
        <w:rPr>
          <w:rFonts w:ascii="Times New Roman" w:hAnsi="Times New Roman"/>
          <w:i/>
          <w:sz w:val="24"/>
          <w:szCs w:val="24"/>
        </w:rPr>
        <w:t xml:space="preserve">Prudential Standard APS </w:t>
      </w:r>
      <w:r w:rsidR="009F4E29" w:rsidRPr="00950847">
        <w:rPr>
          <w:rFonts w:ascii="Times New Roman" w:hAnsi="Times New Roman"/>
          <w:i/>
          <w:sz w:val="24"/>
          <w:szCs w:val="24"/>
        </w:rPr>
        <w:t>330 Capital Adequacy: Public Disclosure</w:t>
      </w:r>
      <w:r w:rsidR="009F4E29" w:rsidRPr="005B1CDA">
        <w:rPr>
          <w:rFonts w:ascii="Times New Roman" w:hAnsi="Times New Roman"/>
          <w:sz w:val="24"/>
          <w:szCs w:val="24"/>
        </w:rPr>
        <w:t xml:space="preserve"> </w:t>
      </w:r>
      <w:r w:rsidR="00567401">
        <w:rPr>
          <w:rFonts w:ascii="Times New Roman" w:hAnsi="Times New Roman"/>
          <w:sz w:val="24"/>
          <w:szCs w:val="24"/>
        </w:rPr>
        <w:t xml:space="preserve">made under Banking (prudential standard) determination No. </w:t>
      </w:r>
      <w:r w:rsidR="009C4A6E">
        <w:rPr>
          <w:rFonts w:ascii="Times New Roman" w:hAnsi="Times New Roman"/>
          <w:sz w:val="24"/>
          <w:szCs w:val="24"/>
        </w:rPr>
        <w:t>1</w:t>
      </w:r>
      <w:r w:rsidR="00567401">
        <w:rPr>
          <w:rFonts w:ascii="Times New Roman" w:hAnsi="Times New Roman"/>
          <w:sz w:val="24"/>
          <w:szCs w:val="24"/>
        </w:rPr>
        <w:t xml:space="preserve"> of 201</w:t>
      </w:r>
      <w:r w:rsidR="009C4A6E">
        <w:rPr>
          <w:rFonts w:ascii="Times New Roman" w:hAnsi="Times New Roman"/>
          <w:sz w:val="24"/>
          <w:szCs w:val="24"/>
        </w:rPr>
        <w:t>3</w:t>
      </w:r>
      <w:r w:rsidR="00567401">
        <w:rPr>
          <w:rFonts w:ascii="Times New Roman" w:hAnsi="Times New Roman"/>
          <w:sz w:val="24"/>
          <w:szCs w:val="24"/>
        </w:rPr>
        <w:t xml:space="preserve">, </w:t>
      </w:r>
      <w:r>
        <w:rPr>
          <w:rFonts w:ascii="Times New Roman" w:hAnsi="Times New Roman"/>
          <w:sz w:val="24"/>
          <w:szCs w:val="24"/>
        </w:rPr>
        <w:t xml:space="preserve">and determines a new </w:t>
      </w:r>
      <w:r w:rsidR="009F4E29" w:rsidRPr="00950847">
        <w:rPr>
          <w:rFonts w:ascii="Times New Roman" w:hAnsi="Times New Roman"/>
          <w:i/>
          <w:sz w:val="24"/>
          <w:szCs w:val="24"/>
        </w:rPr>
        <w:t>Prudential Standard APS 330 Capital Adequacy: Public Disclosure</w:t>
      </w:r>
      <w:r w:rsidR="009F4E29" w:rsidRPr="005B1CDA">
        <w:rPr>
          <w:rFonts w:ascii="Times New Roman" w:hAnsi="Times New Roman"/>
          <w:sz w:val="24"/>
          <w:szCs w:val="24"/>
        </w:rPr>
        <w:t xml:space="preserve"> </w:t>
      </w:r>
      <w:r w:rsidRPr="001A698C">
        <w:rPr>
          <w:rFonts w:ascii="Times New Roman" w:hAnsi="Times New Roman"/>
          <w:sz w:val="24"/>
          <w:szCs w:val="24"/>
        </w:rPr>
        <w:t>(APS</w:t>
      </w:r>
      <w:r w:rsidRPr="005B1CDA">
        <w:rPr>
          <w:rFonts w:ascii="Times New Roman" w:hAnsi="Times New Roman"/>
          <w:sz w:val="24"/>
          <w:szCs w:val="24"/>
        </w:rPr>
        <w:t xml:space="preserve"> </w:t>
      </w:r>
      <w:r w:rsidR="009F4E29">
        <w:rPr>
          <w:rFonts w:ascii="Times New Roman" w:hAnsi="Times New Roman"/>
          <w:sz w:val="24"/>
          <w:szCs w:val="24"/>
        </w:rPr>
        <w:t>330</w:t>
      </w:r>
      <w:r w:rsidRPr="001A698C">
        <w:rPr>
          <w:rFonts w:ascii="Times New Roman" w:hAnsi="Times New Roman"/>
          <w:sz w:val="24"/>
          <w:szCs w:val="24"/>
        </w:rPr>
        <w:t>)</w:t>
      </w:r>
      <w:r>
        <w:rPr>
          <w:rFonts w:ascii="Times New Roman" w:hAnsi="Times New Roman"/>
          <w:sz w:val="24"/>
          <w:szCs w:val="24"/>
        </w:rPr>
        <w:t xml:space="preserve">; </w:t>
      </w:r>
      <w:r w:rsidR="009F4E29">
        <w:rPr>
          <w:rFonts w:ascii="Times New Roman" w:hAnsi="Times New Roman"/>
          <w:sz w:val="24"/>
          <w:szCs w:val="24"/>
        </w:rPr>
        <w:t>and</w:t>
      </w:r>
    </w:p>
    <w:p w:rsidR="00207E12" w:rsidRDefault="00207E12" w:rsidP="005B1CDA">
      <w:pPr>
        <w:widowControl w:val="0"/>
        <w:spacing w:before="120" w:after="60"/>
        <w:ind w:left="567" w:hanging="567"/>
        <w:jc w:val="both"/>
        <w:rPr>
          <w:rFonts w:ascii="Times New Roman" w:hAnsi="Times New Roman"/>
          <w:sz w:val="24"/>
          <w:szCs w:val="24"/>
        </w:rPr>
      </w:pPr>
      <w:r>
        <w:rPr>
          <w:rFonts w:ascii="Times New Roman" w:hAnsi="Times New Roman"/>
          <w:sz w:val="24"/>
          <w:szCs w:val="24"/>
        </w:rPr>
        <w:t>(</w:t>
      </w:r>
      <w:r w:rsidR="00D17B97">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2C6D26">
        <w:rPr>
          <w:rFonts w:ascii="Times New Roman" w:hAnsi="Times New Roman"/>
          <w:sz w:val="24"/>
          <w:szCs w:val="24"/>
        </w:rPr>
        <w:t>Banking (prudenti</w:t>
      </w:r>
      <w:r w:rsidR="009F4E29">
        <w:rPr>
          <w:rFonts w:ascii="Times New Roman" w:hAnsi="Times New Roman"/>
          <w:sz w:val="24"/>
          <w:szCs w:val="24"/>
        </w:rPr>
        <w:t xml:space="preserve">al standard) determination No. </w:t>
      </w:r>
      <w:r w:rsidR="002F7092">
        <w:rPr>
          <w:rFonts w:ascii="Times New Roman" w:hAnsi="Times New Roman"/>
          <w:sz w:val="24"/>
          <w:szCs w:val="24"/>
        </w:rPr>
        <w:t xml:space="preserve">6 </w:t>
      </w:r>
      <w:r w:rsidR="009F4E29">
        <w:rPr>
          <w:rFonts w:ascii="Times New Roman" w:hAnsi="Times New Roman"/>
          <w:sz w:val="24"/>
          <w:szCs w:val="24"/>
        </w:rPr>
        <w:t>of 201</w:t>
      </w:r>
      <w:r w:rsidR="009C4A6E">
        <w:rPr>
          <w:rFonts w:ascii="Times New Roman" w:hAnsi="Times New Roman"/>
          <w:sz w:val="24"/>
          <w:szCs w:val="24"/>
        </w:rPr>
        <w:t>4</w:t>
      </w:r>
      <w:r w:rsidRPr="002C6D26">
        <w:rPr>
          <w:rFonts w:ascii="Times New Roman" w:hAnsi="Times New Roman"/>
          <w:sz w:val="24"/>
          <w:szCs w:val="24"/>
        </w:rPr>
        <w:t xml:space="preserve"> </w:t>
      </w:r>
      <w:r>
        <w:rPr>
          <w:rFonts w:ascii="Times New Roman" w:hAnsi="Times New Roman"/>
          <w:sz w:val="24"/>
          <w:szCs w:val="24"/>
        </w:rPr>
        <w:t>(the instrument)</w:t>
      </w:r>
      <w:r w:rsidR="00A47E64">
        <w:rPr>
          <w:rFonts w:ascii="Times New Roman" w:hAnsi="Times New Roman"/>
          <w:sz w:val="24"/>
          <w:szCs w:val="24"/>
        </w:rPr>
        <w:t>,</w:t>
      </w:r>
      <w:r>
        <w:rPr>
          <w:rFonts w:ascii="Times New Roman" w:hAnsi="Times New Roman"/>
          <w:sz w:val="24"/>
          <w:szCs w:val="24"/>
        </w:rPr>
        <w:t xml:space="preserve"> which revokes</w:t>
      </w:r>
      <w:r w:rsidRPr="002C6D26">
        <w:rPr>
          <w:rFonts w:ascii="Times New Roman" w:hAnsi="Times New Roman"/>
          <w:sz w:val="24"/>
          <w:szCs w:val="24"/>
        </w:rPr>
        <w:t xml:space="preserve"> </w:t>
      </w:r>
      <w:r w:rsidRPr="00950847">
        <w:rPr>
          <w:rFonts w:ascii="Times New Roman" w:hAnsi="Times New Roman"/>
          <w:i/>
          <w:sz w:val="24"/>
          <w:szCs w:val="24"/>
        </w:rPr>
        <w:t xml:space="preserve">Prudential Standard APS </w:t>
      </w:r>
      <w:r w:rsidR="009F4E29" w:rsidRPr="00950847">
        <w:rPr>
          <w:rFonts w:ascii="Times New Roman" w:hAnsi="Times New Roman"/>
          <w:i/>
          <w:sz w:val="24"/>
          <w:szCs w:val="24"/>
        </w:rPr>
        <w:t>610 Prudential Requirements for Providers of Purchased Payment Facilities</w:t>
      </w:r>
      <w:r w:rsidR="009F4E29" w:rsidRPr="005B1CDA">
        <w:rPr>
          <w:rFonts w:ascii="Times New Roman" w:hAnsi="Times New Roman"/>
          <w:sz w:val="24"/>
          <w:szCs w:val="24"/>
        </w:rPr>
        <w:t xml:space="preserve"> </w:t>
      </w:r>
      <w:r w:rsidR="00567401">
        <w:rPr>
          <w:rFonts w:ascii="Times New Roman" w:hAnsi="Times New Roman"/>
          <w:sz w:val="24"/>
          <w:szCs w:val="24"/>
        </w:rPr>
        <w:t xml:space="preserve">made under Banking (prudential standard) determination No. </w:t>
      </w:r>
      <w:r w:rsidR="009C4A6E">
        <w:rPr>
          <w:rFonts w:ascii="Times New Roman" w:hAnsi="Times New Roman"/>
          <w:sz w:val="24"/>
          <w:szCs w:val="24"/>
        </w:rPr>
        <w:t>17 of 2012</w:t>
      </w:r>
      <w:r w:rsidR="00567401">
        <w:rPr>
          <w:rFonts w:ascii="Times New Roman" w:hAnsi="Times New Roman"/>
          <w:sz w:val="24"/>
          <w:szCs w:val="24"/>
        </w:rPr>
        <w:t xml:space="preserve">, </w:t>
      </w:r>
      <w:r>
        <w:rPr>
          <w:rFonts w:ascii="Times New Roman" w:hAnsi="Times New Roman"/>
          <w:sz w:val="24"/>
          <w:szCs w:val="24"/>
        </w:rPr>
        <w:t xml:space="preserve">and determines a new </w:t>
      </w:r>
      <w:r w:rsidR="009F4E29" w:rsidRPr="00950847">
        <w:rPr>
          <w:rFonts w:ascii="Times New Roman" w:hAnsi="Times New Roman"/>
          <w:i/>
          <w:sz w:val="24"/>
          <w:szCs w:val="24"/>
        </w:rPr>
        <w:t>Prudential Standard APS 610 Prudential Requirements for Providers of Purchased Payment Facilities</w:t>
      </w:r>
      <w:r w:rsidR="009F4E29" w:rsidRPr="005B1CDA">
        <w:rPr>
          <w:rFonts w:ascii="Times New Roman" w:hAnsi="Times New Roman"/>
          <w:sz w:val="24"/>
          <w:szCs w:val="24"/>
        </w:rPr>
        <w:t xml:space="preserve"> </w:t>
      </w:r>
      <w:r w:rsidRPr="001A698C">
        <w:rPr>
          <w:rFonts w:ascii="Times New Roman" w:hAnsi="Times New Roman"/>
          <w:sz w:val="24"/>
          <w:szCs w:val="24"/>
        </w:rPr>
        <w:t>(APS</w:t>
      </w:r>
      <w:r w:rsidRPr="005B1CDA">
        <w:rPr>
          <w:rFonts w:ascii="Times New Roman" w:hAnsi="Times New Roman"/>
          <w:sz w:val="24"/>
          <w:szCs w:val="24"/>
        </w:rPr>
        <w:t xml:space="preserve"> </w:t>
      </w:r>
      <w:r w:rsidR="009F4E29">
        <w:rPr>
          <w:rFonts w:ascii="Times New Roman" w:hAnsi="Times New Roman"/>
          <w:sz w:val="24"/>
          <w:szCs w:val="24"/>
        </w:rPr>
        <w:t>610</w:t>
      </w:r>
      <w:r w:rsidRPr="001A698C">
        <w:rPr>
          <w:rFonts w:ascii="Times New Roman" w:hAnsi="Times New Roman"/>
          <w:sz w:val="24"/>
          <w:szCs w:val="24"/>
        </w:rPr>
        <w:t>)</w:t>
      </w:r>
      <w:r w:rsidR="009F4E29">
        <w:rPr>
          <w:rFonts w:ascii="Times New Roman" w:hAnsi="Times New Roman"/>
          <w:sz w:val="24"/>
          <w:szCs w:val="24"/>
        </w:rPr>
        <w:t>.</w:t>
      </w:r>
    </w:p>
    <w:p w:rsidR="00830245" w:rsidRDefault="00AC7A56" w:rsidP="003771F3">
      <w:pPr>
        <w:widowControl w:val="0"/>
        <w:spacing w:before="120" w:after="60"/>
        <w:jc w:val="both"/>
        <w:rPr>
          <w:rFonts w:ascii="Times New Roman" w:hAnsi="Times New Roman"/>
          <w:sz w:val="24"/>
          <w:szCs w:val="24"/>
        </w:rPr>
      </w:pPr>
      <w:r>
        <w:rPr>
          <w:rFonts w:ascii="Times New Roman" w:hAnsi="Times New Roman"/>
          <w:sz w:val="24"/>
          <w:szCs w:val="24"/>
        </w:rPr>
        <w:t>The instruments commence on</w:t>
      </w:r>
      <w:r w:rsidRPr="002C6D26">
        <w:rPr>
          <w:rFonts w:ascii="Times New Roman" w:hAnsi="Times New Roman"/>
          <w:sz w:val="24"/>
          <w:szCs w:val="24"/>
        </w:rPr>
        <w:t xml:space="preserve"> </w:t>
      </w:r>
      <w:r w:rsidR="003F246A">
        <w:rPr>
          <w:rFonts w:ascii="Times New Roman" w:hAnsi="Times New Roman"/>
          <w:sz w:val="24"/>
          <w:szCs w:val="24"/>
        </w:rPr>
        <w:t>1 January 201</w:t>
      </w:r>
      <w:r w:rsidR="00E7573F">
        <w:rPr>
          <w:rFonts w:ascii="Times New Roman" w:hAnsi="Times New Roman"/>
          <w:sz w:val="24"/>
          <w:szCs w:val="24"/>
        </w:rPr>
        <w:t>5</w:t>
      </w:r>
      <w:r w:rsidRPr="002C6D26">
        <w:rPr>
          <w:rFonts w:ascii="Times New Roman" w:hAnsi="Times New Roman"/>
          <w:sz w:val="24"/>
          <w:szCs w:val="24"/>
        </w:rPr>
        <w:t>.</w:t>
      </w:r>
    </w:p>
    <w:p w:rsidR="002436BD" w:rsidRDefault="00AC7A56" w:rsidP="00D64A92">
      <w:pPr>
        <w:pStyle w:val="Heading"/>
        <w:keepNext/>
        <w:numPr>
          <w:ilvl w:val="0"/>
          <w:numId w:val="2"/>
        </w:numPr>
        <w:spacing w:before="240" w:after="60"/>
        <w:ind w:left="0" w:firstLine="0"/>
        <w:outlineLvl w:val="0"/>
        <w:rPr>
          <w:rFonts w:ascii="Times New Roman" w:hAnsi="Times New Roman"/>
          <w:sz w:val="24"/>
          <w:szCs w:val="24"/>
        </w:rPr>
      </w:pPr>
      <w:r>
        <w:rPr>
          <w:rFonts w:ascii="Times New Roman" w:hAnsi="Times New Roman"/>
          <w:sz w:val="24"/>
          <w:szCs w:val="24"/>
        </w:rPr>
        <w:tab/>
      </w:r>
      <w:r w:rsidR="002436BD" w:rsidRPr="002C6D26">
        <w:rPr>
          <w:rFonts w:ascii="Times New Roman" w:hAnsi="Times New Roman"/>
          <w:sz w:val="24"/>
          <w:szCs w:val="24"/>
        </w:rPr>
        <w:t>Background</w:t>
      </w:r>
    </w:p>
    <w:p w:rsidR="00D13A66" w:rsidRPr="00961084" w:rsidRDefault="00D65051" w:rsidP="00D13A66">
      <w:pPr>
        <w:spacing w:after="240"/>
        <w:jc w:val="both"/>
        <w:rPr>
          <w:rFonts w:ascii="Times New Roman" w:hAnsi="Times New Roman"/>
          <w:sz w:val="24"/>
          <w:szCs w:val="24"/>
        </w:rPr>
      </w:pPr>
      <w:r>
        <w:rPr>
          <w:rFonts w:ascii="Times New Roman" w:hAnsi="Times New Roman"/>
          <w:sz w:val="24"/>
          <w:szCs w:val="24"/>
        </w:rPr>
        <w:t>I</w:t>
      </w:r>
      <w:r w:rsidR="00D13A66" w:rsidRPr="00961084">
        <w:rPr>
          <w:rFonts w:ascii="Times New Roman" w:hAnsi="Times New Roman"/>
          <w:sz w:val="24"/>
          <w:szCs w:val="24"/>
        </w:rPr>
        <w:t>n January 2014</w:t>
      </w:r>
      <w:r>
        <w:rPr>
          <w:rFonts w:ascii="Times New Roman" w:hAnsi="Times New Roman"/>
          <w:sz w:val="24"/>
          <w:szCs w:val="24"/>
        </w:rPr>
        <w:t>,</w:t>
      </w:r>
      <w:r w:rsidR="00D13A66" w:rsidRPr="00961084">
        <w:rPr>
          <w:rFonts w:ascii="Times New Roman" w:hAnsi="Times New Roman"/>
          <w:sz w:val="24"/>
          <w:szCs w:val="24"/>
        </w:rPr>
        <w:t xml:space="preserve"> APRA released a new cross-industry prudential standard </w:t>
      </w:r>
      <w:r w:rsidR="00D13A66" w:rsidRPr="00961084">
        <w:rPr>
          <w:rFonts w:ascii="Times New Roman" w:hAnsi="Times New Roman"/>
          <w:i/>
          <w:sz w:val="24"/>
          <w:szCs w:val="24"/>
        </w:rPr>
        <w:t>Prudential Standard CPS 220 Risk Management</w:t>
      </w:r>
      <w:r w:rsidR="00D13A66" w:rsidRPr="00961084">
        <w:rPr>
          <w:rFonts w:ascii="Times New Roman" w:hAnsi="Times New Roman"/>
          <w:sz w:val="24"/>
          <w:szCs w:val="24"/>
        </w:rPr>
        <w:t xml:space="preserve"> (CPS 220), </w:t>
      </w:r>
      <w:r>
        <w:rPr>
          <w:rFonts w:ascii="Times New Roman" w:hAnsi="Times New Roman"/>
          <w:sz w:val="24"/>
          <w:szCs w:val="24"/>
        </w:rPr>
        <w:t>that</w:t>
      </w:r>
      <w:r w:rsidRPr="00961084">
        <w:rPr>
          <w:rFonts w:ascii="Times New Roman" w:hAnsi="Times New Roman"/>
          <w:sz w:val="24"/>
          <w:szCs w:val="24"/>
        </w:rPr>
        <w:t xml:space="preserve"> </w:t>
      </w:r>
      <w:r w:rsidR="00D13A66" w:rsidRPr="00961084">
        <w:rPr>
          <w:rFonts w:ascii="Times New Roman" w:hAnsi="Times New Roman"/>
          <w:sz w:val="24"/>
          <w:szCs w:val="24"/>
        </w:rPr>
        <w:t>appl</w:t>
      </w:r>
      <w:r>
        <w:rPr>
          <w:rFonts w:ascii="Times New Roman" w:hAnsi="Times New Roman"/>
          <w:sz w:val="24"/>
          <w:szCs w:val="24"/>
        </w:rPr>
        <w:t>ies</w:t>
      </w:r>
      <w:r w:rsidR="00D13A66" w:rsidRPr="00961084">
        <w:rPr>
          <w:rFonts w:ascii="Times New Roman" w:hAnsi="Times New Roman"/>
          <w:sz w:val="24"/>
          <w:szCs w:val="24"/>
        </w:rPr>
        <w:t xml:space="preserve"> to ADIs, general insurers and life insurers, and Level 2 and Level 3 groups. A revised </w:t>
      </w:r>
      <w:r w:rsidR="00D13A66" w:rsidRPr="00961084">
        <w:rPr>
          <w:rFonts w:ascii="Times New Roman" w:hAnsi="Times New Roman"/>
          <w:i/>
          <w:sz w:val="24"/>
          <w:szCs w:val="24"/>
        </w:rPr>
        <w:t>Prudential Standard CPS 510 Governance</w:t>
      </w:r>
      <w:r w:rsidR="00D13A66" w:rsidRPr="00961084">
        <w:rPr>
          <w:rFonts w:ascii="Times New Roman" w:hAnsi="Times New Roman"/>
          <w:sz w:val="24"/>
          <w:szCs w:val="24"/>
        </w:rPr>
        <w:t xml:space="preserve"> (CPS 510) was also released to ensure risk management governance principles were aligned to the new CPS 220. </w:t>
      </w:r>
    </w:p>
    <w:p w:rsidR="00835444" w:rsidRPr="00961084" w:rsidRDefault="00D13A66" w:rsidP="00D13A66">
      <w:pPr>
        <w:jc w:val="both"/>
        <w:rPr>
          <w:rFonts w:ascii="Times New Roman" w:hAnsi="Times New Roman"/>
          <w:sz w:val="24"/>
          <w:szCs w:val="24"/>
        </w:rPr>
      </w:pPr>
      <w:r w:rsidRPr="00961084">
        <w:rPr>
          <w:rFonts w:ascii="Times New Roman" w:hAnsi="Times New Roman"/>
          <w:sz w:val="24"/>
          <w:szCs w:val="24"/>
        </w:rPr>
        <w:t>The</w:t>
      </w:r>
      <w:r w:rsidR="00D65051">
        <w:rPr>
          <w:rFonts w:ascii="Times New Roman" w:hAnsi="Times New Roman"/>
          <w:sz w:val="24"/>
          <w:szCs w:val="24"/>
        </w:rPr>
        <w:t>se</w:t>
      </w:r>
      <w:r w:rsidRPr="00961084">
        <w:rPr>
          <w:rFonts w:ascii="Times New Roman" w:hAnsi="Times New Roman"/>
          <w:sz w:val="24"/>
          <w:szCs w:val="24"/>
        </w:rPr>
        <w:t xml:space="preserve"> new and amended standards come </w:t>
      </w:r>
      <w:r w:rsidR="00210393" w:rsidRPr="00961084">
        <w:rPr>
          <w:rFonts w:ascii="Times New Roman" w:hAnsi="Times New Roman"/>
          <w:sz w:val="24"/>
          <w:szCs w:val="24"/>
        </w:rPr>
        <w:t xml:space="preserve">into effect from 1 January 2015. </w:t>
      </w:r>
    </w:p>
    <w:p w:rsidR="009E2BD3" w:rsidRDefault="009E2BD3" w:rsidP="009E2BD3">
      <w:pPr>
        <w:pStyle w:val="Heading"/>
        <w:keepNext/>
        <w:spacing w:before="240" w:after="60"/>
        <w:outlineLvl w:val="0"/>
        <w:rPr>
          <w:rFonts w:ascii="Times New Roman" w:hAnsi="Times New Roman"/>
          <w:b w:val="0"/>
          <w:sz w:val="24"/>
          <w:szCs w:val="24"/>
        </w:rPr>
      </w:pPr>
      <w:bookmarkStart w:id="4" w:name="bkBackground"/>
      <w:bookmarkEnd w:id="4"/>
      <w:r w:rsidRPr="009E2BD3">
        <w:rPr>
          <w:rFonts w:ascii="Times New Roman" w:hAnsi="Times New Roman"/>
          <w:b w:val="0"/>
          <w:sz w:val="24"/>
          <w:szCs w:val="24"/>
        </w:rPr>
        <w:t xml:space="preserve">CPS 220 and revised CPS 510 necessitate a series of </w:t>
      </w:r>
      <w:r w:rsidR="00D65051">
        <w:rPr>
          <w:rFonts w:ascii="Times New Roman" w:hAnsi="Times New Roman"/>
          <w:b w:val="0"/>
          <w:sz w:val="24"/>
          <w:szCs w:val="24"/>
        </w:rPr>
        <w:t xml:space="preserve">consequential </w:t>
      </w:r>
      <w:r w:rsidRPr="009E2BD3">
        <w:rPr>
          <w:rFonts w:ascii="Times New Roman" w:hAnsi="Times New Roman"/>
          <w:b w:val="0"/>
          <w:sz w:val="24"/>
          <w:szCs w:val="24"/>
        </w:rPr>
        <w:t xml:space="preserve">amendments to existing industry-specific and cross-industry </w:t>
      </w:r>
      <w:r w:rsidR="00D65051">
        <w:rPr>
          <w:rFonts w:ascii="Times New Roman" w:hAnsi="Times New Roman"/>
          <w:b w:val="0"/>
          <w:sz w:val="24"/>
          <w:szCs w:val="24"/>
        </w:rPr>
        <w:t xml:space="preserve">prudential </w:t>
      </w:r>
      <w:r w:rsidRPr="009E2BD3">
        <w:rPr>
          <w:rFonts w:ascii="Times New Roman" w:hAnsi="Times New Roman"/>
          <w:b w:val="0"/>
          <w:sz w:val="24"/>
          <w:szCs w:val="24"/>
        </w:rPr>
        <w:t>standards. The majority of changes are necessary to remove duplication and</w:t>
      </w:r>
      <w:r w:rsidR="00D17B97">
        <w:rPr>
          <w:rFonts w:ascii="Times New Roman" w:hAnsi="Times New Roman"/>
          <w:b w:val="0"/>
          <w:sz w:val="24"/>
          <w:szCs w:val="24"/>
        </w:rPr>
        <w:t xml:space="preserve"> </w:t>
      </w:r>
      <w:r w:rsidR="00724168">
        <w:rPr>
          <w:rFonts w:ascii="Times New Roman" w:hAnsi="Times New Roman"/>
          <w:b w:val="0"/>
          <w:sz w:val="24"/>
          <w:szCs w:val="24"/>
        </w:rPr>
        <w:t>to</w:t>
      </w:r>
      <w:r w:rsidRPr="009E2BD3">
        <w:rPr>
          <w:rFonts w:ascii="Times New Roman" w:hAnsi="Times New Roman"/>
          <w:b w:val="0"/>
          <w:sz w:val="24"/>
          <w:szCs w:val="24"/>
        </w:rPr>
        <w:t xml:space="preserve"> update </w:t>
      </w:r>
      <w:r w:rsidR="00724168">
        <w:rPr>
          <w:rFonts w:ascii="Times New Roman" w:hAnsi="Times New Roman"/>
          <w:b w:val="0"/>
          <w:sz w:val="24"/>
          <w:szCs w:val="24"/>
        </w:rPr>
        <w:t>cross-</w:t>
      </w:r>
      <w:r w:rsidRPr="009E2BD3">
        <w:rPr>
          <w:rFonts w:ascii="Times New Roman" w:hAnsi="Times New Roman"/>
          <w:b w:val="0"/>
          <w:sz w:val="24"/>
          <w:szCs w:val="24"/>
        </w:rPr>
        <w:t>references.</w:t>
      </w:r>
    </w:p>
    <w:p w:rsidR="009E2BD3" w:rsidRDefault="009E2BD3" w:rsidP="009E2BD3">
      <w:pPr>
        <w:pStyle w:val="Heading"/>
        <w:keepNext/>
        <w:spacing w:before="240" w:after="60"/>
        <w:outlineLvl w:val="0"/>
        <w:rPr>
          <w:rFonts w:ascii="Times New Roman" w:hAnsi="Times New Roman"/>
          <w:sz w:val="24"/>
          <w:szCs w:val="24"/>
        </w:rPr>
      </w:pPr>
    </w:p>
    <w:p w:rsidR="002436BD" w:rsidRPr="009E2BD3" w:rsidRDefault="002436BD" w:rsidP="00594FBC">
      <w:pPr>
        <w:pStyle w:val="Heading"/>
        <w:keepNext/>
        <w:numPr>
          <w:ilvl w:val="0"/>
          <w:numId w:val="2"/>
        </w:numPr>
        <w:spacing w:before="240" w:after="60"/>
        <w:outlineLvl w:val="0"/>
        <w:rPr>
          <w:rFonts w:ascii="Times New Roman" w:hAnsi="Times New Roman"/>
          <w:sz w:val="24"/>
          <w:szCs w:val="24"/>
        </w:rPr>
      </w:pPr>
      <w:r w:rsidRPr="009E2BD3">
        <w:rPr>
          <w:rFonts w:ascii="Times New Roman" w:hAnsi="Times New Roman"/>
          <w:sz w:val="24"/>
          <w:szCs w:val="24"/>
        </w:rPr>
        <w:t xml:space="preserve">Purpose </w:t>
      </w:r>
      <w:r w:rsidR="00DF524E" w:rsidRPr="009E2BD3">
        <w:rPr>
          <w:rFonts w:ascii="Times New Roman" w:hAnsi="Times New Roman"/>
          <w:sz w:val="24"/>
          <w:szCs w:val="24"/>
        </w:rPr>
        <w:t xml:space="preserve">and operation </w:t>
      </w:r>
      <w:r w:rsidRPr="009E2BD3">
        <w:rPr>
          <w:rFonts w:ascii="Times New Roman" w:hAnsi="Times New Roman"/>
          <w:sz w:val="24"/>
          <w:szCs w:val="24"/>
        </w:rPr>
        <w:t>of the instrument</w:t>
      </w:r>
      <w:r w:rsidR="003771F3" w:rsidRPr="009E2BD3">
        <w:rPr>
          <w:rFonts w:ascii="Times New Roman" w:hAnsi="Times New Roman"/>
          <w:sz w:val="24"/>
          <w:szCs w:val="24"/>
        </w:rPr>
        <w:t>s</w:t>
      </w:r>
    </w:p>
    <w:p w:rsidR="00D12D91" w:rsidRDefault="00D12D91" w:rsidP="003771F3">
      <w:pPr>
        <w:pStyle w:val="Heading"/>
        <w:rPr>
          <w:rFonts w:ascii="Times New Roman" w:hAnsi="Times New Roman"/>
          <w:b w:val="0"/>
          <w:sz w:val="24"/>
          <w:szCs w:val="24"/>
          <w:highlight w:val="yellow"/>
        </w:rPr>
      </w:pPr>
      <w:bookmarkStart w:id="5" w:name="bkPurpose"/>
      <w:bookmarkEnd w:id="5"/>
    </w:p>
    <w:p w:rsidR="00C83F4B" w:rsidRPr="006906F2" w:rsidRDefault="00C83F4B" w:rsidP="003771F3">
      <w:pPr>
        <w:pStyle w:val="Heading"/>
        <w:rPr>
          <w:rFonts w:ascii="Times New Roman" w:hAnsi="Times New Roman"/>
          <w:b w:val="0"/>
          <w:i/>
          <w:sz w:val="24"/>
          <w:szCs w:val="24"/>
        </w:rPr>
      </w:pPr>
      <w:r w:rsidRPr="006906F2">
        <w:rPr>
          <w:rFonts w:ascii="Times New Roman" w:hAnsi="Times New Roman"/>
          <w:b w:val="0"/>
          <w:i/>
          <w:sz w:val="24"/>
          <w:szCs w:val="24"/>
        </w:rPr>
        <w:t>Banking (prudential standard) determination No.</w:t>
      </w:r>
      <w:r>
        <w:rPr>
          <w:rFonts w:ascii="Times New Roman" w:hAnsi="Times New Roman"/>
          <w:b w:val="0"/>
          <w:i/>
          <w:sz w:val="24"/>
          <w:szCs w:val="24"/>
        </w:rPr>
        <w:t xml:space="preserve"> </w:t>
      </w:r>
      <w:r w:rsidR="005457E4">
        <w:rPr>
          <w:rFonts w:ascii="Times New Roman" w:hAnsi="Times New Roman"/>
          <w:b w:val="0"/>
          <w:i/>
          <w:sz w:val="24"/>
          <w:szCs w:val="24"/>
        </w:rPr>
        <w:t>3</w:t>
      </w:r>
      <w:r>
        <w:rPr>
          <w:rFonts w:ascii="Times New Roman" w:hAnsi="Times New Roman"/>
          <w:b w:val="0"/>
          <w:i/>
          <w:sz w:val="24"/>
          <w:szCs w:val="24"/>
        </w:rPr>
        <w:t xml:space="preserve"> </w:t>
      </w:r>
      <w:r w:rsidRPr="006906F2">
        <w:rPr>
          <w:rFonts w:ascii="Times New Roman" w:hAnsi="Times New Roman"/>
          <w:b w:val="0"/>
          <w:i/>
          <w:sz w:val="24"/>
          <w:szCs w:val="24"/>
        </w:rPr>
        <w:t>of 201</w:t>
      </w:r>
      <w:r w:rsidR="00E7573F">
        <w:rPr>
          <w:rFonts w:ascii="Times New Roman" w:hAnsi="Times New Roman"/>
          <w:b w:val="0"/>
          <w:i/>
          <w:sz w:val="24"/>
          <w:szCs w:val="24"/>
        </w:rPr>
        <w:t>4</w:t>
      </w:r>
    </w:p>
    <w:p w:rsidR="00C3432A" w:rsidRDefault="00C3432A" w:rsidP="003771F3">
      <w:pPr>
        <w:pStyle w:val="Heading"/>
        <w:rPr>
          <w:rFonts w:ascii="Times New Roman" w:hAnsi="Times New Roman"/>
          <w:b w:val="0"/>
          <w:sz w:val="24"/>
          <w:szCs w:val="24"/>
        </w:rPr>
      </w:pPr>
    </w:p>
    <w:p w:rsidR="00E7573F" w:rsidRDefault="00E7573F" w:rsidP="00E7573F">
      <w:pPr>
        <w:pStyle w:val="Heading"/>
        <w:rPr>
          <w:rFonts w:ascii="Times New Roman" w:hAnsi="Times New Roman"/>
          <w:b w:val="0"/>
          <w:sz w:val="24"/>
          <w:szCs w:val="24"/>
          <w:highlight w:val="yellow"/>
        </w:rPr>
      </w:pPr>
      <w:r>
        <w:rPr>
          <w:rFonts w:ascii="Times New Roman" w:hAnsi="Times New Roman"/>
          <w:b w:val="0"/>
          <w:sz w:val="24"/>
          <w:szCs w:val="24"/>
        </w:rPr>
        <w:t>The purpose of the instrument is to revoke APS 001 and to replace it with a new version of APS 001.</w:t>
      </w:r>
    </w:p>
    <w:p w:rsidR="00C3432A" w:rsidRDefault="00C3432A" w:rsidP="003771F3">
      <w:pPr>
        <w:pStyle w:val="Heading"/>
        <w:rPr>
          <w:rFonts w:ascii="Times New Roman" w:hAnsi="Times New Roman"/>
          <w:b w:val="0"/>
          <w:sz w:val="24"/>
          <w:szCs w:val="24"/>
        </w:rPr>
      </w:pPr>
    </w:p>
    <w:p w:rsidR="00C83F4B" w:rsidRDefault="00C83F4B" w:rsidP="003771F3">
      <w:pPr>
        <w:pStyle w:val="Heading"/>
        <w:rPr>
          <w:rFonts w:ascii="Times New Roman" w:hAnsi="Times New Roman"/>
          <w:b w:val="0"/>
          <w:sz w:val="24"/>
          <w:szCs w:val="24"/>
        </w:rPr>
      </w:pPr>
      <w:r>
        <w:rPr>
          <w:rFonts w:ascii="Times New Roman" w:hAnsi="Times New Roman"/>
          <w:b w:val="0"/>
          <w:sz w:val="24"/>
          <w:szCs w:val="24"/>
        </w:rPr>
        <w:t>APS 001 incorporate</w:t>
      </w:r>
      <w:r w:rsidR="00C23041">
        <w:rPr>
          <w:rFonts w:ascii="Times New Roman" w:hAnsi="Times New Roman"/>
          <w:b w:val="0"/>
          <w:sz w:val="24"/>
          <w:szCs w:val="24"/>
        </w:rPr>
        <w:t>s</w:t>
      </w:r>
      <w:r>
        <w:rPr>
          <w:rFonts w:ascii="Times New Roman" w:hAnsi="Times New Roman"/>
          <w:b w:val="0"/>
          <w:sz w:val="24"/>
          <w:szCs w:val="24"/>
        </w:rPr>
        <w:t xml:space="preserve"> common definitions used in ADI prudential standards into a single prudential standard. Generally, only definitions that are unique to a particular prudential standard will be retained in that prudential standard</w:t>
      </w:r>
      <w:r w:rsidR="00714B71">
        <w:rPr>
          <w:rFonts w:ascii="Times New Roman" w:hAnsi="Times New Roman"/>
          <w:b w:val="0"/>
          <w:sz w:val="24"/>
          <w:szCs w:val="24"/>
        </w:rPr>
        <w:t>;</w:t>
      </w:r>
      <w:r>
        <w:rPr>
          <w:rFonts w:ascii="Times New Roman" w:hAnsi="Times New Roman"/>
          <w:b w:val="0"/>
          <w:sz w:val="24"/>
          <w:szCs w:val="24"/>
        </w:rPr>
        <w:t xml:space="preserve"> otherwise, definitions common to two or more prudential standards have been consolidated in APS 001. </w:t>
      </w:r>
    </w:p>
    <w:p w:rsidR="00C23041" w:rsidRDefault="00C23041" w:rsidP="003771F3">
      <w:pPr>
        <w:pStyle w:val="Heading"/>
        <w:rPr>
          <w:rFonts w:ascii="Times New Roman" w:hAnsi="Times New Roman"/>
          <w:b w:val="0"/>
          <w:sz w:val="24"/>
          <w:szCs w:val="24"/>
        </w:rPr>
      </w:pPr>
    </w:p>
    <w:p w:rsidR="00C23041" w:rsidRDefault="00C23041" w:rsidP="003771F3">
      <w:pPr>
        <w:pStyle w:val="Heading"/>
        <w:rPr>
          <w:rFonts w:ascii="Times New Roman" w:hAnsi="Times New Roman"/>
          <w:b w:val="0"/>
          <w:sz w:val="24"/>
          <w:szCs w:val="24"/>
        </w:rPr>
      </w:pPr>
      <w:r>
        <w:rPr>
          <w:rFonts w:ascii="Times New Roman" w:hAnsi="Times New Roman"/>
          <w:b w:val="0"/>
          <w:sz w:val="24"/>
          <w:szCs w:val="24"/>
        </w:rPr>
        <w:t xml:space="preserve">The instrument makes changes to APS 001 to insert new definitions related to CPS 220 and </w:t>
      </w:r>
      <w:r w:rsidR="00AD4281">
        <w:rPr>
          <w:rFonts w:ascii="Times New Roman" w:hAnsi="Times New Roman"/>
          <w:b w:val="0"/>
          <w:sz w:val="24"/>
          <w:szCs w:val="24"/>
        </w:rPr>
        <w:t xml:space="preserve">to </w:t>
      </w:r>
      <w:r>
        <w:rPr>
          <w:rFonts w:ascii="Times New Roman" w:hAnsi="Times New Roman"/>
          <w:b w:val="0"/>
          <w:sz w:val="24"/>
          <w:szCs w:val="24"/>
        </w:rPr>
        <w:t xml:space="preserve">delete a redundant list of ADI </w:t>
      </w:r>
      <w:r w:rsidR="005457E4">
        <w:rPr>
          <w:rFonts w:ascii="Times New Roman" w:hAnsi="Times New Roman"/>
          <w:b w:val="0"/>
          <w:sz w:val="24"/>
          <w:szCs w:val="24"/>
        </w:rPr>
        <w:t>p</w:t>
      </w:r>
      <w:r>
        <w:rPr>
          <w:rFonts w:ascii="Times New Roman" w:hAnsi="Times New Roman"/>
          <w:b w:val="0"/>
          <w:sz w:val="24"/>
          <w:szCs w:val="24"/>
        </w:rPr>
        <w:t xml:space="preserve">rudential </w:t>
      </w:r>
      <w:r w:rsidR="00AD4281">
        <w:rPr>
          <w:rFonts w:ascii="Times New Roman" w:hAnsi="Times New Roman"/>
          <w:b w:val="0"/>
          <w:sz w:val="24"/>
          <w:szCs w:val="24"/>
        </w:rPr>
        <w:t>s</w:t>
      </w:r>
      <w:r>
        <w:rPr>
          <w:rFonts w:ascii="Times New Roman" w:hAnsi="Times New Roman"/>
          <w:b w:val="0"/>
          <w:sz w:val="24"/>
          <w:szCs w:val="24"/>
        </w:rPr>
        <w:t xml:space="preserve">tandards, </w:t>
      </w:r>
      <w:r w:rsidR="005457E4">
        <w:rPr>
          <w:rFonts w:ascii="Times New Roman" w:hAnsi="Times New Roman"/>
          <w:b w:val="0"/>
          <w:sz w:val="24"/>
          <w:szCs w:val="24"/>
        </w:rPr>
        <w:t>p</w:t>
      </w:r>
      <w:r>
        <w:rPr>
          <w:rFonts w:ascii="Times New Roman" w:hAnsi="Times New Roman"/>
          <w:b w:val="0"/>
          <w:sz w:val="24"/>
          <w:szCs w:val="24"/>
        </w:rPr>
        <w:t xml:space="preserve">rudential </w:t>
      </w:r>
      <w:r w:rsidR="005457E4">
        <w:rPr>
          <w:rFonts w:ascii="Times New Roman" w:hAnsi="Times New Roman"/>
          <w:b w:val="0"/>
          <w:sz w:val="24"/>
          <w:szCs w:val="24"/>
        </w:rPr>
        <w:t>p</w:t>
      </w:r>
      <w:r>
        <w:rPr>
          <w:rFonts w:ascii="Times New Roman" w:hAnsi="Times New Roman"/>
          <w:b w:val="0"/>
          <w:sz w:val="24"/>
          <w:szCs w:val="24"/>
        </w:rPr>
        <w:t xml:space="preserve">ractice </w:t>
      </w:r>
      <w:r w:rsidR="005457E4">
        <w:rPr>
          <w:rFonts w:ascii="Times New Roman" w:hAnsi="Times New Roman"/>
          <w:b w:val="0"/>
          <w:sz w:val="24"/>
          <w:szCs w:val="24"/>
        </w:rPr>
        <w:t>g</w:t>
      </w:r>
      <w:r>
        <w:rPr>
          <w:rFonts w:ascii="Times New Roman" w:hAnsi="Times New Roman"/>
          <w:b w:val="0"/>
          <w:sz w:val="24"/>
          <w:szCs w:val="24"/>
        </w:rPr>
        <w:t xml:space="preserve">uides and </w:t>
      </w:r>
      <w:r w:rsidR="005457E4">
        <w:rPr>
          <w:rFonts w:ascii="Times New Roman" w:hAnsi="Times New Roman"/>
          <w:b w:val="0"/>
          <w:sz w:val="24"/>
          <w:szCs w:val="24"/>
        </w:rPr>
        <w:t>g</w:t>
      </w:r>
      <w:r>
        <w:rPr>
          <w:rFonts w:ascii="Times New Roman" w:hAnsi="Times New Roman"/>
          <w:b w:val="0"/>
          <w:sz w:val="24"/>
          <w:szCs w:val="24"/>
        </w:rPr>
        <w:t xml:space="preserve">uidance </w:t>
      </w:r>
      <w:r w:rsidR="005457E4">
        <w:rPr>
          <w:rFonts w:ascii="Times New Roman" w:hAnsi="Times New Roman"/>
          <w:b w:val="0"/>
          <w:sz w:val="24"/>
          <w:szCs w:val="24"/>
        </w:rPr>
        <w:t>n</w:t>
      </w:r>
      <w:r>
        <w:rPr>
          <w:rFonts w:ascii="Times New Roman" w:hAnsi="Times New Roman"/>
          <w:b w:val="0"/>
          <w:sz w:val="24"/>
          <w:szCs w:val="24"/>
        </w:rPr>
        <w:t xml:space="preserve">otes. </w:t>
      </w:r>
    </w:p>
    <w:p w:rsidR="00C3432A" w:rsidRDefault="00C3432A" w:rsidP="003771F3">
      <w:pPr>
        <w:pStyle w:val="Heading"/>
        <w:rPr>
          <w:rFonts w:ascii="Times New Roman" w:hAnsi="Times New Roman"/>
          <w:b w:val="0"/>
          <w:i/>
          <w:sz w:val="24"/>
          <w:szCs w:val="24"/>
        </w:rPr>
      </w:pPr>
    </w:p>
    <w:p w:rsidR="00DA205D" w:rsidRDefault="00DA205D" w:rsidP="003771F3">
      <w:pPr>
        <w:pStyle w:val="Heading"/>
        <w:rPr>
          <w:rFonts w:ascii="Times New Roman" w:hAnsi="Times New Roman"/>
          <w:b w:val="0"/>
          <w:i/>
          <w:sz w:val="24"/>
          <w:szCs w:val="24"/>
        </w:rPr>
      </w:pPr>
    </w:p>
    <w:p w:rsidR="00ED65D6" w:rsidRPr="00FB2117" w:rsidRDefault="00ED65D6" w:rsidP="003771F3">
      <w:pPr>
        <w:pStyle w:val="Heading"/>
        <w:rPr>
          <w:rFonts w:ascii="Times New Roman" w:hAnsi="Times New Roman"/>
          <w:b w:val="0"/>
          <w:sz w:val="24"/>
          <w:szCs w:val="24"/>
        </w:rPr>
      </w:pPr>
      <w:r w:rsidRPr="00FB2117">
        <w:rPr>
          <w:rFonts w:ascii="Times New Roman" w:hAnsi="Times New Roman"/>
          <w:b w:val="0"/>
          <w:i/>
          <w:sz w:val="24"/>
          <w:szCs w:val="24"/>
        </w:rPr>
        <w:t>Banking (prudential standard) determination No.</w:t>
      </w:r>
      <w:r>
        <w:rPr>
          <w:rFonts w:ascii="Times New Roman" w:hAnsi="Times New Roman"/>
          <w:b w:val="0"/>
          <w:i/>
          <w:sz w:val="24"/>
          <w:szCs w:val="24"/>
        </w:rPr>
        <w:t xml:space="preserve"> </w:t>
      </w:r>
      <w:r w:rsidR="005457E4" w:rsidRPr="00885D18">
        <w:rPr>
          <w:rFonts w:ascii="Times New Roman" w:hAnsi="Times New Roman"/>
          <w:b w:val="0"/>
          <w:i/>
          <w:sz w:val="24"/>
          <w:szCs w:val="24"/>
        </w:rPr>
        <w:t>4</w:t>
      </w:r>
      <w:r>
        <w:rPr>
          <w:rFonts w:ascii="Times New Roman" w:hAnsi="Times New Roman"/>
          <w:b w:val="0"/>
          <w:i/>
          <w:sz w:val="24"/>
          <w:szCs w:val="24"/>
        </w:rPr>
        <w:t xml:space="preserve"> </w:t>
      </w:r>
      <w:r w:rsidRPr="00FB2117">
        <w:rPr>
          <w:rFonts w:ascii="Times New Roman" w:hAnsi="Times New Roman"/>
          <w:b w:val="0"/>
          <w:i/>
          <w:sz w:val="24"/>
          <w:szCs w:val="24"/>
        </w:rPr>
        <w:t>of 201</w:t>
      </w:r>
      <w:r w:rsidR="00D13A66">
        <w:rPr>
          <w:rFonts w:ascii="Times New Roman" w:hAnsi="Times New Roman"/>
          <w:b w:val="0"/>
          <w:i/>
          <w:sz w:val="24"/>
          <w:szCs w:val="24"/>
        </w:rPr>
        <w:t>4</w:t>
      </w:r>
    </w:p>
    <w:p w:rsidR="00ED65D6" w:rsidRDefault="00ED65D6" w:rsidP="003771F3">
      <w:pPr>
        <w:pStyle w:val="Heading"/>
        <w:rPr>
          <w:rFonts w:ascii="Times New Roman" w:hAnsi="Times New Roman"/>
          <w:b w:val="0"/>
          <w:sz w:val="24"/>
          <w:szCs w:val="24"/>
        </w:rPr>
      </w:pPr>
    </w:p>
    <w:p w:rsidR="00ED65D6" w:rsidRDefault="00ED65D6" w:rsidP="003771F3">
      <w:pPr>
        <w:pStyle w:val="Heading"/>
        <w:rPr>
          <w:rFonts w:ascii="Times New Roman" w:hAnsi="Times New Roman"/>
          <w:b w:val="0"/>
          <w:sz w:val="24"/>
          <w:szCs w:val="24"/>
          <w:highlight w:val="yellow"/>
        </w:rPr>
      </w:pPr>
      <w:r>
        <w:rPr>
          <w:rFonts w:ascii="Times New Roman" w:hAnsi="Times New Roman"/>
          <w:b w:val="0"/>
          <w:sz w:val="24"/>
          <w:szCs w:val="24"/>
        </w:rPr>
        <w:t xml:space="preserve">The purpose of the instrument is to revoke APS 116 and to replace it with </w:t>
      </w:r>
      <w:r w:rsidR="00F15E43">
        <w:rPr>
          <w:rFonts w:ascii="Times New Roman" w:hAnsi="Times New Roman"/>
          <w:b w:val="0"/>
          <w:sz w:val="24"/>
          <w:szCs w:val="24"/>
        </w:rPr>
        <w:t xml:space="preserve">a </w:t>
      </w:r>
      <w:r>
        <w:rPr>
          <w:rFonts w:ascii="Times New Roman" w:hAnsi="Times New Roman"/>
          <w:b w:val="0"/>
          <w:sz w:val="24"/>
          <w:szCs w:val="24"/>
        </w:rPr>
        <w:t xml:space="preserve">new </w:t>
      </w:r>
      <w:r w:rsidR="00F15E43">
        <w:rPr>
          <w:rFonts w:ascii="Times New Roman" w:hAnsi="Times New Roman"/>
          <w:b w:val="0"/>
          <w:sz w:val="24"/>
          <w:szCs w:val="24"/>
        </w:rPr>
        <w:t xml:space="preserve">version of </w:t>
      </w:r>
      <w:r>
        <w:rPr>
          <w:rFonts w:ascii="Times New Roman" w:hAnsi="Times New Roman"/>
          <w:b w:val="0"/>
          <w:sz w:val="24"/>
          <w:szCs w:val="24"/>
        </w:rPr>
        <w:t>APS 116.</w:t>
      </w:r>
    </w:p>
    <w:p w:rsidR="00ED65D6" w:rsidRDefault="00ED65D6" w:rsidP="003771F3">
      <w:pPr>
        <w:pStyle w:val="Heading"/>
        <w:rPr>
          <w:rFonts w:ascii="Times New Roman" w:hAnsi="Times New Roman"/>
          <w:b w:val="0"/>
          <w:sz w:val="24"/>
          <w:szCs w:val="24"/>
        </w:rPr>
      </w:pPr>
    </w:p>
    <w:p w:rsidR="00601C9E" w:rsidRPr="00601C9E" w:rsidRDefault="00601C9E" w:rsidP="003771F3">
      <w:pPr>
        <w:pStyle w:val="Heading"/>
        <w:rPr>
          <w:rFonts w:ascii="Times New Roman" w:hAnsi="Times New Roman"/>
          <w:b w:val="0"/>
          <w:sz w:val="24"/>
          <w:szCs w:val="24"/>
        </w:rPr>
      </w:pPr>
      <w:r w:rsidRPr="00601C9E">
        <w:rPr>
          <w:rFonts w:ascii="Times New Roman" w:hAnsi="Times New Roman"/>
          <w:b w:val="0"/>
          <w:sz w:val="24"/>
          <w:szCs w:val="24"/>
        </w:rPr>
        <w:lastRenderedPageBreak/>
        <w:t xml:space="preserve">APS 116 requires an </w:t>
      </w:r>
      <w:r w:rsidR="00724168">
        <w:rPr>
          <w:rFonts w:ascii="Times New Roman" w:hAnsi="Times New Roman"/>
          <w:b w:val="0"/>
          <w:sz w:val="24"/>
          <w:szCs w:val="24"/>
        </w:rPr>
        <w:t>ADI</w:t>
      </w:r>
      <w:r w:rsidRPr="00601C9E">
        <w:rPr>
          <w:rFonts w:ascii="Times New Roman" w:hAnsi="Times New Roman"/>
          <w:b w:val="0"/>
          <w:sz w:val="24"/>
          <w:szCs w:val="24"/>
        </w:rPr>
        <w:t xml:space="preserve"> engag</w:t>
      </w:r>
      <w:r w:rsidR="00724168">
        <w:rPr>
          <w:rFonts w:ascii="Times New Roman" w:hAnsi="Times New Roman"/>
          <w:b w:val="0"/>
          <w:sz w:val="24"/>
          <w:szCs w:val="24"/>
        </w:rPr>
        <w:t>ed</w:t>
      </w:r>
      <w:r w:rsidRPr="00601C9E">
        <w:rPr>
          <w:rFonts w:ascii="Times New Roman" w:hAnsi="Times New Roman"/>
          <w:b w:val="0"/>
          <w:sz w:val="24"/>
          <w:szCs w:val="24"/>
        </w:rPr>
        <w:t xml:space="preserve"> in activities that give rise to risks associated with potential movements in market prices to adopt risk management practices and hold regulatory capital commensurate with the risks involved.</w:t>
      </w:r>
    </w:p>
    <w:p w:rsidR="00601C9E" w:rsidRPr="00601C9E" w:rsidRDefault="00601C9E" w:rsidP="003771F3">
      <w:pPr>
        <w:pStyle w:val="Heading"/>
        <w:rPr>
          <w:rFonts w:ascii="Times New Roman" w:hAnsi="Times New Roman"/>
          <w:b w:val="0"/>
          <w:sz w:val="24"/>
          <w:szCs w:val="24"/>
        </w:rPr>
      </w:pPr>
    </w:p>
    <w:p w:rsidR="009041F8" w:rsidRPr="009041F8" w:rsidRDefault="00601C9E" w:rsidP="003771F3">
      <w:pPr>
        <w:pStyle w:val="Heading"/>
        <w:rPr>
          <w:rFonts w:ascii="Times New Roman" w:hAnsi="Times New Roman"/>
          <w:b w:val="0"/>
          <w:sz w:val="24"/>
          <w:szCs w:val="24"/>
        </w:rPr>
      </w:pPr>
      <w:r w:rsidRPr="00601C9E">
        <w:rPr>
          <w:rFonts w:ascii="Times New Roman" w:hAnsi="Times New Roman"/>
          <w:b w:val="0"/>
          <w:sz w:val="24"/>
          <w:szCs w:val="24"/>
        </w:rPr>
        <w:t xml:space="preserve">The instrument makes changes to APS 116 </w:t>
      </w:r>
      <w:r w:rsidR="00C23041">
        <w:rPr>
          <w:rFonts w:ascii="Times New Roman" w:hAnsi="Times New Roman"/>
          <w:b w:val="0"/>
          <w:sz w:val="24"/>
          <w:szCs w:val="24"/>
        </w:rPr>
        <w:t>to incorporate references to CPS 220</w:t>
      </w:r>
      <w:r w:rsidR="009041F8" w:rsidRPr="009041F8">
        <w:rPr>
          <w:rFonts w:ascii="Times New Roman" w:hAnsi="Times New Roman"/>
          <w:b w:val="0"/>
          <w:sz w:val="24"/>
          <w:szCs w:val="24"/>
        </w:rPr>
        <w:t>.</w:t>
      </w:r>
    </w:p>
    <w:p w:rsidR="00601C9E" w:rsidRDefault="00601C9E" w:rsidP="003771F3">
      <w:pPr>
        <w:pStyle w:val="Heading"/>
        <w:rPr>
          <w:rFonts w:ascii="Times New Roman" w:hAnsi="Times New Roman"/>
          <w:b w:val="0"/>
          <w:sz w:val="24"/>
          <w:szCs w:val="24"/>
        </w:rPr>
      </w:pPr>
    </w:p>
    <w:p w:rsidR="00601C9E" w:rsidRDefault="00601C9E" w:rsidP="003771F3">
      <w:pPr>
        <w:pStyle w:val="Heading"/>
        <w:rPr>
          <w:rFonts w:ascii="Times New Roman" w:hAnsi="Times New Roman"/>
          <w:b w:val="0"/>
          <w:sz w:val="24"/>
          <w:szCs w:val="24"/>
        </w:rPr>
      </w:pPr>
    </w:p>
    <w:p w:rsidR="001D7368" w:rsidRDefault="00ED65D6">
      <w:pPr>
        <w:pStyle w:val="Heading"/>
        <w:keepNext/>
        <w:rPr>
          <w:rFonts w:ascii="Times New Roman" w:hAnsi="Times New Roman"/>
          <w:b w:val="0"/>
          <w:sz w:val="24"/>
          <w:szCs w:val="24"/>
        </w:rPr>
      </w:pPr>
      <w:r w:rsidRPr="00FB2117">
        <w:rPr>
          <w:rFonts w:ascii="Times New Roman" w:hAnsi="Times New Roman"/>
          <w:b w:val="0"/>
          <w:i/>
          <w:sz w:val="24"/>
          <w:szCs w:val="24"/>
        </w:rPr>
        <w:t>Banking (prudential standard) determination No.</w:t>
      </w:r>
      <w:r>
        <w:rPr>
          <w:rFonts w:ascii="Times New Roman" w:hAnsi="Times New Roman"/>
          <w:b w:val="0"/>
          <w:i/>
          <w:sz w:val="24"/>
          <w:szCs w:val="24"/>
        </w:rPr>
        <w:t xml:space="preserve"> </w:t>
      </w:r>
      <w:r w:rsidR="005457E4" w:rsidRPr="007C7C72">
        <w:rPr>
          <w:rFonts w:ascii="Times New Roman" w:hAnsi="Times New Roman"/>
          <w:b w:val="0"/>
          <w:i/>
          <w:sz w:val="24"/>
          <w:szCs w:val="24"/>
        </w:rPr>
        <w:t>7</w:t>
      </w:r>
      <w:r>
        <w:rPr>
          <w:rFonts w:ascii="Times New Roman" w:hAnsi="Times New Roman"/>
          <w:b w:val="0"/>
          <w:i/>
          <w:sz w:val="24"/>
          <w:szCs w:val="24"/>
        </w:rPr>
        <w:t xml:space="preserve"> </w:t>
      </w:r>
      <w:r w:rsidRPr="00FB2117">
        <w:rPr>
          <w:rFonts w:ascii="Times New Roman" w:hAnsi="Times New Roman"/>
          <w:b w:val="0"/>
          <w:i/>
          <w:sz w:val="24"/>
          <w:szCs w:val="24"/>
        </w:rPr>
        <w:t>of 201</w:t>
      </w:r>
      <w:r w:rsidR="001516C2">
        <w:rPr>
          <w:rFonts w:ascii="Times New Roman" w:hAnsi="Times New Roman"/>
          <w:b w:val="0"/>
          <w:i/>
          <w:sz w:val="24"/>
          <w:szCs w:val="24"/>
        </w:rPr>
        <w:t>4</w:t>
      </w:r>
    </w:p>
    <w:p w:rsidR="001D7368" w:rsidRDefault="001D7368">
      <w:pPr>
        <w:pStyle w:val="Heading"/>
        <w:keepNext/>
        <w:rPr>
          <w:rFonts w:ascii="Times New Roman" w:hAnsi="Times New Roman"/>
          <w:b w:val="0"/>
          <w:sz w:val="24"/>
          <w:szCs w:val="24"/>
        </w:rPr>
      </w:pPr>
    </w:p>
    <w:p w:rsidR="00ED65D6" w:rsidRDefault="00ED65D6" w:rsidP="003771F3">
      <w:pPr>
        <w:pStyle w:val="Heading"/>
        <w:rPr>
          <w:rFonts w:ascii="Times New Roman" w:hAnsi="Times New Roman"/>
          <w:b w:val="0"/>
          <w:sz w:val="24"/>
          <w:szCs w:val="24"/>
          <w:highlight w:val="yellow"/>
        </w:rPr>
      </w:pPr>
      <w:r>
        <w:rPr>
          <w:rFonts w:ascii="Times New Roman" w:hAnsi="Times New Roman"/>
          <w:b w:val="0"/>
          <w:sz w:val="24"/>
          <w:szCs w:val="24"/>
        </w:rPr>
        <w:t xml:space="preserve">The purpose of the instrument is to revoke APS 120 and to replace it with </w:t>
      </w:r>
      <w:r w:rsidR="00F15E43">
        <w:rPr>
          <w:rFonts w:ascii="Times New Roman" w:hAnsi="Times New Roman"/>
          <w:b w:val="0"/>
          <w:sz w:val="24"/>
          <w:szCs w:val="24"/>
        </w:rPr>
        <w:t xml:space="preserve">a </w:t>
      </w:r>
      <w:r>
        <w:rPr>
          <w:rFonts w:ascii="Times New Roman" w:hAnsi="Times New Roman"/>
          <w:b w:val="0"/>
          <w:sz w:val="24"/>
          <w:szCs w:val="24"/>
        </w:rPr>
        <w:t xml:space="preserve">new </w:t>
      </w:r>
      <w:r w:rsidR="00F15E43">
        <w:rPr>
          <w:rFonts w:ascii="Times New Roman" w:hAnsi="Times New Roman"/>
          <w:b w:val="0"/>
          <w:sz w:val="24"/>
          <w:szCs w:val="24"/>
        </w:rPr>
        <w:t xml:space="preserve">version of </w:t>
      </w:r>
      <w:r>
        <w:rPr>
          <w:rFonts w:ascii="Times New Roman" w:hAnsi="Times New Roman"/>
          <w:b w:val="0"/>
          <w:sz w:val="24"/>
          <w:szCs w:val="24"/>
        </w:rPr>
        <w:t>APS 120.</w:t>
      </w:r>
    </w:p>
    <w:p w:rsidR="00ED65D6" w:rsidRDefault="00ED65D6" w:rsidP="003771F3">
      <w:pPr>
        <w:pStyle w:val="Heading"/>
        <w:rPr>
          <w:rFonts w:ascii="Times New Roman" w:hAnsi="Times New Roman"/>
          <w:b w:val="0"/>
          <w:sz w:val="24"/>
          <w:szCs w:val="24"/>
        </w:rPr>
      </w:pPr>
    </w:p>
    <w:p w:rsidR="00ED65D6" w:rsidRDefault="00C86E3E" w:rsidP="003771F3">
      <w:pPr>
        <w:pStyle w:val="Heading"/>
        <w:rPr>
          <w:rFonts w:ascii="Times New Roman" w:hAnsi="Times New Roman"/>
          <w:b w:val="0"/>
          <w:sz w:val="24"/>
          <w:szCs w:val="24"/>
        </w:rPr>
      </w:pPr>
      <w:r>
        <w:rPr>
          <w:rFonts w:ascii="Times New Roman" w:hAnsi="Times New Roman"/>
          <w:b w:val="0"/>
          <w:sz w:val="24"/>
          <w:szCs w:val="24"/>
        </w:rPr>
        <w:t xml:space="preserve">APS 120 </w:t>
      </w:r>
      <w:r w:rsidRPr="00C86E3E">
        <w:rPr>
          <w:rFonts w:ascii="Times New Roman" w:hAnsi="Times New Roman"/>
          <w:b w:val="0"/>
          <w:sz w:val="24"/>
          <w:szCs w:val="24"/>
        </w:rPr>
        <w:t xml:space="preserve">requires </w:t>
      </w:r>
      <w:r w:rsidR="00B246D7">
        <w:rPr>
          <w:rFonts w:ascii="Times New Roman" w:hAnsi="Times New Roman"/>
          <w:b w:val="0"/>
          <w:sz w:val="24"/>
          <w:szCs w:val="24"/>
        </w:rPr>
        <w:t>ADIs</w:t>
      </w:r>
      <w:r w:rsidRPr="00C86E3E">
        <w:rPr>
          <w:rFonts w:ascii="Times New Roman" w:hAnsi="Times New Roman"/>
          <w:b w:val="0"/>
          <w:sz w:val="24"/>
          <w:szCs w:val="24"/>
        </w:rPr>
        <w:t xml:space="preserve"> to adopt prudent practices in managing the risks associated with securitisation and to ensure that sufficient regulatory capital is held against the associated credit risk.</w:t>
      </w:r>
    </w:p>
    <w:p w:rsidR="001E750E" w:rsidRDefault="001E750E" w:rsidP="003771F3">
      <w:pPr>
        <w:pStyle w:val="Heading"/>
        <w:rPr>
          <w:rFonts w:ascii="Times New Roman" w:hAnsi="Times New Roman"/>
          <w:b w:val="0"/>
          <w:sz w:val="24"/>
          <w:szCs w:val="24"/>
        </w:rPr>
      </w:pPr>
    </w:p>
    <w:p w:rsidR="009041F8" w:rsidRDefault="009041F8" w:rsidP="003771F3">
      <w:pPr>
        <w:pStyle w:val="Heading"/>
        <w:rPr>
          <w:rFonts w:ascii="Times New Roman" w:hAnsi="Times New Roman"/>
          <w:b w:val="0"/>
          <w:sz w:val="24"/>
          <w:szCs w:val="24"/>
        </w:rPr>
      </w:pPr>
      <w:r>
        <w:rPr>
          <w:rFonts w:ascii="Times New Roman" w:hAnsi="Times New Roman"/>
          <w:b w:val="0"/>
          <w:sz w:val="24"/>
          <w:szCs w:val="24"/>
        </w:rPr>
        <w:t xml:space="preserve">The instrument makes minor </w:t>
      </w:r>
      <w:r w:rsidR="00C42493">
        <w:rPr>
          <w:rFonts w:ascii="Times New Roman" w:hAnsi="Times New Roman"/>
          <w:b w:val="0"/>
          <w:sz w:val="24"/>
          <w:szCs w:val="24"/>
        </w:rPr>
        <w:t xml:space="preserve">alterations </w:t>
      </w:r>
      <w:r>
        <w:rPr>
          <w:rFonts w:ascii="Times New Roman" w:hAnsi="Times New Roman"/>
          <w:b w:val="0"/>
          <w:sz w:val="24"/>
          <w:szCs w:val="24"/>
        </w:rPr>
        <w:t xml:space="preserve">to APS 120 to </w:t>
      </w:r>
      <w:r w:rsidR="00C23041">
        <w:rPr>
          <w:rFonts w:ascii="Times New Roman" w:hAnsi="Times New Roman"/>
          <w:b w:val="0"/>
          <w:sz w:val="24"/>
          <w:szCs w:val="24"/>
        </w:rPr>
        <w:t>update references to CPS 510</w:t>
      </w:r>
      <w:r>
        <w:rPr>
          <w:rFonts w:ascii="Times New Roman" w:hAnsi="Times New Roman"/>
          <w:b w:val="0"/>
          <w:sz w:val="24"/>
          <w:szCs w:val="24"/>
        </w:rPr>
        <w:t>.</w:t>
      </w:r>
    </w:p>
    <w:p w:rsidR="009041F8" w:rsidRDefault="009041F8" w:rsidP="003771F3">
      <w:pPr>
        <w:pStyle w:val="Heading"/>
        <w:rPr>
          <w:rFonts w:ascii="Times New Roman" w:hAnsi="Times New Roman"/>
          <w:b w:val="0"/>
          <w:sz w:val="24"/>
          <w:szCs w:val="24"/>
        </w:rPr>
      </w:pPr>
    </w:p>
    <w:p w:rsidR="00C23041" w:rsidRDefault="00C23041" w:rsidP="003771F3">
      <w:pPr>
        <w:pStyle w:val="Heading"/>
        <w:rPr>
          <w:rFonts w:ascii="Times New Roman" w:hAnsi="Times New Roman"/>
          <w:b w:val="0"/>
          <w:i/>
          <w:sz w:val="24"/>
          <w:szCs w:val="24"/>
        </w:rPr>
      </w:pPr>
    </w:p>
    <w:p w:rsidR="00ED65D6" w:rsidRPr="00FB2117" w:rsidRDefault="00ED65D6" w:rsidP="003771F3">
      <w:pPr>
        <w:pStyle w:val="Heading"/>
        <w:rPr>
          <w:rFonts w:ascii="Times New Roman" w:hAnsi="Times New Roman"/>
          <w:b w:val="0"/>
          <w:sz w:val="24"/>
          <w:szCs w:val="24"/>
        </w:rPr>
      </w:pPr>
      <w:r w:rsidRPr="00FB2117">
        <w:rPr>
          <w:rFonts w:ascii="Times New Roman" w:hAnsi="Times New Roman"/>
          <w:b w:val="0"/>
          <w:i/>
          <w:sz w:val="24"/>
          <w:szCs w:val="24"/>
        </w:rPr>
        <w:t>Banking (prudential standard) determination No.</w:t>
      </w:r>
      <w:r>
        <w:rPr>
          <w:rFonts w:ascii="Times New Roman" w:hAnsi="Times New Roman"/>
          <w:b w:val="0"/>
          <w:i/>
          <w:sz w:val="24"/>
          <w:szCs w:val="24"/>
        </w:rPr>
        <w:t xml:space="preserve"> </w:t>
      </w:r>
      <w:r w:rsidR="005457E4" w:rsidRPr="007C7C72">
        <w:rPr>
          <w:rFonts w:ascii="Times New Roman" w:hAnsi="Times New Roman"/>
          <w:b w:val="0"/>
          <w:i/>
          <w:sz w:val="24"/>
          <w:szCs w:val="24"/>
        </w:rPr>
        <w:t>8</w:t>
      </w:r>
      <w:r>
        <w:rPr>
          <w:rFonts w:ascii="Times New Roman" w:hAnsi="Times New Roman"/>
          <w:b w:val="0"/>
          <w:i/>
          <w:sz w:val="24"/>
          <w:szCs w:val="24"/>
        </w:rPr>
        <w:t xml:space="preserve"> </w:t>
      </w:r>
      <w:r w:rsidRPr="00FB2117">
        <w:rPr>
          <w:rFonts w:ascii="Times New Roman" w:hAnsi="Times New Roman"/>
          <w:b w:val="0"/>
          <w:i/>
          <w:sz w:val="24"/>
          <w:szCs w:val="24"/>
        </w:rPr>
        <w:t>of 201</w:t>
      </w:r>
      <w:r w:rsidR="00D13A66">
        <w:rPr>
          <w:rFonts w:ascii="Times New Roman" w:hAnsi="Times New Roman"/>
          <w:b w:val="0"/>
          <w:i/>
          <w:sz w:val="24"/>
          <w:szCs w:val="24"/>
        </w:rPr>
        <w:t>4</w:t>
      </w:r>
    </w:p>
    <w:p w:rsidR="00ED65D6" w:rsidRDefault="00ED65D6" w:rsidP="003771F3">
      <w:pPr>
        <w:pStyle w:val="Heading"/>
        <w:rPr>
          <w:rFonts w:ascii="Times New Roman" w:hAnsi="Times New Roman"/>
          <w:b w:val="0"/>
          <w:sz w:val="24"/>
          <w:szCs w:val="24"/>
        </w:rPr>
      </w:pPr>
    </w:p>
    <w:p w:rsidR="00ED65D6" w:rsidRDefault="00ED65D6" w:rsidP="003771F3">
      <w:pPr>
        <w:pStyle w:val="Heading"/>
        <w:rPr>
          <w:rFonts w:ascii="Times New Roman" w:hAnsi="Times New Roman"/>
          <w:b w:val="0"/>
          <w:sz w:val="24"/>
          <w:szCs w:val="24"/>
        </w:rPr>
      </w:pPr>
      <w:r>
        <w:rPr>
          <w:rFonts w:ascii="Times New Roman" w:hAnsi="Times New Roman"/>
          <w:b w:val="0"/>
          <w:sz w:val="24"/>
          <w:szCs w:val="24"/>
        </w:rPr>
        <w:t xml:space="preserve">The purpose of the instrument is to revoke APS 220 and to replace it with </w:t>
      </w:r>
      <w:r w:rsidR="00F15E43">
        <w:rPr>
          <w:rFonts w:ascii="Times New Roman" w:hAnsi="Times New Roman"/>
          <w:b w:val="0"/>
          <w:sz w:val="24"/>
          <w:szCs w:val="24"/>
        </w:rPr>
        <w:t xml:space="preserve">a </w:t>
      </w:r>
      <w:r>
        <w:rPr>
          <w:rFonts w:ascii="Times New Roman" w:hAnsi="Times New Roman"/>
          <w:b w:val="0"/>
          <w:sz w:val="24"/>
          <w:szCs w:val="24"/>
        </w:rPr>
        <w:t xml:space="preserve">new </w:t>
      </w:r>
      <w:r w:rsidR="00F15E43">
        <w:rPr>
          <w:rFonts w:ascii="Times New Roman" w:hAnsi="Times New Roman"/>
          <w:b w:val="0"/>
          <w:sz w:val="24"/>
          <w:szCs w:val="24"/>
        </w:rPr>
        <w:t xml:space="preserve">version of </w:t>
      </w:r>
      <w:r>
        <w:rPr>
          <w:rFonts w:ascii="Times New Roman" w:hAnsi="Times New Roman"/>
          <w:b w:val="0"/>
          <w:sz w:val="24"/>
          <w:szCs w:val="24"/>
        </w:rPr>
        <w:t>APS 220.</w:t>
      </w:r>
    </w:p>
    <w:p w:rsidR="00F94480" w:rsidRDefault="00F94480" w:rsidP="003771F3">
      <w:pPr>
        <w:pStyle w:val="Heading"/>
        <w:rPr>
          <w:rFonts w:ascii="Times New Roman" w:hAnsi="Times New Roman"/>
          <w:b w:val="0"/>
          <w:sz w:val="24"/>
          <w:szCs w:val="24"/>
        </w:rPr>
      </w:pPr>
    </w:p>
    <w:p w:rsidR="00F94480" w:rsidRDefault="00F94480" w:rsidP="003771F3">
      <w:pPr>
        <w:pStyle w:val="Heading"/>
        <w:rPr>
          <w:rFonts w:ascii="Times New Roman" w:hAnsi="Times New Roman"/>
          <w:b w:val="0"/>
          <w:sz w:val="24"/>
          <w:szCs w:val="24"/>
          <w:lang w:val="en-US"/>
        </w:rPr>
      </w:pPr>
      <w:r w:rsidRPr="00F94480">
        <w:rPr>
          <w:rFonts w:ascii="Times New Roman" w:hAnsi="Times New Roman"/>
          <w:b w:val="0"/>
          <w:sz w:val="24"/>
          <w:szCs w:val="24"/>
        </w:rPr>
        <w:t xml:space="preserve">APS 220 </w:t>
      </w:r>
      <w:r w:rsidRPr="00F94480">
        <w:rPr>
          <w:rFonts w:ascii="Times New Roman" w:hAnsi="Times New Roman"/>
          <w:b w:val="0"/>
          <w:sz w:val="24"/>
          <w:szCs w:val="24"/>
          <w:lang w:val="en-US"/>
        </w:rPr>
        <w:t>requires an ADI to adopt prudent credit risk management policies and procedures</w:t>
      </w:r>
      <w:r>
        <w:rPr>
          <w:rFonts w:ascii="Times New Roman" w:hAnsi="Times New Roman"/>
          <w:b w:val="0"/>
          <w:sz w:val="24"/>
          <w:szCs w:val="24"/>
          <w:lang w:val="en-US"/>
        </w:rPr>
        <w:t xml:space="preserve"> </w:t>
      </w:r>
      <w:r w:rsidR="00B246D7">
        <w:rPr>
          <w:rFonts w:ascii="Times New Roman" w:hAnsi="Times New Roman"/>
          <w:b w:val="0"/>
          <w:sz w:val="24"/>
          <w:szCs w:val="24"/>
          <w:lang w:val="en-US"/>
        </w:rPr>
        <w:t>for</w:t>
      </w:r>
      <w:r>
        <w:rPr>
          <w:rFonts w:ascii="Times New Roman" w:hAnsi="Times New Roman"/>
          <w:b w:val="0"/>
          <w:sz w:val="24"/>
          <w:szCs w:val="24"/>
          <w:lang w:val="en-US"/>
        </w:rPr>
        <w:t xml:space="preserve"> </w:t>
      </w:r>
      <w:r w:rsidRPr="00F94480">
        <w:rPr>
          <w:rFonts w:ascii="Times New Roman" w:hAnsi="Times New Roman"/>
          <w:b w:val="0"/>
          <w:sz w:val="24"/>
          <w:szCs w:val="24"/>
          <w:lang w:val="en-US"/>
        </w:rPr>
        <w:t>the recognition, measurement and reporting of, and provisioning for, impaired facilities.</w:t>
      </w:r>
    </w:p>
    <w:p w:rsidR="00F94480" w:rsidRDefault="00F94480" w:rsidP="003771F3">
      <w:pPr>
        <w:pStyle w:val="Heading"/>
        <w:rPr>
          <w:rFonts w:ascii="Times New Roman" w:hAnsi="Times New Roman"/>
          <w:b w:val="0"/>
          <w:sz w:val="24"/>
          <w:szCs w:val="24"/>
          <w:lang w:val="en-US"/>
        </w:rPr>
      </w:pPr>
    </w:p>
    <w:p w:rsidR="009041F8" w:rsidRPr="009041F8" w:rsidRDefault="00F94480" w:rsidP="003771F3">
      <w:pPr>
        <w:pStyle w:val="Heading"/>
        <w:rPr>
          <w:rFonts w:ascii="Times New Roman" w:hAnsi="Times New Roman"/>
          <w:b w:val="0"/>
          <w:sz w:val="24"/>
          <w:szCs w:val="24"/>
        </w:rPr>
      </w:pPr>
      <w:r w:rsidRPr="00601C9E">
        <w:rPr>
          <w:rFonts w:ascii="Times New Roman" w:hAnsi="Times New Roman"/>
          <w:b w:val="0"/>
          <w:sz w:val="24"/>
          <w:szCs w:val="24"/>
        </w:rPr>
        <w:t>The i</w:t>
      </w:r>
      <w:r>
        <w:rPr>
          <w:rFonts w:ascii="Times New Roman" w:hAnsi="Times New Roman"/>
          <w:b w:val="0"/>
          <w:sz w:val="24"/>
          <w:szCs w:val="24"/>
        </w:rPr>
        <w:t>nstrument changes APS 220</w:t>
      </w:r>
      <w:r w:rsidR="00C23041">
        <w:rPr>
          <w:rFonts w:ascii="Times New Roman" w:hAnsi="Times New Roman"/>
          <w:b w:val="0"/>
          <w:sz w:val="24"/>
          <w:szCs w:val="24"/>
        </w:rPr>
        <w:t xml:space="preserve"> to update references to CPS 510</w:t>
      </w:r>
      <w:r w:rsidR="009041F8" w:rsidRPr="009041F8">
        <w:rPr>
          <w:rFonts w:ascii="Times New Roman" w:hAnsi="Times New Roman"/>
          <w:b w:val="0"/>
          <w:sz w:val="24"/>
          <w:szCs w:val="24"/>
        </w:rPr>
        <w:t>.</w:t>
      </w:r>
    </w:p>
    <w:p w:rsidR="0068695E" w:rsidRDefault="0068695E" w:rsidP="003771F3">
      <w:pPr>
        <w:pStyle w:val="Heading"/>
        <w:rPr>
          <w:rFonts w:ascii="Times New Roman" w:hAnsi="Times New Roman"/>
          <w:b w:val="0"/>
          <w:sz w:val="24"/>
          <w:szCs w:val="24"/>
        </w:rPr>
      </w:pPr>
    </w:p>
    <w:p w:rsidR="00234207" w:rsidRDefault="00ED65D6">
      <w:pPr>
        <w:pStyle w:val="Heading"/>
        <w:keepNext/>
        <w:rPr>
          <w:rFonts w:ascii="Times New Roman" w:hAnsi="Times New Roman"/>
          <w:b w:val="0"/>
          <w:sz w:val="24"/>
          <w:szCs w:val="24"/>
        </w:rPr>
      </w:pPr>
      <w:r w:rsidRPr="00FB2117">
        <w:rPr>
          <w:rFonts w:ascii="Times New Roman" w:hAnsi="Times New Roman"/>
          <w:b w:val="0"/>
          <w:i/>
          <w:sz w:val="24"/>
          <w:szCs w:val="24"/>
        </w:rPr>
        <w:t>Banking (prudential standard) determination No.</w:t>
      </w:r>
      <w:r>
        <w:rPr>
          <w:rFonts w:ascii="Times New Roman" w:hAnsi="Times New Roman"/>
          <w:b w:val="0"/>
          <w:i/>
          <w:sz w:val="24"/>
          <w:szCs w:val="24"/>
        </w:rPr>
        <w:t xml:space="preserve"> </w:t>
      </w:r>
      <w:r w:rsidR="005457E4" w:rsidRPr="007C7C72">
        <w:rPr>
          <w:rFonts w:ascii="Times New Roman" w:hAnsi="Times New Roman"/>
          <w:b w:val="0"/>
          <w:i/>
          <w:sz w:val="24"/>
          <w:szCs w:val="24"/>
        </w:rPr>
        <w:t>5</w:t>
      </w:r>
      <w:r>
        <w:rPr>
          <w:rFonts w:ascii="Times New Roman" w:hAnsi="Times New Roman"/>
          <w:b w:val="0"/>
          <w:i/>
          <w:sz w:val="24"/>
          <w:szCs w:val="24"/>
        </w:rPr>
        <w:t xml:space="preserve"> </w:t>
      </w:r>
      <w:r w:rsidRPr="00FB2117">
        <w:rPr>
          <w:rFonts w:ascii="Times New Roman" w:hAnsi="Times New Roman"/>
          <w:b w:val="0"/>
          <w:i/>
          <w:sz w:val="24"/>
          <w:szCs w:val="24"/>
        </w:rPr>
        <w:t>of 201</w:t>
      </w:r>
      <w:r w:rsidR="00D13A66">
        <w:rPr>
          <w:rFonts w:ascii="Times New Roman" w:hAnsi="Times New Roman"/>
          <w:b w:val="0"/>
          <w:i/>
          <w:sz w:val="24"/>
          <w:szCs w:val="24"/>
        </w:rPr>
        <w:t>4</w:t>
      </w:r>
    </w:p>
    <w:p w:rsidR="00234207" w:rsidRDefault="00234207">
      <w:pPr>
        <w:pStyle w:val="Heading"/>
        <w:keepNext/>
        <w:rPr>
          <w:rFonts w:ascii="Times New Roman" w:hAnsi="Times New Roman"/>
          <w:b w:val="0"/>
          <w:sz w:val="24"/>
          <w:szCs w:val="24"/>
        </w:rPr>
      </w:pPr>
    </w:p>
    <w:p w:rsidR="00ED65D6" w:rsidRDefault="00ED65D6" w:rsidP="003771F3">
      <w:pPr>
        <w:pStyle w:val="Heading"/>
        <w:rPr>
          <w:rFonts w:ascii="Times New Roman" w:hAnsi="Times New Roman"/>
          <w:b w:val="0"/>
          <w:sz w:val="24"/>
          <w:szCs w:val="24"/>
          <w:highlight w:val="yellow"/>
        </w:rPr>
      </w:pPr>
      <w:r>
        <w:rPr>
          <w:rFonts w:ascii="Times New Roman" w:hAnsi="Times New Roman"/>
          <w:b w:val="0"/>
          <w:sz w:val="24"/>
          <w:szCs w:val="24"/>
        </w:rPr>
        <w:t xml:space="preserve">The purpose of the instrument is to revoke APS 221 and to replace it with </w:t>
      </w:r>
      <w:r w:rsidR="00F15E43">
        <w:rPr>
          <w:rFonts w:ascii="Times New Roman" w:hAnsi="Times New Roman"/>
          <w:b w:val="0"/>
          <w:sz w:val="24"/>
          <w:szCs w:val="24"/>
        </w:rPr>
        <w:t xml:space="preserve">a </w:t>
      </w:r>
      <w:r>
        <w:rPr>
          <w:rFonts w:ascii="Times New Roman" w:hAnsi="Times New Roman"/>
          <w:b w:val="0"/>
          <w:sz w:val="24"/>
          <w:szCs w:val="24"/>
        </w:rPr>
        <w:t xml:space="preserve">new </w:t>
      </w:r>
      <w:r w:rsidR="00F15E43">
        <w:rPr>
          <w:rFonts w:ascii="Times New Roman" w:hAnsi="Times New Roman"/>
          <w:b w:val="0"/>
          <w:sz w:val="24"/>
          <w:szCs w:val="24"/>
        </w:rPr>
        <w:t xml:space="preserve">version of </w:t>
      </w:r>
      <w:r>
        <w:rPr>
          <w:rFonts w:ascii="Times New Roman" w:hAnsi="Times New Roman"/>
          <w:b w:val="0"/>
          <w:sz w:val="24"/>
          <w:szCs w:val="24"/>
        </w:rPr>
        <w:t>APS 221.</w:t>
      </w:r>
    </w:p>
    <w:p w:rsidR="00ED65D6" w:rsidRDefault="00ED65D6" w:rsidP="003771F3">
      <w:pPr>
        <w:pStyle w:val="Heading"/>
        <w:rPr>
          <w:rFonts w:ascii="Times New Roman" w:hAnsi="Times New Roman"/>
          <w:b w:val="0"/>
          <w:sz w:val="24"/>
          <w:szCs w:val="24"/>
        </w:rPr>
      </w:pPr>
    </w:p>
    <w:p w:rsidR="00ED65D6" w:rsidRDefault="00435ED5" w:rsidP="003771F3">
      <w:pPr>
        <w:pStyle w:val="Heading"/>
        <w:rPr>
          <w:rFonts w:ascii="Times New Roman" w:hAnsi="Times New Roman"/>
          <w:b w:val="0"/>
          <w:sz w:val="24"/>
          <w:szCs w:val="24"/>
        </w:rPr>
      </w:pPr>
      <w:r>
        <w:rPr>
          <w:rFonts w:ascii="Times New Roman" w:hAnsi="Times New Roman"/>
          <w:b w:val="0"/>
          <w:sz w:val="24"/>
          <w:szCs w:val="24"/>
        </w:rPr>
        <w:t xml:space="preserve">APS 221 </w:t>
      </w:r>
      <w:r w:rsidR="006021F2" w:rsidRPr="006021F2">
        <w:rPr>
          <w:rFonts w:ascii="Times New Roman" w:hAnsi="Times New Roman"/>
          <w:b w:val="0"/>
          <w:sz w:val="24"/>
          <w:szCs w:val="24"/>
        </w:rPr>
        <w:t xml:space="preserve">requires </w:t>
      </w:r>
      <w:r w:rsidR="00B246D7">
        <w:rPr>
          <w:rFonts w:ascii="Times New Roman" w:hAnsi="Times New Roman"/>
          <w:b w:val="0"/>
          <w:sz w:val="24"/>
          <w:szCs w:val="24"/>
        </w:rPr>
        <w:t>ADIs</w:t>
      </w:r>
      <w:r w:rsidR="006021F2" w:rsidRPr="006021F2">
        <w:rPr>
          <w:rFonts w:ascii="Times New Roman" w:hAnsi="Times New Roman"/>
          <w:b w:val="0"/>
          <w:sz w:val="24"/>
          <w:szCs w:val="24"/>
        </w:rPr>
        <w:t xml:space="preserve"> to implement prudent measures and to set prudent limits to monitor and control their large exposures, on both a Level 1 and Level 2 basis</w:t>
      </w:r>
      <w:r w:rsidR="006021F2">
        <w:rPr>
          <w:rFonts w:ascii="Times New Roman" w:hAnsi="Times New Roman"/>
          <w:b w:val="0"/>
          <w:sz w:val="24"/>
          <w:szCs w:val="24"/>
        </w:rPr>
        <w:t>.</w:t>
      </w:r>
    </w:p>
    <w:p w:rsidR="006021F2" w:rsidRDefault="006021F2" w:rsidP="003771F3">
      <w:pPr>
        <w:pStyle w:val="Heading"/>
        <w:rPr>
          <w:rFonts w:ascii="Times New Roman" w:hAnsi="Times New Roman"/>
          <w:b w:val="0"/>
          <w:sz w:val="24"/>
          <w:szCs w:val="24"/>
        </w:rPr>
      </w:pPr>
    </w:p>
    <w:p w:rsidR="006021F2" w:rsidRPr="005D2AB6" w:rsidRDefault="006021F2" w:rsidP="003771F3">
      <w:pPr>
        <w:pStyle w:val="Heading"/>
        <w:rPr>
          <w:rFonts w:ascii="Times New Roman" w:hAnsi="Times New Roman"/>
          <w:b w:val="0"/>
          <w:color w:val="000000" w:themeColor="text1"/>
          <w:sz w:val="24"/>
          <w:szCs w:val="24"/>
        </w:rPr>
      </w:pPr>
      <w:r w:rsidRPr="005D2AB6">
        <w:rPr>
          <w:rFonts w:ascii="Times New Roman" w:hAnsi="Times New Roman"/>
          <w:b w:val="0"/>
          <w:color w:val="000000" w:themeColor="text1"/>
          <w:sz w:val="24"/>
          <w:szCs w:val="24"/>
        </w:rPr>
        <w:t xml:space="preserve">The instrument makes minor </w:t>
      </w:r>
      <w:r w:rsidR="00C42493" w:rsidRPr="005D2AB6">
        <w:rPr>
          <w:rFonts w:ascii="Times New Roman" w:hAnsi="Times New Roman"/>
          <w:b w:val="0"/>
          <w:color w:val="000000" w:themeColor="text1"/>
          <w:sz w:val="24"/>
          <w:szCs w:val="24"/>
        </w:rPr>
        <w:t xml:space="preserve">alterations </w:t>
      </w:r>
      <w:r w:rsidRPr="005D2AB6">
        <w:rPr>
          <w:rFonts w:ascii="Times New Roman" w:hAnsi="Times New Roman"/>
          <w:b w:val="0"/>
          <w:color w:val="000000" w:themeColor="text1"/>
          <w:sz w:val="24"/>
          <w:szCs w:val="24"/>
        </w:rPr>
        <w:t xml:space="preserve">to APS 221 to </w:t>
      </w:r>
      <w:r w:rsidR="005D2AB6" w:rsidRPr="005D2AB6">
        <w:rPr>
          <w:rFonts w:ascii="Times New Roman" w:hAnsi="Times New Roman"/>
          <w:b w:val="0"/>
          <w:color w:val="000000" w:themeColor="text1"/>
          <w:sz w:val="24"/>
          <w:szCs w:val="24"/>
        </w:rPr>
        <w:t xml:space="preserve">update </w:t>
      </w:r>
      <w:r w:rsidR="00724168">
        <w:rPr>
          <w:rFonts w:ascii="Times New Roman" w:hAnsi="Times New Roman"/>
          <w:b w:val="0"/>
          <w:color w:val="000000" w:themeColor="text1"/>
          <w:sz w:val="24"/>
          <w:szCs w:val="24"/>
        </w:rPr>
        <w:t xml:space="preserve">cross </w:t>
      </w:r>
      <w:r w:rsidR="005D2AB6" w:rsidRPr="005D2AB6">
        <w:rPr>
          <w:rFonts w:ascii="Times New Roman" w:hAnsi="Times New Roman"/>
          <w:b w:val="0"/>
          <w:color w:val="000000" w:themeColor="text1"/>
          <w:sz w:val="24"/>
          <w:szCs w:val="24"/>
        </w:rPr>
        <w:t xml:space="preserve">references to requirements formerly included in APS 310 </w:t>
      </w:r>
      <w:r w:rsidR="00724168">
        <w:rPr>
          <w:rFonts w:ascii="Times New Roman" w:hAnsi="Times New Roman"/>
          <w:b w:val="0"/>
          <w:color w:val="000000" w:themeColor="text1"/>
          <w:sz w:val="24"/>
          <w:szCs w:val="24"/>
        </w:rPr>
        <w:t xml:space="preserve">but </w:t>
      </w:r>
      <w:r w:rsidR="00AD4281">
        <w:rPr>
          <w:rFonts w:ascii="Times New Roman" w:hAnsi="Times New Roman"/>
          <w:b w:val="0"/>
          <w:color w:val="000000" w:themeColor="text1"/>
          <w:sz w:val="24"/>
          <w:szCs w:val="24"/>
        </w:rPr>
        <w:t xml:space="preserve">are </w:t>
      </w:r>
      <w:r w:rsidR="00724168">
        <w:rPr>
          <w:rFonts w:ascii="Times New Roman" w:hAnsi="Times New Roman"/>
          <w:b w:val="0"/>
          <w:color w:val="000000" w:themeColor="text1"/>
          <w:sz w:val="24"/>
          <w:szCs w:val="24"/>
        </w:rPr>
        <w:t>now contained in</w:t>
      </w:r>
      <w:r w:rsidR="005D2AB6" w:rsidRPr="005D2AB6">
        <w:rPr>
          <w:rFonts w:ascii="Times New Roman" w:hAnsi="Times New Roman"/>
          <w:b w:val="0"/>
          <w:color w:val="000000" w:themeColor="text1"/>
          <w:sz w:val="24"/>
          <w:szCs w:val="24"/>
        </w:rPr>
        <w:t xml:space="preserve"> CPS 220</w:t>
      </w:r>
      <w:r w:rsidRPr="005D2AB6">
        <w:rPr>
          <w:rFonts w:ascii="Times New Roman" w:hAnsi="Times New Roman"/>
          <w:b w:val="0"/>
          <w:color w:val="000000" w:themeColor="text1"/>
          <w:sz w:val="24"/>
          <w:szCs w:val="24"/>
        </w:rPr>
        <w:t>.</w:t>
      </w:r>
    </w:p>
    <w:p w:rsidR="00ED65D6" w:rsidRDefault="00ED65D6" w:rsidP="003771F3">
      <w:pPr>
        <w:pStyle w:val="Heading"/>
        <w:rPr>
          <w:rFonts w:ascii="Times New Roman" w:hAnsi="Times New Roman"/>
          <w:b w:val="0"/>
          <w:sz w:val="24"/>
          <w:szCs w:val="24"/>
        </w:rPr>
      </w:pPr>
    </w:p>
    <w:p w:rsidR="00ED65D6" w:rsidRPr="00FB2117" w:rsidRDefault="00ED65D6" w:rsidP="003771F3">
      <w:pPr>
        <w:pStyle w:val="Heading"/>
        <w:rPr>
          <w:rFonts w:ascii="Times New Roman" w:hAnsi="Times New Roman"/>
          <w:b w:val="0"/>
          <w:sz w:val="24"/>
          <w:szCs w:val="24"/>
        </w:rPr>
      </w:pPr>
      <w:r w:rsidRPr="00FB2117">
        <w:rPr>
          <w:rFonts w:ascii="Times New Roman" w:hAnsi="Times New Roman"/>
          <w:b w:val="0"/>
          <w:i/>
          <w:sz w:val="24"/>
          <w:szCs w:val="24"/>
        </w:rPr>
        <w:t>Banking (prudential standard) determination No.</w:t>
      </w:r>
      <w:r>
        <w:rPr>
          <w:rFonts w:ascii="Times New Roman" w:hAnsi="Times New Roman"/>
          <w:b w:val="0"/>
          <w:i/>
          <w:sz w:val="24"/>
          <w:szCs w:val="24"/>
        </w:rPr>
        <w:t xml:space="preserve"> </w:t>
      </w:r>
      <w:r w:rsidR="005457E4" w:rsidRPr="009262DE">
        <w:rPr>
          <w:rFonts w:ascii="Times New Roman" w:hAnsi="Times New Roman"/>
          <w:b w:val="0"/>
          <w:i/>
          <w:sz w:val="24"/>
          <w:szCs w:val="24"/>
        </w:rPr>
        <w:t>9</w:t>
      </w:r>
      <w:r>
        <w:rPr>
          <w:rFonts w:ascii="Times New Roman" w:hAnsi="Times New Roman"/>
          <w:b w:val="0"/>
          <w:i/>
          <w:sz w:val="24"/>
          <w:szCs w:val="24"/>
        </w:rPr>
        <w:t xml:space="preserve"> </w:t>
      </w:r>
      <w:r w:rsidRPr="00FB2117">
        <w:rPr>
          <w:rFonts w:ascii="Times New Roman" w:hAnsi="Times New Roman"/>
          <w:b w:val="0"/>
          <w:i/>
          <w:sz w:val="24"/>
          <w:szCs w:val="24"/>
        </w:rPr>
        <w:t>of 201</w:t>
      </w:r>
      <w:r w:rsidR="00D13A66">
        <w:rPr>
          <w:rFonts w:ascii="Times New Roman" w:hAnsi="Times New Roman"/>
          <w:b w:val="0"/>
          <w:i/>
          <w:sz w:val="24"/>
          <w:szCs w:val="24"/>
        </w:rPr>
        <w:t>4</w:t>
      </w:r>
    </w:p>
    <w:p w:rsidR="00ED65D6" w:rsidRDefault="00ED65D6" w:rsidP="003771F3">
      <w:pPr>
        <w:pStyle w:val="Heading"/>
        <w:rPr>
          <w:rFonts w:ascii="Times New Roman" w:hAnsi="Times New Roman"/>
          <w:b w:val="0"/>
          <w:sz w:val="24"/>
          <w:szCs w:val="24"/>
        </w:rPr>
      </w:pPr>
    </w:p>
    <w:p w:rsidR="00ED65D6" w:rsidRDefault="00ED65D6" w:rsidP="003771F3">
      <w:pPr>
        <w:pStyle w:val="Heading"/>
        <w:rPr>
          <w:rFonts w:ascii="Times New Roman" w:hAnsi="Times New Roman"/>
          <w:b w:val="0"/>
          <w:sz w:val="24"/>
          <w:szCs w:val="24"/>
          <w:highlight w:val="yellow"/>
        </w:rPr>
      </w:pPr>
      <w:r>
        <w:rPr>
          <w:rFonts w:ascii="Times New Roman" w:hAnsi="Times New Roman"/>
          <w:b w:val="0"/>
          <w:sz w:val="24"/>
          <w:szCs w:val="24"/>
        </w:rPr>
        <w:t xml:space="preserve">The purpose of the instrument is to revoke APS 222 and to replace it with </w:t>
      </w:r>
      <w:r w:rsidR="00F15E43">
        <w:rPr>
          <w:rFonts w:ascii="Times New Roman" w:hAnsi="Times New Roman"/>
          <w:b w:val="0"/>
          <w:sz w:val="24"/>
          <w:szCs w:val="24"/>
        </w:rPr>
        <w:t xml:space="preserve">a </w:t>
      </w:r>
      <w:r>
        <w:rPr>
          <w:rFonts w:ascii="Times New Roman" w:hAnsi="Times New Roman"/>
          <w:b w:val="0"/>
          <w:sz w:val="24"/>
          <w:szCs w:val="24"/>
        </w:rPr>
        <w:t xml:space="preserve">new </w:t>
      </w:r>
      <w:r w:rsidR="00F15E43">
        <w:rPr>
          <w:rFonts w:ascii="Times New Roman" w:hAnsi="Times New Roman"/>
          <w:b w:val="0"/>
          <w:sz w:val="24"/>
          <w:szCs w:val="24"/>
        </w:rPr>
        <w:t xml:space="preserve">version of </w:t>
      </w:r>
      <w:r>
        <w:rPr>
          <w:rFonts w:ascii="Times New Roman" w:hAnsi="Times New Roman"/>
          <w:b w:val="0"/>
          <w:sz w:val="24"/>
          <w:szCs w:val="24"/>
        </w:rPr>
        <w:t>APS 222.</w:t>
      </w:r>
    </w:p>
    <w:p w:rsidR="00ED65D6" w:rsidRDefault="00ED65D6" w:rsidP="003771F3">
      <w:pPr>
        <w:pStyle w:val="Heading"/>
        <w:rPr>
          <w:rFonts w:ascii="Times New Roman" w:hAnsi="Times New Roman"/>
          <w:b w:val="0"/>
          <w:sz w:val="24"/>
          <w:szCs w:val="24"/>
        </w:rPr>
      </w:pPr>
    </w:p>
    <w:p w:rsidR="001516C2" w:rsidRDefault="00C83F4B" w:rsidP="003771F3">
      <w:pPr>
        <w:pStyle w:val="Heading"/>
        <w:rPr>
          <w:rFonts w:ascii="Times New Roman" w:hAnsi="Times New Roman"/>
          <w:b w:val="0"/>
          <w:sz w:val="24"/>
          <w:szCs w:val="24"/>
        </w:rPr>
      </w:pPr>
      <w:r>
        <w:rPr>
          <w:rFonts w:ascii="Times New Roman" w:hAnsi="Times New Roman"/>
          <w:b w:val="0"/>
          <w:sz w:val="24"/>
          <w:szCs w:val="24"/>
        </w:rPr>
        <w:t xml:space="preserve">APS 222 sets out prudential requirements for ADIs in their dealings with related entities, and requires that they give due consideration to the risks associated with the corporate group of which they are a member and that they are not exposed to excessive risk as a result of their dealings with related entities. </w:t>
      </w:r>
    </w:p>
    <w:p w:rsidR="001516C2" w:rsidRDefault="001516C2" w:rsidP="003771F3">
      <w:pPr>
        <w:pStyle w:val="Heading"/>
        <w:rPr>
          <w:rFonts w:ascii="Times New Roman" w:hAnsi="Times New Roman"/>
          <w:b w:val="0"/>
          <w:sz w:val="24"/>
          <w:szCs w:val="24"/>
        </w:rPr>
      </w:pPr>
    </w:p>
    <w:p w:rsidR="00924352" w:rsidRDefault="00C83F4B" w:rsidP="003771F3">
      <w:pPr>
        <w:pStyle w:val="Heading"/>
        <w:rPr>
          <w:rFonts w:ascii="Times New Roman" w:hAnsi="Times New Roman"/>
          <w:b w:val="0"/>
          <w:sz w:val="24"/>
          <w:szCs w:val="24"/>
        </w:rPr>
      </w:pPr>
      <w:r>
        <w:rPr>
          <w:rFonts w:ascii="Times New Roman" w:hAnsi="Times New Roman"/>
          <w:b w:val="0"/>
          <w:sz w:val="24"/>
          <w:szCs w:val="24"/>
        </w:rPr>
        <w:t xml:space="preserve">The purpose of the instrument is </w:t>
      </w:r>
      <w:r w:rsidR="00AD4281">
        <w:rPr>
          <w:rFonts w:ascii="Times New Roman" w:hAnsi="Times New Roman"/>
          <w:b w:val="0"/>
          <w:sz w:val="24"/>
          <w:szCs w:val="24"/>
        </w:rPr>
        <w:t xml:space="preserve">to </w:t>
      </w:r>
      <w:r w:rsidR="00C23041">
        <w:rPr>
          <w:rFonts w:ascii="Times New Roman" w:hAnsi="Times New Roman"/>
          <w:b w:val="0"/>
          <w:sz w:val="24"/>
          <w:szCs w:val="24"/>
        </w:rPr>
        <w:t xml:space="preserve">delete sections of the standard </w:t>
      </w:r>
      <w:r w:rsidR="00AD4281">
        <w:rPr>
          <w:rFonts w:ascii="Times New Roman" w:hAnsi="Times New Roman"/>
          <w:b w:val="0"/>
          <w:sz w:val="24"/>
          <w:szCs w:val="24"/>
        </w:rPr>
        <w:t xml:space="preserve">(i.e. </w:t>
      </w:r>
      <w:r w:rsidR="00C23041">
        <w:rPr>
          <w:rFonts w:ascii="Times New Roman" w:hAnsi="Times New Roman"/>
          <w:b w:val="0"/>
          <w:sz w:val="24"/>
          <w:szCs w:val="24"/>
        </w:rPr>
        <w:t>Monitoring of Contagion Risk and Group Risk Management</w:t>
      </w:r>
      <w:r w:rsidR="00AD4281">
        <w:rPr>
          <w:rFonts w:ascii="Times New Roman" w:hAnsi="Times New Roman"/>
          <w:b w:val="0"/>
          <w:sz w:val="24"/>
          <w:szCs w:val="24"/>
        </w:rPr>
        <w:t>)</w:t>
      </w:r>
      <w:r w:rsidR="00C23041">
        <w:rPr>
          <w:rFonts w:ascii="Times New Roman" w:hAnsi="Times New Roman"/>
          <w:b w:val="0"/>
          <w:sz w:val="24"/>
          <w:szCs w:val="24"/>
        </w:rPr>
        <w:t xml:space="preserve"> that are replaced by requirements </w:t>
      </w:r>
      <w:r w:rsidR="00724168">
        <w:rPr>
          <w:rFonts w:ascii="Times New Roman" w:hAnsi="Times New Roman"/>
          <w:b w:val="0"/>
          <w:sz w:val="24"/>
          <w:szCs w:val="24"/>
        </w:rPr>
        <w:t xml:space="preserve">in </w:t>
      </w:r>
      <w:r w:rsidR="00C23041">
        <w:rPr>
          <w:rFonts w:ascii="Times New Roman" w:hAnsi="Times New Roman"/>
          <w:b w:val="0"/>
          <w:sz w:val="24"/>
          <w:szCs w:val="24"/>
        </w:rPr>
        <w:t xml:space="preserve">CPS 220. </w:t>
      </w:r>
    </w:p>
    <w:p w:rsidR="00C23041" w:rsidRDefault="00C23041" w:rsidP="003771F3">
      <w:pPr>
        <w:pStyle w:val="Heading"/>
        <w:rPr>
          <w:rFonts w:ascii="Times New Roman" w:hAnsi="Times New Roman"/>
          <w:b w:val="0"/>
          <w:sz w:val="24"/>
          <w:szCs w:val="24"/>
        </w:rPr>
      </w:pPr>
    </w:p>
    <w:p w:rsidR="00C23041" w:rsidRDefault="00C23041" w:rsidP="003771F3">
      <w:pPr>
        <w:pStyle w:val="Heading"/>
        <w:rPr>
          <w:rFonts w:ascii="Times New Roman" w:hAnsi="Times New Roman"/>
          <w:b w:val="0"/>
          <w:sz w:val="24"/>
          <w:szCs w:val="24"/>
        </w:rPr>
      </w:pPr>
    </w:p>
    <w:p w:rsidR="00ED65D6" w:rsidRPr="00FB2117" w:rsidRDefault="00ED65D6" w:rsidP="003771F3">
      <w:pPr>
        <w:pStyle w:val="Heading"/>
        <w:rPr>
          <w:rFonts w:ascii="Times New Roman" w:hAnsi="Times New Roman"/>
          <w:b w:val="0"/>
          <w:sz w:val="24"/>
          <w:szCs w:val="24"/>
        </w:rPr>
      </w:pPr>
      <w:r w:rsidRPr="00FB2117">
        <w:rPr>
          <w:rFonts w:ascii="Times New Roman" w:hAnsi="Times New Roman"/>
          <w:b w:val="0"/>
          <w:i/>
          <w:sz w:val="24"/>
          <w:szCs w:val="24"/>
        </w:rPr>
        <w:t>Banking (prudential standard) determination No.</w:t>
      </w:r>
      <w:r>
        <w:rPr>
          <w:rFonts w:ascii="Times New Roman" w:hAnsi="Times New Roman"/>
          <w:b w:val="0"/>
          <w:i/>
          <w:sz w:val="24"/>
          <w:szCs w:val="24"/>
        </w:rPr>
        <w:t xml:space="preserve"> </w:t>
      </w:r>
      <w:r w:rsidR="005457E4">
        <w:rPr>
          <w:rFonts w:ascii="Times New Roman" w:hAnsi="Times New Roman"/>
          <w:b w:val="0"/>
          <w:i/>
          <w:sz w:val="24"/>
          <w:szCs w:val="24"/>
        </w:rPr>
        <w:t>10</w:t>
      </w:r>
      <w:r>
        <w:rPr>
          <w:rFonts w:ascii="Times New Roman" w:hAnsi="Times New Roman"/>
          <w:b w:val="0"/>
          <w:i/>
          <w:sz w:val="24"/>
          <w:szCs w:val="24"/>
        </w:rPr>
        <w:t xml:space="preserve"> </w:t>
      </w:r>
      <w:r w:rsidRPr="00FB2117">
        <w:rPr>
          <w:rFonts w:ascii="Times New Roman" w:hAnsi="Times New Roman"/>
          <w:b w:val="0"/>
          <w:i/>
          <w:sz w:val="24"/>
          <w:szCs w:val="24"/>
        </w:rPr>
        <w:t>of 201</w:t>
      </w:r>
      <w:r w:rsidR="00D13A66">
        <w:rPr>
          <w:rFonts w:ascii="Times New Roman" w:hAnsi="Times New Roman"/>
          <w:b w:val="0"/>
          <w:i/>
          <w:sz w:val="24"/>
          <w:szCs w:val="24"/>
        </w:rPr>
        <w:t>4</w:t>
      </w:r>
    </w:p>
    <w:p w:rsidR="00ED65D6" w:rsidRDefault="00ED65D6" w:rsidP="003771F3">
      <w:pPr>
        <w:pStyle w:val="Heading"/>
        <w:rPr>
          <w:rFonts w:ascii="Times New Roman" w:hAnsi="Times New Roman"/>
          <w:b w:val="0"/>
          <w:sz w:val="24"/>
          <w:szCs w:val="24"/>
        </w:rPr>
      </w:pPr>
    </w:p>
    <w:p w:rsidR="00ED65D6" w:rsidRDefault="00ED65D6" w:rsidP="003771F3">
      <w:pPr>
        <w:pStyle w:val="Heading"/>
        <w:rPr>
          <w:rFonts w:ascii="Times New Roman" w:hAnsi="Times New Roman"/>
          <w:b w:val="0"/>
          <w:sz w:val="24"/>
          <w:szCs w:val="24"/>
          <w:highlight w:val="yellow"/>
        </w:rPr>
      </w:pPr>
      <w:r>
        <w:rPr>
          <w:rFonts w:ascii="Times New Roman" w:hAnsi="Times New Roman"/>
          <w:b w:val="0"/>
          <w:sz w:val="24"/>
          <w:szCs w:val="24"/>
        </w:rPr>
        <w:t xml:space="preserve">The purpose of the instrument is to revoke APS 310 and to replace it with </w:t>
      </w:r>
      <w:r w:rsidR="00F15E43">
        <w:rPr>
          <w:rFonts w:ascii="Times New Roman" w:hAnsi="Times New Roman"/>
          <w:b w:val="0"/>
          <w:sz w:val="24"/>
          <w:szCs w:val="24"/>
        </w:rPr>
        <w:t xml:space="preserve">a </w:t>
      </w:r>
      <w:r>
        <w:rPr>
          <w:rFonts w:ascii="Times New Roman" w:hAnsi="Times New Roman"/>
          <w:b w:val="0"/>
          <w:sz w:val="24"/>
          <w:szCs w:val="24"/>
        </w:rPr>
        <w:t xml:space="preserve">new </w:t>
      </w:r>
      <w:r w:rsidR="00F15E43">
        <w:rPr>
          <w:rFonts w:ascii="Times New Roman" w:hAnsi="Times New Roman"/>
          <w:b w:val="0"/>
          <w:sz w:val="24"/>
          <w:szCs w:val="24"/>
        </w:rPr>
        <w:t xml:space="preserve">version of </w:t>
      </w:r>
      <w:r>
        <w:rPr>
          <w:rFonts w:ascii="Times New Roman" w:hAnsi="Times New Roman"/>
          <w:b w:val="0"/>
          <w:sz w:val="24"/>
          <w:szCs w:val="24"/>
        </w:rPr>
        <w:t>APS 310.</w:t>
      </w:r>
    </w:p>
    <w:p w:rsidR="00ED65D6" w:rsidRDefault="00ED65D6" w:rsidP="003771F3">
      <w:pPr>
        <w:pStyle w:val="Heading"/>
        <w:rPr>
          <w:rFonts w:ascii="Times New Roman" w:hAnsi="Times New Roman"/>
          <w:b w:val="0"/>
          <w:sz w:val="24"/>
          <w:szCs w:val="24"/>
        </w:rPr>
      </w:pPr>
    </w:p>
    <w:p w:rsidR="00ED65D6" w:rsidRDefault="00280704" w:rsidP="003771F3">
      <w:pPr>
        <w:pStyle w:val="Heading"/>
        <w:rPr>
          <w:rFonts w:ascii="Times New Roman" w:hAnsi="Times New Roman"/>
          <w:b w:val="0"/>
          <w:sz w:val="24"/>
          <w:szCs w:val="24"/>
        </w:rPr>
      </w:pPr>
      <w:r>
        <w:rPr>
          <w:rFonts w:ascii="Times New Roman" w:hAnsi="Times New Roman"/>
          <w:b w:val="0"/>
          <w:sz w:val="24"/>
          <w:szCs w:val="24"/>
        </w:rPr>
        <w:t xml:space="preserve">APS 310 </w:t>
      </w:r>
      <w:r w:rsidRPr="00280704">
        <w:rPr>
          <w:rFonts w:ascii="Times New Roman" w:hAnsi="Times New Roman"/>
          <w:b w:val="0"/>
          <w:sz w:val="24"/>
          <w:szCs w:val="24"/>
        </w:rPr>
        <w:t xml:space="preserve">requires an ADI to ensure that APRA has access to independent advice from an auditor relating to the operations, internal controls and information provided to APRA in respect of that ADI. </w:t>
      </w:r>
      <w:r>
        <w:rPr>
          <w:rFonts w:ascii="Times New Roman" w:hAnsi="Times New Roman"/>
          <w:b w:val="0"/>
          <w:sz w:val="24"/>
          <w:szCs w:val="24"/>
        </w:rPr>
        <w:t>APS 310 also</w:t>
      </w:r>
      <w:r w:rsidRPr="00280704">
        <w:rPr>
          <w:rFonts w:ascii="Times New Roman" w:hAnsi="Times New Roman"/>
          <w:b w:val="0"/>
          <w:sz w:val="24"/>
          <w:szCs w:val="24"/>
        </w:rPr>
        <w:t xml:space="preserve"> sets out requirements for the roles and responsibilities of the appointed auditor.</w:t>
      </w:r>
    </w:p>
    <w:p w:rsidR="00280704" w:rsidRDefault="00280704" w:rsidP="003771F3">
      <w:pPr>
        <w:pStyle w:val="Heading"/>
        <w:rPr>
          <w:rFonts w:ascii="Times New Roman" w:hAnsi="Times New Roman"/>
          <w:b w:val="0"/>
          <w:sz w:val="24"/>
          <w:szCs w:val="24"/>
        </w:rPr>
      </w:pPr>
    </w:p>
    <w:p w:rsidR="00280704" w:rsidRDefault="00280704" w:rsidP="003771F3">
      <w:pPr>
        <w:pStyle w:val="Heading"/>
        <w:rPr>
          <w:rFonts w:ascii="Times New Roman" w:hAnsi="Times New Roman"/>
          <w:b w:val="0"/>
          <w:sz w:val="24"/>
          <w:szCs w:val="24"/>
        </w:rPr>
      </w:pPr>
      <w:r>
        <w:rPr>
          <w:rFonts w:ascii="Times New Roman" w:hAnsi="Times New Roman"/>
          <w:b w:val="0"/>
          <w:sz w:val="24"/>
          <w:szCs w:val="24"/>
        </w:rPr>
        <w:t xml:space="preserve">The instrument makes minor </w:t>
      </w:r>
      <w:r w:rsidR="00C42493">
        <w:rPr>
          <w:rFonts w:ascii="Times New Roman" w:hAnsi="Times New Roman"/>
          <w:b w:val="0"/>
          <w:sz w:val="24"/>
          <w:szCs w:val="24"/>
        </w:rPr>
        <w:t xml:space="preserve">alterations </w:t>
      </w:r>
      <w:r>
        <w:rPr>
          <w:rFonts w:ascii="Times New Roman" w:hAnsi="Times New Roman"/>
          <w:b w:val="0"/>
          <w:sz w:val="24"/>
          <w:szCs w:val="24"/>
        </w:rPr>
        <w:t xml:space="preserve">to APS 310 to align with </w:t>
      </w:r>
      <w:r w:rsidR="005D2AB6">
        <w:rPr>
          <w:rFonts w:ascii="Times New Roman" w:hAnsi="Times New Roman"/>
          <w:b w:val="0"/>
          <w:sz w:val="24"/>
          <w:szCs w:val="24"/>
        </w:rPr>
        <w:t xml:space="preserve">the updated requirements of CPS 510 and to delete requirements related to Risk Management Systems that are now covered by CPS 220. </w:t>
      </w:r>
    </w:p>
    <w:p w:rsidR="00280704" w:rsidRDefault="00280704" w:rsidP="003771F3">
      <w:pPr>
        <w:pStyle w:val="Heading"/>
        <w:rPr>
          <w:rFonts w:ascii="Times New Roman" w:hAnsi="Times New Roman"/>
          <w:b w:val="0"/>
          <w:sz w:val="24"/>
          <w:szCs w:val="24"/>
        </w:rPr>
      </w:pPr>
    </w:p>
    <w:p w:rsidR="00ED65D6" w:rsidRPr="00FB2117" w:rsidRDefault="00ED65D6" w:rsidP="003771F3">
      <w:pPr>
        <w:pStyle w:val="Heading"/>
        <w:rPr>
          <w:rFonts w:ascii="Times New Roman" w:hAnsi="Times New Roman"/>
          <w:b w:val="0"/>
          <w:sz w:val="24"/>
          <w:szCs w:val="24"/>
        </w:rPr>
      </w:pPr>
      <w:r w:rsidRPr="00FB2117">
        <w:rPr>
          <w:rFonts w:ascii="Times New Roman" w:hAnsi="Times New Roman"/>
          <w:b w:val="0"/>
          <w:i/>
          <w:sz w:val="24"/>
          <w:szCs w:val="24"/>
        </w:rPr>
        <w:t>Banking (prudential standard) determination No.</w:t>
      </w:r>
      <w:r>
        <w:rPr>
          <w:rFonts w:ascii="Times New Roman" w:hAnsi="Times New Roman"/>
          <w:b w:val="0"/>
          <w:i/>
          <w:sz w:val="24"/>
          <w:szCs w:val="24"/>
        </w:rPr>
        <w:t xml:space="preserve"> </w:t>
      </w:r>
      <w:r w:rsidR="005457E4">
        <w:rPr>
          <w:rFonts w:ascii="Times New Roman" w:hAnsi="Times New Roman"/>
          <w:b w:val="0"/>
          <w:i/>
          <w:color w:val="FF0000"/>
          <w:sz w:val="24"/>
          <w:szCs w:val="24"/>
        </w:rPr>
        <w:t>11</w:t>
      </w:r>
      <w:r>
        <w:rPr>
          <w:rFonts w:ascii="Times New Roman" w:hAnsi="Times New Roman"/>
          <w:b w:val="0"/>
          <w:i/>
          <w:sz w:val="24"/>
          <w:szCs w:val="24"/>
        </w:rPr>
        <w:t xml:space="preserve"> </w:t>
      </w:r>
      <w:r w:rsidRPr="00FB2117">
        <w:rPr>
          <w:rFonts w:ascii="Times New Roman" w:hAnsi="Times New Roman"/>
          <w:b w:val="0"/>
          <w:i/>
          <w:sz w:val="24"/>
          <w:szCs w:val="24"/>
        </w:rPr>
        <w:t>of 201</w:t>
      </w:r>
      <w:r w:rsidR="00D13A66">
        <w:rPr>
          <w:rFonts w:ascii="Times New Roman" w:hAnsi="Times New Roman"/>
          <w:b w:val="0"/>
          <w:i/>
          <w:sz w:val="24"/>
          <w:szCs w:val="24"/>
        </w:rPr>
        <w:t>4</w:t>
      </w:r>
    </w:p>
    <w:p w:rsidR="00ED65D6" w:rsidRDefault="00ED65D6" w:rsidP="003771F3">
      <w:pPr>
        <w:pStyle w:val="Heading"/>
        <w:rPr>
          <w:rFonts w:ascii="Times New Roman" w:hAnsi="Times New Roman"/>
          <w:b w:val="0"/>
          <w:sz w:val="24"/>
          <w:szCs w:val="24"/>
        </w:rPr>
      </w:pPr>
    </w:p>
    <w:p w:rsidR="00ED65D6" w:rsidRDefault="00ED65D6" w:rsidP="003771F3">
      <w:pPr>
        <w:pStyle w:val="Heading"/>
        <w:rPr>
          <w:rFonts w:ascii="Times New Roman" w:hAnsi="Times New Roman"/>
          <w:b w:val="0"/>
          <w:sz w:val="24"/>
          <w:szCs w:val="24"/>
          <w:highlight w:val="yellow"/>
        </w:rPr>
      </w:pPr>
      <w:r>
        <w:rPr>
          <w:rFonts w:ascii="Times New Roman" w:hAnsi="Times New Roman"/>
          <w:b w:val="0"/>
          <w:sz w:val="24"/>
          <w:szCs w:val="24"/>
        </w:rPr>
        <w:t xml:space="preserve">The purpose of the instrument is to revoke APS 330 and to replace it with </w:t>
      </w:r>
      <w:r w:rsidR="00F15E43">
        <w:rPr>
          <w:rFonts w:ascii="Times New Roman" w:hAnsi="Times New Roman"/>
          <w:b w:val="0"/>
          <w:sz w:val="24"/>
          <w:szCs w:val="24"/>
        </w:rPr>
        <w:t xml:space="preserve">a </w:t>
      </w:r>
      <w:r>
        <w:rPr>
          <w:rFonts w:ascii="Times New Roman" w:hAnsi="Times New Roman"/>
          <w:b w:val="0"/>
          <w:sz w:val="24"/>
          <w:szCs w:val="24"/>
        </w:rPr>
        <w:t xml:space="preserve">new </w:t>
      </w:r>
      <w:r w:rsidR="00F15E43">
        <w:rPr>
          <w:rFonts w:ascii="Times New Roman" w:hAnsi="Times New Roman"/>
          <w:b w:val="0"/>
          <w:sz w:val="24"/>
          <w:szCs w:val="24"/>
        </w:rPr>
        <w:t xml:space="preserve">version of </w:t>
      </w:r>
      <w:r>
        <w:rPr>
          <w:rFonts w:ascii="Times New Roman" w:hAnsi="Times New Roman"/>
          <w:b w:val="0"/>
          <w:sz w:val="24"/>
          <w:szCs w:val="24"/>
        </w:rPr>
        <w:t>APS 330.</w:t>
      </w:r>
    </w:p>
    <w:p w:rsidR="00ED65D6" w:rsidRDefault="00ED65D6" w:rsidP="003771F3">
      <w:pPr>
        <w:pStyle w:val="Heading"/>
        <w:rPr>
          <w:rFonts w:ascii="Times New Roman" w:hAnsi="Times New Roman"/>
          <w:b w:val="0"/>
          <w:sz w:val="24"/>
          <w:szCs w:val="24"/>
        </w:rPr>
      </w:pPr>
    </w:p>
    <w:p w:rsidR="00280704" w:rsidRDefault="00280704" w:rsidP="003771F3">
      <w:pPr>
        <w:pStyle w:val="Heading"/>
        <w:rPr>
          <w:rFonts w:ascii="Times New Roman" w:hAnsi="Times New Roman"/>
          <w:b w:val="0"/>
          <w:sz w:val="24"/>
          <w:szCs w:val="24"/>
        </w:rPr>
      </w:pPr>
      <w:r>
        <w:rPr>
          <w:rFonts w:ascii="Times New Roman" w:hAnsi="Times New Roman"/>
          <w:b w:val="0"/>
          <w:sz w:val="24"/>
          <w:szCs w:val="24"/>
        </w:rPr>
        <w:t xml:space="preserve">APS 330 </w:t>
      </w:r>
      <w:r w:rsidRPr="00280704">
        <w:rPr>
          <w:rFonts w:ascii="Times New Roman" w:hAnsi="Times New Roman"/>
          <w:b w:val="0"/>
          <w:sz w:val="24"/>
          <w:szCs w:val="24"/>
        </w:rPr>
        <w:t xml:space="preserve">requires locally incorporated </w:t>
      </w:r>
      <w:r w:rsidR="00352982">
        <w:rPr>
          <w:rFonts w:ascii="Times New Roman" w:hAnsi="Times New Roman"/>
          <w:b w:val="0"/>
          <w:sz w:val="24"/>
          <w:szCs w:val="24"/>
        </w:rPr>
        <w:t>ADIs</w:t>
      </w:r>
      <w:r w:rsidRPr="00280704">
        <w:rPr>
          <w:rFonts w:ascii="Times New Roman" w:hAnsi="Times New Roman"/>
          <w:b w:val="0"/>
          <w:sz w:val="24"/>
          <w:szCs w:val="24"/>
        </w:rPr>
        <w:t xml:space="preserve"> to meet minimum requirements for the public disclosure of information on their risk management practices and capital adequacy to enhance transparency in Australian financial markets</w:t>
      </w:r>
      <w:r>
        <w:rPr>
          <w:rFonts w:ascii="Times New Roman" w:hAnsi="Times New Roman"/>
          <w:b w:val="0"/>
          <w:sz w:val="24"/>
          <w:szCs w:val="24"/>
        </w:rPr>
        <w:t>.</w:t>
      </w:r>
    </w:p>
    <w:p w:rsidR="00280704" w:rsidRDefault="00280704" w:rsidP="003771F3">
      <w:pPr>
        <w:pStyle w:val="Heading"/>
        <w:rPr>
          <w:rFonts w:ascii="Times New Roman" w:hAnsi="Times New Roman"/>
          <w:b w:val="0"/>
          <w:sz w:val="24"/>
          <w:szCs w:val="24"/>
        </w:rPr>
      </w:pPr>
    </w:p>
    <w:p w:rsidR="00280704" w:rsidRDefault="00280704" w:rsidP="003771F3">
      <w:pPr>
        <w:pStyle w:val="Heading"/>
        <w:rPr>
          <w:rFonts w:ascii="Times New Roman" w:hAnsi="Times New Roman"/>
          <w:b w:val="0"/>
          <w:sz w:val="24"/>
          <w:szCs w:val="24"/>
        </w:rPr>
      </w:pPr>
      <w:r>
        <w:rPr>
          <w:rFonts w:ascii="Times New Roman" w:hAnsi="Times New Roman"/>
          <w:b w:val="0"/>
          <w:sz w:val="24"/>
          <w:szCs w:val="24"/>
        </w:rPr>
        <w:t xml:space="preserve">The instrument makes minor </w:t>
      </w:r>
      <w:r w:rsidR="00C42493">
        <w:rPr>
          <w:rFonts w:ascii="Times New Roman" w:hAnsi="Times New Roman"/>
          <w:b w:val="0"/>
          <w:sz w:val="24"/>
          <w:szCs w:val="24"/>
        </w:rPr>
        <w:t xml:space="preserve">alterations </w:t>
      </w:r>
      <w:r>
        <w:rPr>
          <w:rFonts w:ascii="Times New Roman" w:hAnsi="Times New Roman"/>
          <w:b w:val="0"/>
          <w:sz w:val="24"/>
          <w:szCs w:val="24"/>
        </w:rPr>
        <w:t xml:space="preserve">to APS 330 to </w:t>
      </w:r>
      <w:r w:rsidR="005D2AB6">
        <w:rPr>
          <w:rFonts w:ascii="Times New Roman" w:hAnsi="Times New Roman"/>
          <w:b w:val="0"/>
          <w:sz w:val="24"/>
          <w:szCs w:val="24"/>
        </w:rPr>
        <w:t>update references to CPS 510</w:t>
      </w:r>
      <w:r>
        <w:rPr>
          <w:rFonts w:ascii="Times New Roman" w:hAnsi="Times New Roman"/>
          <w:b w:val="0"/>
          <w:sz w:val="24"/>
          <w:szCs w:val="24"/>
        </w:rPr>
        <w:t>.</w:t>
      </w:r>
    </w:p>
    <w:p w:rsidR="005D2AB6" w:rsidRDefault="005D2AB6" w:rsidP="003771F3">
      <w:pPr>
        <w:pStyle w:val="Heading"/>
        <w:rPr>
          <w:rFonts w:ascii="Times New Roman" w:hAnsi="Times New Roman"/>
          <w:b w:val="0"/>
          <w:sz w:val="24"/>
          <w:szCs w:val="24"/>
        </w:rPr>
      </w:pPr>
    </w:p>
    <w:p w:rsidR="00ED65D6" w:rsidRDefault="00ED65D6" w:rsidP="003771F3">
      <w:pPr>
        <w:pStyle w:val="Heading"/>
        <w:rPr>
          <w:rFonts w:ascii="Times New Roman" w:hAnsi="Times New Roman"/>
          <w:b w:val="0"/>
          <w:sz w:val="24"/>
          <w:szCs w:val="24"/>
        </w:rPr>
      </w:pPr>
    </w:p>
    <w:p w:rsidR="00ED65D6" w:rsidRPr="00FB2117" w:rsidRDefault="00ED65D6" w:rsidP="003771F3">
      <w:pPr>
        <w:pStyle w:val="Heading"/>
        <w:rPr>
          <w:rFonts w:ascii="Times New Roman" w:hAnsi="Times New Roman"/>
          <w:b w:val="0"/>
          <w:sz w:val="24"/>
          <w:szCs w:val="24"/>
        </w:rPr>
      </w:pPr>
      <w:r w:rsidRPr="00FB2117">
        <w:rPr>
          <w:rFonts w:ascii="Times New Roman" w:hAnsi="Times New Roman"/>
          <w:b w:val="0"/>
          <w:i/>
          <w:sz w:val="24"/>
          <w:szCs w:val="24"/>
        </w:rPr>
        <w:t>Banking (prudential standard) determination No.</w:t>
      </w:r>
      <w:r>
        <w:rPr>
          <w:rFonts w:ascii="Times New Roman" w:hAnsi="Times New Roman"/>
          <w:b w:val="0"/>
          <w:i/>
          <w:sz w:val="24"/>
          <w:szCs w:val="24"/>
        </w:rPr>
        <w:t xml:space="preserve"> </w:t>
      </w:r>
      <w:r w:rsidR="005457E4" w:rsidRPr="004F4B36">
        <w:rPr>
          <w:rFonts w:ascii="Times New Roman" w:hAnsi="Times New Roman"/>
          <w:b w:val="0"/>
          <w:i/>
          <w:sz w:val="24"/>
          <w:szCs w:val="24"/>
        </w:rPr>
        <w:t>6</w:t>
      </w:r>
      <w:r w:rsidRPr="004F4B36">
        <w:rPr>
          <w:rFonts w:ascii="Times New Roman" w:hAnsi="Times New Roman"/>
          <w:b w:val="0"/>
          <w:i/>
          <w:sz w:val="24"/>
          <w:szCs w:val="24"/>
        </w:rPr>
        <w:t xml:space="preserve"> </w:t>
      </w:r>
      <w:r w:rsidRPr="00FB2117">
        <w:rPr>
          <w:rFonts w:ascii="Times New Roman" w:hAnsi="Times New Roman"/>
          <w:b w:val="0"/>
          <w:i/>
          <w:sz w:val="24"/>
          <w:szCs w:val="24"/>
        </w:rPr>
        <w:t>of 201</w:t>
      </w:r>
      <w:r w:rsidR="00D13A66">
        <w:rPr>
          <w:rFonts w:ascii="Times New Roman" w:hAnsi="Times New Roman"/>
          <w:b w:val="0"/>
          <w:i/>
          <w:sz w:val="24"/>
          <w:szCs w:val="24"/>
        </w:rPr>
        <w:t>4</w:t>
      </w:r>
    </w:p>
    <w:p w:rsidR="00ED65D6" w:rsidRDefault="00ED65D6" w:rsidP="003771F3">
      <w:pPr>
        <w:pStyle w:val="Heading"/>
        <w:rPr>
          <w:rFonts w:ascii="Times New Roman" w:hAnsi="Times New Roman"/>
          <w:b w:val="0"/>
          <w:sz w:val="24"/>
          <w:szCs w:val="24"/>
        </w:rPr>
      </w:pPr>
    </w:p>
    <w:p w:rsidR="00ED65D6" w:rsidRDefault="00ED65D6" w:rsidP="003771F3">
      <w:pPr>
        <w:pStyle w:val="Heading"/>
        <w:rPr>
          <w:rFonts w:ascii="Times New Roman" w:hAnsi="Times New Roman"/>
          <w:b w:val="0"/>
          <w:sz w:val="24"/>
          <w:szCs w:val="24"/>
          <w:highlight w:val="yellow"/>
        </w:rPr>
      </w:pPr>
      <w:r>
        <w:rPr>
          <w:rFonts w:ascii="Times New Roman" w:hAnsi="Times New Roman"/>
          <w:b w:val="0"/>
          <w:sz w:val="24"/>
          <w:szCs w:val="24"/>
        </w:rPr>
        <w:t xml:space="preserve">The purpose of the instrument is to revoke APS 610 and to replace it with </w:t>
      </w:r>
      <w:r w:rsidR="00F15E43">
        <w:rPr>
          <w:rFonts w:ascii="Times New Roman" w:hAnsi="Times New Roman"/>
          <w:b w:val="0"/>
          <w:sz w:val="24"/>
          <w:szCs w:val="24"/>
        </w:rPr>
        <w:t xml:space="preserve">a </w:t>
      </w:r>
      <w:r>
        <w:rPr>
          <w:rFonts w:ascii="Times New Roman" w:hAnsi="Times New Roman"/>
          <w:b w:val="0"/>
          <w:sz w:val="24"/>
          <w:szCs w:val="24"/>
        </w:rPr>
        <w:t xml:space="preserve">new </w:t>
      </w:r>
      <w:r w:rsidR="00F15E43">
        <w:rPr>
          <w:rFonts w:ascii="Times New Roman" w:hAnsi="Times New Roman"/>
          <w:b w:val="0"/>
          <w:sz w:val="24"/>
          <w:szCs w:val="24"/>
        </w:rPr>
        <w:t xml:space="preserve">version of </w:t>
      </w:r>
      <w:r>
        <w:rPr>
          <w:rFonts w:ascii="Times New Roman" w:hAnsi="Times New Roman"/>
          <w:b w:val="0"/>
          <w:sz w:val="24"/>
          <w:szCs w:val="24"/>
        </w:rPr>
        <w:t>APS 610.</w:t>
      </w:r>
    </w:p>
    <w:p w:rsidR="00ED65D6" w:rsidRDefault="00ED65D6" w:rsidP="003771F3">
      <w:pPr>
        <w:pStyle w:val="Heading"/>
        <w:rPr>
          <w:rFonts w:ascii="Times New Roman" w:hAnsi="Times New Roman"/>
          <w:b w:val="0"/>
          <w:sz w:val="24"/>
          <w:szCs w:val="24"/>
        </w:rPr>
      </w:pPr>
    </w:p>
    <w:p w:rsidR="00ED65D6" w:rsidRDefault="00280704" w:rsidP="003771F3">
      <w:pPr>
        <w:pStyle w:val="Heading"/>
        <w:rPr>
          <w:rFonts w:ascii="Times New Roman" w:hAnsi="Times New Roman"/>
          <w:b w:val="0"/>
          <w:sz w:val="24"/>
          <w:szCs w:val="24"/>
        </w:rPr>
      </w:pPr>
      <w:r>
        <w:rPr>
          <w:rFonts w:ascii="Times New Roman" w:hAnsi="Times New Roman"/>
          <w:b w:val="0"/>
          <w:sz w:val="24"/>
          <w:szCs w:val="24"/>
        </w:rPr>
        <w:t xml:space="preserve">APS 610 </w:t>
      </w:r>
      <w:r w:rsidRPr="00280704">
        <w:rPr>
          <w:rFonts w:ascii="Times New Roman" w:hAnsi="Times New Roman"/>
          <w:b w:val="0"/>
          <w:sz w:val="24"/>
          <w:szCs w:val="24"/>
          <w:lang w:val="en-US"/>
        </w:rPr>
        <w:t xml:space="preserve">requires </w:t>
      </w:r>
      <w:r w:rsidR="00CF12DF">
        <w:rPr>
          <w:rFonts w:ascii="Times New Roman" w:hAnsi="Times New Roman"/>
          <w:b w:val="0"/>
          <w:sz w:val="24"/>
          <w:szCs w:val="24"/>
          <w:lang w:val="en-US"/>
        </w:rPr>
        <w:t xml:space="preserve">an </w:t>
      </w:r>
      <w:r w:rsidRPr="00280704">
        <w:rPr>
          <w:rFonts w:ascii="Times New Roman" w:hAnsi="Times New Roman"/>
          <w:b w:val="0"/>
          <w:sz w:val="24"/>
          <w:szCs w:val="24"/>
          <w:lang w:val="en-US"/>
        </w:rPr>
        <w:t xml:space="preserve">ADI that </w:t>
      </w:r>
      <w:r w:rsidR="00352982" w:rsidRPr="00280704">
        <w:rPr>
          <w:rFonts w:ascii="Times New Roman" w:hAnsi="Times New Roman"/>
          <w:b w:val="0"/>
          <w:sz w:val="24"/>
          <w:szCs w:val="24"/>
          <w:lang w:val="en-US"/>
        </w:rPr>
        <w:t>ha</w:t>
      </w:r>
      <w:r w:rsidR="00352982">
        <w:rPr>
          <w:rFonts w:ascii="Times New Roman" w:hAnsi="Times New Roman"/>
          <w:b w:val="0"/>
          <w:sz w:val="24"/>
          <w:szCs w:val="24"/>
          <w:lang w:val="en-US"/>
        </w:rPr>
        <w:t>s</w:t>
      </w:r>
      <w:r w:rsidR="00352982" w:rsidRPr="00280704">
        <w:rPr>
          <w:rFonts w:ascii="Times New Roman" w:hAnsi="Times New Roman"/>
          <w:b w:val="0"/>
          <w:sz w:val="24"/>
          <w:szCs w:val="24"/>
          <w:lang w:val="en-US"/>
        </w:rPr>
        <w:t xml:space="preserve"> </w:t>
      </w:r>
      <w:r w:rsidRPr="00280704">
        <w:rPr>
          <w:rFonts w:ascii="Times New Roman" w:hAnsi="Times New Roman"/>
          <w:b w:val="0"/>
          <w:sz w:val="24"/>
          <w:szCs w:val="24"/>
          <w:lang w:val="en-US"/>
        </w:rPr>
        <w:t xml:space="preserve">an authority to provide purchased payment facilities to meet prudential requirements commensurate with </w:t>
      </w:r>
      <w:r w:rsidR="00CF12DF">
        <w:rPr>
          <w:rFonts w:ascii="Times New Roman" w:hAnsi="Times New Roman"/>
          <w:b w:val="0"/>
          <w:sz w:val="24"/>
          <w:szCs w:val="24"/>
          <w:lang w:val="en-US"/>
        </w:rPr>
        <w:t>its</w:t>
      </w:r>
      <w:r w:rsidRPr="00280704">
        <w:rPr>
          <w:rFonts w:ascii="Times New Roman" w:hAnsi="Times New Roman"/>
          <w:b w:val="0"/>
          <w:sz w:val="24"/>
          <w:szCs w:val="24"/>
          <w:lang w:val="en-US"/>
        </w:rPr>
        <w:t xml:space="preserve"> risk profile.</w:t>
      </w:r>
    </w:p>
    <w:p w:rsidR="00ED65D6" w:rsidRDefault="00ED65D6" w:rsidP="003771F3">
      <w:pPr>
        <w:pStyle w:val="Heading"/>
        <w:rPr>
          <w:rFonts w:ascii="Times New Roman" w:hAnsi="Times New Roman"/>
          <w:b w:val="0"/>
          <w:sz w:val="24"/>
          <w:szCs w:val="24"/>
        </w:rPr>
      </w:pPr>
    </w:p>
    <w:p w:rsidR="00280704" w:rsidRDefault="00280704" w:rsidP="003771F3">
      <w:pPr>
        <w:pStyle w:val="Heading"/>
        <w:rPr>
          <w:rFonts w:ascii="Times New Roman" w:hAnsi="Times New Roman"/>
          <w:b w:val="0"/>
          <w:sz w:val="24"/>
          <w:szCs w:val="24"/>
        </w:rPr>
      </w:pPr>
      <w:r>
        <w:rPr>
          <w:rFonts w:ascii="Times New Roman" w:hAnsi="Times New Roman"/>
          <w:b w:val="0"/>
          <w:sz w:val="24"/>
          <w:szCs w:val="24"/>
        </w:rPr>
        <w:t xml:space="preserve">The instrument makes minor </w:t>
      </w:r>
      <w:r w:rsidR="00EC4ABA">
        <w:rPr>
          <w:rFonts w:ascii="Times New Roman" w:hAnsi="Times New Roman"/>
          <w:b w:val="0"/>
          <w:sz w:val="24"/>
          <w:szCs w:val="24"/>
        </w:rPr>
        <w:t xml:space="preserve">consequential amendments to </w:t>
      </w:r>
      <w:r>
        <w:rPr>
          <w:rFonts w:ascii="Times New Roman" w:hAnsi="Times New Roman"/>
          <w:b w:val="0"/>
          <w:sz w:val="24"/>
          <w:szCs w:val="24"/>
        </w:rPr>
        <w:t xml:space="preserve">APS 610 </w:t>
      </w:r>
      <w:r w:rsidR="005D2AB6">
        <w:rPr>
          <w:rFonts w:ascii="Times New Roman" w:hAnsi="Times New Roman"/>
          <w:b w:val="0"/>
          <w:sz w:val="24"/>
          <w:szCs w:val="24"/>
        </w:rPr>
        <w:t>to include CPS 220 in the listing of prudential standards that apply to providers of purchased payment facilities.</w:t>
      </w:r>
    </w:p>
    <w:p w:rsidR="005D2AB6" w:rsidRDefault="005D2AB6" w:rsidP="003771F3">
      <w:pPr>
        <w:pStyle w:val="Heading"/>
        <w:rPr>
          <w:rFonts w:ascii="Times New Roman" w:hAnsi="Times New Roman"/>
          <w:b w:val="0"/>
          <w:sz w:val="24"/>
          <w:szCs w:val="24"/>
        </w:rPr>
      </w:pPr>
    </w:p>
    <w:p w:rsidR="00910312" w:rsidRDefault="00910312">
      <w:pPr>
        <w:rPr>
          <w:rFonts w:ascii="Times New Roman" w:hAnsi="Times New Roman"/>
          <w:sz w:val="24"/>
          <w:szCs w:val="24"/>
        </w:rPr>
      </w:pPr>
      <w:r>
        <w:rPr>
          <w:rFonts w:ascii="Times New Roman" w:hAnsi="Times New Roman"/>
          <w:b/>
          <w:sz w:val="24"/>
          <w:szCs w:val="24"/>
        </w:rPr>
        <w:br w:type="page"/>
      </w:r>
    </w:p>
    <w:p w:rsidR="002436BD" w:rsidRDefault="002436BD" w:rsidP="00594FBC">
      <w:pPr>
        <w:pStyle w:val="Heading"/>
        <w:numPr>
          <w:ilvl w:val="0"/>
          <w:numId w:val="2"/>
        </w:numPr>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lastRenderedPageBreak/>
        <w:t>Consultation</w:t>
      </w:r>
    </w:p>
    <w:p w:rsidR="002436BD" w:rsidRDefault="002436BD" w:rsidP="003771F3">
      <w:pPr>
        <w:pStyle w:val="Heading"/>
        <w:tabs>
          <w:tab w:val="left" w:pos="360"/>
        </w:tabs>
        <w:rPr>
          <w:rFonts w:ascii="Times New Roman" w:hAnsi="Times New Roman"/>
          <w:b w:val="0"/>
          <w:sz w:val="24"/>
          <w:szCs w:val="24"/>
        </w:rPr>
      </w:pPr>
      <w:r>
        <w:rPr>
          <w:rFonts w:ascii="Times New Roman" w:hAnsi="Times New Roman"/>
          <w:sz w:val="24"/>
          <w:szCs w:val="24"/>
        </w:rPr>
        <w:tab/>
      </w:r>
    </w:p>
    <w:p w:rsidR="00A01981" w:rsidRPr="00910312" w:rsidRDefault="00910312" w:rsidP="00E97988">
      <w:pPr>
        <w:pStyle w:val="Heading"/>
        <w:rPr>
          <w:rFonts w:ascii="Times New Roman" w:hAnsi="Times New Roman"/>
          <w:b w:val="0"/>
          <w:sz w:val="24"/>
          <w:szCs w:val="24"/>
        </w:rPr>
      </w:pPr>
      <w:r w:rsidRPr="00910312">
        <w:rPr>
          <w:rFonts w:ascii="Times New Roman" w:hAnsi="Times New Roman"/>
          <w:b w:val="0"/>
          <w:sz w:val="24"/>
          <w:szCs w:val="24"/>
          <w:lang w:val="en-GB" w:eastAsia="en-US"/>
        </w:rPr>
        <w:t>APRA undertook a seven week consultation on the proposed consequential changes</w:t>
      </w:r>
      <w:r w:rsidR="00846AE9">
        <w:rPr>
          <w:rFonts w:ascii="Times New Roman" w:hAnsi="Times New Roman"/>
          <w:b w:val="0"/>
          <w:sz w:val="24"/>
          <w:szCs w:val="24"/>
          <w:lang w:val="en-GB" w:eastAsia="en-US"/>
        </w:rPr>
        <w:t xml:space="preserve"> from August 2014</w:t>
      </w:r>
      <w:r w:rsidRPr="00910312">
        <w:rPr>
          <w:rFonts w:ascii="Times New Roman" w:hAnsi="Times New Roman"/>
          <w:b w:val="0"/>
          <w:sz w:val="24"/>
          <w:szCs w:val="24"/>
          <w:lang w:val="en-GB" w:eastAsia="en-US"/>
        </w:rPr>
        <w:t xml:space="preserve">. </w:t>
      </w:r>
      <w:r w:rsidR="001516C2" w:rsidRPr="00910312">
        <w:rPr>
          <w:rFonts w:ascii="Times New Roman" w:hAnsi="Times New Roman"/>
          <w:b w:val="0"/>
          <w:sz w:val="24"/>
          <w:szCs w:val="24"/>
        </w:rPr>
        <w:t xml:space="preserve"> </w:t>
      </w:r>
    </w:p>
    <w:p w:rsidR="00E644F0" w:rsidRPr="00E644F0" w:rsidRDefault="00E644F0" w:rsidP="003771F3">
      <w:pPr>
        <w:pStyle w:val="Heading"/>
        <w:spacing w:before="240" w:after="60"/>
        <w:ind w:left="720"/>
        <w:outlineLvl w:val="0"/>
        <w:rPr>
          <w:b w:val="0"/>
        </w:rPr>
      </w:pPr>
    </w:p>
    <w:p w:rsidR="002436BD" w:rsidRDefault="00DF524E" w:rsidP="003771F3">
      <w:pPr>
        <w:pStyle w:val="Heading"/>
        <w:tabs>
          <w:tab w:val="left" w:pos="360"/>
        </w:tabs>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p w:rsidR="002436BD" w:rsidRDefault="002436BD" w:rsidP="003771F3">
      <w:pPr>
        <w:pStyle w:val="Heading"/>
        <w:tabs>
          <w:tab w:val="left" w:pos="360"/>
        </w:tabs>
        <w:rPr>
          <w:rFonts w:ascii="Times New Roman" w:hAnsi="Times New Roman"/>
          <w:sz w:val="24"/>
          <w:szCs w:val="24"/>
        </w:rPr>
      </w:pPr>
    </w:p>
    <w:bookmarkEnd w:id="10"/>
    <w:p w:rsidR="002436BD" w:rsidRDefault="004F09DF" w:rsidP="003771F3">
      <w:pPr>
        <w:pStyle w:val="Heading"/>
        <w:rPr>
          <w:rFonts w:ascii="Times New Roman" w:hAnsi="Times New Roman"/>
          <w:b w:val="0"/>
          <w:sz w:val="24"/>
          <w:szCs w:val="24"/>
        </w:rPr>
      </w:pPr>
      <w:r>
        <w:rPr>
          <w:rFonts w:ascii="Times New Roman" w:hAnsi="Times New Roman"/>
          <w:b w:val="0"/>
          <w:sz w:val="24"/>
          <w:szCs w:val="24"/>
        </w:rPr>
        <w:t xml:space="preserve">A Preliminary Assessment was submitted the Office of Best Practice Regulation who confirmed that a Regulation Impact Statement </w:t>
      </w:r>
      <w:r w:rsidR="00E94178">
        <w:rPr>
          <w:rFonts w:ascii="Times New Roman" w:hAnsi="Times New Roman"/>
          <w:b w:val="0"/>
          <w:sz w:val="24"/>
          <w:szCs w:val="24"/>
        </w:rPr>
        <w:t>i</w:t>
      </w:r>
      <w:r>
        <w:rPr>
          <w:rFonts w:ascii="Times New Roman" w:hAnsi="Times New Roman"/>
          <w:b w:val="0"/>
          <w:sz w:val="24"/>
          <w:szCs w:val="24"/>
        </w:rPr>
        <w:t xml:space="preserve">s not required. </w:t>
      </w:r>
    </w:p>
    <w:p w:rsidR="002436BD" w:rsidRDefault="002436BD" w:rsidP="003771F3">
      <w:pPr>
        <w:pStyle w:val="Heading"/>
        <w:rPr>
          <w:rFonts w:ascii="Times New Roman" w:hAnsi="Times New Roman"/>
          <w:b w:val="0"/>
          <w:sz w:val="24"/>
          <w:szCs w:val="24"/>
        </w:rPr>
      </w:pPr>
    </w:p>
    <w:p w:rsidR="002436BD" w:rsidRPr="00B3165F" w:rsidRDefault="00DF524E" w:rsidP="003771F3">
      <w:pPr>
        <w:pStyle w:val="Heading"/>
        <w:tabs>
          <w:tab w:val="left" w:pos="360"/>
        </w:tabs>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rsidR="00B9109D" w:rsidRPr="00A11EA8" w:rsidRDefault="005B1CDA" w:rsidP="001B58CF">
      <w:pPr>
        <w:pStyle w:val="heading0"/>
      </w:pPr>
      <w:r w:rsidRPr="00A11EA8">
        <w:t xml:space="preserve">A Statement of compatibility prepared in accordance with Part 3 of the </w:t>
      </w:r>
      <w:r w:rsidRPr="00A11EA8">
        <w:rPr>
          <w:i/>
        </w:rPr>
        <w:t>Human Rights (Parliamentary Scrutiny) Act 2011</w:t>
      </w:r>
      <w:r w:rsidRPr="00A11EA8">
        <w:t xml:space="preserve"> is provided at Attachment A to this Explanatory Statement.</w:t>
      </w:r>
    </w:p>
    <w:p w:rsidR="00B9109D" w:rsidRDefault="00B9109D">
      <w:pPr>
        <w:rPr>
          <w:rFonts w:ascii="Times New Roman" w:hAnsi="Times New Roman"/>
          <w:b/>
          <w:sz w:val="24"/>
          <w:szCs w:val="24"/>
        </w:rPr>
      </w:pPr>
      <w:r>
        <w:rPr>
          <w:b/>
        </w:rPr>
        <w:br w:type="page"/>
      </w:r>
    </w:p>
    <w:p w:rsidR="005B1CDA" w:rsidRPr="00D8647B" w:rsidRDefault="005B1CDA" w:rsidP="00D12261">
      <w:pPr>
        <w:pStyle w:val="heading0"/>
        <w:rPr>
          <w:b/>
        </w:rPr>
      </w:pPr>
      <w:r w:rsidRPr="00D8647B">
        <w:rPr>
          <w:b/>
        </w:rPr>
        <w:lastRenderedPageBreak/>
        <w:t xml:space="preserve">Attachment A </w:t>
      </w:r>
    </w:p>
    <w:p w:rsidR="005B1CDA" w:rsidRPr="00DA192B" w:rsidRDefault="005B1CDA" w:rsidP="001B58CF">
      <w:pPr>
        <w:pStyle w:val="heading0"/>
        <w:jc w:val="center"/>
        <w:rPr>
          <w:b/>
        </w:rPr>
      </w:pPr>
      <w:r w:rsidRPr="00DA192B">
        <w:rPr>
          <w:b/>
        </w:rPr>
        <w:t>Statement of Compatibility with Human Rights</w:t>
      </w:r>
    </w:p>
    <w:p w:rsidR="005B1CDA" w:rsidRPr="00DA192B" w:rsidRDefault="005B1CDA" w:rsidP="001B58CF">
      <w:pPr>
        <w:pStyle w:val="heading0"/>
        <w:rPr>
          <w:i/>
        </w:rPr>
      </w:pPr>
      <w:r w:rsidRPr="00DA192B">
        <w:rPr>
          <w:i/>
        </w:rPr>
        <w:t>Prepared in accordance with Part 3 of the Human Rights (Parliamentary Scrutiny) Act 2011</w:t>
      </w:r>
    </w:p>
    <w:p w:rsidR="00594FBC" w:rsidRPr="00B9109D" w:rsidRDefault="00594FBC" w:rsidP="001B58CF">
      <w:pPr>
        <w:pStyle w:val="heading0"/>
        <w:jc w:val="center"/>
      </w:pPr>
      <w:r w:rsidRPr="00B9109D">
        <w:rPr>
          <w:b/>
        </w:rPr>
        <w:t>Banking (prudential standard) determinations Nos</w:t>
      </w:r>
      <w:r w:rsidRPr="004F4B36">
        <w:rPr>
          <w:b/>
        </w:rPr>
        <w:t xml:space="preserve">. </w:t>
      </w:r>
      <w:r w:rsidR="00A11EA8" w:rsidRPr="004F4B36">
        <w:rPr>
          <w:b/>
        </w:rPr>
        <w:t>3</w:t>
      </w:r>
      <w:r w:rsidRPr="00B9109D">
        <w:rPr>
          <w:b/>
        </w:rPr>
        <w:t xml:space="preserve"> to </w:t>
      </w:r>
      <w:r w:rsidR="00A11EA8" w:rsidRPr="004F4B36">
        <w:rPr>
          <w:b/>
        </w:rPr>
        <w:t>11</w:t>
      </w:r>
      <w:r w:rsidRPr="00B9109D">
        <w:rPr>
          <w:b/>
        </w:rPr>
        <w:t xml:space="preserve"> of 2014</w:t>
      </w:r>
    </w:p>
    <w:p w:rsidR="005B1CDA" w:rsidRPr="00DA192B" w:rsidRDefault="005B1CDA" w:rsidP="001B58CF">
      <w:pPr>
        <w:pStyle w:val="heading0"/>
        <w:rPr>
          <w:i/>
        </w:rPr>
      </w:pPr>
      <w:r w:rsidRPr="00DA192B">
        <w:t>Th</w:t>
      </w:r>
      <w:r w:rsidR="00A11EA8">
        <w:t>e</w:t>
      </w:r>
      <w:r w:rsidRPr="00DA192B">
        <w:t xml:space="preserve"> </w:t>
      </w:r>
      <w:r w:rsidR="00A11EA8">
        <w:t>i</w:t>
      </w:r>
      <w:r w:rsidRPr="00DA192B">
        <w:t>nstrument</w:t>
      </w:r>
      <w:r w:rsidR="00D12261">
        <w:t>s</w:t>
      </w:r>
      <w:r w:rsidRPr="00DA192B">
        <w:t xml:space="preserve"> </w:t>
      </w:r>
      <w:r w:rsidR="00A11EA8">
        <w:t>are</w:t>
      </w:r>
      <w:r w:rsidRPr="00DA192B">
        <w:t xml:space="preserve"> compatible with the human rights and freedoms recognised or declared in the international instruments listed in section 3 of the </w:t>
      </w:r>
      <w:r w:rsidRPr="00DA192B">
        <w:rPr>
          <w:i/>
        </w:rPr>
        <w:t>Human Rights (Parliamentary Scrutiny) Act 2011.</w:t>
      </w:r>
    </w:p>
    <w:p w:rsidR="005B1CDA" w:rsidRDefault="005B1CDA" w:rsidP="001B58CF">
      <w:pPr>
        <w:pStyle w:val="heading0"/>
        <w:rPr>
          <w:b/>
        </w:rPr>
      </w:pPr>
      <w:r w:rsidRPr="00740541">
        <w:rPr>
          <w:b/>
        </w:rPr>
        <w:t>Overview of the Legislative Instrument</w:t>
      </w:r>
    </w:p>
    <w:p w:rsidR="00A17EC1" w:rsidRPr="00A17EC1" w:rsidRDefault="00594FBC" w:rsidP="001B58CF">
      <w:pPr>
        <w:pStyle w:val="heading0"/>
      </w:pPr>
      <w:r w:rsidRPr="00594FBC">
        <w:t xml:space="preserve">The instruments make changes to </w:t>
      </w:r>
      <w:r>
        <w:t xml:space="preserve">prudential </w:t>
      </w:r>
      <w:r w:rsidR="00F00346">
        <w:t>standards to</w:t>
      </w:r>
      <w:r>
        <w:t xml:space="preserve"> incorporate changes consequential to new </w:t>
      </w:r>
      <w:r w:rsidRPr="00F00346">
        <w:rPr>
          <w:i/>
        </w:rPr>
        <w:t>Prudential Standard CPS 220 Risk Management</w:t>
      </w:r>
      <w:r>
        <w:t xml:space="preserve"> and revised </w:t>
      </w:r>
      <w:r w:rsidRPr="00F00346">
        <w:rPr>
          <w:i/>
        </w:rPr>
        <w:t>Prudential Standard CPS</w:t>
      </w:r>
      <w:r w:rsidR="00A17EC1" w:rsidRPr="00F00346">
        <w:rPr>
          <w:i/>
        </w:rPr>
        <w:t xml:space="preserve"> 510 Governance</w:t>
      </w:r>
      <w:r w:rsidR="00A17EC1">
        <w:t xml:space="preserve">. </w:t>
      </w:r>
      <w:r w:rsidR="00A17EC1" w:rsidRPr="00A17EC1">
        <w:t xml:space="preserve">These </w:t>
      </w:r>
      <w:r w:rsidR="00A11EA8">
        <w:t>i</w:t>
      </w:r>
      <w:r w:rsidR="00A17EC1" w:rsidRPr="00A17EC1">
        <w:t>nstruments:</w:t>
      </w:r>
    </w:p>
    <w:p w:rsidR="00A17EC1" w:rsidRPr="00A17EC1" w:rsidRDefault="003C780E" w:rsidP="001B58CF">
      <w:pPr>
        <w:pStyle w:val="heading0"/>
        <w:numPr>
          <w:ilvl w:val="0"/>
          <w:numId w:val="18"/>
        </w:numPr>
      </w:pPr>
      <w:r>
        <w:t>i</w:t>
      </w:r>
      <w:r w:rsidR="00A17EC1" w:rsidRPr="00A17EC1">
        <w:t>nclude a new definition for ‘ensure’;</w:t>
      </w:r>
    </w:p>
    <w:p w:rsidR="00A17EC1" w:rsidRDefault="003C780E" w:rsidP="001B58CF">
      <w:pPr>
        <w:pStyle w:val="heading0"/>
        <w:numPr>
          <w:ilvl w:val="0"/>
          <w:numId w:val="18"/>
        </w:numPr>
      </w:pPr>
      <w:r>
        <w:t>u</w:t>
      </w:r>
      <w:r w:rsidR="00F00346">
        <w:t>pdate references to</w:t>
      </w:r>
      <w:r w:rsidR="00F00346" w:rsidRPr="00F00346">
        <w:t xml:space="preserve"> applicable standards</w:t>
      </w:r>
      <w:r w:rsidR="00F00346">
        <w:t>;</w:t>
      </w:r>
      <w:r w:rsidR="00F00346" w:rsidRPr="00F00346">
        <w:t xml:space="preserve"> </w:t>
      </w:r>
      <w:r w:rsidR="00A17EC1" w:rsidRPr="00A17EC1">
        <w:t>and</w:t>
      </w:r>
      <w:r w:rsidR="00594FBC" w:rsidRPr="00594FBC">
        <w:t xml:space="preserve"> </w:t>
      </w:r>
    </w:p>
    <w:p w:rsidR="00A17EC1" w:rsidRDefault="003C780E" w:rsidP="001B58CF">
      <w:pPr>
        <w:pStyle w:val="heading0"/>
        <w:numPr>
          <w:ilvl w:val="0"/>
          <w:numId w:val="18"/>
        </w:numPr>
      </w:pPr>
      <w:r>
        <w:t>r</w:t>
      </w:r>
      <w:r w:rsidR="00A17EC1">
        <w:t xml:space="preserve">emove </w:t>
      </w:r>
      <w:r w:rsidR="00333C85">
        <w:t>duplication of detail</w:t>
      </w:r>
      <w:r w:rsidR="00F00346">
        <w:t>.</w:t>
      </w:r>
    </w:p>
    <w:p w:rsidR="005B1CDA" w:rsidRDefault="005B1CDA" w:rsidP="001B58CF">
      <w:pPr>
        <w:pStyle w:val="heading0"/>
        <w:rPr>
          <w:b/>
        </w:rPr>
      </w:pPr>
      <w:r>
        <w:rPr>
          <w:b/>
        </w:rPr>
        <w:t>Human rights implications</w:t>
      </w:r>
    </w:p>
    <w:p w:rsidR="005B1CDA" w:rsidRDefault="005B1CDA" w:rsidP="001B58CF">
      <w:pPr>
        <w:pStyle w:val="heading0"/>
      </w:pPr>
      <w:r>
        <w:t>APRA has assessed th</w:t>
      </w:r>
      <w:r w:rsidR="00A11EA8">
        <w:t>ese</w:t>
      </w:r>
      <w:r>
        <w:t xml:space="preserve"> </w:t>
      </w:r>
      <w:r w:rsidR="00A11EA8">
        <w:t>i</w:t>
      </w:r>
      <w:r>
        <w:t>nstrument</w:t>
      </w:r>
      <w:r w:rsidR="00A11EA8">
        <w:t>s</w:t>
      </w:r>
      <w:r>
        <w:t xml:space="preserve"> and is of the view that </w:t>
      </w:r>
      <w:r w:rsidR="00203935">
        <w:t>they do</w:t>
      </w:r>
      <w:r>
        <w:t xml:space="preserve"> not engage any of the applicable rights or freedoms recognised or declared in the international instruments listed in section 3 of the </w:t>
      </w:r>
      <w:r w:rsidRPr="00792245">
        <w:rPr>
          <w:i/>
        </w:rPr>
        <w:t>Human Rights (Parliamentary Scrutiny) Act 2011</w:t>
      </w:r>
      <w:r>
        <w:t>.  Accordingly, in APRA’s assessment, the instrument</w:t>
      </w:r>
      <w:r w:rsidR="004F4B36">
        <w:t>s</w:t>
      </w:r>
      <w:r>
        <w:t xml:space="preserve"> </w:t>
      </w:r>
      <w:r w:rsidR="004F4B36">
        <w:t>are</w:t>
      </w:r>
      <w:r>
        <w:t xml:space="preserve"> compatible with human rights. </w:t>
      </w:r>
    </w:p>
    <w:p w:rsidR="005B1CDA" w:rsidRDefault="005B1CDA" w:rsidP="001B58CF">
      <w:pPr>
        <w:pStyle w:val="heading0"/>
        <w:rPr>
          <w:b/>
        </w:rPr>
      </w:pPr>
      <w:r>
        <w:rPr>
          <w:b/>
        </w:rPr>
        <w:t>Conclusion</w:t>
      </w:r>
    </w:p>
    <w:p w:rsidR="00E617B2" w:rsidRDefault="005B1CDA" w:rsidP="001B58CF">
      <w:pPr>
        <w:pStyle w:val="heading0"/>
      </w:pPr>
      <w:r>
        <w:t>Th</w:t>
      </w:r>
      <w:r w:rsidR="004F4B36">
        <w:t>e</w:t>
      </w:r>
      <w:r>
        <w:t xml:space="preserve"> </w:t>
      </w:r>
      <w:r w:rsidR="00A11EA8">
        <w:t>i</w:t>
      </w:r>
      <w:r>
        <w:t>nstrument</w:t>
      </w:r>
      <w:r w:rsidR="004F4B36">
        <w:t>s</w:t>
      </w:r>
      <w:r>
        <w:t xml:space="preserve"> </w:t>
      </w:r>
      <w:r w:rsidR="004F4B36">
        <w:t>are</w:t>
      </w:r>
      <w:r>
        <w:t xml:space="preserve"> compatible with human rights as </w:t>
      </w:r>
      <w:r w:rsidR="004F4B36">
        <w:t xml:space="preserve">they </w:t>
      </w:r>
      <w:r>
        <w:t>do not raise any human rights issues.</w:t>
      </w:r>
    </w:p>
    <w:sectPr w:rsidR="00E617B2" w:rsidSect="003D5032">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ADD" w:rsidRDefault="00F41ADD" w:rsidP="00E617B2">
      <w:r>
        <w:separator/>
      </w:r>
    </w:p>
  </w:endnote>
  <w:endnote w:type="continuationSeparator" w:id="0">
    <w:p w:rsidR="00F41ADD" w:rsidRDefault="00F41ADD" w:rsidP="00E6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DA" w:rsidRDefault="005B1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rPr>
        <w:rFonts w:ascii="Times New Roman" w:hAnsi="Times New Roman"/>
        <w:sz w:val="24"/>
        <w:szCs w:val="24"/>
      </w:rPr>
    </w:sdtEndPr>
    <w:sdtContent>
      <w:p w:rsidR="005B1CDA" w:rsidRPr="00D85E77" w:rsidRDefault="005B1CDA" w:rsidP="00D85E77">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sidR="00CA1910">
          <w:rPr>
            <w:rFonts w:ascii="Times New Roman" w:hAnsi="Times New Roman"/>
            <w:bCs/>
            <w:noProof/>
            <w:sz w:val="24"/>
            <w:szCs w:val="24"/>
          </w:rPr>
          <w:t>6</w:t>
        </w:r>
        <w:r w:rsidRPr="00D85E77">
          <w:rPr>
            <w:rFonts w:ascii="Times New Roman" w:hAnsi="Times New Roman"/>
            <w:bCs/>
            <w:sz w:val="24"/>
            <w:szCs w:val="24"/>
          </w:rPr>
          <w:fldChar w:fldCharType="end"/>
        </w:r>
      </w:p>
    </w:sdtContent>
  </w:sdt>
  <w:p w:rsidR="005B1CDA" w:rsidRDefault="005B1C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DA" w:rsidRDefault="005B1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ADD" w:rsidRDefault="00F41ADD" w:rsidP="00E617B2">
      <w:r>
        <w:separator/>
      </w:r>
    </w:p>
  </w:footnote>
  <w:footnote w:type="continuationSeparator" w:id="0">
    <w:p w:rsidR="00F41ADD" w:rsidRDefault="00F41ADD" w:rsidP="00E61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DA" w:rsidRDefault="005B1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DA" w:rsidRDefault="005B1C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DA" w:rsidRDefault="005B1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1BB"/>
    <w:multiLevelType w:val="hybridMultilevel"/>
    <w:tmpl w:val="066C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33673F"/>
    <w:multiLevelType w:val="hybridMultilevel"/>
    <w:tmpl w:val="39947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4A81249"/>
    <w:multiLevelType w:val="hybridMultilevel"/>
    <w:tmpl w:val="EE4459DA"/>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BF12EE3"/>
    <w:multiLevelType w:val="hybridMultilevel"/>
    <w:tmpl w:val="F2A2E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304899"/>
    <w:multiLevelType w:val="hybridMultilevel"/>
    <w:tmpl w:val="691CCA5C"/>
    <w:lvl w:ilvl="0" w:tplc="CBEEE58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0EF1E66"/>
    <w:multiLevelType w:val="hybridMultilevel"/>
    <w:tmpl w:val="D2E646E4"/>
    <w:lvl w:ilvl="0" w:tplc="6604337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973137"/>
    <w:multiLevelType w:val="hybridMultilevel"/>
    <w:tmpl w:val="9016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022BC2"/>
    <w:multiLevelType w:val="hybridMultilevel"/>
    <w:tmpl w:val="D228E4B4"/>
    <w:lvl w:ilvl="0" w:tplc="17706FA4">
      <w:start w:val="1"/>
      <w:numFmt w:val="bullet"/>
      <w:lvlText w:val=""/>
      <w:lvlJc w:val="left"/>
      <w:pPr>
        <w:tabs>
          <w:tab w:val="num" w:pos="567"/>
        </w:tabs>
        <w:ind w:left="567" w:hanging="567"/>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B6D40B8"/>
    <w:multiLevelType w:val="hybridMultilevel"/>
    <w:tmpl w:val="220E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CF5B70"/>
    <w:multiLevelType w:val="hybridMultilevel"/>
    <w:tmpl w:val="5B32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393E71"/>
    <w:multiLevelType w:val="hybridMultilevel"/>
    <w:tmpl w:val="5E32F7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65649C"/>
    <w:multiLevelType w:val="hybridMultilevel"/>
    <w:tmpl w:val="1528D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E86706"/>
    <w:multiLevelType w:val="hybridMultilevel"/>
    <w:tmpl w:val="42D2F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A7161F4"/>
    <w:multiLevelType w:val="hybridMultilevel"/>
    <w:tmpl w:val="1D56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1DA3D61"/>
    <w:multiLevelType w:val="hybridMultilevel"/>
    <w:tmpl w:val="842E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9704B96"/>
    <w:multiLevelType w:val="hybridMultilevel"/>
    <w:tmpl w:val="46884B5A"/>
    <w:lvl w:ilvl="0" w:tplc="6604337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E386B43"/>
    <w:multiLevelType w:val="hybridMultilevel"/>
    <w:tmpl w:val="62F6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5"/>
  </w:num>
  <w:num w:numId="4">
    <w:abstractNumId w:val="1"/>
  </w:num>
  <w:num w:numId="5">
    <w:abstractNumId w:val="10"/>
  </w:num>
  <w:num w:numId="6">
    <w:abstractNumId w:val="4"/>
  </w:num>
  <w:num w:numId="7">
    <w:abstractNumId w:val="7"/>
  </w:num>
  <w:num w:numId="8">
    <w:abstractNumId w:val="17"/>
  </w:num>
  <w:num w:numId="9">
    <w:abstractNumId w:val="9"/>
  </w:num>
  <w:num w:numId="10">
    <w:abstractNumId w:val="8"/>
  </w:num>
  <w:num w:numId="11">
    <w:abstractNumId w:val="0"/>
  </w:num>
  <w:num w:numId="12">
    <w:abstractNumId w:val="12"/>
  </w:num>
  <w:num w:numId="13">
    <w:abstractNumId w:val="3"/>
  </w:num>
  <w:num w:numId="14">
    <w:abstractNumId w:val="6"/>
  </w:num>
  <w:num w:numId="15">
    <w:abstractNumId w:val="14"/>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BD"/>
    <w:rsid w:val="00026087"/>
    <w:rsid w:val="0002667E"/>
    <w:rsid w:val="000B2DE5"/>
    <w:rsid w:val="000B703B"/>
    <w:rsid w:val="000E369C"/>
    <w:rsid w:val="001133B2"/>
    <w:rsid w:val="001141C7"/>
    <w:rsid w:val="00133431"/>
    <w:rsid w:val="00134D1D"/>
    <w:rsid w:val="001447E2"/>
    <w:rsid w:val="001504C8"/>
    <w:rsid w:val="001516C2"/>
    <w:rsid w:val="00153261"/>
    <w:rsid w:val="00160DDD"/>
    <w:rsid w:val="00182FA1"/>
    <w:rsid w:val="001A4EFF"/>
    <w:rsid w:val="001B1867"/>
    <w:rsid w:val="001B58CF"/>
    <w:rsid w:val="001D7368"/>
    <w:rsid w:val="001E750E"/>
    <w:rsid w:val="00203935"/>
    <w:rsid w:val="00207E12"/>
    <w:rsid w:val="00210393"/>
    <w:rsid w:val="00234207"/>
    <w:rsid w:val="002436BD"/>
    <w:rsid w:val="00246723"/>
    <w:rsid w:val="00280704"/>
    <w:rsid w:val="00294D26"/>
    <w:rsid w:val="00296D2B"/>
    <w:rsid w:val="002A73BD"/>
    <w:rsid w:val="002F7092"/>
    <w:rsid w:val="00304C08"/>
    <w:rsid w:val="00322EBC"/>
    <w:rsid w:val="00333C85"/>
    <w:rsid w:val="003465FD"/>
    <w:rsid w:val="00351C82"/>
    <w:rsid w:val="00352982"/>
    <w:rsid w:val="00370575"/>
    <w:rsid w:val="003771F3"/>
    <w:rsid w:val="003C780E"/>
    <w:rsid w:val="003D5032"/>
    <w:rsid w:val="003F246A"/>
    <w:rsid w:val="00435ED5"/>
    <w:rsid w:val="00443A02"/>
    <w:rsid w:val="00445AC2"/>
    <w:rsid w:val="00450850"/>
    <w:rsid w:val="00457B08"/>
    <w:rsid w:val="004A3F02"/>
    <w:rsid w:val="004C3D07"/>
    <w:rsid w:val="004E6D61"/>
    <w:rsid w:val="004F09DF"/>
    <w:rsid w:val="004F4B36"/>
    <w:rsid w:val="0051565F"/>
    <w:rsid w:val="005170F9"/>
    <w:rsid w:val="00544BCB"/>
    <w:rsid w:val="005457E4"/>
    <w:rsid w:val="0056141D"/>
    <w:rsid w:val="00567401"/>
    <w:rsid w:val="00570116"/>
    <w:rsid w:val="00594FBC"/>
    <w:rsid w:val="005B0A95"/>
    <w:rsid w:val="005B1CDA"/>
    <w:rsid w:val="005D2AB6"/>
    <w:rsid w:val="005D7ACC"/>
    <w:rsid w:val="005E5910"/>
    <w:rsid w:val="00601C9E"/>
    <w:rsid w:val="006021F2"/>
    <w:rsid w:val="00607C17"/>
    <w:rsid w:val="00610A76"/>
    <w:rsid w:val="00622480"/>
    <w:rsid w:val="00647D58"/>
    <w:rsid w:val="00657678"/>
    <w:rsid w:val="00665533"/>
    <w:rsid w:val="00684F73"/>
    <w:rsid w:val="0068695E"/>
    <w:rsid w:val="006A29AF"/>
    <w:rsid w:val="006C2F24"/>
    <w:rsid w:val="006F6FEF"/>
    <w:rsid w:val="007031F4"/>
    <w:rsid w:val="00714B71"/>
    <w:rsid w:val="00716212"/>
    <w:rsid w:val="00724168"/>
    <w:rsid w:val="007368AD"/>
    <w:rsid w:val="00747AFF"/>
    <w:rsid w:val="007535FC"/>
    <w:rsid w:val="00785CDC"/>
    <w:rsid w:val="007A30FE"/>
    <w:rsid w:val="007C7C72"/>
    <w:rsid w:val="007D12A0"/>
    <w:rsid w:val="007E4B2A"/>
    <w:rsid w:val="007F4406"/>
    <w:rsid w:val="00822AE4"/>
    <w:rsid w:val="00830245"/>
    <w:rsid w:val="00830B7D"/>
    <w:rsid w:val="00835444"/>
    <w:rsid w:val="008431B3"/>
    <w:rsid w:val="00846AE9"/>
    <w:rsid w:val="008509E6"/>
    <w:rsid w:val="00876305"/>
    <w:rsid w:val="00885D18"/>
    <w:rsid w:val="008A5602"/>
    <w:rsid w:val="008B4518"/>
    <w:rsid w:val="009041F8"/>
    <w:rsid w:val="00910312"/>
    <w:rsid w:val="00924352"/>
    <w:rsid w:val="009262DE"/>
    <w:rsid w:val="00932EFA"/>
    <w:rsid w:val="00940F92"/>
    <w:rsid w:val="00950847"/>
    <w:rsid w:val="009531DE"/>
    <w:rsid w:val="0096030E"/>
    <w:rsid w:val="00961084"/>
    <w:rsid w:val="009725C5"/>
    <w:rsid w:val="009A5858"/>
    <w:rsid w:val="009B6DFC"/>
    <w:rsid w:val="009C1F5F"/>
    <w:rsid w:val="009C4A6E"/>
    <w:rsid w:val="009C5368"/>
    <w:rsid w:val="009C7E97"/>
    <w:rsid w:val="009E2BD3"/>
    <w:rsid w:val="009F4E29"/>
    <w:rsid w:val="00A01981"/>
    <w:rsid w:val="00A113D2"/>
    <w:rsid w:val="00A11EA8"/>
    <w:rsid w:val="00A17EC1"/>
    <w:rsid w:val="00A30170"/>
    <w:rsid w:val="00A4133B"/>
    <w:rsid w:val="00A47E64"/>
    <w:rsid w:val="00A63A2B"/>
    <w:rsid w:val="00A827B0"/>
    <w:rsid w:val="00A93DF9"/>
    <w:rsid w:val="00AC1F0F"/>
    <w:rsid w:val="00AC2517"/>
    <w:rsid w:val="00AC7A56"/>
    <w:rsid w:val="00AD3856"/>
    <w:rsid w:val="00AD4281"/>
    <w:rsid w:val="00AE098B"/>
    <w:rsid w:val="00AE5ADC"/>
    <w:rsid w:val="00AF15CC"/>
    <w:rsid w:val="00B04B20"/>
    <w:rsid w:val="00B246D7"/>
    <w:rsid w:val="00B33182"/>
    <w:rsid w:val="00B63685"/>
    <w:rsid w:val="00B64B2E"/>
    <w:rsid w:val="00B73BA0"/>
    <w:rsid w:val="00B9109D"/>
    <w:rsid w:val="00B935E1"/>
    <w:rsid w:val="00BA1922"/>
    <w:rsid w:val="00BA3C4F"/>
    <w:rsid w:val="00BB1678"/>
    <w:rsid w:val="00BB17AE"/>
    <w:rsid w:val="00BB1F58"/>
    <w:rsid w:val="00C23041"/>
    <w:rsid w:val="00C302FA"/>
    <w:rsid w:val="00C3432A"/>
    <w:rsid w:val="00C37326"/>
    <w:rsid w:val="00C37D19"/>
    <w:rsid w:val="00C42493"/>
    <w:rsid w:val="00C46FB7"/>
    <w:rsid w:val="00C61B21"/>
    <w:rsid w:val="00C67286"/>
    <w:rsid w:val="00C83F4B"/>
    <w:rsid w:val="00C86E3E"/>
    <w:rsid w:val="00C948AA"/>
    <w:rsid w:val="00CA1910"/>
    <w:rsid w:val="00CA3FED"/>
    <w:rsid w:val="00CA6CB3"/>
    <w:rsid w:val="00CB08BD"/>
    <w:rsid w:val="00CC4809"/>
    <w:rsid w:val="00CD1947"/>
    <w:rsid w:val="00CD74CC"/>
    <w:rsid w:val="00CF12DF"/>
    <w:rsid w:val="00CF5B83"/>
    <w:rsid w:val="00D12261"/>
    <w:rsid w:val="00D12D91"/>
    <w:rsid w:val="00D13A66"/>
    <w:rsid w:val="00D17B97"/>
    <w:rsid w:val="00D34991"/>
    <w:rsid w:val="00D443F3"/>
    <w:rsid w:val="00D61CEB"/>
    <w:rsid w:val="00D64906"/>
    <w:rsid w:val="00D64A92"/>
    <w:rsid w:val="00D65051"/>
    <w:rsid w:val="00DA1244"/>
    <w:rsid w:val="00DA205D"/>
    <w:rsid w:val="00DB47DB"/>
    <w:rsid w:val="00DC0E20"/>
    <w:rsid w:val="00DF524E"/>
    <w:rsid w:val="00E15497"/>
    <w:rsid w:val="00E16789"/>
    <w:rsid w:val="00E201A8"/>
    <w:rsid w:val="00E617B2"/>
    <w:rsid w:val="00E62122"/>
    <w:rsid w:val="00E644F0"/>
    <w:rsid w:val="00E7036E"/>
    <w:rsid w:val="00E72152"/>
    <w:rsid w:val="00E72DB8"/>
    <w:rsid w:val="00E7573F"/>
    <w:rsid w:val="00E90C89"/>
    <w:rsid w:val="00E94178"/>
    <w:rsid w:val="00E97988"/>
    <w:rsid w:val="00EB03E9"/>
    <w:rsid w:val="00EC0E16"/>
    <w:rsid w:val="00EC15DD"/>
    <w:rsid w:val="00EC1DFB"/>
    <w:rsid w:val="00EC4ABA"/>
    <w:rsid w:val="00EC5653"/>
    <w:rsid w:val="00ED2694"/>
    <w:rsid w:val="00ED65D6"/>
    <w:rsid w:val="00F00346"/>
    <w:rsid w:val="00F03176"/>
    <w:rsid w:val="00F15E43"/>
    <w:rsid w:val="00F378EB"/>
    <w:rsid w:val="00F41ADD"/>
    <w:rsid w:val="00F436BC"/>
    <w:rsid w:val="00F53159"/>
    <w:rsid w:val="00F53CDE"/>
    <w:rsid w:val="00F72D45"/>
    <w:rsid w:val="00F7706D"/>
    <w:rsid w:val="00F77830"/>
    <w:rsid w:val="00F8106A"/>
    <w:rsid w:val="00F94480"/>
    <w:rsid w:val="00F94C1B"/>
    <w:rsid w:val="00FA5345"/>
    <w:rsid w:val="00FC543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basedOn w:val="DefaultParagraphFont"/>
    <w:uiPriority w:val="99"/>
    <w:unhideWhenUsed/>
    <w:rsid w:val="002436BD"/>
    <w:rPr>
      <w:color w:val="0000FF"/>
      <w:u w:val="single"/>
    </w:rPr>
  </w:style>
  <w:style w:type="paragraph" w:styleId="ListParagraph">
    <w:name w:val="List Paragraph"/>
    <w:basedOn w:val="Normal"/>
    <w:uiPriority w:val="99"/>
    <w:qFormat/>
    <w:rsid w:val="002436BD"/>
    <w:pPr>
      <w:ind w:left="720"/>
    </w:pPr>
  </w:style>
  <w:style w:type="character" w:styleId="CommentReference">
    <w:name w:val="annotation reference"/>
    <w:basedOn w:val="DefaultParagraphFont"/>
    <w:unhideWhenUsed/>
    <w:rsid w:val="002436BD"/>
    <w:rPr>
      <w:sz w:val="16"/>
      <w:szCs w:val="16"/>
    </w:rPr>
  </w:style>
  <w:style w:type="paragraph" w:styleId="CommentText">
    <w:name w:val="annotation text"/>
    <w:basedOn w:val="Normal"/>
    <w:link w:val="CommentTextChar"/>
    <w:unhideWhenUsed/>
    <w:rsid w:val="002436BD"/>
    <w:rPr>
      <w:sz w:val="20"/>
    </w:rPr>
  </w:style>
  <w:style w:type="character" w:customStyle="1" w:styleId="CommentTextChar">
    <w:name w:val="Comment Text Char"/>
    <w:basedOn w:val="DefaultParagraphFont"/>
    <w:link w:val="CommentText"/>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basedOn w:val="CommentTextChar"/>
    <w:link w:val="CommentSubject"/>
    <w:uiPriority w:val="99"/>
    <w:semiHidden/>
    <w:rsid w:val="00B64B2E"/>
    <w:rPr>
      <w:rFonts w:ascii="Trebuchet MS" w:eastAsia="Times New Roman" w:hAnsi="Trebuchet MS" w:cs="Times New Roman"/>
      <w:b/>
      <w:bCs/>
      <w:sz w:val="20"/>
      <w:szCs w:val="20"/>
      <w:lang w:eastAsia="en-AU"/>
    </w:rPr>
  </w:style>
  <w:style w:type="character" w:styleId="Emphasis">
    <w:name w:val="Emphasis"/>
    <w:uiPriority w:val="20"/>
    <w:qFormat/>
    <w:rsid w:val="00280704"/>
    <w:rPr>
      <w:i/>
      <w:iCs/>
    </w:rPr>
  </w:style>
  <w:style w:type="paragraph" w:styleId="FootnoteText">
    <w:name w:val="footnote text"/>
    <w:basedOn w:val="Normal"/>
    <w:link w:val="FootnoteTextChar"/>
    <w:uiPriority w:val="99"/>
    <w:semiHidden/>
    <w:rsid w:val="00E617B2"/>
    <w:pPr>
      <w:jc w:val="both"/>
    </w:pPr>
    <w:rPr>
      <w:rFonts w:ascii="Times New Roman" w:hAnsi="Times New Roman"/>
      <w:sz w:val="20"/>
    </w:rPr>
  </w:style>
  <w:style w:type="character" w:customStyle="1" w:styleId="FootnoteTextChar">
    <w:name w:val="Footnote Text Char"/>
    <w:basedOn w:val="DefaultParagraphFont"/>
    <w:link w:val="FootnoteText"/>
    <w:uiPriority w:val="99"/>
    <w:semiHidden/>
    <w:rsid w:val="00E617B2"/>
    <w:rPr>
      <w:rFonts w:ascii="Times New Roman" w:eastAsia="Times New Roman" w:hAnsi="Times New Roman"/>
    </w:rPr>
  </w:style>
  <w:style w:type="character" w:styleId="FootnoteReference">
    <w:name w:val="footnote reference"/>
    <w:uiPriority w:val="99"/>
    <w:semiHidden/>
    <w:rsid w:val="00E617B2"/>
    <w:rPr>
      <w:rFonts w:cs="Times New Roman"/>
      <w:vertAlign w:val="superscript"/>
    </w:rPr>
  </w:style>
  <w:style w:type="paragraph" w:styleId="Revision">
    <w:name w:val="Revision"/>
    <w:hidden/>
    <w:uiPriority w:val="99"/>
    <w:semiHidden/>
    <w:rsid w:val="00950847"/>
    <w:rPr>
      <w:rFonts w:ascii="Trebuchet MS" w:eastAsia="Times New Roman" w:hAnsi="Trebuchet MS"/>
      <w:sz w:val="22"/>
    </w:rPr>
  </w:style>
  <w:style w:type="paragraph" w:styleId="BodyText">
    <w:name w:val="Body Text"/>
    <w:basedOn w:val="Normal"/>
    <w:link w:val="BodyTextChar"/>
    <w:rsid w:val="005B1CDA"/>
    <w:pPr>
      <w:spacing w:after="240"/>
    </w:pPr>
    <w:rPr>
      <w:rFonts w:ascii="Times New Roman" w:hAnsi="Times New Roman"/>
      <w:sz w:val="24"/>
    </w:rPr>
  </w:style>
  <w:style w:type="character" w:customStyle="1" w:styleId="BodyTextChar">
    <w:name w:val="Body Text Char"/>
    <w:basedOn w:val="DefaultParagraphFont"/>
    <w:link w:val="BodyText"/>
    <w:rsid w:val="005B1CDA"/>
    <w:rPr>
      <w:rFonts w:ascii="Times New Roman" w:eastAsia="Times New Roman" w:hAnsi="Times New Roman"/>
      <w:sz w:val="24"/>
    </w:rPr>
  </w:style>
  <w:style w:type="paragraph" w:styleId="Title">
    <w:name w:val="Title"/>
    <w:basedOn w:val="Normal"/>
    <w:link w:val="TitleChar"/>
    <w:qFormat/>
    <w:rsid w:val="005B1CDA"/>
    <w:pPr>
      <w:jc w:val="center"/>
    </w:pPr>
    <w:rPr>
      <w:rFonts w:ascii="Times New Roman" w:hAnsi="Times New Roman"/>
      <w:b/>
      <w:sz w:val="24"/>
      <w:lang w:val="en-US"/>
    </w:rPr>
  </w:style>
  <w:style w:type="character" w:customStyle="1" w:styleId="TitleChar">
    <w:name w:val="Title Char"/>
    <w:basedOn w:val="DefaultParagraphFont"/>
    <w:link w:val="Title"/>
    <w:rsid w:val="005B1CDA"/>
    <w:rPr>
      <w:rFonts w:ascii="Times New Roman" w:eastAsia="Times New Roman" w:hAnsi="Times New Roman"/>
      <w:b/>
      <w:sz w:val="24"/>
      <w:lang w:val="en-US"/>
    </w:rPr>
  </w:style>
  <w:style w:type="paragraph" w:styleId="Header">
    <w:name w:val="header"/>
    <w:basedOn w:val="Normal"/>
    <w:link w:val="HeaderChar"/>
    <w:uiPriority w:val="99"/>
    <w:unhideWhenUsed/>
    <w:rsid w:val="005B1CDA"/>
    <w:pPr>
      <w:tabs>
        <w:tab w:val="center" w:pos="4513"/>
        <w:tab w:val="right" w:pos="9026"/>
      </w:tabs>
    </w:pPr>
  </w:style>
  <w:style w:type="character" w:customStyle="1" w:styleId="HeaderChar">
    <w:name w:val="Header Char"/>
    <w:basedOn w:val="DefaultParagraphFont"/>
    <w:link w:val="Header"/>
    <w:uiPriority w:val="99"/>
    <w:rsid w:val="005B1CDA"/>
    <w:rPr>
      <w:rFonts w:ascii="Trebuchet MS" w:eastAsia="Times New Roman" w:hAnsi="Trebuchet MS"/>
      <w:sz w:val="22"/>
    </w:rPr>
  </w:style>
  <w:style w:type="paragraph" w:styleId="Footer">
    <w:name w:val="footer"/>
    <w:basedOn w:val="Normal"/>
    <w:link w:val="FooterChar"/>
    <w:uiPriority w:val="99"/>
    <w:unhideWhenUsed/>
    <w:rsid w:val="005B1CDA"/>
    <w:pPr>
      <w:tabs>
        <w:tab w:val="center" w:pos="4513"/>
        <w:tab w:val="right" w:pos="9026"/>
      </w:tabs>
    </w:pPr>
  </w:style>
  <w:style w:type="character" w:customStyle="1" w:styleId="FooterChar">
    <w:name w:val="Footer Char"/>
    <w:basedOn w:val="DefaultParagraphFont"/>
    <w:link w:val="Footer"/>
    <w:uiPriority w:val="99"/>
    <w:rsid w:val="005B1CDA"/>
    <w:rPr>
      <w:rFonts w:ascii="Trebuchet MS" w:eastAsia="Times New Roman" w:hAnsi="Trebuchet MS"/>
      <w:sz w:val="22"/>
    </w:rPr>
  </w:style>
  <w:style w:type="paragraph" w:customStyle="1" w:styleId="heading0">
    <w:name w:val="heading"/>
    <w:basedOn w:val="Normal"/>
    <w:rsid w:val="00F8106A"/>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basedOn w:val="DefaultParagraphFont"/>
    <w:uiPriority w:val="99"/>
    <w:unhideWhenUsed/>
    <w:rsid w:val="002436BD"/>
    <w:rPr>
      <w:color w:val="0000FF"/>
      <w:u w:val="single"/>
    </w:rPr>
  </w:style>
  <w:style w:type="paragraph" w:styleId="ListParagraph">
    <w:name w:val="List Paragraph"/>
    <w:basedOn w:val="Normal"/>
    <w:uiPriority w:val="99"/>
    <w:qFormat/>
    <w:rsid w:val="002436BD"/>
    <w:pPr>
      <w:ind w:left="720"/>
    </w:pPr>
  </w:style>
  <w:style w:type="character" w:styleId="CommentReference">
    <w:name w:val="annotation reference"/>
    <w:basedOn w:val="DefaultParagraphFont"/>
    <w:unhideWhenUsed/>
    <w:rsid w:val="002436BD"/>
    <w:rPr>
      <w:sz w:val="16"/>
      <w:szCs w:val="16"/>
    </w:rPr>
  </w:style>
  <w:style w:type="paragraph" w:styleId="CommentText">
    <w:name w:val="annotation text"/>
    <w:basedOn w:val="Normal"/>
    <w:link w:val="CommentTextChar"/>
    <w:unhideWhenUsed/>
    <w:rsid w:val="002436BD"/>
    <w:rPr>
      <w:sz w:val="20"/>
    </w:rPr>
  </w:style>
  <w:style w:type="character" w:customStyle="1" w:styleId="CommentTextChar">
    <w:name w:val="Comment Text Char"/>
    <w:basedOn w:val="DefaultParagraphFont"/>
    <w:link w:val="CommentText"/>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basedOn w:val="CommentTextChar"/>
    <w:link w:val="CommentSubject"/>
    <w:uiPriority w:val="99"/>
    <w:semiHidden/>
    <w:rsid w:val="00B64B2E"/>
    <w:rPr>
      <w:rFonts w:ascii="Trebuchet MS" w:eastAsia="Times New Roman" w:hAnsi="Trebuchet MS" w:cs="Times New Roman"/>
      <w:b/>
      <w:bCs/>
      <w:sz w:val="20"/>
      <w:szCs w:val="20"/>
      <w:lang w:eastAsia="en-AU"/>
    </w:rPr>
  </w:style>
  <w:style w:type="character" w:styleId="Emphasis">
    <w:name w:val="Emphasis"/>
    <w:uiPriority w:val="20"/>
    <w:qFormat/>
    <w:rsid w:val="00280704"/>
    <w:rPr>
      <w:i/>
      <w:iCs/>
    </w:rPr>
  </w:style>
  <w:style w:type="paragraph" w:styleId="FootnoteText">
    <w:name w:val="footnote text"/>
    <w:basedOn w:val="Normal"/>
    <w:link w:val="FootnoteTextChar"/>
    <w:uiPriority w:val="99"/>
    <w:semiHidden/>
    <w:rsid w:val="00E617B2"/>
    <w:pPr>
      <w:jc w:val="both"/>
    </w:pPr>
    <w:rPr>
      <w:rFonts w:ascii="Times New Roman" w:hAnsi="Times New Roman"/>
      <w:sz w:val="20"/>
    </w:rPr>
  </w:style>
  <w:style w:type="character" w:customStyle="1" w:styleId="FootnoteTextChar">
    <w:name w:val="Footnote Text Char"/>
    <w:basedOn w:val="DefaultParagraphFont"/>
    <w:link w:val="FootnoteText"/>
    <w:uiPriority w:val="99"/>
    <w:semiHidden/>
    <w:rsid w:val="00E617B2"/>
    <w:rPr>
      <w:rFonts w:ascii="Times New Roman" w:eastAsia="Times New Roman" w:hAnsi="Times New Roman"/>
    </w:rPr>
  </w:style>
  <w:style w:type="character" w:styleId="FootnoteReference">
    <w:name w:val="footnote reference"/>
    <w:uiPriority w:val="99"/>
    <w:semiHidden/>
    <w:rsid w:val="00E617B2"/>
    <w:rPr>
      <w:rFonts w:cs="Times New Roman"/>
      <w:vertAlign w:val="superscript"/>
    </w:rPr>
  </w:style>
  <w:style w:type="paragraph" w:styleId="Revision">
    <w:name w:val="Revision"/>
    <w:hidden/>
    <w:uiPriority w:val="99"/>
    <w:semiHidden/>
    <w:rsid w:val="00950847"/>
    <w:rPr>
      <w:rFonts w:ascii="Trebuchet MS" w:eastAsia="Times New Roman" w:hAnsi="Trebuchet MS"/>
      <w:sz w:val="22"/>
    </w:rPr>
  </w:style>
  <w:style w:type="paragraph" w:styleId="BodyText">
    <w:name w:val="Body Text"/>
    <w:basedOn w:val="Normal"/>
    <w:link w:val="BodyTextChar"/>
    <w:rsid w:val="005B1CDA"/>
    <w:pPr>
      <w:spacing w:after="240"/>
    </w:pPr>
    <w:rPr>
      <w:rFonts w:ascii="Times New Roman" w:hAnsi="Times New Roman"/>
      <w:sz w:val="24"/>
    </w:rPr>
  </w:style>
  <w:style w:type="character" w:customStyle="1" w:styleId="BodyTextChar">
    <w:name w:val="Body Text Char"/>
    <w:basedOn w:val="DefaultParagraphFont"/>
    <w:link w:val="BodyText"/>
    <w:rsid w:val="005B1CDA"/>
    <w:rPr>
      <w:rFonts w:ascii="Times New Roman" w:eastAsia="Times New Roman" w:hAnsi="Times New Roman"/>
      <w:sz w:val="24"/>
    </w:rPr>
  </w:style>
  <w:style w:type="paragraph" w:styleId="Title">
    <w:name w:val="Title"/>
    <w:basedOn w:val="Normal"/>
    <w:link w:val="TitleChar"/>
    <w:qFormat/>
    <w:rsid w:val="005B1CDA"/>
    <w:pPr>
      <w:jc w:val="center"/>
    </w:pPr>
    <w:rPr>
      <w:rFonts w:ascii="Times New Roman" w:hAnsi="Times New Roman"/>
      <w:b/>
      <w:sz w:val="24"/>
      <w:lang w:val="en-US"/>
    </w:rPr>
  </w:style>
  <w:style w:type="character" w:customStyle="1" w:styleId="TitleChar">
    <w:name w:val="Title Char"/>
    <w:basedOn w:val="DefaultParagraphFont"/>
    <w:link w:val="Title"/>
    <w:rsid w:val="005B1CDA"/>
    <w:rPr>
      <w:rFonts w:ascii="Times New Roman" w:eastAsia="Times New Roman" w:hAnsi="Times New Roman"/>
      <w:b/>
      <w:sz w:val="24"/>
      <w:lang w:val="en-US"/>
    </w:rPr>
  </w:style>
  <w:style w:type="paragraph" w:styleId="Header">
    <w:name w:val="header"/>
    <w:basedOn w:val="Normal"/>
    <w:link w:val="HeaderChar"/>
    <w:uiPriority w:val="99"/>
    <w:unhideWhenUsed/>
    <w:rsid w:val="005B1CDA"/>
    <w:pPr>
      <w:tabs>
        <w:tab w:val="center" w:pos="4513"/>
        <w:tab w:val="right" w:pos="9026"/>
      </w:tabs>
    </w:pPr>
  </w:style>
  <w:style w:type="character" w:customStyle="1" w:styleId="HeaderChar">
    <w:name w:val="Header Char"/>
    <w:basedOn w:val="DefaultParagraphFont"/>
    <w:link w:val="Header"/>
    <w:uiPriority w:val="99"/>
    <w:rsid w:val="005B1CDA"/>
    <w:rPr>
      <w:rFonts w:ascii="Trebuchet MS" w:eastAsia="Times New Roman" w:hAnsi="Trebuchet MS"/>
      <w:sz w:val="22"/>
    </w:rPr>
  </w:style>
  <w:style w:type="paragraph" w:styleId="Footer">
    <w:name w:val="footer"/>
    <w:basedOn w:val="Normal"/>
    <w:link w:val="FooterChar"/>
    <w:uiPriority w:val="99"/>
    <w:unhideWhenUsed/>
    <w:rsid w:val="005B1CDA"/>
    <w:pPr>
      <w:tabs>
        <w:tab w:val="center" w:pos="4513"/>
        <w:tab w:val="right" w:pos="9026"/>
      </w:tabs>
    </w:pPr>
  </w:style>
  <w:style w:type="character" w:customStyle="1" w:styleId="FooterChar">
    <w:name w:val="Footer Char"/>
    <w:basedOn w:val="DefaultParagraphFont"/>
    <w:link w:val="Footer"/>
    <w:uiPriority w:val="99"/>
    <w:rsid w:val="005B1CDA"/>
    <w:rPr>
      <w:rFonts w:ascii="Trebuchet MS" w:eastAsia="Times New Roman" w:hAnsi="Trebuchet MS"/>
      <w:sz w:val="22"/>
    </w:rPr>
  </w:style>
  <w:style w:type="paragraph" w:customStyle="1" w:styleId="heading0">
    <w:name w:val="heading"/>
    <w:basedOn w:val="Normal"/>
    <w:rsid w:val="00F8106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68119">
      <w:bodyDiv w:val="1"/>
      <w:marLeft w:val="0"/>
      <w:marRight w:val="0"/>
      <w:marTop w:val="0"/>
      <w:marBottom w:val="0"/>
      <w:divBdr>
        <w:top w:val="none" w:sz="0" w:space="0" w:color="auto"/>
        <w:left w:val="none" w:sz="0" w:space="0" w:color="auto"/>
        <w:bottom w:val="none" w:sz="0" w:space="0" w:color="auto"/>
        <w:right w:val="none" w:sz="0" w:space="0" w:color="auto"/>
      </w:divBdr>
    </w:div>
    <w:div w:id="1063288263">
      <w:bodyDiv w:val="1"/>
      <w:marLeft w:val="0"/>
      <w:marRight w:val="0"/>
      <w:marTop w:val="0"/>
      <w:marBottom w:val="0"/>
      <w:divBdr>
        <w:top w:val="none" w:sz="0" w:space="0" w:color="auto"/>
        <w:left w:val="none" w:sz="0" w:space="0" w:color="auto"/>
        <w:bottom w:val="none" w:sz="0" w:space="0" w:color="auto"/>
        <w:right w:val="none" w:sz="0" w:space="0" w:color="auto"/>
      </w:divBdr>
      <w:divsChild>
        <w:div w:id="2108038391">
          <w:marLeft w:val="0"/>
          <w:marRight w:val="0"/>
          <w:marTop w:val="0"/>
          <w:marBottom w:val="0"/>
          <w:divBdr>
            <w:top w:val="none" w:sz="0" w:space="0" w:color="auto"/>
            <w:left w:val="none" w:sz="0" w:space="0" w:color="auto"/>
            <w:bottom w:val="none" w:sz="0" w:space="0" w:color="auto"/>
            <w:right w:val="none" w:sz="0" w:space="0" w:color="auto"/>
          </w:divBdr>
          <w:divsChild>
            <w:div w:id="178541607">
              <w:marLeft w:val="0"/>
              <w:marRight w:val="0"/>
              <w:marTop w:val="0"/>
              <w:marBottom w:val="0"/>
              <w:divBdr>
                <w:top w:val="none" w:sz="0" w:space="0" w:color="auto"/>
                <w:left w:val="none" w:sz="0" w:space="0" w:color="auto"/>
                <w:bottom w:val="none" w:sz="0" w:space="0" w:color="auto"/>
                <w:right w:val="none" w:sz="0" w:space="0" w:color="auto"/>
              </w:divBdr>
              <w:divsChild>
                <w:div w:id="496727932">
                  <w:marLeft w:val="0"/>
                  <w:marRight w:val="0"/>
                  <w:marTop w:val="0"/>
                  <w:marBottom w:val="0"/>
                  <w:divBdr>
                    <w:top w:val="none" w:sz="0" w:space="0" w:color="auto"/>
                    <w:left w:val="none" w:sz="0" w:space="0" w:color="auto"/>
                    <w:bottom w:val="none" w:sz="0" w:space="0" w:color="auto"/>
                    <w:right w:val="none" w:sz="0" w:space="0" w:color="auto"/>
                  </w:divBdr>
                  <w:divsChild>
                    <w:div w:id="1750496762">
                      <w:marLeft w:val="0"/>
                      <w:marRight w:val="0"/>
                      <w:marTop w:val="0"/>
                      <w:marBottom w:val="0"/>
                      <w:divBdr>
                        <w:top w:val="none" w:sz="0" w:space="0" w:color="auto"/>
                        <w:left w:val="none" w:sz="0" w:space="0" w:color="auto"/>
                        <w:bottom w:val="none" w:sz="0" w:space="0" w:color="auto"/>
                        <w:right w:val="none" w:sz="0" w:space="0" w:color="auto"/>
                      </w:divBdr>
                      <w:divsChild>
                        <w:div w:id="338234285">
                          <w:marLeft w:val="0"/>
                          <w:marRight w:val="0"/>
                          <w:marTop w:val="0"/>
                          <w:marBottom w:val="0"/>
                          <w:divBdr>
                            <w:top w:val="single" w:sz="6" w:space="0" w:color="828282"/>
                            <w:left w:val="single" w:sz="6" w:space="0" w:color="828282"/>
                            <w:bottom w:val="single" w:sz="6" w:space="0" w:color="828282"/>
                            <w:right w:val="single" w:sz="6" w:space="0" w:color="828282"/>
                          </w:divBdr>
                          <w:divsChild>
                            <w:div w:id="1880584063">
                              <w:marLeft w:val="0"/>
                              <w:marRight w:val="0"/>
                              <w:marTop w:val="0"/>
                              <w:marBottom w:val="0"/>
                              <w:divBdr>
                                <w:top w:val="none" w:sz="0" w:space="0" w:color="auto"/>
                                <w:left w:val="none" w:sz="0" w:space="0" w:color="auto"/>
                                <w:bottom w:val="none" w:sz="0" w:space="0" w:color="auto"/>
                                <w:right w:val="none" w:sz="0" w:space="0" w:color="auto"/>
                              </w:divBdr>
                              <w:divsChild>
                                <w:div w:id="1922833506">
                                  <w:marLeft w:val="0"/>
                                  <w:marRight w:val="0"/>
                                  <w:marTop w:val="0"/>
                                  <w:marBottom w:val="0"/>
                                  <w:divBdr>
                                    <w:top w:val="none" w:sz="0" w:space="0" w:color="auto"/>
                                    <w:left w:val="none" w:sz="0" w:space="0" w:color="auto"/>
                                    <w:bottom w:val="none" w:sz="0" w:space="0" w:color="auto"/>
                                    <w:right w:val="none" w:sz="0" w:space="0" w:color="auto"/>
                                  </w:divBdr>
                                  <w:divsChild>
                                    <w:div w:id="332731455">
                                      <w:marLeft w:val="0"/>
                                      <w:marRight w:val="0"/>
                                      <w:marTop w:val="0"/>
                                      <w:marBottom w:val="0"/>
                                      <w:divBdr>
                                        <w:top w:val="none" w:sz="0" w:space="0" w:color="auto"/>
                                        <w:left w:val="none" w:sz="0" w:space="0" w:color="auto"/>
                                        <w:bottom w:val="none" w:sz="0" w:space="0" w:color="auto"/>
                                        <w:right w:val="none" w:sz="0" w:space="0" w:color="auto"/>
                                      </w:divBdr>
                                      <w:divsChild>
                                        <w:div w:id="1247422804">
                                          <w:marLeft w:val="0"/>
                                          <w:marRight w:val="0"/>
                                          <w:marTop w:val="0"/>
                                          <w:marBottom w:val="0"/>
                                          <w:divBdr>
                                            <w:top w:val="none" w:sz="0" w:space="0" w:color="auto"/>
                                            <w:left w:val="none" w:sz="0" w:space="0" w:color="auto"/>
                                            <w:bottom w:val="none" w:sz="0" w:space="0" w:color="auto"/>
                                            <w:right w:val="none" w:sz="0" w:space="0" w:color="auto"/>
                                          </w:divBdr>
                                          <w:divsChild>
                                            <w:div w:id="1829323389">
                                              <w:marLeft w:val="0"/>
                                              <w:marRight w:val="0"/>
                                              <w:marTop w:val="0"/>
                                              <w:marBottom w:val="0"/>
                                              <w:divBdr>
                                                <w:top w:val="none" w:sz="0" w:space="0" w:color="auto"/>
                                                <w:left w:val="none" w:sz="0" w:space="0" w:color="auto"/>
                                                <w:bottom w:val="none" w:sz="0" w:space="0" w:color="auto"/>
                                                <w:right w:val="none" w:sz="0" w:space="0" w:color="auto"/>
                                              </w:divBdr>
                                              <w:divsChild>
                                                <w:div w:id="8325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E68A7-10FE-434E-A8F6-33142F4C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1618</Words>
  <Characters>9229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dcsull</dc:creator>
  <cp:lastModifiedBy>Antonietta Michalis</cp:lastModifiedBy>
  <cp:revision>2</cp:revision>
  <cp:lastPrinted>2014-11-24T05:09:00Z</cp:lastPrinted>
  <dcterms:created xsi:type="dcterms:W3CDTF">2014-12-03T20:38:00Z</dcterms:created>
  <dcterms:modified xsi:type="dcterms:W3CDTF">2014-12-03T20:38:00Z</dcterms:modified>
</cp:coreProperties>
</file>