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66" w:rsidRPr="00FA448A" w:rsidRDefault="00497766" w:rsidP="009F3596">
      <w:pPr>
        <w:pStyle w:val="Default"/>
        <w:jc w:val="center"/>
      </w:pPr>
      <w:bookmarkStart w:id="0" w:name="_GoBack"/>
      <w:bookmarkEnd w:id="0"/>
      <w:r w:rsidRPr="00FA448A">
        <w:rPr>
          <w:b/>
          <w:bCs/>
        </w:rPr>
        <w:t xml:space="preserve">ASIC CLASS ORDER [CO </w:t>
      </w:r>
      <w:r w:rsidR="00726BDF" w:rsidRPr="00FA448A">
        <w:rPr>
          <w:b/>
          <w:bCs/>
        </w:rPr>
        <w:t>14/</w:t>
      </w:r>
      <w:r w:rsidR="00BB16A1">
        <w:rPr>
          <w:b/>
          <w:bCs/>
        </w:rPr>
        <w:t>1252</w:t>
      </w:r>
      <w:r w:rsidRPr="00FA448A">
        <w:rPr>
          <w:b/>
          <w:bCs/>
        </w:rPr>
        <w:t>]</w:t>
      </w:r>
    </w:p>
    <w:p w:rsidR="00497766" w:rsidRPr="00FA448A" w:rsidRDefault="00497766" w:rsidP="009F3596">
      <w:pPr>
        <w:pStyle w:val="Default"/>
        <w:jc w:val="center"/>
      </w:pPr>
      <w:r w:rsidRPr="00FA448A">
        <w:rPr>
          <w:b/>
          <w:bCs/>
        </w:rPr>
        <w:t>EXPLANATORY STATEMENT</w:t>
      </w:r>
    </w:p>
    <w:p w:rsidR="00497766" w:rsidRPr="00FA448A" w:rsidRDefault="00497766" w:rsidP="009F3596">
      <w:pPr>
        <w:pStyle w:val="Default"/>
        <w:jc w:val="center"/>
      </w:pPr>
      <w:r w:rsidRPr="00FA448A">
        <w:t>Prepared by the Australian Securities and Investments Commission</w:t>
      </w:r>
    </w:p>
    <w:p w:rsidR="00497766" w:rsidRPr="00FA448A" w:rsidRDefault="00497766" w:rsidP="009F3596">
      <w:pPr>
        <w:pStyle w:val="Default"/>
        <w:jc w:val="center"/>
      </w:pPr>
      <w:r w:rsidRPr="00FA448A">
        <w:rPr>
          <w:i/>
          <w:iCs/>
        </w:rPr>
        <w:t>Corporations Act 2001</w:t>
      </w:r>
    </w:p>
    <w:p w:rsidR="00497766" w:rsidRPr="00FA448A" w:rsidRDefault="00497766" w:rsidP="009F3596">
      <w:pPr>
        <w:spacing w:after="0" w:line="240" w:lineRule="auto"/>
        <w:rPr>
          <w:rFonts w:ascii="Times New Roman" w:hAnsi="Times New Roman" w:cs="Times New Roman"/>
          <w:sz w:val="24"/>
          <w:szCs w:val="24"/>
        </w:rPr>
      </w:pPr>
    </w:p>
    <w:p w:rsidR="00D26D89" w:rsidRPr="00FA448A" w:rsidRDefault="00497766" w:rsidP="009F3596">
      <w:pPr>
        <w:spacing w:after="0" w:line="240" w:lineRule="auto"/>
        <w:rPr>
          <w:rFonts w:ascii="Times New Roman" w:hAnsi="Times New Roman" w:cs="Times New Roman"/>
          <w:sz w:val="24"/>
          <w:szCs w:val="24"/>
        </w:rPr>
      </w:pPr>
      <w:r w:rsidRPr="00FA448A">
        <w:rPr>
          <w:rFonts w:ascii="Times New Roman" w:hAnsi="Times New Roman" w:cs="Times New Roman"/>
          <w:sz w:val="24"/>
          <w:szCs w:val="24"/>
        </w:rPr>
        <w:t>The Australian Securities and Investments Commission (</w:t>
      </w:r>
      <w:r w:rsidRPr="00FA448A">
        <w:rPr>
          <w:rFonts w:ascii="Times New Roman" w:hAnsi="Times New Roman" w:cs="Times New Roman"/>
          <w:b/>
          <w:bCs/>
          <w:i/>
          <w:iCs/>
          <w:sz w:val="24"/>
          <w:szCs w:val="24"/>
        </w:rPr>
        <w:t>ASIC</w:t>
      </w:r>
      <w:r w:rsidRPr="00FA448A">
        <w:rPr>
          <w:rFonts w:ascii="Times New Roman" w:hAnsi="Times New Roman" w:cs="Times New Roman"/>
          <w:sz w:val="24"/>
          <w:szCs w:val="24"/>
        </w:rPr>
        <w:t>) makes Class Order [CO </w:t>
      </w:r>
      <w:r w:rsidR="00230450" w:rsidRPr="00FA448A">
        <w:rPr>
          <w:rFonts w:ascii="Times New Roman" w:hAnsi="Times New Roman" w:cs="Times New Roman"/>
          <w:sz w:val="24"/>
          <w:szCs w:val="24"/>
        </w:rPr>
        <w:t>14</w:t>
      </w:r>
      <w:r w:rsidRPr="00FA448A">
        <w:rPr>
          <w:rFonts w:ascii="Times New Roman" w:hAnsi="Times New Roman" w:cs="Times New Roman"/>
          <w:sz w:val="24"/>
          <w:szCs w:val="24"/>
        </w:rPr>
        <w:t>/</w:t>
      </w:r>
      <w:r w:rsidR="009C1439" w:rsidRPr="00FA448A">
        <w:rPr>
          <w:rFonts w:ascii="Times New Roman" w:hAnsi="Times New Roman" w:cs="Times New Roman"/>
          <w:sz w:val="24"/>
          <w:szCs w:val="24"/>
        </w:rPr>
        <w:t xml:space="preserve"> </w:t>
      </w:r>
      <w:r w:rsidR="00BB16A1">
        <w:rPr>
          <w:rFonts w:ascii="Times New Roman" w:hAnsi="Times New Roman" w:cs="Times New Roman"/>
          <w:sz w:val="24"/>
          <w:szCs w:val="24"/>
        </w:rPr>
        <w:t>1252</w:t>
      </w:r>
      <w:r w:rsidRPr="00FA448A">
        <w:rPr>
          <w:rFonts w:ascii="Times New Roman" w:hAnsi="Times New Roman" w:cs="Times New Roman"/>
          <w:sz w:val="24"/>
          <w:szCs w:val="24"/>
        </w:rPr>
        <w:t xml:space="preserve">] </w:t>
      </w:r>
      <w:r w:rsidR="009F6C47" w:rsidRPr="00C458E7">
        <w:rPr>
          <w:rFonts w:ascii="Times New Roman" w:hAnsi="Times New Roman"/>
          <w:sz w:val="24"/>
          <w:szCs w:val="24"/>
          <w:lang w:val="en-US"/>
        </w:rPr>
        <w:t xml:space="preserve">under </w:t>
      </w:r>
      <w:r w:rsidR="007D6EFF">
        <w:rPr>
          <w:rFonts w:ascii="Times New Roman" w:hAnsi="Times New Roman"/>
          <w:sz w:val="24"/>
          <w:szCs w:val="24"/>
          <w:lang w:val="en-US"/>
        </w:rPr>
        <w:t>paragraph</w:t>
      </w:r>
      <w:r w:rsidR="007D6EFF" w:rsidRPr="00C458E7">
        <w:rPr>
          <w:rFonts w:ascii="Times New Roman" w:hAnsi="Times New Roman"/>
          <w:sz w:val="24"/>
          <w:szCs w:val="24"/>
          <w:lang w:val="en-US"/>
        </w:rPr>
        <w:t xml:space="preserve"> </w:t>
      </w:r>
      <w:r w:rsidR="009F6C47" w:rsidRPr="00C458E7">
        <w:rPr>
          <w:rFonts w:ascii="Times New Roman" w:hAnsi="Times New Roman"/>
          <w:sz w:val="24"/>
          <w:szCs w:val="24"/>
          <w:lang w:val="en-US"/>
        </w:rPr>
        <w:t xml:space="preserve">1020F(1)(c) of the </w:t>
      </w:r>
      <w:r w:rsidR="009F6C47" w:rsidRPr="00C458E7">
        <w:rPr>
          <w:rFonts w:ascii="Times New Roman" w:hAnsi="Times New Roman"/>
          <w:i/>
          <w:sz w:val="24"/>
          <w:szCs w:val="24"/>
          <w:lang w:val="en-US"/>
        </w:rPr>
        <w:t xml:space="preserve">Corporations Act 2001 </w:t>
      </w:r>
      <w:r w:rsidR="009F6C47" w:rsidRPr="00C458E7">
        <w:rPr>
          <w:rFonts w:ascii="Times New Roman" w:hAnsi="Times New Roman"/>
          <w:sz w:val="24"/>
          <w:szCs w:val="24"/>
          <w:lang w:val="en-US"/>
        </w:rPr>
        <w:t xml:space="preserve">(the </w:t>
      </w:r>
      <w:r w:rsidR="009F6C47" w:rsidRPr="00C458E7">
        <w:rPr>
          <w:rFonts w:ascii="Times New Roman" w:hAnsi="Times New Roman"/>
          <w:b/>
          <w:i/>
          <w:sz w:val="24"/>
          <w:szCs w:val="24"/>
          <w:lang w:val="en-US"/>
        </w:rPr>
        <w:t>Act</w:t>
      </w:r>
      <w:r w:rsidR="009F6C47" w:rsidRPr="00C458E7">
        <w:rPr>
          <w:rFonts w:ascii="Times New Roman" w:hAnsi="Times New Roman"/>
          <w:sz w:val="24"/>
          <w:szCs w:val="24"/>
          <w:lang w:val="en-US"/>
        </w:rPr>
        <w:t>).</w:t>
      </w:r>
    </w:p>
    <w:p w:rsidR="00A512CB" w:rsidRPr="00FA448A" w:rsidRDefault="00A512CB" w:rsidP="009F3596">
      <w:pPr>
        <w:spacing w:after="0" w:line="240" w:lineRule="auto"/>
        <w:rPr>
          <w:rFonts w:ascii="Times New Roman" w:hAnsi="Times New Roman" w:cs="Times New Roman"/>
          <w:sz w:val="24"/>
          <w:szCs w:val="24"/>
        </w:rPr>
      </w:pPr>
    </w:p>
    <w:p w:rsidR="009F6C47" w:rsidRPr="00FA448A" w:rsidRDefault="009F6C47" w:rsidP="009C1439">
      <w:pPr>
        <w:spacing w:after="0" w:line="240" w:lineRule="auto"/>
        <w:rPr>
          <w:rFonts w:ascii="Times New Roman" w:hAnsi="Times New Roman"/>
          <w:sz w:val="24"/>
          <w:szCs w:val="24"/>
        </w:rPr>
      </w:pPr>
      <w:r w:rsidRPr="00FA448A">
        <w:rPr>
          <w:rFonts w:ascii="Times New Roman" w:hAnsi="Times New Roman" w:cs="Times New Roman"/>
          <w:sz w:val="24"/>
          <w:szCs w:val="24"/>
        </w:rPr>
        <w:t>Paragraph 1020F(1)(c) of the Act provides that ASIC may declare that Part 7.9 of the Act applies in relation to a person or a financial product, or a class of persons or financial products, as if specified provisions were omitted, modified or varied as specified in the declaration.</w:t>
      </w:r>
    </w:p>
    <w:p w:rsidR="00A512CB" w:rsidRPr="00FA448A" w:rsidRDefault="00A512CB" w:rsidP="009F3596">
      <w:pPr>
        <w:spacing w:after="0" w:line="240" w:lineRule="auto"/>
        <w:rPr>
          <w:rFonts w:ascii="Times New Roman" w:hAnsi="Times New Roman" w:cs="Times New Roman"/>
          <w:sz w:val="24"/>
          <w:szCs w:val="24"/>
        </w:rPr>
      </w:pPr>
    </w:p>
    <w:p w:rsidR="00A512CB" w:rsidRPr="00FA448A" w:rsidRDefault="00A512CB" w:rsidP="009F3596">
      <w:pPr>
        <w:pStyle w:val="ListParagraph"/>
        <w:numPr>
          <w:ilvl w:val="0"/>
          <w:numId w:val="1"/>
        </w:numPr>
        <w:spacing w:after="0" w:line="240" w:lineRule="auto"/>
        <w:contextualSpacing w:val="0"/>
        <w:rPr>
          <w:rFonts w:ascii="Times New Roman" w:hAnsi="Times New Roman" w:cs="Times New Roman"/>
          <w:b/>
          <w:bCs/>
          <w:sz w:val="24"/>
          <w:szCs w:val="24"/>
        </w:rPr>
      </w:pPr>
      <w:r w:rsidRPr="00FA448A">
        <w:rPr>
          <w:rFonts w:ascii="Times New Roman" w:hAnsi="Times New Roman" w:cs="Times New Roman"/>
          <w:b/>
          <w:bCs/>
          <w:sz w:val="24"/>
          <w:szCs w:val="24"/>
        </w:rPr>
        <w:t>Background</w:t>
      </w:r>
    </w:p>
    <w:p w:rsidR="004A2209" w:rsidRPr="00FA448A" w:rsidRDefault="004A2209" w:rsidP="009F3596">
      <w:pPr>
        <w:spacing w:after="0" w:line="240" w:lineRule="auto"/>
        <w:rPr>
          <w:rFonts w:ascii="Times New Roman" w:hAnsi="Times New Roman" w:cs="Times New Roman"/>
          <w:bCs/>
          <w:sz w:val="24"/>
          <w:szCs w:val="24"/>
        </w:rPr>
      </w:pPr>
    </w:p>
    <w:p w:rsidR="005306D4" w:rsidRPr="00C458E7" w:rsidRDefault="007D6EFF" w:rsidP="009F6C47">
      <w:pPr>
        <w:spacing w:after="0" w:line="240" w:lineRule="auto"/>
        <w:rPr>
          <w:rFonts w:ascii="Times New Roman" w:hAnsi="Times New Roman"/>
          <w:sz w:val="24"/>
          <w:szCs w:val="24"/>
        </w:rPr>
      </w:pPr>
      <w:r>
        <w:rPr>
          <w:rFonts w:ascii="Times New Roman" w:hAnsi="Times New Roman" w:cs="Times New Roman"/>
          <w:bCs/>
          <w:sz w:val="24"/>
          <w:szCs w:val="24"/>
        </w:rPr>
        <w:t>Relevantly</w:t>
      </w:r>
      <w:r w:rsidR="008B2A88" w:rsidRPr="00FA448A">
        <w:rPr>
          <w:rFonts w:ascii="Times New Roman" w:hAnsi="Times New Roman" w:cs="Times New Roman"/>
          <w:bCs/>
          <w:sz w:val="24"/>
          <w:szCs w:val="24"/>
        </w:rPr>
        <w:t xml:space="preserve">, </w:t>
      </w:r>
      <w:r>
        <w:rPr>
          <w:rFonts w:ascii="Times New Roman" w:hAnsi="Times New Roman" w:cs="Times New Roman"/>
          <w:bCs/>
          <w:sz w:val="24"/>
          <w:szCs w:val="24"/>
        </w:rPr>
        <w:t>S</w:t>
      </w:r>
      <w:r w:rsidR="009F6C47" w:rsidRPr="00FA448A">
        <w:rPr>
          <w:rFonts w:ascii="Times New Roman" w:hAnsi="Times New Roman" w:cs="Times New Roman"/>
          <w:bCs/>
          <w:sz w:val="24"/>
          <w:szCs w:val="24"/>
        </w:rPr>
        <w:t xml:space="preserve">chedule 10 to the </w:t>
      </w:r>
      <w:r w:rsidR="009F6C47" w:rsidRPr="00D05D83">
        <w:rPr>
          <w:rFonts w:ascii="Times New Roman" w:hAnsi="Times New Roman" w:cs="Times New Roman"/>
          <w:bCs/>
          <w:i/>
          <w:sz w:val="24"/>
          <w:szCs w:val="24"/>
        </w:rPr>
        <w:t xml:space="preserve">Corporations Regulations </w:t>
      </w:r>
      <w:r w:rsidRPr="00D05D83">
        <w:rPr>
          <w:rFonts w:ascii="Times New Roman" w:hAnsi="Times New Roman" w:cs="Times New Roman"/>
          <w:bCs/>
          <w:i/>
          <w:sz w:val="24"/>
          <w:szCs w:val="24"/>
        </w:rPr>
        <w:t>2001</w:t>
      </w:r>
      <w:r>
        <w:rPr>
          <w:rFonts w:ascii="Times New Roman" w:hAnsi="Times New Roman" w:cs="Times New Roman"/>
          <w:bCs/>
          <w:sz w:val="24"/>
          <w:szCs w:val="24"/>
        </w:rPr>
        <w:t xml:space="preserve"> </w:t>
      </w:r>
      <w:r w:rsidR="009F6C47" w:rsidRPr="00FA448A">
        <w:rPr>
          <w:rFonts w:ascii="Times New Roman" w:hAnsi="Times New Roman" w:cs="Times New Roman"/>
          <w:bCs/>
          <w:sz w:val="24"/>
          <w:szCs w:val="24"/>
        </w:rPr>
        <w:t xml:space="preserve">(the </w:t>
      </w:r>
      <w:r>
        <w:rPr>
          <w:rFonts w:ascii="Times New Roman" w:hAnsi="Times New Roman" w:cs="Times New Roman"/>
          <w:b/>
          <w:bCs/>
          <w:i/>
          <w:sz w:val="24"/>
          <w:szCs w:val="24"/>
        </w:rPr>
        <w:t>R</w:t>
      </w:r>
      <w:r w:rsidR="009F6C47" w:rsidRPr="00D05D83">
        <w:rPr>
          <w:rFonts w:ascii="Times New Roman" w:hAnsi="Times New Roman" w:cs="Times New Roman"/>
          <w:b/>
          <w:bCs/>
          <w:i/>
          <w:sz w:val="24"/>
          <w:szCs w:val="24"/>
        </w:rPr>
        <w:t>egulations</w:t>
      </w:r>
      <w:r w:rsidR="009F6C47" w:rsidRPr="00FA448A">
        <w:rPr>
          <w:rFonts w:ascii="Times New Roman" w:hAnsi="Times New Roman" w:cs="Times New Roman"/>
          <w:bCs/>
          <w:sz w:val="24"/>
          <w:szCs w:val="24"/>
        </w:rPr>
        <w:t>)</w:t>
      </w:r>
      <w:r w:rsidR="003B46A0" w:rsidRPr="00FA448A">
        <w:rPr>
          <w:rFonts w:ascii="Times New Roman" w:hAnsi="Times New Roman" w:cs="Times New Roman"/>
          <w:bCs/>
          <w:sz w:val="24"/>
          <w:szCs w:val="24"/>
        </w:rPr>
        <w:t xml:space="preserve"> </w:t>
      </w:r>
      <w:r>
        <w:rPr>
          <w:rFonts w:ascii="Times New Roman" w:hAnsi="Times New Roman" w:cs="Times New Roman"/>
          <w:bCs/>
          <w:sz w:val="24"/>
          <w:szCs w:val="24"/>
        </w:rPr>
        <w:t>sets out requirements for the disclosure of</w:t>
      </w:r>
      <w:r w:rsidR="003B46A0" w:rsidRPr="00FA448A">
        <w:rPr>
          <w:rFonts w:ascii="Times New Roman" w:hAnsi="Times New Roman" w:cs="Times New Roman"/>
          <w:bCs/>
          <w:sz w:val="24"/>
          <w:szCs w:val="24"/>
        </w:rPr>
        <w:t xml:space="preserve"> fees and costs </w:t>
      </w:r>
      <w:r>
        <w:rPr>
          <w:rFonts w:ascii="Times New Roman" w:hAnsi="Times New Roman" w:cs="Times New Roman"/>
          <w:bCs/>
          <w:sz w:val="24"/>
          <w:szCs w:val="24"/>
        </w:rPr>
        <w:t>of</w:t>
      </w:r>
      <w:r w:rsidR="003B46A0" w:rsidRPr="00FA448A">
        <w:rPr>
          <w:rFonts w:ascii="Times New Roman" w:hAnsi="Times New Roman" w:cs="Times New Roman"/>
          <w:bCs/>
          <w:sz w:val="24"/>
          <w:szCs w:val="24"/>
        </w:rPr>
        <w:t xml:space="preserve"> superannuation and managed investment products </w:t>
      </w:r>
      <w:r>
        <w:rPr>
          <w:rFonts w:ascii="Times New Roman" w:hAnsi="Times New Roman" w:cs="Times New Roman"/>
          <w:bCs/>
          <w:sz w:val="24"/>
          <w:szCs w:val="24"/>
        </w:rPr>
        <w:t>in</w:t>
      </w:r>
      <w:r w:rsidR="003B46A0" w:rsidRPr="00FA448A">
        <w:rPr>
          <w:rFonts w:ascii="Times New Roman" w:hAnsi="Times New Roman" w:cs="Times New Roman"/>
          <w:bCs/>
          <w:sz w:val="24"/>
          <w:szCs w:val="24"/>
        </w:rPr>
        <w:t xml:space="preserve"> Product Disclosure Statement</w:t>
      </w:r>
      <w:r>
        <w:rPr>
          <w:rFonts w:ascii="Times New Roman" w:hAnsi="Times New Roman" w:cs="Times New Roman"/>
          <w:bCs/>
          <w:sz w:val="24"/>
          <w:szCs w:val="24"/>
        </w:rPr>
        <w:t>s</w:t>
      </w:r>
      <w:r w:rsidR="003B46A0" w:rsidRPr="00FA448A">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00BE5A20">
        <w:rPr>
          <w:rFonts w:ascii="Times New Roman" w:hAnsi="Times New Roman" w:cs="Times New Roman"/>
          <w:bCs/>
          <w:sz w:val="24"/>
          <w:szCs w:val="24"/>
        </w:rPr>
        <w:t xml:space="preserve">in </w:t>
      </w:r>
      <w:r>
        <w:rPr>
          <w:rFonts w:ascii="Times New Roman" w:hAnsi="Times New Roman" w:cs="Times New Roman"/>
          <w:bCs/>
          <w:sz w:val="24"/>
          <w:szCs w:val="24"/>
        </w:rPr>
        <w:t>periodic statements that must be given to members</w:t>
      </w:r>
      <w:r w:rsidR="003B46A0" w:rsidRPr="00FA448A">
        <w:rPr>
          <w:rFonts w:ascii="Times New Roman" w:hAnsi="Times New Roman" w:cs="Times New Roman"/>
          <w:bCs/>
          <w:sz w:val="24"/>
          <w:szCs w:val="24"/>
        </w:rPr>
        <w:t xml:space="preserve">. </w:t>
      </w:r>
      <w:r w:rsidR="00F8158B" w:rsidRPr="00FA448A">
        <w:rPr>
          <w:rFonts w:ascii="Times New Roman" w:hAnsi="Times New Roman" w:cs="Times New Roman"/>
          <w:bCs/>
          <w:sz w:val="24"/>
          <w:szCs w:val="24"/>
        </w:rPr>
        <w:t xml:space="preserve"> </w:t>
      </w:r>
    </w:p>
    <w:p w:rsidR="00740BF6" w:rsidRPr="00FA448A" w:rsidRDefault="00740BF6" w:rsidP="009D7460">
      <w:pPr>
        <w:spacing w:after="0" w:line="240" w:lineRule="auto"/>
        <w:rPr>
          <w:rFonts w:ascii="Times New Roman" w:hAnsi="Times New Roman" w:cs="Times New Roman"/>
          <w:b/>
          <w:sz w:val="24"/>
          <w:szCs w:val="24"/>
        </w:rPr>
      </w:pPr>
    </w:p>
    <w:p w:rsidR="00A512CB" w:rsidRPr="00FA448A" w:rsidRDefault="00A512CB" w:rsidP="009D7460">
      <w:pPr>
        <w:pStyle w:val="ListParagraph"/>
        <w:numPr>
          <w:ilvl w:val="0"/>
          <w:numId w:val="1"/>
        </w:numPr>
        <w:spacing w:after="0" w:line="240" w:lineRule="auto"/>
        <w:contextualSpacing w:val="0"/>
        <w:rPr>
          <w:rFonts w:ascii="Times New Roman" w:hAnsi="Times New Roman" w:cs="Times New Roman"/>
          <w:b/>
          <w:bCs/>
          <w:sz w:val="24"/>
          <w:szCs w:val="24"/>
        </w:rPr>
      </w:pPr>
      <w:r w:rsidRPr="00FA448A">
        <w:rPr>
          <w:rFonts w:ascii="Times New Roman" w:hAnsi="Times New Roman" w:cs="Times New Roman"/>
          <w:b/>
          <w:bCs/>
          <w:sz w:val="24"/>
          <w:szCs w:val="24"/>
        </w:rPr>
        <w:t>Purpose of this class order</w:t>
      </w:r>
    </w:p>
    <w:p w:rsidR="00C00CB1" w:rsidRPr="00C458E7" w:rsidRDefault="00C00CB1" w:rsidP="009D7460">
      <w:pPr>
        <w:pStyle w:val="Heading1"/>
        <w:spacing w:before="0" w:after="0" w:line="240" w:lineRule="auto"/>
        <w:jc w:val="both"/>
        <w:rPr>
          <w:rFonts w:ascii="Times New Roman" w:hAnsi="Times New Roman"/>
          <w:b w:val="0"/>
          <w:kern w:val="0"/>
          <w:sz w:val="24"/>
          <w:szCs w:val="24"/>
        </w:rPr>
      </w:pPr>
    </w:p>
    <w:p w:rsidR="00325B44" w:rsidRPr="003737B7" w:rsidRDefault="00C365A0" w:rsidP="00CC51BC">
      <w:pPr>
        <w:pStyle w:val="Heading1"/>
        <w:spacing w:before="0" w:after="0" w:line="240" w:lineRule="auto"/>
        <w:jc w:val="both"/>
        <w:rPr>
          <w:rFonts w:ascii="Times New Roman" w:hAnsi="Times New Roman"/>
          <w:sz w:val="24"/>
          <w:szCs w:val="24"/>
        </w:rPr>
      </w:pPr>
      <w:r w:rsidRPr="00C458E7">
        <w:rPr>
          <w:rFonts w:ascii="Times New Roman" w:hAnsi="Times New Roman"/>
          <w:b w:val="0"/>
          <w:kern w:val="0"/>
          <w:sz w:val="24"/>
          <w:szCs w:val="24"/>
        </w:rPr>
        <w:t xml:space="preserve">Since </w:t>
      </w:r>
      <w:r w:rsidR="00E245FB" w:rsidRPr="00C458E7">
        <w:rPr>
          <w:rFonts w:ascii="Times New Roman" w:hAnsi="Times New Roman"/>
          <w:b w:val="0"/>
          <w:kern w:val="0"/>
          <w:sz w:val="24"/>
          <w:szCs w:val="24"/>
        </w:rPr>
        <w:t xml:space="preserve">the introduction </w:t>
      </w:r>
      <w:r w:rsidR="007D6EFF">
        <w:rPr>
          <w:rFonts w:ascii="Times New Roman" w:hAnsi="Times New Roman"/>
          <w:b w:val="0"/>
          <w:kern w:val="0"/>
          <w:sz w:val="24"/>
          <w:szCs w:val="24"/>
        </w:rPr>
        <w:t xml:space="preserve">of Schedule 10 </w:t>
      </w:r>
      <w:r w:rsidR="003B46A0" w:rsidRPr="00C458E7">
        <w:rPr>
          <w:rFonts w:ascii="Times New Roman" w:hAnsi="Times New Roman"/>
          <w:b w:val="0"/>
          <w:kern w:val="0"/>
          <w:sz w:val="24"/>
          <w:szCs w:val="24"/>
        </w:rPr>
        <w:t>in 2005</w:t>
      </w:r>
      <w:r w:rsidR="003B46A0" w:rsidRPr="003737B7">
        <w:rPr>
          <w:rFonts w:ascii="Times New Roman" w:hAnsi="Times New Roman"/>
          <w:b w:val="0"/>
          <w:kern w:val="0"/>
          <w:sz w:val="24"/>
          <w:szCs w:val="24"/>
        </w:rPr>
        <w:t xml:space="preserve"> as a result of the enhanced fee disclosure law reform</w:t>
      </w:r>
      <w:r w:rsidR="0016735F" w:rsidRPr="003737B7">
        <w:rPr>
          <w:rFonts w:ascii="Times New Roman" w:hAnsi="Times New Roman"/>
          <w:b w:val="0"/>
          <w:kern w:val="0"/>
          <w:sz w:val="24"/>
          <w:szCs w:val="24"/>
        </w:rPr>
        <w:t>s,</w:t>
      </w:r>
      <w:r w:rsidR="003B46A0" w:rsidRPr="003737B7">
        <w:rPr>
          <w:rFonts w:ascii="Times New Roman" w:hAnsi="Times New Roman"/>
          <w:b w:val="0"/>
          <w:kern w:val="0"/>
          <w:sz w:val="24"/>
          <w:szCs w:val="24"/>
        </w:rPr>
        <w:t xml:space="preserve"> complexity of </w:t>
      </w:r>
      <w:r w:rsidR="00526EAA">
        <w:rPr>
          <w:rFonts w:ascii="Times New Roman" w:hAnsi="Times New Roman"/>
          <w:b w:val="0"/>
          <w:kern w:val="0"/>
          <w:sz w:val="24"/>
          <w:szCs w:val="24"/>
        </w:rPr>
        <w:t xml:space="preserve">superannuation and managed investment </w:t>
      </w:r>
      <w:r w:rsidR="003B46A0" w:rsidRPr="003737B7">
        <w:rPr>
          <w:rFonts w:ascii="Times New Roman" w:hAnsi="Times New Roman"/>
          <w:b w:val="0"/>
          <w:kern w:val="0"/>
          <w:sz w:val="24"/>
          <w:szCs w:val="24"/>
        </w:rPr>
        <w:t xml:space="preserve">products offered </w:t>
      </w:r>
      <w:r w:rsidR="00325B44" w:rsidRPr="003737B7">
        <w:rPr>
          <w:rFonts w:ascii="Times New Roman" w:hAnsi="Times New Roman"/>
          <w:b w:val="0"/>
          <w:kern w:val="0"/>
          <w:sz w:val="24"/>
          <w:szCs w:val="24"/>
        </w:rPr>
        <w:t>has increased</w:t>
      </w:r>
      <w:r w:rsidR="00F96D85">
        <w:rPr>
          <w:rFonts w:ascii="Times New Roman" w:hAnsi="Times New Roman"/>
          <w:b w:val="0"/>
          <w:kern w:val="0"/>
          <w:sz w:val="24"/>
          <w:szCs w:val="24"/>
        </w:rPr>
        <w:t>,</w:t>
      </w:r>
      <w:r w:rsidR="00526EAA">
        <w:rPr>
          <w:rFonts w:ascii="Times New Roman" w:hAnsi="Times New Roman"/>
          <w:b w:val="0"/>
          <w:kern w:val="0"/>
          <w:sz w:val="24"/>
          <w:szCs w:val="24"/>
        </w:rPr>
        <w:t xml:space="preserve"> in particular in relation to</w:t>
      </w:r>
      <w:r w:rsidR="00325B44" w:rsidRPr="003737B7">
        <w:rPr>
          <w:rFonts w:ascii="Times New Roman" w:hAnsi="Times New Roman"/>
          <w:b w:val="0"/>
          <w:kern w:val="0"/>
          <w:sz w:val="24"/>
          <w:szCs w:val="24"/>
        </w:rPr>
        <w:t xml:space="preserve"> investment and operational structures. </w:t>
      </w:r>
      <w:r w:rsidR="009B05BD" w:rsidRPr="003737B7">
        <w:rPr>
          <w:rFonts w:ascii="Times New Roman" w:hAnsi="Times New Roman"/>
          <w:b w:val="0"/>
          <w:sz w:val="24"/>
          <w:szCs w:val="24"/>
        </w:rPr>
        <w:t xml:space="preserve">In conjunction with increased complexity, industry </w:t>
      </w:r>
      <w:r w:rsidR="00325B44" w:rsidRPr="003737B7">
        <w:rPr>
          <w:rFonts w:ascii="Times New Roman" w:hAnsi="Times New Roman"/>
          <w:b w:val="0"/>
          <w:sz w:val="24"/>
          <w:szCs w:val="24"/>
        </w:rPr>
        <w:t>disclosure practices</w:t>
      </w:r>
      <w:r w:rsidR="0016735F" w:rsidRPr="003737B7">
        <w:rPr>
          <w:rFonts w:ascii="Times New Roman" w:hAnsi="Times New Roman"/>
          <w:b w:val="0"/>
          <w:sz w:val="24"/>
          <w:szCs w:val="24"/>
        </w:rPr>
        <w:t xml:space="preserve"> </w:t>
      </w:r>
      <w:r w:rsidR="00325B44" w:rsidRPr="003737B7">
        <w:rPr>
          <w:rFonts w:ascii="Times New Roman" w:hAnsi="Times New Roman"/>
          <w:b w:val="0"/>
          <w:sz w:val="24"/>
          <w:szCs w:val="24"/>
        </w:rPr>
        <w:t>have also evolved over the years that</w:t>
      </w:r>
      <w:r w:rsidR="00BB16A1">
        <w:rPr>
          <w:rFonts w:ascii="Times New Roman" w:hAnsi="Times New Roman"/>
          <w:b w:val="0"/>
          <w:sz w:val="24"/>
          <w:szCs w:val="24"/>
        </w:rPr>
        <w:t xml:space="preserve"> </w:t>
      </w:r>
      <w:r w:rsidR="00325B44" w:rsidRPr="003737B7">
        <w:rPr>
          <w:rFonts w:ascii="Times New Roman" w:hAnsi="Times New Roman"/>
          <w:b w:val="0"/>
          <w:sz w:val="24"/>
          <w:szCs w:val="24"/>
        </w:rPr>
        <w:t>lead to some under</w:t>
      </w:r>
      <w:r w:rsidR="009B05BD">
        <w:rPr>
          <w:rFonts w:ascii="Times New Roman" w:hAnsi="Times New Roman"/>
          <w:b w:val="0"/>
          <w:sz w:val="24"/>
          <w:szCs w:val="24"/>
        </w:rPr>
        <w:t>-</w:t>
      </w:r>
      <w:r w:rsidR="00325B44" w:rsidRPr="003737B7">
        <w:rPr>
          <w:rFonts w:ascii="Times New Roman" w:hAnsi="Times New Roman"/>
          <w:b w:val="0"/>
          <w:sz w:val="24"/>
          <w:szCs w:val="24"/>
        </w:rPr>
        <w:t>disclosure of fees and costs in some instances.</w:t>
      </w:r>
    </w:p>
    <w:p w:rsidR="00325B44" w:rsidRPr="00C458E7" w:rsidRDefault="00325B44" w:rsidP="00CC51BC">
      <w:pPr>
        <w:pStyle w:val="CommentText"/>
        <w:rPr>
          <w:sz w:val="24"/>
          <w:szCs w:val="24"/>
        </w:rPr>
      </w:pPr>
    </w:p>
    <w:p w:rsidR="00325B44" w:rsidRPr="00C458E7" w:rsidRDefault="00325B44" w:rsidP="00CC51BC">
      <w:pPr>
        <w:pStyle w:val="Heading1"/>
        <w:spacing w:before="0" w:after="0" w:line="240" w:lineRule="auto"/>
        <w:jc w:val="both"/>
        <w:rPr>
          <w:rFonts w:ascii="Times New Roman" w:hAnsi="Times New Roman"/>
          <w:sz w:val="24"/>
          <w:szCs w:val="24"/>
        </w:rPr>
      </w:pPr>
      <w:r w:rsidRPr="00FA448A">
        <w:rPr>
          <w:rFonts w:ascii="Times New Roman" w:hAnsi="Times New Roman"/>
          <w:b w:val="0"/>
          <w:kern w:val="0"/>
          <w:sz w:val="24"/>
          <w:szCs w:val="24"/>
        </w:rPr>
        <w:t xml:space="preserve">In 2013/14 ASIC undertook a review of industry fee and cost disclosure practices. A key finding of this review was that some industry participants were adopting various interpretations of </w:t>
      </w:r>
      <w:r w:rsidR="007D6EFF">
        <w:rPr>
          <w:rFonts w:ascii="Times New Roman" w:hAnsi="Times New Roman"/>
          <w:b w:val="0"/>
          <w:kern w:val="0"/>
          <w:sz w:val="24"/>
          <w:szCs w:val="24"/>
        </w:rPr>
        <w:t>Schedule 10</w:t>
      </w:r>
      <w:r w:rsidRPr="00FA448A">
        <w:rPr>
          <w:rFonts w:ascii="Times New Roman" w:hAnsi="Times New Roman"/>
          <w:b w:val="0"/>
          <w:kern w:val="0"/>
          <w:sz w:val="24"/>
          <w:szCs w:val="24"/>
        </w:rPr>
        <w:t xml:space="preserve">, in particular the interpretation of indirect costs for superannuation products and </w:t>
      </w:r>
      <w:r w:rsidR="009B05BD">
        <w:rPr>
          <w:rFonts w:ascii="Times New Roman" w:hAnsi="Times New Roman"/>
          <w:b w:val="0"/>
          <w:kern w:val="0"/>
          <w:sz w:val="24"/>
          <w:szCs w:val="24"/>
        </w:rPr>
        <w:t xml:space="preserve">of </w:t>
      </w:r>
      <w:r w:rsidRPr="00FA448A">
        <w:rPr>
          <w:rFonts w:ascii="Times New Roman" w:hAnsi="Times New Roman"/>
          <w:b w:val="0"/>
          <w:kern w:val="0"/>
          <w:sz w:val="24"/>
          <w:szCs w:val="24"/>
        </w:rPr>
        <w:t xml:space="preserve">management costs for managed investment products. </w:t>
      </w:r>
      <w:r w:rsidRPr="00C458E7">
        <w:rPr>
          <w:rFonts w:ascii="Times New Roman" w:hAnsi="Times New Roman"/>
          <w:b w:val="0"/>
          <w:kern w:val="0"/>
          <w:sz w:val="24"/>
          <w:szCs w:val="24"/>
        </w:rPr>
        <w:t>For example some products issuers have taken the view that the regulations do not require costs associated with investing through inter</w:t>
      </w:r>
      <w:r w:rsidRPr="003737B7">
        <w:rPr>
          <w:rFonts w:ascii="Times New Roman" w:hAnsi="Times New Roman"/>
          <w:b w:val="0"/>
          <w:kern w:val="0"/>
          <w:sz w:val="24"/>
          <w:szCs w:val="24"/>
        </w:rPr>
        <w:t xml:space="preserve">posed vehicles to be included in their product's indirect costs or management costs.  This is </w:t>
      </w:r>
      <w:r w:rsidR="009B05BD">
        <w:rPr>
          <w:rFonts w:ascii="Times New Roman" w:hAnsi="Times New Roman"/>
          <w:b w:val="0"/>
          <w:kern w:val="0"/>
          <w:sz w:val="24"/>
          <w:szCs w:val="24"/>
        </w:rPr>
        <w:t>despite</w:t>
      </w:r>
      <w:r w:rsidRPr="003737B7">
        <w:rPr>
          <w:rFonts w:ascii="Times New Roman" w:hAnsi="Times New Roman"/>
          <w:b w:val="0"/>
          <w:kern w:val="0"/>
          <w:sz w:val="24"/>
          <w:szCs w:val="24"/>
        </w:rPr>
        <w:t xml:space="preserve"> the </w:t>
      </w:r>
      <w:r w:rsidR="007D6EFF">
        <w:rPr>
          <w:rFonts w:ascii="Times New Roman" w:hAnsi="Times New Roman"/>
          <w:b w:val="0"/>
          <w:kern w:val="0"/>
          <w:sz w:val="24"/>
          <w:szCs w:val="24"/>
        </w:rPr>
        <w:t xml:space="preserve">stated </w:t>
      </w:r>
      <w:r w:rsidRPr="00C458E7">
        <w:rPr>
          <w:rFonts w:ascii="Times New Roman" w:hAnsi="Times New Roman"/>
          <w:b w:val="0"/>
          <w:kern w:val="0"/>
          <w:sz w:val="24"/>
          <w:szCs w:val="24"/>
        </w:rPr>
        <w:t xml:space="preserve">intention </w:t>
      </w:r>
      <w:r w:rsidR="007D6EFF">
        <w:rPr>
          <w:rFonts w:ascii="Times New Roman" w:hAnsi="Times New Roman"/>
          <w:b w:val="0"/>
          <w:kern w:val="0"/>
          <w:sz w:val="24"/>
          <w:szCs w:val="24"/>
        </w:rPr>
        <w:t>of the regulations as set out in</w:t>
      </w:r>
      <w:r w:rsidR="004C3B56" w:rsidRPr="00C458E7">
        <w:rPr>
          <w:rFonts w:ascii="Times New Roman" w:hAnsi="Times New Roman"/>
          <w:b w:val="0"/>
          <w:kern w:val="0"/>
          <w:sz w:val="24"/>
          <w:szCs w:val="24"/>
        </w:rPr>
        <w:t xml:space="preserve"> the </w:t>
      </w:r>
      <w:r w:rsidR="007D6EFF">
        <w:rPr>
          <w:rFonts w:ascii="Times New Roman" w:hAnsi="Times New Roman"/>
          <w:b w:val="0"/>
          <w:kern w:val="0"/>
          <w:sz w:val="24"/>
          <w:szCs w:val="24"/>
        </w:rPr>
        <w:t xml:space="preserve">relevant </w:t>
      </w:r>
      <w:r w:rsidR="004C3B56" w:rsidRPr="00C458E7">
        <w:rPr>
          <w:rFonts w:ascii="Times New Roman" w:hAnsi="Times New Roman"/>
          <w:b w:val="0"/>
          <w:kern w:val="0"/>
          <w:sz w:val="24"/>
          <w:szCs w:val="24"/>
        </w:rPr>
        <w:t xml:space="preserve">Explanatory Statement </w:t>
      </w:r>
      <w:r w:rsidRPr="00C458E7">
        <w:rPr>
          <w:rFonts w:ascii="Times New Roman" w:hAnsi="Times New Roman"/>
          <w:b w:val="0"/>
          <w:kern w:val="0"/>
          <w:sz w:val="24"/>
          <w:szCs w:val="24"/>
        </w:rPr>
        <w:t xml:space="preserve">to require these costs to be disclosed. </w:t>
      </w:r>
    </w:p>
    <w:p w:rsidR="00325B44" w:rsidRPr="00C458E7" w:rsidRDefault="00325B44" w:rsidP="00CC51BC">
      <w:pPr>
        <w:pStyle w:val="CommentText"/>
        <w:rPr>
          <w:sz w:val="24"/>
          <w:szCs w:val="24"/>
        </w:rPr>
      </w:pPr>
    </w:p>
    <w:p w:rsidR="009C1439" w:rsidRPr="003737B7" w:rsidRDefault="00325B44" w:rsidP="00CC51BC">
      <w:pPr>
        <w:pStyle w:val="Heading1"/>
        <w:spacing w:before="0" w:after="0" w:line="240" w:lineRule="auto"/>
        <w:jc w:val="both"/>
        <w:rPr>
          <w:rFonts w:ascii="Times New Roman" w:hAnsi="Times New Roman"/>
          <w:sz w:val="24"/>
          <w:szCs w:val="24"/>
        </w:rPr>
      </w:pPr>
      <w:r w:rsidRPr="00FA448A">
        <w:rPr>
          <w:rFonts w:ascii="Times New Roman" w:hAnsi="Times New Roman"/>
          <w:b w:val="0"/>
          <w:kern w:val="0"/>
          <w:sz w:val="24"/>
          <w:szCs w:val="24"/>
        </w:rPr>
        <w:t xml:space="preserve">Stronger Super reforms introduced from 1 July 2013 included a number of amendments to the regulations. Some of the amendments caused unintended inconsistencies in </w:t>
      </w:r>
      <w:r w:rsidR="009C1439" w:rsidRPr="00FA448A">
        <w:rPr>
          <w:rFonts w:ascii="Times New Roman" w:hAnsi="Times New Roman"/>
          <w:b w:val="0"/>
          <w:kern w:val="0"/>
          <w:sz w:val="24"/>
          <w:szCs w:val="24"/>
        </w:rPr>
        <w:t>terminology</w:t>
      </w:r>
      <w:r w:rsidRPr="00FA448A">
        <w:rPr>
          <w:rFonts w:ascii="Times New Roman" w:hAnsi="Times New Roman"/>
          <w:b w:val="0"/>
          <w:kern w:val="0"/>
          <w:sz w:val="24"/>
          <w:szCs w:val="24"/>
        </w:rPr>
        <w:t xml:space="preserve"> between </w:t>
      </w:r>
      <w:r w:rsidR="007D6EFF">
        <w:rPr>
          <w:rFonts w:ascii="Times New Roman" w:hAnsi="Times New Roman"/>
          <w:b w:val="0"/>
          <w:kern w:val="0"/>
          <w:sz w:val="24"/>
          <w:szCs w:val="24"/>
        </w:rPr>
        <w:t>Schedule 10</w:t>
      </w:r>
      <w:r w:rsidRPr="00FA448A">
        <w:rPr>
          <w:rFonts w:ascii="Times New Roman" w:hAnsi="Times New Roman"/>
          <w:b w:val="0"/>
          <w:kern w:val="0"/>
          <w:sz w:val="24"/>
          <w:szCs w:val="24"/>
        </w:rPr>
        <w:t xml:space="preserve"> and Schedule 10D and 10E to the </w:t>
      </w:r>
      <w:r w:rsidR="00FA448A" w:rsidRPr="00C458E7">
        <w:rPr>
          <w:rFonts w:ascii="Times New Roman" w:hAnsi="Times New Roman"/>
          <w:b w:val="0"/>
          <w:kern w:val="0"/>
          <w:sz w:val="24"/>
          <w:szCs w:val="24"/>
        </w:rPr>
        <w:t>R</w:t>
      </w:r>
      <w:r w:rsidRPr="00C458E7">
        <w:rPr>
          <w:rFonts w:ascii="Times New Roman" w:hAnsi="Times New Roman"/>
          <w:b w:val="0"/>
          <w:kern w:val="0"/>
          <w:sz w:val="24"/>
          <w:szCs w:val="24"/>
        </w:rPr>
        <w:t xml:space="preserve">egulations that apply to short form superannuation </w:t>
      </w:r>
      <w:r w:rsidR="007D6EFF">
        <w:rPr>
          <w:rFonts w:ascii="Times New Roman" w:hAnsi="Times New Roman"/>
          <w:b w:val="0"/>
          <w:kern w:val="0"/>
          <w:sz w:val="24"/>
          <w:szCs w:val="24"/>
        </w:rPr>
        <w:t>P</w:t>
      </w:r>
      <w:r w:rsidR="007D6EFF" w:rsidRPr="00C458E7">
        <w:rPr>
          <w:rFonts w:ascii="Times New Roman" w:hAnsi="Times New Roman"/>
          <w:b w:val="0"/>
          <w:kern w:val="0"/>
          <w:sz w:val="24"/>
          <w:szCs w:val="24"/>
        </w:rPr>
        <w:t xml:space="preserve">roduct </w:t>
      </w:r>
      <w:r w:rsidR="007D6EFF">
        <w:rPr>
          <w:rFonts w:ascii="Times New Roman" w:hAnsi="Times New Roman"/>
          <w:b w:val="0"/>
          <w:kern w:val="0"/>
          <w:sz w:val="24"/>
          <w:szCs w:val="24"/>
        </w:rPr>
        <w:t>D</w:t>
      </w:r>
      <w:r w:rsidR="007D6EFF" w:rsidRPr="00C458E7">
        <w:rPr>
          <w:rFonts w:ascii="Times New Roman" w:hAnsi="Times New Roman"/>
          <w:b w:val="0"/>
          <w:kern w:val="0"/>
          <w:sz w:val="24"/>
          <w:szCs w:val="24"/>
        </w:rPr>
        <w:t xml:space="preserve">isclosure </w:t>
      </w:r>
      <w:r w:rsidR="007D6EFF">
        <w:rPr>
          <w:rFonts w:ascii="Times New Roman" w:hAnsi="Times New Roman"/>
          <w:b w:val="0"/>
          <w:kern w:val="0"/>
          <w:sz w:val="24"/>
          <w:szCs w:val="24"/>
        </w:rPr>
        <w:t>S</w:t>
      </w:r>
      <w:r w:rsidR="007D6EFF" w:rsidRPr="00C458E7">
        <w:rPr>
          <w:rFonts w:ascii="Times New Roman" w:hAnsi="Times New Roman"/>
          <w:b w:val="0"/>
          <w:kern w:val="0"/>
          <w:sz w:val="24"/>
          <w:szCs w:val="24"/>
        </w:rPr>
        <w:t>tatement</w:t>
      </w:r>
      <w:r w:rsidR="007D6EFF">
        <w:rPr>
          <w:rFonts w:ascii="Times New Roman" w:hAnsi="Times New Roman"/>
          <w:b w:val="0"/>
          <w:kern w:val="0"/>
          <w:sz w:val="24"/>
          <w:szCs w:val="24"/>
        </w:rPr>
        <w:t>s</w:t>
      </w:r>
      <w:r w:rsidR="007D6EFF" w:rsidRPr="00C458E7">
        <w:rPr>
          <w:rFonts w:ascii="Times New Roman" w:hAnsi="Times New Roman"/>
          <w:b w:val="0"/>
          <w:kern w:val="0"/>
          <w:sz w:val="24"/>
          <w:szCs w:val="24"/>
        </w:rPr>
        <w:t xml:space="preserve"> </w:t>
      </w:r>
      <w:r w:rsidRPr="00C458E7">
        <w:rPr>
          <w:rFonts w:ascii="Times New Roman" w:hAnsi="Times New Roman"/>
          <w:b w:val="0"/>
          <w:kern w:val="0"/>
          <w:sz w:val="24"/>
          <w:szCs w:val="24"/>
        </w:rPr>
        <w:t xml:space="preserve">and managed investment </w:t>
      </w:r>
      <w:r w:rsidR="007D6EFF">
        <w:rPr>
          <w:rFonts w:ascii="Times New Roman" w:hAnsi="Times New Roman"/>
          <w:b w:val="0"/>
          <w:kern w:val="0"/>
          <w:sz w:val="24"/>
          <w:szCs w:val="24"/>
        </w:rPr>
        <w:t>P</w:t>
      </w:r>
      <w:r w:rsidR="007D6EFF" w:rsidRPr="00C458E7">
        <w:rPr>
          <w:rFonts w:ascii="Times New Roman" w:hAnsi="Times New Roman"/>
          <w:b w:val="0"/>
          <w:kern w:val="0"/>
          <w:sz w:val="24"/>
          <w:szCs w:val="24"/>
        </w:rPr>
        <w:t xml:space="preserve">roduct </w:t>
      </w:r>
      <w:r w:rsidR="007D6EFF">
        <w:rPr>
          <w:rFonts w:ascii="Times New Roman" w:hAnsi="Times New Roman"/>
          <w:b w:val="0"/>
          <w:kern w:val="0"/>
          <w:sz w:val="24"/>
          <w:szCs w:val="24"/>
        </w:rPr>
        <w:t>D</w:t>
      </w:r>
      <w:r w:rsidR="007D6EFF" w:rsidRPr="00C458E7">
        <w:rPr>
          <w:rFonts w:ascii="Times New Roman" w:hAnsi="Times New Roman"/>
          <w:b w:val="0"/>
          <w:kern w:val="0"/>
          <w:sz w:val="24"/>
          <w:szCs w:val="24"/>
        </w:rPr>
        <w:t xml:space="preserve">isclosure </w:t>
      </w:r>
      <w:r w:rsidR="007D6EFF">
        <w:rPr>
          <w:rFonts w:ascii="Times New Roman" w:hAnsi="Times New Roman"/>
          <w:b w:val="0"/>
          <w:kern w:val="0"/>
          <w:sz w:val="24"/>
          <w:szCs w:val="24"/>
        </w:rPr>
        <w:t>St</w:t>
      </w:r>
      <w:r w:rsidR="007D6EFF" w:rsidRPr="00C458E7">
        <w:rPr>
          <w:rFonts w:ascii="Times New Roman" w:hAnsi="Times New Roman"/>
          <w:b w:val="0"/>
          <w:kern w:val="0"/>
          <w:sz w:val="24"/>
          <w:szCs w:val="24"/>
        </w:rPr>
        <w:t xml:space="preserve">atement </w:t>
      </w:r>
      <w:r w:rsidRPr="00C458E7">
        <w:rPr>
          <w:rFonts w:ascii="Times New Roman" w:hAnsi="Times New Roman"/>
          <w:b w:val="0"/>
          <w:kern w:val="0"/>
          <w:sz w:val="24"/>
          <w:szCs w:val="24"/>
        </w:rPr>
        <w:t xml:space="preserve">respectively. The Stronger Super reforms also </w:t>
      </w:r>
      <w:r w:rsidR="009C1439" w:rsidRPr="00C458E7">
        <w:rPr>
          <w:rFonts w:ascii="Times New Roman" w:hAnsi="Times New Roman"/>
          <w:b w:val="0"/>
          <w:kern w:val="0"/>
          <w:sz w:val="24"/>
          <w:szCs w:val="24"/>
        </w:rPr>
        <w:t xml:space="preserve">included some minor drafting anomalies that </w:t>
      </w:r>
      <w:r w:rsidR="008F69C2">
        <w:rPr>
          <w:rFonts w:ascii="Times New Roman" w:hAnsi="Times New Roman"/>
          <w:b w:val="0"/>
          <w:kern w:val="0"/>
          <w:sz w:val="24"/>
          <w:szCs w:val="24"/>
        </w:rPr>
        <w:t>could be interpreted in a way that does</w:t>
      </w:r>
      <w:r w:rsidR="008F69C2" w:rsidRPr="00C458E7">
        <w:rPr>
          <w:rFonts w:ascii="Times New Roman" w:hAnsi="Times New Roman"/>
          <w:b w:val="0"/>
          <w:kern w:val="0"/>
          <w:sz w:val="24"/>
          <w:szCs w:val="24"/>
        </w:rPr>
        <w:t xml:space="preserve"> </w:t>
      </w:r>
      <w:r w:rsidR="009C1439" w:rsidRPr="00C458E7">
        <w:rPr>
          <w:rFonts w:ascii="Times New Roman" w:hAnsi="Times New Roman"/>
          <w:b w:val="0"/>
          <w:kern w:val="0"/>
          <w:sz w:val="24"/>
          <w:szCs w:val="24"/>
        </w:rPr>
        <w:t xml:space="preserve">not reflect the intention </w:t>
      </w:r>
      <w:r w:rsidR="00526EAA">
        <w:rPr>
          <w:rFonts w:ascii="Times New Roman" w:hAnsi="Times New Roman"/>
          <w:b w:val="0"/>
          <w:kern w:val="0"/>
          <w:sz w:val="24"/>
          <w:szCs w:val="24"/>
        </w:rPr>
        <w:t>with which they were made</w:t>
      </w:r>
      <w:r w:rsidR="009C1439" w:rsidRPr="003737B7">
        <w:rPr>
          <w:rFonts w:ascii="Times New Roman" w:hAnsi="Times New Roman"/>
          <w:b w:val="0"/>
          <w:kern w:val="0"/>
          <w:sz w:val="24"/>
          <w:szCs w:val="24"/>
        </w:rPr>
        <w:t xml:space="preserve">. </w:t>
      </w:r>
    </w:p>
    <w:p w:rsidR="009C1439" w:rsidRPr="003737B7" w:rsidRDefault="009C1439" w:rsidP="00CC51BC">
      <w:pPr>
        <w:pStyle w:val="Heading1"/>
        <w:spacing w:before="0" w:after="0" w:line="240" w:lineRule="auto"/>
        <w:jc w:val="both"/>
        <w:rPr>
          <w:rFonts w:ascii="Times New Roman" w:hAnsi="Times New Roman"/>
          <w:sz w:val="24"/>
          <w:szCs w:val="24"/>
        </w:rPr>
      </w:pPr>
    </w:p>
    <w:p w:rsidR="00325B44" w:rsidRDefault="00325B44" w:rsidP="00CC51BC">
      <w:pPr>
        <w:pStyle w:val="Heading1"/>
        <w:spacing w:before="0" w:after="0" w:line="240" w:lineRule="auto"/>
        <w:jc w:val="both"/>
        <w:rPr>
          <w:rFonts w:ascii="Times New Roman" w:hAnsi="Times New Roman"/>
          <w:b w:val="0"/>
          <w:kern w:val="0"/>
          <w:sz w:val="24"/>
          <w:szCs w:val="24"/>
        </w:rPr>
      </w:pPr>
      <w:r w:rsidRPr="003737B7">
        <w:rPr>
          <w:rFonts w:ascii="Times New Roman" w:hAnsi="Times New Roman"/>
          <w:b w:val="0"/>
          <w:kern w:val="0"/>
          <w:sz w:val="24"/>
          <w:szCs w:val="24"/>
        </w:rPr>
        <w:t>The purpose of this class order is to revise some of the definit</w:t>
      </w:r>
      <w:r w:rsidR="009C1439" w:rsidRPr="003737B7">
        <w:rPr>
          <w:rFonts w:ascii="Times New Roman" w:hAnsi="Times New Roman"/>
          <w:b w:val="0"/>
          <w:kern w:val="0"/>
          <w:sz w:val="24"/>
          <w:szCs w:val="24"/>
        </w:rPr>
        <w:t>ions, including the indirect cost and management cost definitions</w:t>
      </w:r>
      <w:r w:rsidR="009B05BD">
        <w:rPr>
          <w:rFonts w:ascii="Times New Roman" w:hAnsi="Times New Roman"/>
          <w:b w:val="0"/>
          <w:kern w:val="0"/>
          <w:sz w:val="24"/>
          <w:szCs w:val="24"/>
        </w:rPr>
        <w:t xml:space="preserve"> and</w:t>
      </w:r>
      <w:r w:rsidR="009B05BD" w:rsidRPr="003737B7">
        <w:rPr>
          <w:rFonts w:ascii="Times New Roman" w:hAnsi="Times New Roman"/>
          <w:b w:val="0"/>
          <w:kern w:val="0"/>
          <w:sz w:val="24"/>
          <w:szCs w:val="24"/>
        </w:rPr>
        <w:t xml:space="preserve"> </w:t>
      </w:r>
      <w:r w:rsidR="009C1439" w:rsidRPr="003737B7">
        <w:rPr>
          <w:rFonts w:ascii="Times New Roman" w:hAnsi="Times New Roman"/>
          <w:b w:val="0"/>
          <w:kern w:val="0"/>
          <w:sz w:val="24"/>
          <w:szCs w:val="24"/>
        </w:rPr>
        <w:t>to clarify the costs that must be disclosed</w:t>
      </w:r>
      <w:r w:rsidR="00526EAA">
        <w:rPr>
          <w:rFonts w:ascii="Times New Roman" w:hAnsi="Times New Roman"/>
          <w:b w:val="0"/>
          <w:kern w:val="0"/>
          <w:sz w:val="24"/>
          <w:szCs w:val="24"/>
        </w:rPr>
        <w:t xml:space="preserve"> consistently with the intended effect of Schedule 10</w:t>
      </w:r>
      <w:r w:rsidR="00722CFD">
        <w:rPr>
          <w:rFonts w:ascii="Times New Roman" w:hAnsi="Times New Roman"/>
          <w:b w:val="0"/>
          <w:kern w:val="0"/>
          <w:sz w:val="24"/>
          <w:szCs w:val="24"/>
        </w:rPr>
        <w:t xml:space="preserve"> to the Regulations</w:t>
      </w:r>
      <w:r w:rsidR="009C1439" w:rsidRPr="003737B7">
        <w:rPr>
          <w:rFonts w:ascii="Times New Roman" w:hAnsi="Times New Roman"/>
          <w:b w:val="0"/>
          <w:kern w:val="0"/>
          <w:sz w:val="24"/>
          <w:szCs w:val="24"/>
        </w:rPr>
        <w:t xml:space="preserve">. The class order also addresses </w:t>
      </w:r>
      <w:r w:rsidR="009C1439" w:rsidRPr="003737B7">
        <w:rPr>
          <w:rFonts w:ascii="Times New Roman" w:hAnsi="Times New Roman"/>
          <w:b w:val="0"/>
          <w:kern w:val="0"/>
          <w:sz w:val="24"/>
          <w:szCs w:val="24"/>
        </w:rPr>
        <w:lastRenderedPageBreak/>
        <w:t>some</w:t>
      </w:r>
      <w:r w:rsidR="008F69C2">
        <w:rPr>
          <w:rFonts w:ascii="Times New Roman" w:hAnsi="Times New Roman"/>
          <w:b w:val="0"/>
          <w:kern w:val="0"/>
          <w:sz w:val="24"/>
          <w:szCs w:val="24"/>
        </w:rPr>
        <w:t xml:space="preserve"> provisions that could be interpreted in an anomalous way</w:t>
      </w:r>
      <w:r w:rsidR="009C1439" w:rsidRPr="003737B7">
        <w:rPr>
          <w:rFonts w:ascii="Times New Roman" w:hAnsi="Times New Roman"/>
          <w:b w:val="0"/>
          <w:kern w:val="0"/>
          <w:sz w:val="24"/>
          <w:szCs w:val="24"/>
        </w:rPr>
        <w:t xml:space="preserve"> </w:t>
      </w:r>
      <w:r w:rsidR="008F69C2">
        <w:rPr>
          <w:rFonts w:ascii="Times New Roman" w:hAnsi="Times New Roman"/>
          <w:b w:val="0"/>
          <w:kern w:val="0"/>
          <w:sz w:val="24"/>
          <w:szCs w:val="24"/>
        </w:rPr>
        <w:t>that were included in the Regulations</w:t>
      </w:r>
      <w:r w:rsidR="009C1439" w:rsidRPr="003737B7">
        <w:rPr>
          <w:rFonts w:ascii="Times New Roman" w:hAnsi="Times New Roman"/>
          <w:b w:val="0"/>
          <w:kern w:val="0"/>
          <w:sz w:val="24"/>
          <w:szCs w:val="24"/>
        </w:rPr>
        <w:t xml:space="preserve"> as part of the Stronger Super reforms. </w:t>
      </w:r>
      <w:r w:rsidR="00BB16A1">
        <w:rPr>
          <w:rFonts w:ascii="Times New Roman" w:hAnsi="Times New Roman"/>
          <w:b w:val="0"/>
          <w:kern w:val="0"/>
          <w:sz w:val="24"/>
          <w:szCs w:val="24"/>
        </w:rPr>
        <w:t>For example, one interpretation of the regulations was that</w:t>
      </w:r>
      <w:r w:rsidR="00CA3903">
        <w:rPr>
          <w:rFonts w:ascii="Times New Roman" w:hAnsi="Times New Roman"/>
          <w:b w:val="0"/>
          <w:kern w:val="0"/>
          <w:sz w:val="24"/>
          <w:szCs w:val="24"/>
        </w:rPr>
        <w:t>,</w:t>
      </w:r>
      <w:r w:rsidR="00BB16A1">
        <w:rPr>
          <w:rFonts w:ascii="Times New Roman" w:hAnsi="Times New Roman"/>
          <w:b w:val="0"/>
          <w:kern w:val="0"/>
          <w:sz w:val="24"/>
          <w:szCs w:val="24"/>
        </w:rPr>
        <w:t xml:space="preserve"> prior to being amended by this class order,</w:t>
      </w:r>
      <w:r w:rsidR="00CA3903">
        <w:rPr>
          <w:rFonts w:ascii="Times New Roman" w:hAnsi="Times New Roman"/>
          <w:b w:val="0"/>
          <w:kern w:val="0"/>
          <w:sz w:val="24"/>
          <w:szCs w:val="24"/>
        </w:rPr>
        <w:t xml:space="preserve"> they</w:t>
      </w:r>
      <w:r w:rsidR="00BB16A1">
        <w:rPr>
          <w:rFonts w:ascii="Times New Roman" w:hAnsi="Times New Roman"/>
          <w:b w:val="0"/>
          <w:kern w:val="0"/>
          <w:sz w:val="24"/>
          <w:szCs w:val="24"/>
        </w:rPr>
        <w:t xml:space="preserve"> required trustees to double count some costs</w:t>
      </w:r>
      <w:r w:rsidR="00CA3903">
        <w:rPr>
          <w:rFonts w:ascii="Times New Roman" w:hAnsi="Times New Roman"/>
          <w:b w:val="0"/>
          <w:kern w:val="0"/>
          <w:sz w:val="24"/>
          <w:szCs w:val="24"/>
        </w:rPr>
        <w:t xml:space="preserve"> in some circumstances</w:t>
      </w:r>
      <w:r w:rsidR="00BB16A1">
        <w:rPr>
          <w:rFonts w:ascii="Times New Roman" w:hAnsi="Times New Roman"/>
          <w:b w:val="0"/>
          <w:kern w:val="0"/>
          <w:sz w:val="24"/>
          <w:szCs w:val="24"/>
        </w:rPr>
        <w:t>.</w:t>
      </w:r>
    </w:p>
    <w:p w:rsidR="00AA172A" w:rsidRDefault="00AA172A" w:rsidP="00CB456E">
      <w:pPr>
        <w:pStyle w:val="CommentText"/>
      </w:pPr>
    </w:p>
    <w:p w:rsidR="00AA172A" w:rsidRPr="00CB456E" w:rsidRDefault="00AA172A" w:rsidP="00A336DB">
      <w:pPr>
        <w:pStyle w:val="Heading1"/>
        <w:spacing w:before="0" w:after="0" w:line="240" w:lineRule="auto"/>
        <w:jc w:val="both"/>
        <w:rPr>
          <w:rFonts w:ascii="Times New Roman" w:hAnsi="Times New Roman"/>
          <w:b w:val="0"/>
          <w:kern w:val="0"/>
          <w:sz w:val="24"/>
          <w:szCs w:val="24"/>
        </w:rPr>
      </w:pPr>
      <w:r w:rsidRPr="00CB456E">
        <w:rPr>
          <w:rFonts w:ascii="Times New Roman" w:hAnsi="Times New Roman"/>
          <w:b w:val="0"/>
          <w:kern w:val="0"/>
          <w:sz w:val="24"/>
          <w:szCs w:val="24"/>
        </w:rPr>
        <w:t xml:space="preserve">The class order provides a transition period to allow issuers to update their systems and procedures to comply with the amendments. </w:t>
      </w:r>
    </w:p>
    <w:p w:rsidR="00CD0E77" w:rsidRPr="00FA448A" w:rsidRDefault="00CD0E77" w:rsidP="009D7460">
      <w:pPr>
        <w:spacing w:after="0" w:line="240" w:lineRule="auto"/>
        <w:rPr>
          <w:rFonts w:ascii="Times New Roman" w:hAnsi="Times New Roman" w:cs="Times New Roman"/>
          <w:b/>
          <w:sz w:val="24"/>
          <w:szCs w:val="24"/>
        </w:rPr>
      </w:pPr>
    </w:p>
    <w:p w:rsidR="00363463" w:rsidRPr="00FA448A" w:rsidRDefault="00363463" w:rsidP="009F3596">
      <w:pPr>
        <w:spacing w:after="0" w:line="240" w:lineRule="auto"/>
        <w:rPr>
          <w:rFonts w:ascii="Times New Roman" w:hAnsi="Times New Roman" w:cs="Times New Roman"/>
          <w:b/>
          <w:sz w:val="24"/>
          <w:szCs w:val="24"/>
        </w:rPr>
      </w:pPr>
    </w:p>
    <w:p w:rsidR="00A512CB" w:rsidRPr="00FA448A" w:rsidRDefault="005A04AE" w:rsidP="009F3596">
      <w:pPr>
        <w:pStyle w:val="ListParagraph"/>
        <w:numPr>
          <w:ilvl w:val="0"/>
          <w:numId w:val="1"/>
        </w:numPr>
        <w:spacing w:after="0" w:line="240" w:lineRule="auto"/>
        <w:contextualSpacing w:val="0"/>
        <w:rPr>
          <w:rFonts w:ascii="Times New Roman" w:hAnsi="Times New Roman" w:cs="Times New Roman"/>
          <w:b/>
          <w:bCs/>
          <w:sz w:val="24"/>
          <w:szCs w:val="24"/>
        </w:rPr>
      </w:pPr>
      <w:r w:rsidRPr="00FA448A">
        <w:rPr>
          <w:rFonts w:ascii="Times New Roman" w:hAnsi="Times New Roman" w:cs="Times New Roman"/>
          <w:b/>
          <w:bCs/>
          <w:sz w:val="24"/>
          <w:szCs w:val="24"/>
        </w:rPr>
        <w:t>Operation of this</w:t>
      </w:r>
      <w:r w:rsidR="00A512CB" w:rsidRPr="00FA448A">
        <w:rPr>
          <w:rFonts w:ascii="Times New Roman" w:hAnsi="Times New Roman" w:cs="Times New Roman"/>
          <w:b/>
          <w:bCs/>
          <w:sz w:val="24"/>
          <w:szCs w:val="24"/>
        </w:rPr>
        <w:t xml:space="preserve"> class order</w:t>
      </w:r>
    </w:p>
    <w:p w:rsidR="005A04AE" w:rsidRPr="00FA448A" w:rsidRDefault="005A04AE" w:rsidP="009F3596">
      <w:pPr>
        <w:spacing w:after="0" w:line="240" w:lineRule="auto"/>
        <w:ind w:left="45"/>
        <w:rPr>
          <w:rFonts w:ascii="Times New Roman" w:hAnsi="Times New Roman" w:cs="Times New Roman"/>
          <w:b/>
          <w:bCs/>
          <w:sz w:val="24"/>
          <w:szCs w:val="24"/>
        </w:rPr>
      </w:pPr>
    </w:p>
    <w:p w:rsidR="009F3596" w:rsidRPr="00FA448A" w:rsidRDefault="000F3AD5" w:rsidP="009F3596">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 xml:space="preserve">[CO </w:t>
      </w:r>
      <w:r w:rsidR="00CB456E">
        <w:rPr>
          <w:rFonts w:ascii="Times New Roman" w:hAnsi="Times New Roman" w:cs="Times New Roman"/>
          <w:sz w:val="24"/>
          <w:szCs w:val="24"/>
        </w:rPr>
        <w:t>14</w:t>
      </w:r>
      <w:r w:rsidRPr="00FA448A">
        <w:rPr>
          <w:rFonts w:ascii="Times New Roman" w:hAnsi="Times New Roman" w:cs="Times New Roman"/>
          <w:sz w:val="24"/>
          <w:szCs w:val="24"/>
        </w:rPr>
        <w:t>/</w:t>
      </w:r>
      <w:r w:rsidR="00BB16A1">
        <w:rPr>
          <w:rFonts w:ascii="Times New Roman" w:hAnsi="Times New Roman" w:cs="Times New Roman"/>
          <w:sz w:val="24"/>
          <w:szCs w:val="24"/>
        </w:rPr>
        <w:t>1252</w:t>
      </w:r>
      <w:r w:rsidRPr="00FA448A">
        <w:rPr>
          <w:rFonts w:ascii="Times New Roman" w:hAnsi="Times New Roman" w:cs="Times New Roman"/>
          <w:sz w:val="24"/>
          <w:szCs w:val="24"/>
        </w:rPr>
        <w:t>]</w:t>
      </w:r>
      <w:r w:rsidR="009F3596" w:rsidRPr="00FA448A">
        <w:rPr>
          <w:rFonts w:ascii="Times New Roman" w:hAnsi="Times New Roman" w:cs="Times New Roman"/>
          <w:sz w:val="24"/>
          <w:szCs w:val="24"/>
        </w:rPr>
        <w:t xml:space="preserve"> modifies or varies</w:t>
      </w:r>
      <w:r w:rsidR="003234E4" w:rsidRPr="00FA448A">
        <w:rPr>
          <w:rFonts w:ascii="Times New Roman" w:hAnsi="Times New Roman" w:cs="Times New Roman"/>
          <w:sz w:val="24"/>
          <w:szCs w:val="24"/>
        </w:rPr>
        <w:t xml:space="preserve"> </w:t>
      </w:r>
      <w:r w:rsidR="003234E4" w:rsidRPr="00C458E7">
        <w:rPr>
          <w:rFonts w:ascii="Times New Roman" w:hAnsi="Times New Roman"/>
          <w:sz w:val="24"/>
          <w:szCs w:val="24"/>
        </w:rPr>
        <w:t>Part 7.9 of the Act as it applies in relation to managed investment and superannuation products as if provisions of that Part are modified or varied by the class order</w:t>
      </w:r>
      <w:r w:rsidR="009F3596" w:rsidRPr="00FA448A">
        <w:rPr>
          <w:rFonts w:ascii="Times New Roman" w:hAnsi="Times New Roman" w:cs="Times New Roman"/>
          <w:sz w:val="24"/>
          <w:szCs w:val="24"/>
        </w:rPr>
        <w:t>.</w:t>
      </w:r>
    </w:p>
    <w:p w:rsidR="00652BC2" w:rsidRPr="00FA448A" w:rsidRDefault="00652BC2" w:rsidP="009F3596">
      <w:pPr>
        <w:tabs>
          <w:tab w:val="left" w:pos="1800"/>
        </w:tabs>
        <w:spacing w:after="0" w:line="240" w:lineRule="auto"/>
        <w:rPr>
          <w:rFonts w:ascii="Times New Roman" w:hAnsi="Times New Roman" w:cs="Times New Roman"/>
          <w:sz w:val="24"/>
          <w:szCs w:val="24"/>
        </w:rPr>
      </w:pPr>
    </w:p>
    <w:p w:rsidR="003234E4" w:rsidRPr="00FA448A" w:rsidRDefault="009164AA" w:rsidP="00652BC2">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 xml:space="preserve">Paragraph 5 of the class order modifies </w:t>
      </w:r>
      <w:r w:rsidR="003234E4" w:rsidRPr="00FA448A">
        <w:rPr>
          <w:rFonts w:ascii="Times New Roman" w:hAnsi="Times New Roman" w:cs="Times New Roman"/>
          <w:sz w:val="24"/>
          <w:szCs w:val="24"/>
        </w:rPr>
        <w:t xml:space="preserve">section 1013C </w:t>
      </w:r>
      <w:r w:rsidR="00FA448A">
        <w:rPr>
          <w:rFonts w:ascii="Times New Roman" w:hAnsi="Times New Roman" w:cs="Times New Roman"/>
          <w:sz w:val="24"/>
          <w:szCs w:val="24"/>
        </w:rPr>
        <w:t xml:space="preserve">of the Act </w:t>
      </w:r>
      <w:r w:rsidRPr="00FA448A">
        <w:rPr>
          <w:rFonts w:ascii="Times New Roman" w:hAnsi="Times New Roman" w:cs="Times New Roman"/>
          <w:sz w:val="24"/>
          <w:szCs w:val="24"/>
        </w:rPr>
        <w:t>so that issuers must include information in the</w:t>
      </w:r>
      <w:r w:rsidR="00F96E82">
        <w:rPr>
          <w:rFonts w:ascii="Times New Roman" w:hAnsi="Times New Roman" w:cs="Times New Roman"/>
          <w:sz w:val="24"/>
          <w:szCs w:val="24"/>
        </w:rPr>
        <w:t>ir</w:t>
      </w:r>
      <w:r w:rsidRPr="00FA448A">
        <w:rPr>
          <w:rFonts w:ascii="Times New Roman" w:hAnsi="Times New Roman" w:cs="Times New Roman"/>
          <w:sz w:val="24"/>
          <w:szCs w:val="24"/>
        </w:rPr>
        <w:t xml:space="preserve"> </w:t>
      </w:r>
      <w:r w:rsidR="00F96E82">
        <w:rPr>
          <w:rFonts w:ascii="Times New Roman" w:hAnsi="Times New Roman" w:cs="Times New Roman"/>
          <w:sz w:val="24"/>
          <w:szCs w:val="24"/>
        </w:rPr>
        <w:t>P</w:t>
      </w:r>
      <w:r w:rsidR="00F96E82" w:rsidRPr="00FA448A">
        <w:rPr>
          <w:rFonts w:ascii="Times New Roman" w:hAnsi="Times New Roman" w:cs="Times New Roman"/>
          <w:sz w:val="24"/>
          <w:szCs w:val="24"/>
        </w:rPr>
        <w:t xml:space="preserve">roduct </w:t>
      </w:r>
      <w:r w:rsidR="00F96E82">
        <w:rPr>
          <w:rFonts w:ascii="Times New Roman" w:hAnsi="Times New Roman" w:cs="Times New Roman"/>
          <w:sz w:val="24"/>
          <w:szCs w:val="24"/>
        </w:rPr>
        <w:t>D</w:t>
      </w:r>
      <w:r w:rsidR="00F96E82" w:rsidRPr="00FA448A">
        <w:rPr>
          <w:rFonts w:ascii="Times New Roman" w:hAnsi="Times New Roman" w:cs="Times New Roman"/>
          <w:sz w:val="24"/>
          <w:szCs w:val="24"/>
        </w:rPr>
        <w:t xml:space="preserve">isclosure </w:t>
      </w:r>
      <w:r w:rsidR="00F96E82">
        <w:rPr>
          <w:rFonts w:ascii="Times New Roman" w:hAnsi="Times New Roman" w:cs="Times New Roman"/>
          <w:sz w:val="24"/>
          <w:szCs w:val="24"/>
        </w:rPr>
        <w:t>S</w:t>
      </w:r>
      <w:r w:rsidRPr="00FA448A">
        <w:rPr>
          <w:rFonts w:ascii="Times New Roman" w:hAnsi="Times New Roman" w:cs="Times New Roman"/>
          <w:sz w:val="24"/>
          <w:szCs w:val="24"/>
        </w:rPr>
        <w:t xml:space="preserve">tatement that is known </w:t>
      </w:r>
      <w:r w:rsidR="00F96E82">
        <w:rPr>
          <w:rFonts w:ascii="Times New Roman" w:hAnsi="Times New Roman" w:cs="Times New Roman"/>
          <w:sz w:val="24"/>
          <w:szCs w:val="24"/>
        </w:rPr>
        <w:t xml:space="preserve">to them </w:t>
      </w:r>
      <w:r w:rsidRPr="00FA448A">
        <w:rPr>
          <w:rFonts w:ascii="Times New Roman" w:hAnsi="Times New Roman" w:cs="Times New Roman"/>
          <w:sz w:val="24"/>
          <w:szCs w:val="24"/>
        </w:rPr>
        <w:t xml:space="preserve">unless otherwise provided in the regulations. </w:t>
      </w:r>
      <w:r w:rsidR="00F96E82">
        <w:rPr>
          <w:rFonts w:ascii="Times New Roman" w:hAnsi="Times New Roman" w:cs="Times New Roman"/>
          <w:sz w:val="24"/>
          <w:szCs w:val="24"/>
        </w:rPr>
        <w:t xml:space="preserve">This </w:t>
      </w:r>
      <w:r w:rsidR="00B26A9C">
        <w:rPr>
          <w:rFonts w:ascii="Times New Roman" w:hAnsi="Times New Roman" w:cs="Times New Roman"/>
          <w:sz w:val="24"/>
          <w:szCs w:val="24"/>
        </w:rPr>
        <w:t xml:space="preserve">modification ensures that Schedule 10 is able to include requirements for issuers to disclose information that they can reasonably estimate or </w:t>
      </w:r>
      <w:r w:rsidR="009B05BD">
        <w:rPr>
          <w:rFonts w:ascii="Times New Roman" w:hAnsi="Times New Roman" w:cs="Times New Roman"/>
          <w:sz w:val="24"/>
          <w:szCs w:val="24"/>
        </w:rPr>
        <w:t>determine</w:t>
      </w:r>
      <w:r w:rsidR="00B26A9C">
        <w:rPr>
          <w:rFonts w:ascii="Times New Roman" w:hAnsi="Times New Roman" w:cs="Times New Roman"/>
          <w:sz w:val="24"/>
          <w:szCs w:val="24"/>
        </w:rPr>
        <w:t>.</w:t>
      </w:r>
      <w:r w:rsidR="00F96E82">
        <w:rPr>
          <w:rFonts w:ascii="Times New Roman" w:hAnsi="Times New Roman" w:cs="Times New Roman"/>
          <w:sz w:val="24"/>
          <w:szCs w:val="24"/>
        </w:rPr>
        <w:t xml:space="preserve"> </w:t>
      </w:r>
    </w:p>
    <w:p w:rsidR="009164AA" w:rsidRPr="00FA448A" w:rsidRDefault="009164AA" w:rsidP="00652BC2">
      <w:pPr>
        <w:tabs>
          <w:tab w:val="left" w:pos="1800"/>
        </w:tabs>
        <w:spacing w:after="0" w:line="240" w:lineRule="auto"/>
        <w:rPr>
          <w:rFonts w:ascii="Times New Roman" w:hAnsi="Times New Roman" w:cs="Times New Roman"/>
          <w:sz w:val="24"/>
          <w:szCs w:val="24"/>
        </w:rPr>
      </w:pPr>
    </w:p>
    <w:p w:rsidR="002C545C" w:rsidRPr="00FA448A" w:rsidRDefault="002C545C" w:rsidP="00652BC2">
      <w:pPr>
        <w:tabs>
          <w:tab w:val="left" w:pos="1800"/>
        </w:tabs>
        <w:spacing w:after="0" w:line="240" w:lineRule="auto"/>
        <w:rPr>
          <w:rFonts w:ascii="Times New Roman" w:hAnsi="Times New Roman" w:cs="Times New Roman"/>
          <w:b/>
          <w:sz w:val="24"/>
          <w:szCs w:val="24"/>
        </w:rPr>
      </w:pPr>
      <w:r w:rsidRPr="00FA448A">
        <w:rPr>
          <w:rFonts w:ascii="Times New Roman" w:hAnsi="Times New Roman" w:cs="Times New Roman"/>
          <w:b/>
          <w:sz w:val="24"/>
          <w:szCs w:val="24"/>
        </w:rPr>
        <w:t xml:space="preserve">Interposed Vehicle </w:t>
      </w:r>
    </w:p>
    <w:p w:rsidR="009164AA" w:rsidRPr="00FA448A" w:rsidRDefault="009164AA" w:rsidP="00652BC2">
      <w:pPr>
        <w:tabs>
          <w:tab w:val="left" w:pos="1800"/>
        </w:tabs>
        <w:spacing w:after="0" w:line="240" w:lineRule="auto"/>
        <w:rPr>
          <w:rFonts w:ascii="Times New Roman" w:hAnsi="Times New Roman" w:cs="Times New Roman"/>
          <w:sz w:val="24"/>
          <w:szCs w:val="24"/>
        </w:rPr>
      </w:pPr>
    </w:p>
    <w:p w:rsidR="00AA172A" w:rsidRDefault="00C55BDC" w:rsidP="00652BC2">
      <w:pPr>
        <w:tabs>
          <w:tab w:val="left" w:pos="1800"/>
        </w:tabs>
        <w:spacing w:after="0" w:line="240" w:lineRule="auto"/>
        <w:rPr>
          <w:rFonts w:ascii="Times New Roman" w:hAnsi="Times New Roman"/>
          <w:sz w:val="24"/>
          <w:szCs w:val="24"/>
        </w:rPr>
      </w:pPr>
      <w:r w:rsidRPr="00FA448A">
        <w:rPr>
          <w:rFonts w:ascii="Times New Roman" w:hAnsi="Times New Roman" w:cs="Times New Roman"/>
          <w:sz w:val="24"/>
          <w:szCs w:val="24"/>
        </w:rPr>
        <w:t>S</w:t>
      </w:r>
      <w:r w:rsidR="009164AA" w:rsidRPr="00FA448A">
        <w:rPr>
          <w:rFonts w:ascii="Times New Roman" w:hAnsi="Times New Roman" w:cs="Times New Roman"/>
          <w:sz w:val="24"/>
          <w:szCs w:val="24"/>
        </w:rPr>
        <w:t>ubp</w:t>
      </w:r>
      <w:r w:rsidR="003234E4" w:rsidRPr="00FA448A">
        <w:rPr>
          <w:rFonts w:ascii="Times New Roman" w:hAnsi="Times New Roman" w:cs="Times New Roman"/>
          <w:sz w:val="24"/>
          <w:szCs w:val="24"/>
        </w:rPr>
        <w:t xml:space="preserve">aragraph 6(a) </w:t>
      </w:r>
      <w:r w:rsidR="00A81ABD" w:rsidRPr="00FA448A">
        <w:rPr>
          <w:rFonts w:ascii="Times New Roman" w:hAnsi="Times New Roman" w:cs="Times New Roman"/>
          <w:sz w:val="24"/>
          <w:szCs w:val="24"/>
        </w:rPr>
        <w:t>inserts a definition of “</w:t>
      </w:r>
      <w:r w:rsidR="003234E4" w:rsidRPr="00FA448A">
        <w:rPr>
          <w:rFonts w:ascii="Times New Roman" w:hAnsi="Times New Roman" w:cs="Times New Roman"/>
          <w:sz w:val="24"/>
          <w:szCs w:val="24"/>
        </w:rPr>
        <w:t>interposed vehicles</w:t>
      </w:r>
      <w:r w:rsidR="00A81ABD" w:rsidRPr="00FA448A">
        <w:rPr>
          <w:rFonts w:ascii="Times New Roman" w:hAnsi="Times New Roman" w:cs="Times New Roman"/>
          <w:sz w:val="24"/>
          <w:szCs w:val="24"/>
        </w:rPr>
        <w:t>”</w:t>
      </w:r>
      <w:r w:rsidR="003234E4" w:rsidRPr="00FA448A">
        <w:rPr>
          <w:rFonts w:ascii="Times New Roman" w:hAnsi="Times New Roman" w:cs="Times New Roman"/>
          <w:sz w:val="24"/>
          <w:szCs w:val="24"/>
        </w:rPr>
        <w:t xml:space="preserve"> in relation </w:t>
      </w:r>
      <w:r w:rsidR="003234E4" w:rsidRPr="003737B7">
        <w:rPr>
          <w:rFonts w:ascii="Times New Roman" w:hAnsi="Times New Roman"/>
          <w:sz w:val="24"/>
          <w:szCs w:val="24"/>
        </w:rPr>
        <w:t xml:space="preserve">to a MySuper product, an investment option offered within a superannuation product other than a MySuper product, </w:t>
      </w:r>
      <w:r w:rsidR="00722CFD">
        <w:rPr>
          <w:rFonts w:ascii="Times New Roman" w:hAnsi="Times New Roman"/>
          <w:sz w:val="24"/>
          <w:szCs w:val="24"/>
        </w:rPr>
        <w:t xml:space="preserve">a </w:t>
      </w:r>
      <w:r w:rsidR="003234E4" w:rsidRPr="003737B7">
        <w:rPr>
          <w:rFonts w:ascii="Times New Roman" w:hAnsi="Times New Roman"/>
          <w:sz w:val="24"/>
          <w:szCs w:val="24"/>
        </w:rPr>
        <w:t xml:space="preserve">managed investment product or </w:t>
      </w:r>
      <w:r w:rsidR="00722CFD">
        <w:rPr>
          <w:rFonts w:ascii="Times New Roman" w:hAnsi="Times New Roman"/>
          <w:sz w:val="24"/>
          <w:szCs w:val="24"/>
        </w:rPr>
        <w:t xml:space="preserve">an </w:t>
      </w:r>
      <w:r w:rsidR="003234E4" w:rsidRPr="003737B7">
        <w:rPr>
          <w:rFonts w:ascii="Times New Roman" w:hAnsi="Times New Roman"/>
          <w:sz w:val="24"/>
          <w:szCs w:val="24"/>
        </w:rPr>
        <w:t>investment option offered by a managed investment scheme</w:t>
      </w:r>
      <w:r w:rsidR="00305FFF">
        <w:rPr>
          <w:rFonts w:ascii="Times New Roman" w:hAnsi="Times New Roman"/>
          <w:sz w:val="24"/>
          <w:szCs w:val="24"/>
        </w:rPr>
        <w:t xml:space="preserve"> in paragraph 101 of Schedule 10 of the Regulations</w:t>
      </w:r>
      <w:r w:rsidR="003234E4" w:rsidRPr="003737B7">
        <w:rPr>
          <w:rFonts w:ascii="Times New Roman" w:hAnsi="Times New Roman"/>
          <w:sz w:val="24"/>
          <w:szCs w:val="24"/>
        </w:rPr>
        <w:t xml:space="preserve">. Interposed vehicle under this paragraph </w:t>
      </w:r>
      <w:r w:rsidR="00E245FB" w:rsidRPr="003737B7">
        <w:rPr>
          <w:rFonts w:ascii="Times New Roman" w:hAnsi="Times New Roman"/>
          <w:sz w:val="24"/>
          <w:szCs w:val="24"/>
        </w:rPr>
        <w:t xml:space="preserve">means </w:t>
      </w:r>
      <w:r w:rsidR="003234E4" w:rsidRPr="003737B7">
        <w:rPr>
          <w:rFonts w:ascii="Times New Roman" w:hAnsi="Times New Roman"/>
          <w:sz w:val="24"/>
          <w:szCs w:val="24"/>
        </w:rPr>
        <w:t xml:space="preserve">a body, trust or </w:t>
      </w:r>
      <w:r w:rsidR="00CE1CCE" w:rsidRPr="003737B7">
        <w:rPr>
          <w:rFonts w:ascii="Times New Roman" w:hAnsi="Times New Roman"/>
          <w:sz w:val="24"/>
          <w:szCs w:val="24"/>
        </w:rPr>
        <w:t>partnership</w:t>
      </w:r>
      <w:r w:rsidR="00AA172A">
        <w:rPr>
          <w:rFonts w:ascii="Times New Roman" w:hAnsi="Times New Roman"/>
          <w:sz w:val="24"/>
          <w:szCs w:val="24"/>
        </w:rPr>
        <w:t xml:space="preserve"> other than a body, trust or partnership to which subp</w:t>
      </w:r>
      <w:r w:rsidR="00B26A9C">
        <w:rPr>
          <w:rFonts w:ascii="Times New Roman" w:hAnsi="Times New Roman"/>
          <w:sz w:val="24"/>
          <w:szCs w:val="24"/>
        </w:rPr>
        <w:t>ara</w:t>
      </w:r>
      <w:r w:rsidR="00AA172A">
        <w:rPr>
          <w:rFonts w:ascii="Times New Roman" w:hAnsi="Times New Roman"/>
          <w:sz w:val="24"/>
          <w:szCs w:val="24"/>
        </w:rPr>
        <w:t xml:space="preserve">graphs </w:t>
      </w:r>
      <w:r w:rsidR="00636990">
        <w:rPr>
          <w:rFonts w:ascii="Times New Roman" w:hAnsi="Times New Roman"/>
          <w:sz w:val="24"/>
          <w:szCs w:val="24"/>
        </w:rPr>
        <w:t>(</w:t>
      </w:r>
      <w:r w:rsidR="00AA172A">
        <w:rPr>
          <w:rFonts w:ascii="Times New Roman" w:hAnsi="Times New Roman"/>
          <w:sz w:val="24"/>
          <w:szCs w:val="24"/>
        </w:rPr>
        <w:t>a</w:t>
      </w:r>
      <w:r w:rsidR="00B26A9C">
        <w:rPr>
          <w:rFonts w:ascii="Times New Roman" w:hAnsi="Times New Roman"/>
          <w:sz w:val="24"/>
          <w:szCs w:val="24"/>
        </w:rPr>
        <w:t>) or</w:t>
      </w:r>
      <w:r w:rsidR="00AA172A">
        <w:rPr>
          <w:rFonts w:ascii="Times New Roman" w:hAnsi="Times New Roman"/>
          <w:sz w:val="24"/>
          <w:szCs w:val="24"/>
        </w:rPr>
        <w:t xml:space="preserve"> </w:t>
      </w:r>
      <w:r w:rsidR="00B26A9C">
        <w:rPr>
          <w:rFonts w:ascii="Times New Roman" w:hAnsi="Times New Roman"/>
          <w:sz w:val="24"/>
          <w:szCs w:val="24"/>
        </w:rPr>
        <w:t>(</w:t>
      </w:r>
      <w:r w:rsidR="00AA172A">
        <w:rPr>
          <w:rFonts w:ascii="Times New Roman" w:hAnsi="Times New Roman"/>
          <w:sz w:val="24"/>
          <w:szCs w:val="24"/>
        </w:rPr>
        <w:t>b</w:t>
      </w:r>
      <w:r w:rsidR="00B26A9C">
        <w:rPr>
          <w:rFonts w:ascii="Times New Roman" w:hAnsi="Times New Roman"/>
          <w:sz w:val="24"/>
          <w:szCs w:val="24"/>
        </w:rPr>
        <w:t>)</w:t>
      </w:r>
      <w:r w:rsidR="00AA172A">
        <w:rPr>
          <w:rFonts w:ascii="Times New Roman" w:hAnsi="Times New Roman"/>
          <w:sz w:val="24"/>
          <w:szCs w:val="24"/>
        </w:rPr>
        <w:t xml:space="preserve"> </w:t>
      </w:r>
      <w:r w:rsidR="00722CFD">
        <w:rPr>
          <w:rFonts w:ascii="Times New Roman" w:hAnsi="Times New Roman"/>
          <w:sz w:val="24"/>
          <w:szCs w:val="24"/>
        </w:rPr>
        <w:t xml:space="preserve">of the definition </w:t>
      </w:r>
      <w:r w:rsidR="00AA172A">
        <w:rPr>
          <w:rFonts w:ascii="Times New Roman" w:hAnsi="Times New Roman"/>
          <w:sz w:val="24"/>
          <w:szCs w:val="24"/>
        </w:rPr>
        <w:t xml:space="preserve">applies. </w:t>
      </w:r>
    </w:p>
    <w:p w:rsidR="00AA172A" w:rsidRDefault="00AA172A" w:rsidP="00652BC2">
      <w:pPr>
        <w:tabs>
          <w:tab w:val="left" w:pos="1800"/>
        </w:tabs>
        <w:spacing w:after="0" w:line="240" w:lineRule="auto"/>
        <w:rPr>
          <w:rFonts w:ascii="Times New Roman" w:hAnsi="Times New Roman"/>
          <w:sz w:val="24"/>
          <w:szCs w:val="24"/>
        </w:rPr>
      </w:pPr>
    </w:p>
    <w:p w:rsidR="00AD0C28" w:rsidRDefault="00AA172A" w:rsidP="00AA172A">
      <w:pPr>
        <w:tabs>
          <w:tab w:val="left" w:pos="1800"/>
        </w:tabs>
        <w:spacing w:after="0" w:line="240" w:lineRule="auto"/>
        <w:rPr>
          <w:rFonts w:ascii="Times New Roman" w:hAnsi="Times New Roman"/>
          <w:sz w:val="24"/>
          <w:szCs w:val="24"/>
        </w:rPr>
      </w:pPr>
      <w:r>
        <w:rPr>
          <w:rFonts w:ascii="Times New Roman" w:hAnsi="Times New Roman"/>
          <w:sz w:val="24"/>
          <w:szCs w:val="24"/>
        </w:rPr>
        <w:t xml:space="preserve">Under </w:t>
      </w:r>
      <w:r w:rsidR="00F96D85">
        <w:rPr>
          <w:rFonts w:ascii="Times New Roman" w:hAnsi="Times New Roman"/>
          <w:sz w:val="24"/>
          <w:szCs w:val="24"/>
        </w:rPr>
        <w:t>subparagraph</w:t>
      </w:r>
      <w:r>
        <w:rPr>
          <w:rFonts w:ascii="Times New Roman" w:hAnsi="Times New Roman"/>
          <w:sz w:val="24"/>
          <w:szCs w:val="24"/>
        </w:rPr>
        <w:t xml:space="preserve"> </w:t>
      </w:r>
      <w:r w:rsidR="00636990">
        <w:rPr>
          <w:rFonts w:ascii="Times New Roman" w:hAnsi="Times New Roman"/>
          <w:sz w:val="24"/>
          <w:szCs w:val="24"/>
        </w:rPr>
        <w:t>(</w:t>
      </w:r>
      <w:r>
        <w:rPr>
          <w:rFonts w:ascii="Times New Roman" w:hAnsi="Times New Roman"/>
          <w:sz w:val="24"/>
          <w:szCs w:val="24"/>
        </w:rPr>
        <w:t xml:space="preserve">a) a body, trust or partnership is not an interposed vehicle if it is one that </w:t>
      </w:r>
      <w:r w:rsidR="00CE1CCE" w:rsidRPr="003737B7">
        <w:rPr>
          <w:rFonts w:ascii="Times New Roman" w:hAnsi="Times New Roman"/>
          <w:sz w:val="24"/>
          <w:szCs w:val="24"/>
        </w:rPr>
        <w:t xml:space="preserve"> </w:t>
      </w:r>
      <w:r w:rsidR="00E245FB" w:rsidRPr="003737B7">
        <w:rPr>
          <w:rFonts w:ascii="Times New Roman" w:hAnsi="Times New Roman"/>
          <w:sz w:val="24"/>
          <w:szCs w:val="24"/>
        </w:rPr>
        <w:t>does not predominantly carry on a business of investment in securities or financial products</w:t>
      </w:r>
      <w:r>
        <w:rPr>
          <w:rFonts w:ascii="Times New Roman" w:hAnsi="Times New Roman"/>
          <w:sz w:val="24"/>
          <w:szCs w:val="24"/>
        </w:rPr>
        <w:t>, such as a managed investment scheme that invests directly in property</w:t>
      </w:r>
      <w:r w:rsidR="009B05BD">
        <w:rPr>
          <w:rFonts w:ascii="Times New Roman" w:hAnsi="Times New Roman"/>
          <w:sz w:val="24"/>
          <w:szCs w:val="24"/>
        </w:rPr>
        <w:t>,</w:t>
      </w:r>
      <w:r>
        <w:rPr>
          <w:rFonts w:ascii="Times New Roman" w:hAnsi="Times New Roman"/>
          <w:sz w:val="24"/>
          <w:szCs w:val="24"/>
        </w:rPr>
        <w:t xml:space="preserve"> provided that this body, trust or partnership is also </w:t>
      </w:r>
      <w:r w:rsidR="00E245FB" w:rsidRPr="003737B7">
        <w:rPr>
          <w:rFonts w:ascii="Times New Roman" w:hAnsi="Times New Roman"/>
          <w:sz w:val="24"/>
          <w:szCs w:val="24"/>
        </w:rPr>
        <w:t xml:space="preserve">included in the official list of a prescribed financial market or of a financial market operated outside of this jurisdiction that is regulated by a foreign government or an agency of a foreign government. </w:t>
      </w:r>
      <w:r>
        <w:rPr>
          <w:rFonts w:ascii="Times New Roman" w:hAnsi="Times New Roman"/>
          <w:sz w:val="24"/>
          <w:szCs w:val="24"/>
        </w:rPr>
        <w:t>This means, for example, that a managed investment scheme that invests directly in property will not be an interposed vehicle if it is listed on a prescribed financial market, such as the ASX.</w:t>
      </w:r>
      <w:r w:rsidR="00AF029D">
        <w:rPr>
          <w:rFonts w:ascii="Times New Roman" w:hAnsi="Times New Roman"/>
          <w:sz w:val="24"/>
          <w:szCs w:val="24"/>
        </w:rPr>
        <w:t xml:space="preserve"> </w:t>
      </w:r>
    </w:p>
    <w:p w:rsidR="00AD0C28" w:rsidRDefault="00AD0C28" w:rsidP="00AA172A">
      <w:pPr>
        <w:tabs>
          <w:tab w:val="left" w:pos="1800"/>
        </w:tabs>
        <w:spacing w:after="0" w:line="240" w:lineRule="auto"/>
        <w:rPr>
          <w:rFonts w:ascii="Times New Roman" w:hAnsi="Times New Roman"/>
          <w:sz w:val="24"/>
          <w:szCs w:val="24"/>
        </w:rPr>
      </w:pPr>
    </w:p>
    <w:p w:rsidR="00AA172A" w:rsidRDefault="00AF029D" w:rsidP="00AA172A">
      <w:pPr>
        <w:tabs>
          <w:tab w:val="left" w:pos="1800"/>
        </w:tabs>
        <w:spacing w:after="0" w:line="240" w:lineRule="auto"/>
        <w:rPr>
          <w:rFonts w:ascii="Times New Roman" w:hAnsi="Times New Roman"/>
          <w:sz w:val="24"/>
          <w:szCs w:val="24"/>
        </w:rPr>
      </w:pPr>
      <w:r>
        <w:rPr>
          <w:rFonts w:ascii="Times New Roman" w:hAnsi="Times New Roman"/>
          <w:sz w:val="24"/>
          <w:szCs w:val="24"/>
        </w:rPr>
        <w:t>A</w:t>
      </w:r>
      <w:r w:rsidR="00F96D85">
        <w:rPr>
          <w:rFonts w:ascii="Times New Roman" w:hAnsi="Times New Roman"/>
          <w:sz w:val="24"/>
          <w:szCs w:val="24"/>
        </w:rPr>
        <w:t xml:space="preserve"> </w:t>
      </w:r>
      <w:r w:rsidR="00636990">
        <w:rPr>
          <w:rFonts w:ascii="Times New Roman" w:hAnsi="Times New Roman"/>
          <w:sz w:val="24"/>
          <w:szCs w:val="24"/>
        </w:rPr>
        <w:t>body, trust or partnership</w:t>
      </w:r>
      <w:r w:rsidR="006D2AAE">
        <w:rPr>
          <w:rFonts w:ascii="Times New Roman" w:hAnsi="Times New Roman"/>
          <w:sz w:val="24"/>
          <w:szCs w:val="24"/>
        </w:rPr>
        <w:t xml:space="preserve"> listed on prescribed financial market or offshore regulated market</w:t>
      </w:r>
      <w:r w:rsidR="00636990">
        <w:rPr>
          <w:rFonts w:ascii="Times New Roman" w:hAnsi="Times New Roman"/>
          <w:sz w:val="24"/>
          <w:szCs w:val="24"/>
        </w:rPr>
        <w:t xml:space="preserve"> that </w:t>
      </w:r>
      <w:r>
        <w:rPr>
          <w:rFonts w:ascii="Times New Roman" w:hAnsi="Times New Roman"/>
          <w:sz w:val="24"/>
          <w:szCs w:val="24"/>
        </w:rPr>
        <w:t>predominantly</w:t>
      </w:r>
      <w:r w:rsidR="00636990">
        <w:rPr>
          <w:rFonts w:ascii="Times New Roman" w:hAnsi="Times New Roman"/>
          <w:sz w:val="24"/>
          <w:szCs w:val="24"/>
        </w:rPr>
        <w:t xml:space="preserve"> carr</w:t>
      </w:r>
      <w:r w:rsidR="006D2AAE">
        <w:rPr>
          <w:rFonts w:ascii="Times New Roman" w:hAnsi="Times New Roman"/>
          <w:sz w:val="24"/>
          <w:szCs w:val="24"/>
        </w:rPr>
        <w:t>ies</w:t>
      </w:r>
      <w:r w:rsidR="00636990">
        <w:rPr>
          <w:rFonts w:ascii="Times New Roman" w:hAnsi="Times New Roman"/>
          <w:sz w:val="24"/>
          <w:szCs w:val="24"/>
        </w:rPr>
        <w:t xml:space="preserve"> on a business of investment in securities or financial products</w:t>
      </w:r>
      <w:r w:rsidR="006D2AAE">
        <w:rPr>
          <w:rFonts w:ascii="Times New Roman" w:hAnsi="Times New Roman"/>
          <w:sz w:val="24"/>
          <w:szCs w:val="24"/>
        </w:rPr>
        <w:t xml:space="preserve"> is</w:t>
      </w:r>
      <w:r w:rsidR="00636990">
        <w:rPr>
          <w:rFonts w:ascii="Times New Roman" w:hAnsi="Times New Roman"/>
          <w:sz w:val="24"/>
          <w:szCs w:val="24"/>
        </w:rPr>
        <w:t xml:space="preserve"> typically invested in as a means of gaining exposure to other assets. Such</w:t>
      </w:r>
      <w:r w:rsidR="00AD0C28">
        <w:rPr>
          <w:rFonts w:ascii="Times New Roman" w:hAnsi="Times New Roman"/>
          <w:sz w:val="24"/>
          <w:szCs w:val="24"/>
        </w:rPr>
        <w:t xml:space="preserve"> a listed body, trust or partnership would</w:t>
      </w:r>
      <w:r w:rsidR="006D2AAE">
        <w:rPr>
          <w:rFonts w:ascii="Times New Roman" w:hAnsi="Times New Roman"/>
          <w:sz w:val="24"/>
          <w:szCs w:val="24"/>
        </w:rPr>
        <w:t xml:space="preserve"> </w:t>
      </w:r>
      <w:r w:rsidR="00AD0C28">
        <w:rPr>
          <w:rFonts w:ascii="Times New Roman" w:hAnsi="Times New Roman"/>
          <w:sz w:val="24"/>
          <w:szCs w:val="24"/>
        </w:rPr>
        <w:t>be an interposed vehicle</w:t>
      </w:r>
      <w:r w:rsidR="00BB16A1">
        <w:rPr>
          <w:rFonts w:ascii="Times New Roman" w:hAnsi="Times New Roman"/>
          <w:sz w:val="24"/>
          <w:szCs w:val="24"/>
        </w:rPr>
        <w:t xml:space="preserve"> because it </w:t>
      </w:r>
      <w:r w:rsidR="00CA3903">
        <w:rPr>
          <w:rFonts w:ascii="Times New Roman" w:hAnsi="Times New Roman"/>
          <w:sz w:val="24"/>
          <w:szCs w:val="24"/>
        </w:rPr>
        <w:t>is a means of investing in securities or financial products</w:t>
      </w:r>
      <w:r w:rsidR="006D2AAE">
        <w:rPr>
          <w:rFonts w:ascii="Times New Roman" w:hAnsi="Times New Roman"/>
          <w:sz w:val="24"/>
          <w:szCs w:val="24"/>
        </w:rPr>
        <w:t>. Examples of this type of interposed vehicle include</w:t>
      </w:r>
      <w:r w:rsidR="00636990">
        <w:rPr>
          <w:rFonts w:ascii="Times New Roman" w:hAnsi="Times New Roman"/>
          <w:sz w:val="24"/>
          <w:szCs w:val="24"/>
        </w:rPr>
        <w:t xml:space="preserve"> listed investment companies and quoted and listed managed investment schemes</w:t>
      </w:r>
      <w:r w:rsidR="00AD0C28">
        <w:rPr>
          <w:rFonts w:ascii="Times New Roman" w:hAnsi="Times New Roman"/>
          <w:sz w:val="24"/>
          <w:szCs w:val="24"/>
        </w:rPr>
        <w:t>, such as index funds</w:t>
      </w:r>
      <w:r w:rsidR="00CB7967">
        <w:rPr>
          <w:rFonts w:ascii="Times New Roman" w:hAnsi="Times New Roman"/>
          <w:sz w:val="24"/>
          <w:szCs w:val="24"/>
        </w:rPr>
        <w:t xml:space="preserve"> that are exchange traded funds</w:t>
      </w:r>
      <w:r w:rsidR="00636990">
        <w:rPr>
          <w:rFonts w:ascii="Times New Roman" w:hAnsi="Times New Roman"/>
          <w:sz w:val="24"/>
          <w:szCs w:val="24"/>
        </w:rPr>
        <w:t xml:space="preserve">. </w:t>
      </w:r>
    </w:p>
    <w:p w:rsidR="00636990" w:rsidRDefault="00636990" w:rsidP="00AA172A">
      <w:pPr>
        <w:tabs>
          <w:tab w:val="left" w:pos="1800"/>
        </w:tabs>
        <w:spacing w:after="0" w:line="240" w:lineRule="auto"/>
        <w:rPr>
          <w:rFonts w:ascii="Times New Roman" w:hAnsi="Times New Roman"/>
          <w:sz w:val="24"/>
          <w:szCs w:val="24"/>
        </w:rPr>
      </w:pPr>
    </w:p>
    <w:p w:rsidR="00CE1CCE" w:rsidRDefault="00AA172A" w:rsidP="00652BC2">
      <w:pPr>
        <w:tabs>
          <w:tab w:val="left" w:pos="1800"/>
        </w:tabs>
        <w:spacing w:after="0" w:line="240" w:lineRule="auto"/>
        <w:rPr>
          <w:rFonts w:ascii="Times New Roman" w:hAnsi="Times New Roman"/>
          <w:sz w:val="24"/>
          <w:szCs w:val="24"/>
        </w:rPr>
      </w:pPr>
      <w:r>
        <w:rPr>
          <w:rFonts w:ascii="Times New Roman" w:hAnsi="Times New Roman"/>
          <w:sz w:val="24"/>
          <w:szCs w:val="24"/>
        </w:rPr>
        <w:t xml:space="preserve">Further, under subparagraph </w:t>
      </w:r>
      <w:r w:rsidR="00CB7967">
        <w:rPr>
          <w:rFonts w:ascii="Times New Roman" w:hAnsi="Times New Roman"/>
          <w:sz w:val="24"/>
          <w:szCs w:val="24"/>
        </w:rPr>
        <w:t>(</w:t>
      </w:r>
      <w:r>
        <w:rPr>
          <w:rFonts w:ascii="Times New Roman" w:hAnsi="Times New Roman"/>
          <w:sz w:val="24"/>
          <w:szCs w:val="24"/>
        </w:rPr>
        <w:t xml:space="preserve">a) a body trust or partnership </w:t>
      </w:r>
      <w:r w:rsidR="00CB7967">
        <w:rPr>
          <w:rFonts w:ascii="Times New Roman" w:hAnsi="Times New Roman"/>
          <w:sz w:val="24"/>
          <w:szCs w:val="24"/>
        </w:rPr>
        <w:t xml:space="preserve">that </w:t>
      </w:r>
      <w:r>
        <w:rPr>
          <w:rFonts w:ascii="Times New Roman" w:hAnsi="Times New Roman"/>
          <w:sz w:val="24"/>
          <w:szCs w:val="24"/>
        </w:rPr>
        <w:t>does not predominantly carry on a business of investment in securities or financial product</w:t>
      </w:r>
      <w:r w:rsidR="00CB7967" w:rsidRPr="00CB7967">
        <w:rPr>
          <w:rFonts w:ascii="Times New Roman" w:hAnsi="Times New Roman"/>
          <w:sz w:val="24"/>
          <w:szCs w:val="24"/>
        </w:rPr>
        <w:t xml:space="preserve"> </w:t>
      </w:r>
      <w:r w:rsidR="00CB7967">
        <w:rPr>
          <w:rFonts w:ascii="Times New Roman" w:hAnsi="Times New Roman"/>
          <w:sz w:val="24"/>
          <w:szCs w:val="24"/>
        </w:rPr>
        <w:t xml:space="preserve">is not an interposed vehicle </w:t>
      </w:r>
      <w:r>
        <w:rPr>
          <w:rFonts w:ascii="Times New Roman" w:hAnsi="Times New Roman"/>
          <w:sz w:val="24"/>
          <w:szCs w:val="24"/>
        </w:rPr>
        <w:t xml:space="preserve">if </w:t>
      </w:r>
      <w:r w:rsidR="002C545C" w:rsidRPr="003737B7">
        <w:rPr>
          <w:rFonts w:ascii="Times New Roman" w:hAnsi="Times New Roman"/>
          <w:sz w:val="24"/>
          <w:szCs w:val="24"/>
        </w:rPr>
        <w:t>having regard to each Product Disclosure Statement</w:t>
      </w:r>
      <w:r>
        <w:rPr>
          <w:rFonts w:ascii="Times New Roman" w:hAnsi="Times New Roman"/>
          <w:sz w:val="24"/>
          <w:szCs w:val="24"/>
        </w:rPr>
        <w:t xml:space="preserve"> (PDS)</w:t>
      </w:r>
      <w:r w:rsidR="002C545C" w:rsidRPr="003737B7">
        <w:rPr>
          <w:rFonts w:ascii="Times New Roman" w:hAnsi="Times New Roman"/>
          <w:sz w:val="24"/>
          <w:szCs w:val="24"/>
        </w:rPr>
        <w:t xml:space="preserve"> for the product or option, a security or interest in the body, trust or partnership is reasonably regarded as the investment of the superannuation entity or registered scheme to which the product or option relates, </w:t>
      </w:r>
      <w:r w:rsidR="002C545C" w:rsidRPr="003737B7">
        <w:rPr>
          <w:rFonts w:ascii="Times New Roman" w:hAnsi="Times New Roman"/>
          <w:sz w:val="24"/>
          <w:szCs w:val="24"/>
        </w:rPr>
        <w:lastRenderedPageBreak/>
        <w:t>rather than the means by which the benefit of investments by or through the body, trust or partnership is obtained.</w:t>
      </w:r>
      <w:r>
        <w:rPr>
          <w:rFonts w:ascii="Times New Roman" w:hAnsi="Times New Roman"/>
          <w:sz w:val="24"/>
          <w:szCs w:val="24"/>
        </w:rPr>
        <w:t xml:space="preserve"> This means, for example, that a managed investment scheme that invests directly in property will not be an interposed vehicle if the PDS for the product or option</w:t>
      </w:r>
      <w:r w:rsidR="00AF029D">
        <w:rPr>
          <w:rFonts w:ascii="Times New Roman" w:hAnsi="Times New Roman"/>
          <w:sz w:val="24"/>
          <w:szCs w:val="24"/>
        </w:rPr>
        <w:t xml:space="preserve"> that invests in this scheme makes it clear that the </w:t>
      </w:r>
      <w:r>
        <w:rPr>
          <w:rFonts w:ascii="Times New Roman" w:hAnsi="Times New Roman"/>
          <w:sz w:val="24"/>
          <w:szCs w:val="24"/>
        </w:rPr>
        <w:t xml:space="preserve">scheme </w:t>
      </w:r>
      <w:r w:rsidR="00362D19">
        <w:rPr>
          <w:rFonts w:ascii="Times New Roman" w:hAnsi="Times New Roman"/>
          <w:sz w:val="24"/>
          <w:szCs w:val="24"/>
        </w:rPr>
        <w:t>is the investment,</w:t>
      </w:r>
      <w:r w:rsidR="00961D4A" w:rsidRPr="00961D4A">
        <w:rPr>
          <w:lang w:val="en-ZW"/>
        </w:rPr>
        <w:t xml:space="preserve"> </w:t>
      </w:r>
      <w:r w:rsidR="00961D4A" w:rsidRPr="00F96D85">
        <w:rPr>
          <w:rFonts w:ascii="Times New Roman" w:hAnsi="Times New Roman" w:cs="Times New Roman"/>
          <w:sz w:val="24"/>
          <w:szCs w:val="24"/>
          <w:lang w:val="en-ZW"/>
        </w:rPr>
        <w:t xml:space="preserve">and </w:t>
      </w:r>
      <w:r w:rsidR="00961D4A">
        <w:rPr>
          <w:rFonts w:ascii="Times New Roman" w:hAnsi="Times New Roman" w:cs="Times New Roman"/>
          <w:sz w:val="24"/>
          <w:szCs w:val="24"/>
          <w:lang w:val="en-ZW"/>
        </w:rPr>
        <w:t>that the</w:t>
      </w:r>
      <w:r w:rsidR="00961D4A" w:rsidRPr="00F96D85">
        <w:rPr>
          <w:rFonts w:ascii="Times New Roman" w:hAnsi="Times New Roman" w:cs="Times New Roman"/>
          <w:sz w:val="24"/>
          <w:szCs w:val="24"/>
          <w:lang w:val="en-ZW"/>
        </w:rPr>
        <w:t xml:space="preserve"> value </w:t>
      </w:r>
      <w:r w:rsidR="00961D4A">
        <w:rPr>
          <w:rFonts w:ascii="Times New Roman" w:hAnsi="Times New Roman" w:cs="Times New Roman"/>
          <w:sz w:val="24"/>
          <w:szCs w:val="24"/>
          <w:lang w:val="en-ZW"/>
        </w:rPr>
        <w:t xml:space="preserve">of the investment </w:t>
      </w:r>
      <w:r w:rsidR="00961D4A" w:rsidRPr="00F96D85">
        <w:rPr>
          <w:rFonts w:ascii="Times New Roman" w:hAnsi="Times New Roman" w:cs="Times New Roman"/>
          <w:sz w:val="24"/>
          <w:szCs w:val="24"/>
          <w:lang w:val="en-ZW"/>
        </w:rPr>
        <w:t xml:space="preserve">depends on how the </w:t>
      </w:r>
      <w:r w:rsidR="00961D4A">
        <w:rPr>
          <w:rFonts w:ascii="Times New Roman" w:hAnsi="Times New Roman" w:cs="Times New Roman"/>
          <w:sz w:val="24"/>
          <w:szCs w:val="24"/>
          <w:lang w:val="en-ZW"/>
        </w:rPr>
        <w:t>scheme</w:t>
      </w:r>
      <w:r w:rsidR="00961D4A" w:rsidRPr="00F96D85">
        <w:rPr>
          <w:rFonts w:ascii="Times New Roman" w:hAnsi="Times New Roman" w:cs="Times New Roman"/>
          <w:sz w:val="24"/>
          <w:szCs w:val="24"/>
          <w:lang w:val="en-ZW"/>
        </w:rPr>
        <w:t xml:space="preserve"> is managed and does not </w:t>
      </w:r>
      <w:r w:rsidR="00961D4A">
        <w:rPr>
          <w:rFonts w:ascii="Times New Roman" w:hAnsi="Times New Roman" w:cs="Times New Roman"/>
          <w:sz w:val="24"/>
          <w:szCs w:val="24"/>
          <w:lang w:val="en-ZW"/>
        </w:rPr>
        <w:t>refer to</w:t>
      </w:r>
      <w:r w:rsidR="00961D4A" w:rsidRPr="00F96D85">
        <w:rPr>
          <w:rFonts w:ascii="Times New Roman" w:hAnsi="Times New Roman" w:cs="Times New Roman"/>
          <w:sz w:val="24"/>
          <w:szCs w:val="24"/>
          <w:lang w:val="en-ZW"/>
        </w:rPr>
        <w:t xml:space="preserve"> the current or expected particular assets that are to be held in the </w:t>
      </w:r>
      <w:r w:rsidR="00961D4A">
        <w:rPr>
          <w:rFonts w:ascii="Times New Roman" w:hAnsi="Times New Roman" w:cs="Times New Roman"/>
          <w:sz w:val="24"/>
          <w:szCs w:val="24"/>
          <w:lang w:val="en-ZW"/>
        </w:rPr>
        <w:t xml:space="preserve">scheme in a way that </w:t>
      </w:r>
      <w:r w:rsidR="0012480F">
        <w:rPr>
          <w:rFonts w:ascii="Times New Roman" w:hAnsi="Times New Roman" w:cs="Times New Roman"/>
          <w:sz w:val="24"/>
          <w:szCs w:val="24"/>
          <w:lang w:val="en-ZW"/>
        </w:rPr>
        <w:t xml:space="preserve">could </w:t>
      </w:r>
      <w:r w:rsidR="00961D4A">
        <w:rPr>
          <w:rFonts w:ascii="Times New Roman" w:hAnsi="Times New Roman" w:cs="Times New Roman"/>
          <w:sz w:val="24"/>
          <w:szCs w:val="24"/>
          <w:lang w:val="en-ZW"/>
        </w:rPr>
        <w:t>result in it being view</w:t>
      </w:r>
      <w:r w:rsidR="0012480F">
        <w:rPr>
          <w:rFonts w:ascii="Times New Roman" w:hAnsi="Times New Roman" w:cs="Times New Roman"/>
          <w:sz w:val="24"/>
          <w:szCs w:val="24"/>
          <w:lang w:val="en-ZW"/>
        </w:rPr>
        <w:t>ed</w:t>
      </w:r>
      <w:r w:rsidR="006D2AAE">
        <w:rPr>
          <w:rFonts w:ascii="Times New Roman" w:hAnsi="Times New Roman"/>
          <w:sz w:val="24"/>
          <w:szCs w:val="24"/>
        </w:rPr>
        <w:t xml:space="preserve"> as </w:t>
      </w:r>
      <w:r w:rsidR="00362D19">
        <w:rPr>
          <w:rFonts w:ascii="Times New Roman" w:hAnsi="Times New Roman"/>
          <w:sz w:val="24"/>
          <w:szCs w:val="24"/>
        </w:rPr>
        <w:t xml:space="preserve">a means of obtaining exposure to </w:t>
      </w:r>
      <w:r w:rsidR="0012480F">
        <w:rPr>
          <w:rFonts w:ascii="Times New Roman" w:hAnsi="Times New Roman"/>
          <w:sz w:val="24"/>
          <w:szCs w:val="24"/>
        </w:rPr>
        <w:t>those assets</w:t>
      </w:r>
      <w:r w:rsidR="00362D19">
        <w:rPr>
          <w:rFonts w:ascii="Times New Roman" w:hAnsi="Times New Roman"/>
          <w:sz w:val="24"/>
          <w:szCs w:val="24"/>
        </w:rPr>
        <w:t xml:space="preserve">. </w:t>
      </w:r>
    </w:p>
    <w:p w:rsidR="00F96D85" w:rsidRPr="003737B7" w:rsidRDefault="00F96D85" w:rsidP="00652BC2">
      <w:pPr>
        <w:tabs>
          <w:tab w:val="left" w:pos="1800"/>
        </w:tabs>
        <w:spacing w:after="0" w:line="240" w:lineRule="auto"/>
        <w:rPr>
          <w:rFonts w:ascii="Times New Roman" w:hAnsi="Times New Roman"/>
          <w:sz w:val="24"/>
          <w:szCs w:val="24"/>
        </w:rPr>
      </w:pPr>
    </w:p>
    <w:p w:rsidR="00117FA3" w:rsidRDefault="000A27BC" w:rsidP="00652BC2">
      <w:pPr>
        <w:tabs>
          <w:tab w:val="left" w:pos="1800"/>
        </w:tabs>
        <w:spacing w:after="0" w:line="240" w:lineRule="auto"/>
        <w:rPr>
          <w:rFonts w:ascii="Times New Roman" w:hAnsi="Times New Roman"/>
          <w:sz w:val="24"/>
          <w:szCs w:val="24"/>
        </w:rPr>
      </w:pPr>
      <w:r w:rsidRPr="003737B7">
        <w:rPr>
          <w:rFonts w:ascii="Times New Roman" w:hAnsi="Times New Roman"/>
          <w:sz w:val="24"/>
          <w:szCs w:val="24"/>
        </w:rPr>
        <w:t xml:space="preserve">Subparagraph (b) </w:t>
      </w:r>
      <w:r w:rsidR="00F15DEA">
        <w:rPr>
          <w:rFonts w:ascii="Times New Roman" w:hAnsi="Times New Roman"/>
          <w:sz w:val="24"/>
          <w:szCs w:val="24"/>
        </w:rPr>
        <w:t>addresses</w:t>
      </w:r>
      <w:r w:rsidR="00117FA3">
        <w:rPr>
          <w:rFonts w:ascii="Times New Roman" w:hAnsi="Times New Roman"/>
          <w:sz w:val="24"/>
          <w:szCs w:val="24"/>
        </w:rPr>
        <w:t xml:space="preserve"> the circumstances under which a body, trust or partnership that is offered as an investment option or product through</w:t>
      </w:r>
      <w:r w:rsidR="00DA1931">
        <w:rPr>
          <w:rFonts w:ascii="Times New Roman" w:hAnsi="Times New Roman"/>
          <w:sz w:val="24"/>
          <w:szCs w:val="24"/>
        </w:rPr>
        <w:t xml:space="preserve"> a</w:t>
      </w:r>
      <w:r w:rsidR="00117FA3">
        <w:rPr>
          <w:rFonts w:ascii="Times New Roman" w:hAnsi="Times New Roman"/>
          <w:sz w:val="24"/>
          <w:szCs w:val="24"/>
        </w:rPr>
        <w:t xml:space="preserve"> </w:t>
      </w:r>
      <w:r w:rsidR="00DA1931">
        <w:rPr>
          <w:rFonts w:ascii="Times New Roman" w:hAnsi="Times New Roman"/>
          <w:sz w:val="24"/>
          <w:szCs w:val="24"/>
        </w:rPr>
        <w:t>platform type arrang</w:t>
      </w:r>
      <w:r w:rsidR="008B28FD">
        <w:rPr>
          <w:rFonts w:ascii="Times New Roman" w:hAnsi="Times New Roman"/>
          <w:sz w:val="24"/>
          <w:szCs w:val="24"/>
        </w:rPr>
        <w:t>e</w:t>
      </w:r>
      <w:r w:rsidR="00DA1931">
        <w:rPr>
          <w:rFonts w:ascii="Times New Roman" w:hAnsi="Times New Roman"/>
          <w:sz w:val="24"/>
          <w:szCs w:val="24"/>
        </w:rPr>
        <w:t>ment</w:t>
      </w:r>
      <w:r w:rsidR="00117FA3">
        <w:rPr>
          <w:rFonts w:ascii="Times New Roman" w:hAnsi="Times New Roman"/>
          <w:sz w:val="24"/>
          <w:szCs w:val="24"/>
        </w:rPr>
        <w:t>, including</w:t>
      </w:r>
      <w:r w:rsidR="00F15DEA">
        <w:rPr>
          <w:rFonts w:ascii="Times New Roman" w:hAnsi="Times New Roman"/>
          <w:sz w:val="24"/>
          <w:szCs w:val="24"/>
        </w:rPr>
        <w:t xml:space="preserve"> investor directed</w:t>
      </w:r>
      <w:r w:rsidR="00117FA3">
        <w:rPr>
          <w:rFonts w:ascii="Times New Roman" w:hAnsi="Times New Roman"/>
          <w:sz w:val="24"/>
          <w:szCs w:val="24"/>
        </w:rPr>
        <w:t xml:space="preserve"> </w:t>
      </w:r>
      <w:r w:rsidR="0012480F">
        <w:rPr>
          <w:rFonts w:ascii="Times New Roman" w:hAnsi="Times New Roman"/>
          <w:sz w:val="24"/>
          <w:szCs w:val="24"/>
        </w:rPr>
        <w:t xml:space="preserve">portfolio </w:t>
      </w:r>
      <w:r w:rsidR="00117FA3">
        <w:rPr>
          <w:rFonts w:ascii="Times New Roman" w:hAnsi="Times New Roman"/>
          <w:sz w:val="24"/>
          <w:szCs w:val="24"/>
        </w:rPr>
        <w:t xml:space="preserve">services and </w:t>
      </w:r>
      <w:r w:rsidR="0012480F">
        <w:rPr>
          <w:rFonts w:ascii="Times New Roman" w:hAnsi="Times New Roman"/>
          <w:sz w:val="24"/>
          <w:szCs w:val="24"/>
        </w:rPr>
        <w:t xml:space="preserve">similar </w:t>
      </w:r>
      <w:r w:rsidR="00117FA3">
        <w:rPr>
          <w:rFonts w:ascii="Times New Roman" w:hAnsi="Times New Roman"/>
          <w:sz w:val="24"/>
          <w:szCs w:val="24"/>
        </w:rPr>
        <w:t>platforms, is not an interposed vehicle. The subparagraph</w:t>
      </w:r>
      <w:r w:rsidR="00F15DEA">
        <w:rPr>
          <w:rFonts w:ascii="Times New Roman" w:hAnsi="Times New Roman"/>
          <w:sz w:val="24"/>
          <w:szCs w:val="24"/>
        </w:rPr>
        <w:t xml:space="preserve"> </w:t>
      </w:r>
      <w:r w:rsidRPr="003737B7">
        <w:rPr>
          <w:rFonts w:ascii="Times New Roman" w:hAnsi="Times New Roman"/>
          <w:sz w:val="24"/>
          <w:szCs w:val="24"/>
        </w:rPr>
        <w:t>provides that</w:t>
      </w:r>
      <w:r w:rsidR="002C545C" w:rsidRPr="00117FA3">
        <w:rPr>
          <w:rFonts w:ascii="Times New Roman" w:hAnsi="Times New Roman"/>
          <w:sz w:val="24"/>
          <w:szCs w:val="24"/>
        </w:rPr>
        <w:t xml:space="preserve"> a body, trust or partnership is not an interposed vehicle if </w:t>
      </w:r>
      <w:r w:rsidR="002C545C" w:rsidRPr="003737B7">
        <w:rPr>
          <w:rFonts w:ascii="Times New Roman" w:hAnsi="Times New Roman"/>
          <w:sz w:val="24"/>
          <w:szCs w:val="24"/>
        </w:rPr>
        <w:t xml:space="preserve">the </w:t>
      </w:r>
      <w:r w:rsidR="00636990">
        <w:rPr>
          <w:rFonts w:ascii="Times New Roman" w:hAnsi="Times New Roman"/>
          <w:sz w:val="24"/>
          <w:szCs w:val="24"/>
        </w:rPr>
        <w:t xml:space="preserve">PDS for the product or investment option </w:t>
      </w:r>
      <w:r w:rsidR="00F15DEA" w:rsidRPr="00117FA3">
        <w:rPr>
          <w:rFonts w:ascii="Times New Roman" w:hAnsi="Times New Roman"/>
          <w:sz w:val="24"/>
          <w:szCs w:val="24"/>
        </w:rPr>
        <w:t>states that a holder of the product may give instructions, directions or requests for financial products</w:t>
      </w:r>
      <w:r w:rsidR="00117FA3">
        <w:rPr>
          <w:rFonts w:ascii="Times New Roman" w:hAnsi="Times New Roman"/>
          <w:sz w:val="24"/>
          <w:szCs w:val="24"/>
        </w:rPr>
        <w:t xml:space="preserve"> that have been published in a list by the responsible person for the PDS </w:t>
      </w:r>
      <w:r w:rsidR="00F15DEA" w:rsidRPr="00117FA3">
        <w:rPr>
          <w:rFonts w:ascii="Times New Roman" w:hAnsi="Times New Roman"/>
          <w:sz w:val="24"/>
          <w:szCs w:val="24"/>
        </w:rPr>
        <w:t>to be acquired</w:t>
      </w:r>
      <w:r w:rsidR="00117FA3">
        <w:rPr>
          <w:rFonts w:ascii="Times New Roman" w:hAnsi="Times New Roman"/>
          <w:sz w:val="24"/>
          <w:szCs w:val="24"/>
        </w:rPr>
        <w:t xml:space="preserve"> and</w:t>
      </w:r>
      <w:r w:rsidR="00117FA3" w:rsidRPr="00117FA3">
        <w:rPr>
          <w:rFonts w:ascii="Times New Roman" w:hAnsi="Times New Roman"/>
          <w:sz w:val="24"/>
          <w:szCs w:val="24"/>
        </w:rPr>
        <w:t xml:space="preserve"> the responsible person for the PDS has published a list of financial products in relation to which the instructions, directions or requests may be given as stated in the Statement which includes a security or interest in the body, trust or partnership</w:t>
      </w:r>
      <w:r w:rsidR="0012480F">
        <w:rPr>
          <w:rFonts w:ascii="Times New Roman" w:hAnsi="Times New Roman"/>
          <w:sz w:val="24"/>
          <w:szCs w:val="24"/>
        </w:rPr>
        <w:t>.  This exclusion applies where</w:t>
      </w:r>
      <w:r w:rsidR="00117FA3" w:rsidRPr="00117FA3">
        <w:rPr>
          <w:rFonts w:ascii="Times New Roman" w:hAnsi="Times New Roman"/>
          <w:sz w:val="24"/>
          <w:szCs w:val="24"/>
        </w:rPr>
        <w:t xml:space="preserve"> the arrangement under which the instructions would be acted on is a custodial arrangement as defined in subsection </w:t>
      </w:r>
      <w:proofErr w:type="gramStart"/>
      <w:r w:rsidR="00117FA3" w:rsidRPr="00117FA3">
        <w:rPr>
          <w:rFonts w:ascii="Times New Roman" w:hAnsi="Times New Roman"/>
          <w:sz w:val="24"/>
          <w:szCs w:val="24"/>
        </w:rPr>
        <w:t>1012IA(</w:t>
      </w:r>
      <w:proofErr w:type="gramEnd"/>
      <w:r w:rsidR="00117FA3" w:rsidRPr="00117FA3">
        <w:rPr>
          <w:rFonts w:ascii="Times New Roman" w:hAnsi="Times New Roman"/>
          <w:sz w:val="24"/>
          <w:szCs w:val="24"/>
        </w:rPr>
        <w:t>1) of the Act</w:t>
      </w:r>
      <w:r w:rsidR="00117FA3">
        <w:rPr>
          <w:rFonts w:ascii="Times New Roman" w:hAnsi="Times New Roman"/>
          <w:sz w:val="24"/>
          <w:szCs w:val="24"/>
        </w:rPr>
        <w:t>.</w:t>
      </w:r>
    </w:p>
    <w:p w:rsidR="00636990" w:rsidRDefault="00636990" w:rsidP="00652BC2">
      <w:pPr>
        <w:tabs>
          <w:tab w:val="left" w:pos="1800"/>
        </w:tabs>
        <w:spacing w:after="0" w:line="240" w:lineRule="auto"/>
        <w:rPr>
          <w:rFonts w:ascii="Times New Roman" w:hAnsi="Times New Roman"/>
          <w:sz w:val="24"/>
          <w:szCs w:val="24"/>
        </w:rPr>
      </w:pPr>
    </w:p>
    <w:p w:rsidR="00C00CB1" w:rsidRPr="00FA448A" w:rsidRDefault="002C545C" w:rsidP="00CD0E77">
      <w:pPr>
        <w:tabs>
          <w:tab w:val="left" w:pos="1800"/>
        </w:tabs>
        <w:spacing w:after="0" w:line="240" w:lineRule="auto"/>
        <w:rPr>
          <w:rFonts w:ascii="Times New Roman" w:hAnsi="Times New Roman" w:cs="Times New Roman"/>
          <w:b/>
          <w:sz w:val="24"/>
          <w:szCs w:val="24"/>
        </w:rPr>
      </w:pPr>
      <w:r w:rsidRPr="00FA448A">
        <w:rPr>
          <w:rFonts w:ascii="Times New Roman" w:hAnsi="Times New Roman" w:cs="Times New Roman"/>
          <w:b/>
          <w:sz w:val="24"/>
          <w:szCs w:val="24"/>
        </w:rPr>
        <w:t>Switching Fee</w:t>
      </w:r>
    </w:p>
    <w:p w:rsidR="002C545C" w:rsidRPr="00FA448A" w:rsidRDefault="002C545C" w:rsidP="00CD0E77">
      <w:pPr>
        <w:tabs>
          <w:tab w:val="left" w:pos="1800"/>
        </w:tabs>
        <w:spacing w:after="0" w:line="240" w:lineRule="auto"/>
        <w:rPr>
          <w:rFonts w:ascii="Times New Roman" w:hAnsi="Times New Roman" w:cs="Times New Roman"/>
          <w:sz w:val="24"/>
          <w:szCs w:val="24"/>
        </w:rPr>
      </w:pPr>
    </w:p>
    <w:p w:rsidR="002C545C" w:rsidRPr="00FA448A" w:rsidRDefault="009164AA" w:rsidP="00CD0E77">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Subparagraph 6(a)(iii) of t</w:t>
      </w:r>
      <w:r w:rsidR="002C545C" w:rsidRPr="00FA448A">
        <w:rPr>
          <w:rFonts w:ascii="Times New Roman" w:hAnsi="Times New Roman" w:cs="Times New Roman"/>
          <w:sz w:val="24"/>
          <w:szCs w:val="24"/>
        </w:rPr>
        <w:t xml:space="preserve">he class order modifies the definition of </w:t>
      </w:r>
      <w:r w:rsidR="002C545C" w:rsidRPr="00DA5308">
        <w:rPr>
          <w:rFonts w:ascii="Times New Roman" w:hAnsi="Times New Roman" w:cs="Times New Roman"/>
          <w:b/>
          <w:i/>
          <w:sz w:val="24"/>
          <w:szCs w:val="24"/>
        </w:rPr>
        <w:t>switching fee</w:t>
      </w:r>
      <w:r w:rsidR="002C545C" w:rsidRPr="00FA448A">
        <w:rPr>
          <w:rFonts w:ascii="Times New Roman" w:hAnsi="Times New Roman" w:cs="Times New Roman"/>
          <w:sz w:val="24"/>
          <w:szCs w:val="24"/>
        </w:rPr>
        <w:t xml:space="preserve"> in </w:t>
      </w:r>
      <w:r w:rsidR="00514E77">
        <w:rPr>
          <w:rFonts w:ascii="Times New Roman" w:hAnsi="Times New Roman" w:cs="Times New Roman"/>
          <w:sz w:val="24"/>
          <w:szCs w:val="24"/>
        </w:rPr>
        <w:t>Schedule 10</w:t>
      </w:r>
      <w:r w:rsidR="002C545C" w:rsidRPr="00FA448A">
        <w:rPr>
          <w:rFonts w:ascii="Times New Roman" w:hAnsi="Times New Roman" w:cs="Times New Roman"/>
          <w:sz w:val="24"/>
          <w:szCs w:val="24"/>
        </w:rPr>
        <w:t xml:space="preserve"> </w:t>
      </w:r>
      <w:r w:rsidR="00550C22" w:rsidRPr="00FA448A">
        <w:rPr>
          <w:rFonts w:ascii="Times New Roman" w:hAnsi="Times New Roman" w:cs="Times New Roman"/>
          <w:sz w:val="24"/>
          <w:szCs w:val="24"/>
        </w:rPr>
        <w:t>so that, for a My</w:t>
      </w:r>
      <w:r w:rsidR="00093E58" w:rsidRPr="00FA448A">
        <w:rPr>
          <w:rFonts w:ascii="Times New Roman" w:hAnsi="Times New Roman" w:cs="Times New Roman"/>
          <w:sz w:val="24"/>
          <w:szCs w:val="24"/>
        </w:rPr>
        <w:t>S</w:t>
      </w:r>
      <w:r w:rsidR="00550C22" w:rsidRPr="00FA448A">
        <w:rPr>
          <w:rFonts w:ascii="Times New Roman" w:hAnsi="Times New Roman" w:cs="Times New Roman"/>
          <w:sz w:val="24"/>
          <w:szCs w:val="24"/>
        </w:rPr>
        <w:t xml:space="preserve">uper Product, it has the meaning given by subsection 29V(5) of the </w:t>
      </w:r>
      <w:r w:rsidR="001940CF" w:rsidRPr="00DA5308">
        <w:rPr>
          <w:rFonts w:ascii="Times New Roman" w:hAnsi="Times New Roman" w:cs="Times New Roman"/>
          <w:i/>
          <w:sz w:val="24"/>
          <w:szCs w:val="24"/>
        </w:rPr>
        <w:t>Superannuation</w:t>
      </w:r>
      <w:r w:rsidR="00550C22" w:rsidRPr="00DA5308">
        <w:rPr>
          <w:rFonts w:ascii="Times New Roman" w:hAnsi="Times New Roman" w:cs="Times New Roman"/>
          <w:i/>
          <w:sz w:val="24"/>
          <w:szCs w:val="24"/>
        </w:rPr>
        <w:t xml:space="preserve"> </w:t>
      </w:r>
      <w:r w:rsidR="00093E58" w:rsidRPr="00DA5308">
        <w:rPr>
          <w:rFonts w:ascii="Times New Roman" w:hAnsi="Times New Roman" w:cs="Times New Roman"/>
          <w:i/>
          <w:sz w:val="24"/>
          <w:szCs w:val="24"/>
        </w:rPr>
        <w:t>Industry</w:t>
      </w:r>
      <w:r w:rsidR="00550C22" w:rsidRPr="00DA5308">
        <w:rPr>
          <w:rFonts w:ascii="Times New Roman" w:hAnsi="Times New Roman" w:cs="Times New Roman"/>
          <w:i/>
          <w:sz w:val="24"/>
          <w:szCs w:val="24"/>
        </w:rPr>
        <w:t xml:space="preserve"> (Supervision) Act</w:t>
      </w:r>
      <w:r w:rsidR="001940CF" w:rsidRPr="00DA5308">
        <w:rPr>
          <w:rFonts w:ascii="Times New Roman" w:hAnsi="Times New Roman" w:cs="Times New Roman"/>
          <w:i/>
          <w:sz w:val="24"/>
          <w:szCs w:val="24"/>
        </w:rPr>
        <w:t xml:space="preserve"> </w:t>
      </w:r>
      <w:r w:rsidR="00093E58" w:rsidRPr="00DA5308">
        <w:rPr>
          <w:rFonts w:ascii="Times New Roman" w:hAnsi="Times New Roman" w:cs="Times New Roman"/>
          <w:i/>
          <w:sz w:val="24"/>
          <w:szCs w:val="24"/>
        </w:rPr>
        <w:t>1993</w:t>
      </w:r>
      <w:r w:rsidR="00093E58" w:rsidRPr="00FA448A">
        <w:rPr>
          <w:rFonts w:ascii="Times New Roman" w:hAnsi="Times New Roman" w:cs="Times New Roman"/>
          <w:sz w:val="24"/>
          <w:szCs w:val="24"/>
        </w:rPr>
        <w:t xml:space="preserve"> </w:t>
      </w:r>
      <w:r w:rsidR="001940CF" w:rsidRPr="00FA448A">
        <w:rPr>
          <w:rFonts w:ascii="Times New Roman" w:hAnsi="Times New Roman" w:cs="Times New Roman"/>
          <w:sz w:val="24"/>
          <w:szCs w:val="24"/>
        </w:rPr>
        <w:t>(</w:t>
      </w:r>
      <w:r w:rsidR="00514E77">
        <w:rPr>
          <w:rFonts w:ascii="Times New Roman" w:hAnsi="Times New Roman" w:cs="Times New Roman"/>
          <w:sz w:val="24"/>
          <w:szCs w:val="24"/>
        </w:rPr>
        <w:t xml:space="preserve">the </w:t>
      </w:r>
      <w:r w:rsidR="001940CF" w:rsidRPr="00DA5308">
        <w:rPr>
          <w:rFonts w:ascii="Times New Roman" w:hAnsi="Times New Roman" w:cs="Times New Roman"/>
          <w:b/>
          <w:i/>
          <w:sz w:val="24"/>
          <w:szCs w:val="24"/>
        </w:rPr>
        <w:t>SIS Act</w:t>
      </w:r>
      <w:r w:rsidR="001940CF" w:rsidRPr="00FA448A">
        <w:rPr>
          <w:rFonts w:ascii="Times New Roman" w:hAnsi="Times New Roman" w:cs="Times New Roman"/>
          <w:sz w:val="24"/>
          <w:szCs w:val="24"/>
        </w:rPr>
        <w:t>)</w:t>
      </w:r>
      <w:r w:rsidR="00550C22" w:rsidRPr="00FA448A">
        <w:rPr>
          <w:rFonts w:ascii="Times New Roman" w:hAnsi="Times New Roman" w:cs="Times New Roman"/>
          <w:sz w:val="24"/>
          <w:szCs w:val="24"/>
        </w:rPr>
        <w:t xml:space="preserve">. For a superannuation product other than a MySuper </w:t>
      </w:r>
      <w:r w:rsidR="00B54D8B" w:rsidRPr="00FA448A">
        <w:rPr>
          <w:rFonts w:ascii="Times New Roman" w:hAnsi="Times New Roman" w:cs="Times New Roman"/>
          <w:sz w:val="24"/>
          <w:szCs w:val="24"/>
        </w:rPr>
        <w:t>product</w:t>
      </w:r>
      <w:r w:rsidR="00093E58" w:rsidRPr="00FA448A">
        <w:rPr>
          <w:rFonts w:ascii="Times New Roman" w:hAnsi="Times New Roman" w:cs="Times New Roman"/>
          <w:sz w:val="24"/>
          <w:szCs w:val="24"/>
        </w:rPr>
        <w:t>,</w:t>
      </w:r>
      <w:r w:rsidR="00B54D8B" w:rsidRPr="00FA448A">
        <w:rPr>
          <w:rFonts w:ascii="Times New Roman" w:hAnsi="Times New Roman" w:cs="Times New Roman"/>
          <w:sz w:val="24"/>
          <w:szCs w:val="24"/>
        </w:rPr>
        <w:t xml:space="preserve"> a switching fee </w:t>
      </w:r>
      <w:r w:rsidR="00550C22" w:rsidRPr="00FA448A">
        <w:rPr>
          <w:rFonts w:ascii="Times New Roman" w:hAnsi="Times New Roman" w:cs="Times New Roman"/>
          <w:sz w:val="24"/>
          <w:szCs w:val="24"/>
        </w:rPr>
        <w:t>means a fee to recover the costs of switching all or part of a member's interest in the superannuation entity from one investment option or product in the entity to another. For a managed investment product</w:t>
      </w:r>
      <w:r w:rsidR="00A51F2C" w:rsidRPr="00FA448A">
        <w:rPr>
          <w:rFonts w:ascii="Times New Roman" w:hAnsi="Times New Roman" w:cs="Times New Roman"/>
          <w:sz w:val="24"/>
          <w:szCs w:val="24"/>
        </w:rPr>
        <w:t xml:space="preserve"> a switch</w:t>
      </w:r>
      <w:r w:rsidR="00514E77">
        <w:rPr>
          <w:rFonts w:ascii="Times New Roman" w:hAnsi="Times New Roman" w:cs="Times New Roman"/>
          <w:sz w:val="24"/>
          <w:szCs w:val="24"/>
        </w:rPr>
        <w:t>ing</w:t>
      </w:r>
      <w:r w:rsidR="00A51F2C" w:rsidRPr="00FA448A">
        <w:rPr>
          <w:rFonts w:ascii="Times New Roman" w:hAnsi="Times New Roman" w:cs="Times New Roman"/>
          <w:sz w:val="24"/>
          <w:szCs w:val="24"/>
        </w:rPr>
        <w:t xml:space="preserve"> fee </w:t>
      </w:r>
      <w:r w:rsidR="00550C22" w:rsidRPr="00FA448A">
        <w:rPr>
          <w:rFonts w:ascii="Times New Roman" w:hAnsi="Times New Roman" w:cs="Times New Roman"/>
          <w:sz w:val="24"/>
          <w:szCs w:val="24"/>
        </w:rPr>
        <w:t xml:space="preserve">means an amount paid or payable when a product holder transfers all or part of the product holder's interest in the managed investment </w:t>
      </w:r>
      <w:r w:rsidR="008F69C2">
        <w:rPr>
          <w:rFonts w:ascii="Times New Roman" w:hAnsi="Times New Roman" w:cs="Times New Roman"/>
          <w:sz w:val="24"/>
          <w:szCs w:val="24"/>
        </w:rPr>
        <w:t>scheme</w:t>
      </w:r>
      <w:r w:rsidR="008F69C2" w:rsidRPr="00FA448A">
        <w:rPr>
          <w:rFonts w:ascii="Times New Roman" w:hAnsi="Times New Roman" w:cs="Times New Roman"/>
          <w:sz w:val="24"/>
          <w:szCs w:val="24"/>
        </w:rPr>
        <w:t xml:space="preserve"> </w:t>
      </w:r>
      <w:r w:rsidR="00550C22" w:rsidRPr="00FA448A">
        <w:rPr>
          <w:rFonts w:ascii="Times New Roman" w:hAnsi="Times New Roman" w:cs="Times New Roman"/>
          <w:sz w:val="24"/>
          <w:szCs w:val="24"/>
        </w:rPr>
        <w:t>from one investment option to another</w:t>
      </w:r>
      <w:r w:rsidR="00A51F2C" w:rsidRPr="00FA448A">
        <w:rPr>
          <w:rFonts w:ascii="Times New Roman" w:hAnsi="Times New Roman" w:cs="Times New Roman"/>
          <w:sz w:val="24"/>
          <w:szCs w:val="24"/>
        </w:rPr>
        <w:t xml:space="preserve">. </w:t>
      </w:r>
    </w:p>
    <w:p w:rsidR="002C545C" w:rsidRPr="00FA448A" w:rsidRDefault="002C545C" w:rsidP="00CD0E77">
      <w:pPr>
        <w:tabs>
          <w:tab w:val="left" w:pos="1800"/>
        </w:tabs>
        <w:spacing w:after="0" w:line="240" w:lineRule="auto"/>
        <w:rPr>
          <w:rFonts w:ascii="Times New Roman" w:hAnsi="Times New Roman" w:cs="Times New Roman"/>
          <w:sz w:val="24"/>
          <w:szCs w:val="24"/>
        </w:rPr>
      </w:pPr>
    </w:p>
    <w:p w:rsidR="00B54D8B" w:rsidRPr="00FA448A" w:rsidRDefault="00B54D8B" w:rsidP="002C545C">
      <w:pPr>
        <w:tabs>
          <w:tab w:val="left" w:pos="1800"/>
        </w:tabs>
        <w:spacing w:after="0" w:line="240" w:lineRule="auto"/>
        <w:rPr>
          <w:rFonts w:ascii="Times New Roman" w:hAnsi="Times New Roman" w:cs="Times New Roman"/>
          <w:b/>
          <w:sz w:val="24"/>
          <w:szCs w:val="24"/>
        </w:rPr>
      </w:pPr>
      <w:r w:rsidRPr="00FA448A">
        <w:rPr>
          <w:rFonts w:ascii="Times New Roman" w:hAnsi="Times New Roman" w:cs="Times New Roman"/>
          <w:b/>
          <w:sz w:val="24"/>
          <w:szCs w:val="24"/>
        </w:rPr>
        <w:t>Indirect Costs</w:t>
      </w:r>
    </w:p>
    <w:p w:rsidR="00B54D8B" w:rsidRPr="00FA448A" w:rsidRDefault="00B54D8B" w:rsidP="002C545C">
      <w:pPr>
        <w:tabs>
          <w:tab w:val="left" w:pos="1800"/>
        </w:tabs>
        <w:spacing w:after="0" w:line="240" w:lineRule="auto"/>
        <w:rPr>
          <w:rFonts w:ascii="Times New Roman" w:hAnsi="Times New Roman" w:cs="Times New Roman"/>
          <w:sz w:val="24"/>
          <w:szCs w:val="24"/>
        </w:rPr>
      </w:pPr>
    </w:p>
    <w:p w:rsidR="00721B12" w:rsidRDefault="009164AA" w:rsidP="002C545C">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Subparagraph</w:t>
      </w:r>
      <w:r w:rsidRPr="00531227">
        <w:rPr>
          <w:rFonts w:ascii="Times New Roman" w:hAnsi="Times New Roman" w:cs="Times New Roman"/>
          <w:sz w:val="24"/>
          <w:szCs w:val="24"/>
        </w:rPr>
        <w:t xml:space="preserve"> 6(a</w:t>
      </w:r>
      <w:proofErr w:type="gramStart"/>
      <w:r w:rsidRPr="00531227">
        <w:rPr>
          <w:rFonts w:ascii="Times New Roman" w:hAnsi="Times New Roman" w:cs="Times New Roman"/>
          <w:sz w:val="24"/>
          <w:szCs w:val="24"/>
        </w:rPr>
        <w:t>)(</w:t>
      </w:r>
      <w:proofErr w:type="gramEnd"/>
      <w:r w:rsidRPr="00531227">
        <w:rPr>
          <w:rFonts w:ascii="Times New Roman" w:hAnsi="Times New Roman" w:cs="Times New Roman"/>
          <w:sz w:val="24"/>
          <w:szCs w:val="24"/>
        </w:rPr>
        <w:t>iv) of t</w:t>
      </w:r>
      <w:r w:rsidR="005E373F" w:rsidRPr="00531227">
        <w:rPr>
          <w:rFonts w:ascii="Times New Roman" w:hAnsi="Times New Roman" w:cs="Times New Roman"/>
          <w:sz w:val="24"/>
          <w:szCs w:val="24"/>
        </w:rPr>
        <w:t xml:space="preserve">he </w:t>
      </w:r>
      <w:r w:rsidR="00FA448A">
        <w:rPr>
          <w:rFonts w:ascii="Times New Roman" w:hAnsi="Times New Roman" w:cs="Times New Roman"/>
          <w:sz w:val="24"/>
          <w:szCs w:val="24"/>
        </w:rPr>
        <w:t>c</w:t>
      </w:r>
      <w:r w:rsidR="005E373F" w:rsidRPr="00FA448A">
        <w:rPr>
          <w:rFonts w:ascii="Times New Roman" w:hAnsi="Times New Roman" w:cs="Times New Roman"/>
          <w:sz w:val="24"/>
          <w:szCs w:val="24"/>
        </w:rPr>
        <w:t xml:space="preserve">lass order </w:t>
      </w:r>
      <w:r w:rsidR="00C22E1A" w:rsidRPr="00FA448A">
        <w:rPr>
          <w:rFonts w:ascii="Times New Roman" w:hAnsi="Times New Roman" w:cs="Times New Roman"/>
          <w:sz w:val="24"/>
          <w:szCs w:val="24"/>
        </w:rPr>
        <w:t>insert</w:t>
      </w:r>
      <w:r w:rsidR="00C22E1A">
        <w:rPr>
          <w:rFonts w:ascii="Times New Roman" w:hAnsi="Times New Roman" w:cs="Times New Roman"/>
          <w:sz w:val="24"/>
          <w:szCs w:val="24"/>
        </w:rPr>
        <w:t>s</w:t>
      </w:r>
      <w:r w:rsidR="00C22E1A" w:rsidRPr="00FA448A">
        <w:rPr>
          <w:rFonts w:ascii="Times New Roman" w:hAnsi="Times New Roman" w:cs="Times New Roman"/>
          <w:sz w:val="24"/>
          <w:szCs w:val="24"/>
        </w:rPr>
        <w:t xml:space="preserve"> </w:t>
      </w:r>
      <w:r w:rsidR="00A63F5D" w:rsidRPr="00FA448A">
        <w:rPr>
          <w:rFonts w:ascii="Times New Roman" w:hAnsi="Times New Roman" w:cs="Times New Roman"/>
          <w:sz w:val="24"/>
          <w:szCs w:val="24"/>
        </w:rPr>
        <w:t>a new</w:t>
      </w:r>
      <w:r w:rsidR="005E373F" w:rsidRPr="00FA448A">
        <w:rPr>
          <w:rFonts w:ascii="Times New Roman" w:hAnsi="Times New Roman" w:cs="Times New Roman"/>
          <w:sz w:val="24"/>
          <w:szCs w:val="24"/>
        </w:rPr>
        <w:t xml:space="preserve"> clause 101A </w:t>
      </w:r>
      <w:r w:rsidR="00C22E1A">
        <w:rPr>
          <w:rFonts w:ascii="Times New Roman" w:hAnsi="Times New Roman" w:cs="Times New Roman"/>
          <w:sz w:val="24"/>
          <w:szCs w:val="24"/>
        </w:rPr>
        <w:t>into</w:t>
      </w:r>
      <w:r w:rsidR="00C22E1A" w:rsidRPr="00FA448A">
        <w:rPr>
          <w:rFonts w:ascii="Times New Roman" w:hAnsi="Times New Roman" w:cs="Times New Roman"/>
          <w:sz w:val="24"/>
          <w:szCs w:val="24"/>
        </w:rPr>
        <w:t xml:space="preserve"> </w:t>
      </w:r>
      <w:r w:rsidR="00FA448A" w:rsidRPr="00FA448A">
        <w:rPr>
          <w:rFonts w:ascii="Times New Roman" w:hAnsi="Times New Roman" w:cs="Times New Roman"/>
          <w:sz w:val="24"/>
          <w:szCs w:val="24"/>
        </w:rPr>
        <w:t>Schedule 10</w:t>
      </w:r>
      <w:r w:rsidR="00C22E1A">
        <w:rPr>
          <w:rFonts w:ascii="Times New Roman" w:hAnsi="Times New Roman" w:cs="Times New Roman"/>
          <w:sz w:val="24"/>
          <w:szCs w:val="24"/>
        </w:rPr>
        <w:t xml:space="preserve"> which in effect </w:t>
      </w:r>
      <w:r w:rsidR="00E82F84">
        <w:rPr>
          <w:rFonts w:ascii="Times New Roman" w:hAnsi="Times New Roman" w:cs="Times New Roman"/>
          <w:sz w:val="24"/>
          <w:szCs w:val="24"/>
        </w:rPr>
        <w:t xml:space="preserve">modifies the definition of </w:t>
      </w:r>
      <w:r w:rsidR="00E82F84" w:rsidRPr="00A32863">
        <w:rPr>
          <w:rFonts w:ascii="Times New Roman" w:hAnsi="Times New Roman" w:cs="Times New Roman"/>
          <w:b/>
          <w:i/>
          <w:sz w:val="24"/>
          <w:szCs w:val="24"/>
        </w:rPr>
        <w:t>indirect costs</w:t>
      </w:r>
      <w:r w:rsidR="005E373F" w:rsidRPr="00FA448A">
        <w:rPr>
          <w:rFonts w:ascii="Times New Roman" w:hAnsi="Times New Roman" w:cs="Times New Roman"/>
          <w:sz w:val="24"/>
          <w:szCs w:val="24"/>
        </w:rPr>
        <w:t xml:space="preserve">. The modified indirect cost definition applies to superannuation trustees of entities offering a </w:t>
      </w:r>
      <w:r w:rsidR="00093E58" w:rsidRPr="00FA448A">
        <w:rPr>
          <w:rFonts w:ascii="Times New Roman" w:hAnsi="Times New Roman" w:cs="Times New Roman"/>
          <w:sz w:val="24"/>
          <w:szCs w:val="24"/>
        </w:rPr>
        <w:t>M</w:t>
      </w:r>
      <w:r w:rsidR="005E373F" w:rsidRPr="00FA448A">
        <w:rPr>
          <w:rFonts w:ascii="Times New Roman" w:hAnsi="Times New Roman" w:cs="Times New Roman"/>
          <w:sz w:val="24"/>
          <w:szCs w:val="24"/>
        </w:rPr>
        <w:t>y</w:t>
      </w:r>
      <w:r w:rsidR="00093E58" w:rsidRPr="00FA448A">
        <w:rPr>
          <w:rFonts w:ascii="Times New Roman" w:hAnsi="Times New Roman" w:cs="Times New Roman"/>
          <w:sz w:val="24"/>
          <w:szCs w:val="24"/>
        </w:rPr>
        <w:t>S</w:t>
      </w:r>
      <w:r w:rsidR="005E373F" w:rsidRPr="00FA448A">
        <w:rPr>
          <w:rFonts w:ascii="Times New Roman" w:hAnsi="Times New Roman" w:cs="Times New Roman"/>
          <w:sz w:val="24"/>
          <w:szCs w:val="24"/>
        </w:rPr>
        <w:t>uper products and superannuation produ</w:t>
      </w:r>
      <w:r w:rsidR="00A63F5D" w:rsidRPr="00FA448A">
        <w:rPr>
          <w:rFonts w:ascii="Times New Roman" w:hAnsi="Times New Roman" w:cs="Times New Roman"/>
          <w:sz w:val="24"/>
          <w:szCs w:val="24"/>
        </w:rPr>
        <w:t>c</w:t>
      </w:r>
      <w:r w:rsidR="005E373F" w:rsidRPr="00FA448A">
        <w:rPr>
          <w:rFonts w:ascii="Times New Roman" w:hAnsi="Times New Roman" w:cs="Times New Roman"/>
          <w:sz w:val="24"/>
          <w:szCs w:val="24"/>
        </w:rPr>
        <w:t xml:space="preserve">ts other than </w:t>
      </w:r>
      <w:r w:rsidR="00093E58" w:rsidRPr="00FA448A">
        <w:rPr>
          <w:rFonts w:ascii="Times New Roman" w:hAnsi="Times New Roman" w:cs="Times New Roman"/>
          <w:sz w:val="24"/>
          <w:szCs w:val="24"/>
        </w:rPr>
        <w:t>M</w:t>
      </w:r>
      <w:r w:rsidR="005E373F" w:rsidRPr="00FA448A">
        <w:rPr>
          <w:rFonts w:ascii="Times New Roman" w:hAnsi="Times New Roman" w:cs="Times New Roman"/>
          <w:sz w:val="24"/>
          <w:szCs w:val="24"/>
        </w:rPr>
        <w:t>y</w:t>
      </w:r>
      <w:r w:rsidR="00093E58" w:rsidRPr="00FA448A">
        <w:rPr>
          <w:rFonts w:ascii="Times New Roman" w:hAnsi="Times New Roman" w:cs="Times New Roman"/>
          <w:sz w:val="24"/>
          <w:szCs w:val="24"/>
        </w:rPr>
        <w:t>S</w:t>
      </w:r>
      <w:r w:rsidR="005E373F" w:rsidRPr="00FA448A">
        <w:rPr>
          <w:rFonts w:ascii="Times New Roman" w:hAnsi="Times New Roman" w:cs="Times New Roman"/>
          <w:sz w:val="24"/>
          <w:szCs w:val="24"/>
        </w:rPr>
        <w:t xml:space="preserve">uper products. It also applies to responsible entities of </w:t>
      </w:r>
      <w:r w:rsidR="00093E58" w:rsidRPr="00FA448A">
        <w:rPr>
          <w:rFonts w:ascii="Times New Roman" w:hAnsi="Times New Roman" w:cs="Times New Roman"/>
          <w:sz w:val="24"/>
          <w:szCs w:val="24"/>
        </w:rPr>
        <w:t>registered schemes</w:t>
      </w:r>
      <w:r w:rsidR="005E373F" w:rsidRPr="00FA448A">
        <w:rPr>
          <w:rFonts w:ascii="Times New Roman" w:hAnsi="Times New Roman" w:cs="Times New Roman"/>
          <w:sz w:val="24"/>
          <w:szCs w:val="24"/>
        </w:rPr>
        <w:t xml:space="preserve">. </w:t>
      </w:r>
      <w:r w:rsidR="0028641E">
        <w:rPr>
          <w:rFonts w:ascii="Times New Roman" w:hAnsi="Times New Roman" w:cs="Times New Roman"/>
          <w:sz w:val="24"/>
          <w:szCs w:val="24"/>
        </w:rPr>
        <w:t xml:space="preserve">Its application to responsible entities of registered schemes is to ensure that indirect costs associated with investing through interposed vehicles, other than any exclusions allowed for by </w:t>
      </w:r>
      <w:r w:rsidR="00C22E1A">
        <w:rPr>
          <w:rFonts w:ascii="Times New Roman" w:hAnsi="Times New Roman" w:cs="Times New Roman"/>
          <w:sz w:val="24"/>
          <w:szCs w:val="24"/>
        </w:rPr>
        <w:t>Schedule 10</w:t>
      </w:r>
      <w:r w:rsidR="0028641E">
        <w:rPr>
          <w:rFonts w:ascii="Times New Roman" w:hAnsi="Times New Roman" w:cs="Times New Roman"/>
          <w:sz w:val="24"/>
          <w:szCs w:val="24"/>
        </w:rPr>
        <w:t xml:space="preserve"> such as transactional costs, are included in schemes' management costs. </w:t>
      </w:r>
    </w:p>
    <w:p w:rsidR="00721B12" w:rsidRDefault="00721B12" w:rsidP="002C545C">
      <w:pPr>
        <w:tabs>
          <w:tab w:val="left" w:pos="1800"/>
        </w:tabs>
        <w:spacing w:after="0" w:line="240" w:lineRule="auto"/>
        <w:rPr>
          <w:rFonts w:ascii="Times New Roman" w:hAnsi="Times New Roman" w:cs="Times New Roman"/>
          <w:sz w:val="24"/>
          <w:szCs w:val="24"/>
        </w:rPr>
      </w:pPr>
    </w:p>
    <w:p w:rsidR="00BB16A1" w:rsidRDefault="005E373F" w:rsidP="002C545C">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An indirect cost</w:t>
      </w:r>
      <w:r w:rsidR="00A63F5D" w:rsidRPr="00FA448A">
        <w:rPr>
          <w:rFonts w:ascii="Times New Roman" w:hAnsi="Times New Roman" w:cs="Times New Roman"/>
          <w:sz w:val="24"/>
          <w:szCs w:val="24"/>
        </w:rPr>
        <w:t xml:space="preserve"> under the new clause means any amount</w:t>
      </w:r>
      <w:r w:rsidR="00BB16A1">
        <w:rPr>
          <w:rFonts w:ascii="Times New Roman" w:hAnsi="Times New Roman" w:cs="Times New Roman"/>
          <w:sz w:val="24"/>
          <w:szCs w:val="24"/>
        </w:rPr>
        <w:t xml:space="preserve"> </w:t>
      </w:r>
      <w:r w:rsidR="00BB16A1" w:rsidRPr="00C9372F">
        <w:rPr>
          <w:rFonts w:ascii="Times New Roman" w:hAnsi="Times New Roman" w:cs="Times New Roman"/>
          <w:sz w:val="24"/>
          <w:szCs w:val="24"/>
        </w:rPr>
        <w:t>that a trustee of a superannuation entity</w:t>
      </w:r>
      <w:r w:rsidR="00BB16A1">
        <w:rPr>
          <w:rFonts w:ascii="Times New Roman" w:hAnsi="Times New Roman" w:cs="Times New Roman"/>
          <w:sz w:val="24"/>
          <w:szCs w:val="24"/>
        </w:rPr>
        <w:t xml:space="preserve"> </w:t>
      </w:r>
      <w:r w:rsidR="00BB16A1" w:rsidRPr="00C9372F">
        <w:rPr>
          <w:rFonts w:ascii="Times New Roman" w:hAnsi="Times New Roman" w:cs="Times New Roman"/>
          <w:sz w:val="24"/>
          <w:szCs w:val="24"/>
        </w:rPr>
        <w:t>or a responsible entity</w:t>
      </w:r>
      <w:r w:rsidR="00BB16A1">
        <w:rPr>
          <w:rFonts w:ascii="Times New Roman" w:hAnsi="Times New Roman" w:cs="Times New Roman"/>
          <w:sz w:val="24"/>
          <w:szCs w:val="24"/>
        </w:rPr>
        <w:t>:</w:t>
      </w:r>
    </w:p>
    <w:p w:rsidR="00BB16A1" w:rsidRDefault="00A63F5D" w:rsidP="00CA3903">
      <w:pPr>
        <w:pStyle w:val="ListParagraph"/>
        <w:numPr>
          <w:ilvl w:val="0"/>
          <w:numId w:val="27"/>
        </w:numPr>
        <w:tabs>
          <w:tab w:val="left" w:pos="1800"/>
        </w:tabs>
        <w:spacing w:after="0" w:line="240" w:lineRule="auto"/>
        <w:rPr>
          <w:rFonts w:ascii="Times New Roman" w:hAnsi="Times New Roman" w:cs="Times New Roman"/>
          <w:sz w:val="24"/>
          <w:szCs w:val="24"/>
        </w:rPr>
      </w:pPr>
      <w:r w:rsidRPr="00CA3903">
        <w:rPr>
          <w:rFonts w:ascii="Times New Roman" w:hAnsi="Times New Roman" w:cs="Times New Roman"/>
          <w:sz w:val="24"/>
          <w:szCs w:val="24"/>
        </w:rPr>
        <w:t xml:space="preserve">knows or reasonably ought to know or, </w:t>
      </w:r>
    </w:p>
    <w:p w:rsidR="00BB16A1" w:rsidRDefault="00A63F5D" w:rsidP="00CA3903">
      <w:pPr>
        <w:pStyle w:val="ListParagraph"/>
        <w:numPr>
          <w:ilvl w:val="0"/>
          <w:numId w:val="27"/>
        </w:numPr>
        <w:tabs>
          <w:tab w:val="left" w:pos="1800"/>
        </w:tabs>
        <w:spacing w:after="0" w:line="240" w:lineRule="auto"/>
        <w:rPr>
          <w:rFonts w:ascii="Times New Roman" w:hAnsi="Times New Roman" w:cs="Times New Roman"/>
          <w:sz w:val="24"/>
          <w:szCs w:val="24"/>
        </w:rPr>
      </w:pPr>
      <w:r w:rsidRPr="00CA3903">
        <w:rPr>
          <w:rFonts w:ascii="Times New Roman" w:hAnsi="Times New Roman" w:cs="Times New Roman"/>
          <w:sz w:val="24"/>
          <w:szCs w:val="24"/>
        </w:rPr>
        <w:t>where this is not the case, may reasonably estimate</w:t>
      </w:r>
      <w:r w:rsidR="00CA3903">
        <w:rPr>
          <w:rFonts w:ascii="Times New Roman" w:hAnsi="Times New Roman" w:cs="Times New Roman"/>
          <w:sz w:val="24"/>
          <w:szCs w:val="24"/>
        </w:rPr>
        <w:t>;</w:t>
      </w:r>
      <w:r w:rsidRPr="00CA3903">
        <w:rPr>
          <w:rFonts w:ascii="Times New Roman" w:hAnsi="Times New Roman" w:cs="Times New Roman"/>
          <w:sz w:val="24"/>
          <w:szCs w:val="24"/>
        </w:rPr>
        <w:t xml:space="preserve"> </w:t>
      </w:r>
    </w:p>
    <w:p w:rsidR="00BB16A1" w:rsidRDefault="00BB16A1" w:rsidP="00BB16A1">
      <w:pPr>
        <w:tabs>
          <w:tab w:val="left" w:pos="1800"/>
        </w:tabs>
        <w:spacing w:after="0" w:line="240" w:lineRule="auto"/>
        <w:rPr>
          <w:rFonts w:ascii="Times New Roman" w:hAnsi="Times New Roman" w:cs="Times New Roman"/>
          <w:sz w:val="24"/>
          <w:szCs w:val="24"/>
        </w:rPr>
      </w:pPr>
    </w:p>
    <w:p w:rsidR="00BB16A1" w:rsidRDefault="00BB16A1" w:rsidP="00BB16A1">
      <w:pPr>
        <w:tabs>
          <w:tab w:val="left" w:pos="18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that</w:t>
      </w:r>
      <w:proofErr w:type="gramEnd"/>
      <w:r>
        <w:rPr>
          <w:rFonts w:ascii="Times New Roman" w:hAnsi="Times New Roman" w:cs="Times New Roman"/>
          <w:sz w:val="24"/>
          <w:szCs w:val="24"/>
        </w:rPr>
        <w:t xml:space="preserve"> </w:t>
      </w:r>
      <w:r w:rsidR="00A63F5D" w:rsidRPr="00CA3903">
        <w:rPr>
          <w:rFonts w:ascii="Times New Roman" w:hAnsi="Times New Roman" w:cs="Times New Roman"/>
          <w:sz w:val="24"/>
          <w:szCs w:val="24"/>
        </w:rPr>
        <w:t xml:space="preserve">will directly or indirectly reduce the return on the product or option that is paid from or reduces the amount or value of the income of or property attributable to the product or option or the income of or property attributable to an interposed vehicle in or through which the property attributable to the product or option is invested. </w:t>
      </w:r>
    </w:p>
    <w:p w:rsidR="00BB16A1" w:rsidRDefault="00BB16A1" w:rsidP="00BB16A1">
      <w:pPr>
        <w:tabs>
          <w:tab w:val="left" w:pos="1800"/>
        </w:tabs>
        <w:spacing w:after="0" w:line="240" w:lineRule="auto"/>
        <w:rPr>
          <w:rFonts w:ascii="Times New Roman" w:hAnsi="Times New Roman" w:cs="Times New Roman"/>
          <w:sz w:val="24"/>
          <w:szCs w:val="24"/>
        </w:rPr>
      </w:pPr>
    </w:p>
    <w:p w:rsidR="00A63F5D" w:rsidRPr="00CA3903" w:rsidRDefault="00A93578" w:rsidP="00BB16A1">
      <w:pPr>
        <w:tabs>
          <w:tab w:val="left" w:pos="1800"/>
        </w:tabs>
        <w:spacing w:after="0" w:line="240" w:lineRule="auto"/>
        <w:rPr>
          <w:rFonts w:ascii="Times New Roman" w:hAnsi="Times New Roman" w:cs="Times New Roman"/>
          <w:sz w:val="24"/>
          <w:szCs w:val="24"/>
        </w:rPr>
      </w:pPr>
      <w:r w:rsidRPr="00CA3903">
        <w:rPr>
          <w:rFonts w:ascii="Times New Roman" w:hAnsi="Times New Roman" w:cs="Times New Roman"/>
          <w:sz w:val="24"/>
          <w:szCs w:val="24"/>
        </w:rPr>
        <w:t xml:space="preserve">For example, a superannuation fund invests in term deposits and other cash investments by acquiring a life product from a life insurance company that makes these investments. The superannuation fund trustee will need to include in the fund's indirect costs the amount deducted from the income earned on </w:t>
      </w:r>
      <w:proofErr w:type="gramStart"/>
      <w:r w:rsidRPr="00CA3903">
        <w:rPr>
          <w:rFonts w:ascii="Times New Roman" w:hAnsi="Times New Roman" w:cs="Times New Roman"/>
          <w:sz w:val="24"/>
          <w:szCs w:val="24"/>
        </w:rPr>
        <w:t>the</w:t>
      </w:r>
      <w:proofErr w:type="gramEnd"/>
      <w:r w:rsidRPr="00CA3903">
        <w:rPr>
          <w:rFonts w:ascii="Times New Roman" w:hAnsi="Times New Roman" w:cs="Times New Roman"/>
          <w:sz w:val="24"/>
          <w:szCs w:val="24"/>
        </w:rPr>
        <w:t xml:space="preserve"> term deposits and other cash investments, including any amount deducted by the life insurance company from the income.</w:t>
      </w:r>
      <w:r w:rsidR="00F96D85" w:rsidRPr="00CA3903">
        <w:rPr>
          <w:rFonts w:ascii="Times New Roman" w:hAnsi="Times New Roman" w:cs="Times New Roman"/>
          <w:sz w:val="24"/>
          <w:szCs w:val="24"/>
        </w:rPr>
        <w:t xml:space="preserve"> </w:t>
      </w:r>
      <w:r w:rsidR="00A63F5D" w:rsidRPr="00CA3903">
        <w:rPr>
          <w:rFonts w:ascii="Times New Roman" w:hAnsi="Times New Roman" w:cs="Times New Roman"/>
          <w:sz w:val="24"/>
          <w:szCs w:val="24"/>
        </w:rPr>
        <w:t xml:space="preserve">Any amount that is charged to a member as a fee </w:t>
      </w:r>
      <w:r w:rsidRPr="00CA3903">
        <w:rPr>
          <w:rFonts w:ascii="Times New Roman" w:hAnsi="Times New Roman" w:cs="Times New Roman"/>
          <w:sz w:val="24"/>
          <w:szCs w:val="24"/>
        </w:rPr>
        <w:t>or</w:t>
      </w:r>
      <w:r w:rsidR="00A63F5D" w:rsidRPr="00CA3903">
        <w:rPr>
          <w:rFonts w:ascii="Times New Roman" w:hAnsi="Times New Roman" w:cs="Times New Roman"/>
          <w:sz w:val="24"/>
          <w:szCs w:val="24"/>
        </w:rPr>
        <w:t xml:space="preserve">, for superannuation products, is a fee under section 29V of the SIS Act is not an indirect cost. </w:t>
      </w:r>
    </w:p>
    <w:p w:rsidR="00A63F5D" w:rsidRPr="00FA448A" w:rsidRDefault="00A63F5D" w:rsidP="002C545C">
      <w:pPr>
        <w:tabs>
          <w:tab w:val="left" w:pos="1800"/>
        </w:tabs>
        <w:spacing w:after="0" w:line="240" w:lineRule="auto"/>
        <w:rPr>
          <w:rFonts w:ascii="Times New Roman" w:hAnsi="Times New Roman" w:cs="Times New Roman"/>
          <w:sz w:val="24"/>
          <w:szCs w:val="24"/>
        </w:rPr>
      </w:pPr>
    </w:p>
    <w:p w:rsidR="00A63F5D" w:rsidRDefault="00E82F84" w:rsidP="002C545C">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Notional paragraph </w:t>
      </w:r>
      <w:proofErr w:type="gramStart"/>
      <w:r>
        <w:rPr>
          <w:rFonts w:ascii="Times New Roman" w:hAnsi="Times New Roman" w:cs="Times New Roman"/>
          <w:sz w:val="24"/>
          <w:szCs w:val="24"/>
        </w:rPr>
        <w:t>101A(</w:t>
      </w:r>
      <w:proofErr w:type="gramEnd"/>
      <w:r>
        <w:rPr>
          <w:rFonts w:ascii="Times New Roman" w:hAnsi="Times New Roman" w:cs="Times New Roman"/>
          <w:sz w:val="24"/>
          <w:szCs w:val="24"/>
        </w:rPr>
        <w:t xml:space="preserve">2)(a) makes it clear that where property is invested through a chain of interposed vehicles, costs incurred by each of the interposed vehicles are to be taken into account. </w:t>
      </w:r>
      <w:r w:rsidR="00A63F5D" w:rsidRPr="00FA448A">
        <w:rPr>
          <w:rFonts w:ascii="Times New Roman" w:hAnsi="Times New Roman" w:cs="Times New Roman"/>
          <w:sz w:val="24"/>
          <w:szCs w:val="24"/>
        </w:rPr>
        <w:t xml:space="preserve"> </w:t>
      </w:r>
      <w:r w:rsidR="00A336DB">
        <w:rPr>
          <w:rFonts w:ascii="Times New Roman" w:hAnsi="Times New Roman" w:cs="Times New Roman"/>
          <w:sz w:val="24"/>
          <w:szCs w:val="24"/>
        </w:rPr>
        <w:t>For example, an investment in securities</w:t>
      </w:r>
      <w:r w:rsidR="00A72641">
        <w:rPr>
          <w:rFonts w:ascii="Times New Roman" w:hAnsi="Times New Roman" w:cs="Times New Roman"/>
          <w:sz w:val="24"/>
          <w:szCs w:val="24"/>
        </w:rPr>
        <w:t>,</w:t>
      </w:r>
      <w:r w:rsidR="00A336DB">
        <w:rPr>
          <w:rFonts w:ascii="Times New Roman" w:hAnsi="Times New Roman" w:cs="Times New Roman"/>
          <w:sz w:val="24"/>
          <w:szCs w:val="24"/>
        </w:rPr>
        <w:t xml:space="preserve"> such as shares</w:t>
      </w:r>
      <w:r w:rsidR="00762A2A">
        <w:rPr>
          <w:rFonts w:ascii="Times New Roman" w:hAnsi="Times New Roman" w:cs="Times New Roman"/>
          <w:sz w:val="24"/>
          <w:szCs w:val="24"/>
        </w:rPr>
        <w:t xml:space="preserve"> or bonds, that is held through multiple layers, such as fund of funds structure,</w:t>
      </w:r>
      <w:r w:rsidR="00A336DB">
        <w:rPr>
          <w:rFonts w:ascii="Times New Roman" w:hAnsi="Times New Roman" w:cs="Times New Roman"/>
          <w:sz w:val="24"/>
          <w:szCs w:val="24"/>
        </w:rPr>
        <w:t xml:space="preserve"> would still be regarded as property for the purposes of calculating the indirect costs of investing in those securities.</w:t>
      </w:r>
    </w:p>
    <w:p w:rsidR="00514E77" w:rsidRDefault="00514E77" w:rsidP="002C545C">
      <w:pPr>
        <w:tabs>
          <w:tab w:val="left" w:pos="1800"/>
        </w:tabs>
        <w:spacing w:after="0" w:line="240" w:lineRule="auto"/>
        <w:rPr>
          <w:rFonts w:ascii="Times New Roman" w:hAnsi="Times New Roman" w:cs="Times New Roman"/>
          <w:sz w:val="24"/>
          <w:szCs w:val="24"/>
        </w:rPr>
      </w:pPr>
    </w:p>
    <w:p w:rsidR="00514E77" w:rsidRPr="00FA448A" w:rsidRDefault="0016308D" w:rsidP="002C545C">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Conversely, notional paragraph </w:t>
      </w:r>
      <w:proofErr w:type="gramStart"/>
      <w:r>
        <w:rPr>
          <w:rFonts w:ascii="Times New Roman" w:hAnsi="Times New Roman" w:cs="Times New Roman"/>
          <w:sz w:val="24"/>
          <w:szCs w:val="24"/>
        </w:rPr>
        <w:t>101A(</w:t>
      </w:r>
      <w:proofErr w:type="gramEnd"/>
      <w:r>
        <w:rPr>
          <w:rFonts w:ascii="Times New Roman" w:hAnsi="Times New Roman" w:cs="Times New Roman"/>
          <w:sz w:val="24"/>
          <w:szCs w:val="24"/>
        </w:rPr>
        <w:t xml:space="preserve">2)(b) makes it clear that it is not necessary </w:t>
      </w:r>
      <w:r w:rsidR="00A32863">
        <w:rPr>
          <w:rFonts w:ascii="Times New Roman" w:hAnsi="Times New Roman" w:cs="Times New Roman"/>
          <w:sz w:val="24"/>
          <w:szCs w:val="24"/>
        </w:rPr>
        <w:t xml:space="preserve">to </w:t>
      </w:r>
      <w:r>
        <w:rPr>
          <w:rFonts w:ascii="Times New Roman" w:hAnsi="Times New Roman" w:cs="Times New Roman"/>
          <w:sz w:val="24"/>
          <w:szCs w:val="24"/>
        </w:rPr>
        <w:t xml:space="preserve">take into account the costs imposed </w:t>
      </w:r>
      <w:r w:rsidR="00314E79">
        <w:rPr>
          <w:rFonts w:ascii="Times New Roman" w:hAnsi="Times New Roman" w:cs="Times New Roman"/>
          <w:sz w:val="24"/>
          <w:szCs w:val="24"/>
        </w:rPr>
        <w:t xml:space="preserve">at the level of any </w:t>
      </w:r>
      <w:r w:rsidR="00DA5308">
        <w:rPr>
          <w:rFonts w:ascii="Times New Roman" w:hAnsi="Times New Roman" w:cs="Times New Roman"/>
          <w:sz w:val="24"/>
          <w:szCs w:val="24"/>
        </w:rPr>
        <w:t>vehicle</w:t>
      </w:r>
      <w:r w:rsidR="00314E79">
        <w:rPr>
          <w:rFonts w:ascii="Times New Roman" w:hAnsi="Times New Roman" w:cs="Times New Roman"/>
          <w:sz w:val="24"/>
          <w:szCs w:val="24"/>
        </w:rPr>
        <w:t xml:space="preserve"> through which a body, trust or partnership that is not of itself an interposed </w:t>
      </w:r>
      <w:r w:rsidR="00DA5308">
        <w:rPr>
          <w:rFonts w:ascii="Times New Roman" w:hAnsi="Times New Roman" w:cs="Times New Roman"/>
          <w:sz w:val="24"/>
          <w:szCs w:val="24"/>
        </w:rPr>
        <w:t>vehicle</w:t>
      </w:r>
      <w:r w:rsidR="00314E79">
        <w:rPr>
          <w:rFonts w:ascii="Times New Roman" w:hAnsi="Times New Roman" w:cs="Times New Roman"/>
          <w:sz w:val="24"/>
          <w:szCs w:val="24"/>
        </w:rPr>
        <w:t xml:space="preserve"> invests. </w:t>
      </w:r>
      <w:r w:rsidR="00DA5308">
        <w:rPr>
          <w:rFonts w:ascii="Times New Roman" w:hAnsi="Times New Roman" w:cs="Times New Roman"/>
          <w:sz w:val="24"/>
          <w:szCs w:val="24"/>
        </w:rPr>
        <w:t xml:space="preserve">For example, if a superannuation product invests in a listed company that is not </w:t>
      </w:r>
      <w:r w:rsidR="00D96F41">
        <w:rPr>
          <w:rFonts w:ascii="Times New Roman" w:hAnsi="Times New Roman" w:cs="Times New Roman"/>
          <w:sz w:val="24"/>
          <w:szCs w:val="24"/>
        </w:rPr>
        <w:t xml:space="preserve">an </w:t>
      </w:r>
      <w:r w:rsidR="00DA5308">
        <w:rPr>
          <w:rFonts w:ascii="Times New Roman" w:hAnsi="Times New Roman" w:cs="Times New Roman"/>
          <w:sz w:val="24"/>
          <w:szCs w:val="24"/>
        </w:rPr>
        <w:t>interposed vehicle and this company invests in another vehicle</w:t>
      </w:r>
      <w:r w:rsidR="00A93578">
        <w:rPr>
          <w:rFonts w:ascii="Times New Roman" w:hAnsi="Times New Roman" w:cs="Times New Roman"/>
          <w:sz w:val="24"/>
          <w:szCs w:val="24"/>
        </w:rPr>
        <w:t xml:space="preserve"> </w:t>
      </w:r>
      <w:r w:rsidR="00BB16A1">
        <w:rPr>
          <w:rFonts w:ascii="Times New Roman" w:hAnsi="Times New Roman" w:cs="Times New Roman"/>
          <w:sz w:val="24"/>
          <w:szCs w:val="24"/>
        </w:rPr>
        <w:t>such as</w:t>
      </w:r>
      <w:r w:rsidR="00BB16A1">
        <w:rPr>
          <w:rFonts w:ascii="Times New Roman" w:hAnsi="Times New Roman" w:cs="Times New Roman"/>
          <w:sz w:val="24"/>
          <w:szCs w:val="24"/>
        </w:rPr>
        <w:t xml:space="preserve"> </w:t>
      </w:r>
      <w:r w:rsidR="00A93578">
        <w:rPr>
          <w:rFonts w:ascii="Times New Roman" w:hAnsi="Times New Roman" w:cs="Times New Roman"/>
          <w:sz w:val="24"/>
          <w:szCs w:val="24"/>
        </w:rPr>
        <w:t>an investment trust</w:t>
      </w:r>
      <w:r w:rsidR="00DA5308">
        <w:rPr>
          <w:rFonts w:ascii="Times New Roman" w:hAnsi="Times New Roman" w:cs="Times New Roman"/>
          <w:sz w:val="24"/>
          <w:szCs w:val="24"/>
        </w:rPr>
        <w:t xml:space="preserve"> then the costs of this downstream interposed vehicle will not</w:t>
      </w:r>
      <w:r w:rsidR="00BB16A1">
        <w:rPr>
          <w:rFonts w:ascii="Times New Roman" w:hAnsi="Times New Roman" w:cs="Times New Roman"/>
          <w:sz w:val="24"/>
          <w:szCs w:val="24"/>
        </w:rPr>
        <w:t xml:space="preserve"> be</w:t>
      </w:r>
      <w:r w:rsidR="00DA5308">
        <w:rPr>
          <w:rFonts w:ascii="Times New Roman" w:hAnsi="Times New Roman" w:cs="Times New Roman"/>
          <w:sz w:val="24"/>
          <w:szCs w:val="24"/>
        </w:rPr>
        <w:t xml:space="preserve"> </w:t>
      </w:r>
      <w:r w:rsidR="00031CEE">
        <w:rPr>
          <w:rFonts w:ascii="Times New Roman" w:hAnsi="Times New Roman" w:cs="Times New Roman"/>
          <w:sz w:val="24"/>
          <w:szCs w:val="24"/>
        </w:rPr>
        <w:t>taken into account by the issuer of the superannuation product for the purposes of disclosing the product's costs in the PDS.</w:t>
      </w:r>
      <w:r w:rsidR="00DA5308">
        <w:rPr>
          <w:rFonts w:ascii="Times New Roman" w:hAnsi="Times New Roman" w:cs="Times New Roman"/>
          <w:sz w:val="24"/>
          <w:szCs w:val="24"/>
        </w:rPr>
        <w:t xml:space="preserve"> </w:t>
      </w:r>
      <w:r w:rsidR="00514E77" w:rsidRPr="00514E77">
        <w:rPr>
          <w:rFonts w:ascii="Times New Roman" w:hAnsi="Times New Roman" w:cs="Times New Roman"/>
          <w:sz w:val="24"/>
          <w:szCs w:val="24"/>
        </w:rPr>
        <w:t xml:space="preserve"> </w:t>
      </w:r>
    </w:p>
    <w:p w:rsidR="00A63F5D" w:rsidRPr="00FA448A" w:rsidRDefault="00A63F5D" w:rsidP="002C545C">
      <w:pPr>
        <w:tabs>
          <w:tab w:val="left" w:pos="1800"/>
        </w:tabs>
        <w:spacing w:after="0" w:line="240" w:lineRule="auto"/>
        <w:rPr>
          <w:rFonts w:ascii="Times New Roman" w:hAnsi="Times New Roman" w:cs="Times New Roman"/>
          <w:sz w:val="24"/>
          <w:szCs w:val="24"/>
        </w:rPr>
      </w:pPr>
    </w:p>
    <w:p w:rsidR="000A6259" w:rsidRPr="00FA448A" w:rsidRDefault="000A6259" w:rsidP="00CC51BC">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The indirect cost of a product or option includes an over the counter (OTC) derivative buy-sell spread. The buy-sell spread is the amount that would be required to acquire the derivative at the relevant time exceeds the amount that would be obtained on its disposal at that time attributable to the product or option or an interposed vehicle through which the property attributable to the product or option is invested.</w:t>
      </w:r>
      <w:r w:rsidR="0028641E">
        <w:rPr>
          <w:rFonts w:ascii="Times New Roman" w:hAnsi="Times New Roman" w:cs="Times New Roman"/>
          <w:sz w:val="24"/>
          <w:szCs w:val="24"/>
        </w:rPr>
        <w:t xml:space="preserve"> </w:t>
      </w:r>
      <w:r w:rsidR="00FE3CC1">
        <w:rPr>
          <w:rFonts w:ascii="Times New Roman" w:hAnsi="Times New Roman" w:cs="Times New Roman"/>
          <w:sz w:val="24"/>
          <w:szCs w:val="24"/>
        </w:rPr>
        <w:t>D</w:t>
      </w:r>
      <w:r w:rsidR="0028641E">
        <w:rPr>
          <w:rFonts w:ascii="Times New Roman" w:hAnsi="Times New Roman" w:cs="Times New Roman"/>
          <w:sz w:val="24"/>
          <w:szCs w:val="24"/>
        </w:rPr>
        <w:t>erivatives</w:t>
      </w:r>
      <w:r w:rsidR="00FE3CC1">
        <w:rPr>
          <w:rFonts w:ascii="Times New Roman" w:hAnsi="Times New Roman" w:cs="Times New Roman"/>
          <w:sz w:val="24"/>
          <w:szCs w:val="24"/>
        </w:rPr>
        <w:t xml:space="preserve"> that are not traded on a financial market (OTC derivatives)</w:t>
      </w:r>
      <w:r w:rsidR="0028641E">
        <w:rPr>
          <w:rFonts w:ascii="Times New Roman" w:hAnsi="Times New Roman" w:cs="Times New Roman"/>
          <w:sz w:val="24"/>
          <w:szCs w:val="24"/>
        </w:rPr>
        <w:t xml:space="preserve"> are sometimes used</w:t>
      </w:r>
      <w:r w:rsidR="00A336DB">
        <w:rPr>
          <w:rFonts w:ascii="Times New Roman" w:hAnsi="Times New Roman" w:cs="Times New Roman"/>
          <w:sz w:val="24"/>
          <w:szCs w:val="24"/>
        </w:rPr>
        <w:t xml:space="preserve"> in a similar manner to interposed </w:t>
      </w:r>
      <w:proofErr w:type="gramStart"/>
      <w:r w:rsidR="00A336DB">
        <w:rPr>
          <w:rFonts w:ascii="Times New Roman" w:hAnsi="Times New Roman" w:cs="Times New Roman"/>
          <w:sz w:val="24"/>
          <w:szCs w:val="24"/>
        </w:rPr>
        <w:t>vehicles, that</w:t>
      </w:r>
      <w:proofErr w:type="gramEnd"/>
      <w:r w:rsidR="00A336DB">
        <w:rPr>
          <w:rFonts w:ascii="Times New Roman" w:hAnsi="Times New Roman" w:cs="Times New Roman"/>
          <w:sz w:val="24"/>
          <w:szCs w:val="24"/>
        </w:rPr>
        <w:t xml:space="preserve"> is </w:t>
      </w:r>
      <w:r w:rsidR="0028641E">
        <w:rPr>
          <w:rFonts w:ascii="Times New Roman" w:hAnsi="Times New Roman" w:cs="Times New Roman"/>
          <w:sz w:val="24"/>
          <w:szCs w:val="24"/>
        </w:rPr>
        <w:t xml:space="preserve">to gain ongoing </w:t>
      </w:r>
      <w:r w:rsidR="00A336DB">
        <w:rPr>
          <w:rFonts w:ascii="Times New Roman" w:hAnsi="Times New Roman" w:cs="Times New Roman"/>
          <w:sz w:val="24"/>
          <w:szCs w:val="24"/>
        </w:rPr>
        <w:t xml:space="preserve">economic </w:t>
      </w:r>
      <w:r w:rsidR="0028641E">
        <w:rPr>
          <w:rFonts w:ascii="Times New Roman" w:hAnsi="Times New Roman" w:cs="Times New Roman"/>
          <w:sz w:val="24"/>
          <w:szCs w:val="24"/>
        </w:rPr>
        <w:t>exposure to movement of particular assets, such as commodities, as part of the product issuer's investment strategy to meet the product or investment option's investment objective.</w:t>
      </w:r>
      <w:r w:rsidR="00FE3CC1">
        <w:rPr>
          <w:rFonts w:ascii="Times New Roman" w:hAnsi="Times New Roman" w:cs="Times New Roman"/>
          <w:sz w:val="24"/>
          <w:szCs w:val="24"/>
        </w:rPr>
        <w:t xml:space="preserve"> The buy-sell spread will include the costs of the counterparty managing the exposure.</w:t>
      </w:r>
      <w:r w:rsidR="0028641E">
        <w:rPr>
          <w:rFonts w:ascii="Times New Roman" w:hAnsi="Times New Roman" w:cs="Times New Roman"/>
          <w:sz w:val="24"/>
          <w:szCs w:val="24"/>
        </w:rPr>
        <w:t xml:space="preserve"> It is therefore important that the buy-sell spread of OTC derivatives is included in the indirect costs of the product or investment option. </w:t>
      </w:r>
    </w:p>
    <w:p w:rsidR="000A6259" w:rsidRPr="00FA448A" w:rsidRDefault="000A6259" w:rsidP="00CC51BC">
      <w:pPr>
        <w:tabs>
          <w:tab w:val="left" w:pos="1800"/>
        </w:tabs>
        <w:spacing w:after="0" w:line="240" w:lineRule="auto"/>
        <w:rPr>
          <w:rFonts w:ascii="Times New Roman" w:hAnsi="Times New Roman" w:cs="Times New Roman"/>
          <w:sz w:val="24"/>
          <w:szCs w:val="24"/>
        </w:rPr>
      </w:pPr>
    </w:p>
    <w:p w:rsidR="000A6259" w:rsidRPr="00FA448A" w:rsidRDefault="000A6259" w:rsidP="00CC51BC">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 xml:space="preserve">The indirect costs of a managed investment product or an investment option of a </w:t>
      </w:r>
      <w:r w:rsidR="00093E58" w:rsidRPr="00FA448A">
        <w:rPr>
          <w:rFonts w:ascii="Times New Roman" w:hAnsi="Times New Roman" w:cs="Times New Roman"/>
          <w:sz w:val="24"/>
          <w:szCs w:val="24"/>
        </w:rPr>
        <w:t>registered</w:t>
      </w:r>
      <w:r w:rsidRPr="00FA448A">
        <w:rPr>
          <w:rFonts w:ascii="Times New Roman" w:hAnsi="Times New Roman" w:cs="Times New Roman"/>
          <w:sz w:val="24"/>
          <w:szCs w:val="24"/>
        </w:rPr>
        <w:t xml:space="preserve"> scheme does not include the buy-sell spread </w:t>
      </w:r>
      <w:r w:rsidR="00AF78C7" w:rsidRPr="00FA448A">
        <w:rPr>
          <w:rFonts w:ascii="Times New Roman" w:hAnsi="Times New Roman" w:cs="Times New Roman"/>
          <w:sz w:val="24"/>
          <w:szCs w:val="24"/>
        </w:rPr>
        <w:t xml:space="preserve">and any other costs associated with the acquisition or disposal of </w:t>
      </w:r>
      <w:r w:rsidRPr="00FA448A">
        <w:rPr>
          <w:rFonts w:ascii="Times New Roman" w:hAnsi="Times New Roman" w:cs="Times New Roman"/>
          <w:sz w:val="24"/>
          <w:szCs w:val="24"/>
        </w:rPr>
        <w:t>an OTC derivative</w:t>
      </w:r>
      <w:r w:rsidR="00AF78C7" w:rsidRPr="00FA448A">
        <w:rPr>
          <w:rFonts w:ascii="Times New Roman" w:hAnsi="Times New Roman" w:cs="Times New Roman"/>
          <w:sz w:val="24"/>
          <w:szCs w:val="24"/>
        </w:rPr>
        <w:t xml:space="preserve"> where</w:t>
      </w:r>
      <w:r w:rsidRPr="00FA448A">
        <w:rPr>
          <w:rFonts w:ascii="Times New Roman" w:hAnsi="Times New Roman" w:cs="Times New Roman"/>
          <w:sz w:val="24"/>
          <w:szCs w:val="24"/>
        </w:rPr>
        <w:t xml:space="preserve"> the derivative is acquired or disposed of for the primary purpose of avoiding or limiting the financial </w:t>
      </w:r>
      <w:r w:rsidR="00AF78C7" w:rsidRPr="00FA448A">
        <w:rPr>
          <w:rFonts w:ascii="Times New Roman" w:hAnsi="Times New Roman" w:cs="Times New Roman"/>
          <w:sz w:val="24"/>
          <w:szCs w:val="24"/>
        </w:rPr>
        <w:t>consequences of fluctuations in, or in the value of, receipts or costs of the managed investment scheme (</w:t>
      </w:r>
      <w:r w:rsidR="00093E58" w:rsidRPr="00FA448A">
        <w:rPr>
          <w:rFonts w:ascii="Times New Roman" w:hAnsi="Times New Roman" w:cs="Times New Roman"/>
          <w:sz w:val="24"/>
          <w:szCs w:val="24"/>
        </w:rPr>
        <w:t>h</w:t>
      </w:r>
      <w:r w:rsidR="00AF78C7" w:rsidRPr="00FA448A">
        <w:rPr>
          <w:rFonts w:ascii="Times New Roman" w:hAnsi="Times New Roman" w:cs="Times New Roman"/>
          <w:sz w:val="24"/>
          <w:szCs w:val="24"/>
        </w:rPr>
        <w:t>edging)</w:t>
      </w:r>
      <w:r w:rsidR="00093E58" w:rsidRPr="00FA448A">
        <w:rPr>
          <w:rFonts w:ascii="Times New Roman" w:hAnsi="Times New Roman" w:cs="Times New Roman"/>
          <w:sz w:val="24"/>
          <w:szCs w:val="24"/>
        </w:rPr>
        <w:t xml:space="preserve">. </w:t>
      </w:r>
      <w:r w:rsidR="00AF78C7" w:rsidRPr="00FA448A">
        <w:rPr>
          <w:rFonts w:ascii="Times New Roman" w:hAnsi="Times New Roman" w:cs="Times New Roman"/>
          <w:sz w:val="24"/>
          <w:szCs w:val="24"/>
        </w:rPr>
        <w:t xml:space="preserve">This is the case regardless of whether the property is held or invested through an interposed vehicle. Any buy/sell spread and other costs of an OTC derivative that are excluded from the indirect cost of a managed investment product or an investment option of a </w:t>
      </w:r>
      <w:r w:rsidR="00FA448A" w:rsidRPr="00FA448A">
        <w:rPr>
          <w:rFonts w:ascii="Times New Roman" w:hAnsi="Times New Roman" w:cs="Times New Roman"/>
          <w:sz w:val="24"/>
          <w:szCs w:val="24"/>
        </w:rPr>
        <w:t>registered</w:t>
      </w:r>
      <w:r w:rsidR="00AF78C7" w:rsidRPr="00FA448A">
        <w:rPr>
          <w:rFonts w:ascii="Times New Roman" w:hAnsi="Times New Roman" w:cs="Times New Roman"/>
          <w:sz w:val="24"/>
          <w:szCs w:val="24"/>
        </w:rPr>
        <w:t xml:space="preserve"> scheme because of the OTC derivative was acquired or disposed for the purposes of hedging are likely to be transaction costs under clause 102 </w:t>
      </w:r>
      <w:r w:rsidR="00531227">
        <w:rPr>
          <w:rFonts w:ascii="Times New Roman" w:hAnsi="Times New Roman" w:cs="Times New Roman"/>
          <w:sz w:val="24"/>
          <w:szCs w:val="24"/>
        </w:rPr>
        <w:t>of Schedule 10</w:t>
      </w:r>
      <w:r w:rsidR="00AF78C7" w:rsidRPr="00FA448A">
        <w:rPr>
          <w:rFonts w:ascii="Times New Roman" w:hAnsi="Times New Roman" w:cs="Times New Roman"/>
          <w:sz w:val="24"/>
          <w:szCs w:val="24"/>
        </w:rPr>
        <w:t xml:space="preserve">. Transaction costs are included in indirect costs for superannuation products and investment options. </w:t>
      </w:r>
    </w:p>
    <w:p w:rsidR="005E373F" w:rsidRPr="00FA448A" w:rsidRDefault="005E373F" w:rsidP="002C545C">
      <w:pPr>
        <w:tabs>
          <w:tab w:val="left" w:pos="1800"/>
        </w:tabs>
        <w:spacing w:after="0" w:line="240" w:lineRule="auto"/>
        <w:rPr>
          <w:rFonts w:ascii="Times New Roman" w:hAnsi="Times New Roman" w:cs="Times New Roman"/>
          <w:sz w:val="24"/>
          <w:szCs w:val="24"/>
        </w:rPr>
      </w:pPr>
    </w:p>
    <w:p w:rsidR="00AF78C7" w:rsidRPr="00FA448A" w:rsidRDefault="009164AA" w:rsidP="002C545C">
      <w:pPr>
        <w:tabs>
          <w:tab w:val="left" w:pos="1800"/>
        </w:tabs>
        <w:spacing w:after="0" w:line="240" w:lineRule="auto"/>
        <w:rPr>
          <w:rFonts w:ascii="Times New Roman" w:hAnsi="Times New Roman" w:cs="Times New Roman"/>
          <w:sz w:val="24"/>
          <w:szCs w:val="24"/>
        </w:rPr>
      </w:pPr>
      <w:r w:rsidRPr="00531227">
        <w:rPr>
          <w:rFonts w:ascii="Times New Roman" w:hAnsi="Times New Roman" w:cs="Times New Roman"/>
          <w:sz w:val="24"/>
          <w:szCs w:val="24"/>
        </w:rPr>
        <w:t>Subparagraph</w:t>
      </w:r>
      <w:r w:rsidR="00AF78C7" w:rsidRPr="00531227">
        <w:rPr>
          <w:rFonts w:ascii="Times New Roman" w:hAnsi="Times New Roman" w:cs="Times New Roman"/>
          <w:sz w:val="24"/>
          <w:szCs w:val="24"/>
        </w:rPr>
        <w:t xml:space="preserve"> 6(b</w:t>
      </w:r>
      <w:proofErr w:type="gramStart"/>
      <w:r w:rsidR="00AF78C7" w:rsidRPr="00531227">
        <w:rPr>
          <w:rFonts w:ascii="Times New Roman" w:hAnsi="Times New Roman" w:cs="Times New Roman"/>
          <w:sz w:val="24"/>
          <w:szCs w:val="24"/>
        </w:rPr>
        <w:t>)(</w:t>
      </w:r>
      <w:proofErr w:type="spellStart"/>
      <w:proofErr w:type="gramEnd"/>
      <w:r w:rsidR="00AF78C7" w:rsidRPr="00531227">
        <w:rPr>
          <w:rFonts w:ascii="Times New Roman" w:hAnsi="Times New Roman" w:cs="Times New Roman"/>
          <w:sz w:val="24"/>
          <w:szCs w:val="24"/>
        </w:rPr>
        <w:t>i</w:t>
      </w:r>
      <w:proofErr w:type="spellEnd"/>
      <w:r w:rsidR="00AF78C7" w:rsidRPr="00531227">
        <w:rPr>
          <w:rFonts w:ascii="Times New Roman" w:hAnsi="Times New Roman" w:cs="Times New Roman"/>
          <w:sz w:val="24"/>
          <w:szCs w:val="24"/>
        </w:rPr>
        <w:t xml:space="preserve">) of the class order modifies </w:t>
      </w:r>
      <w:r w:rsidR="0099188D">
        <w:rPr>
          <w:rFonts w:ascii="Times New Roman" w:hAnsi="Times New Roman" w:cs="Times New Roman"/>
          <w:sz w:val="24"/>
          <w:szCs w:val="24"/>
        </w:rPr>
        <w:t>paragraph</w:t>
      </w:r>
      <w:r w:rsidR="0099188D" w:rsidRPr="00531227">
        <w:rPr>
          <w:rFonts w:ascii="Times New Roman" w:hAnsi="Times New Roman" w:cs="Times New Roman"/>
          <w:sz w:val="24"/>
          <w:szCs w:val="24"/>
        </w:rPr>
        <w:t xml:space="preserve"> </w:t>
      </w:r>
      <w:r w:rsidR="00AF78C7" w:rsidRPr="00531227">
        <w:rPr>
          <w:rFonts w:ascii="Times New Roman" w:hAnsi="Times New Roman" w:cs="Times New Roman"/>
          <w:sz w:val="24"/>
          <w:szCs w:val="24"/>
        </w:rPr>
        <w:t xml:space="preserve">102(1)(h) </w:t>
      </w:r>
      <w:r w:rsidR="00531227">
        <w:rPr>
          <w:rFonts w:ascii="Times New Roman" w:hAnsi="Times New Roman" w:cs="Times New Roman"/>
          <w:sz w:val="24"/>
          <w:szCs w:val="24"/>
        </w:rPr>
        <w:t xml:space="preserve">of Schedule 10 </w:t>
      </w:r>
      <w:r w:rsidR="00AF78C7" w:rsidRPr="00FA448A">
        <w:rPr>
          <w:rFonts w:ascii="Times New Roman" w:hAnsi="Times New Roman" w:cs="Times New Roman"/>
          <w:sz w:val="24"/>
          <w:szCs w:val="24"/>
        </w:rPr>
        <w:t xml:space="preserve">by including indirect costs in the definition of </w:t>
      </w:r>
      <w:r w:rsidR="00AF78C7" w:rsidRPr="00031CEE">
        <w:rPr>
          <w:rFonts w:ascii="Times New Roman" w:hAnsi="Times New Roman" w:cs="Times New Roman"/>
          <w:b/>
          <w:i/>
          <w:sz w:val="24"/>
          <w:szCs w:val="24"/>
        </w:rPr>
        <w:t>management costs</w:t>
      </w:r>
      <w:r w:rsidR="00AF78C7" w:rsidRPr="00FA448A">
        <w:rPr>
          <w:rFonts w:ascii="Times New Roman" w:hAnsi="Times New Roman" w:cs="Times New Roman"/>
          <w:sz w:val="24"/>
          <w:szCs w:val="24"/>
        </w:rPr>
        <w:t xml:space="preserve">. This modification </w:t>
      </w:r>
      <w:r w:rsidR="00E248E0">
        <w:rPr>
          <w:rFonts w:ascii="Times New Roman" w:hAnsi="Times New Roman" w:cs="Times New Roman"/>
          <w:sz w:val="24"/>
          <w:szCs w:val="24"/>
        </w:rPr>
        <w:t>avoids any doubt</w:t>
      </w:r>
      <w:r w:rsidR="00E248E0" w:rsidRPr="00FA448A">
        <w:rPr>
          <w:rFonts w:ascii="Times New Roman" w:hAnsi="Times New Roman" w:cs="Times New Roman"/>
          <w:sz w:val="24"/>
          <w:szCs w:val="24"/>
        </w:rPr>
        <w:t xml:space="preserve"> </w:t>
      </w:r>
      <w:r w:rsidR="00AF78C7" w:rsidRPr="00FA448A">
        <w:rPr>
          <w:rFonts w:ascii="Times New Roman" w:hAnsi="Times New Roman" w:cs="Times New Roman"/>
          <w:sz w:val="24"/>
          <w:szCs w:val="24"/>
        </w:rPr>
        <w:t>that indirect costs, as modified by the class order, will need to be included in the calculation of the management costs.</w:t>
      </w:r>
    </w:p>
    <w:p w:rsidR="00AF78C7" w:rsidRPr="00FA448A" w:rsidRDefault="00AF78C7" w:rsidP="002C545C">
      <w:pPr>
        <w:tabs>
          <w:tab w:val="left" w:pos="1800"/>
        </w:tabs>
        <w:spacing w:after="0" w:line="240" w:lineRule="auto"/>
        <w:rPr>
          <w:rFonts w:ascii="Times New Roman" w:hAnsi="Times New Roman" w:cs="Times New Roman"/>
          <w:sz w:val="24"/>
          <w:szCs w:val="24"/>
        </w:rPr>
      </w:pPr>
    </w:p>
    <w:p w:rsidR="00AF78C7" w:rsidRPr="00FA448A" w:rsidRDefault="009164AA" w:rsidP="002C545C">
      <w:pPr>
        <w:tabs>
          <w:tab w:val="left" w:pos="1800"/>
        </w:tabs>
        <w:spacing w:after="0" w:line="240" w:lineRule="auto"/>
        <w:rPr>
          <w:rFonts w:ascii="Times New Roman" w:hAnsi="Times New Roman" w:cs="Times New Roman"/>
          <w:sz w:val="24"/>
          <w:szCs w:val="24"/>
        </w:rPr>
      </w:pPr>
      <w:r w:rsidRPr="00531227">
        <w:rPr>
          <w:rFonts w:ascii="Times New Roman" w:hAnsi="Times New Roman" w:cs="Times New Roman"/>
          <w:sz w:val="24"/>
          <w:szCs w:val="24"/>
        </w:rPr>
        <w:t>Subparagraph</w:t>
      </w:r>
      <w:r w:rsidR="00AF78C7" w:rsidRPr="00531227">
        <w:rPr>
          <w:rFonts w:ascii="Times New Roman" w:hAnsi="Times New Roman" w:cs="Times New Roman"/>
          <w:sz w:val="24"/>
          <w:szCs w:val="24"/>
        </w:rPr>
        <w:t xml:space="preserve"> 6(b)(ii) of the class order modifies </w:t>
      </w:r>
      <w:r w:rsidR="0099188D">
        <w:rPr>
          <w:rFonts w:ascii="Times New Roman" w:hAnsi="Times New Roman" w:cs="Times New Roman"/>
          <w:sz w:val="24"/>
          <w:szCs w:val="24"/>
        </w:rPr>
        <w:t>paragraph</w:t>
      </w:r>
      <w:r w:rsidR="0099188D" w:rsidRPr="00531227">
        <w:rPr>
          <w:rFonts w:ascii="Times New Roman" w:hAnsi="Times New Roman" w:cs="Times New Roman"/>
          <w:sz w:val="24"/>
          <w:szCs w:val="24"/>
        </w:rPr>
        <w:t xml:space="preserve"> </w:t>
      </w:r>
      <w:r w:rsidR="00AF78C7" w:rsidRPr="00531227">
        <w:rPr>
          <w:rFonts w:ascii="Times New Roman" w:hAnsi="Times New Roman" w:cs="Times New Roman"/>
          <w:sz w:val="24"/>
          <w:szCs w:val="24"/>
        </w:rPr>
        <w:t xml:space="preserve">102(2)(b) </w:t>
      </w:r>
      <w:r w:rsidR="00531227">
        <w:rPr>
          <w:rFonts w:ascii="Times New Roman" w:hAnsi="Times New Roman" w:cs="Times New Roman"/>
          <w:sz w:val="24"/>
          <w:szCs w:val="24"/>
        </w:rPr>
        <w:t xml:space="preserve">of Schedule 10 </w:t>
      </w:r>
      <w:r w:rsidR="00AF78C7" w:rsidRPr="00FA448A">
        <w:rPr>
          <w:rFonts w:ascii="Times New Roman" w:hAnsi="Times New Roman" w:cs="Times New Roman"/>
          <w:sz w:val="24"/>
          <w:szCs w:val="24"/>
        </w:rPr>
        <w:t xml:space="preserve">to exclude from the transactional costs and operational costs, which are not are not management costs for a managed investment product, any buy/sell spread of an OTC derivative included in the indirect cost under </w:t>
      </w:r>
      <w:r w:rsidR="00E248E0">
        <w:rPr>
          <w:rFonts w:ascii="Times New Roman" w:hAnsi="Times New Roman" w:cs="Times New Roman"/>
          <w:sz w:val="24"/>
          <w:szCs w:val="24"/>
        </w:rPr>
        <w:t>notional paragraph 101A</w:t>
      </w:r>
      <w:r w:rsidR="00652E41" w:rsidRPr="00FA448A">
        <w:rPr>
          <w:rFonts w:ascii="Times New Roman" w:hAnsi="Times New Roman" w:cs="Times New Roman"/>
          <w:sz w:val="24"/>
          <w:szCs w:val="24"/>
        </w:rPr>
        <w:t>.</w:t>
      </w:r>
    </w:p>
    <w:p w:rsidR="00652E41" w:rsidRPr="00FA448A" w:rsidRDefault="00652E41" w:rsidP="002C545C">
      <w:pPr>
        <w:tabs>
          <w:tab w:val="left" w:pos="1800"/>
        </w:tabs>
        <w:spacing w:after="0" w:line="240" w:lineRule="auto"/>
        <w:rPr>
          <w:rFonts w:ascii="Times New Roman" w:hAnsi="Times New Roman" w:cs="Times New Roman"/>
          <w:sz w:val="24"/>
          <w:szCs w:val="24"/>
        </w:rPr>
      </w:pPr>
    </w:p>
    <w:p w:rsidR="00652E41" w:rsidRPr="00531227" w:rsidRDefault="009164AA" w:rsidP="002C545C">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Subparagraph</w:t>
      </w:r>
      <w:r w:rsidR="00652E41" w:rsidRPr="00FA448A">
        <w:rPr>
          <w:rFonts w:ascii="Times New Roman" w:hAnsi="Times New Roman" w:cs="Times New Roman"/>
          <w:sz w:val="24"/>
          <w:szCs w:val="24"/>
        </w:rPr>
        <w:t xml:space="preserve"> 6(b</w:t>
      </w:r>
      <w:proofErr w:type="gramStart"/>
      <w:r w:rsidR="00652E41" w:rsidRPr="00FA448A">
        <w:rPr>
          <w:rFonts w:ascii="Times New Roman" w:hAnsi="Times New Roman" w:cs="Times New Roman"/>
          <w:sz w:val="24"/>
          <w:szCs w:val="24"/>
        </w:rPr>
        <w:t>)(</w:t>
      </w:r>
      <w:proofErr w:type="gramEnd"/>
      <w:r w:rsidR="00652E41" w:rsidRPr="00FA448A">
        <w:rPr>
          <w:rFonts w:ascii="Times New Roman" w:hAnsi="Times New Roman" w:cs="Times New Roman"/>
          <w:sz w:val="24"/>
          <w:szCs w:val="24"/>
        </w:rPr>
        <w:t xml:space="preserve">iii) of the class order modifies </w:t>
      </w:r>
      <w:r w:rsidR="0099188D">
        <w:rPr>
          <w:rFonts w:ascii="Times New Roman" w:hAnsi="Times New Roman" w:cs="Times New Roman"/>
          <w:sz w:val="24"/>
          <w:szCs w:val="24"/>
        </w:rPr>
        <w:t>paragraph</w:t>
      </w:r>
      <w:r w:rsidR="0099188D" w:rsidRPr="00FA448A">
        <w:rPr>
          <w:rFonts w:ascii="Times New Roman" w:hAnsi="Times New Roman" w:cs="Times New Roman"/>
          <w:sz w:val="24"/>
          <w:szCs w:val="24"/>
        </w:rPr>
        <w:t xml:space="preserve"> </w:t>
      </w:r>
      <w:r w:rsidR="00652E41" w:rsidRPr="00FA448A">
        <w:rPr>
          <w:rFonts w:ascii="Times New Roman" w:hAnsi="Times New Roman" w:cs="Times New Roman"/>
          <w:sz w:val="24"/>
          <w:szCs w:val="24"/>
        </w:rPr>
        <w:t>102(2)(h)</w:t>
      </w:r>
      <w:r w:rsidR="00531227" w:rsidRPr="00531227">
        <w:rPr>
          <w:rFonts w:ascii="Times New Roman" w:hAnsi="Times New Roman" w:cs="Times New Roman"/>
          <w:sz w:val="24"/>
          <w:szCs w:val="24"/>
        </w:rPr>
        <w:t xml:space="preserve"> </w:t>
      </w:r>
      <w:r w:rsidR="00531227">
        <w:rPr>
          <w:rFonts w:ascii="Times New Roman" w:hAnsi="Times New Roman" w:cs="Times New Roman"/>
          <w:sz w:val="24"/>
          <w:szCs w:val="24"/>
        </w:rPr>
        <w:t xml:space="preserve">of Schedule 10 </w:t>
      </w:r>
      <w:r w:rsidR="00652E41" w:rsidRPr="00531227">
        <w:rPr>
          <w:rFonts w:ascii="Times New Roman" w:hAnsi="Times New Roman" w:cs="Times New Roman"/>
          <w:sz w:val="24"/>
          <w:szCs w:val="24"/>
        </w:rPr>
        <w:t>to exclude from costs, which are not management costs for a managed investment product, any costs (related to a specific asset, other than a right or holding in an interposed vehicle, or activity to produce income) that an investor would incur if he or she invested directly in the asset.</w:t>
      </w:r>
      <w:r w:rsidR="00E248E0">
        <w:rPr>
          <w:rFonts w:ascii="Times New Roman" w:hAnsi="Times New Roman" w:cs="Times New Roman"/>
          <w:sz w:val="24"/>
          <w:szCs w:val="24"/>
        </w:rPr>
        <w:t xml:space="preserve"> The effect of the amendment is to ensure costs in interposed vehicles are not excluded from management costs on this basis.</w:t>
      </w:r>
    </w:p>
    <w:p w:rsidR="00652E41" w:rsidRPr="00FA448A" w:rsidRDefault="00652E41" w:rsidP="002C545C">
      <w:pPr>
        <w:tabs>
          <w:tab w:val="left" w:pos="1800"/>
        </w:tabs>
        <w:spacing w:after="0" w:line="240" w:lineRule="auto"/>
        <w:rPr>
          <w:rFonts w:ascii="Times New Roman" w:hAnsi="Times New Roman" w:cs="Times New Roman"/>
          <w:sz w:val="24"/>
          <w:szCs w:val="24"/>
        </w:rPr>
      </w:pPr>
    </w:p>
    <w:p w:rsidR="00652E41" w:rsidRPr="00531227" w:rsidRDefault="009164AA" w:rsidP="002C545C">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Subparagraph</w:t>
      </w:r>
      <w:r w:rsidR="00652E41" w:rsidRPr="00FA448A">
        <w:rPr>
          <w:rFonts w:ascii="Times New Roman" w:hAnsi="Times New Roman" w:cs="Times New Roman"/>
          <w:sz w:val="24"/>
          <w:szCs w:val="24"/>
        </w:rPr>
        <w:t xml:space="preserve"> 6(c) of the class order omits the reference to insurance costs from the template for </w:t>
      </w:r>
      <w:r w:rsidR="00374F4D">
        <w:rPr>
          <w:rFonts w:ascii="Times New Roman" w:hAnsi="Times New Roman" w:cs="Times New Roman"/>
          <w:sz w:val="24"/>
          <w:szCs w:val="24"/>
        </w:rPr>
        <w:t xml:space="preserve">setting out information about </w:t>
      </w:r>
      <w:r w:rsidR="00652E41" w:rsidRPr="00FA448A">
        <w:rPr>
          <w:rFonts w:ascii="Times New Roman" w:hAnsi="Times New Roman" w:cs="Times New Roman"/>
          <w:sz w:val="24"/>
          <w:szCs w:val="24"/>
        </w:rPr>
        <w:t xml:space="preserve">a </w:t>
      </w:r>
      <w:bookmarkStart w:id="1" w:name="_Toc382827746"/>
      <w:r w:rsidR="00652E41" w:rsidRPr="00FA448A">
        <w:rPr>
          <w:rFonts w:ascii="Times New Roman" w:hAnsi="Times New Roman" w:cs="Times New Roman"/>
          <w:sz w:val="24"/>
          <w:szCs w:val="24"/>
        </w:rPr>
        <w:t>multiple fee structure</w:t>
      </w:r>
      <w:r w:rsidR="00374F4D">
        <w:rPr>
          <w:rFonts w:ascii="Times New Roman" w:hAnsi="Times New Roman" w:cs="Times New Roman"/>
          <w:sz w:val="24"/>
          <w:szCs w:val="24"/>
        </w:rPr>
        <w:t xml:space="preserve"> for </w:t>
      </w:r>
      <w:r w:rsidR="00652E41" w:rsidRPr="00FA448A">
        <w:rPr>
          <w:rFonts w:ascii="Times New Roman" w:hAnsi="Times New Roman" w:cs="Times New Roman"/>
          <w:sz w:val="24"/>
          <w:szCs w:val="24"/>
        </w:rPr>
        <w:t>managed investment products</w:t>
      </w:r>
      <w:bookmarkEnd w:id="1"/>
      <w:r w:rsidR="00652E41" w:rsidRPr="00FA448A">
        <w:rPr>
          <w:rFonts w:ascii="Times New Roman" w:hAnsi="Times New Roman" w:cs="Times New Roman"/>
          <w:sz w:val="24"/>
          <w:szCs w:val="24"/>
        </w:rPr>
        <w:t xml:space="preserve"> under </w:t>
      </w:r>
      <w:r w:rsidR="009C4739" w:rsidRPr="00FA448A">
        <w:rPr>
          <w:rFonts w:ascii="Times New Roman" w:hAnsi="Times New Roman" w:cs="Times New Roman"/>
          <w:sz w:val="24"/>
          <w:szCs w:val="24"/>
        </w:rPr>
        <w:t>claus</w:t>
      </w:r>
      <w:r w:rsidR="009C4739">
        <w:rPr>
          <w:rFonts w:ascii="Times New Roman" w:hAnsi="Times New Roman" w:cs="Times New Roman"/>
          <w:sz w:val="24"/>
          <w:szCs w:val="24"/>
        </w:rPr>
        <w:t xml:space="preserve">e </w:t>
      </w:r>
      <w:r w:rsidR="00652E41" w:rsidRPr="00FA448A">
        <w:rPr>
          <w:rFonts w:ascii="Times New Roman" w:hAnsi="Times New Roman" w:cs="Times New Roman"/>
          <w:sz w:val="24"/>
          <w:szCs w:val="24"/>
        </w:rPr>
        <w:t xml:space="preserve">202 </w:t>
      </w:r>
      <w:r w:rsidR="00531227">
        <w:rPr>
          <w:rFonts w:ascii="Times New Roman" w:hAnsi="Times New Roman" w:cs="Times New Roman"/>
          <w:sz w:val="24"/>
          <w:szCs w:val="24"/>
        </w:rPr>
        <w:t>of Schedule 10</w:t>
      </w:r>
      <w:r w:rsidR="00652E41" w:rsidRPr="00531227">
        <w:rPr>
          <w:rFonts w:ascii="Times New Roman" w:hAnsi="Times New Roman" w:cs="Times New Roman"/>
          <w:sz w:val="24"/>
          <w:szCs w:val="24"/>
        </w:rPr>
        <w:t>.</w:t>
      </w:r>
    </w:p>
    <w:p w:rsidR="00652E41" w:rsidRPr="00FA448A" w:rsidRDefault="00652E41" w:rsidP="002C545C">
      <w:pPr>
        <w:tabs>
          <w:tab w:val="left" w:pos="1800"/>
        </w:tabs>
        <w:spacing w:after="0" w:line="240" w:lineRule="auto"/>
        <w:rPr>
          <w:rFonts w:ascii="Times New Roman" w:hAnsi="Times New Roman" w:cs="Times New Roman"/>
          <w:sz w:val="24"/>
          <w:szCs w:val="24"/>
        </w:rPr>
      </w:pPr>
    </w:p>
    <w:p w:rsidR="00652E41" w:rsidRPr="00531227" w:rsidRDefault="009164AA" w:rsidP="00652E41">
      <w:pPr>
        <w:tabs>
          <w:tab w:val="left" w:pos="1800"/>
        </w:tabs>
        <w:spacing w:after="0" w:line="240" w:lineRule="auto"/>
        <w:rPr>
          <w:rFonts w:ascii="Times New Roman" w:hAnsi="Times New Roman" w:cs="Times New Roman"/>
          <w:sz w:val="24"/>
          <w:szCs w:val="24"/>
        </w:rPr>
      </w:pPr>
      <w:bookmarkStart w:id="2" w:name="_Toc382827747"/>
      <w:r w:rsidRPr="00FA448A">
        <w:rPr>
          <w:rFonts w:ascii="Times New Roman" w:hAnsi="Times New Roman" w:cs="Times New Roman"/>
          <w:sz w:val="24"/>
          <w:szCs w:val="24"/>
        </w:rPr>
        <w:t>Subparagraph</w:t>
      </w:r>
      <w:r w:rsidR="00652E41" w:rsidRPr="00FA448A">
        <w:rPr>
          <w:rFonts w:ascii="Times New Roman" w:hAnsi="Times New Roman" w:cs="Times New Roman"/>
          <w:sz w:val="24"/>
          <w:szCs w:val="24"/>
        </w:rPr>
        <w:t xml:space="preserve"> 6(d) of the class order omits the reference to insurance costs from the template for </w:t>
      </w:r>
      <w:r w:rsidR="00374F4D">
        <w:rPr>
          <w:rFonts w:ascii="Times New Roman" w:hAnsi="Times New Roman" w:cs="Times New Roman"/>
          <w:sz w:val="24"/>
          <w:szCs w:val="24"/>
        </w:rPr>
        <w:t xml:space="preserve">setting out information about a </w:t>
      </w:r>
      <w:r w:rsidR="00652E41" w:rsidRPr="00FA448A">
        <w:rPr>
          <w:rFonts w:ascii="Times New Roman" w:hAnsi="Times New Roman" w:cs="Times New Roman"/>
          <w:sz w:val="24"/>
          <w:szCs w:val="24"/>
        </w:rPr>
        <w:t>single fee structure</w:t>
      </w:r>
      <w:r w:rsidR="00374F4D">
        <w:rPr>
          <w:rFonts w:ascii="Times New Roman" w:hAnsi="Times New Roman" w:cs="Times New Roman"/>
          <w:sz w:val="24"/>
          <w:szCs w:val="24"/>
        </w:rPr>
        <w:t xml:space="preserve"> for </w:t>
      </w:r>
      <w:r w:rsidR="00652E41" w:rsidRPr="00FA448A">
        <w:rPr>
          <w:rFonts w:ascii="Times New Roman" w:hAnsi="Times New Roman" w:cs="Times New Roman"/>
          <w:sz w:val="24"/>
          <w:szCs w:val="24"/>
        </w:rPr>
        <w:t xml:space="preserve">managed investment products under </w:t>
      </w:r>
      <w:r w:rsidR="00374F4D" w:rsidRPr="00FA448A">
        <w:rPr>
          <w:rFonts w:ascii="Times New Roman" w:hAnsi="Times New Roman" w:cs="Times New Roman"/>
          <w:sz w:val="24"/>
          <w:szCs w:val="24"/>
        </w:rPr>
        <w:t>claus</w:t>
      </w:r>
      <w:r w:rsidR="00374F4D">
        <w:rPr>
          <w:rFonts w:ascii="Times New Roman" w:hAnsi="Times New Roman" w:cs="Times New Roman"/>
          <w:sz w:val="24"/>
          <w:szCs w:val="24"/>
        </w:rPr>
        <w:t>e</w:t>
      </w:r>
      <w:r w:rsidR="00374F4D" w:rsidRPr="00FA448A">
        <w:rPr>
          <w:rFonts w:ascii="Times New Roman" w:hAnsi="Times New Roman" w:cs="Times New Roman"/>
          <w:sz w:val="24"/>
          <w:szCs w:val="24"/>
        </w:rPr>
        <w:t xml:space="preserve"> </w:t>
      </w:r>
      <w:r w:rsidR="00652E41" w:rsidRPr="00FA448A">
        <w:rPr>
          <w:rFonts w:ascii="Times New Roman" w:hAnsi="Times New Roman" w:cs="Times New Roman"/>
          <w:sz w:val="24"/>
          <w:szCs w:val="24"/>
        </w:rPr>
        <w:t xml:space="preserve">202A </w:t>
      </w:r>
      <w:r w:rsidR="00531227">
        <w:rPr>
          <w:rFonts w:ascii="Times New Roman" w:hAnsi="Times New Roman" w:cs="Times New Roman"/>
          <w:sz w:val="24"/>
          <w:szCs w:val="24"/>
        </w:rPr>
        <w:t>of Schedule 10</w:t>
      </w:r>
      <w:r w:rsidR="00652E41" w:rsidRPr="00531227">
        <w:rPr>
          <w:rFonts w:ascii="Times New Roman" w:hAnsi="Times New Roman" w:cs="Times New Roman"/>
          <w:sz w:val="24"/>
          <w:szCs w:val="24"/>
        </w:rPr>
        <w:t>.</w:t>
      </w:r>
    </w:p>
    <w:p w:rsidR="00652E41" w:rsidRPr="00FA448A" w:rsidRDefault="00652E41" w:rsidP="00652E41">
      <w:pPr>
        <w:tabs>
          <w:tab w:val="left" w:pos="1800"/>
        </w:tabs>
        <w:spacing w:after="0" w:line="240" w:lineRule="auto"/>
        <w:rPr>
          <w:rFonts w:ascii="Times New Roman" w:hAnsi="Times New Roman" w:cs="Times New Roman"/>
          <w:sz w:val="24"/>
          <w:szCs w:val="24"/>
        </w:rPr>
      </w:pPr>
    </w:p>
    <w:p w:rsidR="00652E41" w:rsidRPr="00531227" w:rsidRDefault="009164AA" w:rsidP="00652E41">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Subparagraph</w:t>
      </w:r>
      <w:r w:rsidR="00652E41" w:rsidRPr="00FA448A">
        <w:rPr>
          <w:rFonts w:ascii="Times New Roman" w:hAnsi="Times New Roman" w:cs="Times New Roman"/>
          <w:sz w:val="24"/>
          <w:szCs w:val="24"/>
        </w:rPr>
        <w:t xml:space="preserve"> </w:t>
      </w:r>
      <w:r w:rsidR="002566E2" w:rsidRPr="00FA448A">
        <w:rPr>
          <w:rFonts w:ascii="Times New Roman" w:hAnsi="Times New Roman" w:cs="Times New Roman"/>
          <w:sz w:val="24"/>
          <w:szCs w:val="24"/>
        </w:rPr>
        <w:t>6</w:t>
      </w:r>
      <w:r w:rsidR="002566E2">
        <w:rPr>
          <w:rFonts w:ascii="Times New Roman" w:hAnsi="Times New Roman" w:cs="Times New Roman"/>
          <w:sz w:val="24"/>
          <w:szCs w:val="24"/>
        </w:rPr>
        <w:t>(e)</w:t>
      </w:r>
      <w:r w:rsidR="002566E2" w:rsidRPr="002566E2">
        <w:rPr>
          <w:rFonts w:ascii="Times New Roman" w:hAnsi="Times New Roman" w:cs="Times New Roman"/>
          <w:sz w:val="24"/>
          <w:szCs w:val="24"/>
        </w:rPr>
        <w:t xml:space="preserve"> </w:t>
      </w:r>
      <w:r w:rsidR="00652E41" w:rsidRPr="002566E2">
        <w:rPr>
          <w:rFonts w:ascii="Times New Roman" w:hAnsi="Times New Roman" w:cs="Times New Roman"/>
          <w:sz w:val="24"/>
          <w:szCs w:val="24"/>
        </w:rPr>
        <w:t xml:space="preserve">of the class order omits paragraph 209(m) </w:t>
      </w:r>
      <w:r w:rsidR="00531227">
        <w:rPr>
          <w:rFonts w:ascii="Times New Roman" w:hAnsi="Times New Roman" w:cs="Times New Roman"/>
          <w:sz w:val="24"/>
          <w:szCs w:val="24"/>
        </w:rPr>
        <w:t>of Schedule 10</w:t>
      </w:r>
      <w:r w:rsidR="00652E41" w:rsidRPr="00531227">
        <w:rPr>
          <w:rFonts w:ascii="Times New Roman" w:hAnsi="Times New Roman" w:cs="Times New Roman"/>
          <w:sz w:val="24"/>
          <w:szCs w:val="24"/>
        </w:rPr>
        <w:t xml:space="preserve">. This paragraph is not required for superannuation products from 1 July 2013 as a result of the abolishment of member protection rules. </w:t>
      </w:r>
    </w:p>
    <w:p w:rsidR="00652E41" w:rsidRPr="00FA448A" w:rsidRDefault="00652E41" w:rsidP="00652E41">
      <w:pPr>
        <w:tabs>
          <w:tab w:val="left" w:pos="1800"/>
        </w:tabs>
        <w:spacing w:after="0" w:line="240" w:lineRule="auto"/>
        <w:rPr>
          <w:rFonts w:ascii="Times New Roman" w:hAnsi="Times New Roman" w:cs="Times New Roman"/>
          <w:sz w:val="24"/>
          <w:szCs w:val="24"/>
        </w:rPr>
      </w:pPr>
    </w:p>
    <w:p w:rsidR="00652E41" w:rsidRPr="002566E2" w:rsidRDefault="00133BD0" w:rsidP="00652E41">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Subparagraph</w:t>
      </w:r>
      <w:r w:rsidR="00652E41" w:rsidRPr="00FA448A">
        <w:rPr>
          <w:rFonts w:ascii="Times New Roman" w:hAnsi="Times New Roman" w:cs="Times New Roman"/>
          <w:sz w:val="24"/>
          <w:szCs w:val="24"/>
        </w:rPr>
        <w:t xml:space="preserve"> 6(</w:t>
      </w:r>
      <w:r w:rsidR="002566E2">
        <w:rPr>
          <w:rFonts w:ascii="Times New Roman" w:hAnsi="Times New Roman" w:cs="Times New Roman"/>
          <w:sz w:val="24"/>
          <w:szCs w:val="24"/>
        </w:rPr>
        <w:t>f</w:t>
      </w:r>
      <w:proofErr w:type="gramStart"/>
      <w:r w:rsidR="00652E41" w:rsidRPr="002566E2">
        <w:rPr>
          <w:rFonts w:ascii="Times New Roman" w:hAnsi="Times New Roman" w:cs="Times New Roman"/>
          <w:sz w:val="24"/>
          <w:szCs w:val="24"/>
        </w:rPr>
        <w:t>)(</w:t>
      </w:r>
      <w:proofErr w:type="spellStart"/>
      <w:proofErr w:type="gramEnd"/>
      <w:r w:rsidR="00652E41" w:rsidRPr="002566E2">
        <w:rPr>
          <w:rFonts w:ascii="Times New Roman" w:hAnsi="Times New Roman" w:cs="Times New Roman"/>
          <w:sz w:val="24"/>
          <w:szCs w:val="24"/>
        </w:rPr>
        <w:t>i</w:t>
      </w:r>
      <w:proofErr w:type="spellEnd"/>
      <w:r w:rsidR="00652E41" w:rsidRPr="002566E2">
        <w:rPr>
          <w:rFonts w:ascii="Times New Roman" w:hAnsi="Times New Roman" w:cs="Times New Roman"/>
          <w:sz w:val="24"/>
          <w:szCs w:val="24"/>
        </w:rPr>
        <w:t xml:space="preserve">) of the class </w:t>
      </w:r>
      <w:r w:rsidRPr="002566E2">
        <w:rPr>
          <w:rFonts w:ascii="Times New Roman" w:hAnsi="Times New Roman" w:cs="Times New Roman"/>
          <w:sz w:val="24"/>
          <w:szCs w:val="24"/>
        </w:rPr>
        <w:t xml:space="preserve">order </w:t>
      </w:r>
      <w:r w:rsidR="00652E41" w:rsidRPr="002566E2">
        <w:rPr>
          <w:rFonts w:ascii="Times New Roman" w:hAnsi="Times New Roman" w:cs="Times New Roman"/>
          <w:sz w:val="24"/>
          <w:szCs w:val="24"/>
        </w:rPr>
        <w:t xml:space="preserve">modifies paragraph 209A </w:t>
      </w:r>
      <w:r w:rsidR="002566E2">
        <w:rPr>
          <w:rFonts w:ascii="Times New Roman" w:hAnsi="Times New Roman" w:cs="Times New Roman"/>
          <w:sz w:val="24"/>
          <w:szCs w:val="24"/>
        </w:rPr>
        <w:t xml:space="preserve">of Schedule 10 </w:t>
      </w:r>
      <w:r w:rsidR="00652E41" w:rsidRPr="002566E2">
        <w:rPr>
          <w:rFonts w:ascii="Times New Roman" w:hAnsi="Times New Roman" w:cs="Times New Roman"/>
          <w:sz w:val="24"/>
          <w:szCs w:val="24"/>
        </w:rPr>
        <w:t xml:space="preserve">by </w:t>
      </w:r>
      <w:r w:rsidR="002566E2" w:rsidRPr="002566E2">
        <w:rPr>
          <w:rFonts w:ascii="Times New Roman" w:hAnsi="Times New Roman" w:cs="Times New Roman"/>
          <w:sz w:val="24"/>
          <w:szCs w:val="24"/>
        </w:rPr>
        <w:t>substituting</w:t>
      </w:r>
      <w:r w:rsidR="00652E41" w:rsidRPr="002566E2">
        <w:rPr>
          <w:rFonts w:ascii="Times New Roman" w:hAnsi="Times New Roman" w:cs="Times New Roman"/>
          <w:sz w:val="24"/>
          <w:szCs w:val="24"/>
        </w:rPr>
        <w:t xml:space="preserve"> </w:t>
      </w:r>
      <w:r w:rsidR="009C3A43">
        <w:rPr>
          <w:rFonts w:ascii="Times New Roman" w:hAnsi="Times New Roman" w:cs="Times New Roman"/>
          <w:sz w:val="24"/>
          <w:szCs w:val="24"/>
        </w:rPr>
        <w:t>"</w:t>
      </w:r>
      <w:r w:rsidR="00652E41" w:rsidRPr="002566E2">
        <w:rPr>
          <w:rFonts w:ascii="Times New Roman" w:hAnsi="Times New Roman" w:cs="Times New Roman"/>
          <w:sz w:val="24"/>
          <w:szCs w:val="24"/>
        </w:rPr>
        <w:t>fees</w:t>
      </w:r>
      <w:r w:rsidR="009C3A43">
        <w:rPr>
          <w:rFonts w:ascii="Times New Roman" w:hAnsi="Times New Roman" w:cs="Times New Roman"/>
          <w:sz w:val="24"/>
          <w:szCs w:val="24"/>
        </w:rPr>
        <w:t>"</w:t>
      </w:r>
      <w:r w:rsidR="00652E41" w:rsidRPr="002566E2">
        <w:rPr>
          <w:rFonts w:ascii="Times New Roman" w:hAnsi="Times New Roman" w:cs="Times New Roman"/>
          <w:sz w:val="24"/>
          <w:szCs w:val="24"/>
        </w:rPr>
        <w:t xml:space="preserve"> with </w:t>
      </w:r>
      <w:r w:rsidR="009C3A43">
        <w:rPr>
          <w:rFonts w:ascii="Times New Roman" w:hAnsi="Times New Roman" w:cs="Times New Roman"/>
          <w:sz w:val="24"/>
          <w:szCs w:val="24"/>
        </w:rPr>
        <w:t>""</w:t>
      </w:r>
      <w:r w:rsidR="00652E41" w:rsidRPr="002566E2">
        <w:rPr>
          <w:rFonts w:ascii="Times New Roman" w:hAnsi="Times New Roman" w:cs="Times New Roman"/>
          <w:sz w:val="24"/>
          <w:szCs w:val="24"/>
        </w:rPr>
        <w:t>fees</w:t>
      </w:r>
      <w:r w:rsidR="009C3A43">
        <w:rPr>
          <w:rFonts w:ascii="Times New Roman" w:hAnsi="Times New Roman" w:cs="Times New Roman"/>
          <w:sz w:val="24"/>
          <w:szCs w:val="24"/>
        </w:rPr>
        <w:t>"</w:t>
      </w:r>
      <w:r w:rsidR="00652E41" w:rsidRPr="002566E2">
        <w:rPr>
          <w:rFonts w:ascii="Times New Roman" w:hAnsi="Times New Roman" w:cs="Times New Roman"/>
          <w:sz w:val="24"/>
          <w:szCs w:val="24"/>
        </w:rPr>
        <w:t>, or incorporated by reference</w:t>
      </w:r>
      <w:r w:rsidR="009C3A43" w:rsidRPr="002566E2">
        <w:rPr>
          <w:rFonts w:ascii="Times New Roman" w:hAnsi="Times New Roman" w:cs="Times New Roman"/>
          <w:sz w:val="24"/>
          <w:szCs w:val="24"/>
        </w:rPr>
        <w:t>;</w:t>
      </w:r>
      <w:r w:rsidR="009C3A43">
        <w:rPr>
          <w:rFonts w:ascii="Times New Roman" w:hAnsi="Times New Roman" w:cs="Times New Roman"/>
          <w:sz w:val="24"/>
          <w:szCs w:val="24"/>
        </w:rPr>
        <w:t>"</w:t>
      </w:r>
      <w:r w:rsidR="009C3A43" w:rsidRPr="002566E2">
        <w:rPr>
          <w:rFonts w:ascii="Times New Roman" w:hAnsi="Times New Roman" w:cs="Times New Roman"/>
          <w:sz w:val="24"/>
          <w:szCs w:val="24"/>
        </w:rPr>
        <w:t xml:space="preserve">. </w:t>
      </w:r>
      <w:r w:rsidR="00652E41" w:rsidRPr="002566E2">
        <w:rPr>
          <w:rFonts w:ascii="Times New Roman" w:hAnsi="Times New Roman" w:cs="Times New Roman"/>
          <w:sz w:val="24"/>
          <w:szCs w:val="24"/>
        </w:rPr>
        <w:t xml:space="preserve">This modification is to allow trustees of superannuation entities to </w:t>
      </w:r>
      <w:r w:rsidR="0099188D">
        <w:rPr>
          <w:rFonts w:ascii="Times New Roman" w:hAnsi="Times New Roman" w:cs="Times New Roman"/>
          <w:sz w:val="24"/>
          <w:szCs w:val="24"/>
        </w:rPr>
        <w:t>incorporate by reference the</w:t>
      </w:r>
      <w:r w:rsidRPr="002566E2">
        <w:rPr>
          <w:rFonts w:ascii="Times New Roman" w:hAnsi="Times New Roman" w:cs="Times New Roman"/>
          <w:sz w:val="24"/>
          <w:szCs w:val="24"/>
        </w:rPr>
        <w:t xml:space="preserve"> fee definitions </w:t>
      </w:r>
      <w:r w:rsidR="0099188D">
        <w:rPr>
          <w:rFonts w:ascii="Times New Roman" w:hAnsi="Times New Roman" w:cs="Times New Roman"/>
          <w:sz w:val="24"/>
          <w:szCs w:val="24"/>
        </w:rPr>
        <w:t>set out in</w:t>
      </w:r>
      <w:r w:rsidR="0099188D" w:rsidRPr="002566E2">
        <w:rPr>
          <w:rFonts w:ascii="Times New Roman" w:hAnsi="Times New Roman" w:cs="Times New Roman"/>
          <w:sz w:val="24"/>
          <w:szCs w:val="24"/>
        </w:rPr>
        <w:t xml:space="preserve"> </w:t>
      </w:r>
      <w:r w:rsidR="0099188D">
        <w:rPr>
          <w:rFonts w:ascii="Times New Roman" w:hAnsi="Times New Roman" w:cs="Times New Roman"/>
          <w:sz w:val="24"/>
          <w:szCs w:val="24"/>
        </w:rPr>
        <w:t>clause</w:t>
      </w:r>
      <w:r w:rsidR="0099188D" w:rsidRPr="002566E2">
        <w:rPr>
          <w:rFonts w:ascii="Times New Roman" w:hAnsi="Times New Roman" w:cs="Times New Roman"/>
          <w:sz w:val="24"/>
          <w:szCs w:val="24"/>
        </w:rPr>
        <w:t xml:space="preserve"> </w:t>
      </w:r>
      <w:r w:rsidRPr="002566E2">
        <w:rPr>
          <w:rFonts w:ascii="Times New Roman" w:hAnsi="Times New Roman" w:cs="Times New Roman"/>
          <w:sz w:val="24"/>
          <w:szCs w:val="24"/>
        </w:rPr>
        <w:t xml:space="preserve">209A of </w:t>
      </w:r>
      <w:r w:rsidR="0099188D">
        <w:rPr>
          <w:rFonts w:ascii="Times New Roman" w:hAnsi="Times New Roman" w:cs="Times New Roman"/>
          <w:sz w:val="24"/>
          <w:szCs w:val="24"/>
        </w:rPr>
        <w:t xml:space="preserve">Schedule 10 </w:t>
      </w:r>
      <w:r w:rsidRPr="002566E2">
        <w:rPr>
          <w:rFonts w:ascii="Times New Roman" w:hAnsi="Times New Roman" w:cs="Times New Roman"/>
          <w:sz w:val="24"/>
          <w:szCs w:val="24"/>
        </w:rPr>
        <w:t xml:space="preserve">in rather than </w:t>
      </w:r>
      <w:r w:rsidR="0099188D">
        <w:rPr>
          <w:rFonts w:ascii="Times New Roman" w:hAnsi="Times New Roman" w:cs="Times New Roman"/>
          <w:sz w:val="24"/>
          <w:szCs w:val="24"/>
        </w:rPr>
        <w:t xml:space="preserve">set them out in </w:t>
      </w:r>
      <w:r w:rsidRPr="002566E2">
        <w:rPr>
          <w:rFonts w:ascii="Times New Roman" w:hAnsi="Times New Roman" w:cs="Times New Roman"/>
          <w:sz w:val="24"/>
          <w:szCs w:val="24"/>
        </w:rPr>
        <w:t xml:space="preserve">the </w:t>
      </w:r>
      <w:r w:rsidR="002566E2">
        <w:rPr>
          <w:rFonts w:ascii="Times New Roman" w:hAnsi="Times New Roman" w:cs="Times New Roman"/>
          <w:sz w:val="24"/>
          <w:szCs w:val="24"/>
        </w:rPr>
        <w:t>P</w:t>
      </w:r>
      <w:r w:rsidRPr="002566E2">
        <w:rPr>
          <w:rFonts w:ascii="Times New Roman" w:hAnsi="Times New Roman" w:cs="Times New Roman"/>
          <w:sz w:val="24"/>
          <w:szCs w:val="24"/>
        </w:rPr>
        <w:t xml:space="preserve">roduct </w:t>
      </w:r>
      <w:r w:rsidR="002566E2">
        <w:rPr>
          <w:rFonts w:ascii="Times New Roman" w:hAnsi="Times New Roman" w:cs="Times New Roman"/>
          <w:sz w:val="24"/>
          <w:szCs w:val="24"/>
        </w:rPr>
        <w:t>D</w:t>
      </w:r>
      <w:r w:rsidR="002566E2" w:rsidRPr="002566E2">
        <w:rPr>
          <w:rFonts w:ascii="Times New Roman" w:hAnsi="Times New Roman" w:cs="Times New Roman"/>
          <w:sz w:val="24"/>
          <w:szCs w:val="24"/>
        </w:rPr>
        <w:t xml:space="preserve">isclosure </w:t>
      </w:r>
      <w:r w:rsidR="002566E2">
        <w:rPr>
          <w:rFonts w:ascii="Times New Roman" w:hAnsi="Times New Roman" w:cs="Times New Roman"/>
          <w:sz w:val="24"/>
          <w:szCs w:val="24"/>
        </w:rPr>
        <w:t>S</w:t>
      </w:r>
      <w:r w:rsidRPr="002566E2">
        <w:rPr>
          <w:rFonts w:ascii="Times New Roman" w:hAnsi="Times New Roman" w:cs="Times New Roman"/>
          <w:sz w:val="24"/>
          <w:szCs w:val="24"/>
        </w:rPr>
        <w:t xml:space="preserve">tatement. </w:t>
      </w:r>
    </w:p>
    <w:p w:rsidR="00133BD0" w:rsidRPr="00FA448A" w:rsidRDefault="00133BD0" w:rsidP="00652E41">
      <w:pPr>
        <w:tabs>
          <w:tab w:val="left" w:pos="1800"/>
        </w:tabs>
        <w:spacing w:after="0" w:line="240" w:lineRule="auto"/>
        <w:rPr>
          <w:rFonts w:ascii="Times New Roman" w:hAnsi="Times New Roman" w:cs="Times New Roman"/>
          <w:sz w:val="24"/>
          <w:szCs w:val="24"/>
        </w:rPr>
      </w:pPr>
    </w:p>
    <w:p w:rsidR="00133BD0" w:rsidRPr="00181E46" w:rsidRDefault="00133BD0" w:rsidP="00652E41">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Subparagraph 6(</w:t>
      </w:r>
      <w:r w:rsidR="002566E2">
        <w:rPr>
          <w:rFonts w:ascii="Times New Roman" w:hAnsi="Times New Roman" w:cs="Times New Roman"/>
          <w:sz w:val="24"/>
          <w:szCs w:val="24"/>
        </w:rPr>
        <w:t>f</w:t>
      </w:r>
      <w:proofErr w:type="gramStart"/>
      <w:r w:rsidRPr="002566E2">
        <w:rPr>
          <w:rFonts w:ascii="Times New Roman" w:hAnsi="Times New Roman" w:cs="Times New Roman"/>
          <w:sz w:val="24"/>
          <w:szCs w:val="24"/>
        </w:rPr>
        <w:t>)(</w:t>
      </w:r>
      <w:proofErr w:type="gramEnd"/>
      <w:r w:rsidRPr="002566E2">
        <w:rPr>
          <w:rFonts w:ascii="Times New Roman" w:hAnsi="Times New Roman" w:cs="Times New Roman"/>
          <w:sz w:val="24"/>
          <w:szCs w:val="24"/>
        </w:rPr>
        <w:t xml:space="preserve">ii) of the class order modifies </w:t>
      </w:r>
      <w:r w:rsidR="0099188D">
        <w:rPr>
          <w:rFonts w:ascii="Times New Roman" w:hAnsi="Times New Roman" w:cs="Times New Roman"/>
          <w:sz w:val="24"/>
          <w:szCs w:val="24"/>
        </w:rPr>
        <w:t>clause</w:t>
      </w:r>
      <w:r w:rsidR="0099188D" w:rsidRPr="002566E2">
        <w:rPr>
          <w:rFonts w:ascii="Times New Roman" w:hAnsi="Times New Roman" w:cs="Times New Roman"/>
          <w:sz w:val="24"/>
          <w:szCs w:val="24"/>
        </w:rPr>
        <w:t xml:space="preserve"> </w:t>
      </w:r>
      <w:r w:rsidRPr="002566E2">
        <w:rPr>
          <w:rFonts w:ascii="Times New Roman" w:hAnsi="Times New Roman" w:cs="Times New Roman"/>
          <w:sz w:val="24"/>
          <w:szCs w:val="24"/>
        </w:rPr>
        <w:t>209A</w:t>
      </w:r>
      <w:r w:rsidR="002566E2" w:rsidRPr="002566E2">
        <w:rPr>
          <w:rFonts w:ascii="Times New Roman" w:hAnsi="Times New Roman" w:cs="Times New Roman"/>
          <w:sz w:val="24"/>
          <w:szCs w:val="24"/>
        </w:rPr>
        <w:t xml:space="preserve"> </w:t>
      </w:r>
      <w:r w:rsidR="002566E2">
        <w:rPr>
          <w:rFonts w:ascii="Times New Roman" w:hAnsi="Times New Roman" w:cs="Times New Roman"/>
          <w:sz w:val="24"/>
          <w:szCs w:val="24"/>
        </w:rPr>
        <w:t>of Schedule 10</w:t>
      </w:r>
      <w:r w:rsidRPr="002566E2">
        <w:rPr>
          <w:rFonts w:ascii="Times New Roman" w:hAnsi="Times New Roman" w:cs="Times New Roman"/>
          <w:sz w:val="24"/>
          <w:szCs w:val="24"/>
        </w:rPr>
        <w:t xml:space="preserve"> by omitting the current switching fee definition and replacing it with the switching fee definition </w:t>
      </w:r>
      <w:r w:rsidR="00181E46">
        <w:rPr>
          <w:rFonts w:ascii="Times New Roman" w:hAnsi="Times New Roman" w:cs="Times New Roman"/>
          <w:sz w:val="24"/>
          <w:szCs w:val="24"/>
        </w:rPr>
        <w:t xml:space="preserve">in relation to superannuation products </w:t>
      </w:r>
      <w:r w:rsidRPr="002566E2">
        <w:rPr>
          <w:rFonts w:ascii="Times New Roman" w:hAnsi="Times New Roman" w:cs="Times New Roman"/>
          <w:sz w:val="24"/>
          <w:szCs w:val="24"/>
        </w:rPr>
        <w:t>in</w:t>
      </w:r>
      <w:r w:rsidR="00181E46">
        <w:rPr>
          <w:rFonts w:ascii="Times New Roman" w:hAnsi="Times New Roman" w:cs="Times New Roman"/>
          <w:sz w:val="24"/>
          <w:szCs w:val="24"/>
        </w:rPr>
        <w:t>serted by</w:t>
      </w:r>
      <w:r w:rsidRPr="002566E2">
        <w:rPr>
          <w:rFonts w:ascii="Times New Roman" w:hAnsi="Times New Roman" w:cs="Times New Roman"/>
          <w:sz w:val="24"/>
          <w:szCs w:val="24"/>
        </w:rPr>
        <w:t xml:space="preserve"> </w:t>
      </w:r>
      <w:r w:rsidR="00181E46">
        <w:rPr>
          <w:rFonts w:ascii="Times New Roman" w:hAnsi="Times New Roman" w:cs="Times New Roman"/>
          <w:sz w:val="24"/>
          <w:szCs w:val="24"/>
        </w:rPr>
        <w:t>s</w:t>
      </w:r>
      <w:r w:rsidRPr="002566E2">
        <w:rPr>
          <w:rFonts w:ascii="Times New Roman" w:hAnsi="Times New Roman" w:cs="Times New Roman"/>
          <w:sz w:val="24"/>
          <w:szCs w:val="24"/>
        </w:rPr>
        <w:t xml:space="preserve">ubparagraph 6(a)(iii) of </w:t>
      </w:r>
      <w:r w:rsidR="00181E46" w:rsidRPr="002566E2">
        <w:rPr>
          <w:rFonts w:ascii="Times New Roman" w:hAnsi="Times New Roman" w:cs="Times New Roman"/>
          <w:sz w:val="24"/>
          <w:szCs w:val="24"/>
        </w:rPr>
        <w:t>th</w:t>
      </w:r>
      <w:r w:rsidR="00181E46">
        <w:rPr>
          <w:rFonts w:ascii="Times New Roman" w:hAnsi="Times New Roman" w:cs="Times New Roman"/>
          <w:sz w:val="24"/>
          <w:szCs w:val="24"/>
        </w:rPr>
        <w:t>e</w:t>
      </w:r>
      <w:r w:rsidR="00181E46" w:rsidRPr="002566E2">
        <w:rPr>
          <w:rFonts w:ascii="Times New Roman" w:hAnsi="Times New Roman" w:cs="Times New Roman"/>
          <w:sz w:val="24"/>
          <w:szCs w:val="24"/>
        </w:rPr>
        <w:t xml:space="preserve"> </w:t>
      </w:r>
      <w:r w:rsidRPr="002566E2">
        <w:rPr>
          <w:rFonts w:ascii="Times New Roman" w:hAnsi="Times New Roman" w:cs="Times New Roman"/>
          <w:sz w:val="24"/>
          <w:szCs w:val="24"/>
        </w:rPr>
        <w:t>class order.</w:t>
      </w:r>
    </w:p>
    <w:p w:rsidR="00133BD0" w:rsidRPr="00FA448A" w:rsidRDefault="00133BD0" w:rsidP="00652E41">
      <w:pPr>
        <w:tabs>
          <w:tab w:val="left" w:pos="1800"/>
        </w:tabs>
        <w:spacing w:after="0" w:line="240" w:lineRule="auto"/>
        <w:rPr>
          <w:rFonts w:ascii="Times New Roman" w:hAnsi="Times New Roman" w:cs="Times New Roman"/>
          <w:sz w:val="24"/>
          <w:szCs w:val="24"/>
        </w:rPr>
      </w:pPr>
    </w:p>
    <w:p w:rsidR="00133BD0" w:rsidRPr="00FA448A" w:rsidRDefault="00133BD0" w:rsidP="00133BD0">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Subparagraph 6(</w:t>
      </w:r>
      <w:r w:rsidR="00181E46">
        <w:rPr>
          <w:rFonts w:ascii="Times New Roman" w:hAnsi="Times New Roman" w:cs="Times New Roman"/>
          <w:sz w:val="24"/>
          <w:szCs w:val="24"/>
        </w:rPr>
        <w:t>g</w:t>
      </w:r>
      <w:r w:rsidRPr="00181E46">
        <w:rPr>
          <w:rFonts w:ascii="Times New Roman" w:hAnsi="Times New Roman" w:cs="Times New Roman"/>
          <w:sz w:val="24"/>
          <w:szCs w:val="24"/>
        </w:rPr>
        <w:t xml:space="preserve">) of the class order omits the consumer warning </w:t>
      </w:r>
      <w:r w:rsidR="0099188D">
        <w:rPr>
          <w:rFonts w:ascii="Times New Roman" w:hAnsi="Times New Roman" w:cs="Times New Roman"/>
          <w:sz w:val="24"/>
          <w:szCs w:val="24"/>
        </w:rPr>
        <w:t>in</w:t>
      </w:r>
      <w:r w:rsidR="0099188D" w:rsidRPr="00181E46">
        <w:rPr>
          <w:rFonts w:ascii="Times New Roman" w:hAnsi="Times New Roman" w:cs="Times New Roman"/>
          <w:sz w:val="24"/>
          <w:szCs w:val="24"/>
        </w:rPr>
        <w:t xml:space="preserve"> </w:t>
      </w:r>
      <w:r w:rsidR="0099188D">
        <w:rPr>
          <w:rFonts w:ascii="Times New Roman" w:hAnsi="Times New Roman" w:cs="Times New Roman"/>
          <w:sz w:val="24"/>
          <w:szCs w:val="24"/>
        </w:rPr>
        <w:t>clause</w:t>
      </w:r>
      <w:r w:rsidR="0099188D" w:rsidRPr="00181E46">
        <w:rPr>
          <w:rFonts w:ascii="Times New Roman" w:hAnsi="Times New Roman" w:cs="Times New Roman"/>
          <w:sz w:val="24"/>
          <w:szCs w:val="24"/>
        </w:rPr>
        <w:t xml:space="preserve"> </w:t>
      </w:r>
      <w:r w:rsidRPr="00181E46">
        <w:rPr>
          <w:rFonts w:ascii="Times New Roman" w:hAnsi="Times New Roman" w:cs="Times New Roman"/>
          <w:sz w:val="24"/>
          <w:szCs w:val="24"/>
        </w:rPr>
        <w:t xml:space="preserve">221 of </w:t>
      </w:r>
      <w:r w:rsidR="00D61AC2">
        <w:rPr>
          <w:rFonts w:ascii="Times New Roman" w:hAnsi="Times New Roman" w:cs="Times New Roman"/>
          <w:sz w:val="24"/>
          <w:szCs w:val="24"/>
        </w:rPr>
        <w:t>Schedule 10 and replaces it with separate warnings for superannuation and managed investment products</w:t>
      </w:r>
      <w:r w:rsidRPr="00181E46">
        <w:rPr>
          <w:rFonts w:ascii="Times New Roman" w:hAnsi="Times New Roman" w:cs="Times New Roman"/>
          <w:sz w:val="24"/>
          <w:szCs w:val="24"/>
        </w:rPr>
        <w:t>.</w:t>
      </w:r>
    </w:p>
    <w:p w:rsidR="00133BD0" w:rsidRPr="00FA448A" w:rsidRDefault="00133BD0" w:rsidP="00133BD0">
      <w:pPr>
        <w:tabs>
          <w:tab w:val="left" w:pos="1800"/>
        </w:tabs>
        <w:spacing w:after="0" w:line="240" w:lineRule="auto"/>
        <w:rPr>
          <w:rFonts w:ascii="Times New Roman" w:hAnsi="Times New Roman" w:cs="Times New Roman"/>
          <w:sz w:val="24"/>
          <w:szCs w:val="24"/>
        </w:rPr>
      </w:pPr>
    </w:p>
    <w:p w:rsidR="00133BD0" w:rsidRPr="00181E46" w:rsidRDefault="00133BD0" w:rsidP="00133BD0">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Subparagraph 6(</w:t>
      </w:r>
      <w:r w:rsidR="00181E46">
        <w:rPr>
          <w:rFonts w:ascii="Times New Roman" w:hAnsi="Times New Roman" w:cs="Times New Roman"/>
          <w:sz w:val="24"/>
          <w:szCs w:val="24"/>
        </w:rPr>
        <w:t>h</w:t>
      </w:r>
      <w:r w:rsidRPr="00181E46">
        <w:rPr>
          <w:rFonts w:ascii="Times New Roman" w:hAnsi="Times New Roman" w:cs="Times New Roman"/>
          <w:sz w:val="24"/>
          <w:szCs w:val="24"/>
        </w:rPr>
        <w:t xml:space="preserve">) of the class order omits paragraph 222 of </w:t>
      </w:r>
      <w:r w:rsidR="00181E46">
        <w:rPr>
          <w:rFonts w:ascii="Times New Roman" w:hAnsi="Times New Roman" w:cs="Times New Roman"/>
          <w:sz w:val="24"/>
          <w:szCs w:val="24"/>
        </w:rPr>
        <w:t xml:space="preserve">Schedule 10 of </w:t>
      </w:r>
      <w:r w:rsidRPr="00181E46">
        <w:rPr>
          <w:rFonts w:ascii="Times New Roman" w:hAnsi="Times New Roman" w:cs="Times New Roman"/>
          <w:sz w:val="24"/>
          <w:szCs w:val="24"/>
        </w:rPr>
        <w:t xml:space="preserve">the </w:t>
      </w:r>
      <w:r w:rsidR="00181E46">
        <w:rPr>
          <w:rFonts w:ascii="Times New Roman" w:hAnsi="Times New Roman" w:cs="Times New Roman"/>
          <w:sz w:val="24"/>
          <w:szCs w:val="24"/>
        </w:rPr>
        <w:t>R</w:t>
      </w:r>
      <w:r w:rsidRPr="00181E46">
        <w:rPr>
          <w:rFonts w:ascii="Times New Roman" w:hAnsi="Times New Roman" w:cs="Times New Roman"/>
          <w:sz w:val="24"/>
          <w:szCs w:val="24"/>
        </w:rPr>
        <w:t xml:space="preserve">egulations and replaces with a new paragraph that requires that the Consumer Advisory Warning referred to in </w:t>
      </w:r>
      <w:r w:rsidR="00181E46">
        <w:rPr>
          <w:rFonts w:ascii="Times New Roman" w:hAnsi="Times New Roman" w:cs="Times New Roman"/>
          <w:sz w:val="24"/>
          <w:szCs w:val="24"/>
        </w:rPr>
        <w:t>paragraph</w:t>
      </w:r>
      <w:r w:rsidR="00181E46" w:rsidRPr="00181E46">
        <w:rPr>
          <w:rFonts w:ascii="Times New Roman" w:hAnsi="Times New Roman" w:cs="Times New Roman"/>
          <w:sz w:val="24"/>
          <w:szCs w:val="24"/>
        </w:rPr>
        <w:t xml:space="preserve"> </w:t>
      </w:r>
      <w:r w:rsidRPr="00181E46">
        <w:rPr>
          <w:rFonts w:ascii="Times New Roman" w:hAnsi="Times New Roman" w:cs="Times New Roman"/>
          <w:sz w:val="24"/>
          <w:szCs w:val="24"/>
        </w:rPr>
        <w:t xml:space="preserve">221(1) </w:t>
      </w:r>
      <w:r w:rsidR="00181E46">
        <w:rPr>
          <w:rFonts w:ascii="Times New Roman" w:hAnsi="Times New Roman" w:cs="Times New Roman"/>
          <w:sz w:val="24"/>
          <w:szCs w:val="24"/>
        </w:rPr>
        <w:t xml:space="preserve">of Schedule 10 of the Regulations </w:t>
      </w:r>
      <w:r w:rsidRPr="00181E46">
        <w:rPr>
          <w:rFonts w:ascii="Times New Roman" w:hAnsi="Times New Roman" w:cs="Times New Roman"/>
          <w:sz w:val="24"/>
          <w:szCs w:val="24"/>
        </w:rPr>
        <w:t xml:space="preserve">must be located at the beginning of the fees section of the Product Disclosure Statement for superannuation products and the Consumer Advisor Warning referred to in subclause 221(2) </w:t>
      </w:r>
      <w:r w:rsidR="00181E46">
        <w:rPr>
          <w:rFonts w:ascii="Times New Roman" w:hAnsi="Times New Roman" w:cs="Times New Roman"/>
          <w:sz w:val="24"/>
          <w:szCs w:val="24"/>
        </w:rPr>
        <w:t xml:space="preserve">of Schedule 10 of the Regulations </w:t>
      </w:r>
      <w:r w:rsidRPr="00181E46">
        <w:rPr>
          <w:rFonts w:ascii="Times New Roman" w:hAnsi="Times New Roman" w:cs="Times New Roman"/>
          <w:sz w:val="24"/>
          <w:szCs w:val="24"/>
        </w:rPr>
        <w:t xml:space="preserve">must be located at the beginning of the fees section of the Product </w:t>
      </w:r>
      <w:r w:rsidRPr="00181E46">
        <w:rPr>
          <w:rFonts w:ascii="Times New Roman" w:hAnsi="Times New Roman" w:cs="Times New Roman"/>
          <w:sz w:val="24"/>
          <w:szCs w:val="24"/>
        </w:rPr>
        <w:lastRenderedPageBreak/>
        <w:t>Disclosure Statement for managed investment products where fees or costs may be deducted from amounts to be held for members of the managed investment scheme.</w:t>
      </w:r>
    </w:p>
    <w:p w:rsidR="00133BD0" w:rsidRPr="00FA448A" w:rsidRDefault="00133BD0" w:rsidP="00133BD0">
      <w:pPr>
        <w:tabs>
          <w:tab w:val="left" w:pos="1800"/>
        </w:tabs>
        <w:spacing w:after="0" w:line="240" w:lineRule="auto"/>
        <w:rPr>
          <w:rFonts w:ascii="Times New Roman" w:hAnsi="Times New Roman" w:cs="Times New Roman"/>
          <w:sz w:val="24"/>
          <w:szCs w:val="24"/>
        </w:rPr>
      </w:pPr>
    </w:p>
    <w:p w:rsidR="00133BD0" w:rsidRPr="00FA448A" w:rsidRDefault="00133BD0" w:rsidP="00133BD0">
      <w:pPr>
        <w:tabs>
          <w:tab w:val="left" w:pos="1800"/>
        </w:tabs>
        <w:spacing w:after="0" w:line="240" w:lineRule="auto"/>
        <w:rPr>
          <w:rFonts w:ascii="Times New Roman" w:hAnsi="Times New Roman" w:cs="Times New Roman"/>
          <w:sz w:val="24"/>
          <w:szCs w:val="24"/>
        </w:rPr>
      </w:pPr>
      <w:r w:rsidRPr="00FA448A">
        <w:rPr>
          <w:rFonts w:ascii="Times New Roman" w:hAnsi="Times New Roman" w:cs="Times New Roman"/>
          <w:sz w:val="24"/>
          <w:szCs w:val="24"/>
        </w:rPr>
        <w:t xml:space="preserve">Paragraph 7 of the class order omits </w:t>
      </w:r>
      <w:r w:rsidR="009C3A43">
        <w:rPr>
          <w:rFonts w:ascii="Times New Roman" w:hAnsi="Times New Roman" w:cs="Times New Roman"/>
          <w:sz w:val="24"/>
          <w:szCs w:val="24"/>
        </w:rPr>
        <w:t>"</w:t>
      </w:r>
      <w:r w:rsidR="00A40898" w:rsidRPr="00A40898">
        <w:rPr>
          <w:rFonts w:ascii="Times New Roman" w:hAnsi="Times New Roman" w:cs="Times New Roman"/>
          <w:sz w:val="24"/>
          <w:szCs w:val="24"/>
        </w:rPr>
        <w:t xml:space="preserve">termination </w:t>
      </w:r>
      <w:r w:rsidR="009C3A43" w:rsidRPr="00A40898">
        <w:rPr>
          <w:rFonts w:ascii="Times New Roman" w:hAnsi="Times New Roman" w:cs="Times New Roman"/>
          <w:sz w:val="24"/>
          <w:szCs w:val="24"/>
        </w:rPr>
        <w:t>fee</w:t>
      </w:r>
      <w:r w:rsidR="009C3A43">
        <w:rPr>
          <w:rFonts w:ascii="Times New Roman" w:hAnsi="Times New Roman" w:cs="Times New Roman"/>
          <w:sz w:val="24"/>
          <w:szCs w:val="24"/>
        </w:rPr>
        <w:t>"</w:t>
      </w:r>
      <w:r w:rsidR="009C3A43" w:rsidRPr="00A40898">
        <w:rPr>
          <w:rFonts w:ascii="Times New Roman" w:hAnsi="Times New Roman" w:cs="Times New Roman"/>
          <w:sz w:val="24"/>
          <w:szCs w:val="24"/>
        </w:rPr>
        <w:t xml:space="preserve"> </w:t>
      </w:r>
      <w:r w:rsidRPr="00A40898">
        <w:rPr>
          <w:rFonts w:ascii="Times New Roman" w:hAnsi="Times New Roman" w:cs="Times New Roman"/>
          <w:sz w:val="24"/>
          <w:szCs w:val="24"/>
        </w:rPr>
        <w:t xml:space="preserve">in </w:t>
      </w:r>
      <w:r w:rsidRPr="003737B7">
        <w:rPr>
          <w:rFonts w:ascii="Times New Roman" w:hAnsi="Times New Roman"/>
          <w:sz w:val="24"/>
          <w:szCs w:val="24"/>
        </w:rPr>
        <w:t xml:space="preserve">subclause 8(3) of Schedule 10E to the Regulations </w:t>
      </w:r>
      <w:r w:rsidRPr="00FA448A">
        <w:rPr>
          <w:rFonts w:ascii="Times New Roman" w:hAnsi="Times New Roman" w:cs="Times New Roman"/>
          <w:sz w:val="24"/>
          <w:szCs w:val="24"/>
        </w:rPr>
        <w:t xml:space="preserve">and substitute it with </w:t>
      </w:r>
      <w:r w:rsidR="009C3A43">
        <w:rPr>
          <w:rFonts w:ascii="Times New Roman" w:hAnsi="Times New Roman" w:cs="Times New Roman"/>
          <w:sz w:val="24"/>
          <w:szCs w:val="24"/>
        </w:rPr>
        <w:t>"</w:t>
      </w:r>
      <w:r w:rsidRPr="00FA448A">
        <w:rPr>
          <w:rFonts w:ascii="Times New Roman" w:hAnsi="Times New Roman" w:cs="Times New Roman"/>
          <w:sz w:val="24"/>
          <w:szCs w:val="24"/>
        </w:rPr>
        <w:t xml:space="preserve">exit </w:t>
      </w:r>
      <w:r w:rsidR="009C3A43" w:rsidRPr="00FA448A">
        <w:rPr>
          <w:rFonts w:ascii="Times New Roman" w:hAnsi="Times New Roman" w:cs="Times New Roman"/>
          <w:sz w:val="24"/>
          <w:szCs w:val="24"/>
        </w:rPr>
        <w:t>fee</w:t>
      </w:r>
      <w:r w:rsidR="009C3A43">
        <w:rPr>
          <w:rFonts w:ascii="Times New Roman" w:hAnsi="Times New Roman" w:cs="Times New Roman"/>
          <w:sz w:val="24"/>
          <w:szCs w:val="24"/>
        </w:rPr>
        <w:t>"</w:t>
      </w:r>
      <w:r w:rsidRPr="00FA448A">
        <w:rPr>
          <w:rFonts w:ascii="Times New Roman" w:hAnsi="Times New Roman" w:cs="Times New Roman"/>
          <w:sz w:val="24"/>
          <w:szCs w:val="24"/>
        </w:rPr>
        <w:t>.</w:t>
      </w:r>
    </w:p>
    <w:p w:rsidR="00133BD0" w:rsidRPr="00FA448A" w:rsidRDefault="00133BD0" w:rsidP="00133BD0">
      <w:pPr>
        <w:tabs>
          <w:tab w:val="left" w:pos="1800"/>
        </w:tabs>
        <w:spacing w:after="0" w:line="240" w:lineRule="auto"/>
        <w:rPr>
          <w:rFonts w:ascii="Times New Roman" w:hAnsi="Times New Roman" w:cs="Times New Roman"/>
          <w:sz w:val="24"/>
          <w:szCs w:val="24"/>
        </w:rPr>
      </w:pPr>
    </w:p>
    <w:p w:rsidR="00F96D85" w:rsidRDefault="00F96D85" w:rsidP="00133BD0">
      <w:pPr>
        <w:pStyle w:val="ListParagraph"/>
        <w:ind w:left="567" w:hanging="567"/>
        <w:rPr>
          <w:rFonts w:ascii="Times New Roman" w:hAnsi="Times New Roman"/>
          <w:b/>
          <w:sz w:val="24"/>
          <w:szCs w:val="24"/>
        </w:rPr>
      </w:pPr>
    </w:p>
    <w:p w:rsidR="00133BD0" w:rsidRPr="003737B7" w:rsidRDefault="00133BD0" w:rsidP="00133BD0">
      <w:pPr>
        <w:pStyle w:val="ListParagraph"/>
        <w:ind w:left="567" w:hanging="567"/>
        <w:rPr>
          <w:rFonts w:ascii="Times New Roman" w:hAnsi="Times New Roman"/>
          <w:b/>
          <w:sz w:val="24"/>
          <w:szCs w:val="24"/>
        </w:rPr>
      </w:pPr>
      <w:r w:rsidRPr="003737B7">
        <w:rPr>
          <w:rFonts w:ascii="Times New Roman" w:hAnsi="Times New Roman"/>
          <w:b/>
          <w:sz w:val="24"/>
          <w:szCs w:val="24"/>
        </w:rPr>
        <w:t>Transitional</w:t>
      </w:r>
    </w:p>
    <w:p w:rsidR="00133BD0" w:rsidRPr="003737B7" w:rsidRDefault="00133BD0" w:rsidP="00133BD0">
      <w:pPr>
        <w:pStyle w:val="ListParagraph"/>
        <w:ind w:left="567" w:hanging="567"/>
        <w:rPr>
          <w:rFonts w:ascii="Times New Roman" w:hAnsi="Times New Roman"/>
          <w:b/>
          <w:sz w:val="24"/>
          <w:szCs w:val="24"/>
        </w:rPr>
      </w:pPr>
    </w:p>
    <w:p w:rsidR="00133BD0" w:rsidRPr="003737B7" w:rsidRDefault="00133BD0" w:rsidP="003737B7">
      <w:pPr>
        <w:pStyle w:val="ListParagraph"/>
        <w:ind w:left="0"/>
        <w:rPr>
          <w:rFonts w:ascii="Times New Roman" w:hAnsi="Times New Roman"/>
          <w:sz w:val="24"/>
          <w:szCs w:val="24"/>
        </w:rPr>
      </w:pPr>
      <w:r w:rsidRPr="003737B7">
        <w:rPr>
          <w:rFonts w:ascii="Times New Roman" w:hAnsi="Times New Roman"/>
          <w:sz w:val="24"/>
          <w:szCs w:val="24"/>
        </w:rPr>
        <w:t>Paragraphs</w:t>
      </w:r>
      <w:r w:rsidR="00A40898">
        <w:rPr>
          <w:rFonts w:ascii="Times New Roman" w:hAnsi="Times New Roman"/>
          <w:sz w:val="24"/>
          <w:szCs w:val="24"/>
        </w:rPr>
        <w:t xml:space="preserve"> 8 </w:t>
      </w:r>
      <w:proofErr w:type="gramStart"/>
      <w:r w:rsidR="00A40898">
        <w:rPr>
          <w:rFonts w:ascii="Times New Roman" w:hAnsi="Times New Roman"/>
          <w:sz w:val="24"/>
          <w:szCs w:val="24"/>
        </w:rPr>
        <w:t>provides</w:t>
      </w:r>
      <w:proofErr w:type="gramEnd"/>
      <w:r w:rsidR="00A40898">
        <w:rPr>
          <w:rFonts w:ascii="Times New Roman" w:hAnsi="Times New Roman"/>
          <w:sz w:val="24"/>
          <w:szCs w:val="24"/>
        </w:rPr>
        <w:t xml:space="preserve"> that paragraphs</w:t>
      </w:r>
      <w:r w:rsidRPr="003737B7">
        <w:rPr>
          <w:rFonts w:ascii="Times New Roman" w:hAnsi="Times New Roman"/>
          <w:sz w:val="24"/>
          <w:szCs w:val="24"/>
        </w:rPr>
        <w:t xml:space="preserve"> 4 to 7 of th</w:t>
      </w:r>
      <w:r w:rsidR="00A40898">
        <w:rPr>
          <w:rFonts w:ascii="Times New Roman" w:hAnsi="Times New Roman"/>
          <w:sz w:val="24"/>
          <w:szCs w:val="24"/>
        </w:rPr>
        <w:t>e Class Order</w:t>
      </w:r>
      <w:r w:rsidRPr="003737B7">
        <w:rPr>
          <w:rFonts w:ascii="Times New Roman" w:hAnsi="Times New Roman"/>
          <w:sz w:val="24"/>
          <w:szCs w:val="24"/>
        </w:rPr>
        <w:t xml:space="preserve"> apply </w:t>
      </w:r>
      <w:r w:rsidR="00031CEE">
        <w:rPr>
          <w:rFonts w:ascii="Times New Roman" w:hAnsi="Times New Roman"/>
          <w:sz w:val="24"/>
          <w:szCs w:val="24"/>
        </w:rPr>
        <w:t>from</w:t>
      </w:r>
      <w:r w:rsidRPr="003737B7">
        <w:rPr>
          <w:rFonts w:ascii="Times New Roman" w:hAnsi="Times New Roman"/>
          <w:sz w:val="24"/>
          <w:szCs w:val="24"/>
        </w:rPr>
        <w:t xml:space="preserve"> 1 January 2016 in relation to a P</w:t>
      </w:r>
      <w:r w:rsidR="0028641E">
        <w:rPr>
          <w:rFonts w:ascii="Times New Roman" w:hAnsi="Times New Roman"/>
          <w:sz w:val="24"/>
          <w:szCs w:val="24"/>
        </w:rPr>
        <w:t>DS</w:t>
      </w:r>
      <w:r w:rsidRPr="003737B7">
        <w:rPr>
          <w:rFonts w:ascii="Times New Roman" w:hAnsi="Times New Roman"/>
          <w:sz w:val="24"/>
          <w:szCs w:val="24"/>
        </w:rPr>
        <w:t xml:space="preserve"> unless the </w:t>
      </w:r>
      <w:r w:rsidR="0028641E">
        <w:rPr>
          <w:rFonts w:ascii="Times New Roman" w:hAnsi="Times New Roman"/>
          <w:sz w:val="24"/>
          <w:szCs w:val="24"/>
        </w:rPr>
        <w:t>PDS</w:t>
      </w:r>
      <w:r w:rsidRPr="003737B7">
        <w:rPr>
          <w:rFonts w:ascii="Times New Roman" w:hAnsi="Times New Roman"/>
          <w:sz w:val="24"/>
          <w:szCs w:val="24"/>
        </w:rPr>
        <w:t xml:space="preserve"> states that </w:t>
      </w:r>
      <w:r w:rsidR="00A40898">
        <w:rPr>
          <w:rFonts w:ascii="Times New Roman" w:hAnsi="Times New Roman"/>
          <w:sz w:val="24"/>
          <w:szCs w:val="24"/>
        </w:rPr>
        <w:t>the Class Order</w:t>
      </w:r>
      <w:r w:rsidRPr="003737B7">
        <w:rPr>
          <w:rFonts w:ascii="Times New Roman" w:hAnsi="Times New Roman"/>
          <w:sz w:val="24"/>
          <w:szCs w:val="24"/>
        </w:rPr>
        <w:t xml:space="preserve"> applies.</w:t>
      </w:r>
    </w:p>
    <w:p w:rsidR="00133BD0" w:rsidRPr="003737B7" w:rsidRDefault="00133BD0" w:rsidP="00133BD0">
      <w:pPr>
        <w:pStyle w:val="ListParagraph"/>
        <w:ind w:left="567" w:hanging="567"/>
        <w:rPr>
          <w:rFonts w:ascii="Times New Roman" w:hAnsi="Times New Roman"/>
          <w:sz w:val="24"/>
          <w:szCs w:val="24"/>
        </w:rPr>
      </w:pPr>
    </w:p>
    <w:p w:rsidR="00133BD0" w:rsidRDefault="0028641E" w:rsidP="006D2AAE">
      <w:pPr>
        <w:pStyle w:val="ListParagraph"/>
        <w:ind w:left="0"/>
        <w:rPr>
          <w:rFonts w:ascii="Times New Roman" w:hAnsi="Times New Roman"/>
          <w:sz w:val="24"/>
          <w:szCs w:val="24"/>
        </w:rPr>
      </w:pPr>
      <w:r w:rsidRPr="006D2AAE">
        <w:rPr>
          <w:rFonts w:ascii="Times New Roman" w:hAnsi="Times New Roman"/>
          <w:sz w:val="24"/>
          <w:szCs w:val="24"/>
        </w:rPr>
        <w:t xml:space="preserve">Section 1017D of the Act prescribes the period in which a periodic statement must be given to investors. </w:t>
      </w:r>
      <w:r w:rsidR="00031CEE" w:rsidRPr="006D2AAE">
        <w:rPr>
          <w:rFonts w:ascii="Times New Roman" w:hAnsi="Times New Roman"/>
          <w:sz w:val="24"/>
          <w:szCs w:val="24"/>
        </w:rPr>
        <w:t xml:space="preserve"> The </w:t>
      </w:r>
      <w:r w:rsidR="00CB0D6F" w:rsidRPr="006D2AAE">
        <w:rPr>
          <w:rFonts w:ascii="Times New Roman" w:hAnsi="Times New Roman"/>
          <w:sz w:val="24"/>
          <w:szCs w:val="24"/>
        </w:rPr>
        <w:t xml:space="preserve">timing for the giving of </w:t>
      </w:r>
      <w:r w:rsidR="00031CEE" w:rsidRPr="006D2AAE">
        <w:rPr>
          <w:rFonts w:ascii="Times New Roman" w:hAnsi="Times New Roman"/>
          <w:sz w:val="24"/>
          <w:szCs w:val="24"/>
        </w:rPr>
        <w:t xml:space="preserve">periodic statements for superannuation products </w:t>
      </w:r>
      <w:r w:rsidR="00CB0D6F" w:rsidRPr="006D2AAE">
        <w:rPr>
          <w:rFonts w:ascii="Times New Roman" w:hAnsi="Times New Roman"/>
          <w:sz w:val="24"/>
          <w:szCs w:val="24"/>
        </w:rPr>
        <w:t xml:space="preserve">that are exit statements </w:t>
      </w:r>
      <w:r w:rsidR="00031CEE" w:rsidRPr="006D2AAE">
        <w:rPr>
          <w:rFonts w:ascii="Times New Roman" w:hAnsi="Times New Roman"/>
          <w:sz w:val="24"/>
          <w:szCs w:val="24"/>
        </w:rPr>
        <w:t xml:space="preserve">is affected by Subdivision 5.12 of Part 7.9 of, and Part 11 of Schedule 10A. </w:t>
      </w:r>
      <w:r w:rsidR="00A336DB" w:rsidRPr="006D2AAE">
        <w:rPr>
          <w:rFonts w:ascii="Times New Roman" w:hAnsi="Times New Roman"/>
          <w:sz w:val="24"/>
          <w:szCs w:val="24"/>
        </w:rPr>
        <w:t>Paragraph 9 provides that p</w:t>
      </w:r>
      <w:r w:rsidRPr="006D2AAE">
        <w:rPr>
          <w:rFonts w:ascii="Times New Roman" w:hAnsi="Times New Roman"/>
          <w:sz w:val="24"/>
          <w:szCs w:val="24"/>
        </w:rPr>
        <w:t xml:space="preserve">aragraphs 4 to </w:t>
      </w:r>
      <w:r w:rsidR="00031CEE" w:rsidRPr="006D2AAE">
        <w:rPr>
          <w:rFonts w:ascii="Times New Roman" w:hAnsi="Times New Roman"/>
          <w:sz w:val="24"/>
          <w:szCs w:val="24"/>
        </w:rPr>
        <w:t>7 applies</w:t>
      </w:r>
      <w:r w:rsidRPr="006D2AAE">
        <w:rPr>
          <w:rFonts w:ascii="Times New Roman" w:hAnsi="Times New Roman"/>
          <w:sz w:val="24"/>
          <w:szCs w:val="24"/>
        </w:rPr>
        <w:t xml:space="preserve"> in relation to a periodic statement that is required to be given in accordance with section 1017D of the Act if the outer limit for giving the statement is on or</w:t>
      </w:r>
      <w:r w:rsidR="00031CEE" w:rsidRPr="006D2AAE">
        <w:rPr>
          <w:rFonts w:ascii="Times New Roman" w:hAnsi="Times New Roman"/>
          <w:sz w:val="24"/>
          <w:szCs w:val="24"/>
        </w:rPr>
        <w:t xml:space="preserve"> after 1 January 2017</w:t>
      </w:r>
      <w:r w:rsidRPr="006D2AAE">
        <w:rPr>
          <w:rFonts w:ascii="Times New Roman" w:hAnsi="Times New Roman"/>
          <w:sz w:val="24"/>
          <w:szCs w:val="24"/>
        </w:rPr>
        <w:t>, unless the periodic statement states that this instrument applies to it.</w:t>
      </w:r>
    </w:p>
    <w:p w:rsidR="00A336DB" w:rsidRPr="00FA448A" w:rsidRDefault="00A336DB" w:rsidP="00652E41">
      <w:pPr>
        <w:tabs>
          <w:tab w:val="left" w:pos="1800"/>
        </w:tabs>
        <w:spacing w:after="0" w:line="240" w:lineRule="auto"/>
        <w:rPr>
          <w:rFonts w:ascii="Times New Roman" w:hAnsi="Times New Roman" w:cs="Times New Roman"/>
          <w:sz w:val="24"/>
          <w:szCs w:val="24"/>
        </w:rPr>
      </w:pPr>
    </w:p>
    <w:bookmarkEnd w:id="2"/>
    <w:p w:rsidR="00F45E17" w:rsidRPr="00FA448A" w:rsidRDefault="00F45E17" w:rsidP="009F3596">
      <w:pPr>
        <w:pStyle w:val="ListParagraph"/>
        <w:numPr>
          <w:ilvl w:val="0"/>
          <w:numId w:val="1"/>
        </w:numPr>
        <w:spacing w:after="0" w:line="240" w:lineRule="auto"/>
        <w:contextualSpacing w:val="0"/>
        <w:rPr>
          <w:rFonts w:ascii="Times New Roman" w:hAnsi="Times New Roman" w:cs="Times New Roman"/>
          <w:b/>
          <w:bCs/>
          <w:sz w:val="24"/>
          <w:szCs w:val="24"/>
        </w:rPr>
      </w:pPr>
      <w:r w:rsidRPr="00FA448A">
        <w:rPr>
          <w:rFonts w:ascii="Times New Roman" w:hAnsi="Times New Roman" w:cs="Times New Roman"/>
          <w:b/>
          <w:bCs/>
          <w:sz w:val="24"/>
          <w:szCs w:val="24"/>
        </w:rPr>
        <w:t>Consultation</w:t>
      </w:r>
    </w:p>
    <w:p w:rsidR="00F45E17" w:rsidRPr="00FA448A" w:rsidRDefault="00F45E17" w:rsidP="009F3596">
      <w:pPr>
        <w:spacing w:after="0" w:line="240" w:lineRule="auto"/>
        <w:rPr>
          <w:rFonts w:ascii="Times New Roman" w:hAnsi="Times New Roman" w:cs="Times New Roman"/>
          <w:bCs/>
          <w:sz w:val="24"/>
          <w:szCs w:val="24"/>
        </w:rPr>
      </w:pPr>
    </w:p>
    <w:p w:rsidR="00652BC2" w:rsidRPr="00FA448A" w:rsidRDefault="00B618E2" w:rsidP="00652BC2">
      <w:pPr>
        <w:spacing w:after="0" w:line="240" w:lineRule="auto"/>
        <w:rPr>
          <w:rFonts w:ascii="Times New Roman" w:hAnsi="Times New Roman" w:cs="Times New Roman"/>
          <w:bCs/>
          <w:sz w:val="24"/>
          <w:szCs w:val="24"/>
        </w:rPr>
      </w:pPr>
      <w:r>
        <w:rPr>
          <w:rFonts w:ascii="Times New Roman" w:hAnsi="Times New Roman" w:cs="Times New Roman"/>
          <w:bCs/>
          <w:sz w:val="24"/>
          <w:szCs w:val="24"/>
        </w:rPr>
        <w:t>C</w:t>
      </w:r>
      <w:r w:rsidR="000A2992" w:rsidRPr="00FA448A">
        <w:rPr>
          <w:rFonts w:ascii="Times New Roman" w:hAnsi="Times New Roman" w:cs="Times New Roman"/>
          <w:bCs/>
          <w:sz w:val="24"/>
          <w:szCs w:val="24"/>
        </w:rPr>
        <w:t xml:space="preserve">onsultation was carried out on an earlier draft of the class order with </w:t>
      </w:r>
      <w:r w:rsidR="00A13064">
        <w:rPr>
          <w:rFonts w:ascii="Times New Roman" w:hAnsi="Times New Roman" w:cs="Times New Roman"/>
          <w:bCs/>
          <w:sz w:val="24"/>
          <w:szCs w:val="24"/>
        </w:rPr>
        <w:t xml:space="preserve">relevant </w:t>
      </w:r>
      <w:r w:rsidR="000A2992" w:rsidRPr="00FA448A">
        <w:rPr>
          <w:rFonts w:ascii="Times New Roman" w:hAnsi="Times New Roman" w:cs="Times New Roman"/>
          <w:bCs/>
          <w:sz w:val="24"/>
          <w:szCs w:val="24"/>
        </w:rPr>
        <w:t xml:space="preserve">industry associations and </w:t>
      </w:r>
      <w:r w:rsidR="00A13064">
        <w:rPr>
          <w:rFonts w:ascii="Times New Roman" w:hAnsi="Times New Roman" w:cs="Times New Roman"/>
          <w:bCs/>
          <w:sz w:val="24"/>
          <w:szCs w:val="24"/>
        </w:rPr>
        <w:t xml:space="preserve">some </w:t>
      </w:r>
      <w:r w:rsidR="000A2992" w:rsidRPr="00FA448A">
        <w:rPr>
          <w:rFonts w:ascii="Times New Roman" w:hAnsi="Times New Roman" w:cs="Times New Roman"/>
          <w:bCs/>
          <w:sz w:val="24"/>
          <w:szCs w:val="24"/>
        </w:rPr>
        <w:t xml:space="preserve">superannuation and managed investment product issuers. This was followed by a more extensive </w:t>
      </w:r>
      <w:r w:rsidR="003145F1" w:rsidRPr="00FA448A">
        <w:rPr>
          <w:rFonts w:ascii="Times New Roman" w:hAnsi="Times New Roman" w:cs="Times New Roman"/>
          <w:bCs/>
          <w:sz w:val="24"/>
          <w:szCs w:val="24"/>
        </w:rPr>
        <w:t>consultation on</w:t>
      </w:r>
      <w:r w:rsidR="000A2992" w:rsidRPr="00FA448A">
        <w:rPr>
          <w:rFonts w:ascii="Times New Roman" w:hAnsi="Times New Roman" w:cs="Times New Roman"/>
          <w:bCs/>
          <w:sz w:val="24"/>
          <w:szCs w:val="24"/>
        </w:rPr>
        <w:t xml:space="preserve"> an enhanced</w:t>
      </w:r>
      <w:r w:rsidR="003145F1" w:rsidRPr="00FA448A">
        <w:rPr>
          <w:rFonts w:ascii="Times New Roman" w:hAnsi="Times New Roman" w:cs="Times New Roman"/>
          <w:bCs/>
          <w:sz w:val="24"/>
          <w:szCs w:val="24"/>
        </w:rPr>
        <w:t xml:space="preserve"> draft of the class order o</w:t>
      </w:r>
      <w:r w:rsidR="00652BC2" w:rsidRPr="00FA448A">
        <w:rPr>
          <w:rFonts w:ascii="Times New Roman" w:hAnsi="Times New Roman" w:cs="Times New Roman"/>
          <w:bCs/>
          <w:sz w:val="24"/>
          <w:szCs w:val="24"/>
        </w:rPr>
        <w:t>n</w:t>
      </w:r>
      <w:r w:rsidR="003145F1" w:rsidRPr="00FA448A">
        <w:rPr>
          <w:rFonts w:ascii="Times New Roman" w:hAnsi="Times New Roman" w:cs="Times New Roman"/>
          <w:bCs/>
          <w:sz w:val="24"/>
          <w:szCs w:val="24"/>
        </w:rPr>
        <w:t xml:space="preserve"> 24 September 2014. The consultation was carried out by providing a </w:t>
      </w:r>
      <w:r>
        <w:rPr>
          <w:rFonts w:ascii="Times New Roman" w:hAnsi="Times New Roman" w:cs="Times New Roman"/>
          <w:bCs/>
          <w:sz w:val="24"/>
          <w:szCs w:val="24"/>
        </w:rPr>
        <w:t>draft</w:t>
      </w:r>
      <w:r w:rsidRPr="00FA448A">
        <w:rPr>
          <w:rFonts w:ascii="Times New Roman" w:hAnsi="Times New Roman" w:cs="Times New Roman"/>
          <w:bCs/>
          <w:sz w:val="24"/>
          <w:szCs w:val="24"/>
        </w:rPr>
        <w:t xml:space="preserve"> </w:t>
      </w:r>
      <w:r w:rsidR="003145F1" w:rsidRPr="00FA448A">
        <w:rPr>
          <w:rFonts w:ascii="Times New Roman" w:hAnsi="Times New Roman" w:cs="Times New Roman"/>
          <w:bCs/>
          <w:sz w:val="24"/>
          <w:szCs w:val="24"/>
        </w:rPr>
        <w:t>of the class order with a background paper to</w:t>
      </w:r>
      <w:r w:rsidR="00031CEE">
        <w:rPr>
          <w:rFonts w:ascii="Times New Roman" w:hAnsi="Times New Roman" w:cs="Times New Roman"/>
          <w:bCs/>
          <w:sz w:val="24"/>
          <w:szCs w:val="24"/>
        </w:rPr>
        <w:t xml:space="preserve"> all key</w:t>
      </w:r>
      <w:r w:rsidR="003145F1" w:rsidRPr="00FA448A">
        <w:rPr>
          <w:rFonts w:ascii="Times New Roman" w:hAnsi="Times New Roman" w:cs="Times New Roman"/>
          <w:bCs/>
          <w:sz w:val="24"/>
          <w:szCs w:val="24"/>
        </w:rPr>
        <w:t xml:space="preserve"> industry associations</w:t>
      </w:r>
      <w:r w:rsidR="00BB16A1">
        <w:rPr>
          <w:rFonts w:ascii="Times New Roman" w:hAnsi="Times New Roman" w:cs="Times New Roman"/>
          <w:bCs/>
          <w:sz w:val="24"/>
          <w:szCs w:val="24"/>
        </w:rPr>
        <w:t>, a</w:t>
      </w:r>
      <w:r w:rsidR="003145F1" w:rsidRPr="00FA448A">
        <w:rPr>
          <w:rFonts w:ascii="Times New Roman" w:hAnsi="Times New Roman" w:cs="Times New Roman"/>
          <w:bCs/>
          <w:sz w:val="24"/>
          <w:szCs w:val="24"/>
        </w:rPr>
        <w:t xml:space="preserve"> number of superannuation and managed investment product issuers</w:t>
      </w:r>
      <w:r w:rsidR="00BB16A1">
        <w:rPr>
          <w:rFonts w:ascii="Times New Roman" w:hAnsi="Times New Roman" w:cs="Times New Roman"/>
          <w:bCs/>
          <w:sz w:val="24"/>
          <w:szCs w:val="24"/>
        </w:rPr>
        <w:t xml:space="preserve"> and a consumer organisation</w:t>
      </w:r>
      <w:r w:rsidR="003145F1" w:rsidRPr="00FA448A">
        <w:rPr>
          <w:rFonts w:ascii="Times New Roman" w:hAnsi="Times New Roman" w:cs="Times New Roman"/>
          <w:bCs/>
          <w:sz w:val="24"/>
          <w:szCs w:val="24"/>
        </w:rPr>
        <w:t xml:space="preserve">. We also issued a media release inviting interested parties to contact ASIC for a copy of the class order, if they wish to consider and provide feedback. </w:t>
      </w:r>
      <w:r w:rsidR="00652BC2" w:rsidRPr="00FA448A">
        <w:rPr>
          <w:rFonts w:ascii="Times New Roman" w:hAnsi="Times New Roman" w:cs="Times New Roman"/>
          <w:bCs/>
          <w:sz w:val="24"/>
          <w:szCs w:val="24"/>
        </w:rPr>
        <w:t xml:space="preserve"> </w:t>
      </w:r>
      <w:r w:rsidR="00031CEE">
        <w:rPr>
          <w:rFonts w:ascii="Times New Roman" w:hAnsi="Times New Roman" w:cs="Times New Roman"/>
          <w:bCs/>
          <w:sz w:val="24"/>
          <w:szCs w:val="24"/>
        </w:rPr>
        <w:t>The draft class order and background paper were provided to a further number of law firms, compliance professionals and superannuation and managed investment product issuers who requested a copy to consider and provide feedback.</w:t>
      </w:r>
    </w:p>
    <w:p w:rsidR="003145F1" w:rsidRPr="00FA448A" w:rsidRDefault="003145F1" w:rsidP="00652BC2">
      <w:pPr>
        <w:spacing w:after="0" w:line="240" w:lineRule="auto"/>
        <w:rPr>
          <w:rFonts w:ascii="Times New Roman" w:hAnsi="Times New Roman" w:cs="Times New Roman"/>
          <w:bCs/>
          <w:sz w:val="24"/>
          <w:szCs w:val="24"/>
        </w:rPr>
      </w:pPr>
    </w:p>
    <w:p w:rsidR="00652BC2" w:rsidRPr="00FA448A" w:rsidRDefault="00652BC2" w:rsidP="00652BC2">
      <w:pPr>
        <w:spacing w:after="0" w:line="240" w:lineRule="auto"/>
        <w:rPr>
          <w:rFonts w:ascii="Times New Roman" w:hAnsi="Times New Roman" w:cs="Times New Roman"/>
          <w:bCs/>
          <w:sz w:val="24"/>
          <w:szCs w:val="24"/>
        </w:rPr>
      </w:pPr>
      <w:r w:rsidRPr="00FA448A">
        <w:rPr>
          <w:rFonts w:ascii="Times New Roman" w:hAnsi="Times New Roman" w:cs="Times New Roman"/>
          <w:bCs/>
          <w:sz w:val="24"/>
          <w:szCs w:val="24"/>
        </w:rPr>
        <w:t xml:space="preserve">ASIC </w:t>
      </w:r>
      <w:r w:rsidRPr="00CB0D6F">
        <w:rPr>
          <w:rFonts w:ascii="Times New Roman" w:hAnsi="Times New Roman" w:cs="Times New Roman"/>
          <w:bCs/>
          <w:sz w:val="24"/>
          <w:szCs w:val="24"/>
        </w:rPr>
        <w:t>received</w:t>
      </w:r>
      <w:r w:rsidR="003145F1" w:rsidRPr="00F96D85">
        <w:rPr>
          <w:rFonts w:ascii="Times New Roman" w:hAnsi="Times New Roman" w:cs="Times New Roman"/>
          <w:bCs/>
          <w:sz w:val="24"/>
          <w:szCs w:val="24"/>
        </w:rPr>
        <w:t>19</w:t>
      </w:r>
      <w:r w:rsidRPr="00CB0D6F">
        <w:rPr>
          <w:rFonts w:ascii="Times New Roman" w:hAnsi="Times New Roman" w:cs="Times New Roman"/>
          <w:bCs/>
          <w:sz w:val="24"/>
          <w:szCs w:val="24"/>
        </w:rPr>
        <w:t xml:space="preserve"> responses</w:t>
      </w:r>
      <w:r w:rsidRPr="00FA448A">
        <w:rPr>
          <w:rFonts w:ascii="Times New Roman" w:hAnsi="Times New Roman" w:cs="Times New Roman"/>
          <w:bCs/>
          <w:sz w:val="24"/>
          <w:szCs w:val="24"/>
        </w:rPr>
        <w:t xml:space="preserve"> to the </w:t>
      </w:r>
      <w:r w:rsidR="003145F1" w:rsidRPr="00FA448A">
        <w:rPr>
          <w:rFonts w:ascii="Times New Roman" w:hAnsi="Times New Roman" w:cs="Times New Roman"/>
          <w:bCs/>
          <w:sz w:val="24"/>
          <w:szCs w:val="24"/>
        </w:rPr>
        <w:t xml:space="preserve">draft class order </w:t>
      </w:r>
      <w:r w:rsidRPr="00FA448A">
        <w:rPr>
          <w:rFonts w:ascii="Times New Roman" w:hAnsi="Times New Roman" w:cs="Times New Roman"/>
          <w:bCs/>
          <w:sz w:val="24"/>
          <w:szCs w:val="24"/>
        </w:rPr>
        <w:t xml:space="preserve">from lawyers, industry bodies, </w:t>
      </w:r>
      <w:r w:rsidR="003145F1" w:rsidRPr="00FA448A">
        <w:rPr>
          <w:rFonts w:ascii="Times New Roman" w:hAnsi="Times New Roman" w:cs="Times New Roman"/>
          <w:bCs/>
          <w:sz w:val="24"/>
          <w:szCs w:val="24"/>
        </w:rPr>
        <w:t>superannuation trustees</w:t>
      </w:r>
      <w:r w:rsidR="00CB0D6F">
        <w:rPr>
          <w:rFonts w:ascii="Times New Roman" w:hAnsi="Times New Roman" w:cs="Times New Roman"/>
          <w:bCs/>
          <w:sz w:val="24"/>
          <w:szCs w:val="24"/>
        </w:rPr>
        <w:t>,</w:t>
      </w:r>
      <w:r w:rsidR="003145F1" w:rsidRPr="00FA448A">
        <w:rPr>
          <w:rFonts w:ascii="Times New Roman" w:hAnsi="Times New Roman" w:cs="Times New Roman"/>
          <w:bCs/>
          <w:sz w:val="24"/>
          <w:szCs w:val="24"/>
        </w:rPr>
        <w:t xml:space="preserve"> responsible entities and compliance specialist</w:t>
      </w:r>
      <w:r w:rsidR="00CB0D6F">
        <w:rPr>
          <w:rFonts w:ascii="Times New Roman" w:hAnsi="Times New Roman" w:cs="Times New Roman"/>
          <w:bCs/>
          <w:sz w:val="24"/>
          <w:szCs w:val="24"/>
        </w:rPr>
        <w:t>s</w:t>
      </w:r>
      <w:r w:rsidR="003145F1" w:rsidRPr="00FA448A">
        <w:rPr>
          <w:rFonts w:ascii="Times New Roman" w:hAnsi="Times New Roman" w:cs="Times New Roman"/>
          <w:bCs/>
          <w:sz w:val="24"/>
          <w:szCs w:val="24"/>
        </w:rPr>
        <w:t xml:space="preserve">.  </w:t>
      </w:r>
      <w:r w:rsidR="000A2992" w:rsidRPr="00FA448A">
        <w:rPr>
          <w:rFonts w:ascii="Times New Roman" w:hAnsi="Times New Roman" w:cs="Times New Roman"/>
          <w:bCs/>
          <w:sz w:val="24"/>
          <w:szCs w:val="24"/>
        </w:rPr>
        <w:t xml:space="preserve">The class order was further revised </w:t>
      </w:r>
      <w:r w:rsidR="00CB0D6F">
        <w:rPr>
          <w:rFonts w:ascii="Times New Roman" w:hAnsi="Times New Roman" w:cs="Times New Roman"/>
          <w:bCs/>
          <w:sz w:val="24"/>
          <w:szCs w:val="24"/>
        </w:rPr>
        <w:t xml:space="preserve">and transition period </w:t>
      </w:r>
      <w:r w:rsidR="00AD0C28">
        <w:rPr>
          <w:rFonts w:ascii="Times New Roman" w:hAnsi="Times New Roman" w:cs="Times New Roman"/>
          <w:bCs/>
          <w:sz w:val="24"/>
          <w:szCs w:val="24"/>
        </w:rPr>
        <w:t>extended</w:t>
      </w:r>
      <w:r w:rsidR="00CB0D6F">
        <w:rPr>
          <w:rFonts w:ascii="Times New Roman" w:hAnsi="Times New Roman" w:cs="Times New Roman"/>
          <w:bCs/>
          <w:sz w:val="24"/>
          <w:szCs w:val="24"/>
        </w:rPr>
        <w:t xml:space="preserve"> </w:t>
      </w:r>
      <w:r w:rsidR="00BE5A20">
        <w:rPr>
          <w:rFonts w:ascii="Times New Roman" w:hAnsi="Times New Roman" w:cs="Times New Roman"/>
          <w:bCs/>
          <w:sz w:val="24"/>
          <w:szCs w:val="24"/>
        </w:rPr>
        <w:t>in light</w:t>
      </w:r>
      <w:r w:rsidR="000A2992" w:rsidRPr="00FA448A">
        <w:rPr>
          <w:rFonts w:ascii="Times New Roman" w:hAnsi="Times New Roman" w:cs="Times New Roman"/>
          <w:bCs/>
          <w:sz w:val="24"/>
          <w:szCs w:val="24"/>
        </w:rPr>
        <w:t xml:space="preserve"> of the submissions made.</w:t>
      </w:r>
    </w:p>
    <w:p w:rsidR="00652BC2" w:rsidRPr="00FA448A" w:rsidRDefault="00652BC2" w:rsidP="00652BC2">
      <w:pPr>
        <w:spacing w:after="0" w:line="240" w:lineRule="auto"/>
        <w:rPr>
          <w:rFonts w:ascii="Times New Roman" w:hAnsi="Times New Roman" w:cs="Times New Roman"/>
          <w:bCs/>
          <w:sz w:val="24"/>
          <w:szCs w:val="24"/>
        </w:rPr>
      </w:pPr>
    </w:p>
    <w:p w:rsidR="00652BC2" w:rsidRPr="003737B7" w:rsidRDefault="00652BC2" w:rsidP="00652BC2">
      <w:pPr>
        <w:pStyle w:val="BodyText"/>
        <w:spacing w:before="0" w:line="240" w:lineRule="auto"/>
        <w:jc w:val="both"/>
        <w:rPr>
          <w:szCs w:val="24"/>
        </w:rPr>
      </w:pPr>
      <w:r w:rsidRPr="00C458E7">
        <w:rPr>
          <w:szCs w:val="24"/>
        </w:rPr>
        <w:t xml:space="preserve">The Office of Best Practice Regulation has </w:t>
      </w:r>
      <w:r w:rsidR="0016735F" w:rsidRPr="00C458E7">
        <w:rPr>
          <w:szCs w:val="24"/>
        </w:rPr>
        <w:t xml:space="preserve">agreed with ASIC's assessment that the class order will have a minor and machinery impact and therefore no </w:t>
      </w:r>
      <w:r w:rsidRPr="00C458E7">
        <w:rPr>
          <w:szCs w:val="24"/>
        </w:rPr>
        <w:t xml:space="preserve">Regulation Impact Statement </w:t>
      </w:r>
      <w:r w:rsidR="0016735F" w:rsidRPr="003737B7">
        <w:rPr>
          <w:szCs w:val="24"/>
        </w:rPr>
        <w:t>is required.</w:t>
      </w:r>
    </w:p>
    <w:p w:rsidR="00A866D0" w:rsidRPr="00C458E7" w:rsidRDefault="000543A0">
      <w:pPr>
        <w:spacing w:after="0"/>
        <w:jc w:val="center"/>
        <w:rPr>
          <w:rFonts w:ascii="Times New Roman" w:eastAsia="Times New Roman" w:hAnsi="Times New Roman" w:cs="Times New Roman"/>
          <w:b/>
          <w:bCs/>
          <w:sz w:val="24"/>
          <w:szCs w:val="24"/>
        </w:rPr>
      </w:pPr>
      <w:r w:rsidRPr="00C458E7">
        <w:rPr>
          <w:sz w:val="24"/>
          <w:szCs w:val="24"/>
        </w:rPr>
        <w:br w:type="page"/>
      </w:r>
      <w:r w:rsidR="00490BEE" w:rsidRPr="00C458E7">
        <w:rPr>
          <w:rFonts w:ascii="Times New Roman" w:eastAsia="Times New Roman" w:hAnsi="Times New Roman" w:cs="Times New Roman"/>
          <w:b/>
          <w:bCs/>
          <w:sz w:val="24"/>
          <w:szCs w:val="24"/>
        </w:rPr>
        <w:lastRenderedPageBreak/>
        <w:t>Statement of Compatibility with Human Rights</w:t>
      </w:r>
    </w:p>
    <w:p w:rsidR="00490BEE" w:rsidRPr="00FA448A" w:rsidRDefault="00490BEE" w:rsidP="00490BEE">
      <w:pPr>
        <w:spacing w:after="0" w:line="240" w:lineRule="auto"/>
        <w:jc w:val="center"/>
        <w:rPr>
          <w:rFonts w:ascii="Times New Roman" w:eastAsia="Times New Roman" w:hAnsi="Times New Roman" w:cs="Times New Roman"/>
          <w:b/>
          <w:sz w:val="24"/>
          <w:szCs w:val="24"/>
        </w:rPr>
      </w:pPr>
    </w:p>
    <w:p w:rsidR="00490BEE" w:rsidRPr="00C458E7" w:rsidRDefault="00490BEE" w:rsidP="00490BEE">
      <w:pPr>
        <w:spacing w:after="0" w:line="240" w:lineRule="auto"/>
        <w:jc w:val="center"/>
        <w:rPr>
          <w:rFonts w:ascii="Times New Roman" w:eastAsia="Times New Roman" w:hAnsi="Times New Roman" w:cs="Times New Roman"/>
          <w:i/>
          <w:sz w:val="24"/>
          <w:szCs w:val="24"/>
        </w:rPr>
      </w:pPr>
      <w:r w:rsidRPr="00C458E7">
        <w:rPr>
          <w:rFonts w:ascii="Times New Roman" w:eastAsia="Times New Roman" w:hAnsi="Times New Roman" w:cs="Times New Roman"/>
          <w:i/>
          <w:sz w:val="24"/>
          <w:szCs w:val="24"/>
        </w:rPr>
        <w:t>Prepared in accordance with Part 3 of the Human Rights (Parliamentary Scrutiny) Act 2011</w:t>
      </w:r>
    </w:p>
    <w:p w:rsidR="00490BEE" w:rsidRPr="00C458E7" w:rsidRDefault="00490BEE" w:rsidP="00490BEE">
      <w:pPr>
        <w:spacing w:after="0" w:line="240" w:lineRule="auto"/>
        <w:jc w:val="center"/>
        <w:rPr>
          <w:rFonts w:ascii="Times New Roman" w:eastAsia="Times New Roman" w:hAnsi="Times New Roman" w:cs="Times New Roman"/>
          <w:i/>
          <w:sz w:val="24"/>
          <w:szCs w:val="24"/>
        </w:rPr>
      </w:pPr>
    </w:p>
    <w:p w:rsidR="00490BEE" w:rsidRPr="00C458E7" w:rsidRDefault="00490BEE" w:rsidP="00490BEE">
      <w:pPr>
        <w:spacing w:after="0" w:line="240" w:lineRule="auto"/>
        <w:jc w:val="center"/>
        <w:rPr>
          <w:rFonts w:ascii="Times New Roman" w:eastAsia="Times New Roman" w:hAnsi="Times New Roman" w:cs="Times New Roman"/>
          <w:b/>
          <w:sz w:val="24"/>
          <w:szCs w:val="24"/>
        </w:rPr>
      </w:pPr>
      <w:r w:rsidRPr="00C458E7">
        <w:rPr>
          <w:rFonts w:ascii="Times New Roman" w:eastAsia="Times New Roman" w:hAnsi="Times New Roman" w:cs="Times New Roman"/>
          <w:b/>
          <w:sz w:val="24"/>
          <w:szCs w:val="24"/>
        </w:rPr>
        <w:t xml:space="preserve">ASIC Class Order </w:t>
      </w:r>
      <w:r w:rsidR="005F5131" w:rsidRPr="00C458E7">
        <w:rPr>
          <w:rFonts w:ascii="Times New Roman" w:eastAsia="Times New Roman" w:hAnsi="Times New Roman" w:cs="Times New Roman"/>
          <w:b/>
          <w:sz w:val="24"/>
          <w:szCs w:val="24"/>
        </w:rPr>
        <w:t>[CO 1</w:t>
      </w:r>
      <w:r w:rsidR="009C1439" w:rsidRPr="00C458E7">
        <w:rPr>
          <w:rFonts w:ascii="Times New Roman" w:eastAsia="Times New Roman" w:hAnsi="Times New Roman" w:cs="Times New Roman"/>
          <w:b/>
          <w:sz w:val="24"/>
          <w:szCs w:val="24"/>
        </w:rPr>
        <w:t>4</w:t>
      </w:r>
      <w:r w:rsidR="00BB16A1">
        <w:rPr>
          <w:rFonts w:ascii="Times New Roman" w:eastAsia="Times New Roman" w:hAnsi="Times New Roman" w:cs="Times New Roman"/>
          <w:b/>
          <w:sz w:val="24"/>
          <w:szCs w:val="24"/>
        </w:rPr>
        <w:t>/1252</w:t>
      </w:r>
      <w:r w:rsidR="005F5131" w:rsidRPr="00C458E7">
        <w:rPr>
          <w:rFonts w:ascii="Times New Roman" w:eastAsia="Times New Roman" w:hAnsi="Times New Roman" w:cs="Times New Roman"/>
          <w:b/>
          <w:sz w:val="24"/>
          <w:szCs w:val="24"/>
        </w:rPr>
        <w:t>]</w:t>
      </w:r>
    </w:p>
    <w:p w:rsidR="00490BEE" w:rsidRPr="00C458E7" w:rsidRDefault="00490BEE" w:rsidP="00490BEE">
      <w:pPr>
        <w:spacing w:after="0" w:line="240" w:lineRule="auto"/>
        <w:rPr>
          <w:rFonts w:ascii="Times New Roman" w:eastAsia="Times New Roman" w:hAnsi="Times New Roman" w:cs="Times New Roman"/>
          <w:b/>
          <w:sz w:val="24"/>
          <w:szCs w:val="24"/>
        </w:rPr>
      </w:pPr>
    </w:p>
    <w:p w:rsidR="00490BEE" w:rsidRPr="00C458E7" w:rsidRDefault="00490BEE" w:rsidP="00490BEE">
      <w:pPr>
        <w:spacing w:after="0" w:line="240" w:lineRule="auto"/>
        <w:jc w:val="both"/>
        <w:rPr>
          <w:rFonts w:ascii="Times New Roman" w:eastAsia="Times New Roman" w:hAnsi="Times New Roman" w:cs="Times New Roman"/>
          <w:sz w:val="24"/>
          <w:szCs w:val="24"/>
        </w:rPr>
      </w:pPr>
      <w:r w:rsidRPr="00C458E7">
        <w:rPr>
          <w:rFonts w:ascii="Times New Roman" w:eastAsia="Times New Roman" w:hAnsi="Times New Roman" w:cs="Times New Roman"/>
          <w:sz w:val="24"/>
          <w:szCs w:val="24"/>
        </w:rPr>
        <w:t xml:space="preserve">This class order is compatible with the human rights and freedoms recognised or declared in the international instruments listed in section 3 of the </w:t>
      </w:r>
      <w:r w:rsidRPr="00C458E7">
        <w:rPr>
          <w:rFonts w:ascii="Times New Roman" w:eastAsia="Times New Roman" w:hAnsi="Times New Roman" w:cs="Times New Roman"/>
          <w:i/>
          <w:sz w:val="24"/>
          <w:szCs w:val="24"/>
        </w:rPr>
        <w:t>Human Rights (Parliamentary Scrutiny) Act 2011</w:t>
      </w:r>
      <w:r w:rsidRPr="00C458E7">
        <w:rPr>
          <w:rFonts w:ascii="Times New Roman" w:eastAsia="Times New Roman" w:hAnsi="Times New Roman" w:cs="Times New Roman"/>
          <w:sz w:val="24"/>
          <w:szCs w:val="24"/>
        </w:rPr>
        <w:t>.</w:t>
      </w:r>
    </w:p>
    <w:p w:rsidR="00490BEE" w:rsidRPr="00C458E7" w:rsidRDefault="00490BEE" w:rsidP="00490BEE">
      <w:pPr>
        <w:spacing w:after="0" w:line="240" w:lineRule="auto"/>
        <w:rPr>
          <w:rFonts w:ascii="Times New Roman" w:eastAsia="Times New Roman" w:hAnsi="Times New Roman" w:cs="Times New Roman"/>
          <w:sz w:val="24"/>
          <w:szCs w:val="24"/>
        </w:rPr>
      </w:pPr>
    </w:p>
    <w:p w:rsidR="00490BEE" w:rsidRPr="00C458E7" w:rsidRDefault="00490BEE" w:rsidP="00490BEE">
      <w:pPr>
        <w:spacing w:after="0" w:line="240" w:lineRule="auto"/>
        <w:rPr>
          <w:rFonts w:ascii="Times New Roman" w:eastAsia="Times New Roman" w:hAnsi="Times New Roman" w:cs="Times New Roman"/>
          <w:b/>
          <w:sz w:val="24"/>
          <w:szCs w:val="24"/>
        </w:rPr>
      </w:pPr>
      <w:r w:rsidRPr="00C458E7">
        <w:rPr>
          <w:rFonts w:ascii="Times New Roman" w:eastAsia="Times New Roman" w:hAnsi="Times New Roman" w:cs="Times New Roman"/>
          <w:b/>
          <w:sz w:val="24"/>
          <w:szCs w:val="24"/>
        </w:rPr>
        <w:t>Overview of the class order</w:t>
      </w:r>
    </w:p>
    <w:p w:rsidR="00490BEE" w:rsidRPr="00C458E7" w:rsidRDefault="00490BEE" w:rsidP="00490BEE">
      <w:pPr>
        <w:spacing w:after="0" w:line="240" w:lineRule="auto"/>
        <w:rPr>
          <w:rFonts w:ascii="Times New Roman" w:eastAsia="Times New Roman" w:hAnsi="Times New Roman" w:cs="Times New Roman"/>
          <w:sz w:val="24"/>
          <w:szCs w:val="24"/>
        </w:rPr>
      </w:pPr>
    </w:p>
    <w:p w:rsidR="0087103E" w:rsidRDefault="00BE5A20" w:rsidP="00FF38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Relevantly</w:t>
      </w:r>
      <w:r w:rsidR="00CC51BC" w:rsidRPr="00FA448A">
        <w:rPr>
          <w:rFonts w:ascii="Times New Roman" w:hAnsi="Times New Roman" w:cs="Times New Roman"/>
          <w:bCs/>
          <w:sz w:val="24"/>
          <w:szCs w:val="24"/>
        </w:rPr>
        <w:t xml:space="preserve"> schedule 10 to the </w:t>
      </w:r>
      <w:r w:rsidR="00CC51BC" w:rsidRPr="006D2AAE">
        <w:rPr>
          <w:rFonts w:ascii="Times New Roman" w:hAnsi="Times New Roman" w:cs="Times New Roman"/>
          <w:bCs/>
          <w:i/>
          <w:sz w:val="24"/>
          <w:szCs w:val="24"/>
        </w:rPr>
        <w:t xml:space="preserve">Corporations Regulations </w:t>
      </w:r>
      <w:r w:rsidRPr="006D2AAE">
        <w:rPr>
          <w:rFonts w:ascii="Times New Roman" w:hAnsi="Times New Roman" w:cs="Times New Roman"/>
          <w:bCs/>
          <w:i/>
          <w:sz w:val="24"/>
          <w:szCs w:val="24"/>
        </w:rPr>
        <w:t>2001</w:t>
      </w:r>
      <w:r>
        <w:rPr>
          <w:rFonts w:ascii="Times New Roman" w:hAnsi="Times New Roman" w:cs="Times New Roman"/>
          <w:bCs/>
          <w:sz w:val="24"/>
          <w:szCs w:val="24"/>
        </w:rPr>
        <w:t xml:space="preserve"> sets out requirements for the disclosure of</w:t>
      </w:r>
      <w:r w:rsidR="00CC51BC" w:rsidRPr="00FA448A">
        <w:rPr>
          <w:rFonts w:ascii="Times New Roman" w:hAnsi="Times New Roman" w:cs="Times New Roman"/>
          <w:bCs/>
          <w:sz w:val="24"/>
          <w:szCs w:val="24"/>
        </w:rPr>
        <w:t xml:space="preserve"> fees and costs </w:t>
      </w:r>
      <w:r>
        <w:rPr>
          <w:rFonts w:ascii="Times New Roman" w:hAnsi="Times New Roman" w:cs="Times New Roman"/>
          <w:bCs/>
          <w:sz w:val="24"/>
          <w:szCs w:val="24"/>
        </w:rPr>
        <w:t>of</w:t>
      </w:r>
      <w:r w:rsidR="00CC51BC" w:rsidRPr="00FA448A">
        <w:rPr>
          <w:rFonts w:ascii="Times New Roman" w:hAnsi="Times New Roman" w:cs="Times New Roman"/>
          <w:bCs/>
          <w:sz w:val="24"/>
          <w:szCs w:val="24"/>
        </w:rPr>
        <w:t xml:space="preserve"> superannuation and managed investment products in Product Disclosure Statement</w:t>
      </w:r>
      <w:r>
        <w:rPr>
          <w:rFonts w:ascii="Times New Roman" w:hAnsi="Times New Roman" w:cs="Times New Roman"/>
          <w:bCs/>
          <w:sz w:val="24"/>
          <w:szCs w:val="24"/>
        </w:rPr>
        <w:t xml:space="preserve">s and in periodic statements that must be given to members.  </w:t>
      </w:r>
      <w:r w:rsidR="00CC51BC" w:rsidRPr="00FA448A">
        <w:rPr>
          <w:rFonts w:ascii="Times New Roman" w:hAnsi="Times New Roman" w:cs="Times New Roman"/>
          <w:bCs/>
          <w:sz w:val="24"/>
          <w:szCs w:val="24"/>
        </w:rPr>
        <w:t xml:space="preserve">The Class Order </w:t>
      </w:r>
      <w:r>
        <w:rPr>
          <w:rFonts w:ascii="Times New Roman" w:hAnsi="Times New Roman" w:cs="Times New Roman"/>
          <w:bCs/>
          <w:sz w:val="24"/>
          <w:szCs w:val="24"/>
        </w:rPr>
        <w:t>modifies those requirements to ensure that they have their intended effect, particularly in relation to the disclosure of costs that are incurred as a result of investin</w:t>
      </w:r>
      <w:r w:rsidR="00C13D79">
        <w:rPr>
          <w:rFonts w:ascii="Times New Roman" w:hAnsi="Times New Roman" w:cs="Times New Roman"/>
          <w:bCs/>
          <w:sz w:val="24"/>
          <w:szCs w:val="24"/>
        </w:rPr>
        <w:t>g through interposed vehicles.</w:t>
      </w:r>
      <w:r w:rsidR="00CC51BC" w:rsidRPr="00FA448A">
        <w:rPr>
          <w:rFonts w:ascii="Times New Roman" w:hAnsi="Times New Roman" w:cs="Times New Roman"/>
          <w:bCs/>
          <w:sz w:val="24"/>
          <w:szCs w:val="24"/>
        </w:rPr>
        <w:t xml:space="preserve"> </w:t>
      </w:r>
    </w:p>
    <w:p w:rsidR="00A40898" w:rsidRPr="003737B7" w:rsidRDefault="00A40898" w:rsidP="00FF38D7">
      <w:pPr>
        <w:spacing w:after="0" w:line="240" w:lineRule="auto"/>
        <w:jc w:val="both"/>
        <w:rPr>
          <w:rFonts w:ascii="Times New Roman" w:eastAsia="Times New Roman" w:hAnsi="Times New Roman" w:cs="Times New Roman"/>
          <w:bCs/>
          <w:sz w:val="24"/>
          <w:szCs w:val="24"/>
        </w:rPr>
      </w:pPr>
    </w:p>
    <w:p w:rsidR="00771AB6" w:rsidRDefault="00CC51BC" w:rsidP="00490BEE">
      <w:pPr>
        <w:spacing w:after="0" w:line="240" w:lineRule="auto"/>
        <w:jc w:val="both"/>
        <w:rPr>
          <w:rFonts w:ascii="Times New Roman" w:eastAsia="Times New Roman" w:hAnsi="Times New Roman" w:cs="Times New Roman"/>
          <w:sz w:val="24"/>
          <w:szCs w:val="24"/>
        </w:rPr>
      </w:pPr>
      <w:r w:rsidRPr="003737B7">
        <w:rPr>
          <w:rFonts w:ascii="Times New Roman" w:eastAsia="Times New Roman" w:hAnsi="Times New Roman" w:cs="Times New Roman"/>
          <w:sz w:val="24"/>
          <w:szCs w:val="24"/>
        </w:rPr>
        <w:t xml:space="preserve">The class order was developed in consultation with industry and </w:t>
      </w:r>
      <w:r w:rsidR="00C13D79">
        <w:rPr>
          <w:rFonts w:ascii="Times New Roman" w:eastAsia="Times New Roman" w:hAnsi="Times New Roman" w:cs="Times New Roman"/>
          <w:sz w:val="24"/>
          <w:szCs w:val="24"/>
        </w:rPr>
        <w:t>takes into account the</w:t>
      </w:r>
      <w:r w:rsidR="006D2AAE">
        <w:rPr>
          <w:rFonts w:ascii="Times New Roman" w:eastAsia="Times New Roman" w:hAnsi="Times New Roman" w:cs="Times New Roman"/>
          <w:sz w:val="24"/>
          <w:szCs w:val="24"/>
        </w:rPr>
        <w:t xml:space="preserve"> </w:t>
      </w:r>
      <w:r w:rsidRPr="003737B7">
        <w:rPr>
          <w:rFonts w:ascii="Times New Roman" w:eastAsia="Times New Roman" w:hAnsi="Times New Roman" w:cs="Times New Roman"/>
          <w:sz w:val="24"/>
          <w:szCs w:val="24"/>
        </w:rPr>
        <w:t>submissions received</w:t>
      </w:r>
      <w:r w:rsidR="00116038" w:rsidRPr="003737B7">
        <w:rPr>
          <w:rFonts w:ascii="Times New Roman" w:eastAsia="Times New Roman" w:hAnsi="Times New Roman" w:cs="Times New Roman"/>
          <w:sz w:val="24"/>
          <w:szCs w:val="24"/>
        </w:rPr>
        <w:t>.</w:t>
      </w:r>
    </w:p>
    <w:p w:rsidR="00A40898" w:rsidRPr="003737B7" w:rsidRDefault="00A40898" w:rsidP="00490BEE">
      <w:pPr>
        <w:spacing w:after="0" w:line="240" w:lineRule="auto"/>
        <w:jc w:val="both"/>
        <w:rPr>
          <w:rFonts w:ascii="Times New Roman" w:eastAsia="Times New Roman" w:hAnsi="Times New Roman" w:cs="Times New Roman"/>
          <w:sz w:val="24"/>
          <w:szCs w:val="24"/>
        </w:rPr>
      </w:pPr>
    </w:p>
    <w:p w:rsidR="00490BEE" w:rsidRPr="003737B7" w:rsidRDefault="00490BEE" w:rsidP="00490BEE">
      <w:pPr>
        <w:spacing w:after="0" w:line="240" w:lineRule="auto"/>
        <w:rPr>
          <w:rFonts w:ascii="Times New Roman" w:eastAsia="Times New Roman" w:hAnsi="Times New Roman" w:cs="Times New Roman"/>
          <w:b/>
          <w:sz w:val="24"/>
          <w:szCs w:val="24"/>
        </w:rPr>
      </w:pPr>
      <w:r w:rsidRPr="003737B7">
        <w:rPr>
          <w:rFonts w:ascii="Times New Roman" w:eastAsia="Times New Roman" w:hAnsi="Times New Roman" w:cs="Times New Roman"/>
          <w:b/>
          <w:sz w:val="24"/>
          <w:szCs w:val="24"/>
        </w:rPr>
        <w:t>Human rights implications</w:t>
      </w:r>
    </w:p>
    <w:p w:rsidR="009A5AAE" w:rsidRPr="003737B7" w:rsidRDefault="009A5AAE" w:rsidP="00490BEE">
      <w:pPr>
        <w:spacing w:after="0" w:line="240" w:lineRule="auto"/>
        <w:rPr>
          <w:rFonts w:ascii="Times New Roman" w:eastAsia="Times New Roman" w:hAnsi="Times New Roman" w:cs="Times New Roman"/>
          <w:sz w:val="24"/>
          <w:szCs w:val="24"/>
        </w:rPr>
      </w:pPr>
    </w:p>
    <w:p w:rsidR="00490BEE" w:rsidRPr="003737B7" w:rsidRDefault="00490BEE" w:rsidP="00490BEE">
      <w:pPr>
        <w:spacing w:after="0" w:line="240" w:lineRule="auto"/>
        <w:rPr>
          <w:rFonts w:ascii="Times New Roman" w:eastAsia="Times New Roman" w:hAnsi="Times New Roman" w:cs="Times New Roman"/>
          <w:sz w:val="24"/>
          <w:szCs w:val="24"/>
        </w:rPr>
      </w:pPr>
      <w:r w:rsidRPr="003737B7">
        <w:rPr>
          <w:rFonts w:ascii="Times New Roman" w:eastAsia="Times New Roman" w:hAnsi="Times New Roman" w:cs="Times New Roman"/>
          <w:sz w:val="24"/>
          <w:szCs w:val="24"/>
        </w:rPr>
        <w:t>This class order does not engage any of the applicable rights or freedoms.</w:t>
      </w:r>
    </w:p>
    <w:p w:rsidR="00490BEE" w:rsidRPr="003737B7" w:rsidRDefault="00490BEE" w:rsidP="00490BEE">
      <w:pPr>
        <w:spacing w:after="0" w:line="240" w:lineRule="auto"/>
        <w:rPr>
          <w:rFonts w:ascii="Times New Roman" w:eastAsia="Times New Roman" w:hAnsi="Times New Roman" w:cs="Times New Roman"/>
          <w:sz w:val="24"/>
          <w:szCs w:val="24"/>
        </w:rPr>
      </w:pPr>
    </w:p>
    <w:p w:rsidR="00490BEE" w:rsidRPr="003737B7" w:rsidRDefault="00490BEE" w:rsidP="009A5AAE">
      <w:pPr>
        <w:spacing w:after="120" w:line="240" w:lineRule="auto"/>
        <w:rPr>
          <w:rFonts w:ascii="Times New Roman" w:eastAsia="Times New Roman" w:hAnsi="Times New Roman" w:cs="Times New Roman"/>
          <w:b/>
          <w:sz w:val="24"/>
          <w:szCs w:val="24"/>
        </w:rPr>
      </w:pPr>
      <w:r w:rsidRPr="003737B7">
        <w:rPr>
          <w:rFonts w:ascii="Times New Roman" w:eastAsia="Times New Roman" w:hAnsi="Times New Roman" w:cs="Times New Roman"/>
          <w:b/>
          <w:sz w:val="24"/>
          <w:szCs w:val="24"/>
        </w:rPr>
        <w:t>Conclusion</w:t>
      </w:r>
    </w:p>
    <w:p w:rsidR="00BE161A" w:rsidRPr="003737B7" w:rsidRDefault="00490BEE" w:rsidP="009A5AAE">
      <w:pPr>
        <w:spacing w:after="0" w:line="240" w:lineRule="auto"/>
        <w:rPr>
          <w:rFonts w:ascii="Times New Roman" w:eastAsia="Times New Roman" w:hAnsi="Times New Roman" w:cs="Times New Roman"/>
          <w:sz w:val="24"/>
          <w:szCs w:val="24"/>
        </w:rPr>
      </w:pPr>
      <w:r w:rsidRPr="003737B7">
        <w:rPr>
          <w:rFonts w:ascii="Times New Roman" w:eastAsia="Times New Roman" w:hAnsi="Times New Roman" w:cs="Times New Roman"/>
          <w:sz w:val="24"/>
          <w:szCs w:val="24"/>
        </w:rPr>
        <w:t>This class order is compatible with human rights as it does not raise any human rights issues.</w:t>
      </w:r>
    </w:p>
    <w:p w:rsidR="00BE161A" w:rsidRPr="003737B7" w:rsidRDefault="00BE161A" w:rsidP="00BE161A">
      <w:pPr>
        <w:rPr>
          <w:rFonts w:ascii="Times New Roman" w:eastAsia="Times New Roman" w:hAnsi="Times New Roman" w:cs="Times New Roman"/>
          <w:sz w:val="24"/>
          <w:szCs w:val="24"/>
        </w:rPr>
      </w:pPr>
    </w:p>
    <w:p w:rsidR="00DF22D1" w:rsidRPr="003737B7" w:rsidRDefault="00DF22D1" w:rsidP="00BE161A">
      <w:pPr>
        <w:tabs>
          <w:tab w:val="left" w:pos="2760"/>
        </w:tabs>
        <w:rPr>
          <w:rFonts w:ascii="Times New Roman" w:eastAsia="Times New Roman" w:hAnsi="Times New Roman" w:cs="Times New Roman"/>
          <w:sz w:val="24"/>
          <w:szCs w:val="24"/>
        </w:rPr>
      </w:pPr>
    </w:p>
    <w:sectPr w:rsidR="00DF22D1" w:rsidRPr="003737B7" w:rsidSect="00C57E4F">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7DC" w:rsidRDefault="007D27DC" w:rsidP="00490BEE">
      <w:pPr>
        <w:spacing w:after="0" w:line="240" w:lineRule="auto"/>
      </w:pPr>
      <w:r>
        <w:separator/>
      </w:r>
    </w:p>
  </w:endnote>
  <w:endnote w:type="continuationSeparator" w:id="0">
    <w:p w:rsidR="007D27DC" w:rsidRDefault="007D27DC" w:rsidP="0049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41" w:rsidRPr="00C57E4F" w:rsidRDefault="00F96D85">
    <w:pPr>
      <w:pStyle w:val="Footer"/>
      <w:jc w:val="right"/>
      <w:rPr>
        <w:rFonts w:ascii="Times New Roman" w:hAnsi="Times New Roman" w:cs="Times New Roman"/>
      </w:rPr>
    </w:pPr>
    <w:r>
      <w:rPr>
        <w:rFonts w:ascii="Times New Roman" w:hAnsi="Times New Roman" w:cs="Times New Roman"/>
      </w:rPr>
      <w:t>Dec</w:t>
    </w:r>
    <w:r w:rsidR="00FF3641">
      <w:rPr>
        <w:rFonts w:ascii="Times New Roman" w:hAnsi="Times New Roman" w:cs="Times New Roman"/>
      </w:rPr>
      <w:t>ember</w:t>
    </w:r>
    <w:r w:rsidR="00FF3641" w:rsidRPr="00B05D54">
      <w:rPr>
        <w:rFonts w:ascii="Times New Roman" w:hAnsi="Times New Roman" w:cs="Times New Roman"/>
      </w:rPr>
      <w:t xml:space="preserve"> 201</w:t>
    </w:r>
    <w:r w:rsidR="003145F1">
      <w:rPr>
        <w:rFonts w:ascii="Times New Roman" w:hAnsi="Times New Roman" w:cs="Times New Roman"/>
      </w:rPr>
      <w:t>4</w:t>
    </w:r>
  </w:p>
  <w:p w:rsidR="00FF3641" w:rsidRPr="00C57E4F" w:rsidRDefault="00FF3641">
    <w:pPr>
      <w:pStyle w:val="Footer"/>
      <w:jc w:val="right"/>
      <w:rPr>
        <w:rFonts w:ascii="Times New Roman" w:hAnsi="Times New Roman" w:cs="Times New Roman"/>
      </w:rPr>
    </w:pPr>
    <w:r w:rsidRPr="00B05D54">
      <w:rPr>
        <w:rFonts w:ascii="Times New Roman" w:hAnsi="Times New Roman" w:cs="Times New Roman"/>
      </w:rPr>
      <w:t xml:space="preserve">Page </w:t>
    </w:r>
    <w:sdt>
      <w:sdtPr>
        <w:rPr>
          <w:rFonts w:ascii="Times New Roman" w:hAnsi="Times New Roman" w:cs="Times New Roman"/>
        </w:rPr>
        <w:id w:val="557390938"/>
        <w:docPartObj>
          <w:docPartGallery w:val="Page Numbers (Bottom of Page)"/>
          <w:docPartUnique/>
        </w:docPartObj>
      </w:sdtPr>
      <w:sdtEndPr/>
      <w:sdtContent>
        <w:r w:rsidR="000D6061" w:rsidRPr="00B05D54">
          <w:rPr>
            <w:rFonts w:ascii="Times New Roman" w:hAnsi="Times New Roman" w:cs="Times New Roman"/>
          </w:rPr>
          <w:fldChar w:fldCharType="begin"/>
        </w:r>
        <w:r w:rsidRPr="00B05D54">
          <w:rPr>
            <w:rFonts w:ascii="Times New Roman" w:hAnsi="Times New Roman" w:cs="Times New Roman"/>
          </w:rPr>
          <w:instrText xml:space="preserve"> PAGE   \* MERGEFORMAT </w:instrText>
        </w:r>
        <w:r w:rsidR="000D6061" w:rsidRPr="00B05D54">
          <w:rPr>
            <w:rFonts w:ascii="Times New Roman" w:hAnsi="Times New Roman" w:cs="Times New Roman"/>
          </w:rPr>
          <w:fldChar w:fldCharType="separate"/>
        </w:r>
        <w:r w:rsidR="003A45C9">
          <w:rPr>
            <w:rFonts w:ascii="Times New Roman" w:hAnsi="Times New Roman" w:cs="Times New Roman"/>
            <w:noProof/>
          </w:rPr>
          <w:t>4</w:t>
        </w:r>
        <w:r w:rsidR="000D6061" w:rsidRPr="00B05D54">
          <w:rPr>
            <w:rFonts w:ascii="Times New Roman" w:hAnsi="Times New Roman" w:cs="Times New Roman"/>
          </w:rPr>
          <w:fldChar w:fldCharType="end"/>
        </w:r>
      </w:sdtContent>
    </w:sdt>
  </w:p>
  <w:p w:rsidR="00FF3641" w:rsidRPr="00490BEE" w:rsidRDefault="00FF3641">
    <w:pPr>
      <w:pStyle w:val="Footer"/>
      <w:rPr>
        <w:rFonts w:ascii="Times New Roman" w:hAnsi="Times New Roman" w:cs="Times New Roman"/>
        <w:sz w:val="24"/>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390981"/>
      <w:docPartObj>
        <w:docPartGallery w:val="Page Numbers (Bottom of Page)"/>
        <w:docPartUnique/>
      </w:docPartObj>
    </w:sdtPr>
    <w:sdtEndPr/>
    <w:sdtContent>
      <w:p w:rsidR="00FF3641" w:rsidRPr="00E96438" w:rsidRDefault="00FF3641">
        <w:pPr>
          <w:pStyle w:val="Footer"/>
          <w:jc w:val="right"/>
          <w:rPr>
            <w:rFonts w:ascii="Times New Roman" w:hAnsi="Times New Roman" w:cs="Times New Roman"/>
          </w:rPr>
        </w:pPr>
      </w:p>
      <w:p w:rsidR="00FF3641" w:rsidRDefault="003A45C9">
        <w:pPr>
          <w:pStyle w:val="Footer"/>
          <w:jc w:val="right"/>
        </w:pPr>
      </w:p>
    </w:sdtContent>
  </w:sdt>
  <w:p w:rsidR="00FF3641" w:rsidRDefault="00FF3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7DC" w:rsidRDefault="007D27DC" w:rsidP="00490BEE">
      <w:pPr>
        <w:spacing w:after="0" w:line="240" w:lineRule="auto"/>
      </w:pPr>
      <w:r>
        <w:separator/>
      </w:r>
    </w:p>
  </w:footnote>
  <w:footnote w:type="continuationSeparator" w:id="0">
    <w:p w:rsidR="007D27DC" w:rsidRDefault="007D27DC" w:rsidP="00490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41" w:rsidRPr="00490BEE" w:rsidRDefault="00FF3641" w:rsidP="00490BEE">
    <w:pPr>
      <w:pStyle w:val="Header"/>
      <w:jc w:val="right"/>
      <w:rPr>
        <w:rFonts w:ascii="Times New Roman" w:hAnsi="Times New Roman" w:cs="Times New Roman"/>
        <w:sz w:val="24"/>
        <w:szCs w:val="24"/>
        <w:lang w:val="en-US"/>
      </w:rPr>
    </w:pPr>
    <w:r w:rsidRPr="00490BEE">
      <w:rPr>
        <w:rFonts w:ascii="Times New Roman" w:hAnsi="Times New Roman" w:cs="Times New Roman"/>
        <w:sz w:val="24"/>
        <w:szCs w:val="24"/>
        <w:lang w:val="en-US"/>
      </w:rPr>
      <w:t>Explanatory Statement – Class Order [CO 1</w:t>
    </w:r>
    <w:r w:rsidR="009C1439">
      <w:rPr>
        <w:rFonts w:ascii="Times New Roman" w:hAnsi="Times New Roman" w:cs="Times New Roman"/>
        <w:sz w:val="24"/>
        <w:szCs w:val="24"/>
        <w:lang w:val="en-US"/>
      </w:rPr>
      <w:t>4</w:t>
    </w:r>
    <w:r w:rsidRPr="00490BEE">
      <w:rPr>
        <w:rFonts w:ascii="Times New Roman" w:hAnsi="Times New Roman" w:cs="Times New Roman"/>
        <w:sz w:val="24"/>
        <w:szCs w:val="24"/>
        <w:lang w:val="en-US"/>
      </w:rPr>
      <w:t>/</w:t>
    </w:r>
    <w:r w:rsidR="00BB16A1">
      <w:rPr>
        <w:rFonts w:ascii="Times New Roman" w:hAnsi="Times New Roman" w:cs="Times New Roman"/>
        <w:sz w:val="24"/>
        <w:szCs w:val="24"/>
        <w:lang w:val="en-US"/>
      </w:rPr>
      <w:t>1252</w:t>
    </w:r>
    <w:r w:rsidRPr="00490BEE">
      <w:rPr>
        <w:rFonts w:ascii="Times New Roman" w:hAnsi="Times New Roman" w:cs="Times New Roman"/>
        <w:sz w:val="24"/>
        <w:szCs w:val="24"/>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24A"/>
    <w:multiLevelType w:val="hybridMultilevel"/>
    <w:tmpl w:val="87CE8DEA"/>
    <w:lvl w:ilvl="0" w:tplc="735E74E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
    <w:nsid w:val="09C0394D"/>
    <w:multiLevelType w:val="hybridMultilevel"/>
    <w:tmpl w:val="E4E6D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0447A6"/>
    <w:multiLevelType w:val="hybridMultilevel"/>
    <w:tmpl w:val="E326E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EB40B0"/>
    <w:multiLevelType w:val="hybridMultilevel"/>
    <w:tmpl w:val="D36EC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22D85F0A"/>
    <w:multiLevelType w:val="hybridMultilevel"/>
    <w:tmpl w:val="6E2AB042"/>
    <w:lvl w:ilvl="0" w:tplc="B4887178">
      <w:start w:val="1"/>
      <w:numFmt w:val="lowerLetter"/>
      <w:lvlText w:val="(%1)"/>
      <w:lvlJc w:val="left"/>
      <w:pPr>
        <w:ind w:left="4188" w:hanging="360"/>
      </w:pPr>
      <w:rPr>
        <w:rFonts w:hint="default"/>
        <w:color w:val="auto"/>
      </w:r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5">
    <w:nsid w:val="24384375"/>
    <w:multiLevelType w:val="hybridMultilevel"/>
    <w:tmpl w:val="C86E9D42"/>
    <w:lvl w:ilvl="0" w:tplc="7618099E">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D34B17"/>
    <w:multiLevelType w:val="hybridMultilevel"/>
    <w:tmpl w:val="0D12DC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7972CD"/>
    <w:multiLevelType w:val="hybridMultilevel"/>
    <w:tmpl w:val="C032E49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nsid w:val="2DA42B3E"/>
    <w:multiLevelType w:val="multilevel"/>
    <w:tmpl w:val="26D655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8F6FB5"/>
    <w:multiLevelType w:val="hybridMultilevel"/>
    <w:tmpl w:val="A38CA330"/>
    <w:lvl w:ilvl="0" w:tplc="29C0F8EE">
      <w:start w:val="1"/>
      <w:numFmt w:val="lowerLetter"/>
      <w:lvlText w:val="(%1)"/>
      <w:lvlJc w:val="left"/>
      <w:pPr>
        <w:ind w:left="23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B9496D"/>
    <w:multiLevelType w:val="hybridMultilevel"/>
    <w:tmpl w:val="4F56F130"/>
    <w:lvl w:ilvl="0" w:tplc="5D7CD9C4">
      <w:start w:val="1"/>
      <w:numFmt w:val="lowerRoman"/>
      <w:lvlText w:val="%1)"/>
      <w:lvlJc w:val="left"/>
      <w:pPr>
        <w:ind w:left="1499" w:hanging="360"/>
      </w:pPr>
      <w:rPr>
        <w:rFonts w:ascii="Times New Roman" w:eastAsiaTheme="minorHAnsi" w:hAnsi="Times New Roman" w:cstheme="minorBidi" w:hint="default"/>
      </w:rPr>
    </w:lvl>
    <w:lvl w:ilvl="1" w:tplc="0C090003" w:tentative="1">
      <w:start w:val="1"/>
      <w:numFmt w:val="bullet"/>
      <w:lvlText w:val="o"/>
      <w:lvlJc w:val="left"/>
      <w:pPr>
        <w:ind w:left="2219" w:hanging="360"/>
      </w:pPr>
      <w:rPr>
        <w:rFonts w:ascii="Courier New" w:hAnsi="Courier New" w:cs="Courier New" w:hint="default"/>
      </w:rPr>
    </w:lvl>
    <w:lvl w:ilvl="2" w:tplc="0C090005" w:tentative="1">
      <w:start w:val="1"/>
      <w:numFmt w:val="bullet"/>
      <w:lvlText w:val=""/>
      <w:lvlJc w:val="left"/>
      <w:pPr>
        <w:ind w:left="2939" w:hanging="360"/>
      </w:pPr>
      <w:rPr>
        <w:rFonts w:ascii="Wingdings" w:hAnsi="Wingdings" w:hint="default"/>
      </w:rPr>
    </w:lvl>
    <w:lvl w:ilvl="3" w:tplc="0C090001" w:tentative="1">
      <w:start w:val="1"/>
      <w:numFmt w:val="bullet"/>
      <w:lvlText w:val=""/>
      <w:lvlJc w:val="left"/>
      <w:pPr>
        <w:ind w:left="3659" w:hanging="360"/>
      </w:pPr>
      <w:rPr>
        <w:rFonts w:ascii="Symbol" w:hAnsi="Symbol" w:hint="default"/>
      </w:rPr>
    </w:lvl>
    <w:lvl w:ilvl="4" w:tplc="0C090003" w:tentative="1">
      <w:start w:val="1"/>
      <w:numFmt w:val="bullet"/>
      <w:lvlText w:val="o"/>
      <w:lvlJc w:val="left"/>
      <w:pPr>
        <w:ind w:left="4379" w:hanging="360"/>
      </w:pPr>
      <w:rPr>
        <w:rFonts w:ascii="Courier New" w:hAnsi="Courier New" w:cs="Courier New" w:hint="default"/>
      </w:rPr>
    </w:lvl>
    <w:lvl w:ilvl="5" w:tplc="0C090005" w:tentative="1">
      <w:start w:val="1"/>
      <w:numFmt w:val="bullet"/>
      <w:lvlText w:val=""/>
      <w:lvlJc w:val="left"/>
      <w:pPr>
        <w:ind w:left="5099" w:hanging="360"/>
      </w:pPr>
      <w:rPr>
        <w:rFonts w:ascii="Wingdings" w:hAnsi="Wingdings" w:hint="default"/>
      </w:rPr>
    </w:lvl>
    <w:lvl w:ilvl="6" w:tplc="0C090001" w:tentative="1">
      <w:start w:val="1"/>
      <w:numFmt w:val="bullet"/>
      <w:lvlText w:val=""/>
      <w:lvlJc w:val="left"/>
      <w:pPr>
        <w:ind w:left="5819" w:hanging="360"/>
      </w:pPr>
      <w:rPr>
        <w:rFonts w:ascii="Symbol" w:hAnsi="Symbol" w:hint="default"/>
      </w:rPr>
    </w:lvl>
    <w:lvl w:ilvl="7" w:tplc="0C090003" w:tentative="1">
      <w:start w:val="1"/>
      <w:numFmt w:val="bullet"/>
      <w:lvlText w:val="o"/>
      <w:lvlJc w:val="left"/>
      <w:pPr>
        <w:ind w:left="6539" w:hanging="360"/>
      </w:pPr>
      <w:rPr>
        <w:rFonts w:ascii="Courier New" w:hAnsi="Courier New" w:cs="Courier New" w:hint="default"/>
      </w:rPr>
    </w:lvl>
    <w:lvl w:ilvl="8" w:tplc="0C090005" w:tentative="1">
      <w:start w:val="1"/>
      <w:numFmt w:val="bullet"/>
      <w:lvlText w:val=""/>
      <w:lvlJc w:val="left"/>
      <w:pPr>
        <w:ind w:left="7259" w:hanging="360"/>
      </w:pPr>
      <w:rPr>
        <w:rFonts w:ascii="Wingdings" w:hAnsi="Wingdings" w:hint="default"/>
      </w:rPr>
    </w:lvl>
  </w:abstractNum>
  <w:abstractNum w:abstractNumId="11">
    <w:nsid w:val="3AC13F36"/>
    <w:multiLevelType w:val="hybridMultilevel"/>
    <w:tmpl w:val="109C89F2"/>
    <w:lvl w:ilvl="0" w:tplc="17AC60C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nsid w:val="421734DB"/>
    <w:multiLevelType w:val="hybridMultilevel"/>
    <w:tmpl w:val="D284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992D62"/>
    <w:multiLevelType w:val="hybridMultilevel"/>
    <w:tmpl w:val="949A742C"/>
    <w:lvl w:ilvl="0" w:tplc="5D7CD9C4">
      <w:start w:val="1"/>
      <w:numFmt w:val="lowerRoman"/>
      <w:lvlText w:val="%1)"/>
      <w:lvlJc w:val="left"/>
      <w:pPr>
        <w:ind w:left="1440" w:hanging="360"/>
      </w:pPr>
      <w:rPr>
        <w:rFonts w:ascii="Times New Roman" w:eastAsiaTheme="minorHAnsi" w:hAnsi="Times New Roman" w:cstheme="minorBidi"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6CC51C8"/>
    <w:multiLevelType w:val="hybridMultilevel"/>
    <w:tmpl w:val="4EB6EB70"/>
    <w:lvl w:ilvl="0" w:tplc="1F461134">
      <w:start w:val="1"/>
      <w:numFmt w:val="lowerLetter"/>
      <w:lvlText w:val="(%1)"/>
      <w:lvlJc w:val="left"/>
      <w:pPr>
        <w:ind w:left="2370" w:hanging="360"/>
      </w:pPr>
      <w:rPr>
        <w:rFonts w:hint="default"/>
      </w:rPr>
    </w:lvl>
    <w:lvl w:ilvl="1" w:tplc="0C090019" w:tentative="1">
      <w:start w:val="1"/>
      <w:numFmt w:val="lowerLetter"/>
      <w:lvlText w:val="%2."/>
      <w:lvlJc w:val="left"/>
      <w:pPr>
        <w:ind w:left="3090" w:hanging="360"/>
      </w:pPr>
    </w:lvl>
    <w:lvl w:ilvl="2" w:tplc="0C09001B" w:tentative="1">
      <w:start w:val="1"/>
      <w:numFmt w:val="lowerRoman"/>
      <w:lvlText w:val="%3."/>
      <w:lvlJc w:val="right"/>
      <w:pPr>
        <w:ind w:left="3810" w:hanging="180"/>
      </w:pPr>
    </w:lvl>
    <w:lvl w:ilvl="3" w:tplc="0C09000F" w:tentative="1">
      <w:start w:val="1"/>
      <w:numFmt w:val="decimal"/>
      <w:lvlText w:val="%4."/>
      <w:lvlJc w:val="left"/>
      <w:pPr>
        <w:ind w:left="4530" w:hanging="360"/>
      </w:pPr>
    </w:lvl>
    <w:lvl w:ilvl="4" w:tplc="0C090019" w:tentative="1">
      <w:start w:val="1"/>
      <w:numFmt w:val="lowerLetter"/>
      <w:lvlText w:val="%5."/>
      <w:lvlJc w:val="left"/>
      <w:pPr>
        <w:ind w:left="5250" w:hanging="360"/>
      </w:pPr>
    </w:lvl>
    <w:lvl w:ilvl="5" w:tplc="0C09001B" w:tentative="1">
      <w:start w:val="1"/>
      <w:numFmt w:val="lowerRoman"/>
      <w:lvlText w:val="%6."/>
      <w:lvlJc w:val="right"/>
      <w:pPr>
        <w:ind w:left="5970" w:hanging="180"/>
      </w:pPr>
    </w:lvl>
    <w:lvl w:ilvl="6" w:tplc="0C09000F" w:tentative="1">
      <w:start w:val="1"/>
      <w:numFmt w:val="decimal"/>
      <w:lvlText w:val="%7."/>
      <w:lvlJc w:val="left"/>
      <w:pPr>
        <w:ind w:left="6690" w:hanging="360"/>
      </w:pPr>
    </w:lvl>
    <w:lvl w:ilvl="7" w:tplc="0C090019" w:tentative="1">
      <w:start w:val="1"/>
      <w:numFmt w:val="lowerLetter"/>
      <w:lvlText w:val="%8."/>
      <w:lvlJc w:val="left"/>
      <w:pPr>
        <w:ind w:left="7410" w:hanging="360"/>
      </w:pPr>
    </w:lvl>
    <w:lvl w:ilvl="8" w:tplc="0C09001B" w:tentative="1">
      <w:start w:val="1"/>
      <w:numFmt w:val="lowerRoman"/>
      <w:lvlText w:val="%9."/>
      <w:lvlJc w:val="right"/>
      <w:pPr>
        <w:ind w:left="8130" w:hanging="180"/>
      </w:pPr>
    </w:lvl>
  </w:abstractNum>
  <w:abstractNum w:abstractNumId="15">
    <w:nsid w:val="47F254A4"/>
    <w:multiLevelType w:val="hybridMultilevel"/>
    <w:tmpl w:val="0ACC8838"/>
    <w:lvl w:ilvl="0" w:tplc="0C09001B">
      <w:start w:val="1"/>
      <w:numFmt w:val="lowerRoman"/>
      <w:lvlText w:val="%1."/>
      <w:lvlJc w:val="right"/>
      <w:pPr>
        <w:ind w:left="3807" w:hanging="360"/>
      </w:pPr>
    </w:lvl>
    <w:lvl w:ilvl="1" w:tplc="0C090019" w:tentative="1">
      <w:start w:val="1"/>
      <w:numFmt w:val="lowerLetter"/>
      <w:lvlText w:val="%2."/>
      <w:lvlJc w:val="left"/>
      <w:pPr>
        <w:ind w:left="4527" w:hanging="360"/>
      </w:pPr>
    </w:lvl>
    <w:lvl w:ilvl="2" w:tplc="0C09001B" w:tentative="1">
      <w:start w:val="1"/>
      <w:numFmt w:val="lowerRoman"/>
      <w:lvlText w:val="%3."/>
      <w:lvlJc w:val="right"/>
      <w:pPr>
        <w:ind w:left="5247" w:hanging="180"/>
      </w:pPr>
    </w:lvl>
    <w:lvl w:ilvl="3" w:tplc="0C09000F" w:tentative="1">
      <w:start w:val="1"/>
      <w:numFmt w:val="decimal"/>
      <w:lvlText w:val="%4."/>
      <w:lvlJc w:val="left"/>
      <w:pPr>
        <w:ind w:left="5967" w:hanging="360"/>
      </w:pPr>
    </w:lvl>
    <w:lvl w:ilvl="4" w:tplc="0C090019" w:tentative="1">
      <w:start w:val="1"/>
      <w:numFmt w:val="lowerLetter"/>
      <w:lvlText w:val="%5."/>
      <w:lvlJc w:val="left"/>
      <w:pPr>
        <w:ind w:left="6687" w:hanging="360"/>
      </w:pPr>
    </w:lvl>
    <w:lvl w:ilvl="5" w:tplc="0C09001B" w:tentative="1">
      <w:start w:val="1"/>
      <w:numFmt w:val="lowerRoman"/>
      <w:lvlText w:val="%6."/>
      <w:lvlJc w:val="right"/>
      <w:pPr>
        <w:ind w:left="7407" w:hanging="180"/>
      </w:pPr>
    </w:lvl>
    <w:lvl w:ilvl="6" w:tplc="0C09000F" w:tentative="1">
      <w:start w:val="1"/>
      <w:numFmt w:val="decimal"/>
      <w:lvlText w:val="%7."/>
      <w:lvlJc w:val="left"/>
      <w:pPr>
        <w:ind w:left="8127" w:hanging="360"/>
      </w:pPr>
    </w:lvl>
    <w:lvl w:ilvl="7" w:tplc="0C090019" w:tentative="1">
      <w:start w:val="1"/>
      <w:numFmt w:val="lowerLetter"/>
      <w:lvlText w:val="%8."/>
      <w:lvlJc w:val="left"/>
      <w:pPr>
        <w:ind w:left="8847" w:hanging="360"/>
      </w:pPr>
    </w:lvl>
    <w:lvl w:ilvl="8" w:tplc="0C09001B" w:tentative="1">
      <w:start w:val="1"/>
      <w:numFmt w:val="lowerRoman"/>
      <w:lvlText w:val="%9."/>
      <w:lvlJc w:val="right"/>
      <w:pPr>
        <w:ind w:left="9567" w:hanging="180"/>
      </w:pPr>
    </w:lvl>
  </w:abstractNum>
  <w:abstractNum w:abstractNumId="16">
    <w:nsid w:val="49A16093"/>
    <w:multiLevelType w:val="hybridMultilevel"/>
    <w:tmpl w:val="80EAF2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nsid w:val="4F4F3CCE"/>
    <w:multiLevelType w:val="hybridMultilevel"/>
    <w:tmpl w:val="F2B26068"/>
    <w:lvl w:ilvl="0" w:tplc="5D7CD9C4">
      <w:start w:val="1"/>
      <w:numFmt w:val="lowerRoman"/>
      <w:lvlText w:val="%1)"/>
      <w:lvlJc w:val="left"/>
      <w:pPr>
        <w:ind w:left="720" w:hanging="360"/>
      </w:pPr>
      <w:rPr>
        <w:rFonts w:ascii="Times New Roman" w:eastAsiaTheme="minorHAnsi" w:hAnsi="Times New Roman"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FB07B1"/>
    <w:multiLevelType w:val="hybridMultilevel"/>
    <w:tmpl w:val="82C8CCD4"/>
    <w:lvl w:ilvl="0" w:tplc="E43200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75D5546"/>
    <w:multiLevelType w:val="hybridMultilevel"/>
    <w:tmpl w:val="4372BAB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0">
    <w:nsid w:val="61111356"/>
    <w:multiLevelType w:val="hybridMultilevel"/>
    <w:tmpl w:val="DA14C942"/>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nsid w:val="65C74406"/>
    <w:multiLevelType w:val="hybridMultilevel"/>
    <w:tmpl w:val="B57C0C80"/>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nsid w:val="6BBC58D0"/>
    <w:multiLevelType w:val="hybridMultilevel"/>
    <w:tmpl w:val="A7CA7632"/>
    <w:lvl w:ilvl="0" w:tplc="10D648C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nsid w:val="6FEB644A"/>
    <w:multiLevelType w:val="hybridMultilevel"/>
    <w:tmpl w:val="6792A906"/>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4">
    <w:nsid w:val="733B7DAF"/>
    <w:multiLevelType w:val="hybridMultilevel"/>
    <w:tmpl w:val="DA9E8D98"/>
    <w:lvl w:ilvl="0" w:tplc="0C090001">
      <w:start w:val="1"/>
      <w:numFmt w:val="bullet"/>
      <w:lvlText w:val=""/>
      <w:lvlJc w:val="left"/>
      <w:pPr>
        <w:ind w:left="2575" w:hanging="360"/>
      </w:pPr>
      <w:rPr>
        <w:rFonts w:ascii="Symbol" w:hAnsi="Symbol" w:hint="default"/>
      </w:rPr>
    </w:lvl>
    <w:lvl w:ilvl="1" w:tplc="0C090003" w:tentative="1">
      <w:start w:val="1"/>
      <w:numFmt w:val="bullet"/>
      <w:lvlText w:val="o"/>
      <w:lvlJc w:val="left"/>
      <w:pPr>
        <w:ind w:left="3295" w:hanging="360"/>
      </w:pPr>
      <w:rPr>
        <w:rFonts w:ascii="Courier New" w:hAnsi="Courier New" w:cs="Courier New" w:hint="default"/>
      </w:rPr>
    </w:lvl>
    <w:lvl w:ilvl="2" w:tplc="0C090005" w:tentative="1">
      <w:start w:val="1"/>
      <w:numFmt w:val="bullet"/>
      <w:lvlText w:val=""/>
      <w:lvlJc w:val="left"/>
      <w:pPr>
        <w:ind w:left="4015" w:hanging="360"/>
      </w:pPr>
      <w:rPr>
        <w:rFonts w:ascii="Wingdings" w:hAnsi="Wingdings" w:hint="default"/>
      </w:rPr>
    </w:lvl>
    <w:lvl w:ilvl="3" w:tplc="0C090001" w:tentative="1">
      <w:start w:val="1"/>
      <w:numFmt w:val="bullet"/>
      <w:lvlText w:val=""/>
      <w:lvlJc w:val="left"/>
      <w:pPr>
        <w:ind w:left="4735" w:hanging="360"/>
      </w:pPr>
      <w:rPr>
        <w:rFonts w:ascii="Symbol" w:hAnsi="Symbol" w:hint="default"/>
      </w:rPr>
    </w:lvl>
    <w:lvl w:ilvl="4" w:tplc="0C090003" w:tentative="1">
      <w:start w:val="1"/>
      <w:numFmt w:val="bullet"/>
      <w:lvlText w:val="o"/>
      <w:lvlJc w:val="left"/>
      <w:pPr>
        <w:ind w:left="5455" w:hanging="360"/>
      </w:pPr>
      <w:rPr>
        <w:rFonts w:ascii="Courier New" w:hAnsi="Courier New" w:cs="Courier New" w:hint="default"/>
      </w:rPr>
    </w:lvl>
    <w:lvl w:ilvl="5" w:tplc="0C090005" w:tentative="1">
      <w:start w:val="1"/>
      <w:numFmt w:val="bullet"/>
      <w:lvlText w:val=""/>
      <w:lvlJc w:val="left"/>
      <w:pPr>
        <w:ind w:left="6175" w:hanging="360"/>
      </w:pPr>
      <w:rPr>
        <w:rFonts w:ascii="Wingdings" w:hAnsi="Wingdings" w:hint="default"/>
      </w:rPr>
    </w:lvl>
    <w:lvl w:ilvl="6" w:tplc="0C090001" w:tentative="1">
      <w:start w:val="1"/>
      <w:numFmt w:val="bullet"/>
      <w:lvlText w:val=""/>
      <w:lvlJc w:val="left"/>
      <w:pPr>
        <w:ind w:left="6895" w:hanging="360"/>
      </w:pPr>
      <w:rPr>
        <w:rFonts w:ascii="Symbol" w:hAnsi="Symbol" w:hint="default"/>
      </w:rPr>
    </w:lvl>
    <w:lvl w:ilvl="7" w:tplc="0C090003" w:tentative="1">
      <w:start w:val="1"/>
      <w:numFmt w:val="bullet"/>
      <w:lvlText w:val="o"/>
      <w:lvlJc w:val="left"/>
      <w:pPr>
        <w:ind w:left="7615" w:hanging="360"/>
      </w:pPr>
      <w:rPr>
        <w:rFonts w:ascii="Courier New" w:hAnsi="Courier New" w:cs="Courier New" w:hint="default"/>
      </w:rPr>
    </w:lvl>
    <w:lvl w:ilvl="8" w:tplc="0C090005" w:tentative="1">
      <w:start w:val="1"/>
      <w:numFmt w:val="bullet"/>
      <w:lvlText w:val=""/>
      <w:lvlJc w:val="left"/>
      <w:pPr>
        <w:ind w:left="8335" w:hanging="360"/>
      </w:pPr>
      <w:rPr>
        <w:rFonts w:ascii="Wingdings" w:hAnsi="Wingdings" w:hint="default"/>
      </w:rPr>
    </w:lvl>
  </w:abstractNum>
  <w:abstractNum w:abstractNumId="25">
    <w:nsid w:val="73914AC5"/>
    <w:multiLevelType w:val="hybridMultilevel"/>
    <w:tmpl w:val="6BF27F90"/>
    <w:lvl w:ilvl="0" w:tplc="2A9E4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6A7A32"/>
    <w:multiLevelType w:val="multilevel"/>
    <w:tmpl w:val="2AA8BC6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9"/>
  </w:num>
  <w:num w:numId="3">
    <w:abstractNumId w:val="7"/>
  </w:num>
  <w:num w:numId="4">
    <w:abstractNumId w:val="16"/>
  </w:num>
  <w:num w:numId="5">
    <w:abstractNumId w:val="20"/>
  </w:num>
  <w:num w:numId="6">
    <w:abstractNumId w:val="21"/>
  </w:num>
  <w:num w:numId="7">
    <w:abstractNumId w:val="23"/>
  </w:num>
  <w:num w:numId="8">
    <w:abstractNumId w:val="12"/>
  </w:num>
  <w:num w:numId="9">
    <w:abstractNumId w:val="2"/>
  </w:num>
  <w:num w:numId="10">
    <w:abstractNumId w:val="26"/>
  </w:num>
  <w:num w:numId="11">
    <w:abstractNumId w:val="6"/>
  </w:num>
  <w:num w:numId="12">
    <w:abstractNumId w:val="1"/>
  </w:num>
  <w:num w:numId="13">
    <w:abstractNumId w:val="25"/>
  </w:num>
  <w:num w:numId="14">
    <w:abstractNumId w:val="8"/>
  </w:num>
  <w:num w:numId="15">
    <w:abstractNumId w:val="10"/>
  </w:num>
  <w:num w:numId="16">
    <w:abstractNumId w:val="18"/>
  </w:num>
  <w:num w:numId="17">
    <w:abstractNumId w:val="3"/>
  </w:num>
  <w:num w:numId="18">
    <w:abstractNumId w:val="5"/>
  </w:num>
  <w:num w:numId="19">
    <w:abstractNumId w:val="13"/>
  </w:num>
  <w:num w:numId="20">
    <w:abstractNumId w:val="17"/>
  </w:num>
  <w:num w:numId="21">
    <w:abstractNumId w:val="15"/>
  </w:num>
  <w:num w:numId="22">
    <w:abstractNumId w:val="4"/>
  </w:num>
  <w:num w:numId="23">
    <w:abstractNumId w:val="11"/>
  </w:num>
  <w:num w:numId="24">
    <w:abstractNumId w:val="22"/>
  </w:num>
  <w:num w:numId="25">
    <w:abstractNumId w:val="14"/>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66"/>
    <w:rsid w:val="00002F28"/>
    <w:rsid w:val="000034F0"/>
    <w:rsid w:val="00011179"/>
    <w:rsid w:val="00012AE3"/>
    <w:rsid w:val="00013560"/>
    <w:rsid w:val="00013579"/>
    <w:rsid w:val="0002235D"/>
    <w:rsid w:val="00031CEE"/>
    <w:rsid w:val="000543A0"/>
    <w:rsid w:val="000564EB"/>
    <w:rsid w:val="00063F76"/>
    <w:rsid w:val="000841B2"/>
    <w:rsid w:val="00093E58"/>
    <w:rsid w:val="000A27BC"/>
    <w:rsid w:val="000A2992"/>
    <w:rsid w:val="000A3D24"/>
    <w:rsid w:val="000A5F91"/>
    <w:rsid w:val="000A6259"/>
    <w:rsid w:val="000C1AE7"/>
    <w:rsid w:val="000C371D"/>
    <w:rsid w:val="000C6CB7"/>
    <w:rsid w:val="000C746A"/>
    <w:rsid w:val="000D05BF"/>
    <w:rsid w:val="000D51A3"/>
    <w:rsid w:val="000D53B3"/>
    <w:rsid w:val="000D6061"/>
    <w:rsid w:val="000E09D0"/>
    <w:rsid w:val="000E664F"/>
    <w:rsid w:val="000E7B09"/>
    <w:rsid w:val="000F3AD5"/>
    <w:rsid w:val="0010053C"/>
    <w:rsid w:val="001058D1"/>
    <w:rsid w:val="001060A6"/>
    <w:rsid w:val="00111A34"/>
    <w:rsid w:val="00114330"/>
    <w:rsid w:val="001152DB"/>
    <w:rsid w:val="00116038"/>
    <w:rsid w:val="00117FA3"/>
    <w:rsid w:val="0012176B"/>
    <w:rsid w:val="001235D9"/>
    <w:rsid w:val="0012480F"/>
    <w:rsid w:val="001265A5"/>
    <w:rsid w:val="00133BD0"/>
    <w:rsid w:val="001554A1"/>
    <w:rsid w:val="00157BCF"/>
    <w:rsid w:val="0016308D"/>
    <w:rsid w:val="0016735F"/>
    <w:rsid w:val="00177583"/>
    <w:rsid w:val="00180496"/>
    <w:rsid w:val="00181E46"/>
    <w:rsid w:val="00182E0E"/>
    <w:rsid w:val="00190F70"/>
    <w:rsid w:val="001940CF"/>
    <w:rsid w:val="001971AE"/>
    <w:rsid w:val="001A1075"/>
    <w:rsid w:val="001A12F1"/>
    <w:rsid w:val="001B2120"/>
    <w:rsid w:val="001D2A03"/>
    <w:rsid w:val="001E03E4"/>
    <w:rsid w:val="001E07AE"/>
    <w:rsid w:val="001E0964"/>
    <w:rsid w:val="001E31B0"/>
    <w:rsid w:val="001F060F"/>
    <w:rsid w:val="001F163D"/>
    <w:rsid w:val="001F1889"/>
    <w:rsid w:val="001F3586"/>
    <w:rsid w:val="00220F78"/>
    <w:rsid w:val="00221D87"/>
    <w:rsid w:val="0022540A"/>
    <w:rsid w:val="00230450"/>
    <w:rsid w:val="002310D5"/>
    <w:rsid w:val="00236D4E"/>
    <w:rsid w:val="002466BC"/>
    <w:rsid w:val="00254CE2"/>
    <w:rsid w:val="002566E2"/>
    <w:rsid w:val="00263040"/>
    <w:rsid w:val="00266925"/>
    <w:rsid w:val="00266AAF"/>
    <w:rsid w:val="00281324"/>
    <w:rsid w:val="0028641E"/>
    <w:rsid w:val="0028689B"/>
    <w:rsid w:val="00287BA3"/>
    <w:rsid w:val="00291913"/>
    <w:rsid w:val="0029475C"/>
    <w:rsid w:val="00295978"/>
    <w:rsid w:val="00295F8A"/>
    <w:rsid w:val="002A3034"/>
    <w:rsid w:val="002C3D59"/>
    <w:rsid w:val="002C545C"/>
    <w:rsid w:val="002D6912"/>
    <w:rsid w:val="002E0001"/>
    <w:rsid w:val="002E0DFD"/>
    <w:rsid w:val="002E74AD"/>
    <w:rsid w:val="002F0950"/>
    <w:rsid w:val="002F2A5B"/>
    <w:rsid w:val="002F5024"/>
    <w:rsid w:val="002F7CFA"/>
    <w:rsid w:val="00305FFF"/>
    <w:rsid w:val="00312A11"/>
    <w:rsid w:val="003131E2"/>
    <w:rsid w:val="003145F1"/>
    <w:rsid w:val="0031482A"/>
    <w:rsid w:val="00314E79"/>
    <w:rsid w:val="003221F1"/>
    <w:rsid w:val="003234E4"/>
    <w:rsid w:val="00325B44"/>
    <w:rsid w:val="00333C0F"/>
    <w:rsid w:val="00340C66"/>
    <w:rsid w:val="00354005"/>
    <w:rsid w:val="00362D19"/>
    <w:rsid w:val="00363463"/>
    <w:rsid w:val="00365E9D"/>
    <w:rsid w:val="003737B7"/>
    <w:rsid w:val="00374F4D"/>
    <w:rsid w:val="00374F78"/>
    <w:rsid w:val="00375A2D"/>
    <w:rsid w:val="00380CD1"/>
    <w:rsid w:val="003868E5"/>
    <w:rsid w:val="00391C04"/>
    <w:rsid w:val="0039397A"/>
    <w:rsid w:val="0039464F"/>
    <w:rsid w:val="003964BA"/>
    <w:rsid w:val="003A45C9"/>
    <w:rsid w:val="003B11EF"/>
    <w:rsid w:val="003B14CD"/>
    <w:rsid w:val="003B46A0"/>
    <w:rsid w:val="003C05A3"/>
    <w:rsid w:val="003C6D61"/>
    <w:rsid w:val="003D010D"/>
    <w:rsid w:val="003D0F53"/>
    <w:rsid w:val="003D16A3"/>
    <w:rsid w:val="003E10DB"/>
    <w:rsid w:val="003E2211"/>
    <w:rsid w:val="0040386E"/>
    <w:rsid w:val="00406C96"/>
    <w:rsid w:val="00421364"/>
    <w:rsid w:val="0042414A"/>
    <w:rsid w:val="00424407"/>
    <w:rsid w:val="004355FD"/>
    <w:rsid w:val="004609EF"/>
    <w:rsid w:val="0047053C"/>
    <w:rsid w:val="00475BF8"/>
    <w:rsid w:val="0047672B"/>
    <w:rsid w:val="00490BEE"/>
    <w:rsid w:val="004968F9"/>
    <w:rsid w:val="00497766"/>
    <w:rsid w:val="004A2209"/>
    <w:rsid w:val="004A274C"/>
    <w:rsid w:val="004B7AD0"/>
    <w:rsid w:val="004C0D49"/>
    <w:rsid w:val="004C3B56"/>
    <w:rsid w:val="004E2F97"/>
    <w:rsid w:val="00502F81"/>
    <w:rsid w:val="00507CC7"/>
    <w:rsid w:val="005103B4"/>
    <w:rsid w:val="00514E77"/>
    <w:rsid w:val="005159E5"/>
    <w:rsid w:val="00520013"/>
    <w:rsid w:val="005227CD"/>
    <w:rsid w:val="00526EAA"/>
    <w:rsid w:val="005306D4"/>
    <w:rsid w:val="00531227"/>
    <w:rsid w:val="0053357B"/>
    <w:rsid w:val="005358D7"/>
    <w:rsid w:val="005403AB"/>
    <w:rsid w:val="0055027A"/>
    <w:rsid w:val="00550C22"/>
    <w:rsid w:val="0056246D"/>
    <w:rsid w:val="00571087"/>
    <w:rsid w:val="00571737"/>
    <w:rsid w:val="00572103"/>
    <w:rsid w:val="00576733"/>
    <w:rsid w:val="00591809"/>
    <w:rsid w:val="0059204E"/>
    <w:rsid w:val="00592868"/>
    <w:rsid w:val="00597257"/>
    <w:rsid w:val="005A04AE"/>
    <w:rsid w:val="005A6438"/>
    <w:rsid w:val="005B09E9"/>
    <w:rsid w:val="005D2EAE"/>
    <w:rsid w:val="005D6B09"/>
    <w:rsid w:val="005E373F"/>
    <w:rsid w:val="005E4EF8"/>
    <w:rsid w:val="005F5131"/>
    <w:rsid w:val="005F697F"/>
    <w:rsid w:val="006002AC"/>
    <w:rsid w:val="0061560A"/>
    <w:rsid w:val="00615DA5"/>
    <w:rsid w:val="006218E8"/>
    <w:rsid w:val="00621961"/>
    <w:rsid w:val="00631216"/>
    <w:rsid w:val="00636990"/>
    <w:rsid w:val="006371D9"/>
    <w:rsid w:val="0063785A"/>
    <w:rsid w:val="00641279"/>
    <w:rsid w:val="006503A7"/>
    <w:rsid w:val="00650FA1"/>
    <w:rsid w:val="00652BC2"/>
    <w:rsid w:val="00652E41"/>
    <w:rsid w:val="0065322D"/>
    <w:rsid w:val="00663E8B"/>
    <w:rsid w:val="00667AA9"/>
    <w:rsid w:val="00670BD1"/>
    <w:rsid w:val="00671053"/>
    <w:rsid w:val="0068337F"/>
    <w:rsid w:val="006A3162"/>
    <w:rsid w:val="006A3F8D"/>
    <w:rsid w:val="006B6124"/>
    <w:rsid w:val="006B64A5"/>
    <w:rsid w:val="006C1678"/>
    <w:rsid w:val="006D2AAE"/>
    <w:rsid w:val="006E0E87"/>
    <w:rsid w:val="006E20D6"/>
    <w:rsid w:val="006E4119"/>
    <w:rsid w:val="006F205F"/>
    <w:rsid w:val="006F5DB1"/>
    <w:rsid w:val="00702CF0"/>
    <w:rsid w:val="00710800"/>
    <w:rsid w:val="007129BA"/>
    <w:rsid w:val="00716B14"/>
    <w:rsid w:val="0072128D"/>
    <w:rsid w:val="00721B12"/>
    <w:rsid w:val="00721EE3"/>
    <w:rsid w:val="00722CFD"/>
    <w:rsid w:val="00726B6B"/>
    <w:rsid w:val="00726BDF"/>
    <w:rsid w:val="007312A8"/>
    <w:rsid w:val="00740BF6"/>
    <w:rsid w:val="00746E3F"/>
    <w:rsid w:val="00762A2A"/>
    <w:rsid w:val="00762AEB"/>
    <w:rsid w:val="00764E89"/>
    <w:rsid w:val="00771AB6"/>
    <w:rsid w:val="00775A3E"/>
    <w:rsid w:val="007767DE"/>
    <w:rsid w:val="00780536"/>
    <w:rsid w:val="00785226"/>
    <w:rsid w:val="00790567"/>
    <w:rsid w:val="0079124D"/>
    <w:rsid w:val="00794485"/>
    <w:rsid w:val="007A22E7"/>
    <w:rsid w:val="007A301E"/>
    <w:rsid w:val="007A44DA"/>
    <w:rsid w:val="007B042C"/>
    <w:rsid w:val="007D1A61"/>
    <w:rsid w:val="007D27DC"/>
    <w:rsid w:val="007D4F3F"/>
    <w:rsid w:val="007D6EFF"/>
    <w:rsid w:val="007F5656"/>
    <w:rsid w:val="007F61D9"/>
    <w:rsid w:val="0083482B"/>
    <w:rsid w:val="00847579"/>
    <w:rsid w:val="0087103E"/>
    <w:rsid w:val="00874807"/>
    <w:rsid w:val="008818DC"/>
    <w:rsid w:val="008834B2"/>
    <w:rsid w:val="00886B9A"/>
    <w:rsid w:val="00896440"/>
    <w:rsid w:val="008B28FD"/>
    <w:rsid w:val="008B2A88"/>
    <w:rsid w:val="008C7845"/>
    <w:rsid w:val="008D5675"/>
    <w:rsid w:val="008D63C0"/>
    <w:rsid w:val="008D78A3"/>
    <w:rsid w:val="008D79E0"/>
    <w:rsid w:val="008E6141"/>
    <w:rsid w:val="008F0C8E"/>
    <w:rsid w:val="008F601A"/>
    <w:rsid w:val="008F69C2"/>
    <w:rsid w:val="00916053"/>
    <w:rsid w:val="009164AA"/>
    <w:rsid w:val="0093047A"/>
    <w:rsid w:val="00932EC3"/>
    <w:rsid w:val="00945879"/>
    <w:rsid w:val="00961D4A"/>
    <w:rsid w:val="009742AE"/>
    <w:rsid w:val="0099188D"/>
    <w:rsid w:val="0099312D"/>
    <w:rsid w:val="009A5AAE"/>
    <w:rsid w:val="009B05BD"/>
    <w:rsid w:val="009B4426"/>
    <w:rsid w:val="009C0E51"/>
    <w:rsid w:val="009C1439"/>
    <w:rsid w:val="009C1A40"/>
    <w:rsid w:val="009C3A43"/>
    <w:rsid w:val="009C4739"/>
    <w:rsid w:val="009C6327"/>
    <w:rsid w:val="009D3F2F"/>
    <w:rsid w:val="009D4E5B"/>
    <w:rsid w:val="009D7460"/>
    <w:rsid w:val="009E1D35"/>
    <w:rsid w:val="009E34E7"/>
    <w:rsid w:val="009F3596"/>
    <w:rsid w:val="009F3631"/>
    <w:rsid w:val="009F5E04"/>
    <w:rsid w:val="009F6C47"/>
    <w:rsid w:val="009F7EE3"/>
    <w:rsid w:val="00A00040"/>
    <w:rsid w:val="00A02020"/>
    <w:rsid w:val="00A02727"/>
    <w:rsid w:val="00A06CDA"/>
    <w:rsid w:val="00A13064"/>
    <w:rsid w:val="00A1531A"/>
    <w:rsid w:val="00A21807"/>
    <w:rsid w:val="00A30E00"/>
    <w:rsid w:val="00A32863"/>
    <w:rsid w:val="00A332A1"/>
    <w:rsid w:val="00A336DB"/>
    <w:rsid w:val="00A368B2"/>
    <w:rsid w:val="00A40898"/>
    <w:rsid w:val="00A41E26"/>
    <w:rsid w:val="00A42D33"/>
    <w:rsid w:val="00A47CD4"/>
    <w:rsid w:val="00A507CB"/>
    <w:rsid w:val="00A512CB"/>
    <w:rsid w:val="00A51F2C"/>
    <w:rsid w:val="00A63F5D"/>
    <w:rsid w:val="00A72641"/>
    <w:rsid w:val="00A72EA6"/>
    <w:rsid w:val="00A7469A"/>
    <w:rsid w:val="00A81ABD"/>
    <w:rsid w:val="00A84949"/>
    <w:rsid w:val="00A866D0"/>
    <w:rsid w:val="00A904A1"/>
    <w:rsid w:val="00A91F49"/>
    <w:rsid w:val="00A93578"/>
    <w:rsid w:val="00A96D43"/>
    <w:rsid w:val="00AA16D7"/>
    <w:rsid w:val="00AA172A"/>
    <w:rsid w:val="00AA3764"/>
    <w:rsid w:val="00AA3BBE"/>
    <w:rsid w:val="00AA4623"/>
    <w:rsid w:val="00AB29A1"/>
    <w:rsid w:val="00AC6B1B"/>
    <w:rsid w:val="00AD0C28"/>
    <w:rsid w:val="00AD1657"/>
    <w:rsid w:val="00AD644D"/>
    <w:rsid w:val="00AE2B2D"/>
    <w:rsid w:val="00AF029D"/>
    <w:rsid w:val="00AF78C7"/>
    <w:rsid w:val="00B032B0"/>
    <w:rsid w:val="00B05D54"/>
    <w:rsid w:val="00B06EF2"/>
    <w:rsid w:val="00B10D06"/>
    <w:rsid w:val="00B1270F"/>
    <w:rsid w:val="00B15C05"/>
    <w:rsid w:val="00B2002E"/>
    <w:rsid w:val="00B219DC"/>
    <w:rsid w:val="00B26A9C"/>
    <w:rsid w:val="00B42B06"/>
    <w:rsid w:val="00B44C95"/>
    <w:rsid w:val="00B45764"/>
    <w:rsid w:val="00B54D8B"/>
    <w:rsid w:val="00B60FED"/>
    <w:rsid w:val="00B618E2"/>
    <w:rsid w:val="00B6687E"/>
    <w:rsid w:val="00B71FB2"/>
    <w:rsid w:val="00B72960"/>
    <w:rsid w:val="00B7319E"/>
    <w:rsid w:val="00B7459F"/>
    <w:rsid w:val="00B83E63"/>
    <w:rsid w:val="00B930F4"/>
    <w:rsid w:val="00BA32CE"/>
    <w:rsid w:val="00BA4EB2"/>
    <w:rsid w:val="00BA4F9B"/>
    <w:rsid w:val="00BA73A5"/>
    <w:rsid w:val="00BB16A1"/>
    <w:rsid w:val="00BB6CC6"/>
    <w:rsid w:val="00BC6028"/>
    <w:rsid w:val="00BD3AC2"/>
    <w:rsid w:val="00BD7214"/>
    <w:rsid w:val="00BE0BF5"/>
    <w:rsid w:val="00BE161A"/>
    <w:rsid w:val="00BE5A20"/>
    <w:rsid w:val="00BF05E4"/>
    <w:rsid w:val="00BF5037"/>
    <w:rsid w:val="00C00CB1"/>
    <w:rsid w:val="00C13D79"/>
    <w:rsid w:val="00C1504E"/>
    <w:rsid w:val="00C161C5"/>
    <w:rsid w:val="00C16539"/>
    <w:rsid w:val="00C22E1A"/>
    <w:rsid w:val="00C27FB5"/>
    <w:rsid w:val="00C315AA"/>
    <w:rsid w:val="00C36209"/>
    <w:rsid w:val="00C365A0"/>
    <w:rsid w:val="00C368C2"/>
    <w:rsid w:val="00C40BF9"/>
    <w:rsid w:val="00C458E7"/>
    <w:rsid w:val="00C46EB4"/>
    <w:rsid w:val="00C55BDC"/>
    <w:rsid w:val="00C57E4F"/>
    <w:rsid w:val="00C64646"/>
    <w:rsid w:val="00C71612"/>
    <w:rsid w:val="00C72BED"/>
    <w:rsid w:val="00C75A19"/>
    <w:rsid w:val="00C779EF"/>
    <w:rsid w:val="00C906F9"/>
    <w:rsid w:val="00C96B58"/>
    <w:rsid w:val="00CA3903"/>
    <w:rsid w:val="00CA74AF"/>
    <w:rsid w:val="00CB0D6F"/>
    <w:rsid w:val="00CB3E78"/>
    <w:rsid w:val="00CB456E"/>
    <w:rsid w:val="00CB7967"/>
    <w:rsid w:val="00CC0298"/>
    <w:rsid w:val="00CC51BC"/>
    <w:rsid w:val="00CC7A47"/>
    <w:rsid w:val="00CD0E77"/>
    <w:rsid w:val="00CD7090"/>
    <w:rsid w:val="00CE1CCE"/>
    <w:rsid w:val="00CE28A2"/>
    <w:rsid w:val="00CE5B10"/>
    <w:rsid w:val="00CF55A6"/>
    <w:rsid w:val="00D03AF1"/>
    <w:rsid w:val="00D04126"/>
    <w:rsid w:val="00D05D83"/>
    <w:rsid w:val="00D12EF7"/>
    <w:rsid w:val="00D137A5"/>
    <w:rsid w:val="00D24D36"/>
    <w:rsid w:val="00D26D89"/>
    <w:rsid w:val="00D4180A"/>
    <w:rsid w:val="00D54DEA"/>
    <w:rsid w:val="00D55CEC"/>
    <w:rsid w:val="00D61AC2"/>
    <w:rsid w:val="00D62D9C"/>
    <w:rsid w:val="00D659A4"/>
    <w:rsid w:val="00D67EB3"/>
    <w:rsid w:val="00D715C7"/>
    <w:rsid w:val="00D73577"/>
    <w:rsid w:val="00D75043"/>
    <w:rsid w:val="00D87B94"/>
    <w:rsid w:val="00D87F85"/>
    <w:rsid w:val="00D9078E"/>
    <w:rsid w:val="00D96F41"/>
    <w:rsid w:val="00D97BB0"/>
    <w:rsid w:val="00DA1931"/>
    <w:rsid w:val="00DA5308"/>
    <w:rsid w:val="00DB690C"/>
    <w:rsid w:val="00DD4FE3"/>
    <w:rsid w:val="00DF22D1"/>
    <w:rsid w:val="00DF2F30"/>
    <w:rsid w:val="00E002E6"/>
    <w:rsid w:val="00E009C1"/>
    <w:rsid w:val="00E034B2"/>
    <w:rsid w:val="00E04D24"/>
    <w:rsid w:val="00E12CCE"/>
    <w:rsid w:val="00E17A22"/>
    <w:rsid w:val="00E21290"/>
    <w:rsid w:val="00E22FA3"/>
    <w:rsid w:val="00E245FB"/>
    <w:rsid w:val="00E248E0"/>
    <w:rsid w:val="00E32782"/>
    <w:rsid w:val="00E43D78"/>
    <w:rsid w:val="00E54E45"/>
    <w:rsid w:val="00E60908"/>
    <w:rsid w:val="00E62A6F"/>
    <w:rsid w:val="00E65AB1"/>
    <w:rsid w:val="00E70F5D"/>
    <w:rsid w:val="00E73714"/>
    <w:rsid w:val="00E82F84"/>
    <w:rsid w:val="00E84551"/>
    <w:rsid w:val="00E8472E"/>
    <w:rsid w:val="00E86724"/>
    <w:rsid w:val="00E90CFE"/>
    <w:rsid w:val="00E90D07"/>
    <w:rsid w:val="00E9568D"/>
    <w:rsid w:val="00E96438"/>
    <w:rsid w:val="00EB2C44"/>
    <w:rsid w:val="00EC6FDE"/>
    <w:rsid w:val="00EE5370"/>
    <w:rsid w:val="00EF6DF3"/>
    <w:rsid w:val="00F00579"/>
    <w:rsid w:val="00F01210"/>
    <w:rsid w:val="00F042B4"/>
    <w:rsid w:val="00F137CE"/>
    <w:rsid w:val="00F15DEA"/>
    <w:rsid w:val="00F225F7"/>
    <w:rsid w:val="00F26718"/>
    <w:rsid w:val="00F32281"/>
    <w:rsid w:val="00F3639C"/>
    <w:rsid w:val="00F45E17"/>
    <w:rsid w:val="00F47AD6"/>
    <w:rsid w:val="00F603FD"/>
    <w:rsid w:val="00F664AD"/>
    <w:rsid w:val="00F67336"/>
    <w:rsid w:val="00F70819"/>
    <w:rsid w:val="00F8158B"/>
    <w:rsid w:val="00F8245C"/>
    <w:rsid w:val="00F96D85"/>
    <w:rsid w:val="00F96E82"/>
    <w:rsid w:val="00FA448A"/>
    <w:rsid w:val="00FA5BC5"/>
    <w:rsid w:val="00FA5D7A"/>
    <w:rsid w:val="00FA7FD2"/>
    <w:rsid w:val="00FB31AD"/>
    <w:rsid w:val="00FB58DF"/>
    <w:rsid w:val="00FC149A"/>
    <w:rsid w:val="00FC6D60"/>
    <w:rsid w:val="00FD24CA"/>
    <w:rsid w:val="00FD4373"/>
    <w:rsid w:val="00FE3CC1"/>
    <w:rsid w:val="00FE51AD"/>
    <w:rsid w:val="00FE66A0"/>
    <w:rsid w:val="00FF3641"/>
    <w:rsid w:val="00FF3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er 1"/>
    <w:next w:val="CommentText"/>
    <w:link w:val="Heading1Char"/>
    <w:qFormat/>
    <w:rsid w:val="00F45E1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12CB"/>
    <w:pPr>
      <w:ind w:left="720"/>
      <w:contextualSpacing/>
    </w:pPr>
  </w:style>
  <w:style w:type="character" w:customStyle="1" w:styleId="Heading1Char">
    <w:name w:val="Heading 1 Char"/>
    <w:aliases w:val="h1 Char,header 1 Char"/>
    <w:basedOn w:val="DefaultParagraphFont"/>
    <w:link w:val="Heading1"/>
    <w:rsid w:val="00F45E17"/>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rsid w:val="00F45E17"/>
    <w:pPr>
      <w:spacing w:line="240" w:lineRule="auto"/>
    </w:pPr>
    <w:rPr>
      <w:sz w:val="20"/>
      <w:szCs w:val="20"/>
    </w:rPr>
  </w:style>
  <w:style w:type="character" w:customStyle="1" w:styleId="CommentTextChar">
    <w:name w:val="Comment Text Char"/>
    <w:basedOn w:val="DefaultParagraphFont"/>
    <w:link w:val="CommentText"/>
    <w:uiPriority w:val="99"/>
    <w:rsid w:val="00F45E17"/>
    <w:rPr>
      <w:sz w:val="20"/>
      <w:szCs w:val="20"/>
    </w:rPr>
  </w:style>
  <w:style w:type="paragraph" w:styleId="BodyText">
    <w:name w:val="Body Text"/>
    <w:link w:val="BodyTextChar"/>
    <w:semiHidden/>
    <w:rsid w:val="00F45E1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45E1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90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EE"/>
  </w:style>
  <w:style w:type="paragraph" w:styleId="Footer">
    <w:name w:val="footer"/>
    <w:basedOn w:val="Normal"/>
    <w:link w:val="FooterChar"/>
    <w:uiPriority w:val="99"/>
    <w:unhideWhenUsed/>
    <w:rsid w:val="0049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E"/>
  </w:style>
  <w:style w:type="character" w:styleId="CommentReference">
    <w:name w:val="annotation reference"/>
    <w:basedOn w:val="DefaultParagraphFont"/>
    <w:uiPriority w:val="99"/>
    <w:semiHidden/>
    <w:unhideWhenUsed/>
    <w:rsid w:val="005A04AE"/>
    <w:rPr>
      <w:sz w:val="16"/>
      <w:szCs w:val="16"/>
    </w:rPr>
  </w:style>
  <w:style w:type="paragraph" w:styleId="CommentSubject">
    <w:name w:val="annotation subject"/>
    <w:basedOn w:val="CommentText"/>
    <w:next w:val="CommentText"/>
    <w:link w:val="CommentSubjectChar"/>
    <w:uiPriority w:val="99"/>
    <w:semiHidden/>
    <w:unhideWhenUsed/>
    <w:rsid w:val="005A04AE"/>
    <w:rPr>
      <w:b/>
      <w:bCs/>
    </w:rPr>
  </w:style>
  <w:style w:type="character" w:customStyle="1" w:styleId="CommentSubjectChar">
    <w:name w:val="Comment Subject Char"/>
    <w:basedOn w:val="CommentTextChar"/>
    <w:link w:val="CommentSubject"/>
    <w:uiPriority w:val="99"/>
    <w:semiHidden/>
    <w:rsid w:val="005A04AE"/>
    <w:rPr>
      <w:b/>
      <w:bCs/>
      <w:sz w:val="20"/>
      <w:szCs w:val="20"/>
    </w:rPr>
  </w:style>
  <w:style w:type="paragraph" w:styleId="BalloonText">
    <w:name w:val="Balloon Text"/>
    <w:basedOn w:val="Normal"/>
    <w:link w:val="BalloonTextChar"/>
    <w:uiPriority w:val="99"/>
    <w:semiHidden/>
    <w:unhideWhenUsed/>
    <w:rsid w:val="005A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AE"/>
    <w:rPr>
      <w:rFonts w:ascii="Tahoma" w:hAnsi="Tahoma" w:cs="Tahoma"/>
      <w:sz w:val="16"/>
      <w:szCs w:val="16"/>
    </w:rPr>
  </w:style>
  <w:style w:type="paragraph" w:styleId="Revision">
    <w:name w:val="Revision"/>
    <w:hidden/>
    <w:uiPriority w:val="99"/>
    <w:semiHidden/>
    <w:rsid w:val="009F7E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er 1"/>
    <w:next w:val="CommentText"/>
    <w:link w:val="Heading1Char"/>
    <w:qFormat/>
    <w:rsid w:val="00F45E1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12CB"/>
    <w:pPr>
      <w:ind w:left="720"/>
      <w:contextualSpacing/>
    </w:pPr>
  </w:style>
  <w:style w:type="character" w:customStyle="1" w:styleId="Heading1Char">
    <w:name w:val="Heading 1 Char"/>
    <w:aliases w:val="h1 Char,header 1 Char"/>
    <w:basedOn w:val="DefaultParagraphFont"/>
    <w:link w:val="Heading1"/>
    <w:rsid w:val="00F45E17"/>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rsid w:val="00F45E17"/>
    <w:pPr>
      <w:spacing w:line="240" w:lineRule="auto"/>
    </w:pPr>
    <w:rPr>
      <w:sz w:val="20"/>
      <w:szCs w:val="20"/>
    </w:rPr>
  </w:style>
  <w:style w:type="character" w:customStyle="1" w:styleId="CommentTextChar">
    <w:name w:val="Comment Text Char"/>
    <w:basedOn w:val="DefaultParagraphFont"/>
    <w:link w:val="CommentText"/>
    <w:uiPriority w:val="99"/>
    <w:rsid w:val="00F45E17"/>
    <w:rPr>
      <w:sz w:val="20"/>
      <w:szCs w:val="20"/>
    </w:rPr>
  </w:style>
  <w:style w:type="paragraph" w:styleId="BodyText">
    <w:name w:val="Body Text"/>
    <w:link w:val="BodyTextChar"/>
    <w:semiHidden/>
    <w:rsid w:val="00F45E1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45E1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90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EE"/>
  </w:style>
  <w:style w:type="paragraph" w:styleId="Footer">
    <w:name w:val="footer"/>
    <w:basedOn w:val="Normal"/>
    <w:link w:val="FooterChar"/>
    <w:uiPriority w:val="99"/>
    <w:unhideWhenUsed/>
    <w:rsid w:val="0049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E"/>
  </w:style>
  <w:style w:type="character" w:styleId="CommentReference">
    <w:name w:val="annotation reference"/>
    <w:basedOn w:val="DefaultParagraphFont"/>
    <w:uiPriority w:val="99"/>
    <w:semiHidden/>
    <w:unhideWhenUsed/>
    <w:rsid w:val="005A04AE"/>
    <w:rPr>
      <w:sz w:val="16"/>
      <w:szCs w:val="16"/>
    </w:rPr>
  </w:style>
  <w:style w:type="paragraph" w:styleId="CommentSubject">
    <w:name w:val="annotation subject"/>
    <w:basedOn w:val="CommentText"/>
    <w:next w:val="CommentText"/>
    <w:link w:val="CommentSubjectChar"/>
    <w:uiPriority w:val="99"/>
    <w:semiHidden/>
    <w:unhideWhenUsed/>
    <w:rsid w:val="005A04AE"/>
    <w:rPr>
      <w:b/>
      <w:bCs/>
    </w:rPr>
  </w:style>
  <w:style w:type="character" w:customStyle="1" w:styleId="CommentSubjectChar">
    <w:name w:val="Comment Subject Char"/>
    <w:basedOn w:val="CommentTextChar"/>
    <w:link w:val="CommentSubject"/>
    <w:uiPriority w:val="99"/>
    <w:semiHidden/>
    <w:rsid w:val="005A04AE"/>
    <w:rPr>
      <w:b/>
      <w:bCs/>
      <w:sz w:val="20"/>
      <w:szCs w:val="20"/>
    </w:rPr>
  </w:style>
  <w:style w:type="paragraph" w:styleId="BalloonText">
    <w:name w:val="Balloon Text"/>
    <w:basedOn w:val="Normal"/>
    <w:link w:val="BalloonTextChar"/>
    <w:uiPriority w:val="99"/>
    <w:semiHidden/>
    <w:unhideWhenUsed/>
    <w:rsid w:val="005A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AE"/>
    <w:rPr>
      <w:rFonts w:ascii="Tahoma" w:hAnsi="Tahoma" w:cs="Tahoma"/>
      <w:sz w:val="16"/>
      <w:szCs w:val="16"/>
    </w:rPr>
  </w:style>
  <w:style w:type="paragraph" w:styleId="Revision">
    <w:name w:val="Revision"/>
    <w:hidden/>
    <w:uiPriority w:val="99"/>
    <w:semiHidden/>
    <w:rsid w:val="009F7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6547">
      <w:bodyDiv w:val="1"/>
      <w:marLeft w:val="0"/>
      <w:marRight w:val="0"/>
      <w:marTop w:val="0"/>
      <w:marBottom w:val="0"/>
      <w:divBdr>
        <w:top w:val="none" w:sz="0" w:space="0" w:color="auto"/>
        <w:left w:val="none" w:sz="0" w:space="0" w:color="auto"/>
        <w:bottom w:val="none" w:sz="0" w:space="0" w:color="auto"/>
        <w:right w:val="none" w:sz="0" w:space="0" w:color="auto"/>
      </w:divBdr>
      <w:divsChild>
        <w:div w:id="1002857079">
          <w:marLeft w:val="0"/>
          <w:marRight w:val="0"/>
          <w:marTop w:val="0"/>
          <w:marBottom w:val="0"/>
          <w:divBdr>
            <w:top w:val="none" w:sz="0" w:space="0" w:color="auto"/>
            <w:left w:val="none" w:sz="0" w:space="0" w:color="auto"/>
            <w:bottom w:val="none" w:sz="0" w:space="0" w:color="auto"/>
            <w:right w:val="none" w:sz="0" w:space="0" w:color="auto"/>
          </w:divBdr>
          <w:divsChild>
            <w:div w:id="1466965476">
              <w:marLeft w:val="0"/>
              <w:marRight w:val="0"/>
              <w:marTop w:val="0"/>
              <w:marBottom w:val="0"/>
              <w:divBdr>
                <w:top w:val="none" w:sz="0" w:space="0" w:color="auto"/>
                <w:left w:val="none" w:sz="0" w:space="0" w:color="auto"/>
                <w:bottom w:val="none" w:sz="0" w:space="0" w:color="auto"/>
                <w:right w:val="none" w:sz="0" w:space="0" w:color="auto"/>
              </w:divBdr>
              <w:divsChild>
                <w:div w:id="686248948">
                  <w:marLeft w:val="0"/>
                  <w:marRight w:val="0"/>
                  <w:marTop w:val="0"/>
                  <w:marBottom w:val="0"/>
                  <w:divBdr>
                    <w:top w:val="none" w:sz="0" w:space="0" w:color="auto"/>
                    <w:left w:val="none" w:sz="0" w:space="0" w:color="auto"/>
                    <w:bottom w:val="none" w:sz="0" w:space="0" w:color="auto"/>
                    <w:right w:val="none" w:sz="0" w:space="0" w:color="auto"/>
                  </w:divBdr>
                  <w:divsChild>
                    <w:div w:id="1408187631">
                      <w:marLeft w:val="0"/>
                      <w:marRight w:val="0"/>
                      <w:marTop w:val="0"/>
                      <w:marBottom w:val="0"/>
                      <w:divBdr>
                        <w:top w:val="none" w:sz="0" w:space="0" w:color="auto"/>
                        <w:left w:val="none" w:sz="0" w:space="0" w:color="auto"/>
                        <w:bottom w:val="none" w:sz="0" w:space="0" w:color="auto"/>
                        <w:right w:val="none" w:sz="0" w:space="0" w:color="auto"/>
                      </w:divBdr>
                      <w:divsChild>
                        <w:div w:id="973558845">
                          <w:marLeft w:val="0"/>
                          <w:marRight w:val="0"/>
                          <w:marTop w:val="0"/>
                          <w:marBottom w:val="0"/>
                          <w:divBdr>
                            <w:top w:val="single" w:sz="6" w:space="0" w:color="828282"/>
                            <w:left w:val="single" w:sz="6" w:space="0" w:color="828282"/>
                            <w:bottom w:val="single" w:sz="6" w:space="0" w:color="828282"/>
                            <w:right w:val="single" w:sz="6" w:space="0" w:color="828282"/>
                          </w:divBdr>
                          <w:divsChild>
                            <w:div w:id="1049184796">
                              <w:marLeft w:val="0"/>
                              <w:marRight w:val="0"/>
                              <w:marTop w:val="0"/>
                              <w:marBottom w:val="0"/>
                              <w:divBdr>
                                <w:top w:val="none" w:sz="0" w:space="0" w:color="auto"/>
                                <w:left w:val="none" w:sz="0" w:space="0" w:color="auto"/>
                                <w:bottom w:val="none" w:sz="0" w:space="0" w:color="auto"/>
                                <w:right w:val="none" w:sz="0" w:space="0" w:color="auto"/>
                              </w:divBdr>
                              <w:divsChild>
                                <w:div w:id="28143532">
                                  <w:marLeft w:val="0"/>
                                  <w:marRight w:val="0"/>
                                  <w:marTop w:val="0"/>
                                  <w:marBottom w:val="0"/>
                                  <w:divBdr>
                                    <w:top w:val="none" w:sz="0" w:space="0" w:color="auto"/>
                                    <w:left w:val="none" w:sz="0" w:space="0" w:color="auto"/>
                                    <w:bottom w:val="none" w:sz="0" w:space="0" w:color="auto"/>
                                    <w:right w:val="none" w:sz="0" w:space="0" w:color="auto"/>
                                  </w:divBdr>
                                  <w:divsChild>
                                    <w:div w:id="661856628">
                                      <w:marLeft w:val="0"/>
                                      <w:marRight w:val="0"/>
                                      <w:marTop w:val="0"/>
                                      <w:marBottom w:val="0"/>
                                      <w:divBdr>
                                        <w:top w:val="none" w:sz="0" w:space="0" w:color="auto"/>
                                        <w:left w:val="none" w:sz="0" w:space="0" w:color="auto"/>
                                        <w:bottom w:val="none" w:sz="0" w:space="0" w:color="auto"/>
                                        <w:right w:val="none" w:sz="0" w:space="0" w:color="auto"/>
                                      </w:divBdr>
                                      <w:divsChild>
                                        <w:div w:id="1607886042">
                                          <w:marLeft w:val="0"/>
                                          <w:marRight w:val="0"/>
                                          <w:marTop w:val="0"/>
                                          <w:marBottom w:val="0"/>
                                          <w:divBdr>
                                            <w:top w:val="none" w:sz="0" w:space="0" w:color="auto"/>
                                            <w:left w:val="none" w:sz="0" w:space="0" w:color="auto"/>
                                            <w:bottom w:val="none" w:sz="0" w:space="0" w:color="auto"/>
                                            <w:right w:val="none" w:sz="0" w:space="0" w:color="auto"/>
                                          </w:divBdr>
                                          <w:divsChild>
                                            <w:div w:id="1668364271">
                                              <w:marLeft w:val="0"/>
                                              <w:marRight w:val="0"/>
                                              <w:marTop w:val="0"/>
                                              <w:marBottom w:val="0"/>
                                              <w:divBdr>
                                                <w:top w:val="none" w:sz="0" w:space="0" w:color="auto"/>
                                                <w:left w:val="none" w:sz="0" w:space="0" w:color="auto"/>
                                                <w:bottom w:val="none" w:sz="0" w:space="0" w:color="auto"/>
                                                <w:right w:val="none" w:sz="0" w:space="0" w:color="auto"/>
                                              </w:divBdr>
                                              <w:divsChild>
                                                <w:div w:id="2769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458118">
      <w:bodyDiv w:val="1"/>
      <w:marLeft w:val="0"/>
      <w:marRight w:val="0"/>
      <w:marTop w:val="0"/>
      <w:marBottom w:val="0"/>
      <w:divBdr>
        <w:top w:val="none" w:sz="0" w:space="0" w:color="auto"/>
        <w:left w:val="none" w:sz="0" w:space="0" w:color="auto"/>
        <w:bottom w:val="none" w:sz="0" w:space="0" w:color="auto"/>
        <w:right w:val="none" w:sz="0" w:space="0" w:color="auto"/>
      </w:divBdr>
      <w:divsChild>
        <w:div w:id="1334647441">
          <w:marLeft w:val="0"/>
          <w:marRight w:val="0"/>
          <w:marTop w:val="0"/>
          <w:marBottom w:val="0"/>
          <w:divBdr>
            <w:top w:val="none" w:sz="0" w:space="0" w:color="auto"/>
            <w:left w:val="none" w:sz="0" w:space="0" w:color="auto"/>
            <w:bottom w:val="none" w:sz="0" w:space="0" w:color="auto"/>
            <w:right w:val="none" w:sz="0" w:space="0" w:color="auto"/>
          </w:divBdr>
          <w:divsChild>
            <w:div w:id="1483040467">
              <w:marLeft w:val="0"/>
              <w:marRight w:val="0"/>
              <w:marTop w:val="0"/>
              <w:marBottom w:val="0"/>
              <w:divBdr>
                <w:top w:val="none" w:sz="0" w:space="0" w:color="auto"/>
                <w:left w:val="none" w:sz="0" w:space="0" w:color="auto"/>
                <w:bottom w:val="none" w:sz="0" w:space="0" w:color="auto"/>
                <w:right w:val="none" w:sz="0" w:space="0" w:color="auto"/>
              </w:divBdr>
              <w:divsChild>
                <w:div w:id="265767840">
                  <w:marLeft w:val="0"/>
                  <w:marRight w:val="0"/>
                  <w:marTop w:val="0"/>
                  <w:marBottom w:val="0"/>
                  <w:divBdr>
                    <w:top w:val="none" w:sz="0" w:space="0" w:color="auto"/>
                    <w:left w:val="none" w:sz="0" w:space="0" w:color="auto"/>
                    <w:bottom w:val="none" w:sz="0" w:space="0" w:color="auto"/>
                    <w:right w:val="none" w:sz="0" w:space="0" w:color="auto"/>
                  </w:divBdr>
                  <w:divsChild>
                    <w:div w:id="683672607">
                      <w:marLeft w:val="0"/>
                      <w:marRight w:val="0"/>
                      <w:marTop w:val="0"/>
                      <w:marBottom w:val="0"/>
                      <w:divBdr>
                        <w:top w:val="none" w:sz="0" w:space="0" w:color="auto"/>
                        <w:left w:val="none" w:sz="0" w:space="0" w:color="auto"/>
                        <w:bottom w:val="none" w:sz="0" w:space="0" w:color="auto"/>
                        <w:right w:val="none" w:sz="0" w:space="0" w:color="auto"/>
                      </w:divBdr>
                      <w:divsChild>
                        <w:div w:id="468978890">
                          <w:marLeft w:val="300"/>
                          <w:marRight w:val="300"/>
                          <w:marTop w:val="0"/>
                          <w:marBottom w:val="300"/>
                          <w:divBdr>
                            <w:top w:val="none" w:sz="0" w:space="0" w:color="auto"/>
                            <w:left w:val="none" w:sz="0" w:space="0" w:color="auto"/>
                            <w:bottom w:val="none" w:sz="0" w:space="0" w:color="auto"/>
                            <w:right w:val="none" w:sz="0" w:space="0" w:color="auto"/>
                          </w:divBdr>
                          <w:divsChild>
                            <w:div w:id="1109009805">
                              <w:marLeft w:val="0"/>
                              <w:marRight w:val="0"/>
                              <w:marTop w:val="0"/>
                              <w:marBottom w:val="0"/>
                              <w:divBdr>
                                <w:top w:val="none" w:sz="0" w:space="0" w:color="auto"/>
                                <w:left w:val="none" w:sz="0" w:space="0" w:color="auto"/>
                                <w:bottom w:val="none" w:sz="0" w:space="0" w:color="auto"/>
                                <w:right w:val="none" w:sz="0" w:space="0" w:color="auto"/>
                              </w:divBdr>
                              <w:divsChild>
                                <w:div w:id="20369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85132">
      <w:bodyDiv w:val="1"/>
      <w:marLeft w:val="0"/>
      <w:marRight w:val="0"/>
      <w:marTop w:val="0"/>
      <w:marBottom w:val="0"/>
      <w:divBdr>
        <w:top w:val="none" w:sz="0" w:space="0" w:color="auto"/>
        <w:left w:val="none" w:sz="0" w:space="0" w:color="auto"/>
        <w:bottom w:val="none" w:sz="0" w:space="0" w:color="auto"/>
        <w:right w:val="none" w:sz="0" w:space="0" w:color="auto"/>
      </w:divBdr>
      <w:divsChild>
        <w:div w:id="1402561935">
          <w:marLeft w:val="0"/>
          <w:marRight w:val="0"/>
          <w:marTop w:val="0"/>
          <w:marBottom w:val="0"/>
          <w:divBdr>
            <w:top w:val="none" w:sz="0" w:space="0" w:color="auto"/>
            <w:left w:val="none" w:sz="0" w:space="0" w:color="auto"/>
            <w:bottom w:val="none" w:sz="0" w:space="0" w:color="auto"/>
            <w:right w:val="none" w:sz="0" w:space="0" w:color="auto"/>
          </w:divBdr>
          <w:divsChild>
            <w:div w:id="2043822207">
              <w:marLeft w:val="0"/>
              <w:marRight w:val="0"/>
              <w:marTop w:val="0"/>
              <w:marBottom w:val="0"/>
              <w:divBdr>
                <w:top w:val="none" w:sz="0" w:space="0" w:color="auto"/>
                <w:left w:val="none" w:sz="0" w:space="0" w:color="auto"/>
                <w:bottom w:val="none" w:sz="0" w:space="0" w:color="auto"/>
                <w:right w:val="none" w:sz="0" w:space="0" w:color="auto"/>
              </w:divBdr>
              <w:divsChild>
                <w:div w:id="1083717682">
                  <w:marLeft w:val="0"/>
                  <w:marRight w:val="0"/>
                  <w:marTop w:val="0"/>
                  <w:marBottom w:val="0"/>
                  <w:divBdr>
                    <w:top w:val="none" w:sz="0" w:space="0" w:color="auto"/>
                    <w:left w:val="none" w:sz="0" w:space="0" w:color="auto"/>
                    <w:bottom w:val="none" w:sz="0" w:space="0" w:color="auto"/>
                    <w:right w:val="none" w:sz="0" w:space="0" w:color="auto"/>
                  </w:divBdr>
                  <w:divsChild>
                    <w:div w:id="687292115">
                      <w:marLeft w:val="0"/>
                      <w:marRight w:val="0"/>
                      <w:marTop w:val="0"/>
                      <w:marBottom w:val="0"/>
                      <w:divBdr>
                        <w:top w:val="none" w:sz="0" w:space="0" w:color="auto"/>
                        <w:left w:val="none" w:sz="0" w:space="0" w:color="auto"/>
                        <w:bottom w:val="none" w:sz="0" w:space="0" w:color="auto"/>
                        <w:right w:val="none" w:sz="0" w:space="0" w:color="auto"/>
                      </w:divBdr>
                      <w:divsChild>
                        <w:div w:id="276840170">
                          <w:marLeft w:val="0"/>
                          <w:marRight w:val="0"/>
                          <w:marTop w:val="0"/>
                          <w:marBottom w:val="0"/>
                          <w:divBdr>
                            <w:top w:val="single" w:sz="6" w:space="0" w:color="828282"/>
                            <w:left w:val="single" w:sz="6" w:space="0" w:color="828282"/>
                            <w:bottom w:val="single" w:sz="6" w:space="0" w:color="828282"/>
                            <w:right w:val="single" w:sz="6" w:space="0" w:color="828282"/>
                          </w:divBdr>
                          <w:divsChild>
                            <w:div w:id="1660647336">
                              <w:marLeft w:val="0"/>
                              <w:marRight w:val="0"/>
                              <w:marTop w:val="0"/>
                              <w:marBottom w:val="0"/>
                              <w:divBdr>
                                <w:top w:val="none" w:sz="0" w:space="0" w:color="auto"/>
                                <w:left w:val="none" w:sz="0" w:space="0" w:color="auto"/>
                                <w:bottom w:val="none" w:sz="0" w:space="0" w:color="auto"/>
                                <w:right w:val="none" w:sz="0" w:space="0" w:color="auto"/>
                              </w:divBdr>
                              <w:divsChild>
                                <w:div w:id="946044189">
                                  <w:marLeft w:val="0"/>
                                  <w:marRight w:val="0"/>
                                  <w:marTop w:val="0"/>
                                  <w:marBottom w:val="0"/>
                                  <w:divBdr>
                                    <w:top w:val="none" w:sz="0" w:space="0" w:color="auto"/>
                                    <w:left w:val="none" w:sz="0" w:space="0" w:color="auto"/>
                                    <w:bottom w:val="none" w:sz="0" w:space="0" w:color="auto"/>
                                    <w:right w:val="none" w:sz="0" w:space="0" w:color="auto"/>
                                  </w:divBdr>
                                  <w:divsChild>
                                    <w:div w:id="38942208">
                                      <w:marLeft w:val="0"/>
                                      <w:marRight w:val="0"/>
                                      <w:marTop w:val="0"/>
                                      <w:marBottom w:val="0"/>
                                      <w:divBdr>
                                        <w:top w:val="none" w:sz="0" w:space="0" w:color="auto"/>
                                        <w:left w:val="none" w:sz="0" w:space="0" w:color="auto"/>
                                        <w:bottom w:val="none" w:sz="0" w:space="0" w:color="auto"/>
                                        <w:right w:val="none" w:sz="0" w:space="0" w:color="auto"/>
                                      </w:divBdr>
                                      <w:divsChild>
                                        <w:div w:id="27950803">
                                          <w:marLeft w:val="0"/>
                                          <w:marRight w:val="0"/>
                                          <w:marTop w:val="0"/>
                                          <w:marBottom w:val="0"/>
                                          <w:divBdr>
                                            <w:top w:val="none" w:sz="0" w:space="0" w:color="auto"/>
                                            <w:left w:val="none" w:sz="0" w:space="0" w:color="auto"/>
                                            <w:bottom w:val="none" w:sz="0" w:space="0" w:color="auto"/>
                                            <w:right w:val="none" w:sz="0" w:space="0" w:color="auto"/>
                                          </w:divBdr>
                                          <w:divsChild>
                                            <w:div w:id="722488235">
                                              <w:marLeft w:val="0"/>
                                              <w:marRight w:val="0"/>
                                              <w:marTop w:val="0"/>
                                              <w:marBottom w:val="0"/>
                                              <w:divBdr>
                                                <w:top w:val="none" w:sz="0" w:space="0" w:color="auto"/>
                                                <w:left w:val="none" w:sz="0" w:space="0" w:color="auto"/>
                                                <w:bottom w:val="none" w:sz="0" w:space="0" w:color="auto"/>
                                                <w:right w:val="none" w:sz="0" w:space="0" w:color="auto"/>
                                              </w:divBdr>
                                              <w:divsChild>
                                                <w:div w:id="113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986941">
      <w:bodyDiv w:val="1"/>
      <w:marLeft w:val="0"/>
      <w:marRight w:val="0"/>
      <w:marTop w:val="0"/>
      <w:marBottom w:val="0"/>
      <w:divBdr>
        <w:top w:val="none" w:sz="0" w:space="0" w:color="auto"/>
        <w:left w:val="none" w:sz="0" w:space="0" w:color="auto"/>
        <w:bottom w:val="none" w:sz="0" w:space="0" w:color="auto"/>
        <w:right w:val="none" w:sz="0" w:space="0" w:color="auto"/>
      </w:divBdr>
      <w:divsChild>
        <w:div w:id="590820635">
          <w:marLeft w:val="0"/>
          <w:marRight w:val="0"/>
          <w:marTop w:val="0"/>
          <w:marBottom w:val="0"/>
          <w:divBdr>
            <w:top w:val="none" w:sz="0" w:space="0" w:color="auto"/>
            <w:left w:val="none" w:sz="0" w:space="0" w:color="auto"/>
            <w:bottom w:val="none" w:sz="0" w:space="0" w:color="auto"/>
            <w:right w:val="none" w:sz="0" w:space="0" w:color="auto"/>
          </w:divBdr>
          <w:divsChild>
            <w:div w:id="1586453141">
              <w:marLeft w:val="0"/>
              <w:marRight w:val="0"/>
              <w:marTop w:val="0"/>
              <w:marBottom w:val="0"/>
              <w:divBdr>
                <w:top w:val="none" w:sz="0" w:space="0" w:color="auto"/>
                <w:left w:val="none" w:sz="0" w:space="0" w:color="auto"/>
                <w:bottom w:val="none" w:sz="0" w:space="0" w:color="auto"/>
                <w:right w:val="none" w:sz="0" w:space="0" w:color="auto"/>
              </w:divBdr>
              <w:divsChild>
                <w:div w:id="497886530">
                  <w:marLeft w:val="0"/>
                  <w:marRight w:val="0"/>
                  <w:marTop w:val="0"/>
                  <w:marBottom w:val="0"/>
                  <w:divBdr>
                    <w:top w:val="none" w:sz="0" w:space="0" w:color="auto"/>
                    <w:left w:val="none" w:sz="0" w:space="0" w:color="auto"/>
                    <w:bottom w:val="none" w:sz="0" w:space="0" w:color="auto"/>
                    <w:right w:val="none" w:sz="0" w:space="0" w:color="auto"/>
                  </w:divBdr>
                  <w:divsChild>
                    <w:div w:id="1155414911">
                      <w:marLeft w:val="0"/>
                      <w:marRight w:val="0"/>
                      <w:marTop w:val="0"/>
                      <w:marBottom w:val="0"/>
                      <w:divBdr>
                        <w:top w:val="none" w:sz="0" w:space="0" w:color="auto"/>
                        <w:left w:val="none" w:sz="0" w:space="0" w:color="auto"/>
                        <w:bottom w:val="none" w:sz="0" w:space="0" w:color="auto"/>
                        <w:right w:val="none" w:sz="0" w:space="0" w:color="auto"/>
                      </w:divBdr>
                      <w:divsChild>
                        <w:div w:id="1991397760">
                          <w:marLeft w:val="285"/>
                          <w:marRight w:val="285"/>
                          <w:marTop w:val="0"/>
                          <w:marBottom w:val="285"/>
                          <w:divBdr>
                            <w:top w:val="none" w:sz="0" w:space="0" w:color="auto"/>
                            <w:left w:val="none" w:sz="0" w:space="0" w:color="auto"/>
                            <w:bottom w:val="none" w:sz="0" w:space="0" w:color="auto"/>
                            <w:right w:val="none" w:sz="0" w:space="0" w:color="auto"/>
                          </w:divBdr>
                          <w:divsChild>
                            <w:div w:id="1287736058">
                              <w:marLeft w:val="0"/>
                              <w:marRight w:val="0"/>
                              <w:marTop w:val="0"/>
                              <w:marBottom w:val="0"/>
                              <w:divBdr>
                                <w:top w:val="none" w:sz="0" w:space="0" w:color="auto"/>
                                <w:left w:val="none" w:sz="0" w:space="0" w:color="auto"/>
                                <w:bottom w:val="none" w:sz="0" w:space="0" w:color="auto"/>
                                <w:right w:val="none" w:sz="0" w:space="0" w:color="auto"/>
                              </w:divBdr>
                              <w:divsChild>
                                <w:div w:id="21195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ED5E-B67C-4FA1-8F28-78EC95F9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 Tjahjana</dc:creator>
  <cp:lastModifiedBy>maan.beydoun</cp:lastModifiedBy>
  <cp:revision>2</cp:revision>
  <cp:lastPrinted>2014-12-03T02:08:00Z</cp:lastPrinted>
  <dcterms:created xsi:type="dcterms:W3CDTF">2014-12-08T03:08:00Z</dcterms:created>
  <dcterms:modified xsi:type="dcterms:W3CDTF">2014-12-08T03:08:00Z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B627231</vt:lpwstr>
  </property>
  <property fmtid="{D5CDD505-2E9C-101B-9397-08002B2CF9AE}" pid="4" name="Objective-Title">
    <vt:lpwstr>ES_Minimum Standards for Custodians_130610</vt:lpwstr>
  </property>
  <property fmtid="{D5CDD505-2E9C-101B-9397-08002B2CF9AE}" pid="5" name="Objective-Comment">
    <vt:lpwstr/>
  </property>
  <property fmtid="{D5CDD505-2E9C-101B-9397-08002B2CF9AE}" pid="6" name="Objective-CreationStamp">
    <vt:filetime>2013-06-13T06:17:41Z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2013-09-30T01:57:36Z</vt:filetime>
  </property>
  <property fmtid="{D5CDD505-2E9C-101B-9397-08002B2CF9AE}" pid="11" name="Objective-Owner">
    <vt:lpwstr>Dea Tjahjana</vt:lpwstr>
  </property>
  <property fmtid="{D5CDD505-2E9C-101B-9397-08002B2CF9AE}" pid="12" name="Objective-Path">
    <vt:lpwstr>ASIC BCS:REGULATION &amp; COMPLIANCE:Business Activity Projects:Compliance &amp; Campaign Projects:Investment Management:Regulatory Guide 133 - Update:Current Explanatory Statements:</vt:lpwstr>
  </property>
  <property fmtid="{D5CDD505-2E9C-101B-9397-08002B2CF9AE}" pid="13" name="Objective-Parent">
    <vt:lpwstr>Current Explanatory Statements</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i4>11</vt:i4>
  </property>
  <property fmtid="{D5CDD505-2E9C-101B-9397-08002B2CF9AE}" pid="17" name="Objective-VersionComment">
    <vt:lpwstr/>
  </property>
  <property fmtid="{D5CDD505-2E9C-101B-9397-08002B2CF9AE}" pid="18" name="Objective-FileNumber">
    <vt:lpwstr>2012 - 002741</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