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4DC" w:rsidRPr="006F2EAE" w:rsidRDefault="009C14DC" w:rsidP="009C14DC">
      <w:pPr>
        <w:overflowPunct w:val="0"/>
        <w:autoSpaceDE w:val="0"/>
        <w:autoSpaceDN w:val="0"/>
        <w:adjustRightInd w:val="0"/>
        <w:spacing w:before="40" w:line="300" w:lineRule="atLeast"/>
        <w:jc w:val="center"/>
        <w:rPr>
          <w:rFonts w:ascii="Times New Roman" w:hAnsi="Times New Roman"/>
          <w:b/>
          <w:bCs/>
          <w:color w:val="000000"/>
        </w:rPr>
      </w:pPr>
      <w:bookmarkStart w:id="0" w:name="_GoBack"/>
      <w:bookmarkEnd w:id="0"/>
      <w:r w:rsidRPr="006F2EAE">
        <w:rPr>
          <w:rFonts w:ascii="Times New Roman" w:hAnsi="Times New Roman"/>
          <w:b/>
          <w:bCs/>
          <w:color w:val="000000"/>
        </w:rPr>
        <w:t>Australian Securities and Investments Commission</w:t>
      </w:r>
      <w:r w:rsidRPr="006F2EAE">
        <w:rPr>
          <w:rFonts w:ascii="Times New Roman" w:hAnsi="Times New Roman"/>
          <w:b/>
          <w:bCs/>
          <w:color w:val="000000"/>
        </w:rPr>
        <w:br/>
        <w:t xml:space="preserve">Corporations </w:t>
      </w:r>
      <w:r w:rsidR="007024F9">
        <w:rPr>
          <w:rFonts w:ascii="Times New Roman" w:hAnsi="Times New Roman"/>
          <w:b/>
          <w:bCs/>
          <w:color w:val="000000"/>
        </w:rPr>
        <w:t xml:space="preserve">Act </w:t>
      </w:r>
      <w:r w:rsidRPr="006F2EAE">
        <w:rPr>
          <w:rFonts w:ascii="Times New Roman" w:hAnsi="Times New Roman"/>
          <w:b/>
          <w:bCs/>
          <w:color w:val="000000"/>
        </w:rPr>
        <w:t>2001</w:t>
      </w:r>
      <w:r w:rsidR="009D6C86">
        <w:rPr>
          <w:rFonts w:ascii="Times New Roman" w:hAnsi="Times New Roman"/>
          <w:b/>
          <w:bCs/>
          <w:color w:val="000000"/>
        </w:rPr>
        <w:t>—Subsection 1020F(1)</w:t>
      </w:r>
      <w:r w:rsidRPr="00134979">
        <w:rPr>
          <w:rFonts w:ascii="Times New Roman" w:hAnsi="Times New Roman"/>
          <w:b/>
          <w:bCs/>
          <w:color w:val="000000"/>
        </w:rPr>
        <w:t>—</w:t>
      </w:r>
      <w:r w:rsidR="00134979" w:rsidRPr="001106F8">
        <w:rPr>
          <w:rFonts w:ascii="Times New Roman" w:hAnsi="Times New Roman"/>
          <w:b/>
          <w:bCs/>
          <w:color w:val="000000"/>
        </w:rPr>
        <w:t>Declaration</w:t>
      </w:r>
    </w:p>
    <w:p w:rsidR="00135752" w:rsidRDefault="00135752" w:rsidP="009C14DC">
      <w:pPr>
        <w:rPr>
          <w:rFonts w:ascii="Times New Roman" w:hAnsi="Times New Roman"/>
          <w:b/>
          <w:bCs/>
          <w:szCs w:val="18"/>
          <w:lang w:val="en-US"/>
        </w:rPr>
      </w:pPr>
    </w:p>
    <w:p w:rsidR="009C14DC" w:rsidRPr="006F2EAE" w:rsidRDefault="009C14DC" w:rsidP="009C14DC">
      <w:pPr>
        <w:rPr>
          <w:rFonts w:ascii="Times New Roman" w:hAnsi="Times New Roman"/>
          <w:b/>
          <w:bCs/>
          <w:szCs w:val="18"/>
          <w:lang w:val="en-US"/>
        </w:rPr>
      </w:pPr>
      <w:r w:rsidRPr="006F2EAE">
        <w:rPr>
          <w:rFonts w:ascii="Times New Roman" w:hAnsi="Times New Roman"/>
          <w:b/>
          <w:bCs/>
          <w:szCs w:val="18"/>
          <w:lang w:val="en-US"/>
        </w:rPr>
        <w:t>Enabling legislation</w:t>
      </w:r>
    </w:p>
    <w:p w:rsidR="009C14DC" w:rsidRPr="006F2EAE" w:rsidRDefault="009C14DC" w:rsidP="009C14DC">
      <w:pPr>
        <w:tabs>
          <w:tab w:val="left" w:pos="720"/>
        </w:tabs>
        <w:ind w:left="720" w:hanging="720"/>
        <w:rPr>
          <w:rFonts w:ascii="Times New Roman" w:hAnsi="Times New Roman"/>
          <w:szCs w:val="18"/>
          <w:lang w:val="en-US"/>
        </w:rPr>
      </w:pPr>
    </w:p>
    <w:p w:rsidR="009C14DC" w:rsidRPr="006F2EAE" w:rsidRDefault="009C14DC" w:rsidP="009C14DC">
      <w:pPr>
        <w:ind w:left="567" w:hanging="567"/>
        <w:rPr>
          <w:rFonts w:ascii="Times New Roman" w:hAnsi="Times New Roman"/>
          <w:szCs w:val="18"/>
          <w:lang w:val="en-US"/>
        </w:rPr>
      </w:pPr>
      <w:r w:rsidRPr="006F2EAE">
        <w:rPr>
          <w:rFonts w:ascii="Times New Roman" w:hAnsi="Times New Roman"/>
          <w:szCs w:val="18"/>
          <w:lang w:val="en-US"/>
        </w:rPr>
        <w:t>1.</w:t>
      </w:r>
      <w:r w:rsidRPr="006F2EAE">
        <w:rPr>
          <w:rFonts w:ascii="Times New Roman" w:hAnsi="Times New Roman"/>
          <w:szCs w:val="18"/>
          <w:lang w:val="en-US"/>
        </w:rPr>
        <w:tab/>
        <w:t>The Australian Securities and Investments Commission makes this instrument under</w:t>
      </w:r>
      <w:r w:rsidR="001106F8">
        <w:rPr>
          <w:rFonts w:ascii="Times New Roman" w:hAnsi="Times New Roman"/>
          <w:szCs w:val="18"/>
          <w:lang w:val="en-US"/>
        </w:rPr>
        <w:t xml:space="preserve"> subsection 1020F(1</w:t>
      </w:r>
      <w:r w:rsidR="001106F8" w:rsidRPr="001106F8">
        <w:rPr>
          <w:rFonts w:ascii="Times New Roman" w:hAnsi="Times New Roman"/>
          <w:szCs w:val="18"/>
          <w:lang w:val="en-US"/>
        </w:rPr>
        <w:t xml:space="preserve">) </w:t>
      </w:r>
      <w:r w:rsidRPr="001106F8">
        <w:rPr>
          <w:rFonts w:ascii="Times New Roman" w:hAnsi="Times New Roman"/>
          <w:szCs w:val="18"/>
          <w:lang w:val="en-US"/>
        </w:rPr>
        <w:t xml:space="preserve">of the </w:t>
      </w:r>
      <w:r w:rsidR="00134979" w:rsidRPr="001106F8">
        <w:rPr>
          <w:rFonts w:ascii="Times New Roman" w:hAnsi="Times New Roman"/>
          <w:i/>
          <w:szCs w:val="18"/>
          <w:lang w:val="en-US"/>
        </w:rPr>
        <w:t xml:space="preserve">Corporations </w:t>
      </w:r>
      <w:r w:rsidR="001106F8" w:rsidRPr="001106F8">
        <w:rPr>
          <w:rFonts w:ascii="Times New Roman" w:hAnsi="Times New Roman"/>
          <w:i/>
          <w:szCs w:val="18"/>
          <w:lang w:val="en-US"/>
        </w:rPr>
        <w:t>Act</w:t>
      </w:r>
      <w:r w:rsidR="00134979" w:rsidRPr="001106F8">
        <w:rPr>
          <w:rFonts w:ascii="Times New Roman" w:hAnsi="Times New Roman"/>
          <w:i/>
          <w:szCs w:val="18"/>
          <w:lang w:val="en-US"/>
        </w:rPr>
        <w:t xml:space="preserve"> 2001</w:t>
      </w:r>
      <w:r w:rsidR="001D0C61">
        <w:rPr>
          <w:rFonts w:ascii="Times New Roman" w:hAnsi="Times New Roman"/>
          <w:i/>
          <w:szCs w:val="18"/>
          <w:lang w:val="en-US"/>
        </w:rPr>
        <w:t xml:space="preserve"> </w:t>
      </w:r>
      <w:r w:rsidR="001D0C61" w:rsidRPr="00AD1736">
        <w:rPr>
          <w:rFonts w:ascii="Times New Roman" w:hAnsi="Times New Roman"/>
          <w:szCs w:val="18"/>
          <w:lang w:val="en-US"/>
        </w:rPr>
        <w:t>(</w:t>
      </w:r>
      <w:r w:rsidR="001D0C61">
        <w:rPr>
          <w:rFonts w:ascii="Times New Roman" w:hAnsi="Times New Roman"/>
          <w:szCs w:val="18"/>
          <w:lang w:val="en-US"/>
        </w:rPr>
        <w:t xml:space="preserve">the </w:t>
      </w:r>
      <w:r w:rsidR="001D0C61" w:rsidRPr="00AD1736">
        <w:rPr>
          <w:rFonts w:ascii="Times New Roman" w:hAnsi="Times New Roman"/>
          <w:b/>
          <w:i/>
          <w:szCs w:val="18"/>
          <w:lang w:val="en-US"/>
        </w:rPr>
        <w:t>Act</w:t>
      </w:r>
      <w:r w:rsidR="001D0C61">
        <w:rPr>
          <w:rFonts w:ascii="Times New Roman" w:hAnsi="Times New Roman"/>
          <w:szCs w:val="18"/>
          <w:lang w:val="en-US"/>
        </w:rPr>
        <w:t>)</w:t>
      </w:r>
      <w:r w:rsidRPr="001106F8">
        <w:rPr>
          <w:rFonts w:ascii="Times New Roman" w:hAnsi="Times New Roman"/>
          <w:szCs w:val="18"/>
          <w:lang w:val="en-US"/>
        </w:rPr>
        <w:t>.</w:t>
      </w:r>
    </w:p>
    <w:p w:rsidR="009C14DC" w:rsidRPr="006F2EAE" w:rsidRDefault="009C14DC" w:rsidP="009C14DC">
      <w:pPr>
        <w:spacing w:beforeAutospacing="1" w:afterAutospacing="1"/>
        <w:outlineLvl w:val="0"/>
        <w:rPr>
          <w:rFonts w:ascii="Times New Roman" w:eastAsia="Arial Unicode MS" w:hAnsi="Times New Roman"/>
          <w:b/>
          <w:bCs/>
          <w:kern w:val="36"/>
          <w:szCs w:val="48"/>
        </w:rPr>
      </w:pPr>
      <w:r w:rsidRPr="006F2EAE">
        <w:rPr>
          <w:rFonts w:ascii="Times New Roman" w:eastAsia="Arial Unicode MS" w:hAnsi="Times New Roman"/>
          <w:b/>
          <w:bCs/>
          <w:kern w:val="36"/>
          <w:szCs w:val="48"/>
        </w:rPr>
        <w:t>Title</w:t>
      </w:r>
    </w:p>
    <w:p w:rsidR="009C14DC" w:rsidRPr="006F2EAE" w:rsidRDefault="009C14DC" w:rsidP="009C14DC">
      <w:pPr>
        <w:ind w:left="567" w:hanging="567"/>
        <w:rPr>
          <w:rFonts w:ascii="Times New Roman" w:hAnsi="Times New Roman"/>
          <w:szCs w:val="18"/>
          <w:lang w:val="en-US"/>
        </w:rPr>
      </w:pPr>
      <w:r w:rsidRPr="006F2EAE">
        <w:rPr>
          <w:rFonts w:ascii="Times New Roman" w:hAnsi="Times New Roman"/>
          <w:szCs w:val="18"/>
          <w:lang w:val="en-US"/>
        </w:rPr>
        <w:t>2.</w:t>
      </w:r>
      <w:r w:rsidRPr="006F2EAE">
        <w:rPr>
          <w:rFonts w:ascii="Times New Roman" w:hAnsi="Times New Roman"/>
          <w:szCs w:val="18"/>
          <w:lang w:val="en-US"/>
        </w:rPr>
        <w:tab/>
        <w:t>This instrument is ASIC Class Order [</w:t>
      </w:r>
      <w:r w:rsidRPr="008F1AF3">
        <w:rPr>
          <w:rFonts w:ascii="Times New Roman" w:hAnsi="Times New Roman"/>
          <w:szCs w:val="18"/>
          <w:lang w:val="en-US"/>
        </w:rPr>
        <w:t>CO 1</w:t>
      </w:r>
      <w:r w:rsidR="009F4FC1" w:rsidRPr="008F1AF3">
        <w:rPr>
          <w:rFonts w:ascii="Times New Roman" w:hAnsi="Times New Roman"/>
          <w:szCs w:val="18"/>
          <w:lang w:val="en-US"/>
        </w:rPr>
        <w:t>4</w:t>
      </w:r>
      <w:r w:rsidRPr="008F1AF3">
        <w:rPr>
          <w:rFonts w:ascii="Times New Roman" w:hAnsi="Times New Roman"/>
          <w:szCs w:val="18"/>
          <w:lang w:val="en-US"/>
        </w:rPr>
        <w:t>/</w:t>
      </w:r>
      <w:r w:rsidR="00A54CF4">
        <w:rPr>
          <w:rFonts w:ascii="Times New Roman" w:hAnsi="Times New Roman"/>
          <w:szCs w:val="18"/>
          <w:lang w:val="en-US"/>
        </w:rPr>
        <w:t>1252</w:t>
      </w:r>
      <w:r w:rsidRPr="008F1AF3">
        <w:rPr>
          <w:rFonts w:ascii="Times New Roman" w:hAnsi="Times New Roman"/>
          <w:szCs w:val="18"/>
          <w:lang w:val="en-US"/>
        </w:rPr>
        <w:t>].</w:t>
      </w:r>
    </w:p>
    <w:p w:rsidR="009C14DC" w:rsidRPr="006F2EAE" w:rsidRDefault="009C14DC" w:rsidP="009C14DC">
      <w:pPr>
        <w:rPr>
          <w:rFonts w:ascii="Times New Roman" w:hAnsi="Times New Roman"/>
          <w:b/>
          <w:bCs/>
          <w:szCs w:val="18"/>
          <w:lang w:val="en-US"/>
        </w:rPr>
      </w:pPr>
    </w:p>
    <w:p w:rsidR="009C14DC" w:rsidRPr="006F2EAE" w:rsidRDefault="009C14DC" w:rsidP="009C14DC">
      <w:pPr>
        <w:rPr>
          <w:rFonts w:ascii="Times New Roman" w:hAnsi="Times New Roman"/>
          <w:b/>
          <w:bCs/>
          <w:szCs w:val="18"/>
          <w:lang w:val="en-US"/>
        </w:rPr>
      </w:pPr>
      <w:r w:rsidRPr="006F2EAE">
        <w:rPr>
          <w:rFonts w:ascii="Times New Roman" w:hAnsi="Times New Roman"/>
          <w:b/>
          <w:bCs/>
          <w:szCs w:val="18"/>
          <w:lang w:val="en-US"/>
        </w:rPr>
        <w:t>Commencement</w:t>
      </w:r>
    </w:p>
    <w:p w:rsidR="009C14DC" w:rsidRPr="006F2EAE" w:rsidRDefault="009C14DC" w:rsidP="009C14DC">
      <w:pPr>
        <w:tabs>
          <w:tab w:val="left" w:pos="720"/>
        </w:tabs>
        <w:ind w:left="720" w:hanging="720"/>
        <w:rPr>
          <w:rFonts w:ascii="Times New Roman" w:hAnsi="Times New Roman"/>
          <w:szCs w:val="18"/>
          <w:lang w:val="en-US"/>
        </w:rPr>
      </w:pPr>
    </w:p>
    <w:p w:rsidR="009C14DC" w:rsidRPr="006F2EAE" w:rsidRDefault="009C14DC" w:rsidP="009F4FC1">
      <w:pPr>
        <w:ind w:left="567" w:hanging="567"/>
        <w:rPr>
          <w:rFonts w:ascii="Times New Roman" w:hAnsi="Times New Roman"/>
          <w:szCs w:val="18"/>
          <w:lang w:val="en-US"/>
        </w:rPr>
      </w:pPr>
      <w:r w:rsidRPr="006F2EAE">
        <w:rPr>
          <w:rFonts w:ascii="Times New Roman" w:hAnsi="Times New Roman"/>
          <w:szCs w:val="18"/>
          <w:lang w:val="en-US"/>
        </w:rPr>
        <w:t>3.</w:t>
      </w:r>
      <w:r w:rsidRPr="006F2EAE">
        <w:rPr>
          <w:rFonts w:ascii="Times New Roman" w:hAnsi="Times New Roman"/>
          <w:szCs w:val="18"/>
          <w:lang w:val="en-US"/>
        </w:rPr>
        <w:tab/>
        <w:t>This instr</w:t>
      </w:r>
      <w:r w:rsidR="009F4FC1">
        <w:rPr>
          <w:rFonts w:ascii="Times New Roman" w:hAnsi="Times New Roman"/>
          <w:szCs w:val="18"/>
          <w:lang w:val="en-US"/>
        </w:rPr>
        <w:t>ument commences on t</w:t>
      </w:r>
      <w:r w:rsidRPr="006F2EAE">
        <w:rPr>
          <w:rFonts w:ascii="Times New Roman" w:hAnsi="Times New Roman"/>
          <w:szCs w:val="18"/>
          <w:lang w:val="en-US"/>
        </w:rPr>
        <w:t xml:space="preserve">he </w:t>
      </w:r>
      <w:r w:rsidR="007024F9">
        <w:rPr>
          <w:rFonts w:ascii="Times New Roman" w:hAnsi="Times New Roman"/>
          <w:szCs w:val="18"/>
          <w:lang w:val="en-US"/>
        </w:rPr>
        <w:t xml:space="preserve">day after </w:t>
      </w:r>
      <w:r w:rsidRPr="006F2EAE">
        <w:rPr>
          <w:rFonts w:ascii="Times New Roman" w:hAnsi="Times New Roman"/>
          <w:szCs w:val="18"/>
          <w:lang w:val="en-US"/>
        </w:rPr>
        <w:t xml:space="preserve">it is registered under the </w:t>
      </w:r>
      <w:r w:rsidR="009F4FC1">
        <w:rPr>
          <w:rFonts w:ascii="Times New Roman" w:hAnsi="Times New Roman"/>
          <w:i/>
          <w:szCs w:val="18"/>
          <w:lang w:val="en-US"/>
        </w:rPr>
        <w:t xml:space="preserve">Legislative </w:t>
      </w:r>
      <w:r w:rsidRPr="006F2EAE">
        <w:rPr>
          <w:rFonts w:ascii="Times New Roman" w:hAnsi="Times New Roman"/>
          <w:i/>
          <w:szCs w:val="18"/>
          <w:lang w:val="en-US"/>
        </w:rPr>
        <w:t>Instruments Act 2003</w:t>
      </w:r>
      <w:r w:rsidR="009F4FC1">
        <w:rPr>
          <w:rFonts w:ascii="Times New Roman" w:hAnsi="Times New Roman"/>
          <w:szCs w:val="18"/>
          <w:lang w:val="en-US"/>
        </w:rPr>
        <w:t>.</w:t>
      </w:r>
    </w:p>
    <w:p w:rsidR="009C14DC" w:rsidRPr="006F2EAE" w:rsidRDefault="009C14DC" w:rsidP="009C14DC">
      <w:pPr>
        <w:ind w:left="720" w:hanging="720"/>
        <w:rPr>
          <w:rFonts w:ascii="Times New Roman" w:hAnsi="Times New Roman"/>
          <w:sz w:val="20"/>
          <w:szCs w:val="18"/>
          <w:lang w:val="en-US"/>
        </w:rPr>
      </w:pPr>
      <w:r w:rsidRPr="006F2EAE">
        <w:rPr>
          <w:rFonts w:ascii="Times New Roman" w:hAnsi="Times New Roman"/>
          <w:iCs/>
          <w:szCs w:val="18"/>
          <w:lang w:val="en-US"/>
        </w:rPr>
        <w:tab/>
      </w:r>
      <w:r w:rsidRPr="006F2EAE">
        <w:rPr>
          <w:rFonts w:ascii="Times New Roman" w:hAnsi="Times New Roman"/>
          <w:iCs/>
          <w:szCs w:val="18"/>
          <w:lang w:val="en-US"/>
        </w:rPr>
        <w:tab/>
      </w:r>
    </w:p>
    <w:p w:rsidR="009C14DC" w:rsidRPr="006F2EAE" w:rsidRDefault="009C14DC" w:rsidP="009C14DC">
      <w:pPr>
        <w:ind w:left="1134" w:right="144" w:hanging="567"/>
        <w:rPr>
          <w:rFonts w:ascii="Times New Roman" w:hAnsi="Times New Roman"/>
          <w:sz w:val="18"/>
          <w:szCs w:val="18"/>
          <w:lang w:val="en-US"/>
        </w:rPr>
      </w:pPr>
      <w:r w:rsidRPr="006F2EAE">
        <w:rPr>
          <w:rFonts w:ascii="Times New Roman" w:hAnsi="Times New Roman"/>
          <w:sz w:val="18"/>
          <w:szCs w:val="18"/>
          <w:lang w:val="en-US"/>
        </w:rPr>
        <w:t>Note:</w:t>
      </w:r>
      <w:r w:rsidRPr="006F2EAE">
        <w:rPr>
          <w:rFonts w:ascii="Times New Roman" w:hAnsi="Times New Roman"/>
          <w:sz w:val="18"/>
          <w:szCs w:val="18"/>
          <w:lang w:val="en-US"/>
        </w:rPr>
        <w:tab/>
        <w:t xml:space="preserve">An instrument is registered when it is recorded on the Federal Register of Legislative Instruments </w:t>
      </w:r>
      <w:r w:rsidRPr="006F2EAE">
        <w:rPr>
          <w:rFonts w:ascii="Times New Roman" w:hAnsi="Times New Roman"/>
          <w:i/>
          <w:sz w:val="18"/>
          <w:szCs w:val="18"/>
          <w:lang w:val="en-US"/>
        </w:rPr>
        <w:t>(</w:t>
      </w:r>
      <w:r w:rsidRPr="006F2EAE">
        <w:rPr>
          <w:rFonts w:ascii="Times New Roman" w:hAnsi="Times New Roman"/>
          <w:b/>
          <w:bCs/>
          <w:i/>
          <w:sz w:val="18"/>
          <w:szCs w:val="18"/>
          <w:lang w:val="en-US"/>
        </w:rPr>
        <w:t>FRLI</w:t>
      </w:r>
      <w:r w:rsidRPr="006F2EAE">
        <w:rPr>
          <w:rFonts w:ascii="Times New Roman" w:hAnsi="Times New Roman"/>
          <w:i/>
          <w:sz w:val="18"/>
          <w:szCs w:val="18"/>
          <w:lang w:val="en-US"/>
        </w:rPr>
        <w:t xml:space="preserve">) </w:t>
      </w:r>
      <w:r w:rsidRPr="006F2EAE">
        <w:rPr>
          <w:rFonts w:ascii="Times New Roman" w:hAnsi="Times New Roman"/>
          <w:sz w:val="18"/>
          <w:szCs w:val="18"/>
          <w:lang w:val="en-US"/>
        </w:rPr>
        <w:t xml:space="preserve">in electronic form: see </w:t>
      </w:r>
      <w:r w:rsidRPr="006F2EAE">
        <w:rPr>
          <w:rFonts w:ascii="Times New Roman" w:hAnsi="Times New Roman"/>
          <w:i/>
          <w:spacing w:val="4"/>
          <w:sz w:val="18"/>
          <w:szCs w:val="18"/>
          <w:lang w:val="en-US"/>
        </w:rPr>
        <w:t xml:space="preserve">Legislative Instruments Act </w:t>
      </w:r>
      <w:r w:rsidRPr="006F2EAE">
        <w:rPr>
          <w:rFonts w:ascii="Times New Roman" w:hAnsi="Times New Roman"/>
          <w:i/>
          <w:iCs/>
          <w:sz w:val="18"/>
          <w:szCs w:val="18"/>
          <w:lang w:val="en-US"/>
        </w:rPr>
        <w:t>2003</w:t>
      </w:r>
      <w:r w:rsidRPr="006F2EAE">
        <w:rPr>
          <w:rFonts w:ascii="Times New Roman" w:hAnsi="Times New Roman"/>
          <w:sz w:val="18"/>
          <w:szCs w:val="18"/>
          <w:lang w:val="en-US"/>
        </w:rPr>
        <w:t>, s</w:t>
      </w:r>
      <w:r>
        <w:rPr>
          <w:rFonts w:ascii="Times New Roman" w:hAnsi="Times New Roman"/>
          <w:sz w:val="18"/>
          <w:szCs w:val="18"/>
          <w:lang w:val="en-US"/>
        </w:rPr>
        <w:t>ection</w:t>
      </w:r>
      <w:r w:rsidRPr="006F2EAE">
        <w:rPr>
          <w:rFonts w:ascii="Times New Roman" w:hAnsi="Times New Roman"/>
          <w:sz w:val="18"/>
          <w:szCs w:val="18"/>
          <w:lang w:val="en-US"/>
        </w:rPr>
        <w:t xml:space="preserve"> 4 (definition of </w:t>
      </w:r>
      <w:r w:rsidRPr="006F2EAE">
        <w:rPr>
          <w:rFonts w:ascii="Times New Roman" w:hAnsi="Times New Roman"/>
          <w:b/>
          <w:bCs/>
          <w:i/>
          <w:iCs/>
          <w:sz w:val="18"/>
          <w:szCs w:val="18"/>
          <w:lang w:val="en-US"/>
        </w:rPr>
        <w:t>register</w:t>
      </w:r>
      <w:r w:rsidRPr="006F2EAE">
        <w:rPr>
          <w:rFonts w:ascii="Times New Roman" w:hAnsi="Times New Roman"/>
          <w:sz w:val="18"/>
          <w:szCs w:val="18"/>
          <w:lang w:val="en-US"/>
        </w:rPr>
        <w:t xml:space="preserve">).  The FRLI may be accessed at </w:t>
      </w:r>
      <w:hyperlink r:id="rId9" w:history="1">
        <w:r w:rsidRPr="006F2EAE">
          <w:rPr>
            <w:rFonts w:ascii="Times New Roman" w:hAnsi="Times New Roman"/>
            <w:color w:val="0000FF"/>
            <w:sz w:val="18"/>
            <w:szCs w:val="18"/>
            <w:u w:val="single"/>
          </w:rPr>
          <w:t>http://www.frli.gov.au/</w:t>
        </w:r>
      </w:hyperlink>
      <w:r w:rsidRPr="006F2EAE">
        <w:rPr>
          <w:rFonts w:ascii="Times New Roman" w:hAnsi="Times New Roman"/>
          <w:sz w:val="18"/>
          <w:szCs w:val="18"/>
          <w:lang w:val="en-US"/>
        </w:rPr>
        <w:t>.</w:t>
      </w:r>
    </w:p>
    <w:p w:rsidR="009C14DC" w:rsidRPr="006F2EAE" w:rsidRDefault="009C14DC" w:rsidP="009C14DC">
      <w:pPr>
        <w:ind w:left="720" w:hanging="720"/>
        <w:rPr>
          <w:rFonts w:ascii="Times New Roman" w:hAnsi="Times New Roman"/>
          <w:b/>
          <w:bCs/>
          <w:szCs w:val="18"/>
        </w:rPr>
      </w:pPr>
    </w:p>
    <w:p w:rsidR="00AD1736" w:rsidRDefault="00AD1736" w:rsidP="009C14DC">
      <w:pPr>
        <w:keepNext/>
        <w:ind w:left="720" w:hanging="720"/>
        <w:outlineLvl w:val="4"/>
        <w:rPr>
          <w:rFonts w:ascii="Times New Roman" w:hAnsi="Times New Roman"/>
          <w:b/>
          <w:bCs/>
          <w:szCs w:val="18"/>
        </w:rPr>
      </w:pPr>
    </w:p>
    <w:p w:rsidR="009C14DC" w:rsidRPr="006F2EAE" w:rsidRDefault="00134979" w:rsidP="009C14DC">
      <w:pPr>
        <w:keepNext/>
        <w:ind w:left="720" w:hanging="720"/>
        <w:outlineLvl w:val="4"/>
        <w:rPr>
          <w:rFonts w:ascii="Times New Roman" w:hAnsi="Times New Roman"/>
          <w:b/>
          <w:bCs/>
          <w:szCs w:val="18"/>
        </w:rPr>
      </w:pPr>
      <w:r>
        <w:rPr>
          <w:rFonts w:ascii="Times New Roman" w:hAnsi="Times New Roman"/>
          <w:b/>
          <w:bCs/>
          <w:szCs w:val="18"/>
        </w:rPr>
        <w:t>Declaration</w:t>
      </w:r>
    </w:p>
    <w:p w:rsidR="00D7599D" w:rsidRDefault="00D7599D" w:rsidP="007024F9">
      <w:pPr>
        <w:ind w:left="567" w:hanging="720"/>
        <w:rPr>
          <w:rFonts w:ascii="Times New Roman" w:hAnsi="Times New Roman"/>
          <w:szCs w:val="18"/>
        </w:rPr>
      </w:pPr>
    </w:p>
    <w:p w:rsidR="0013741E" w:rsidRDefault="003534AF" w:rsidP="007024F9">
      <w:pPr>
        <w:pStyle w:val="ListParagraph"/>
        <w:ind w:left="567" w:hanging="567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4</w:t>
      </w:r>
      <w:r w:rsidR="0089634D">
        <w:rPr>
          <w:rFonts w:ascii="Times New Roman" w:hAnsi="Times New Roman"/>
          <w:szCs w:val="18"/>
        </w:rPr>
        <w:t>.</w:t>
      </w:r>
      <w:r w:rsidR="0089634D">
        <w:rPr>
          <w:rFonts w:ascii="Times New Roman" w:hAnsi="Times New Roman"/>
          <w:szCs w:val="18"/>
        </w:rPr>
        <w:tab/>
      </w:r>
      <w:r w:rsidR="001D0C61">
        <w:rPr>
          <w:rFonts w:ascii="Times New Roman" w:hAnsi="Times New Roman"/>
          <w:szCs w:val="18"/>
        </w:rPr>
        <w:t xml:space="preserve">Part 7.9 </w:t>
      </w:r>
      <w:r w:rsidR="00D7599D">
        <w:rPr>
          <w:rFonts w:ascii="Times New Roman" w:hAnsi="Times New Roman"/>
          <w:szCs w:val="18"/>
        </w:rPr>
        <w:t xml:space="preserve">of the </w:t>
      </w:r>
      <w:r w:rsidR="00D7599D" w:rsidRPr="00B57F23">
        <w:rPr>
          <w:rFonts w:ascii="Times New Roman" w:hAnsi="Times New Roman"/>
          <w:szCs w:val="18"/>
        </w:rPr>
        <w:t>Act</w:t>
      </w:r>
      <w:r w:rsidR="00D7599D">
        <w:rPr>
          <w:rFonts w:ascii="Times New Roman" w:hAnsi="Times New Roman"/>
          <w:szCs w:val="18"/>
        </w:rPr>
        <w:t xml:space="preserve"> </w:t>
      </w:r>
      <w:r w:rsidR="00A42D81">
        <w:rPr>
          <w:rFonts w:ascii="Times New Roman" w:hAnsi="Times New Roman"/>
          <w:szCs w:val="18"/>
        </w:rPr>
        <w:t xml:space="preserve">applies in relation to managed investment </w:t>
      </w:r>
      <w:r w:rsidR="0013741E">
        <w:rPr>
          <w:rFonts w:ascii="Times New Roman" w:hAnsi="Times New Roman"/>
          <w:szCs w:val="18"/>
        </w:rPr>
        <w:t xml:space="preserve">and superannuation </w:t>
      </w:r>
      <w:r w:rsidR="00A42D81">
        <w:rPr>
          <w:rFonts w:ascii="Times New Roman" w:hAnsi="Times New Roman"/>
          <w:szCs w:val="18"/>
        </w:rPr>
        <w:t>products a</w:t>
      </w:r>
      <w:r w:rsidR="0013741E">
        <w:rPr>
          <w:rFonts w:ascii="Times New Roman" w:hAnsi="Times New Roman"/>
          <w:szCs w:val="18"/>
        </w:rPr>
        <w:t xml:space="preserve">s if provisions of that Part were modified or varied </w:t>
      </w:r>
      <w:r w:rsidR="00007BCA">
        <w:rPr>
          <w:rFonts w:ascii="Times New Roman" w:hAnsi="Times New Roman"/>
          <w:szCs w:val="18"/>
        </w:rPr>
        <w:t>as set out in paragraphs 5 to 7</w:t>
      </w:r>
      <w:r w:rsidR="0013741E">
        <w:rPr>
          <w:rFonts w:ascii="Times New Roman" w:hAnsi="Times New Roman"/>
          <w:szCs w:val="18"/>
        </w:rPr>
        <w:t>.</w:t>
      </w:r>
    </w:p>
    <w:p w:rsidR="0013741E" w:rsidRDefault="0013741E" w:rsidP="007024F9">
      <w:pPr>
        <w:pStyle w:val="ListParagraph"/>
        <w:ind w:left="567" w:hanging="567"/>
        <w:rPr>
          <w:rFonts w:ascii="Times New Roman" w:hAnsi="Times New Roman"/>
          <w:szCs w:val="18"/>
        </w:rPr>
      </w:pPr>
    </w:p>
    <w:p w:rsidR="0013741E" w:rsidRDefault="0013741E" w:rsidP="00B57F23">
      <w:pPr>
        <w:pStyle w:val="ListParagraph"/>
        <w:ind w:left="1134" w:hanging="567"/>
        <w:rPr>
          <w:rFonts w:ascii="Times New Roman" w:hAnsi="Times New Roman"/>
          <w:szCs w:val="18"/>
        </w:rPr>
      </w:pPr>
      <w:r w:rsidRPr="006F2EAE">
        <w:rPr>
          <w:rFonts w:ascii="Times New Roman" w:hAnsi="Times New Roman"/>
          <w:sz w:val="18"/>
          <w:szCs w:val="18"/>
          <w:lang w:val="en-US"/>
        </w:rPr>
        <w:t>Note:</w:t>
      </w:r>
      <w:r w:rsidRPr="006F2EAE">
        <w:rPr>
          <w:rFonts w:ascii="Times New Roman" w:hAnsi="Times New Roman"/>
          <w:sz w:val="18"/>
          <w:szCs w:val="18"/>
          <w:lang w:val="en-US"/>
        </w:rPr>
        <w:tab/>
      </w:r>
      <w:r w:rsidR="00504ABF">
        <w:rPr>
          <w:rFonts w:ascii="Times New Roman" w:hAnsi="Times New Roman"/>
          <w:sz w:val="18"/>
          <w:szCs w:val="18"/>
          <w:lang w:val="en-US"/>
        </w:rPr>
        <w:t>The provisions of Part 7.9 include the regulations made for the purposes of that Part: see section 761H.</w:t>
      </w:r>
    </w:p>
    <w:p w:rsidR="0013741E" w:rsidRDefault="0013741E" w:rsidP="007024F9">
      <w:pPr>
        <w:pStyle w:val="ListParagraph"/>
        <w:ind w:left="567" w:hanging="567"/>
        <w:rPr>
          <w:rFonts w:ascii="Times New Roman" w:hAnsi="Times New Roman"/>
          <w:szCs w:val="18"/>
        </w:rPr>
      </w:pPr>
    </w:p>
    <w:p w:rsidR="00D7599D" w:rsidRDefault="0013741E" w:rsidP="007024F9">
      <w:pPr>
        <w:pStyle w:val="ListParagraph"/>
        <w:ind w:left="567" w:hanging="567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5.</w:t>
      </w:r>
      <w:r>
        <w:rPr>
          <w:rFonts w:ascii="Times New Roman" w:hAnsi="Times New Roman"/>
          <w:szCs w:val="18"/>
        </w:rPr>
        <w:tab/>
        <w:t xml:space="preserve">In subsection 1013C(2) of the Act, </w:t>
      </w:r>
      <w:r w:rsidR="00504ABF">
        <w:rPr>
          <w:rFonts w:ascii="Times New Roman" w:hAnsi="Times New Roman"/>
          <w:szCs w:val="18"/>
        </w:rPr>
        <w:t xml:space="preserve">omit </w:t>
      </w:r>
      <w:r w:rsidR="00DC2F5D">
        <w:rPr>
          <w:rFonts w:ascii="Times New Roman" w:hAnsi="Times New Roman"/>
          <w:szCs w:val="18"/>
        </w:rPr>
        <w:t xml:space="preserve">“The” </w:t>
      </w:r>
      <w:r w:rsidR="00504ABF">
        <w:rPr>
          <w:rFonts w:ascii="Times New Roman" w:hAnsi="Times New Roman"/>
          <w:szCs w:val="18"/>
        </w:rPr>
        <w:t>substitute,</w:t>
      </w:r>
      <w:r w:rsidR="00DC2F5D">
        <w:rPr>
          <w:rFonts w:ascii="Times New Roman" w:hAnsi="Times New Roman"/>
          <w:szCs w:val="18"/>
        </w:rPr>
        <w:t xml:space="preserve"> “Unless otherwise provided in the regulations, the”.</w:t>
      </w:r>
    </w:p>
    <w:p w:rsidR="00D7599D" w:rsidRDefault="00D7599D" w:rsidP="00D07E76">
      <w:pPr>
        <w:ind w:left="930"/>
      </w:pPr>
    </w:p>
    <w:p w:rsidR="00D7599D" w:rsidRDefault="00D7599D" w:rsidP="007024F9">
      <w:pPr>
        <w:ind w:left="204" w:hanging="567"/>
      </w:pPr>
    </w:p>
    <w:p w:rsidR="00260C59" w:rsidRDefault="00FF49AD" w:rsidP="00B57F23">
      <w:pPr>
        <w:pStyle w:val="ListParagraph"/>
        <w:ind w:left="567" w:hanging="567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6</w:t>
      </w:r>
      <w:r w:rsidR="00D7599D">
        <w:rPr>
          <w:rFonts w:ascii="Times New Roman" w:hAnsi="Times New Roman"/>
          <w:szCs w:val="18"/>
        </w:rPr>
        <w:t xml:space="preserve">. </w:t>
      </w:r>
      <w:r w:rsidR="00D7599D">
        <w:rPr>
          <w:rFonts w:ascii="Times New Roman" w:hAnsi="Times New Roman"/>
          <w:szCs w:val="18"/>
        </w:rPr>
        <w:tab/>
      </w:r>
      <w:r w:rsidR="004148C1">
        <w:rPr>
          <w:rFonts w:ascii="Times New Roman" w:hAnsi="Times New Roman"/>
          <w:szCs w:val="18"/>
        </w:rPr>
        <w:t>In</w:t>
      </w:r>
      <w:r w:rsidR="00EF0B33">
        <w:rPr>
          <w:rFonts w:ascii="Times New Roman" w:hAnsi="Times New Roman"/>
          <w:szCs w:val="18"/>
        </w:rPr>
        <w:t xml:space="preserve"> Schedule 10 to the </w:t>
      </w:r>
      <w:r w:rsidR="00EF0B33" w:rsidRPr="00007BCA">
        <w:rPr>
          <w:rFonts w:ascii="Times New Roman" w:hAnsi="Times New Roman"/>
          <w:i/>
          <w:szCs w:val="18"/>
        </w:rPr>
        <w:t>Corporations Regulations 2001</w:t>
      </w:r>
      <w:r w:rsidR="00EF0B33">
        <w:rPr>
          <w:rFonts w:ascii="Times New Roman" w:hAnsi="Times New Roman"/>
          <w:szCs w:val="18"/>
        </w:rPr>
        <w:t xml:space="preserve"> (the </w:t>
      </w:r>
      <w:r w:rsidR="00EF0B33" w:rsidRPr="00007BCA">
        <w:rPr>
          <w:rFonts w:ascii="Times New Roman" w:hAnsi="Times New Roman"/>
          <w:b/>
          <w:i/>
          <w:szCs w:val="18"/>
        </w:rPr>
        <w:t>Regulations</w:t>
      </w:r>
      <w:r w:rsidR="00EF0B33">
        <w:rPr>
          <w:rFonts w:ascii="Times New Roman" w:hAnsi="Times New Roman"/>
          <w:szCs w:val="18"/>
        </w:rPr>
        <w:t>)</w:t>
      </w:r>
      <w:r w:rsidR="00260C59">
        <w:rPr>
          <w:rFonts w:ascii="Times New Roman" w:hAnsi="Times New Roman"/>
          <w:szCs w:val="18"/>
        </w:rPr>
        <w:t>:</w:t>
      </w:r>
      <w:r w:rsidR="00EF0B33">
        <w:rPr>
          <w:rFonts w:ascii="Times New Roman" w:hAnsi="Times New Roman"/>
          <w:szCs w:val="18"/>
        </w:rPr>
        <w:t xml:space="preserve"> </w:t>
      </w:r>
    </w:p>
    <w:p w:rsidR="00260C59" w:rsidRDefault="00260C59" w:rsidP="0014496E">
      <w:pPr>
        <w:ind w:left="567" w:hanging="567"/>
        <w:rPr>
          <w:rFonts w:ascii="Times New Roman" w:hAnsi="Times New Roman"/>
          <w:szCs w:val="18"/>
        </w:rPr>
      </w:pPr>
    </w:p>
    <w:p w:rsidR="004148C1" w:rsidRDefault="004148C1" w:rsidP="00FE6DE9">
      <w:pPr>
        <w:pStyle w:val="ListParagraph"/>
        <w:numPr>
          <w:ilvl w:val="0"/>
          <w:numId w:val="6"/>
        </w:numPr>
        <w:ind w:left="1134" w:hanging="567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in clause 101:</w:t>
      </w:r>
    </w:p>
    <w:p w:rsidR="001B0869" w:rsidRDefault="001B0869" w:rsidP="001B0869">
      <w:pPr>
        <w:pStyle w:val="ListParagraph"/>
        <w:ind w:left="1134"/>
        <w:rPr>
          <w:rFonts w:ascii="Times New Roman" w:hAnsi="Times New Roman"/>
          <w:szCs w:val="18"/>
        </w:rPr>
      </w:pPr>
    </w:p>
    <w:p w:rsidR="00FE6DE9" w:rsidRPr="00FE6DE9" w:rsidRDefault="00FE6DE9" w:rsidP="00B57F23">
      <w:pPr>
        <w:pStyle w:val="ListParagraph"/>
        <w:numPr>
          <w:ilvl w:val="1"/>
          <w:numId w:val="6"/>
        </w:numPr>
        <w:rPr>
          <w:rFonts w:ascii="Times New Roman" w:hAnsi="Times New Roman"/>
          <w:szCs w:val="18"/>
        </w:rPr>
      </w:pPr>
      <w:r w:rsidRPr="00FE6DE9">
        <w:rPr>
          <w:rFonts w:ascii="Times New Roman" w:hAnsi="Times New Roman"/>
          <w:szCs w:val="18"/>
        </w:rPr>
        <w:t xml:space="preserve">omit the definition of </w:t>
      </w:r>
      <w:r w:rsidRPr="00B57F23">
        <w:rPr>
          <w:rFonts w:ascii="Times New Roman" w:hAnsi="Times New Roman"/>
          <w:b/>
          <w:i/>
          <w:szCs w:val="18"/>
        </w:rPr>
        <w:t>indirect cost</w:t>
      </w:r>
      <w:r w:rsidR="004148C1">
        <w:rPr>
          <w:rFonts w:ascii="Times New Roman" w:hAnsi="Times New Roman"/>
          <w:szCs w:val="18"/>
        </w:rPr>
        <w:t>,</w:t>
      </w:r>
      <w:r w:rsidRPr="00FE6DE9">
        <w:rPr>
          <w:rFonts w:ascii="Times New Roman" w:hAnsi="Times New Roman"/>
          <w:szCs w:val="18"/>
        </w:rPr>
        <w:t xml:space="preserve"> </w:t>
      </w:r>
      <w:r w:rsidR="004148C1" w:rsidRPr="00FE6DE9">
        <w:rPr>
          <w:rFonts w:ascii="Times New Roman" w:hAnsi="Times New Roman"/>
          <w:szCs w:val="18"/>
        </w:rPr>
        <w:t>substitut</w:t>
      </w:r>
      <w:r w:rsidR="004148C1">
        <w:rPr>
          <w:rFonts w:ascii="Times New Roman" w:hAnsi="Times New Roman"/>
          <w:szCs w:val="18"/>
        </w:rPr>
        <w:t>e</w:t>
      </w:r>
      <w:r w:rsidRPr="00FE6DE9">
        <w:rPr>
          <w:rFonts w:ascii="Times New Roman" w:hAnsi="Times New Roman"/>
          <w:szCs w:val="18"/>
        </w:rPr>
        <w:t>:</w:t>
      </w:r>
    </w:p>
    <w:p w:rsidR="00FE6DE9" w:rsidRDefault="00FE6DE9" w:rsidP="00D57D9F">
      <w:pPr>
        <w:pStyle w:val="ListParagraph"/>
        <w:ind w:left="1134"/>
        <w:rPr>
          <w:rFonts w:ascii="Times New Roman" w:hAnsi="Times New Roman"/>
          <w:szCs w:val="18"/>
        </w:rPr>
      </w:pPr>
    </w:p>
    <w:p w:rsidR="00FE6DE9" w:rsidRDefault="00D30DB0" w:rsidP="00B57F23">
      <w:pPr>
        <w:pStyle w:val="ListParagraph"/>
        <w:ind w:left="216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“</w:t>
      </w:r>
      <w:r w:rsidR="00FE6DE9" w:rsidRPr="00B57F23">
        <w:rPr>
          <w:rFonts w:ascii="Times New Roman" w:hAnsi="Times New Roman"/>
          <w:b/>
          <w:i/>
          <w:szCs w:val="18"/>
        </w:rPr>
        <w:t>indirect cost</w:t>
      </w:r>
      <w:r w:rsidR="00FE6DE9" w:rsidRPr="00FE6DE9">
        <w:rPr>
          <w:rFonts w:ascii="Times New Roman" w:hAnsi="Times New Roman"/>
          <w:b/>
          <w:szCs w:val="18"/>
        </w:rPr>
        <w:t xml:space="preserve"> </w:t>
      </w:r>
      <w:r w:rsidR="00FE6DE9" w:rsidRPr="00FE6DE9">
        <w:rPr>
          <w:rFonts w:ascii="Times New Roman" w:hAnsi="Times New Roman"/>
          <w:szCs w:val="18"/>
        </w:rPr>
        <w:t>has the meaning given by clause 101A.</w:t>
      </w:r>
      <w:r w:rsidR="009552B6">
        <w:rPr>
          <w:rFonts w:ascii="Times New Roman" w:hAnsi="Times New Roman"/>
          <w:szCs w:val="18"/>
        </w:rPr>
        <w:t>”</w:t>
      </w:r>
      <w:r w:rsidR="001B0869">
        <w:rPr>
          <w:rFonts w:ascii="Times New Roman" w:hAnsi="Times New Roman"/>
          <w:szCs w:val="18"/>
        </w:rPr>
        <w:t>;</w:t>
      </w:r>
    </w:p>
    <w:p w:rsidR="00FE6DE9" w:rsidRPr="00D57D9F" w:rsidRDefault="00FE6DE9" w:rsidP="00D57D9F">
      <w:pPr>
        <w:pStyle w:val="ListParagraph"/>
        <w:ind w:left="1134"/>
        <w:rPr>
          <w:rFonts w:ascii="Times New Roman" w:hAnsi="Times New Roman"/>
          <w:szCs w:val="18"/>
        </w:rPr>
      </w:pPr>
    </w:p>
    <w:p w:rsidR="00FE6DE9" w:rsidRDefault="00FE6DE9" w:rsidP="00B57F23">
      <w:pPr>
        <w:pStyle w:val="ListParagraph"/>
        <w:numPr>
          <w:ilvl w:val="1"/>
          <w:numId w:val="6"/>
        </w:numPr>
        <w:rPr>
          <w:rFonts w:ascii="Times New Roman" w:hAnsi="Times New Roman"/>
          <w:szCs w:val="18"/>
        </w:rPr>
      </w:pPr>
      <w:r w:rsidRPr="00FE6DE9">
        <w:rPr>
          <w:rFonts w:ascii="Times New Roman" w:hAnsi="Times New Roman"/>
          <w:szCs w:val="18"/>
        </w:rPr>
        <w:t xml:space="preserve">after the definition of </w:t>
      </w:r>
      <w:r w:rsidRPr="00B57F23">
        <w:rPr>
          <w:rFonts w:ascii="Times New Roman" w:hAnsi="Times New Roman"/>
          <w:b/>
          <w:i/>
          <w:szCs w:val="18"/>
        </w:rPr>
        <w:t>insurance fee</w:t>
      </w:r>
      <w:r w:rsidR="004148C1">
        <w:rPr>
          <w:rFonts w:ascii="Times New Roman" w:hAnsi="Times New Roman"/>
          <w:szCs w:val="18"/>
        </w:rPr>
        <w:t xml:space="preserve"> insert</w:t>
      </w:r>
      <w:r w:rsidRPr="00FE6DE9">
        <w:rPr>
          <w:rFonts w:ascii="Times New Roman" w:hAnsi="Times New Roman"/>
          <w:szCs w:val="18"/>
        </w:rPr>
        <w:t>:</w:t>
      </w:r>
    </w:p>
    <w:p w:rsidR="00FE6DE9" w:rsidRPr="00FE6DE9" w:rsidRDefault="00FE6DE9" w:rsidP="00D57D9F">
      <w:pPr>
        <w:pStyle w:val="ListParagraph"/>
        <w:ind w:left="1134"/>
        <w:rPr>
          <w:rFonts w:ascii="Times New Roman" w:hAnsi="Times New Roman"/>
          <w:szCs w:val="18"/>
        </w:rPr>
      </w:pPr>
    </w:p>
    <w:p w:rsidR="00FE6DE9" w:rsidRDefault="00D30DB0" w:rsidP="00B57F23">
      <w:pPr>
        <w:pStyle w:val="ListParagraph"/>
        <w:ind w:left="216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“</w:t>
      </w:r>
      <w:r w:rsidR="00FE6DE9" w:rsidRPr="00B57F23">
        <w:rPr>
          <w:rFonts w:ascii="Times New Roman" w:hAnsi="Times New Roman"/>
          <w:b/>
          <w:i/>
          <w:szCs w:val="18"/>
        </w:rPr>
        <w:t>interposed vehicle</w:t>
      </w:r>
      <w:r w:rsidR="00FE6DE9" w:rsidRPr="00B57F23">
        <w:rPr>
          <w:rFonts w:ascii="Times New Roman" w:hAnsi="Times New Roman"/>
          <w:szCs w:val="18"/>
        </w:rPr>
        <w:t xml:space="preserve"> </w:t>
      </w:r>
      <w:r w:rsidR="00FE6DE9" w:rsidRPr="00FE6DE9">
        <w:rPr>
          <w:rFonts w:ascii="Times New Roman" w:hAnsi="Times New Roman"/>
          <w:szCs w:val="18"/>
        </w:rPr>
        <w:t>means</w:t>
      </w:r>
      <w:r w:rsidR="00857D08">
        <w:rPr>
          <w:rFonts w:ascii="Times New Roman" w:hAnsi="Times New Roman"/>
          <w:szCs w:val="18"/>
        </w:rPr>
        <w:t xml:space="preserve"> in relation to a </w:t>
      </w:r>
      <w:r w:rsidR="001323D3" w:rsidRPr="001323D3">
        <w:rPr>
          <w:rFonts w:ascii="Times New Roman" w:hAnsi="Times New Roman"/>
          <w:szCs w:val="18"/>
        </w:rPr>
        <w:t>MySuper product, an investment option offered within a superannuation product other than a MySuper product, managed investment product or investment option offered by a managed investment scheme</w:t>
      </w:r>
      <w:r w:rsidR="001323D3">
        <w:rPr>
          <w:rFonts w:ascii="Times New Roman" w:hAnsi="Times New Roman"/>
          <w:szCs w:val="18"/>
        </w:rPr>
        <w:t>—</w:t>
      </w:r>
      <w:r w:rsidR="00FE6DE9" w:rsidRPr="00FE6DE9">
        <w:rPr>
          <w:rFonts w:ascii="Times New Roman" w:hAnsi="Times New Roman"/>
          <w:szCs w:val="18"/>
        </w:rPr>
        <w:t xml:space="preserve">a body, trust or partnership </w:t>
      </w:r>
      <w:r w:rsidR="00BE7E7C">
        <w:rPr>
          <w:rFonts w:ascii="Times New Roman" w:hAnsi="Times New Roman"/>
          <w:szCs w:val="18"/>
        </w:rPr>
        <w:t xml:space="preserve">other than a body, trust or partnership to which </w:t>
      </w:r>
      <w:r w:rsidR="007756BC">
        <w:rPr>
          <w:rFonts w:ascii="Times New Roman" w:hAnsi="Times New Roman"/>
          <w:szCs w:val="18"/>
        </w:rPr>
        <w:t xml:space="preserve">either </w:t>
      </w:r>
      <w:r w:rsidR="00BE7E7C">
        <w:rPr>
          <w:rFonts w:ascii="Times New Roman" w:hAnsi="Times New Roman"/>
          <w:szCs w:val="18"/>
        </w:rPr>
        <w:t>of the</w:t>
      </w:r>
      <w:r w:rsidR="00031FFF">
        <w:rPr>
          <w:rFonts w:ascii="Times New Roman" w:hAnsi="Times New Roman"/>
          <w:szCs w:val="18"/>
        </w:rPr>
        <w:t xml:space="preserve"> following</w:t>
      </w:r>
      <w:r w:rsidR="00D94AD5">
        <w:rPr>
          <w:rFonts w:ascii="Times New Roman" w:hAnsi="Times New Roman"/>
          <w:szCs w:val="18"/>
        </w:rPr>
        <w:t xml:space="preserve"> </w:t>
      </w:r>
      <w:r w:rsidR="00031FFF">
        <w:rPr>
          <w:rFonts w:ascii="Times New Roman" w:hAnsi="Times New Roman"/>
          <w:szCs w:val="18"/>
        </w:rPr>
        <w:t>appl</w:t>
      </w:r>
      <w:r w:rsidR="00BE7E7C">
        <w:rPr>
          <w:rFonts w:ascii="Times New Roman" w:hAnsi="Times New Roman"/>
          <w:szCs w:val="18"/>
        </w:rPr>
        <w:t>ies</w:t>
      </w:r>
      <w:r w:rsidR="00FE6DE9" w:rsidRPr="00FE6DE9">
        <w:rPr>
          <w:rFonts w:ascii="Times New Roman" w:hAnsi="Times New Roman"/>
          <w:szCs w:val="18"/>
        </w:rPr>
        <w:t>:</w:t>
      </w:r>
    </w:p>
    <w:p w:rsidR="00FE6DE9" w:rsidRPr="00FE6DE9" w:rsidRDefault="00FE6DE9" w:rsidP="00B57F23">
      <w:pPr>
        <w:pStyle w:val="ListParagraph"/>
        <w:ind w:left="2160"/>
        <w:rPr>
          <w:rFonts w:ascii="Times New Roman" w:hAnsi="Times New Roman"/>
          <w:szCs w:val="18"/>
        </w:rPr>
      </w:pPr>
    </w:p>
    <w:p w:rsidR="00C6513F" w:rsidRDefault="00031FFF" w:rsidP="00B57F23">
      <w:pPr>
        <w:pStyle w:val="ListParagraph"/>
        <w:numPr>
          <w:ilvl w:val="0"/>
          <w:numId w:val="21"/>
        </w:numPr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the</w:t>
      </w:r>
      <w:r w:rsidR="00E463BD">
        <w:rPr>
          <w:rFonts w:ascii="Times New Roman" w:hAnsi="Times New Roman"/>
          <w:szCs w:val="18"/>
        </w:rPr>
        <w:t xml:space="preserve"> </w:t>
      </w:r>
      <w:r w:rsidR="00FE6DE9" w:rsidRPr="00D57D9F">
        <w:rPr>
          <w:rFonts w:ascii="Times New Roman" w:hAnsi="Times New Roman"/>
          <w:szCs w:val="18"/>
        </w:rPr>
        <w:t>body, trust or partnership</w:t>
      </w:r>
      <w:r w:rsidR="00C6513F">
        <w:rPr>
          <w:rFonts w:ascii="Times New Roman" w:hAnsi="Times New Roman"/>
          <w:szCs w:val="18"/>
        </w:rPr>
        <w:t>:</w:t>
      </w:r>
    </w:p>
    <w:p w:rsidR="00C6513F" w:rsidRDefault="00C6513F" w:rsidP="00EB1A9F">
      <w:pPr>
        <w:pStyle w:val="ListParagraph"/>
        <w:ind w:left="2160"/>
        <w:rPr>
          <w:rFonts w:ascii="Times New Roman" w:hAnsi="Times New Roman"/>
          <w:szCs w:val="18"/>
        </w:rPr>
      </w:pPr>
    </w:p>
    <w:p w:rsidR="00C6513F" w:rsidRDefault="00C6513F" w:rsidP="00B57F23">
      <w:pPr>
        <w:pStyle w:val="ListParagraph"/>
        <w:ind w:left="3600" w:hanging="72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(i)</w:t>
      </w:r>
      <w:r>
        <w:rPr>
          <w:rFonts w:ascii="Times New Roman" w:hAnsi="Times New Roman"/>
          <w:szCs w:val="18"/>
        </w:rPr>
        <w:tab/>
      </w:r>
      <w:r w:rsidR="001F26F1">
        <w:rPr>
          <w:rFonts w:ascii="Times New Roman" w:hAnsi="Times New Roman"/>
          <w:szCs w:val="18"/>
        </w:rPr>
        <w:t>d</w:t>
      </w:r>
      <w:r w:rsidR="001F26F1" w:rsidRPr="00EB1A9F">
        <w:rPr>
          <w:rFonts w:ascii="Times New Roman" w:hAnsi="Times New Roman"/>
          <w:szCs w:val="18"/>
        </w:rPr>
        <w:t xml:space="preserve">oes not predominantly carry on a business </w:t>
      </w:r>
      <w:r w:rsidR="001F26F1" w:rsidRPr="00B57F23">
        <w:rPr>
          <w:rFonts w:ascii="Times New Roman" w:hAnsi="Times New Roman"/>
          <w:szCs w:val="18"/>
        </w:rPr>
        <w:t xml:space="preserve">of </w:t>
      </w:r>
      <w:r w:rsidR="00893608" w:rsidRPr="00B57F23">
        <w:rPr>
          <w:rFonts w:ascii="Times New Roman" w:hAnsi="Times New Roman"/>
          <w:szCs w:val="18"/>
        </w:rPr>
        <w:t>invest</w:t>
      </w:r>
      <w:r w:rsidR="00893608">
        <w:rPr>
          <w:rFonts w:ascii="Times New Roman" w:hAnsi="Times New Roman"/>
          <w:szCs w:val="18"/>
        </w:rPr>
        <w:t>ment in securities</w:t>
      </w:r>
      <w:r w:rsidR="00E9326D">
        <w:rPr>
          <w:rFonts w:ascii="Times New Roman" w:hAnsi="Times New Roman"/>
          <w:szCs w:val="18"/>
        </w:rPr>
        <w:t xml:space="preserve"> or </w:t>
      </w:r>
      <w:r w:rsidR="00BE7E7C">
        <w:rPr>
          <w:rFonts w:ascii="Times New Roman" w:hAnsi="Times New Roman"/>
          <w:szCs w:val="18"/>
        </w:rPr>
        <w:t xml:space="preserve">other </w:t>
      </w:r>
      <w:r w:rsidR="00873E5F">
        <w:rPr>
          <w:rFonts w:ascii="Times New Roman" w:hAnsi="Times New Roman"/>
          <w:szCs w:val="18"/>
        </w:rPr>
        <w:t>financial products</w:t>
      </w:r>
      <w:r w:rsidR="00893608">
        <w:rPr>
          <w:rFonts w:ascii="Times New Roman" w:hAnsi="Times New Roman"/>
          <w:szCs w:val="18"/>
        </w:rPr>
        <w:t>; and</w:t>
      </w:r>
    </w:p>
    <w:p w:rsidR="00C6513F" w:rsidRDefault="00C6513F" w:rsidP="00EB1A9F">
      <w:pPr>
        <w:pStyle w:val="ListParagraph"/>
        <w:ind w:left="3600" w:hanging="720"/>
        <w:rPr>
          <w:rFonts w:ascii="Times New Roman" w:hAnsi="Times New Roman"/>
          <w:szCs w:val="18"/>
        </w:rPr>
      </w:pPr>
    </w:p>
    <w:p w:rsidR="008B6DAF" w:rsidRDefault="00C6513F">
      <w:pPr>
        <w:pStyle w:val="ListParagraph"/>
        <w:ind w:left="3600" w:hanging="72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(ii)</w:t>
      </w:r>
      <w:r>
        <w:rPr>
          <w:rFonts w:ascii="Times New Roman" w:hAnsi="Times New Roman"/>
          <w:szCs w:val="18"/>
        </w:rPr>
        <w:tab/>
      </w:r>
      <w:r w:rsidR="008B6DAF">
        <w:rPr>
          <w:rFonts w:ascii="Times New Roman" w:hAnsi="Times New Roman"/>
          <w:szCs w:val="18"/>
        </w:rPr>
        <w:t>either:</w:t>
      </w:r>
    </w:p>
    <w:p w:rsidR="000615C1" w:rsidRDefault="000615C1">
      <w:pPr>
        <w:pStyle w:val="ListParagraph"/>
        <w:ind w:left="3600" w:hanging="720"/>
        <w:rPr>
          <w:rFonts w:ascii="Times New Roman" w:hAnsi="Times New Roman"/>
          <w:szCs w:val="18"/>
        </w:rPr>
      </w:pPr>
    </w:p>
    <w:p w:rsidR="00E463BD" w:rsidRDefault="00031FFF" w:rsidP="000615C1">
      <w:pPr>
        <w:pStyle w:val="ListParagraph"/>
        <w:numPr>
          <w:ilvl w:val="5"/>
          <w:numId w:val="6"/>
        </w:numPr>
        <w:ind w:left="4293" w:hanging="693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is included in the official list of a</w:t>
      </w:r>
      <w:r w:rsidR="00CC69A9">
        <w:rPr>
          <w:rFonts w:ascii="Times New Roman" w:hAnsi="Times New Roman"/>
          <w:szCs w:val="18"/>
        </w:rPr>
        <w:t xml:space="preserve"> prescribed financial market</w:t>
      </w:r>
      <w:r w:rsidR="00C6513F" w:rsidRPr="00C6513F">
        <w:rPr>
          <w:rFonts w:ascii="Times New Roman" w:hAnsi="Times New Roman"/>
          <w:szCs w:val="18"/>
        </w:rPr>
        <w:t xml:space="preserve"> </w:t>
      </w:r>
      <w:r w:rsidR="00C6513F">
        <w:rPr>
          <w:rFonts w:ascii="Times New Roman" w:hAnsi="Times New Roman"/>
          <w:szCs w:val="18"/>
        </w:rPr>
        <w:t xml:space="preserve">or </w:t>
      </w:r>
      <w:r w:rsidR="00C6513F" w:rsidRPr="00C6513F">
        <w:rPr>
          <w:rFonts w:ascii="Times New Roman" w:hAnsi="Times New Roman"/>
          <w:szCs w:val="18"/>
        </w:rPr>
        <w:t>of a financial market operated outside of this jurisdiction that is regulated by a foreign government or an agency of a foreign government</w:t>
      </w:r>
      <w:r w:rsidR="00C6513F">
        <w:rPr>
          <w:rFonts w:ascii="Times New Roman" w:hAnsi="Times New Roman"/>
          <w:szCs w:val="18"/>
        </w:rPr>
        <w:t>;</w:t>
      </w:r>
      <w:r w:rsidR="00CC69A9">
        <w:rPr>
          <w:rFonts w:ascii="Times New Roman" w:hAnsi="Times New Roman"/>
          <w:szCs w:val="18"/>
        </w:rPr>
        <w:t xml:space="preserve"> </w:t>
      </w:r>
      <w:r w:rsidR="00FE6DE9" w:rsidRPr="00D57D9F">
        <w:rPr>
          <w:rFonts w:ascii="Times New Roman" w:hAnsi="Times New Roman"/>
          <w:szCs w:val="18"/>
        </w:rPr>
        <w:t>or</w:t>
      </w:r>
    </w:p>
    <w:p w:rsidR="00046101" w:rsidRDefault="00046101" w:rsidP="000615C1">
      <w:pPr>
        <w:pStyle w:val="ListParagraph"/>
        <w:ind w:left="4293"/>
        <w:rPr>
          <w:rFonts w:ascii="Times New Roman" w:hAnsi="Times New Roman"/>
          <w:szCs w:val="18"/>
        </w:rPr>
      </w:pPr>
    </w:p>
    <w:p w:rsidR="008B6DAF" w:rsidRDefault="008B6DAF" w:rsidP="000615C1">
      <w:pPr>
        <w:pStyle w:val="ListParagraph"/>
        <w:numPr>
          <w:ilvl w:val="5"/>
          <w:numId w:val="6"/>
        </w:numPr>
        <w:ind w:left="4293" w:hanging="693"/>
        <w:rPr>
          <w:rFonts w:ascii="Times New Roman" w:hAnsi="Times New Roman"/>
          <w:szCs w:val="18"/>
        </w:rPr>
      </w:pPr>
      <w:r w:rsidRPr="008B6DAF">
        <w:rPr>
          <w:rFonts w:ascii="Times New Roman" w:hAnsi="Times New Roman"/>
          <w:szCs w:val="18"/>
        </w:rPr>
        <w:t xml:space="preserve">having regard to each Product Disclosure Statement </w:t>
      </w:r>
      <w:r>
        <w:rPr>
          <w:rFonts w:ascii="Times New Roman" w:hAnsi="Times New Roman"/>
          <w:szCs w:val="18"/>
        </w:rPr>
        <w:t xml:space="preserve">for </w:t>
      </w:r>
      <w:r w:rsidRPr="008B6DAF">
        <w:rPr>
          <w:rFonts w:ascii="Times New Roman" w:hAnsi="Times New Roman"/>
          <w:szCs w:val="18"/>
        </w:rPr>
        <w:t xml:space="preserve">the product or option, </w:t>
      </w:r>
      <w:r w:rsidR="001323D3">
        <w:rPr>
          <w:rFonts w:ascii="Times New Roman" w:hAnsi="Times New Roman"/>
          <w:szCs w:val="18"/>
        </w:rPr>
        <w:t>a</w:t>
      </w:r>
      <w:r w:rsidRPr="008B6DAF">
        <w:rPr>
          <w:rFonts w:ascii="Times New Roman" w:hAnsi="Times New Roman"/>
          <w:szCs w:val="18"/>
        </w:rPr>
        <w:t xml:space="preserve"> security or interest in the body, trust or partnership is reasonably regarded as the investment of the </w:t>
      </w:r>
      <w:r w:rsidR="001323D3">
        <w:rPr>
          <w:rFonts w:ascii="Times New Roman" w:hAnsi="Times New Roman"/>
          <w:szCs w:val="18"/>
        </w:rPr>
        <w:t>superannuation entity or registered scheme to which the product or option relates,</w:t>
      </w:r>
      <w:r w:rsidRPr="008B6DAF">
        <w:rPr>
          <w:rFonts w:ascii="Times New Roman" w:hAnsi="Times New Roman"/>
          <w:szCs w:val="18"/>
        </w:rPr>
        <w:t xml:space="preserve"> rather than the means </w:t>
      </w:r>
      <w:r w:rsidR="001323D3">
        <w:rPr>
          <w:rFonts w:ascii="Times New Roman" w:hAnsi="Times New Roman"/>
          <w:szCs w:val="18"/>
        </w:rPr>
        <w:t>by</w:t>
      </w:r>
      <w:r w:rsidRPr="008B6DAF">
        <w:rPr>
          <w:rFonts w:ascii="Times New Roman" w:hAnsi="Times New Roman"/>
          <w:szCs w:val="18"/>
        </w:rPr>
        <w:t xml:space="preserve"> which the benefit of investments by or through the body, trust or partnership is obtained</w:t>
      </w:r>
      <w:r w:rsidR="001323D3">
        <w:rPr>
          <w:rFonts w:ascii="Times New Roman" w:hAnsi="Times New Roman"/>
          <w:szCs w:val="18"/>
        </w:rPr>
        <w:t>;</w:t>
      </w:r>
    </w:p>
    <w:p w:rsidR="00FE6DE9" w:rsidRPr="00D57D9F" w:rsidRDefault="00FE6DE9" w:rsidP="004803DF">
      <w:pPr>
        <w:pStyle w:val="ListParagraph"/>
        <w:ind w:left="2160"/>
        <w:rPr>
          <w:rFonts w:ascii="Times New Roman" w:hAnsi="Times New Roman"/>
          <w:szCs w:val="18"/>
        </w:rPr>
      </w:pPr>
    </w:p>
    <w:p w:rsidR="008F0C79" w:rsidRDefault="00F7139B" w:rsidP="009400EF">
      <w:pPr>
        <w:pStyle w:val="ListParagraph"/>
        <w:numPr>
          <w:ilvl w:val="0"/>
          <w:numId w:val="21"/>
        </w:numPr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all of </w:t>
      </w:r>
      <w:r w:rsidR="008F0C79">
        <w:rPr>
          <w:rFonts w:ascii="Times New Roman" w:hAnsi="Times New Roman"/>
          <w:szCs w:val="18"/>
        </w:rPr>
        <w:t>the following apply:</w:t>
      </w:r>
    </w:p>
    <w:p w:rsidR="00A42449" w:rsidRDefault="00A42449" w:rsidP="00A42449">
      <w:pPr>
        <w:pStyle w:val="ListParagraph"/>
        <w:ind w:left="3807"/>
        <w:rPr>
          <w:rFonts w:ascii="Times New Roman" w:hAnsi="Times New Roman"/>
          <w:szCs w:val="18"/>
        </w:rPr>
      </w:pPr>
    </w:p>
    <w:p w:rsidR="00F7139B" w:rsidRPr="00E9564E" w:rsidRDefault="005511E7" w:rsidP="00E9564E">
      <w:pPr>
        <w:pStyle w:val="ListParagraph"/>
        <w:ind w:left="3600" w:hanging="72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(</w:t>
      </w:r>
      <w:r w:rsidR="00F7139B" w:rsidRPr="00E9564E">
        <w:rPr>
          <w:rFonts w:ascii="Times New Roman" w:hAnsi="Times New Roman"/>
          <w:szCs w:val="18"/>
        </w:rPr>
        <w:t xml:space="preserve">i) </w:t>
      </w:r>
      <w:r w:rsidR="00E9564E">
        <w:rPr>
          <w:rFonts w:ascii="Times New Roman" w:hAnsi="Times New Roman"/>
          <w:szCs w:val="18"/>
        </w:rPr>
        <w:tab/>
      </w:r>
      <w:r w:rsidR="00F7139B" w:rsidRPr="00E9564E">
        <w:rPr>
          <w:rFonts w:ascii="Times New Roman" w:hAnsi="Times New Roman"/>
          <w:szCs w:val="18"/>
        </w:rPr>
        <w:t>the Product Disclosure Statement for the product or option states that a holder of the product may give instructions, directions or requests for financial products to be acquired;</w:t>
      </w:r>
    </w:p>
    <w:p w:rsidR="00F7139B" w:rsidRPr="00F7139B" w:rsidRDefault="00F7139B" w:rsidP="00E9564E">
      <w:pPr>
        <w:pStyle w:val="ListParagraph"/>
        <w:autoSpaceDE w:val="0"/>
        <w:autoSpaceDN w:val="0"/>
        <w:adjustRightInd w:val="0"/>
        <w:ind w:left="3807"/>
        <w:rPr>
          <w:rFonts w:ascii="Times New Roman" w:hAnsi="Times New Roman"/>
          <w:color w:val="000000"/>
          <w:szCs w:val="24"/>
          <w:lang w:eastAsia="en-AU"/>
        </w:rPr>
      </w:pPr>
    </w:p>
    <w:p w:rsidR="00F7139B" w:rsidRPr="00E9564E" w:rsidRDefault="005511E7" w:rsidP="00E9564E">
      <w:pPr>
        <w:pStyle w:val="ListParagraph"/>
        <w:ind w:left="3600" w:hanging="72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(</w:t>
      </w:r>
      <w:r w:rsidR="00F7139B" w:rsidRPr="00E9564E">
        <w:rPr>
          <w:rFonts w:ascii="Times New Roman" w:hAnsi="Times New Roman"/>
          <w:szCs w:val="18"/>
        </w:rPr>
        <w:t xml:space="preserve">ii) </w:t>
      </w:r>
      <w:r w:rsidR="00E9564E">
        <w:rPr>
          <w:rFonts w:ascii="Times New Roman" w:hAnsi="Times New Roman"/>
          <w:szCs w:val="18"/>
        </w:rPr>
        <w:tab/>
      </w:r>
      <w:r w:rsidR="00F7139B" w:rsidRPr="00E9564E">
        <w:rPr>
          <w:rFonts w:ascii="Times New Roman" w:hAnsi="Times New Roman"/>
          <w:szCs w:val="18"/>
        </w:rPr>
        <w:t xml:space="preserve">the responsible person for the Product Disclosure Statement has published a list of financial products in relation to which the instructions, directions or requests may be given includes </w:t>
      </w:r>
      <w:r w:rsidR="008E6642">
        <w:rPr>
          <w:rFonts w:ascii="Times New Roman" w:hAnsi="Times New Roman"/>
          <w:szCs w:val="18"/>
        </w:rPr>
        <w:t>a security or interest</w:t>
      </w:r>
      <w:r w:rsidR="00F7139B" w:rsidRPr="00E9564E">
        <w:rPr>
          <w:rFonts w:ascii="Times New Roman" w:hAnsi="Times New Roman"/>
          <w:szCs w:val="18"/>
        </w:rPr>
        <w:t xml:space="preserve"> in the</w:t>
      </w:r>
      <w:r>
        <w:rPr>
          <w:rFonts w:ascii="Times New Roman" w:hAnsi="Times New Roman"/>
          <w:szCs w:val="18"/>
        </w:rPr>
        <w:t xml:space="preserve"> body, trust or partnership;</w:t>
      </w:r>
    </w:p>
    <w:p w:rsidR="00F7139B" w:rsidRPr="00E9564E" w:rsidRDefault="00F7139B" w:rsidP="00E9564E">
      <w:pPr>
        <w:pStyle w:val="ListParagraph"/>
        <w:ind w:left="3600" w:hanging="720"/>
        <w:rPr>
          <w:rFonts w:ascii="Times New Roman" w:hAnsi="Times New Roman"/>
          <w:szCs w:val="18"/>
        </w:rPr>
      </w:pPr>
    </w:p>
    <w:p w:rsidR="00F7139B" w:rsidRPr="00E9564E" w:rsidRDefault="005511E7" w:rsidP="00E9564E">
      <w:pPr>
        <w:pStyle w:val="ListParagraph"/>
        <w:ind w:left="3600" w:hanging="72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(</w:t>
      </w:r>
      <w:r w:rsidR="00F7139B" w:rsidRPr="00E9564E">
        <w:rPr>
          <w:rFonts w:ascii="Times New Roman" w:hAnsi="Times New Roman"/>
          <w:szCs w:val="18"/>
        </w:rPr>
        <w:t>iii)</w:t>
      </w:r>
      <w:r w:rsidR="00E9564E">
        <w:rPr>
          <w:rFonts w:ascii="Times New Roman" w:hAnsi="Times New Roman"/>
          <w:szCs w:val="18"/>
        </w:rPr>
        <w:tab/>
      </w:r>
      <w:r w:rsidR="00F7139B" w:rsidRPr="00E9564E">
        <w:rPr>
          <w:rFonts w:ascii="Times New Roman" w:hAnsi="Times New Roman"/>
          <w:szCs w:val="18"/>
        </w:rPr>
        <w:t>the arrangement under which the instructions would be acted on is a custodial arrangement as defined in subsection 1012IA(1) of the Act</w:t>
      </w:r>
      <w:r w:rsidR="007756BC">
        <w:rPr>
          <w:rFonts w:ascii="Times New Roman" w:hAnsi="Times New Roman"/>
          <w:szCs w:val="18"/>
        </w:rPr>
        <w:t>.</w:t>
      </w:r>
    </w:p>
    <w:p w:rsidR="00E32A5C" w:rsidRDefault="00E32A5C" w:rsidP="00E9564E">
      <w:pPr>
        <w:pStyle w:val="ListParagraph"/>
        <w:ind w:left="3600" w:hanging="720"/>
        <w:rPr>
          <w:rFonts w:ascii="Times New Roman" w:hAnsi="Times New Roman"/>
          <w:szCs w:val="18"/>
        </w:rPr>
      </w:pPr>
    </w:p>
    <w:p w:rsidR="00260C59" w:rsidRDefault="00260C59" w:rsidP="00260C59">
      <w:pPr>
        <w:ind w:left="1134"/>
        <w:rPr>
          <w:rFonts w:ascii="Times New Roman" w:hAnsi="Times New Roman"/>
          <w:bCs/>
          <w:color w:val="000000"/>
          <w:szCs w:val="24"/>
          <w:lang w:eastAsia="en-AU"/>
        </w:rPr>
      </w:pPr>
    </w:p>
    <w:p w:rsidR="00260C59" w:rsidRPr="00EB1A9F" w:rsidRDefault="00C76882" w:rsidP="00EB1A9F">
      <w:pPr>
        <w:pStyle w:val="ListParagraph"/>
        <w:numPr>
          <w:ilvl w:val="1"/>
          <w:numId w:val="6"/>
        </w:numPr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 </w:t>
      </w:r>
      <w:r w:rsidR="00561B17" w:rsidRPr="00EB1A9F">
        <w:rPr>
          <w:rFonts w:ascii="Times New Roman" w:hAnsi="Times New Roman"/>
          <w:szCs w:val="18"/>
        </w:rPr>
        <w:t xml:space="preserve">omit the definition of </w:t>
      </w:r>
      <w:r w:rsidR="00561B17" w:rsidRPr="001B0869">
        <w:rPr>
          <w:rFonts w:ascii="Times New Roman" w:hAnsi="Times New Roman"/>
          <w:b/>
          <w:i/>
          <w:szCs w:val="18"/>
        </w:rPr>
        <w:t>switching fee</w:t>
      </w:r>
      <w:r w:rsidR="00857D08" w:rsidRPr="00EB1A9F">
        <w:rPr>
          <w:rFonts w:ascii="Times New Roman" w:hAnsi="Times New Roman"/>
          <w:szCs w:val="18"/>
        </w:rPr>
        <w:t>,</w:t>
      </w:r>
      <w:r w:rsidR="008A5A7E">
        <w:rPr>
          <w:rFonts w:ascii="Times New Roman" w:hAnsi="Times New Roman"/>
          <w:szCs w:val="18"/>
        </w:rPr>
        <w:t xml:space="preserve"> </w:t>
      </w:r>
      <w:r w:rsidR="00561B17" w:rsidRPr="00EB1A9F">
        <w:rPr>
          <w:rFonts w:ascii="Times New Roman" w:hAnsi="Times New Roman"/>
          <w:szCs w:val="18"/>
        </w:rPr>
        <w:t>substitut</w:t>
      </w:r>
      <w:r w:rsidR="00857D08" w:rsidRPr="00EB1A9F">
        <w:rPr>
          <w:rFonts w:ascii="Times New Roman" w:hAnsi="Times New Roman"/>
          <w:szCs w:val="18"/>
        </w:rPr>
        <w:t>e</w:t>
      </w:r>
      <w:r w:rsidR="00561B17" w:rsidRPr="00EB1A9F">
        <w:rPr>
          <w:rFonts w:ascii="Times New Roman" w:hAnsi="Times New Roman"/>
          <w:szCs w:val="18"/>
        </w:rPr>
        <w:t>:</w:t>
      </w:r>
    </w:p>
    <w:p w:rsidR="00260C59" w:rsidRPr="00AB2260" w:rsidRDefault="00260C59" w:rsidP="008A7CA2">
      <w:pPr>
        <w:pStyle w:val="ListParagraph"/>
        <w:ind w:left="1134"/>
        <w:rPr>
          <w:rFonts w:ascii="Times New Roman" w:hAnsi="Times New Roman"/>
          <w:szCs w:val="18"/>
        </w:rPr>
      </w:pPr>
    </w:p>
    <w:p w:rsidR="006445FF" w:rsidRDefault="00D30DB0" w:rsidP="00EB1A9F">
      <w:pPr>
        <w:pStyle w:val="ListParagraph"/>
        <w:ind w:left="2160"/>
      </w:pPr>
      <w:r>
        <w:t>“</w:t>
      </w:r>
      <w:r w:rsidR="00561B17" w:rsidRPr="00EB1A9F">
        <w:rPr>
          <w:b/>
          <w:i/>
        </w:rPr>
        <w:t>switching fee</w:t>
      </w:r>
      <w:r w:rsidR="00561B17" w:rsidRPr="00EB1A9F">
        <w:t>:</w:t>
      </w:r>
      <w:r w:rsidR="00561B17">
        <w:t xml:space="preserve"> </w:t>
      </w:r>
    </w:p>
    <w:p w:rsidR="009D7D21" w:rsidRDefault="009D7D21" w:rsidP="00EB1A9F">
      <w:pPr>
        <w:pStyle w:val="ListParagraph"/>
        <w:ind w:left="2160"/>
      </w:pPr>
    </w:p>
    <w:p w:rsidR="006445FF" w:rsidRDefault="006445FF" w:rsidP="00EB1A9F">
      <w:pPr>
        <w:ind w:left="2727" w:hanging="567"/>
      </w:pPr>
      <w:r>
        <w:lastRenderedPageBreak/>
        <w:t>(a)</w:t>
      </w:r>
      <w:r w:rsidR="00422059">
        <w:tab/>
      </w:r>
      <w:r w:rsidR="00561B17">
        <w:t>for a My</w:t>
      </w:r>
      <w:r w:rsidR="00260C59">
        <w:t>S</w:t>
      </w:r>
      <w:r w:rsidR="00561B17">
        <w:t>uper product</w:t>
      </w:r>
      <w:r w:rsidR="00857D08">
        <w:t>—</w:t>
      </w:r>
      <w:r w:rsidR="00561B17">
        <w:t>has the meaning given by subsection 29V(5) of the SIS Act; or</w:t>
      </w:r>
    </w:p>
    <w:p w:rsidR="009D7D21" w:rsidRDefault="009D7D21" w:rsidP="00EB1A9F">
      <w:pPr>
        <w:ind w:left="2727" w:hanging="567"/>
      </w:pPr>
    </w:p>
    <w:p w:rsidR="006445FF" w:rsidRDefault="006445FF" w:rsidP="00EB1A9F">
      <w:pPr>
        <w:ind w:left="2727" w:hanging="567"/>
        <w:rPr>
          <w:szCs w:val="18"/>
        </w:rPr>
      </w:pPr>
      <w:r>
        <w:t>(b)</w:t>
      </w:r>
      <w:r w:rsidR="00422059">
        <w:tab/>
      </w:r>
      <w:r w:rsidR="00561B17">
        <w:t>for a superannuation product other than a My</w:t>
      </w:r>
      <w:r w:rsidR="00260C59">
        <w:t>S</w:t>
      </w:r>
      <w:r w:rsidR="00561B17">
        <w:t>uper product</w:t>
      </w:r>
      <w:r w:rsidR="00857D08">
        <w:t>—</w:t>
      </w:r>
      <w:r w:rsidR="00561B17">
        <w:t xml:space="preserve">means </w:t>
      </w:r>
      <w:r w:rsidR="00561B17" w:rsidRPr="00AB2260">
        <w:rPr>
          <w:szCs w:val="18"/>
        </w:rPr>
        <w:t>a fee to recover the costs of switching all or part of a member</w:t>
      </w:r>
      <w:r w:rsidR="00881786">
        <w:rPr>
          <w:szCs w:val="18"/>
        </w:rPr>
        <w:t>’</w:t>
      </w:r>
      <w:r w:rsidR="00561B17" w:rsidRPr="00AB2260">
        <w:rPr>
          <w:szCs w:val="18"/>
        </w:rPr>
        <w:t>s interest in the superannuation entity from one inves</w:t>
      </w:r>
      <w:r w:rsidR="00561B17" w:rsidRPr="008A7CA2">
        <w:rPr>
          <w:szCs w:val="18"/>
        </w:rPr>
        <w:t>tment option</w:t>
      </w:r>
      <w:r w:rsidR="00804A7E">
        <w:rPr>
          <w:szCs w:val="18"/>
        </w:rPr>
        <w:t xml:space="preserve"> or product</w:t>
      </w:r>
      <w:r w:rsidR="00561B17" w:rsidRPr="008A7CA2">
        <w:rPr>
          <w:szCs w:val="18"/>
        </w:rPr>
        <w:t xml:space="preserve"> in the entity to another; or</w:t>
      </w:r>
    </w:p>
    <w:p w:rsidR="009D7D21" w:rsidRDefault="009D7D21" w:rsidP="00EB1A9F">
      <w:pPr>
        <w:ind w:left="2727" w:hanging="567"/>
      </w:pPr>
    </w:p>
    <w:p w:rsidR="009D7D21" w:rsidRDefault="006445FF" w:rsidP="00EB1A9F">
      <w:pPr>
        <w:ind w:left="2727" w:hanging="567"/>
      </w:pPr>
      <w:r>
        <w:t>(c)</w:t>
      </w:r>
      <w:r w:rsidR="00422059">
        <w:tab/>
      </w:r>
      <w:r w:rsidR="00561B17">
        <w:t>for a managed investment product</w:t>
      </w:r>
      <w:r w:rsidR="00857D08">
        <w:t>—</w:t>
      </w:r>
      <w:r w:rsidR="00561B17">
        <w:t>means an</w:t>
      </w:r>
      <w:r w:rsidR="00422059">
        <w:t xml:space="preserve"> amount</w:t>
      </w:r>
      <w:r w:rsidR="00561B17">
        <w:t xml:space="preserve"> paid or payable when a product holder transfers all or part of the product holder</w:t>
      </w:r>
      <w:r w:rsidR="00881786" w:rsidRPr="00881786">
        <w:t>’</w:t>
      </w:r>
      <w:r w:rsidR="00561B17">
        <w:t>s interest in the managed investment product from one investment option to another.</w:t>
      </w:r>
      <w:r w:rsidR="009552B6">
        <w:t>”</w:t>
      </w:r>
      <w:r w:rsidR="001B0869">
        <w:t>;</w:t>
      </w:r>
    </w:p>
    <w:p w:rsidR="00FE6DE9" w:rsidRDefault="00FE6DE9" w:rsidP="00422059">
      <w:pPr>
        <w:ind w:left="1701" w:hanging="567"/>
      </w:pPr>
    </w:p>
    <w:p w:rsidR="00FE6DE9" w:rsidRPr="00EB1A9F" w:rsidRDefault="00C76882" w:rsidP="00EB1A9F">
      <w:pPr>
        <w:pStyle w:val="ListParagraph"/>
        <w:numPr>
          <w:ilvl w:val="1"/>
          <w:numId w:val="6"/>
        </w:numPr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 </w:t>
      </w:r>
      <w:r w:rsidR="009405DC" w:rsidRPr="00EB1A9F">
        <w:rPr>
          <w:rFonts w:ascii="Times New Roman" w:hAnsi="Times New Roman"/>
          <w:szCs w:val="18"/>
        </w:rPr>
        <w:t xml:space="preserve">by </w:t>
      </w:r>
      <w:r w:rsidR="00FE6DE9" w:rsidRPr="00EB1A9F">
        <w:rPr>
          <w:rFonts w:ascii="Times New Roman" w:hAnsi="Times New Roman"/>
          <w:szCs w:val="18"/>
        </w:rPr>
        <w:t xml:space="preserve">inserting after the definition of </w:t>
      </w:r>
      <w:r w:rsidR="00FE6DE9" w:rsidRPr="00EB1A9F">
        <w:rPr>
          <w:rFonts w:ascii="Times New Roman" w:hAnsi="Times New Roman"/>
          <w:b/>
          <w:i/>
          <w:szCs w:val="18"/>
        </w:rPr>
        <w:t>withdrawal fee</w:t>
      </w:r>
      <w:r w:rsidR="00FE6DE9" w:rsidRPr="00EB1A9F">
        <w:rPr>
          <w:rFonts w:ascii="Times New Roman" w:hAnsi="Times New Roman"/>
          <w:szCs w:val="18"/>
        </w:rPr>
        <w:t>:</w:t>
      </w:r>
    </w:p>
    <w:p w:rsidR="00FE6DE9" w:rsidRDefault="00FE6DE9" w:rsidP="00D57D9F">
      <w:pPr>
        <w:pStyle w:val="ListParagraph"/>
        <w:ind w:left="1134"/>
      </w:pPr>
    </w:p>
    <w:p w:rsidR="00FE6DE9" w:rsidRDefault="00D30DB0" w:rsidP="00EB1A9F">
      <w:pPr>
        <w:ind w:left="2727" w:hanging="567"/>
        <w:rPr>
          <w:b/>
        </w:rPr>
      </w:pPr>
      <w:r>
        <w:t>“</w:t>
      </w:r>
      <w:r w:rsidR="00FE6DE9" w:rsidRPr="00FE6DE9">
        <w:rPr>
          <w:b/>
        </w:rPr>
        <w:t>101A Indirect costs</w:t>
      </w:r>
    </w:p>
    <w:p w:rsidR="00FE6DE9" w:rsidRPr="00FE6DE9" w:rsidRDefault="00FE6DE9" w:rsidP="00EB1A9F">
      <w:pPr>
        <w:ind w:left="2727" w:hanging="567"/>
      </w:pPr>
    </w:p>
    <w:p w:rsidR="00FE6DE9" w:rsidRDefault="00E23190" w:rsidP="00EB1A9F">
      <w:pPr>
        <w:numPr>
          <w:ilvl w:val="0"/>
          <w:numId w:val="11"/>
        </w:numPr>
        <w:ind w:left="2727" w:hanging="567"/>
      </w:pPr>
      <w:r>
        <w:t>Despite subsection 1013C(2) of the Act, t</w:t>
      </w:r>
      <w:r w:rsidR="00FE6DE9" w:rsidRPr="00FE6DE9">
        <w:t>he indirect cost of a MySuper product</w:t>
      </w:r>
      <w:r w:rsidR="00425287">
        <w:t>, an</w:t>
      </w:r>
      <w:r w:rsidR="00FE6DE9" w:rsidRPr="00FE6DE9">
        <w:t xml:space="preserve"> investment option offered</w:t>
      </w:r>
      <w:r w:rsidR="00425287">
        <w:t xml:space="preserve"> within</w:t>
      </w:r>
      <w:r w:rsidR="00FE6DE9" w:rsidRPr="00FE6DE9">
        <w:t xml:space="preserve"> a superannuation </w:t>
      </w:r>
      <w:r w:rsidR="00425287">
        <w:t>product other than a MySuper product,</w:t>
      </w:r>
      <w:r w:rsidR="00FE6DE9" w:rsidRPr="00FE6DE9">
        <w:t xml:space="preserve"> managed investment product</w:t>
      </w:r>
      <w:r w:rsidR="00425287">
        <w:t xml:space="preserve"> or investment option offered </w:t>
      </w:r>
      <w:r w:rsidR="00096633">
        <w:t>by</w:t>
      </w:r>
      <w:r w:rsidR="00425287">
        <w:t xml:space="preserve"> a managed investment </w:t>
      </w:r>
      <w:r w:rsidR="00096633">
        <w:t>scheme</w:t>
      </w:r>
      <w:r w:rsidR="00FE6DE9" w:rsidRPr="00FE6DE9">
        <w:t xml:space="preserve"> means</w:t>
      </w:r>
      <w:r>
        <w:t xml:space="preserve"> </w:t>
      </w:r>
      <w:r w:rsidR="00FE6DE9" w:rsidRPr="00FE6DE9">
        <w:t>any amount that:</w:t>
      </w:r>
    </w:p>
    <w:p w:rsidR="00FE6DE9" w:rsidRPr="00FE6DE9" w:rsidRDefault="00FE6DE9" w:rsidP="00EB1A9F">
      <w:pPr>
        <w:ind w:left="2727"/>
      </w:pPr>
    </w:p>
    <w:p w:rsidR="00FE6DE9" w:rsidRDefault="00FE6DE9" w:rsidP="00EB1A9F">
      <w:pPr>
        <w:numPr>
          <w:ilvl w:val="0"/>
          <w:numId w:val="14"/>
        </w:numPr>
        <w:ind w:left="3294" w:hanging="567"/>
      </w:pPr>
      <w:r w:rsidRPr="00FE6DE9">
        <w:t>a trustee of the entity or responsible entity knows, or reasonably ought to know</w:t>
      </w:r>
      <w:r w:rsidRPr="00FE6DE9">
        <w:rPr>
          <w:bCs/>
        </w:rPr>
        <w:t xml:space="preserve"> or</w:t>
      </w:r>
      <w:r w:rsidR="00DE3D79">
        <w:rPr>
          <w:bCs/>
        </w:rPr>
        <w:t>,</w:t>
      </w:r>
      <w:r w:rsidR="00D80978">
        <w:rPr>
          <w:bCs/>
        </w:rPr>
        <w:t xml:space="preserve"> where this is not the case</w:t>
      </w:r>
      <w:r w:rsidR="00D57D9F">
        <w:rPr>
          <w:bCs/>
        </w:rPr>
        <w:t>,</w:t>
      </w:r>
      <w:r w:rsidRPr="00FE6DE9">
        <w:rPr>
          <w:bCs/>
        </w:rPr>
        <w:t xml:space="preserve"> may reasonably estimate</w:t>
      </w:r>
      <w:r w:rsidRPr="00FE6DE9">
        <w:t>, will directly or indirectly reduce the return on the product or option that is paid from or reduces the amount or value of:</w:t>
      </w:r>
    </w:p>
    <w:p w:rsidR="0067029E" w:rsidRPr="00FE6DE9" w:rsidRDefault="0067029E" w:rsidP="00EB1A9F">
      <w:pPr>
        <w:ind w:left="1026"/>
      </w:pPr>
    </w:p>
    <w:p w:rsidR="00FE6DE9" w:rsidRDefault="00FE6DE9" w:rsidP="00EB1A9F">
      <w:pPr>
        <w:pStyle w:val="ListParagraph"/>
        <w:numPr>
          <w:ilvl w:val="0"/>
          <w:numId w:val="15"/>
        </w:numPr>
        <w:ind w:left="3720" w:hanging="426"/>
      </w:pPr>
      <w:r w:rsidRPr="00FE6DE9">
        <w:t>the income of or the property attributable to the product or option; or</w:t>
      </w:r>
    </w:p>
    <w:p w:rsidR="00FE6DE9" w:rsidRDefault="00FE6DE9" w:rsidP="00EB1A9F">
      <w:pPr>
        <w:pStyle w:val="ListParagraph"/>
        <w:ind w:left="3720" w:hanging="426"/>
      </w:pPr>
    </w:p>
    <w:p w:rsidR="00FE6DE9" w:rsidRDefault="00FE6DE9" w:rsidP="00EB1A9F">
      <w:pPr>
        <w:pStyle w:val="ListParagraph"/>
        <w:numPr>
          <w:ilvl w:val="0"/>
          <w:numId w:val="15"/>
        </w:numPr>
        <w:ind w:left="3720" w:hanging="426"/>
      </w:pPr>
      <w:r w:rsidRPr="00FE6DE9">
        <w:t>the income of or property attributable to an interposed vehicle in or through which the property attributable to the product or option is invested; and</w:t>
      </w:r>
    </w:p>
    <w:p w:rsidR="00FE6DE9" w:rsidRDefault="00FE6DE9" w:rsidP="00EB1A9F">
      <w:pPr>
        <w:pStyle w:val="ListParagraph"/>
        <w:ind w:left="1746"/>
      </w:pPr>
    </w:p>
    <w:p w:rsidR="00FE6DE9" w:rsidRDefault="00FE6DE9" w:rsidP="00EB1A9F">
      <w:pPr>
        <w:numPr>
          <w:ilvl w:val="0"/>
          <w:numId w:val="14"/>
        </w:numPr>
        <w:ind w:left="3294" w:hanging="567"/>
      </w:pPr>
      <w:r w:rsidRPr="00FE6DE9">
        <w:t>is not charged to a member as a fee; and</w:t>
      </w:r>
    </w:p>
    <w:p w:rsidR="00FE6DE9" w:rsidRPr="00FE6DE9" w:rsidRDefault="00FE6DE9" w:rsidP="00EB1A9F">
      <w:pPr>
        <w:ind w:left="3294"/>
      </w:pPr>
    </w:p>
    <w:p w:rsidR="00FE6DE9" w:rsidRPr="00FE6DE9" w:rsidRDefault="00FE6DE9" w:rsidP="00EB1A9F">
      <w:pPr>
        <w:numPr>
          <w:ilvl w:val="0"/>
          <w:numId w:val="14"/>
        </w:numPr>
        <w:ind w:left="3294" w:hanging="567"/>
      </w:pPr>
      <w:r w:rsidRPr="00FE6DE9">
        <w:t>is not a fee under section 29V of the SIS Act.</w:t>
      </w:r>
    </w:p>
    <w:p w:rsidR="00FE6DE9" w:rsidRPr="00FE6DE9" w:rsidRDefault="00FE6DE9" w:rsidP="00EB1A9F">
      <w:pPr>
        <w:ind w:left="2727" w:hanging="567"/>
      </w:pPr>
    </w:p>
    <w:p w:rsidR="002A6173" w:rsidRDefault="002A6173" w:rsidP="008865EF">
      <w:pPr>
        <w:keepNext/>
        <w:numPr>
          <w:ilvl w:val="0"/>
          <w:numId w:val="11"/>
        </w:numPr>
        <w:tabs>
          <w:tab w:val="left" w:pos="1134"/>
        </w:tabs>
        <w:ind w:left="2727" w:hanging="567"/>
      </w:pPr>
      <w:r>
        <w:t>For the purposes of subclause (1):</w:t>
      </w:r>
    </w:p>
    <w:p w:rsidR="002A6173" w:rsidRDefault="002A6173" w:rsidP="008865EF">
      <w:pPr>
        <w:keepNext/>
        <w:tabs>
          <w:tab w:val="left" w:pos="1134"/>
        </w:tabs>
        <w:ind w:left="2160"/>
      </w:pPr>
    </w:p>
    <w:p w:rsidR="002A6173" w:rsidRDefault="002A6173" w:rsidP="00DB285F">
      <w:pPr>
        <w:numPr>
          <w:ilvl w:val="0"/>
          <w:numId w:val="27"/>
        </w:numPr>
      </w:pPr>
      <w:r>
        <w:t>p</w:t>
      </w:r>
      <w:r w:rsidR="00FE6DE9" w:rsidRPr="00FE6DE9">
        <w:t>roperty is invested in or through an interposed vehicle even if</w:t>
      </w:r>
      <w:r>
        <w:t>:</w:t>
      </w:r>
    </w:p>
    <w:p w:rsidR="00567AC4" w:rsidRDefault="00567AC4" w:rsidP="00DB285F">
      <w:pPr>
        <w:ind w:left="3087"/>
      </w:pPr>
    </w:p>
    <w:p w:rsidR="002A6173" w:rsidRDefault="00FE6DE9" w:rsidP="00DB285F">
      <w:pPr>
        <w:pStyle w:val="ListParagraph"/>
        <w:numPr>
          <w:ilvl w:val="0"/>
          <w:numId w:val="28"/>
        </w:numPr>
      </w:pPr>
      <w:r w:rsidRPr="00FE6DE9">
        <w:lastRenderedPageBreak/>
        <w:t>the property is in turn invested in or through one or more other interposed vehicles</w:t>
      </w:r>
      <w:r w:rsidR="002A6173">
        <w:t>;</w:t>
      </w:r>
      <w:r w:rsidR="00A41F1B">
        <w:t xml:space="preserve"> or</w:t>
      </w:r>
    </w:p>
    <w:p w:rsidR="00567AC4" w:rsidRDefault="00567AC4" w:rsidP="00DB285F">
      <w:pPr>
        <w:pStyle w:val="ListParagraph"/>
        <w:ind w:left="3807"/>
      </w:pPr>
    </w:p>
    <w:p w:rsidR="00700959" w:rsidRDefault="002A6173" w:rsidP="00DB285F">
      <w:pPr>
        <w:pStyle w:val="ListParagraph"/>
        <w:numPr>
          <w:ilvl w:val="0"/>
          <w:numId w:val="28"/>
        </w:numPr>
      </w:pPr>
      <w:r>
        <w:t>the property was invested in the first mentioned interposed vehicle through or by another interposed vehicle</w:t>
      </w:r>
      <w:r w:rsidR="00A927E1">
        <w:t>; and</w:t>
      </w:r>
    </w:p>
    <w:p w:rsidR="00567AC4" w:rsidRDefault="00567AC4" w:rsidP="00DB285F">
      <w:pPr>
        <w:pStyle w:val="ListParagraph"/>
      </w:pPr>
    </w:p>
    <w:p w:rsidR="00567AC4" w:rsidRDefault="002A6173" w:rsidP="00DB285F">
      <w:pPr>
        <w:numPr>
          <w:ilvl w:val="0"/>
          <w:numId w:val="27"/>
        </w:numPr>
      </w:pPr>
      <w:r>
        <w:t>p</w:t>
      </w:r>
      <w:r w:rsidR="007756BC">
        <w:t>roperty is not invested in or through an interposed vehicle if the property is invested in the vehicle by a body, trust or partnership that</w:t>
      </w:r>
      <w:r w:rsidR="00567AC4">
        <w:t>:</w:t>
      </w:r>
    </w:p>
    <w:p w:rsidR="00567AC4" w:rsidRDefault="00567AC4" w:rsidP="00DB285F">
      <w:pPr>
        <w:ind w:left="3087"/>
      </w:pPr>
    </w:p>
    <w:p w:rsidR="00FE6DE9" w:rsidRDefault="007756BC" w:rsidP="00DB285F">
      <w:pPr>
        <w:pStyle w:val="ListParagraph"/>
        <w:numPr>
          <w:ilvl w:val="0"/>
          <w:numId w:val="29"/>
        </w:numPr>
      </w:pPr>
      <w:r>
        <w:t>is not an interposed vehicle</w:t>
      </w:r>
      <w:r w:rsidR="00567AC4">
        <w:t>; and</w:t>
      </w:r>
    </w:p>
    <w:p w:rsidR="00567AC4" w:rsidRDefault="00567AC4" w:rsidP="00DB285F">
      <w:pPr>
        <w:pStyle w:val="ListParagraph"/>
        <w:ind w:left="3807"/>
      </w:pPr>
    </w:p>
    <w:p w:rsidR="00567AC4" w:rsidRDefault="00567AC4" w:rsidP="00DB285F">
      <w:pPr>
        <w:pStyle w:val="ListParagraph"/>
        <w:numPr>
          <w:ilvl w:val="0"/>
          <w:numId w:val="29"/>
        </w:numPr>
      </w:pPr>
      <w:r>
        <w:t>is not the trustee or responsible entity.</w:t>
      </w:r>
    </w:p>
    <w:p w:rsidR="00700959" w:rsidRPr="00FE6DE9" w:rsidRDefault="00700959" w:rsidP="00DB285F">
      <w:pPr>
        <w:tabs>
          <w:tab w:val="left" w:pos="1134"/>
        </w:tabs>
        <w:ind w:left="2727"/>
      </w:pPr>
    </w:p>
    <w:p w:rsidR="00FE6DE9" w:rsidRPr="00FE6DE9" w:rsidRDefault="00FE6DE9" w:rsidP="00EB1A9F">
      <w:pPr>
        <w:numPr>
          <w:ilvl w:val="0"/>
          <w:numId w:val="11"/>
        </w:numPr>
        <w:ind w:left="2727" w:hanging="567"/>
      </w:pPr>
      <w:r w:rsidRPr="00FE6DE9">
        <w:t xml:space="preserve">Without limiting subclause (1), </w:t>
      </w:r>
      <w:r w:rsidR="00E66C1F" w:rsidRPr="00E66C1F">
        <w:t xml:space="preserve">indirect costs of a product or option include the amount </w:t>
      </w:r>
      <w:r w:rsidR="00164CE7">
        <w:t>(</w:t>
      </w:r>
      <w:r w:rsidR="00164CE7" w:rsidRPr="007024F9">
        <w:rPr>
          <w:b/>
          <w:i/>
        </w:rPr>
        <w:t>buy-sell spread</w:t>
      </w:r>
      <w:r w:rsidR="00164CE7">
        <w:rPr>
          <w:b/>
        </w:rPr>
        <w:t>)</w:t>
      </w:r>
      <w:r w:rsidR="00164CE7" w:rsidRPr="00FE6DE9">
        <w:t xml:space="preserve"> </w:t>
      </w:r>
      <w:r w:rsidR="002A2CE7">
        <w:t>by which</w:t>
      </w:r>
      <w:r w:rsidR="00E66C1F" w:rsidRPr="00E66C1F">
        <w:t xml:space="preserve"> the amount that would be required to acquire </w:t>
      </w:r>
      <w:r w:rsidR="00016C5E">
        <w:t>a</w:t>
      </w:r>
      <w:r w:rsidR="00E66C1F" w:rsidRPr="00E66C1F">
        <w:t xml:space="preserve"> derivative </w:t>
      </w:r>
      <w:r w:rsidR="00016C5E">
        <w:t xml:space="preserve">that </w:t>
      </w:r>
      <w:r w:rsidR="00016C5E" w:rsidRPr="00FE6DE9">
        <w:t>is not able to be traded on a financial market</w:t>
      </w:r>
      <w:r w:rsidR="00016C5E">
        <w:t xml:space="preserve"> </w:t>
      </w:r>
      <w:r w:rsidR="00B44B95">
        <w:t xml:space="preserve">at the relevant time </w:t>
      </w:r>
      <w:r w:rsidR="00E66C1F" w:rsidRPr="00E66C1F">
        <w:t>exceeds the amount that would be obtained on its disposal</w:t>
      </w:r>
      <w:r w:rsidR="002A2CE7">
        <w:t xml:space="preserve"> </w:t>
      </w:r>
      <w:r w:rsidR="00B44B95">
        <w:t xml:space="preserve">at that time </w:t>
      </w:r>
      <w:r w:rsidR="000615C1">
        <w:t xml:space="preserve">that is </w:t>
      </w:r>
      <w:r w:rsidRPr="00FE6DE9">
        <w:t>attributable to:</w:t>
      </w:r>
    </w:p>
    <w:p w:rsidR="00FE6DE9" w:rsidRPr="00FE6DE9" w:rsidRDefault="00FE6DE9" w:rsidP="00EB1A9F">
      <w:pPr>
        <w:ind w:left="2727" w:hanging="567"/>
      </w:pPr>
    </w:p>
    <w:p w:rsidR="00FE6DE9" w:rsidRDefault="00FE6DE9" w:rsidP="00EB1A9F">
      <w:pPr>
        <w:numPr>
          <w:ilvl w:val="0"/>
          <w:numId w:val="12"/>
        </w:numPr>
        <w:ind w:left="3294" w:hanging="567"/>
      </w:pPr>
      <w:r w:rsidRPr="00FE6DE9">
        <w:t>the product or option; or</w:t>
      </w:r>
    </w:p>
    <w:p w:rsidR="00FE6DE9" w:rsidRPr="00FE6DE9" w:rsidRDefault="00FE6DE9" w:rsidP="00EB1A9F">
      <w:pPr>
        <w:ind w:left="3294" w:hanging="567"/>
      </w:pPr>
    </w:p>
    <w:p w:rsidR="00FE6DE9" w:rsidRPr="00FE6DE9" w:rsidRDefault="00FE6DE9" w:rsidP="00EB1A9F">
      <w:pPr>
        <w:numPr>
          <w:ilvl w:val="0"/>
          <w:numId w:val="12"/>
        </w:numPr>
        <w:ind w:left="3294" w:hanging="567"/>
      </w:pPr>
      <w:r w:rsidRPr="00FE6DE9">
        <w:t xml:space="preserve">an interposed vehicle through which the property attributable to the product or option is invested. </w:t>
      </w:r>
    </w:p>
    <w:p w:rsidR="00FE6DE9" w:rsidRPr="00FE6DE9" w:rsidRDefault="00FE6DE9" w:rsidP="00EB1A9F">
      <w:pPr>
        <w:ind w:left="2727" w:hanging="567"/>
      </w:pPr>
    </w:p>
    <w:p w:rsidR="00FE6DE9" w:rsidRDefault="00FB72B7" w:rsidP="00EB1A9F">
      <w:pPr>
        <w:numPr>
          <w:ilvl w:val="0"/>
          <w:numId w:val="11"/>
        </w:numPr>
        <w:ind w:left="2727" w:hanging="567"/>
      </w:pPr>
      <w:r>
        <w:t xml:space="preserve">Despite subclause </w:t>
      </w:r>
      <w:r w:rsidR="00B721C9">
        <w:t xml:space="preserve">(1) and </w:t>
      </w:r>
      <w:r w:rsidR="00FE6DE9" w:rsidRPr="00FE6DE9">
        <w:t xml:space="preserve">(3), indirect costs of a managed investment product </w:t>
      </w:r>
      <w:r w:rsidR="008678B9">
        <w:t xml:space="preserve">or an investment option of a managed investment scheme </w:t>
      </w:r>
      <w:r w:rsidR="00B721C9">
        <w:t>do</w:t>
      </w:r>
      <w:r w:rsidR="00FE6DE9" w:rsidRPr="00FE6DE9">
        <w:t xml:space="preserve"> not include:</w:t>
      </w:r>
    </w:p>
    <w:p w:rsidR="00FE6DE9" w:rsidRPr="00FE6DE9" w:rsidRDefault="00FE6DE9" w:rsidP="00EB1A9F">
      <w:pPr>
        <w:ind w:left="2727"/>
      </w:pPr>
    </w:p>
    <w:p w:rsidR="00FE6DE9" w:rsidRDefault="00FE6DE9" w:rsidP="00C76882">
      <w:pPr>
        <w:numPr>
          <w:ilvl w:val="0"/>
          <w:numId w:val="13"/>
        </w:numPr>
        <w:ind w:left="3294" w:hanging="567"/>
      </w:pPr>
      <w:r w:rsidRPr="00FE6DE9">
        <w:t>the buy-sell spread for the derivative; and</w:t>
      </w:r>
    </w:p>
    <w:p w:rsidR="00FE6DE9" w:rsidRPr="00FE6DE9" w:rsidRDefault="00FE6DE9" w:rsidP="00EB1A9F">
      <w:pPr>
        <w:ind w:left="3294" w:hanging="567"/>
      </w:pPr>
    </w:p>
    <w:p w:rsidR="00FE6DE9" w:rsidRDefault="00FE6DE9" w:rsidP="00EB1A9F">
      <w:pPr>
        <w:numPr>
          <w:ilvl w:val="0"/>
          <w:numId w:val="13"/>
        </w:numPr>
        <w:ind w:left="3294" w:hanging="567"/>
      </w:pPr>
      <w:r w:rsidRPr="00FE6DE9">
        <w:t>any other costs associated with the acquisition or disposal of the derivative</w:t>
      </w:r>
      <w:r w:rsidR="008678B9">
        <w:t>,</w:t>
      </w:r>
    </w:p>
    <w:p w:rsidR="00D07E76" w:rsidRDefault="00D07E76" w:rsidP="00EB1A9F">
      <w:pPr>
        <w:pStyle w:val="ListParagraph"/>
        <w:ind w:left="1746"/>
      </w:pPr>
    </w:p>
    <w:p w:rsidR="00FE6DE9" w:rsidRDefault="008678B9" w:rsidP="00016C5E">
      <w:pPr>
        <w:pStyle w:val="ListParagraph"/>
        <w:ind w:left="2727"/>
      </w:pPr>
      <w:r>
        <w:t xml:space="preserve">where </w:t>
      </w:r>
      <w:r w:rsidR="00D07E76">
        <w:t xml:space="preserve">the derivative is </w:t>
      </w:r>
      <w:r>
        <w:t>acquired</w:t>
      </w:r>
      <w:r w:rsidR="00D07E76">
        <w:t xml:space="preserve"> or disposed of for the </w:t>
      </w:r>
      <w:r w:rsidR="00D07E76" w:rsidRPr="007A059D">
        <w:rPr>
          <w:color w:val="000000"/>
          <w:spacing w:val="-2"/>
        </w:rPr>
        <w:t xml:space="preserve">primary purpose of avoiding or limiting the financial consequences of fluctuations in, or in the value of, receipts or costs of the </w:t>
      </w:r>
      <w:r>
        <w:rPr>
          <w:color w:val="000000"/>
          <w:spacing w:val="-2"/>
        </w:rPr>
        <w:t>managed investment scheme</w:t>
      </w:r>
      <w:r w:rsidR="00D07E76">
        <w:rPr>
          <w:color w:val="000000"/>
          <w:spacing w:val="-2"/>
        </w:rPr>
        <w:t>.</w:t>
      </w:r>
      <w:r w:rsidR="00B721C9">
        <w:rPr>
          <w:color w:val="000000"/>
          <w:spacing w:val="-2"/>
        </w:rPr>
        <w:t xml:space="preserve">  This is the case regardless of whether the receipts or costs arise in or through an interposed vehicle.</w:t>
      </w:r>
    </w:p>
    <w:p w:rsidR="00D07E76" w:rsidRDefault="00D07E76" w:rsidP="0048785E">
      <w:pPr>
        <w:ind w:left="1701"/>
      </w:pPr>
    </w:p>
    <w:p w:rsidR="00D07E76" w:rsidRPr="002A6173" w:rsidRDefault="00D07E76" w:rsidP="002A6173">
      <w:pPr>
        <w:ind w:left="3600" w:hanging="873"/>
        <w:rPr>
          <w:sz w:val="18"/>
          <w:szCs w:val="18"/>
        </w:rPr>
      </w:pPr>
      <w:r w:rsidRPr="004E4E1A">
        <w:rPr>
          <w:sz w:val="18"/>
          <w:szCs w:val="18"/>
        </w:rPr>
        <w:t xml:space="preserve">Note: </w:t>
      </w:r>
      <w:r w:rsidR="002D4265">
        <w:rPr>
          <w:sz w:val="18"/>
          <w:szCs w:val="18"/>
        </w:rPr>
        <w:tab/>
      </w:r>
      <w:r w:rsidR="008E6642">
        <w:rPr>
          <w:sz w:val="18"/>
          <w:szCs w:val="18"/>
        </w:rPr>
        <w:t>C</w:t>
      </w:r>
      <w:r w:rsidRPr="004E4E1A">
        <w:rPr>
          <w:sz w:val="18"/>
          <w:szCs w:val="18"/>
        </w:rPr>
        <w:t xml:space="preserve">osts excluded under subparagraph </w:t>
      </w:r>
      <w:r w:rsidR="00B711BF">
        <w:rPr>
          <w:sz w:val="18"/>
          <w:szCs w:val="18"/>
        </w:rPr>
        <w:t>(</w:t>
      </w:r>
      <w:r w:rsidRPr="004E4E1A">
        <w:rPr>
          <w:sz w:val="18"/>
          <w:szCs w:val="18"/>
        </w:rPr>
        <w:t>4</w:t>
      </w:r>
      <w:r w:rsidR="00B711BF">
        <w:rPr>
          <w:sz w:val="18"/>
          <w:szCs w:val="18"/>
        </w:rPr>
        <w:t>)</w:t>
      </w:r>
      <w:r w:rsidRPr="004E4E1A">
        <w:rPr>
          <w:sz w:val="18"/>
          <w:szCs w:val="18"/>
        </w:rPr>
        <w:t xml:space="preserve"> are likely to be transaction costs under clause 102. Indirect costs for superannuation products include transaction costs.</w:t>
      </w:r>
      <w:r>
        <w:t>”</w:t>
      </w:r>
      <w:r w:rsidR="00C06446">
        <w:t>;</w:t>
      </w:r>
    </w:p>
    <w:p w:rsidR="009D7D21" w:rsidRDefault="009D7D21" w:rsidP="008A7CA2">
      <w:pPr>
        <w:ind w:left="1134"/>
      </w:pPr>
    </w:p>
    <w:p w:rsidR="003534AF" w:rsidRDefault="007E1AAD" w:rsidP="00016C5E">
      <w:pPr>
        <w:pStyle w:val="ListParagraph"/>
        <w:keepNext/>
        <w:numPr>
          <w:ilvl w:val="0"/>
          <w:numId w:val="6"/>
        </w:numPr>
        <w:ind w:left="1134" w:hanging="567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i</w:t>
      </w:r>
      <w:r w:rsidR="009128AE">
        <w:rPr>
          <w:rFonts w:ascii="Times New Roman" w:hAnsi="Times New Roman"/>
          <w:szCs w:val="18"/>
        </w:rPr>
        <w:t>n c</w:t>
      </w:r>
      <w:r w:rsidR="00F70F6E" w:rsidRPr="00F70F6E">
        <w:rPr>
          <w:rFonts w:ascii="Times New Roman" w:hAnsi="Times New Roman"/>
          <w:szCs w:val="18"/>
        </w:rPr>
        <w:t>lause 102</w:t>
      </w:r>
      <w:r w:rsidR="003534AF">
        <w:rPr>
          <w:rFonts w:ascii="Times New Roman" w:hAnsi="Times New Roman"/>
          <w:szCs w:val="18"/>
        </w:rPr>
        <w:t>:</w:t>
      </w:r>
    </w:p>
    <w:p w:rsidR="003534AF" w:rsidRDefault="003534AF" w:rsidP="00F70F6E">
      <w:pPr>
        <w:ind w:left="567" w:hanging="567"/>
        <w:rPr>
          <w:rFonts w:ascii="Times New Roman" w:hAnsi="Times New Roman"/>
          <w:szCs w:val="18"/>
        </w:rPr>
      </w:pPr>
    </w:p>
    <w:p w:rsidR="003534AF" w:rsidRDefault="00771487" w:rsidP="00EB1A9F">
      <w:pPr>
        <w:pStyle w:val="ListParagraph"/>
        <w:numPr>
          <w:ilvl w:val="1"/>
          <w:numId w:val="6"/>
        </w:numPr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in paragraph (1)(h) omit</w:t>
      </w:r>
      <w:r w:rsidR="00F70F6E" w:rsidRPr="007024F9">
        <w:rPr>
          <w:rFonts w:ascii="Times New Roman" w:hAnsi="Times New Roman"/>
          <w:szCs w:val="18"/>
        </w:rPr>
        <w:t xml:space="preserve"> “</w:t>
      </w:r>
      <w:r>
        <w:rPr>
          <w:rFonts w:ascii="Times New Roman" w:hAnsi="Times New Roman"/>
          <w:szCs w:val="18"/>
        </w:rPr>
        <w:t>arrangements</w:t>
      </w:r>
      <w:r w:rsidR="00F70F6E" w:rsidRPr="007024F9">
        <w:rPr>
          <w:rFonts w:ascii="Times New Roman" w:hAnsi="Times New Roman"/>
          <w:szCs w:val="18"/>
        </w:rPr>
        <w:t>.</w:t>
      </w:r>
      <w:r w:rsidR="00DD15D0" w:rsidRPr="007024F9">
        <w:rPr>
          <w:rFonts w:ascii="Times New Roman" w:hAnsi="Times New Roman"/>
          <w:szCs w:val="18"/>
        </w:rPr>
        <w:t>”</w:t>
      </w:r>
      <w:r>
        <w:rPr>
          <w:rFonts w:ascii="Times New Roman" w:hAnsi="Times New Roman"/>
          <w:szCs w:val="18"/>
        </w:rPr>
        <w:t>, substitute</w:t>
      </w:r>
      <w:r w:rsidR="00F70F6E" w:rsidRPr="007024F9">
        <w:rPr>
          <w:rFonts w:ascii="Times New Roman" w:hAnsi="Times New Roman"/>
          <w:szCs w:val="18"/>
        </w:rPr>
        <w:t>:</w:t>
      </w:r>
    </w:p>
    <w:p w:rsidR="003534AF" w:rsidRPr="007024F9" w:rsidRDefault="003534AF" w:rsidP="007024F9">
      <w:pPr>
        <w:pStyle w:val="ListParagraph"/>
        <w:ind w:left="1134"/>
        <w:rPr>
          <w:rFonts w:ascii="Times New Roman" w:hAnsi="Times New Roman"/>
          <w:szCs w:val="18"/>
        </w:rPr>
      </w:pPr>
    </w:p>
    <w:p w:rsidR="00771487" w:rsidRDefault="00F70F6E" w:rsidP="00DB285F">
      <w:pPr>
        <w:pStyle w:val="ListParagraph"/>
        <w:ind w:left="2160" w:firstLine="720"/>
        <w:rPr>
          <w:rFonts w:ascii="Times New Roman" w:hAnsi="Times New Roman"/>
          <w:szCs w:val="18"/>
        </w:rPr>
      </w:pPr>
      <w:r w:rsidRPr="005A501C">
        <w:rPr>
          <w:rFonts w:ascii="Times New Roman" w:hAnsi="Times New Roman"/>
          <w:szCs w:val="18"/>
        </w:rPr>
        <w:lastRenderedPageBreak/>
        <w:t>“</w:t>
      </w:r>
      <w:r w:rsidR="00771487">
        <w:rPr>
          <w:rFonts w:ascii="Times New Roman" w:hAnsi="Times New Roman"/>
          <w:szCs w:val="18"/>
        </w:rPr>
        <w:t>arrangements;</w:t>
      </w:r>
    </w:p>
    <w:p w:rsidR="00771487" w:rsidRDefault="00771487" w:rsidP="00EB1A9F">
      <w:pPr>
        <w:pStyle w:val="ListParagraph"/>
        <w:ind w:left="2160"/>
        <w:rPr>
          <w:rFonts w:ascii="Times New Roman" w:hAnsi="Times New Roman"/>
          <w:szCs w:val="18"/>
        </w:rPr>
      </w:pPr>
    </w:p>
    <w:p w:rsidR="00F70F6E" w:rsidRDefault="00F70F6E" w:rsidP="00EB1A9F">
      <w:pPr>
        <w:pStyle w:val="ListParagraph"/>
        <w:numPr>
          <w:ilvl w:val="2"/>
          <w:numId w:val="6"/>
        </w:numPr>
        <w:rPr>
          <w:rFonts w:ascii="Times New Roman" w:hAnsi="Times New Roman"/>
          <w:szCs w:val="18"/>
        </w:rPr>
      </w:pPr>
      <w:r w:rsidRPr="005A501C">
        <w:rPr>
          <w:rFonts w:ascii="Times New Roman" w:hAnsi="Times New Roman"/>
          <w:szCs w:val="18"/>
        </w:rPr>
        <w:t>indirect costs.</w:t>
      </w:r>
      <w:r w:rsidR="00DD15D0">
        <w:rPr>
          <w:rFonts w:ascii="Times New Roman" w:hAnsi="Times New Roman"/>
          <w:szCs w:val="18"/>
        </w:rPr>
        <w:t>”</w:t>
      </w:r>
      <w:r w:rsidR="001B0869">
        <w:rPr>
          <w:rFonts w:ascii="Times New Roman" w:hAnsi="Times New Roman"/>
          <w:szCs w:val="18"/>
        </w:rPr>
        <w:t>;</w:t>
      </w:r>
    </w:p>
    <w:p w:rsidR="009A067D" w:rsidRPr="005A501C" w:rsidRDefault="009A067D" w:rsidP="00F70F6E">
      <w:pPr>
        <w:pStyle w:val="ListParagraph"/>
        <w:ind w:left="1134" w:hanging="567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 </w:t>
      </w:r>
    </w:p>
    <w:p w:rsidR="003534AF" w:rsidRPr="007024F9" w:rsidRDefault="00771487" w:rsidP="00EB1A9F">
      <w:pPr>
        <w:pStyle w:val="ListParagraph"/>
        <w:numPr>
          <w:ilvl w:val="1"/>
          <w:numId w:val="6"/>
        </w:numPr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omit</w:t>
      </w:r>
      <w:r w:rsidR="006044F9" w:rsidRPr="007024F9">
        <w:rPr>
          <w:rFonts w:ascii="Times New Roman" w:hAnsi="Times New Roman"/>
          <w:szCs w:val="18"/>
        </w:rPr>
        <w:t xml:space="preserve"> paragraph (2)(b)</w:t>
      </w:r>
      <w:r w:rsidR="00154F5E">
        <w:rPr>
          <w:rFonts w:ascii="Times New Roman" w:hAnsi="Times New Roman"/>
          <w:szCs w:val="18"/>
        </w:rPr>
        <w:t>, substitute</w:t>
      </w:r>
      <w:r w:rsidR="006044F9" w:rsidRPr="007024F9">
        <w:rPr>
          <w:rFonts w:ascii="Times New Roman" w:hAnsi="Times New Roman"/>
          <w:szCs w:val="18"/>
        </w:rPr>
        <w:t>:</w:t>
      </w:r>
    </w:p>
    <w:p w:rsidR="003534AF" w:rsidRPr="007024F9" w:rsidRDefault="003534AF" w:rsidP="007024F9">
      <w:pPr>
        <w:pStyle w:val="ListParagraph"/>
        <w:ind w:left="1134"/>
        <w:rPr>
          <w:rFonts w:ascii="Times New Roman" w:hAnsi="Times New Roman"/>
          <w:szCs w:val="18"/>
        </w:rPr>
      </w:pPr>
    </w:p>
    <w:p w:rsidR="006044F9" w:rsidRDefault="006044F9" w:rsidP="00EB1A9F">
      <w:pPr>
        <w:pStyle w:val="ListParagraph"/>
        <w:ind w:left="2880" w:hanging="720"/>
      </w:pPr>
      <w:r>
        <w:t>“(b)</w:t>
      </w:r>
      <w:r w:rsidR="00154F5E">
        <w:tab/>
      </w:r>
      <w:r>
        <w:t xml:space="preserve">transactional costs and operational costs other than those costs under </w:t>
      </w:r>
      <w:r w:rsidR="00666C39">
        <w:t>subclause</w:t>
      </w:r>
      <w:r>
        <w:t xml:space="preserve"> 101A(3);</w:t>
      </w:r>
      <w:r w:rsidR="00DD15D0">
        <w:t>”</w:t>
      </w:r>
      <w:r w:rsidR="00C06446">
        <w:t>;</w:t>
      </w:r>
    </w:p>
    <w:p w:rsidR="001546FB" w:rsidRPr="00D95D0E" w:rsidRDefault="001546FB" w:rsidP="001546FB">
      <w:pPr>
        <w:ind w:left="567" w:firstLine="153"/>
        <w:rPr>
          <w:rFonts w:ascii="Times New Roman" w:hAnsi="Times New Roman"/>
          <w:szCs w:val="18"/>
        </w:rPr>
      </w:pPr>
    </w:p>
    <w:p w:rsidR="003534AF" w:rsidRDefault="00C76882" w:rsidP="00C76882">
      <w:pPr>
        <w:pStyle w:val="ListParagraph"/>
        <w:numPr>
          <w:ilvl w:val="1"/>
          <w:numId w:val="6"/>
        </w:numPr>
        <w:ind w:hanging="371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 </w:t>
      </w:r>
      <w:r w:rsidR="00154F5E">
        <w:rPr>
          <w:rFonts w:ascii="Times New Roman" w:hAnsi="Times New Roman"/>
          <w:szCs w:val="18"/>
        </w:rPr>
        <w:t>omit</w:t>
      </w:r>
      <w:r w:rsidR="006044F9" w:rsidRPr="007024F9">
        <w:rPr>
          <w:rFonts w:ascii="Times New Roman" w:hAnsi="Times New Roman"/>
          <w:szCs w:val="18"/>
        </w:rPr>
        <w:t xml:space="preserve"> paragraph (2)(h)</w:t>
      </w:r>
      <w:r w:rsidR="00154F5E">
        <w:rPr>
          <w:rFonts w:ascii="Times New Roman" w:hAnsi="Times New Roman"/>
          <w:szCs w:val="18"/>
        </w:rPr>
        <w:t>, substitute</w:t>
      </w:r>
      <w:r w:rsidR="006044F9" w:rsidRPr="007024F9">
        <w:rPr>
          <w:rFonts w:ascii="Times New Roman" w:hAnsi="Times New Roman"/>
          <w:szCs w:val="18"/>
        </w:rPr>
        <w:t>:</w:t>
      </w:r>
    </w:p>
    <w:p w:rsidR="003534AF" w:rsidRPr="007024F9" w:rsidRDefault="003534AF" w:rsidP="007024F9">
      <w:pPr>
        <w:pStyle w:val="ListParagraph"/>
        <w:ind w:left="1134"/>
        <w:rPr>
          <w:rFonts w:ascii="Times New Roman" w:hAnsi="Times New Roman"/>
          <w:szCs w:val="18"/>
        </w:rPr>
      </w:pPr>
    </w:p>
    <w:p w:rsidR="006044F9" w:rsidRDefault="006044F9" w:rsidP="00EB1A9F">
      <w:pPr>
        <w:pStyle w:val="ListParagraph"/>
        <w:ind w:left="2880" w:hanging="720"/>
      </w:pPr>
      <w:r>
        <w:t>“(h)</w:t>
      </w:r>
      <w:r w:rsidR="00154F5E">
        <w:tab/>
      </w:r>
      <w:r>
        <w:t xml:space="preserve">costs (related to a specific asset, other than a </w:t>
      </w:r>
      <w:r w:rsidR="001A50AC">
        <w:t>security or interest</w:t>
      </w:r>
      <w:r>
        <w:t xml:space="preserve"> in an interposed vehicle, or activity to produce income) that an investor would incur if he or she invested directly in the asset</w:t>
      </w:r>
      <w:r w:rsidR="00197486">
        <w:t>;</w:t>
      </w:r>
      <w:r w:rsidR="00DD15D0">
        <w:t>”</w:t>
      </w:r>
      <w:r w:rsidR="00C06446">
        <w:t>;</w:t>
      </w:r>
    </w:p>
    <w:p w:rsidR="00DA2E03" w:rsidRDefault="00DA2E03" w:rsidP="006044F9">
      <w:pPr>
        <w:ind w:left="567" w:hanging="567"/>
        <w:rPr>
          <w:rFonts w:ascii="Times New Roman" w:hAnsi="Times New Roman"/>
          <w:szCs w:val="18"/>
        </w:rPr>
      </w:pPr>
    </w:p>
    <w:p w:rsidR="009A4F34" w:rsidRDefault="00154F5E" w:rsidP="00EB1A9F">
      <w:pPr>
        <w:pStyle w:val="ListParagraph"/>
        <w:numPr>
          <w:ilvl w:val="0"/>
          <w:numId w:val="6"/>
        </w:numPr>
        <w:ind w:left="1134" w:hanging="567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in c</w:t>
      </w:r>
      <w:r w:rsidR="009A4F34">
        <w:rPr>
          <w:rFonts w:ascii="Times New Roman" w:hAnsi="Times New Roman"/>
          <w:szCs w:val="18"/>
        </w:rPr>
        <w:t xml:space="preserve">lause 202 omit </w:t>
      </w:r>
      <w:r w:rsidR="00C06446">
        <w:rPr>
          <w:rFonts w:ascii="Times New Roman" w:hAnsi="Times New Roman"/>
          <w:szCs w:val="18"/>
        </w:rPr>
        <w:t>“and insurance costs”;</w:t>
      </w:r>
    </w:p>
    <w:p w:rsidR="009A4F34" w:rsidRDefault="009A4F34" w:rsidP="0014496E">
      <w:pPr>
        <w:ind w:left="567" w:hanging="567"/>
        <w:rPr>
          <w:rFonts w:ascii="Times New Roman" w:hAnsi="Times New Roman"/>
          <w:szCs w:val="18"/>
        </w:rPr>
      </w:pPr>
    </w:p>
    <w:p w:rsidR="009A4F34" w:rsidRDefault="00154F5E" w:rsidP="00EB1A9F">
      <w:pPr>
        <w:pStyle w:val="ListParagraph"/>
        <w:numPr>
          <w:ilvl w:val="0"/>
          <w:numId w:val="6"/>
        </w:numPr>
        <w:ind w:left="1134" w:hanging="567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in c</w:t>
      </w:r>
      <w:r w:rsidR="009A4F34">
        <w:rPr>
          <w:rFonts w:ascii="Times New Roman" w:hAnsi="Times New Roman"/>
          <w:szCs w:val="18"/>
        </w:rPr>
        <w:t xml:space="preserve">lause </w:t>
      </w:r>
      <w:r w:rsidR="00C06446">
        <w:rPr>
          <w:rFonts w:ascii="Times New Roman" w:hAnsi="Times New Roman"/>
          <w:szCs w:val="18"/>
        </w:rPr>
        <w:t>202A omit “and insurance costs”;</w:t>
      </w:r>
    </w:p>
    <w:p w:rsidR="006C241A" w:rsidRDefault="006C241A" w:rsidP="00EB1A9F">
      <w:pPr>
        <w:pStyle w:val="ListParagraph"/>
        <w:ind w:left="1134"/>
        <w:rPr>
          <w:rFonts w:ascii="Times New Roman" w:hAnsi="Times New Roman"/>
          <w:szCs w:val="18"/>
        </w:rPr>
      </w:pPr>
    </w:p>
    <w:p w:rsidR="006C241A" w:rsidRDefault="00154F5E" w:rsidP="00EB1A9F">
      <w:pPr>
        <w:pStyle w:val="ListParagraph"/>
        <w:numPr>
          <w:ilvl w:val="0"/>
          <w:numId w:val="6"/>
        </w:numPr>
        <w:ind w:left="1134" w:hanging="567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in c</w:t>
      </w:r>
      <w:r w:rsidR="006C241A">
        <w:rPr>
          <w:rFonts w:ascii="Times New Roman" w:hAnsi="Times New Roman"/>
          <w:szCs w:val="18"/>
        </w:rPr>
        <w:t xml:space="preserve">lause 209 omit </w:t>
      </w:r>
      <w:r w:rsidR="001B0869">
        <w:rPr>
          <w:rFonts w:ascii="Times New Roman" w:hAnsi="Times New Roman"/>
          <w:szCs w:val="18"/>
        </w:rPr>
        <w:t>paragraph</w:t>
      </w:r>
      <w:r w:rsidR="00C06446">
        <w:rPr>
          <w:rFonts w:ascii="Times New Roman" w:hAnsi="Times New Roman"/>
          <w:szCs w:val="18"/>
        </w:rPr>
        <w:t xml:space="preserve"> 209(m);</w:t>
      </w:r>
    </w:p>
    <w:p w:rsidR="009A4F34" w:rsidRDefault="009A4F34" w:rsidP="00EB1A9F">
      <w:pPr>
        <w:pStyle w:val="ListParagraph"/>
        <w:ind w:left="1134"/>
        <w:rPr>
          <w:rFonts w:ascii="Times New Roman" w:hAnsi="Times New Roman"/>
          <w:szCs w:val="18"/>
        </w:rPr>
      </w:pPr>
    </w:p>
    <w:p w:rsidR="004D0792" w:rsidRDefault="00154F5E" w:rsidP="00EB1A9F">
      <w:pPr>
        <w:pStyle w:val="ListParagraph"/>
        <w:numPr>
          <w:ilvl w:val="0"/>
          <w:numId w:val="6"/>
        </w:numPr>
        <w:ind w:left="1134" w:hanging="567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in c</w:t>
      </w:r>
      <w:r w:rsidR="00EF0B33">
        <w:rPr>
          <w:rFonts w:ascii="Times New Roman" w:hAnsi="Times New Roman"/>
          <w:szCs w:val="18"/>
        </w:rPr>
        <w:t xml:space="preserve">lause </w:t>
      </w:r>
      <w:r w:rsidR="0014496E">
        <w:rPr>
          <w:rFonts w:ascii="Times New Roman" w:hAnsi="Times New Roman"/>
          <w:szCs w:val="18"/>
        </w:rPr>
        <w:t>209A</w:t>
      </w:r>
      <w:r w:rsidR="004D0792">
        <w:rPr>
          <w:rFonts w:ascii="Times New Roman" w:hAnsi="Times New Roman"/>
          <w:szCs w:val="18"/>
        </w:rPr>
        <w:t>:</w:t>
      </w:r>
    </w:p>
    <w:p w:rsidR="004D0792" w:rsidRDefault="004D0792" w:rsidP="0014496E">
      <w:pPr>
        <w:ind w:left="567" w:hanging="567"/>
        <w:rPr>
          <w:rFonts w:ascii="Times New Roman" w:hAnsi="Times New Roman"/>
          <w:szCs w:val="18"/>
        </w:rPr>
      </w:pPr>
    </w:p>
    <w:p w:rsidR="0014496E" w:rsidRDefault="0014496E" w:rsidP="00C76882">
      <w:pPr>
        <w:pStyle w:val="ListParagraph"/>
        <w:numPr>
          <w:ilvl w:val="1"/>
          <w:numId w:val="6"/>
        </w:numPr>
        <w:ind w:left="1701" w:hanging="414"/>
        <w:rPr>
          <w:rFonts w:ascii="Times New Roman" w:hAnsi="Times New Roman"/>
          <w:szCs w:val="18"/>
        </w:rPr>
      </w:pPr>
      <w:r w:rsidRPr="004D0792">
        <w:rPr>
          <w:rFonts w:ascii="Times New Roman" w:hAnsi="Times New Roman"/>
          <w:szCs w:val="18"/>
        </w:rPr>
        <w:t xml:space="preserve">omit </w:t>
      </w:r>
      <w:r w:rsidR="00D30DB0">
        <w:rPr>
          <w:rFonts w:ascii="Times New Roman" w:hAnsi="Times New Roman"/>
          <w:szCs w:val="18"/>
        </w:rPr>
        <w:t>“</w:t>
      </w:r>
      <w:r w:rsidRPr="004D0792">
        <w:rPr>
          <w:rFonts w:ascii="Times New Roman" w:hAnsi="Times New Roman"/>
          <w:szCs w:val="18"/>
        </w:rPr>
        <w:t>fees</w:t>
      </w:r>
      <w:r w:rsidR="00DD15D0">
        <w:rPr>
          <w:rFonts w:ascii="Times New Roman" w:hAnsi="Times New Roman"/>
          <w:szCs w:val="18"/>
        </w:rPr>
        <w:t>”</w:t>
      </w:r>
      <w:r w:rsidRPr="004D0792">
        <w:rPr>
          <w:rFonts w:ascii="Times New Roman" w:hAnsi="Times New Roman"/>
          <w:szCs w:val="18"/>
        </w:rPr>
        <w:t>:</w:t>
      </w:r>
      <w:r w:rsidR="00DD15D0">
        <w:rPr>
          <w:rFonts w:ascii="Times New Roman" w:hAnsi="Times New Roman"/>
          <w:szCs w:val="18"/>
        </w:rPr>
        <w:t>”</w:t>
      </w:r>
      <w:r w:rsidRPr="004D0792">
        <w:rPr>
          <w:rFonts w:ascii="Times New Roman" w:hAnsi="Times New Roman"/>
          <w:szCs w:val="18"/>
        </w:rPr>
        <w:t>, substitut</w:t>
      </w:r>
      <w:r w:rsidR="00154F5E">
        <w:rPr>
          <w:rFonts w:ascii="Times New Roman" w:hAnsi="Times New Roman"/>
          <w:szCs w:val="18"/>
        </w:rPr>
        <w:t>e</w:t>
      </w:r>
      <w:r w:rsidR="001A50AC">
        <w:rPr>
          <w:rFonts w:ascii="Times New Roman" w:hAnsi="Times New Roman"/>
          <w:szCs w:val="18"/>
        </w:rPr>
        <w:t>,</w:t>
      </w:r>
    </w:p>
    <w:p w:rsidR="001A50AC" w:rsidRPr="004D0792" w:rsidRDefault="001A50AC" w:rsidP="001A50AC">
      <w:pPr>
        <w:pStyle w:val="ListParagraph"/>
        <w:ind w:left="2160"/>
        <w:rPr>
          <w:rFonts w:ascii="Times New Roman" w:hAnsi="Times New Roman"/>
          <w:szCs w:val="18"/>
        </w:rPr>
      </w:pPr>
    </w:p>
    <w:p w:rsidR="0014496E" w:rsidRPr="00EB1A9F" w:rsidRDefault="00D30DB0" w:rsidP="000615C1">
      <w:pPr>
        <w:ind w:left="2160"/>
        <w:rPr>
          <w:rFonts w:ascii="Times New Roman" w:hAnsi="Times New Roman"/>
          <w:szCs w:val="18"/>
        </w:rPr>
      </w:pPr>
      <w:r w:rsidRPr="00EB1A9F">
        <w:rPr>
          <w:rFonts w:ascii="Times New Roman" w:hAnsi="Times New Roman"/>
          <w:szCs w:val="18"/>
        </w:rPr>
        <w:t>“</w:t>
      </w:r>
      <w:r w:rsidR="0014496E" w:rsidRPr="00EB1A9F">
        <w:rPr>
          <w:rFonts w:ascii="Times New Roman" w:hAnsi="Times New Roman"/>
          <w:szCs w:val="18"/>
        </w:rPr>
        <w:t>fees</w:t>
      </w:r>
      <w:r w:rsidR="00DD15D0" w:rsidRPr="00EB1A9F">
        <w:rPr>
          <w:rFonts w:ascii="Times New Roman" w:hAnsi="Times New Roman"/>
          <w:szCs w:val="18"/>
        </w:rPr>
        <w:t>”</w:t>
      </w:r>
      <w:r w:rsidR="0014496E" w:rsidRPr="00EB1A9F">
        <w:rPr>
          <w:rFonts w:ascii="Times New Roman" w:hAnsi="Times New Roman"/>
          <w:szCs w:val="18"/>
        </w:rPr>
        <w:t>, or incorporated by reference:</w:t>
      </w:r>
      <w:r w:rsidR="009552B6" w:rsidRPr="00EB1A9F">
        <w:rPr>
          <w:rFonts w:ascii="Times New Roman" w:hAnsi="Times New Roman"/>
          <w:szCs w:val="18"/>
        </w:rPr>
        <w:t>”</w:t>
      </w:r>
      <w:r w:rsidR="001B0869">
        <w:rPr>
          <w:rFonts w:ascii="Times New Roman" w:hAnsi="Times New Roman"/>
          <w:szCs w:val="18"/>
        </w:rPr>
        <w:t>;</w:t>
      </w:r>
    </w:p>
    <w:p w:rsidR="004D0792" w:rsidRDefault="004D0792" w:rsidP="004D0792">
      <w:pPr>
        <w:ind w:left="1134" w:hanging="567"/>
        <w:rPr>
          <w:rFonts w:ascii="Times New Roman" w:hAnsi="Times New Roman"/>
          <w:szCs w:val="18"/>
        </w:rPr>
      </w:pPr>
    </w:p>
    <w:p w:rsidR="004D0792" w:rsidRDefault="004D0792" w:rsidP="00EB1A9F">
      <w:pPr>
        <w:pStyle w:val="ListParagraph"/>
        <w:numPr>
          <w:ilvl w:val="1"/>
          <w:numId w:val="6"/>
        </w:numPr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by omitting the definition of </w:t>
      </w:r>
      <w:r w:rsidR="00BB063D">
        <w:rPr>
          <w:rFonts w:ascii="Times New Roman" w:hAnsi="Times New Roman"/>
          <w:b/>
          <w:i/>
          <w:szCs w:val="18"/>
        </w:rPr>
        <w:t>s</w:t>
      </w:r>
      <w:r w:rsidRPr="001B0869">
        <w:rPr>
          <w:rFonts w:ascii="Times New Roman" w:hAnsi="Times New Roman"/>
          <w:b/>
          <w:i/>
          <w:szCs w:val="18"/>
        </w:rPr>
        <w:t>witching fees</w:t>
      </w:r>
      <w:r>
        <w:rPr>
          <w:rFonts w:ascii="Times New Roman" w:hAnsi="Times New Roman"/>
          <w:szCs w:val="18"/>
        </w:rPr>
        <w:t>, and substituting:</w:t>
      </w:r>
    </w:p>
    <w:p w:rsidR="004D0792" w:rsidRDefault="004D0792" w:rsidP="004D0792">
      <w:pPr>
        <w:pStyle w:val="ListParagraph"/>
        <w:ind w:left="1134"/>
        <w:rPr>
          <w:rFonts w:ascii="Times New Roman" w:hAnsi="Times New Roman"/>
          <w:szCs w:val="18"/>
        </w:rPr>
      </w:pPr>
    </w:p>
    <w:p w:rsidR="00B97D2B" w:rsidRPr="00B97D2B" w:rsidRDefault="00D30DB0" w:rsidP="000615C1">
      <w:pPr>
        <w:ind w:left="216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“</w:t>
      </w:r>
      <w:r w:rsidR="00B97D2B">
        <w:rPr>
          <w:rFonts w:ascii="Times New Roman" w:hAnsi="Times New Roman"/>
          <w:szCs w:val="18"/>
        </w:rPr>
        <w:t xml:space="preserve">A </w:t>
      </w:r>
      <w:r w:rsidR="00B97D2B" w:rsidRPr="001B0869">
        <w:rPr>
          <w:rFonts w:ascii="Times New Roman" w:hAnsi="Times New Roman"/>
          <w:b/>
          <w:i/>
          <w:szCs w:val="18"/>
        </w:rPr>
        <w:t>switching fee</w:t>
      </w:r>
      <w:r w:rsidR="00124C4E" w:rsidRPr="00EB1A9F">
        <w:rPr>
          <w:rFonts w:ascii="Times New Roman" w:hAnsi="Times New Roman"/>
          <w:szCs w:val="18"/>
        </w:rPr>
        <w:t xml:space="preserve"> for a MySuper product has the meaning given by subsection 29V(5) of the SIS Act and, for superannuation products other than a My</w:t>
      </w:r>
      <w:r w:rsidR="00260C59" w:rsidRPr="00EB1A9F">
        <w:rPr>
          <w:rFonts w:ascii="Times New Roman" w:hAnsi="Times New Roman"/>
          <w:szCs w:val="18"/>
        </w:rPr>
        <w:t>S</w:t>
      </w:r>
      <w:r w:rsidR="00124C4E" w:rsidRPr="00EB1A9F">
        <w:rPr>
          <w:rFonts w:ascii="Times New Roman" w:hAnsi="Times New Roman"/>
          <w:szCs w:val="18"/>
        </w:rPr>
        <w:t>uper product</w:t>
      </w:r>
      <w:r w:rsidR="00260C59" w:rsidRPr="00EB1A9F">
        <w:rPr>
          <w:rFonts w:ascii="Times New Roman" w:hAnsi="Times New Roman"/>
          <w:szCs w:val="18"/>
        </w:rPr>
        <w:t>,</w:t>
      </w:r>
      <w:r w:rsidR="00124C4E" w:rsidRPr="00EB1A9F">
        <w:rPr>
          <w:rFonts w:ascii="Times New Roman" w:hAnsi="Times New Roman"/>
          <w:szCs w:val="18"/>
        </w:rPr>
        <w:t xml:space="preserve"> </w:t>
      </w:r>
      <w:r w:rsidR="00B97D2B">
        <w:rPr>
          <w:rFonts w:ascii="Times New Roman" w:hAnsi="Times New Roman"/>
          <w:szCs w:val="18"/>
        </w:rPr>
        <w:t>is a fee to recover the costs of switching all or part of a member</w:t>
      </w:r>
      <w:r w:rsidR="00BB063D">
        <w:rPr>
          <w:rFonts w:ascii="Times New Roman" w:hAnsi="Times New Roman"/>
          <w:szCs w:val="18"/>
        </w:rPr>
        <w:t>’</w:t>
      </w:r>
      <w:r w:rsidR="00B97D2B">
        <w:rPr>
          <w:rFonts w:ascii="Times New Roman" w:hAnsi="Times New Roman"/>
          <w:szCs w:val="18"/>
        </w:rPr>
        <w:t>s interest in the superannuation entity from one investment</w:t>
      </w:r>
      <w:r w:rsidR="00D43D9A">
        <w:rPr>
          <w:rFonts w:ascii="Times New Roman" w:hAnsi="Times New Roman"/>
          <w:szCs w:val="18"/>
        </w:rPr>
        <w:t xml:space="preserve"> option</w:t>
      </w:r>
      <w:r w:rsidR="00804A7E">
        <w:rPr>
          <w:rFonts w:ascii="Times New Roman" w:hAnsi="Times New Roman"/>
          <w:szCs w:val="18"/>
        </w:rPr>
        <w:t xml:space="preserve"> or product</w:t>
      </w:r>
      <w:r w:rsidR="00B97D2B">
        <w:rPr>
          <w:rFonts w:ascii="Times New Roman" w:hAnsi="Times New Roman"/>
          <w:szCs w:val="18"/>
        </w:rPr>
        <w:t xml:space="preserve"> in the entity to another.</w:t>
      </w:r>
      <w:r w:rsidR="009552B6">
        <w:rPr>
          <w:rFonts w:ascii="Times New Roman" w:hAnsi="Times New Roman"/>
          <w:szCs w:val="18"/>
        </w:rPr>
        <w:t>”</w:t>
      </w:r>
      <w:r w:rsidR="001B0869">
        <w:rPr>
          <w:rFonts w:ascii="Times New Roman" w:hAnsi="Times New Roman"/>
          <w:szCs w:val="18"/>
        </w:rPr>
        <w:t>;</w:t>
      </w:r>
    </w:p>
    <w:p w:rsidR="0014496E" w:rsidRDefault="0014496E" w:rsidP="000566DE">
      <w:pPr>
        <w:ind w:left="567" w:hanging="567"/>
        <w:rPr>
          <w:rFonts w:ascii="Times New Roman" w:hAnsi="Times New Roman"/>
          <w:szCs w:val="18"/>
        </w:rPr>
      </w:pPr>
    </w:p>
    <w:p w:rsidR="004D0792" w:rsidRDefault="001B0869" w:rsidP="00B57F23">
      <w:pPr>
        <w:pStyle w:val="ListParagraph"/>
        <w:numPr>
          <w:ilvl w:val="0"/>
          <w:numId w:val="6"/>
        </w:numPr>
        <w:ind w:left="1134" w:hanging="567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o</w:t>
      </w:r>
      <w:r w:rsidR="00064E55">
        <w:rPr>
          <w:rFonts w:ascii="Times New Roman" w:hAnsi="Times New Roman"/>
          <w:szCs w:val="18"/>
        </w:rPr>
        <w:t>mit</w:t>
      </w:r>
      <w:r w:rsidR="00B57F23">
        <w:rPr>
          <w:rFonts w:ascii="Times New Roman" w:hAnsi="Times New Roman"/>
          <w:szCs w:val="18"/>
        </w:rPr>
        <w:t xml:space="preserve"> </w:t>
      </w:r>
      <w:r w:rsidR="00154F5E">
        <w:rPr>
          <w:rFonts w:ascii="Times New Roman" w:hAnsi="Times New Roman"/>
          <w:szCs w:val="18"/>
        </w:rPr>
        <w:t>c</w:t>
      </w:r>
      <w:r w:rsidR="004D0792">
        <w:rPr>
          <w:rFonts w:ascii="Times New Roman" w:hAnsi="Times New Roman"/>
          <w:szCs w:val="18"/>
        </w:rPr>
        <w:t>lause 221</w:t>
      </w:r>
      <w:r w:rsidR="00064E55">
        <w:rPr>
          <w:rFonts w:ascii="Times New Roman" w:hAnsi="Times New Roman"/>
          <w:szCs w:val="18"/>
        </w:rPr>
        <w:t>, substitute</w:t>
      </w:r>
      <w:r w:rsidR="004D0792">
        <w:rPr>
          <w:rFonts w:ascii="Times New Roman" w:hAnsi="Times New Roman"/>
          <w:szCs w:val="18"/>
        </w:rPr>
        <w:t>:</w:t>
      </w:r>
    </w:p>
    <w:p w:rsidR="00064E55" w:rsidRDefault="00D30DB0" w:rsidP="00B57F23">
      <w:pPr>
        <w:pStyle w:val="ActHead5"/>
        <w:ind w:left="3294"/>
      </w:pPr>
      <w:r>
        <w:rPr>
          <w:szCs w:val="18"/>
        </w:rPr>
        <w:t>“</w:t>
      </w:r>
      <w:bookmarkStart w:id="1" w:name="_Toc382827774"/>
      <w:r w:rsidR="00064E55" w:rsidRPr="00064E55">
        <w:t>221 Consumer advisory warning</w:t>
      </w:r>
      <w:bookmarkEnd w:id="1"/>
    </w:p>
    <w:p w:rsidR="00064E55" w:rsidRPr="00E10B10" w:rsidRDefault="00064E55" w:rsidP="00B57F23"/>
    <w:p w:rsidR="00064E55" w:rsidRPr="007F5705" w:rsidRDefault="001B4B93" w:rsidP="00064E55">
      <w:pPr>
        <w:pStyle w:val="ListParagraph"/>
        <w:ind w:left="216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(1</w:t>
      </w:r>
      <w:r w:rsidR="00064E55">
        <w:rPr>
          <w:rFonts w:ascii="Times New Roman" w:hAnsi="Times New Roman"/>
          <w:szCs w:val="18"/>
        </w:rPr>
        <w:t>)</w:t>
      </w:r>
      <w:r w:rsidR="00064E55" w:rsidRPr="007F5705">
        <w:rPr>
          <w:rFonts w:ascii="Times New Roman" w:hAnsi="Times New Roman"/>
          <w:i/>
          <w:szCs w:val="18"/>
        </w:rPr>
        <w:t xml:space="preserve"> </w:t>
      </w:r>
      <w:r>
        <w:rPr>
          <w:rFonts w:ascii="Times New Roman" w:hAnsi="Times New Roman"/>
          <w:i/>
          <w:szCs w:val="18"/>
        </w:rPr>
        <w:t>Superannuation</w:t>
      </w:r>
      <w:r w:rsidR="00064E55" w:rsidRPr="007F5705">
        <w:rPr>
          <w:rFonts w:ascii="Times New Roman" w:hAnsi="Times New Roman"/>
          <w:i/>
          <w:szCs w:val="18"/>
        </w:rPr>
        <w:t xml:space="preserve"> products</w:t>
      </w:r>
    </w:p>
    <w:p w:rsidR="00064E55" w:rsidRDefault="00064E55" w:rsidP="00064E55">
      <w:pPr>
        <w:pStyle w:val="ListParagraph"/>
        <w:pBdr>
          <w:bottom w:val="single" w:sz="6" w:space="1" w:color="auto"/>
        </w:pBdr>
        <w:ind w:left="2160"/>
        <w:rPr>
          <w:rFonts w:ascii="Times New Roman" w:hAnsi="Times New Roman"/>
          <w:szCs w:val="18"/>
        </w:rPr>
      </w:pPr>
    </w:p>
    <w:p w:rsidR="00064E55" w:rsidRPr="00504B13" w:rsidRDefault="00064E55" w:rsidP="00064E55">
      <w:pPr>
        <w:ind w:left="2160"/>
        <w:jc w:val="center"/>
        <w:rPr>
          <w:rFonts w:ascii="Times New Roman" w:hAnsi="Times New Roman"/>
          <w:b/>
          <w:sz w:val="20"/>
          <w:szCs w:val="18"/>
        </w:rPr>
      </w:pPr>
      <w:r w:rsidRPr="00504B13">
        <w:rPr>
          <w:rFonts w:ascii="Times New Roman" w:hAnsi="Times New Roman"/>
          <w:b/>
          <w:sz w:val="20"/>
          <w:szCs w:val="18"/>
        </w:rPr>
        <w:t>DID YOU KNOW?</w:t>
      </w:r>
    </w:p>
    <w:p w:rsidR="00064E55" w:rsidRDefault="00064E55" w:rsidP="00064E55">
      <w:pPr>
        <w:ind w:left="2160"/>
        <w:jc w:val="center"/>
        <w:rPr>
          <w:rFonts w:ascii="Times New Roman" w:hAnsi="Times New Roman"/>
          <w:b/>
          <w:sz w:val="20"/>
          <w:szCs w:val="18"/>
        </w:rPr>
      </w:pPr>
      <w:r>
        <w:rPr>
          <w:rFonts w:ascii="Times New Roman" w:hAnsi="Times New Roman"/>
          <w:b/>
          <w:sz w:val="20"/>
          <w:szCs w:val="18"/>
        </w:rPr>
        <w:t>Small differences in both investment performance and fees and costs can have a substantial impact on your long term returns.</w:t>
      </w:r>
    </w:p>
    <w:p w:rsidR="00064E55" w:rsidRDefault="00064E55" w:rsidP="00064E55">
      <w:pPr>
        <w:ind w:left="2160"/>
        <w:jc w:val="center"/>
        <w:rPr>
          <w:rFonts w:ascii="Times New Roman" w:hAnsi="Times New Roman"/>
          <w:b/>
          <w:sz w:val="20"/>
          <w:szCs w:val="18"/>
        </w:rPr>
      </w:pPr>
      <w:r>
        <w:rPr>
          <w:rFonts w:ascii="Times New Roman" w:hAnsi="Times New Roman"/>
          <w:b/>
          <w:sz w:val="20"/>
          <w:szCs w:val="18"/>
        </w:rPr>
        <w:t>For example, total annual fees and costs of 2% of your account balance rather than 1% could reduce your final return by up to 20% over a 30 year period (for example reduce it from $100 000 to $80 000).</w:t>
      </w:r>
    </w:p>
    <w:p w:rsidR="00064E55" w:rsidRDefault="00064E55" w:rsidP="00064E55">
      <w:pPr>
        <w:ind w:left="2160"/>
        <w:jc w:val="center"/>
        <w:rPr>
          <w:rFonts w:ascii="Times New Roman" w:hAnsi="Times New Roman"/>
          <w:b/>
          <w:sz w:val="20"/>
          <w:szCs w:val="18"/>
        </w:rPr>
      </w:pPr>
      <w:r>
        <w:rPr>
          <w:rFonts w:ascii="Times New Roman" w:hAnsi="Times New Roman"/>
          <w:b/>
          <w:sz w:val="20"/>
          <w:szCs w:val="18"/>
        </w:rPr>
        <w:lastRenderedPageBreak/>
        <w:t>You should consider whether features such as superior investment performance or the provision of better member services justify higher fees and costs.</w:t>
      </w:r>
    </w:p>
    <w:p w:rsidR="00064E55" w:rsidRDefault="00064E55" w:rsidP="00064E55">
      <w:pPr>
        <w:ind w:left="2160"/>
        <w:jc w:val="center"/>
        <w:rPr>
          <w:rFonts w:ascii="Times New Roman" w:hAnsi="Times New Roman"/>
          <w:b/>
          <w:sz w:val="20"/>
          <w:szCs w:val="18"/>
        </w:rPr>
      </w:pPr>
      <w:r>
        <w:rPr>
          <w:rFonts w:ascii="Times New Roman" w:hAnsi="Times New Roman"/>
          <w:b/>
          <w:sz w:val="20"/>
          <w:szCs w:val="18"/>
        </w:rPr>
        <w:t>You may be able to negotiate to pay lower contribution fees and management costs where applicable. Ask the fund or your financial adviser.</w:t>
      </w:r>
    </w:p>
    <w:p w:rsidR="00064E55" w:rsidRDefault="00064E55" w:rsidP="00064E55">
      <w:pPr>
        <w:ind w:left="2160"/>
        <w:jc w:val="center"/>
        <w:rPr>
          <w:rFonts w:ascii="Times New Roman" w:hAnsi="Times New Roman"/>
          <w:b/>
          <w:sz w:val="20"/>
          <w:szCs w:val="18"/>
        </w:rPr>
      </w:pPr>
      <w:r>
        <w:rPr>
          <w:rFonts w:ascii="Times New Roman" w:hAnsi="Times New Roman"/>
          <w:b/>
          <w:sz w:val="20"/>
          <w:szCs w:val="18"/>
        </w:rPr>
        <w:t>TO FIND OUT MORE</w:t>
      </w:r>
    </w:p>
    <w:p w:rsidR="00064E55" w:rsidRDefault="00064E55" w:rsidP="00064E55">
      <w:pPr>
        <w:pBdr>
          <w:bottom w:val="single" w:sz="6" w:space="1" w:color="auto"/>
        </w:pBdr>
        <w:ind w:left="2160"/>
        <w:jc w:val="center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 xml:space="preserve">If you would like to find out more, or see the impact of the fees based on your own circumstances, the </w:t>
      </w:r>
      <w:r>
        <w:rPr>
          <w:rFonts w:ascii="Times New Roman" w:hAnsi="Times New Roman"/>
          <w:b/>
          <w:sz w:val="20"/>
          <w:szCs w:val="18"/>
        </w:rPr>
        <w:t>Australian Securities and Investments Commission</w:t>
      </w:r>
      <w:r>
        <w:rPr>
          <w:rFonts w:ascii="Times New Roman" w:hAnsi="Times New Roman"/>
          <w:sz w:val="20"/>
          <w:szCs w:val="18"/>
        </w:rPr>
        <w:t xml:space="preserve"> (</w:t>
      </w:r>
      <w:r>
        <w:rPr>
          <w:rFonts w:ascii="Times New Roman" w:hAnsi="Times New Roman"/>
          <w:b/>
          <w:sz w:val="20"/>
          <w:szCs w:val="18"/>
        </w:rPr>
        <w:t>ASIC</w:t>
      </w:r>
      <w:r>
        <w:rPr>
          <w:rFonts w:ascii="Times New Roman" w:hAnsi="Times New Roman"/>
          <w:sz w:val="20"/>
          <w:szCs w:val="18"/>
        </w:rPr>
        <w:t xml:space="preserve">) website </w:t>
      </w:r>
      <w:r w:rsidRPr="00504B13">
        <w:rPr>
          <w:rFonts w:ascii="Times New Roman" w:hAnsi="Times New Roman"/>
          <w:sz w:val="20"/>
          <w:szCs w:val="18"/>
          <w:u w:val="single"/>
        </w:rPr>
        <w:t>(www.moneysmart.gov.au)</w:t>
      </w:r>
      <w:r>
        <w:rPr>
          <w:rFonts w:ascii="Times New Roman" w:hAnsi="Times New Roman"/>
          <w:sz w:val="20"/>
          <w:szCs w:val="18"/>
        </w:rPr>
        <w:t xml:space="preserve"> has a superannuation fee calculator to help you check out different fee options.</w:t>
      </w:r>
    </w:p>
    <w:p w:rsidR="00064E55" w:rsidRDefault="00064E55" w:rsidP="00064E55">
      <w:pPr>
        <w:ind w:left="1593" w:hanging="567"/>
        <w:jc w:val="right"/>
        <w:rPr>
          <w:rFonts w:ascii="Times New Roman" w:hAnsi="Times New Roman"/>
          <w:szCs w:val="18"/>
        </w:rPr>
      </w:pPr>
    </w:p>
    <w:p w:rsidR="00064E55" w:rsidRPr="00B57F23" w:rsidRDefault="00064E55">
      <w:pPr>
        <w:spacing w:before="60" w:line="240" w:lineRule="atLeast"/>
        <w:rPr>
          <w:rFonts w:ascii="Times New Roman" w:hAnsi="Times New Roman"/>
          <w:i/>
          <w:sz w:val="20"/>
          <w:lang w:eastAsia="en-AU"/>
        </w:rPr>
      </w:pPr>
    </w:p>
    <w:p w:rsidR="007F5705" w:rsidRPr="007F5705" w:rsidRDefault="007F5705" w:rsidP="00B57F23">
      <w:pPr>
        <w:pStyle w:val="ListParagraph"/>
        <w:ind w:left="216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(2)</w:t>
      </w:r>
      <w:r w:rsidRPr="007F5705">
        <w:rPr>
          <w:rFonts w:ascii="Times New Roman" w:hAnsi="Times New Roman"/>
          <w:i/>
          <w:szCs w:val="18"/>
        </w:rPr>
        <w:t xml:space="preserve"> Managed investment products</w:t>
      </w:r>
    </w:p>
    <w:p w:rsidR="00D43D9A" w:rsidRDefault="00D43D9A" w:rsidP="00B57F23">
      <w:pPr>
        <w:pStyle w:val="ListParagraph"/>
        <w:pBdr>
          <w:bottom w:val="single" w:sz="6" w:space="1" w:color="auto"/>
        </w:pBdr>
        <w:ind w:left="2160"/>
        <w:rPr>
          <w:rFonts w:ascii="Times New Roman" w:hAnsi="Times New Roman"/>
          <w:szCs w:val="18"/>
        </w:rPr>
      </w:pPr>
    </w:p>
    <w:p w:rsidR="00C30721" w:rsidRPr="00504B13" w:rsidRDefault="00C30721" w:rsidP="00B57F23">
      <w:pPr>
        <w:ind w:left="2160"/>
        <w:jc w:val="center"/>
        <w:rPr>
          <w:rFonts w:ascii="Times New Roman" w:hAnsi="Times New Roman"/>
          <w:b/>
          <w:sz w:val="20"/>
          <w:szCs w:val="18"/>
        </w:rPr>
      </w:pPr>
      <w:r w:rsidRPr="00504B13">
        <w:rPr>
          <w:rFonts w:ascii="Times New Roman" w:hAnsi="Times New Roman"/>
          <w:b/>
          <w:sz w:val="20"/>
          <w:szCs w:val="18"/>
        </w:rPr>
        <w:t>DID YOU KNOW?</w:t>
      </w:r>
    </w:p>
    <w:p w:rsidR="00C30721" w:rsidRDefault="00C30721" w:rsidP="00B57F23">
      <w:pPr>
        <w:ind w:left="2160"/>
        <w:jc w:val="center"/>
        <w:rPr>
          <w:rFonts w:ascii="Times New Roman" w:hAnsi="Times New Roman"/>
          <w:b/>
          <w:sz w:val="20"/>
          <w:szCs w:val="18"/>
        </w:rPr>
      </w:pPr>
      <w:r>
        <w:rPr>
          <w:rFonts w:ascii="Times New Roman" w:hAnsi="Times New Roman"/>
          <w:b/>
          <w:sz w:val="20"/>
          <w:szCs w:val="18"/>
        </w:rPr>
        <w:t>Small differences in both investment performance and fees and costs can have a substantial impact on your long term returns.</w:t>
      </w:r>
    </w:p>
    <w:p w:rsidR="00504B13" w:rsidRDefault="00504B13" w:rsidP="00B57F23">
      <w:pPr>
        <w:ind w:left="2160"/>
        <w:jc w:val="center"/>
        <w:rPr>
          <w:rFonts w:ascii="Times New Roman" w:hAnsi="Times New Roman"/>
          <w:b/>
          <w:sz w:val="20"/>
          <w:szCs w:val="18"/>
        </w:rPr>
      </w:pPr>
      <w:r>
        <w:rPr>
          <w:rFonts w:ascii="Times New Roman" w:hAnsi="Times New Roman"/>
          <w:b/>
          <w:sz w:val="20"/>
          <w:szCs w:val="18"/>
        </w:rPr>
        <w:t>For example, total annual fees and costs of 2% of your account balance rather than 1% could reduce your final return by up to 20% over a 30 year period (for example reduce it from $100 000 to $80 000).</w:t>
      </w:r>
    </w:p>
    <w:p w:rsidR="00504B13" w:rsidRDefault="00504B13" w:rsidP="00B57F23">
      <w:pPr>
        <w:ind w:left="2160"/>
        <w:jc w:val="center"/>
        <w:rPr>
          <w:rFonts w:ascii="Times New Roman" w:hAnsi="Times New Roman"/>
          <w:b/>
          <w:sz w:val="20"/>
          <w:szCs w:val="18"/>
        </w:rPr>
      </w:pPr>
      <w:r>
        <w:rPr>
          <w:rFonts w:ascii="Times New Roman" w:hAnsi="Times New Roman"/>
          <w:b/>
          <w:sz w:val="20"/>
          <w:szCs w:val="18"/>
        </w:rPr>
        <w:t>You should consider whether features such as superior investment performance or the provision of better member services justify higher fees and costs.</w:t>
      </w:r>
    </w:p>
    <w:p w:rsidR="00504B13" w:rsidRDefault="00504B13" w:rsidP="00B57F23">
      <w:pPr>
        <w:ind w:left="2160"/>
        <w:jc w:val="center"/>
        <w:rPr>
          <w:rFonts w:ascii="Times New Roman" w:hAnsi="Times New Roman"/>
          <w:b/>
          <w:sz w:val="20"/>
          <w:szCs w:val="18"/>
        </w:rPr>
      </w:pPr>
      <w:r>
        <w:rPr>
          <w:rFonts w:ascii="Times New Roman" w:hAnsi="Times New Roman"/>
          <w:b/>
          <w:sz w:val="20"/>
          <w:szCs w:val="18"/>
        </w:rPr>
        <w:t>You may be able to negotiate to pay lower contribution fees and management costs where applicable. Ask the fund or your financial adviser.</w:t>
      </w:r>
    </w:p>
    <w:p w:rsidR="00504B13" w:rsidRDefault="00504B13" w:rsidP="00B57F23">
      <w:pPr>
        <w:ind w:left="2160"/>
        <w:jc w:val="center"/>
        <w:rPr>
          <w:rFonts w:ascii="Times New Roman" w:hAnsi="Times New Roman"/>
          <w:b/>
          <w:sz w:val="20"/>
          <w:szCs w:val="18"/>
        </w:rPr>
      </w:pPr>
      <w:r>
        <w:rPr>
          <w:rFonts w:ascii="Times New Roman" w:hAnsi="Times New Roman"/>
          <w:b/>
          <w:sz w:val="20"/>
          <w:szCs w:val="18"/>
        </w:rPr>
        <w:t>TO FIND OUT MORE</w:t>
      </w:r>
    </w:p>
    <w:p w:rsidR="00504B13" w:rsidRDefault="00504B13" w:rsidP="00B57F23">
      <w:pPr>
        <w:pBdr>
          <w:bottom w:val="single" w:sz="6" w:space="1" w:color="auto"/>
        </w:pBdr>
        <w:ind w:left="2160"/>
        <w:jc w:val="center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 xml:space="preserve">If you would like to find out more, or see the impact of the fees based on your own circumstances, the </w:t>
      </w:r>
      <w:r>
        <w:rPr>
          <w:rFonts w:ascii="Times New Roman" w:hAnsi="Times New Roman"/>
          <w:b/>
          <w:sz w:val="20"/>
          <w:szCs w:val="18"/>
        </w:rPr>
        <w:t>Australian Securities and Investments Commission</w:t>
      </w:r>
      <w:r>
        <w:rPr>
          <w:rFonts w:ascii="Times New Roman" w:hAnsi="Times New Roman"/>
          <w:sz w:val="20"/>
          <w:szCs w:val="18"/>
        </w:rPr>
        <w:t xml:space="preserve"> (</w:t>
      </w:r>
      <w:r>
        <w:rPr>
          <w:rFonts w:ascii="Times New Roman" w:hAnsi="Times New Roman"/>
          <w:b/>
          <w:sz w:val="20"/>
          <w:szCs w:val="18"/>
        </w:rPr>
        <w:t>ASIC</w:t>
      </w:r>
      <w:r>
        <w:rPr>
          <w:rFonts w:ascii="Times New Roman" w:hAnsi="Times New Roman"/>
          <w:sz w:val="20"/>
          <w:szCs w:val="18"/>
        </w:rPr>
        <w:t xml:space="preserve">) website </w:t>
      </w:r>
      <w:r w:rsidRPr="00504B13">
        <w:rPr>
          <w:rFonts w:ascii="Times New Roman" w:hAnsi="Times New Roman"/>
          <w:sz w:val="20"/>
          <w:szCs w:val="18"/>
          <w:u w:val="single"/>
        </w:rPr>
        <w:t>(www.moneysmart.gov.au)</w:t>
      </w:r>
      <w:r>
        <w:rPr>
          <w:rFonts w:ascii="Times New Roman" w:hAnsi="Times New Roman"/>
          <w:sz w:val="20"/>
          <w:szCs w:val="18"/>
        </w:rPr>
        <w:t xml:space="preserve"> has a managed </w:t>
      </w:r>
      <w:r w:rsidR="00AD7E66">
        <w:rPr>
          <w:rFonts w:ascii="Times New Roman" w:hAnsi="Times New Roman"/>
          <w:sz w:val="20"/>
          <w:szCs w:val="18"/>
        </w:rPr>
        <w:t xml:space="preserve">funds </w:t>
      </w:r>
      <w:r>
        <w:rPr>
          <w:rFonts w:ascii="Times New Roman" w:hAnsi="Times New Roman"/>
          <w:sz w:val="20"/>
          <w:szCs w:val="18"/>
        </w:rPr>
        <w:t>fee calculator to help you check out different fee options.</w:t>
      </w:r>
    </w:p>
    <w:p w:rsidR="004B1181" w:rsidRDefault="00DD15D0" w:rsidP="00BB063D">
      <w:pPr>
        <w:ind w:left="1593" w:hanging="459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”</w:t>
      </w:r>
      <w:r w:rsidR="00C06446">
        <w:rPr>
          <w:rFonts w:ascii="Times New Roman" w:hAnsi="Times New Roman"/>
          <w:szCs w:val="18"/>
        </w:rPr>
        <w:t>;</w:t>
      </w:r>
    </w:p>
    <w:p w:rsidR="00DD15D0" w:rsidRDefault="00DD15D0" w:rsidP="00D43D9A">
      <w:pPr>
        <w:ind w:left="567" w:hanging="567"/>
        <w:jc w:val="right"/>
        <w:rPr>
          <w:rFonts w:ascii="Times New Roman" w:hAnsi="Times New Roman"/>
          <w:szCs w:val="18"/>
        </w:rPr>
      </w:pPr>
    </w:p>
    <w:p w:rsidR="000566DE" w:rsidRDefault="00DD562E" w:rsidP="00B57F23">
      <w:pPr>
        <w:pStyle w:val="ListParagraph"/>
        <w:numPr>
          <w:ilvl w:val="0"/>
          <w:numId w:val="6"/>
        </w:numPr>
        <w:ind w:left="1134" w:hanging="567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omit c</w:t>
      </w:r>
      <w:r w:rsidR="00627241">
        <w:rPr>
          <w:rFonts w:ascii="Times New Roman" w:hAnsi="Times New Roman"/>
          <w:szCs w:val="18"/>
        </w:rPr>
        <w:t>lause 222</w:t>
      </w:r>
      <w:r>
        <w:rPr>
          <w:rFonts w:ascii="Times New Roman" w:hAnsi="Times New Roman"/>
          <w:szCs w:val="18"/>
        </w:rPr>
        <w:t>,</w:t>
      </w:r>
      <w:r w:rsidR="00627241"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szCs w:val="18"/>
        </w:rPr>
        <w:t>substitute</w:t>
      </w:r>
      <w:r w:rsidR="009405DC">
        <w:rPr>
          <w:rFonts w:ascii="Times New Roman" w:hAnsi="Times New Roman"/>
          <w:szCs w:val="18"/>
        </w:rPr>
        <w:t>:</w:t>
      </w:r>
    </w:p>
    <w:p w:rsidR="00627241" w:rsidRDefault="00627241" w:rsidP="00A60A07">
      <w:pPr>
        <w:ind w:left="567" w:hanging="567"/>
        <w:rPr>
          <w:rFonts w:ascii="Times New Roman" w:hAnsi="Times New Roman"/>
          <w:szCs w:val="18"/>
        </w:rPr>
      </w:pPr>
    </w:p>
    <w:p w:rsidR="00627241" w:rsidRDefault="00D30DB0" w:rsidP="00B57F23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</w:t>
      </w:r>
      <w:r w:rsidR="00627241" w:rsidRPr="00A60A07">
        <w:rPr>
          <w:rFonts w:ascii="Times New Roman" w:hAnsi="Times New Roman"/>
          <w:szCs w:val="24"/>
        </w:rPr>
        <w:t xml:space="preserve">The Consumer Advisory Warning </w:t>
      </w:r>
      <w:r w:rsidR="00CB0C00">
        <w:rPr>
          <w:rFonts w:ascii="Times New Roman" w:hAnsi="Times New Roman"/>
          <w:szCs w:val="24"/>
        </w:rPr>
        <w:t xml:space="preserve">referred to in </w:t>
      </w:r>
      <w:r w:rsidR="00666C39">
        <w:rPr>
          <w:rFonts w:ascii="Times New Roman" w:hAnsi="Times New Roman"/>
          <w:szCs w:val="24"/>
        </w:rPr>
        <w:t>sub</w:t>
      </w:r>
      <w:r w:rsidR="00CB0C00">
        <w:rPr>
          <w:rFonts w:ascii="Times New Roman" w:hAnsi="Times New Roman"/>
          <w:szCs w:val="24"/>
        </w:rPr>
        <w:t xml:space="preserve">clause 221(1) </w:t>
      </w:r>
      <w:r w:rsidR="00627241" w:rsidRPr="00A60A07">
        <w:rPr>
          <w:rFonts w:ascii="Times New Roman" w:hAnsi="Times New Roman"/>
          <w:szCs w:val="24"/>
        </w:rPr>
        <w:t>must be located at the beginning of the fees section of the Product Disclosure Statement</w:t>
      </w:r>
      <w:r w:rsidR="00CB0C00">
        <w:rPr>
          <w:rFonts w:ascii="Times New Roman" w:hAnsi="Times New Roman"/>
          <w:szCs w:val="24"/>
        </w:rPr>
        <w:t xml:space="preserve"> for superannuation products and the Consumer Advisor</w:t>
      </w:r>
      <w:r w:rsidR="001B0869">
        <w:rPr>
          <w:rFonts w:ascii="Times New Roman" w:hAnsi="Times New Roman"/>
          <w:szCs w:val="24"/>
        </w:rPr>
        <w:t>y</w:t>
      </w:r>
      <w:r w:rsidR="00CB0C00">
        <w:rPr>
          <w:rFonts w:ascii="Times New Roman" w:hAnsi="Times New Roman"/>
          <w:szCs w:val="24"/>
        </w:rPr>
        <w:t xml:space="preserve"> Warning referred to in </w:t>
      </w:r>
      <w:r w:rsidR="00666C39">
        <w:rPr>
          <w:rFonts w:ascii="Times New Roman" w:hAnsi="Times New Roman"/>
          <w:szCs w:val="24"/>
        </w:rPr>
        <w:t>sub</w:t>
      </w:r>
      <w:r w:rsidR="00CB0C00">
        <w:rPr>
          <w:rFonts w:ascii="Times New Roman" w:hAnsi="Times New Roman"/>
          <w:szCs w:val="24"/>
        </w:rPr>
        <w:t xml:space="preserve">clause 221(2) must </w:t>
      </w:r>
      <w:r w:rsidR="00CB0C00" w:rsidRPr="00D04B6E">
        <w:rPr>
          <w:rFonts w:ascii="Times New Roman" w:hAnsi="Times New Roman"/>
          <w:szCs w:val="24"/>
        </w:rPr>
        <w:t>be located at the beginning of the fees section of the Product Disclosure Statement</w:t>
      </w:r>
      <w:r w:rsidR="00CB0C00">
        <w:rPr>
          <w:rFonts w:ascii="Times New Roman" w:hAnsi="Times New Roman"/>
          <w:szCs w:val="24"/>
        </w:rPr>
        <w:t xml:space="preserve"> for managed investment product</w:t>
      </w:r>
      <w:r w:rsidR="00AD7E66">
        <w:rPr>
          <w:rFonts w:ascii="Times New Roman" w:hAnsi="Times New Roman"/>
          <w:szCs w:val="24"/>
        </w:rPr>
        <w:t>s</w:t>
      </w:r>
      <w:r w:rsidR="00CB0C00">
        <w:rPr>
          <w:rFonts w:ascii="Times New Roman" w:hAnsi="Times New Roman"/>
          <w:szCs w:val="24"/>
        </w:rPr>
        <w:t xml:space="preserve"> where </w:t>
      </w:r>
      <w:r w:rsidR="00AD7E66">
        <w:rPr>
          <w:rFonts w:ascii="Times New Roman" w:hAnsi="Times New Roman"/>
          <w:szCs w:val="24"/>
        </w:rPr>
        <w:t xml:space="preserve">fees or costs may be deducted from amounts </w:t>
      </w:r>
      <w:r w:rsidR="00CB0C00">
        <w:rPr>
          <w:rFonts w:ascii="Times New Roman" w:hAnsi="Times New Roman"/>
          <w:szCs w:val="24"/>
        </w:rPr>
        <w:t>to be held for members of the managed investment scheme.</w:t>
      </w:r>
      <w:r w:rsidR="0031012C">
        <w:rPr>
          <w:rFonts w:ascii="Times New Roman" w:hAnsi="Times New Roman"/>
          <w:szCs w:val="24"/>
        </w:rPr>
        <w:t>”</w:t>
      </w:r>
      <w:r w:rsidR="00C06446">
        <w:rPr>
          <w:rFonts w:ascii="Times New Roman" w:hAnsi="Times New Roman"/>
          <w:szCs w:val="24"/>
        </w:rPr>
        <w:t>.</w:t>
      </w:r>
    </w:p>
    <w:p w:rsidR="006C241A" w:rsidRDefault="006C241A" w:rsidP="00D57D9F">
      <w:pPr>
        <w:ind w:left="567"/>
        <w:rPr>
          <w:rFonts w:ascii="Times New Roman" w:hAnsi="Times New Roman"/>
          <w:szCs w:val="24"/>
        </w:rPr>
      </w:pPr>
    </w:p>
    <w:p w:rsidR="006C241A" w:rsidRDefault="00007BCA" w:rsidP="00B57F23">
      <w:pPr>
        <w:pStyle w:val="ListParagraph"/>
        <w:ind w:left="567" w:hanging="567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7</w:t>
      </w:r>
      <w:r w:rsidR="00DD562E">
        <w:rPr>
          <w:rFonts w:ascii="Times New Roman" w:hAnsi="Times New Roman"/>
          <w:szCs w:val="18"/>
        </w:rPr>
        <w:t>.</w:t>
      </w:r>
      <w:r w:rsidR="00DD562E">
        <w:rPr>
          <w:rFonts w:ascii="Times New Roman" w:hAnsi="Times New Roman"/>
          <w:szCs w:val="18"/>
        </w:rPr>
        <w:tab/>
        <w:t>In s</w:t>
      </w:r>
      <w:r w:rsidR="006C241A" w:rsidRPr="00E10B10">
        <w:rPr>
          <w:rFonts w:ascii="Times New Roman" w:hAnsi="Times New Roman"/>
          <w:szCs w:val="18"/>
        </w:rPr>
        <w:t xml:space="preserve">ubclause 8(3) of Schedule 10E to the Regulations </w:t>
      </w:r>
      <w:r w:rsidR="00DD562E">
        <w:rPr>
          <w:rFonts w:ascii="Times New Roman" w:hAnsi="Times New Roman"/>
          <w:szCs w:val="18"/>
        </w:rPr>
        <w:t>omit</w:t>
      </w:r>
      <w:r w:rsidR="006C241A" w:rsidRPr="00E10B10">
        <w:rPr>
          <w:rFonts w:ascii="Times New Roman" w:hAnsi="Times New Roman"/>
          <w:szCs w:val="18"/>
        </w:rPr>
        <w:t xml:space="preserve"> </w:t>
      </w:r>
      <w:r w:rsidR="006C241A" w:rsidRPr="000058C5">
        <w:rPr>
          <w:rFonts w:ascii="Times New Roman" w:hAnsi="Times New Roman"/>
          <w:szCs w:val="18"/>
        </w:rPr>
        <w:t>“</w:t>
      </w:r>
      <w:r w:rsidR="006C241A">
        <w:rPr>
          <w:rFonts w:ascii="Times New Roman" w:hAnsi="Times New Roman"/>
          <w:szCs w:val="18"/>
        </w:rPr>
        <w:t>Termination fee</w:t>
      </w:r>
      <w:r w:rsidR="006C241A" w:rsidRPr="000058C5">
        <w:rPr>
          <w:rFonts w:ascii="Times New Roman" w:hAnsi="Times New Roman"/>
          <w:szCs w:val="18"/>
        </w:rPr>
        <w:t>”</w:t>
      </w:r>
      <w:r w:rsidR="00AD1736">
        <w:rPr>
          <w:rFonts w:ascii="Times New Roman" w:hAnsi="Times New Roman"/>
          <w:szCs w:val="18"/>
        </w:rPr>
        <w:t xml:space="preserve">, </w:t>
      </w:r>
      <w:r w:rsidR="00AD1736" w:rsidRPr="000058C5" w:rsidDel="00DD15D0">
        <w:rPr>
          <w:rFonts w:ascii="Times New Roman" w:hAnsi="Times New Roman"/>
          <w:szCs w:val="18"/>
        </w:rPr>
        <w:t>substitute</w:t>
      </w:r>
      <w:r w:rsidR="00DD562E" w:rsidRPr="000058C5">
        <w:rPr>
          <w:rFonts w:ascii="Times New Roman" w:hAnsi="Times New Roman"/>
          <w:szCs w:val="18"/>
        </w:rPr>
        <w:t xml:space="preserve"> </w:t>
      </w:r>
      <w:r w:rsidR="006C241A" w:rsidRPr="000058C5">
        <w:rPr>
          <w:rFonts w:ascii="Times New Roman" w:hAnsi="Times New Roman"/>
          <w:szCs w:val="18"/>
        </w:rPr>
        <w:t>“</w:t>
      </w:r>
      <w:r w:rsidR="006C241A">
        <w:rPr>
          <w:rFonts w:ascii="Times New Roman" w:hAnsi="Times New Roman"/>
          <w:szCs w:val="18"/>
        </w:rPr>
        <w:t>Exit fee</w:t>
      </w:r>
      <w:r w:rsidR="006C241A" w:rsidRPr="000058C5">
        <w:rPr>
          <w:rFonts w:ascii="Times New Roman" w:hAnsi="Times New Roman"/>
          <w:szCs w:val="18"/>
        </w:rPr>
        <w:t>”</w:t>
      </w:r>
      <w:r w:rsidR="006C241A">
        <w:rPr>
          <w:rFonts w:ascii="Times New Roman" w:hAnsi="Times New Roman"/>
          <w:szCs w:val="18"/>
        </w:rPr>
        <w:t>.</w:t>
      </w:r>
    </w:p>
    <w:p w:rsidR="005836C7" w:rsidRDefault="005836C7" w:rsidP="00B57F23">
      <w:pPr>
        <w:pStyle w:val="ListParagraph"/>
        <w:ind w:left="567" w:hanging="567"/>
        <w:rPr>
          <w:rFonts w:ascii="Times New Roman" w:hAnsi="Times New Roman"/>
          <w:szCs w:val="18"/>
        </w:rPr>
      </w:pPr>
    </w:p>
    <w:p w:rsidR="005836C7" w:rsidRDefault="00FF49AD" w:rsidP="009D6C86">
      <w:pPr>
        <w:pStyle w:val="ListParagraph"/>
        <w:keepNext/>
        <w:ind w:left="567" w:hanging="567"/>
        <w:rPr>
          <w:rFonts w:ascii="Times New Roman" w:hAnsi="Times New Roman"/>
          <w:b/>
          <w:szCs w:val="18"/>
        </w:rPr>
      </w:pPr>
      <w:r w:rsidRPr="004803DF">
        <w:rPr>
          <w:rFonts w:ascii="Times New Roman" w:hAnsi="Times New Roman"/>
          <w:b/>
          <w:szCs w:val="18"/>
        </w:rPr>
        <w:t>Transitional</w:t>
      </w:r>
    </w:p>
    <w:p w:rsidR="00FF49AD" w:rsidRDefault="00FF49AD" w:rsidP="009D6C86">
      <w:pPr>
        <w:pStyle w:val="ListParagraph"/>
        <w:keepNext/>
        <w:ind w:left="567" w:hanging="567"/>
        <w:rPr>
          <w:rFonts w:ascii="Times New Roman" w:hAnsi="Times New Roman"/>
          <w:b/>
          <w:szCs w:val="18"/>
        </w:rPr>
      </w:pPr>
    </w:p>
    <w:p w:rsidR="00EA3E8F" w:rsidRDefault="00FF49AD" w:rsidP="00B82944">
      <w:pPr>
        <w:pStyle w:val="ListParagraph"/>
        <w:ind w:left="567" w:hanging="567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8.</w:t>
      </w:r>
      <w:r w:rsidR="00B82944">
        <w:rPr>
          <w:rFonts w:ascii="Times New Roman" w:hAnsi="Times New Roman"/>
          <w:szCs w:val="18"/>
        </w:rPr>
        <w:tab/>
      </w:r>
      <w:r>
        <w:rPr>
          <w:rFonts w:ascii="Times New Roman" w:hAnsi="Times New Roman"/>
          <w:szCs w:val="18"/>
        </w:rPr>
        <w:t xml:space="preserve">Paragraphs 4 to </w:t>
      </w:r>
      <w:r w:rsidR="000260B1">
        <w:rPr>
          <w:rFonts w:ascii="Times New Roman" w:hAnsi="Times New Roman"/>
          <w:szCs w:val="18"/>
        </w:rPr>
        <w:t>7</w:t>
      </w:r>
      <w:r w:rsidR="00ED32DF">
        <w:rPr>
          <w:rFonts w:ascii="Times New Roman" w:hAnsi="Times New Roman"/>
          <w:szCs w:val="18"/>
        </w:rPr>
        <w:t xml:space="preserve"> </w:t>
      </w:r>
      <w:r w:rsidR="000260B1">
        <w:rPr>
          <w:rFonts w:ascii="Times New Roman" w:hAnsi="Times New Roman"/>
          <w:szCs w:val="18"/>
        </w:rPr>
        <w:t xml:space="preserve">apply </w:t>
      </w:r>
      <w:r w:rsidR="00B82944">
        <w:rPr>
          <w:rFonts w:ascii="Times New Roman" w:hAnsi="Times New Roman"/>
          <w:szCs w:val="18"/>
        </w:rPr>
        <w:t>in relation to a Product Disclosure Statement</w:t>
      </w:r>
      <w:r w:rsidR="00EA3E8F">
        <w:rPr>
          <w:rFonts w:ascii="Times New Roman" w:hAnsi="Times New Roman"/>
          <w:szCs w:val="18"/>
        </w:rPr>
        <w:t>:</w:t>
      </w:r>
    </w:p>
    <w:p w:rsidR="00EA3E8F" w:rsidRDefault="00EA3E8F" w:rsidP="00B82944">
      <w:pPr>
        <w:pStyle w:val="ListParagraph"/>
        <w:ind w:left="567" w:hanging="567"/>
        <w:rPr>
          <w:rFonts w:ascii="Times New Roman" w:hAnsi="Times New Roman"/>
          <w:szCs w:val="18"/>
        </w:rPr>
      </w:pPr>
    </w:p>
    <w:p w:rsidR="00EA3E8F" w:rsidRDefault="00EA3E8F" w:rsidP="00BB063D">
      <w:pPr>
        <w:pStyle w:val="ListParagraph"/>
        <w:numPr>
          <w:ilvl w:val="0"/>
          <w:numId w:val="33"/>
        </w:numPr>
        <w:ind w:left="1134" w:hanging="567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from 1 January 2016 (regardless of when it was first given); or</w:t>
      </w:r>
    </w:p>
    <w:p w:rsidR="00BB063D" w:rsidRDefault="00BB063D" w:rsidP="00BB063D">
      <w:pPr>
        <w:pStyle w:val="ListParagraph"/>
        <w:ind w:left="1134"/>
        <w:rPr>
          <w:rFonts w:ascii="Times New Roman" w:hAnsi="Times New Roman"/>
          <w:szCs w:val="18"/>
        </w:rPr>
      </w:pPr>
    </w:p>
    <w:p w:rsidR="00FF49AD" w:rsidRDefault="00EA3E8F" w:rsidP="00BB063D">
      <w:pPr>
        <w:pStyle w:val="ListParagraph"/>
        <w:numPr>
          <w:ilvl w:val="0"/>
          <w:numId w:val="33"/>
        </w:numPr>
        <w:ind w:left="1134" w:hanging="567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lastRenderedPageBreak/>
        <w:t xml:space="preserve">if </w:t>
      </w:r>
      <w:r w:rsidR="000260B1">
        <w:rPr>
          <w:rFonts w:ascii="Times New Roman" w:hAnsi="Times New Roman"/>
          <w:szCs w:val="18"/>
        </w:rPr>
        <w:t>the Statement</w:t>
      </w:r>
      <w:r w:rsidR="00B82944">
        <w:rPr>
          <w:rFonts w:ascii="Times New Roman" w:hAnsi="Times New Roman"/>
          <w:szCs w:val="18"/>
        </w:rPr>
        <w:t xml:space="preserve"> states that this instrument applies</w:t>
      </w:r>
      <w:r w:rsidR="009C41E2">
        <w:rPr>
          <w:rFonts w:ascii="Times New Roman" w:hAnsi="Times New Roman"/>
          <w:szCs w:val="18"/>
        </w:rPr>
        <w:t xml:space="preserve"> to it</w:t>
      </w:r>
      <w:r w:rsidR="00B82944">
        <w:rPr>
          <w:rFonts w:ascii="Times New Roman" w:hAnsi="Times New Roman"/>
          <w:szCs w:val="18"/>
        </w:rPr>
        <w:t>.</w:t>
      </w:r>
    </w:p>
    <w:p w:rsidR="009C41E2" w:rsidRDefault="009C41E2" w:rsidP="00B82944">
      <w:pPr>
        <w:pStyle w:val="ListParagraph"/>
        <w:ind w:left="567" w:hanging="567"/>
        <w:rPr>
          <w:rFonts w:ascii="Times New Roman" w:hAnsi="Times New Roman"/>
          <w:szCs w:val="18"/>
        </w:rPr>
      </w:pPr>
    </w:p>
    <w:p w:rsidR="00EA3E8F" w:rsidRDefault="00B82944" w:rsidP="00B82944">
      <w:pPr>
        <w:pStyle w:val="ListParagraph"/>
        <w:ind w:left="567" w:hanging="567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9.</w:t>
      </w:r>
      <w:r>
        <w:rPr>
          <w:rFonts w:ascii="Times New Roman" w:hAnsi="Times New Roman"/>
          <w:szCs w:val="18"/>
        </w:rPr>
        <w:tab/>
        <w:t xml:space="preserve">Paragraphs 4 to </w:t>
      </w:r>
      <w:r w:rsidR="000260B1">
        <w:rPr>
          <w:rFonts w:ascii="Times New Roman" w:hAnsi="Times New Roman"/>
          <w:szCs w:val="18"/>
        </w:rPr>
        <w:t>7</w:t>
      </w:r>
      <w:r w:rsidR="00ED32DF">
        <w:rPr>
          <w:rFonts w:ascii="Times New Roman" w:hAnsi="Times New Roman"/>
          <w:szCs w:val="18"/>
        </w:rPr>
        <w:t xml:space="preserve"> </w:t>
      </w:r>
      <w:r w:rsidR="009D6C86">
        <w:rPr>
          <w:rFonts w:ascii="Times New Roman" w:hAnsi="Times New Roman"/>
          <w:szCs w:val="18"/>
        </w:rPr>
        <w:t xml:space="preserve">apply </w:t>
      </w:r>
      <w:r w:rsidR="00ED32DF">
        <w:rPr>
          <w:rFonts w:ascii="Times New Roman" w:hAnsi="Times New Roman"/>
          <w:szCs w:val="18"/>
        </w:rPr>
        <w:t xml:space="preserve">in relation to a periodic statement that is required to be given </w:t>
      </w:r>
      <w:r w:rsidR="0054332F">
        <w:rPr>
          <w:rFonts w:ascii="Times New Roman" w:hAnsi="Times New Roman"/>
          <w:szCs w:val="18"/>
        </w:rPr>
        <w:t>in accordance with section 1017D of the Act</w:t>
      </w:r>
      <w:r w:rsidR="00EA3E8F">
        <w:rPr>
          <w:rFonts w:ascii="Times New Roman" w:hAnsi="Times New Roman"/>
          <w:szCs w:val="18"/>
        </w:rPr>
        <w:t>:</w:t>
      </w:r>
    </w:p>
    <w:p w:rsidR="00EA3E8F" w:rsidRDefault="00EA3E8F" w:rsidP="00B82944">
      <w:pPr>
        <w:pStyle w:val="ListParagraph"/>
        <w:ind w:left="567" w:hanging="567"/>
        <w:rPr>
          <w:rFonts w:ascii="Times New Roman" w:hAnsi="Times New Roman"/>
          <w:szCs w:val="18"/>
        </w:rPr>
      </w:pPr>
    </w:p>
    <w:p w:rsidR="00EA3E8F" w:rsidRDefault="0054332F" w:rsidP="00BB063D">
      <w:pPr>
        <w:pStyle w:val="ListParagraph"/>
        <w:numPr>
          <w:ilvl w:val="0"/>
          <w:numId w:val="34"/>
        </w:numPr>
        <w:ind w:left="1134" w:hanging="567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if the outer limit for giving the statement is </w:t>
      </w:r>
      <w:r w:rsidR="00D77534">
        <w:rPr>
          <w:rFonts w:ascii="Times New Roman" w:hAnsi="Times New Roman"/>
          <w:szCs w:val="18"/>
        </w:rPr>
        <w:t xml:space="preserve">on or </w:t>
      </w:r>
      <w:r w:rsidR="00EA3E8F">
        <w:rPr>
          <w:rFonts w:ascii="Times New Roman" w:hAnsi="Times New Roman"/>
          <w:szCs w:val="18"/>
        </w:rPr>
        <w:t>after 1 January 2017; or</w:t>
      </w:r>
    </w:p>
    <w:p w:rsidR="00BB063D" w:rsidRDefault="00BB063D" w:rsidP="00BB063D">
      <w:pPr>
        <w:pStyle w:val="ListParagraph"/>
        <w:ind w:left="1134"/>
        <w:rPr>
          <w:rFonts w:ascii="Times New Roman" w:hAnsi="Times New Roman"/>
          <w:szCs w:val="18"/>
        </w:rPr>
      </w:pPr>
    </w:p>
    <w:p w:rsidR="00B82944" w:rsidRDefault="00EA3E8F" w:rsidP="00BB063D">
      <w:pPr>
        <w:pStyle w:val="ListParagraph"/>
        <w:numPr>
          <w:ilvl w:val="0"/>
          <w:numId w:val="34"/>
        </w:numPr>
        <w:ind w:left="1134" w:hanging="567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if</w:t>
      </w:r>
      <w:r w:rsidR="00505258">
        <w:rPr>
          <w:rFonts w:ascii="Times New Roman" w:hAnsi="Times New Roman"/>
          <w:szCs w:val="18"/>
        </w:rPr>
        <w:t xml:space="preserve"> the periodic statement states that this instrument applies to it</w:t>
      </w:r>
      <w:r w:rsidR="00D77534">
        <w:rPr>
          <w:rFonts w:ascii="Times New Roman" w:hAnsi="Times New Roman"/>
          <w:szCs w:val="18"/>
        </w:rPr>
        <w:t>.</w:t>
      </w:r>
    </w:p>
    <w:p w:rsidR="00ED32DF" w:rsidRDefault="00ED32DF" w:rsidP="00B82944">
      <w:pPr>
        <w:pStyle w:val="ListParagraph"/>
        <w:ind w:left="567" w:hanging="567"/>
        <w:rPr>
          <w:rFonts w:ascii="Times New Roman" w:hAnsi="Times New Roman"/>
          <w:szCs w:val="18"/>
        </w:rPr>
      </w:pPr>
    </w:p>
    <w:p w:rsidR="00D77534" w:rsidRPr="00D77534" w:rsidRDefault="00D77534" w:rsidP="00D77534">
      <w:pPr>
        <w:ind w:left="1440" w:right="144" w:hanging="873"/>
        <w:rPr>
          <w:rFonts w:ascii="Times New Roman" w:hAnsi="Times New Roman"/>
          <w:sz w:val="18"/>
          <w:szCs w:val="18"/>
          <w:lang w:val="en-US"/>
        </w:rPr>
      </w:pPr>
      <w:r w:rsidRPr="00D77534">
        <w:rPr>
          <w:rFonts w:ascii="Times New Roman" w:hAnsi="Times New Roman"/>
          <w:sz w:val="18"/>
          <w:szCs w:val="18"/>
          <w:lang w:val="en-US"/>
        </w:rPr>
        <w:t>Note:</w:t>
      </w:r>
      <w:r w:rsidRPr="00D77534">
        <w:rPr>
          <w:rFonts w:ascii="Times New Roman" w:hAnsi="Times New Roman"/>
          <w:sz w:val="18"/>
          <w:szCs w:val="18"/>
          <w:lang w:val="en-US"/>
        </w:rPr>
        <w:tab/>
      </w:r>
      <w:r w:rsidR="0054332F">
        <w:rPr>
          <w:rFonts w:ascii="Times New Roman" w:hAnsi="Times New Roman"/>
          <w:sz w:val="18"/>
          <w:szCs w:val="18"/>
          <w:lang w:val="en-US"/>
        </w:rPr>
        <w:t xml:space="preserve">The </w:t>
      </w:r>
      <w:r w:rsidR="000E5755">
        <w:rPr>
          <w:rFonts w:ascii="Times New Roman" w:hAnsi="Times New Roman"/>
          <w:sz w:val="18"/>
          <w:szCs w:val="18"/>
          <w:lang w:val="en-US"/>
        </w:rPr>
        <w:t>timing for the giving of certain</w:t>
      </w:r>
      <w:r w:rsidR="0054332F">
        <w:rPr>
          <w:rFonts w:ascii="Times New Roman" w:hAnsi="Times New Roman"/>
          <w:sz w:val="18"/>
          <w:szCs w:val="18"/>
          <w:lang w:val="en-US"/>
        </w:rPr>
        <w:t xml:space="preserve"> periodic statements for superannuation products is affected by </w:t>
      </w:r>
      <w:r w:rsidR="000E5755">
        <w:rPr>
          <w:rFonts w:ascii="Times New Roman" w:hAnsi="Times New Roman"/>
          <w:sz w:val="18"/>
          <w:szCs w:val="18"/>
          <w:lang w:val="en-US"/>
        </w:rPr>
        <w:t xml:space="preserve">Subdivision 5.12 of Part 7.9 of, and Part 11 of Schedule 10A to </w:t>
      </w:r>
      <w:r w:rsidR="0054332F">
        <w:rPr>
          <w:rFonts w:ascii="Times New Roman" w:hAnsi="Times New Roman"/>
          <w:sz w:val="18"/>
          <w:szCs w:val="18"/>
          <w:lang w:val="en-US"/>
        </w:rPr>
        <w:t>the Regulations</w:t>
      </w:r>
      <w:r w:rsidRPr="00D77534">
        <w:rPr>
          <w:rFonts w:ascii="Times New Roman" w:hAnsi="Times New Roman"/>
          <w:sz w:val="18"/>
          <w:szCs w:val="18"/>
          <w:lang w:val="en-US"/>
        </w:rPr>
        <w:t>.</w:t>
      </w:r>
    </w:p>
    <w:p w:rsidR="000260B1" w:rsidRDefault="000260B1" w:rsidP="00B82944">
      <w:pPr>
        <w:pStyle w:val="ListParagraph"/>
        <w:ind w:left="567" w:hanging="567"/>
        <w:rPr>
          <w:rFonts w:ascii="Times New Roman" w:hAnsi="Times New Roman"/>
          <w:szCs w:val="18"/>
        </w:rPr>
      </w:pPr>
    </w:p>
    <w:p w:rsidR="00D43D9A" w:rsidRDefault="00D43D9A" w:rsidP="00D43D9A">
      <w:pPr>
        <w:ind w:left="567" w:hanging="567"/>
        <w:jc w:val="right"/>
        <w:rPr>
          <w:rFonts w:ascii="Times New Roman" w:hAnsi="Times New Roman"/>
          <w:szCs w:val="18"/>
        </w:rPr>
      </w:pPr>
    </w:p>
    <w:p w:rsidR="009C14DC" w:rsidRPr="006F2EAE" w:rsidRDefault="00D43D9A" w:rsidP="009C14DC">
      <w:pPr>
        <w:ind w:left="720" w:hanging="72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D</w:t>
      </w:r>
      <w:r w:rsidR="009C14DC" w:rsidRPr="006F2EAE">
        <w:rPr>
          <w:rFonts w:ascii="Times New Roman" w:hAnsi="Times New Roman"/>
          <w:szCs w:val="18"/>
        </w:rPr>
        <w:t xml:space="preserve">ated </w:t>
      </w:r>
      <w:r w:rsidR="009C14DC" w:rsidRPr="00921CA6">
        <w:rPr>
          <w:rFonts w:ascii="Times New Roman" w:hAnsi="Times New Roman"/>
          <w:szCs w:val="18"/>
        </w:rPr>
        <w:t xml:space="preserve">this </w:t>
      </w:r>
      <w:r w:rsidR="00B1488D">
        <w:rPr>
          <w:rFonts w:ascii="Times New Roman" w:hAnsi="Times New Roman"/>
          <w:szCs w:val="18"/>
        </w:rPr>
        <w:t>8</w:t>
      </w:r>
      <w:r w:rsidR="0009616E" w:rsidRPr="00921CA6">
        <w:rPr>
          <w:rFonts w:ascii="Times New Roman" w:hAnsi="Times New Roman"/>
          <w:szCs w:val="18"/>
          <w:vertAlign w:val="superscript"/>
        </w:rPr>
        <w:t>th</w:t>
      </w:r>
      <w:r w:rsidR="0009616E" w:rsidRPr="00921CA6">
        <w:rPr>
          <w:rFonts w:ascii="Times New Roman" w:hAnsi="Times New Roman"/>
          <w:szCs w:val="18"/>
        </w:rPr>
        <w:t xml:space="preserve"> </w:t>
      </w:r>
      <w:r w:rsidR="009C14DC" w:rsidRPr="00921CA6">
        <w:rPr>
          <w:rFonts w:ascii="Times New Roman" w:hAnsi="Times New Roman"/>
          <w:szCs w:val="18"/>
        </w:rPr>
        <w:t>day of</w:t>
      </w:r>
      <w:r w:rsidR="00B1488D">
        <w:rPr>
          <w:rFonts w:ascii="Times New Roman" w:hAnsi="Times New Roman"/>
          <w:szCs w:val="18"/>
        </w:rPr>
        <w:t xml:space="preserve"> December</w:t>
      </w:r>
      <w:r w:rsidR="00711ED8" w:rsidRPr="00921CA6">
        <w:rPr>
          <w:rFonts w:ascii="Times New Roman" w:hAnsi="Times New Roman"/>
          <w:szCs w:val="18"/>
        </w:rPr>
        <w:t xml:space="preserve"> </w:t>
      </w:r>
      <w:r w:rsidR="009C14DC" w:rsidRPr="00921CA6">
        <w:rPr>
          <w:rFonts w:ascii="Times New Roman" w:hAnsi="Times New Roman"/>
          <w:szCs w:val="18"/>
        </w:rPr>
        <w:t>201</w:t>
      </w:r>
      <w:r w:rsidR="009F4FC1" w:rsidRPr="00921CA6">
        <w:rPr>
          <w:rFonts w:ascii="Times New Roman" w:hAnsi="Times New Roman"/>
          <w:szCs w:val="18"/>
        </w:rPr>
        <w:t>4</w:t>
      </w:r>
    </w:p>
    <w:p w:rsidR="009C14DC" w:rsidRDefault="009C14DC" w:rsidP="009C14DC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imes New Roman" w:hAnsi="Times New Roman"/>
        </w:rPr>
      </w:pPr>
    </w:p>
    <w:p w:rsidR="00703C84" w:rsidRDefault="00703C84" w:rsidP="009C14DC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imes New Roman" w:hAnsi="Times New Roman"/>
        </w:rPr>
      </w:pPr>
    </w:p>
    <w:p w:rsidR="0009616E" w:rsidRDefault="0009616E" w:rsidP="009C14DC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imes New Roman" w:hAnsi="Times New Roman"/>
        </w:rPr>
      </w:pPr>
    </w:p>
    <w:p w:rsidR="009C14DC" w:rsidRDefault="009C14DC" w:rsidP="009C14DC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imes New Roman" w:hAnsi="Times New Roman"/>
        </w:rPr>
      </w:pPr>
    </w:p>
    <w:p w:rsidR="009C14DC" w:rsidRPr="006F2EAE" w:rsidRDefault="009C14DC" w:rsidP="009C14DC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imes New Roman" w:hAnsi="Times New Roman"/>
        </w:rPr>
      </w:pPr>
      <w:r w:rsidRPr="006F2EAE">
        <w:rPr>
          <w:rFonts w:ascii="Times New Roman" w:hAnsi="Times New Roman"/>
        </w:rPr>
        <w:t xml:space="preserve">Signed by </w:t>
      </w:r>
      <w:r w:rsidR="00B1488D">
        <w:rPr>
          <w:rFonts w:ascii="Times New Roman" w:hAnsi="Times New Roman"/>
        </w:rPr>
        <w:t>Stephen Yen</w:t>
      </w:r>
      <w:r w:rsidR="009D6C86">
        <w:rPr>
          <w:rFonts w:ascii="Times New Roman" w:hAnsi="Times New Roman"/>
        </w:rPr>
        <w:t xml:space="preserve"> PSM</w:t>
      </w:r>
    </w:p>
    <w:p w:rsidR="009C14DC" w:rsidRPr="006F2EAE" w:rsidRDefault="009C14DC" w:rsidP="009C14DC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imes New Roman" w:hAnsi="Times New Roman"/>
        </w:rPr>
      </w:pPr>
      <w:r w:rsidRPr="006F2EAE">
        <w:rPr>
          <w:rFonts w:ascii="Times New Roman" w:hAnsi="Times New Roman"/>
        </w:rPr>
        <w:t>as a delegate of the Australian Securities and Investments Commission</w:t>
      </w:r>
    </w:p>
    <w:p w:rsidR="009C14DC" w:rsidRDefault="009C14DC"/>
    <w:sectPr w:rsidR="009C14DC" w:rsidSect="00631A73">
      <w:headerReference w:type="default" r:id="rId10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8C3" w:rsidRDefault="007E48C3" w:rsidP="00631A73">
      <w:r>
        <w:separator/>
      </w:r>
    </w:p>
  </w:endnote>
  <w:endnote w:type="continuationSeparator" w:id="0">
    <w:p w:rsidR="007E48C3" w:rsidRDefault="007E48C3" w:rsidP="0063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8C3" w:rsidRDefault="007E48C3" w:rsidP="00631A73">
      <w:r>
        <w:separator/>
      </w:r>
    </w:p>
  </w:footnote>
  <w:footnote w:type="continuationSeparator" w:id="0">
    <w:p w:rsidR="007E48C3" w:rsidRDefault="007E48C3" w:rsidP="00631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BCC" w:rsidRDefault="00E26802">
    <w:pPr>
      <w:pStyle w:val="Header"/>
      <w:jc w:val="center"/>
    </w:pPr>
    <w:sdt>
      <w:sdtPr>
        <w:id w:val="514889844"/>
        <w:docPartObj>
          <w:docPartGallery w:val="Page Numbers (Top of Page)"/>
          <w:docPartUnique/>
        </w:docPartObj>
      </w:sdtPr>
      <w:sdtEndPr/>
      <w:sdtContent>
        <w:r w:rsidR="00E069F4">
          <w:fldChar w:fldCharType="begin"/>
        </w:r>
        <w:r w:rsidR="00E069F4">
          <w:instrText xml:space="preserve"> PAGE   \* MERGEFORMAT </w:instrText>
        </w:r>
        <w:r w:rsidR="00E069F4">
          <w:fldChar w:fldCharType="separate"/>
        </w:r>
        <w:r>
          <w:rPr>
            <w:noProof/>
          </w:rPr>
          <w:t>7</w:t>
        </w:r>
        <w:r w:rsidR="00E069F4">
          <w:rPr>
            <w:noProof/>
          </w:rPr>
          <w:fldChar w:fldCharType="end"/>
        </w:r>
      </w:sdtContent>
    </w:sdt>
  </w:p>
  <w:p w:rsidR="00180BCC" w:rsidRDefault="00180B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92B"/>
    <w:multiLevelType w:val="hybridMultilevel"/>
    <w:tmpl w:val="30021B92"/>
    <w:lvl w:ilvl="0" w:tplc="496C1A96">
      <w:start w:val="1"/>
      <w:numFmt w:val="lowerRoman"/>
      <w:lvlText w:val="(%1)"/>
      <w:lvlJc w:val="left"/>
      <w:pPr>
        <w:ind w:left="615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871" w:hanging="360"/>
      </w:pPr>
    </w:lvl>
    <w:lvl w:ilvl="2" w:tplc="0C09001B" w:tentative="1">
      <w:start w:val="1"/>
      <w:numFmt w:val="lowerRoman"/>
      <w:lvlText w:val="%3."/>
      <w:lvlJc w:val="right"/>
      <w:pPr>
        <w:ind w:left="7591" w:hanging="180"/>
      </w:pPr>
    </w:lvl>
    <w:lvl w:ilvl="3" w:tplc="0C09000F" w:tentative="1">
      <w:start w:val="1"/>
      <w:numFmt w:val="decimal"/>
      <w:lvlText w:val="%4."/>
      <w:lvlJc w:val="left"/>
      <w:pPr>
        <w:ind w:left="8311" w:hanging="360"/>
      </w:pPr>
    </w:lvl>
    <w:lvl w:ilvl="4" w:tplc="0C090019" w:tentative="1">
      <w:start w:val="1"/>
      <w:numFmt w:val="lowerLetter"/>
      <w:lvlText w:val="%5."/>
      <w:lvlJc w:val="left"/>
      <w:pPr>
        <w:ind w:left="9031" w:hanging="360"/>
      </w:pPr>
    </w:lvl>
    <w:lvl w:ilvl="5" w:tplc="0C09001B" w:tentative="1">
      <w:start w:val="1"/>
      <w:numFmt w:val="lowerRoman"/>
      <w:lvlText w:val="%6."/>
      <w:lvlJc w:val="right"/>
      <w:pPr>
        <w:ind w:left="9751" w:hanging="180"/>
      </w:pPr>
    </w:lvl>
    <w:lvl w:ilvl="6" w:tplc="0C09000F" w:tentative="1">
      <w:start w:val="1"/>
      <w:numFmt w:val="decimal"/>
      <w:lvlText w:val="%7."/>
      <w:lvlJc w:val="left"/>
      <w:pPr>
        <w:ind w:left="10471" w:hanging="360"/>
      </w:pPr>
    </w:lvl>
    <w:lvl w:ilvl="7" w:tplc="0C090019" w:tentative="1">
      <w:start w:val="1"/>
      <w:numFmt w:val="lowerLetter"/>
      <w:lvlText w:val="%8."/>
      <w:lvlJc w:val="left"/>
      <w:pPr>
        <w:ind w:left="11191" w:hanging="360"/>
      </w:pPr>
    </w:lvl>
    <w:lvl w:ilvl="8" w:tplc="0C09001B" w:tentative="1">
      <w:start w:val="1"/>
      <w:numFmt w:val="lowerRoman"/>
      <w:lvlText w:val="%9."/>
      <w:lvlJc w:val="right"/>
      <w:pPr>
        <w:ind w:left="11911" w:hanging="180"/>
      </w:pPr>
    </w:lvl>
  </w:abstractNum>
  <w:abstractNum w:abstractNumId="1">
    <w:nsid w:val="04084F70"/>
    <w:multiLevelType w:val="hybridMultilevel"/>
    <w:tmpl w:val="9FDC514A"/>
    <w:lvl w:ilvl="0" w:tplc="8ABA9E28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5C20823"/>
    <w:multiLevelType w:val="hybridMultilevel"/>
    <w:tmpl w:val="AC085208"/>
    <w:lvl w:ilvl="0" w:tplc="FA4A9D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5041D"/>
    <w:multiLevelType w:val="hybridMultilevel"/>
    <w:tmpl w:val="745E9370"/>
    <w:lvl w:ilvl="0" w:tplc="784A5202">
      <w:start w:val="1"/>
      <w:numFmt w:val="lowerLetter"/>
      <w:lvlText w:val="(%1)"/>
      <w:lvlJc w:val="left"/>
      <w:pPr>
        <w:ind w:left="65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317" w:hanging="360"/>
      </w:pPr>
    </w:lvl>
    <w:lvl w:ilvl="2" w:tplc="0C09001B" w:tentative="1">
      <w:start w:val="1"/>
      <w:numFmt w:val="lowerRoman"/>
      <w:lvlText w:val="%3."/>
      <w:lvlJc w:val="right"/>
      <w:pPr>
        <w:ind w:left="8037" w:hanging="180"/>
      </w:pPr>
    </w:lvl>
    <w:lvl w:ilvl="3" w:tplc="0C09000F" w:tentative="1">
      <w:start w:val="1"/>
      <w:numFmt w:val="decimal"/>
      <w:lvlText w:val="%4."/>
      <w:lvlJc w:val="left"/>
      <w:pPr>
        <w:ind w:left="8757" w:hanging="360"/>
      </w:pPr>
    </w:lvl>
    <w:lvl w:ilvl="4" w:tplc="0C090019" w:tentative="1">
      <w:start w:val="1"/>
      <w:numFmt w:val="lowerLetter"/>
      <w:lvlText w:val="%5."/>
      <w:lvlJc w:val="left"/>
      <w:pPr>
        <w:ind w:left="9477" w:hanging="360"/>
      </w:pPr>
    </w:lvl>
    <w:lvl w:ilvl="5" w:tplc="0C09001B" w:tentative="1">
      <w:start w:val="1"/>
      <w:numFmt w:val="lowerRoman"/>
      <w:lvlText w:val="%6."/>
      <w:lvlJc w:val="right"/>
      <w:pPr>
        <w:ind w:left="10197" w:hanging="180"/>
      </w:pPr>
    </w:lvl>
    <w:lvl w:ilvl="6" w:tplc="0C09000F" w:tentative="1">
      <w:start w:val="1"/>
      <w:numFmt w:val="decimal"/>
      <w:lvlText w:val="%7."/>
      <w:lvlJc w:val="left"/>
      <w:pPr>
        <w:ind w:left="10917" w:hanging="360"/>
      </w:pPr>
    </w:lvl>
    <w:lvl w:ilvl="7" w:tplc="0C090019" w:tentative="1">
      <w:start w:val="1"/>
      <w:numFmt w:val="lowerLetter"/>
      <w:lvlText w:val="%8."/>
      <w:lvlJc w:val="left"/>
      <w:pPr>
        <w:ind w:left="11637" w:hanging="360"/>
      </w:pPr>
    </w:lvl>
    <w:lvl w:ilvl="8" w:tplc="0C0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4">
    <w:nsid w:val="0C2F14F0"/>
    <w:multiLevelType w:val="hybridMultilevel"/>
    <w:tmpl w:val="7ED667C2"/>
    <w:lvl w:ilvl="0" w:tplc="496C1A96">
      <w:start w:val="1"/>
      <w:numFmt w:val="lowerRoman"/>
      <w:lvlText w:val="(%1)"/>
      <w:lvlJc w:val="left"/>
      <w:pPr>
        <w:ind w:left="380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167" w:hanging="360"/>
      </w:pPr>
    </w:lvl>
    <w:lvl w:ilvl="2" w:tplc="0C09001B" w:tentative="1">
      <w:start w:val="1"/>
      <w:numFmt w:val="lowerRoman"/>
      <w:lvlText w:val="%3."/>
      <w:lvlJc w:val="right"/>
      <w:pPr>
        <w:ind w:left="4887" w:hanging="180"/>
      </w:pPr>
    </w:lvl>
    <w:lvl w:ilvl="3" w:tplc="0C09000F" w:tentative="1">
      <w:start w:val="1"/>
      <w:numFmt w:val="decimal"/>
      <w:lvlText w:val="%4."/>
      <w:lvlJc w:val="left"/>
      <w:pPr>
        <w:ind w:left="5607" w:hanging="360"/>
      </w:pPr>
    </w:lvl>
    <w:lvl w:ilvl="4" w:tplc="0C090019" w:tentative="1">
      <w:start w:val="1"/>
      <w:numFmt w:val="lowerLetter"/>
      <w:lvlText w:val="%5."/>
      <w:lvlJc w:val="left"/>
      <w:pPr>
        <w:ind w:left="6327" w:hanging="360"/>
      </w:pPr>
    </w:lvl>
    <w:lvl w:ilvl="5" w:tplc="0C09001B" w:tentative="1">
      <w:start w:val="1"/>
      <w:numFmt w:val="lowerRoman"/>
      <w:lvlText w:val="%6."/>
      <w:lvlJc w:val="right"/>
      <w:pPr>
        <w:ind w:left="7047" w:hanging="180"/>
      </w:pPr>
    </w:lvl>
    <w:lvl w:ilvl="6" w:tplc="0C09000F" w:tentative="1">
      <w:start w:val="1"/>
      <w:numFmt w:val="decimal"/>
      <w:lvlText w:val="%7."/>
      <w:lvlJc w:val="left"/>
      <w:pPr>
        <w:ind w:left="7767" w:hanging="360"/>
      </w:pPr>
    </w:lvl>
    <w:lvl w:ilvl="7" w:tplc="0C090019" w:tentative="1">
      <w:start w:val="1"/>
      <w:numFmt w:val="lowerLetter"/>
      <w:lvlText w:val="%8."/>
      <w:lvlJc w:val="left"/>
      <w:pPr>
        <w:ind w:left="8487" w:hanging="360"/>
      </w:pPr>
    </w:lvl>
    <w:lvl w:ilvl="8" w:tplc="0C0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5">
    <w:nsid w:val="0DC910CA"/>
    <w:multiLevelType w:val="hybridMultilevel"/>
    <w:tmpl w:val="1396BE34"/>
    <w:lvl w:ilvl="0" w:tplc="56D0EF68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0F8805AB"/>
    <w:multiLevelType w:val="hybridMultilevel"/>
    <w:tmpl w:val="A86017DA"/>
    <w:lvl w:ilvl="0" w:tplc="2880245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496C1A96">
      <w:start w:val="1"/>
      <w:numFmt w:val="lowerRoman"/>
      <w:lvlText w:val="(%2)"/>
      <w:lvlJc w:val="left"/>
      <w:pPr>
        <w:ind w:left="1647" w:hanging="360"/>
      </w:pPr>
      <w:rPr>
        <w:rFonts w:hint="default"/>
      </w:rPr>
    </w:lvl>
    <w:lvl w:ilvl="2" w:tplc="5EF0B502">
      <w:start w:val="1"/>
      <w:numFmt w:val="lowerRoman"/>
      <w:lvlText w:val="(%3)"/>
      <w:lvlJc w:val="left"/>
      <w:pPr>
        <w:ind w:left="2907" w:hanging="720"/>
      </w:pPr>
      <w:rPr>
        <w:rFonts w:hint="default"/>
      </w:rPr>
    </w:lvl>
    <w:lvl w:ilvl="3" w:tplc="40CE9448">
      <w:start w:val="1"/>
      <w:numFmt w:val="upperLetter"/>
      <w:lvlText w:val="(%4)"/>
      <w:lvlJc w:val="left"/>
      <w:pPr>
        <w:ind w:left="3087" w:hanging="360"/>
      </w:pPr>
      <w:rPr>
        <w:rFonts w:hint="default"/>
      </w:rPr>
    </w:lvl>
    <w:lvl w:ilvl="4" w:tplc="0C090013">
      <w:start w:val="1"/>
      <w:numFmt w:val="upperRoman"/>
      <w:lvlText w:val="%5."/>
      <w:lvlJc w:val="right"/>
      <w:pPr>
        <w:ind w:left="3807" w:hanging="360"/>
      </w:pPr>
    </w:lvl>
    <w:lvl w:ilvl="5" w:tplc="40CE9448">
      <w:start w:val="1"/>
      <w:numFmt w:val="upperLetter"/>
      <w:lvlText w:val="(%6)"/>
      <w:lvlJc w:val="left"/>
      <w:pPr>
        <w:ind w:left="4527" w:hanging="180"/>
      </w:pPr>
      <w:rPr>
        <w:rFonts w:hint="default"/>
      </w:rPr>
    </w:lvl>
    <w:lvl w:ilvl="6" w:tplc="5B262292">
      <w:start w:val="1"/>
      <w:numFmt w:val="lowerRoman"/>
      <w:lvlText w:val="%7)"/>
      <w:lvlJc w:val="left"/>
      <w:pPr>
        <w:ind w:left="5607" w:hanging="720"/>
      </w:pPr>
      <w:rPr>
        <w:rFonts w:hint="default"/>
      </w:r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4D190B"/>
    <w:multiLevelType w:val="hybridMultilevel"/>
    <w:tmpl w:val="B81208EC"/>
    <w:lvl w:ilvl="0" w:tplc="AB3EF42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EA96151"/>
    <w:multiLevelType w:val="hybridMultilevel"/>
    <w:tmpl w:val="54A6DBA6"/>
    <w:lvl w:ilvl="0" w:tplc="BFB0589E">
      <w:start w:val="1"/>
      <w:numFmt w:val="lowerLetter"/>
      <w:lvlText w:val="(%1)"/>
      <w:lvlJc w:val="left"/>
      <w:pPr>
        <w:ind w:left="3087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339" w:hanging="360"/>
      </w:pPr>
    </w:lvl>
    <w:lvl w:ilvl="2" w:tplc="0C09001B" w:tentative="1">
      <w:start w:val="1"/>
      <w:numFmt w:val="lowerRoman"/>
      <w:lvlText w:val="%3."/>
      <w:lvlJc w:val="right"/>
      <w:pPr>
        <w:ind w:left="1059" w:hanging="180"/>
      </w:pPr>
    </w:lvl>
    <w:lvl w:ilvl="3" w:tplc="0C09000F" w:tentative="1">
      <w:start w:val="1"/>
      <w:numFmt w:val="decimal"/>
      <w:lvlText w:val="%4."/>
      <w:lvlJc w:val="left"/>
      <w:pPr>
        <w:ind w:left="1779" w:hanging="360"/>
      </w:pPr>
    </w:lvl>
    <w:lvl w:ilvl="4" w:tplc="0C090019" w:tentative="1">
      <w:start w:val="1"/>
      <w:numFmt w:val="lowerLetter"/>
      <w:lvlText w:val="%5."/>
      <w:lvlJc w:val="left"/>
      <w:pPr>
        <w:ind w:left="2499" w:hanging="360"/>
      </w:pPr>
    </w:lvl>
    <w:lvl w:ilvl="5" w:tplc="0C09001B" w:tentative="1">
      <w:start w:val="1"/>
      <w:numFmt w:val="lowerRoman"/>
      <w:lvlText w:val="%6."/>
      <w:lvlJc w:val="right"/>
      <w:pPr>
        <w:ind w:left="3219" w:hanging="180"/>
      </w:pPr>
    </w:lvl>
    <w:lvl w:ilvl="6" w:tplc="0C09000F" w:tentative="1">
      <w:start w:val="1"/>
      <w:numFmt w:val="decimal"/>
      <w:lvlText w:val="%7."/>
      <w:lvlJc w:val="left"/>
      <w:pPr>
        <w:ind w:left="3939" w:hanging="360"/>
      </w:pPr>
    </w:lvl>
    <w:lvl w:ilvl="7" w:tplc="0C090019" w:tentative="1">
      <w:start w:val="1"/>
      <w:numFmt w:val="lowerLetter"/>
      <w:lvlText w:val="%8."/>
      <w:lvlJc w:val="left"/>
      <w:pPr>
        <w:ind w:left="4659" w:hanging="360"/>
      </w:pPr>
    </w:lvl>
    <w:lvl w:ilvl="8" w:tplc="0C09001B" w:tentative="1">
      <w:start w:val="1"/>
      <w:numFmt w:val="lowerRoman"/>
      <w:lvlText w:val="%9."/>
      <w:lvlJc w:val="right"/>
      <w:pPr>
        <w:ind w:left="5379" w:hanging="180"/>
      </w:pPr>
    </w:lvl>
  </w:abstractNum>
  <w:abstractNum w:abstractNumId="9">
    <w:nsid w:val="22D85F0A"/>
    <w:multiLevelType w:val="hybridMultilevel"/>
    <w:tmpl w:val="6E2AB042"/>
    <w:lvl w:ilvl="0" w:tplc="B4887178">
      <w:start w:val="1"/>
      <w:numFmt w:val="lowerLetter"/>
      <w:lvlText w:val="(%1)"/>
      <w:lvlJc w:val="left"/>
      <w:pPr>
        <w:ind w:left="4188" w:hanging="36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4908" w:hanging="360"/>
      </w:pPr>
    </w:lvl>
    <w:lvl w:ilvl="2" w:tplc="0C09001B" w:tentative="1">
      <w:start w:val="1"/>
      <w:numFmt w:val="lowerRoman"/>
      <w:lvlText w:val="%3."/>
      <w:lvlJc w:val="right"/>
      <w:pPr>
        <w:ind w:left="5628" w:hanging="180"/>
      </w:pPr>
    </w:lvl>
    <w:lvl w:ilvl="3" w:tplc="0C09000F" w:tentative="1">
      <w:start w:val="1"/>
      <w:numFmt w:val="decimal"/>
      <w:lvlText w:val="%4."/>
      <w:lvlJc w:val="left"/>
      <w:pPr>
        <w:ind w:left="6348" w:hanging="360"/>
      </w:pPr>
    </w:lvl>
    <w:lvl w:ilvl="4" w:tplc="0C090019" w:tentative="1">
      <w:start w:val="1"/>
      <w:numFmt w:val="lowerLetter"/>
      <w:lvlText w:val="%5."/>
      <w:lvlJc w:val="left"/>
      <w:pPr>
        <w:ind w:left="7068" w:hanging="360"/>
      </w:pPr>
    </w:lvl>
    <w:lvl w:ilvl="5" w:tplc="0C09001B" w:tentative="1">
      <w:start w:val="1"/>
      <w:numFmt w:val="lowerRoman"/>
      <w:lvlText w:val="%6."/>
      <w:lvlJc w:val="right"/>
      <w:pPr>
        <w:ind w:left="7788" w:hanging="180"/>
      </w:pPr>
    </w:lvl>
    <w:lvl w:ilvl="6" w:tplc="0C09000F" w:tentative="1">
      <w:start w:val="1"/>
      <w:numFmt w:val="decimal"/>
      <w:lvlText w:val="%7."/>
      <w:lvlJc w:val="left"/>
      <w:pPr>
        <w:ind w:left="8508" w:hanging="360"/>
      </w:pPr>
    </w:lvl>
    <w:lvl w:ilvl="7" w:tplc="0C090019" w:tentative="1">
      <w:start w:val="1"/>
      <w:numFmt w:val="lowerLetter"/>
      <w:lvlText w:val="%8."/>
      <w:lvlJc w:val="left"/>
      <w:pPr>
        <w:ind w:left="9228" w:hanging="360"/>
      </w:pPr>
    </w:lvl>
    <w:lvl w:ilvl="8" w:tplc="0C0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0">
    <w:nsid w:val="26565D63"/>
    <w:multiLevelType w:val="hybridMultilevel"/>
    <w:tmpl w:val="F1585026"/>
    <w:lvl w:ilvl="0" w:tplc="3446D3C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90008"/>
    <w:multiLevelType w:val="hybridMultilevel"/>
    <w:tmpl w:val="DEFC252A"/>
    <w:lvl w:ilvl="0" w:tplc="70EC6782">
      <w:start w:val="1"/>
      <w:numFmt w:val="lowerRoman"/>
      <w:lvlText w:val="(%1)"/>
      <w:lvlJc w:val="left"/>
      <w:pPr>
        <w:ind w:left="380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71BA7"/>
    <w:multiLevelType w:val="hybridMultilevel"/>
    <w:tmpl w:val="9EB2AD36"/>
    <w:lvl w:ilvl="0" w:tplc="0C090017">
      <w:start w:val="3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358F6FB5"/>
    <w:multiLevelType w:val="hybridMultilevel"/>
    <w:tmpl w:val="A38CA330"/>
    <w:lvl w:ilvl="0" w:tplc="29C0F8EE">
      <w:start w:val="1"/>
      <w:numFmt w:val="lowerLetter"/>
      <w:lvlText w:val="(%1)"/>
      <w:lvlJc w:val="left"/>
      <w:pPr>
        <w:ind w:left="23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00FCD"/>
    <w:multiLevelType w:val="hybridMultilevel"/>
    <w:tmpl w:val="CB58A7F8"/>
    <w:lvl w:ilvl="0" w:tplc="21FC389A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3AC13F36"/>
    <w:multiLevelType w:val="hybridMultilevel"/>
    <w:tmpl w:val="7ED667C2"/>
    <w:lvl w:ilvl="0" w:tplc="496C1A9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308526D"/>
    <w:multiLevelType w:val="hybridMultilevel"/>
    <w:tmpl w:val="A86017DA"/>
    <w:lvl w:ilvl="0" w:tplc="2880245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496C1A96">
      <w:start w:val="1"/>
      <w:numFmt w:val="lowerRoman"/>
      <w:lvlText w:val="(%2)"/>
      <w:lvlJc w:val="left"/>
      <w:pPr>
        <w:ind w:left="1647" w:hanging="360"/>
      </w:pPr>
      <w:rPr>
        <w:rFonts w:hint="default"/>
      </w:rPr>
    </w:lvl>
    <w:lvl w:ilvl="2" w:tplc="5EF0B502">
      <w:start w:val="1"/>
      <w:numFmt w:val="lowerRoman"/>
      <w:lvlText w:val="(%3)"/>
      <w:lvlJc w:val="left"/>
      <w:pPr>
        <w:ind w:left="2907" w:hanging="720"/>
      </w:pPr>
      <w:rPr>
        <w:rFonts w:hint="default"/>
      </w:rPr>
    </w:lvl>
    <w:lvl w:ilvl="3" w:tplc="40CE9448">
      <w:start w:val="1"/>
      <w:numFmt w:val="upperLetter"/>
      <w:lvlText w:val="(%4)"/>
      <w:lvlJc w:val="left"/>
      <w:pPr>
        <w:ind w:left="3087" w:hanging="360"/>
      </w:pPr>
      <w:rPr>
        <w:rFonts w:hint="default"/>
      </w:rPr>
    </w:lvl>
    <w:lvl w:ilvl="4" w:tplc="0C090013">
      <w:start w:val="1"/>
      <w:numFmt w:val="upperRoman"/>
      <w:lvlText w:val="%5."/>
      <w:lvlJc w:val="right"/>
      <w:pPr>
        <w:ind w:left="3807" w:hanging="360"/>
      </w:pPr>
    </w:lvl>
    <w:lvl w:ilvl="5" w:tplc="40CE9448">
      <w:start w:val="1"/>
      <w:numFmt w:val="upperLetter"/>
      <w:lvlText w:val="(%6)"/>
      <w:lvlJc w:val="left"/>
      <w:pPr>
        <w:ind w:left="4527" w:hanging="180"/>
      </w:pPr>
      <w:rPr>
        <w:rFonts w:hint="default"/>
      </w:rPr>
    </w:lvl>
    <w:lvl w:ilvl="6" w:tplc="5B262292">
      <w:start w:val="1"/>
      <w:numFmt w:val="lowerRoman"/>
      <w:lvlText w:val="%7)"/>
      <w:lvlJc w:val="left"/>
      <w:pPr>
        <w:ind w:left="5607" w:hanging="720"/>
      </w:pPr>
      <w:rPr>
        <w:rFonts w:hint="default"/>
      </w:r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6CC51C8"/>
    <w:multiLevelType w:val="hybridMultilevel"/>
    <w:tmpl w:val="4EB6EB70"/>
    <w:lvl w:ilvl="0" w:tplc="1F461134">
      <w:start w:val="1"/>
      <w:numFmt w:val="lowerLetter"/>
      <w:lvlText w:val="(%1)"/>
      <w:lvlJc w:val="left"/>
      <w:pPr>
        <w:ind w:left="23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90" w:hanging="360"/>
      </w:pPr>
    </w:lvl>
    <w:lvl w:ilvl="2" w:tplc="0C09001B" w:tentative="1">
      <w:start w:val="1"/>
      <w:numFmt w:val="lowerRoman"/>
      <w:lvlText w:val="%3."/>
      <w:lvlJc w:val="right"/>
      <w:pPr>
        <w:ind w:left="3810" w:hanging="180"/>
      </w:pPr>
    </w:lvl>
    <w:lvl w:ilvl="3" w:tplc="0C09000F" w:tentative="1">
      <w:start w:val="1"/>
      <w:numFmt w:val="decimal"/>
      <w:lvlText w:val="%4."/>
      <w:lvlJc w:val="left"/>
      <w:pPr>
        <w:ind w:left="4530" w:hanging="360"/>
      </w:pPr>
    </w:lvl>
    <w:lvl w:ilvl="4" w:tplc="0C090019" w:tentative="1">
      <w:start w:val="1"/>
      <w:numFmt w:val="lowerLetter"/>
      <w:lvlText w:val="%5."/>
      <w:lvlJc w:val="left"/>
      <w:pPr>
        <w:ind w:left="5250" w:hanging="360"/>
      </w:pPr>
    </w:lvl>
    <w:lvl w:ilvl="5" w:tplc="0C09001B" w:tentative="1">
      <w:start w:val="1"/>
      <w:numFmt w:val="lowerRoman"/>
      <w:lvlText w:val="%6."/>
      <w:lvlJc w:val="right"/>
      <w:pPr>
        <w:ind w:left="5970" w:hanging="180"/>
      </w:pPr>
    </w:lvl>
    <w:lvl w:ilvl="6" w:tplc="0C09000F" w:tentative="1">
      <w:start w:val="1"/>
      <w:numFmt w:val="decimal"/>
      <w:lvlText w:val="%7."/>
      <w:lvlJc w:val="left"/>
      <w:pPr>
        <w:ind w:left="6690" w:hanging="360"/>
      </w:pPr>
    </w:lvl>
    <w:lvl w:ilvl="7" w:tplc="0C090019" w:tentative="1">
      <w:start w:val="1"/>
      <w:numFmt w:val="lowerLetter"/>
      <w:lvlText w:val="%8."/>
      <w:lvlJc w:val="left"/>
      <w:pPr>
        <w:ind w:left="7410" w:hanging="360"/>
      </w:pPr>
    </w:lvl>
    <w:lvl w:ilvl="8" w:tplc="0C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8">
    <w:nsid w:val="47F254A4"/>
    <w:multiLevelType w:val="hybridMultilevel"/>
    <w:tmpl w:val="0ACC8838"/>
    <w:lvl w:ilvl="0" w:tplc="0C09001B">
      <w:start w:val="1"/>
      <w:numFmt w:val="lowerRoman"/>
      <w:lvlText w:val="%1."/>
      <w:lvlJc w:val="right"/>
      <w:pPr>
        <w:ind w:left="3807" w:hanging="360"/>
      </w:pPr>
    </w:lvl>
    <w:lvl w:ilvl="1" w:tplc="0C090019" w:tentative="1">
      <w:start w:val="1"/>
      <w:numFmt w:val="lowerLetter"/>
      <w:lvlText w:val="%2."/>
      <w:lvlJc w:val="left"/>
      <w:pPr>
        <w:ind w:left="4527" w:hanging="360"/>
      </w:pPr>
    </w:lvl>
    <w:lvl w:ilvl="2" w:tplc="0C09001B" w:tentative="1">
      <w:start w:val="1"/>
      <w:numFmt w:val="lowerRoman"/>
      <w:lvlText w:val="%3."/>
      <w:lvlJc w:val="right"/>
      <w:pPr>
        <w:ind w:left="5247" w:hanging="180"/>
      </w:pPr>
    </w:lvl>
    <w:lvl w:ilvl="3" w:tplc="0C09000F" w:tentative="1">
      <w:start w:val="1"/>
      <w:numFmt w:val="decimal"/>
      <w:lvlText w:val="%4."/>
      <w:lvlJc w:val="left"/>
      <w:pPr>
        <w:ind w:left="5967" w:hanging="360"/>
      </w:pPr>
    </w:lvl>
    <w:lvl w:ilvl="4" w:tplc="0C090019" w:tentative="1">
      <w:start w:val="1"/>
      <w:numFmt w:val="lowerLetter"/>
      <w:lvlText w:val="%5."/>
      <w:lvlJc w:val="left"/>
      <w:pPr>
        <w:ind w:left="6687" w:hanging="360"/>
      </w:pPr>
    </w:lvl>
    <w:lvl w:ilvl="5" w:tplc="0C09001B" w:tentative="1">
      <w:start w:val="1"/>
      <w:numFmt w:val="lowerRoman"/>
      <w:lvlText w:val="%6."/>
      <w:lvlJc w:val="right"/>
      <w:pPr>
        <w:ind w:left="7407" w:hanging="180"/>
      </w:pPr>
    </w:lvl>
    <w:lvl w:ilvl="6" w:tplc="0C09000F" w:tentative="1">
      <w:start w:val="1"/>
      <w:numFmt w:val="decimal"/>
      <w:lvlText w:val="%7."/>
      <w:lvlJc w:val="left"/>
      <w:pPr>
        <w:ind w:left="8127" w:hanging="360"/>
      </w:pPr>
    </w:lvl>
    <w:lvl w:ilvl="7" w:tplc="0C090019" w:tentative="1">
      <w:start w:val="1"/>
      <w:numFmt w:val="lowerLetter"/>
      <w:lvlText w:val="%8."/>
      <w:lvlJc w:val="left"/>
      <w:pPr>
        <w:ind w:left="8847" w:hanging="360"/>
      </w:pPr>
    </w:lvl>
    <w:lvl w:ilvl="8" w:tplc="0C09001B" w:tentative="1">
      <w:start w:val="1"/>
      <w:numFmt w:val="lowerRoman"/>
      <w:lvlText w:val="%9."/>
      <w:lvlJc w:val="right"/>
      <w:pPr>
        <w:ind w:left="9567" w:hanging="180"/>
      </w:pPr>
    </w:lvl>
  </w:abstractNum>
  <w:abstractNum w:abstractNumId="19">
    <w:nsid w:val="4BAE2867"/>
    <w:multiLevelType w:val="hybridMultilevel"/>
    <w:tmpl w:val="7234944C"/>
    <w:lvl w:ilvl="0" w:tplc="230280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4A0AEA"/>
    <w:multiLevelType w:val="hybridMultilevel"/>
    <w:tmpl w:val="F59283A6"/>
    <w:lvl w:ilvl="0" w:tplc="1ECE39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E83525"/>
    <w:multiLevelType w:val="hybridMultilevel"/>
    <w:tmpl w:val="A86017DA"/>
    <w:lvl w:ilvl="0" w:tplc="2880245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496C1A96">
      <w:start w:val="1"/>
      <w:numFmt w:val="lowerRoman"/>
      <w:lvlText w:val="(%2)"/>
      <w:lvlJc w:val="left"/>
      <w:pPr>
        <w:ind w:left="1647" w:hanging="360"/>
      </w:pPr>
      <w:rPr>
        <w:rFonts w:hint="default"/>
      </w:rPr>
    </w:lvl>
    <w:lvl w:ilvl="2" w:tplc="5EF0B502">
      <w:start w:val="1"/>
      <w:numFmt w:val="lowerRoman"/>
      <w:lvlText w:val="(%3)"/>
      <w:lvlJc w:val="left"/>
      <w:pPr>
        <w:ind w:left="2907" w:hanging="720"/>
      </w:pPr>
      <w:rPr>
        <w:rFonts w:hint="default"/>
      </w:rPr>
    </w:lvl>
    <w:lvl w:ilvl="3" w:tplc="40CE9448">
      <w:start w:val="1"/>
      <w:numFmt w:val="upperLetter"/>
      <w:lvlText w:val="(%4)"/>
      <w:lvlJc w:val="left"/>
      <w:pPr>
        <w:ind w:left="3087" w:hanging="360"/>
      </w:pPr>
      <w:rPr>
        <w:rFonts w:hint="default"/>
      </w:rPr>
    </w:lvl>
    <w:lvl w:ilvl="4" w:tplc="0C090013">
      <w:start w:val="1"/>
      <w:numFmt w:val="upperRoman"/>
      <w:lvlText w:val="%5."/>
      <w:lvlJc w:val="right"/>
      <w:pPr>
        <w:ind w:left="3807" w:hanging="360"/>
      </w:pPr>
    </w:lvl>
    <w:lvl w:ilvl="5" w:tplc="40CE9448">
      <w:start w:val="1"/>
      <w:numFmt w:val="upperLetter"/>
      <w:lvlText w:val="(%6)"/>
      <w:lvlJc w:val="left"/>
      <w:pPr>
        <w:ind w:left="4527" w:hanging="180"/>
      </w:pPr>
      <w:rPr>
        <w:rFonts w:hint="default"/>
      </w:rPr>
    </w:lvl>
    <w:lvl w:ilvl="6" w:tplc="5B262292">
      <w:start w:val="1"/>
      <w:numFmt w:val="lowerRoman"/>
      <w:lvlText w:val="%7)"/>
      <w:lvlJc w:val="left"/>
      <w:pPr>
        <w:ind w:left="5607" w:hanging="720"/>
      </w:pPr>
      <w:rPr>
        <w:rFonts w:hint="default"/>
      </w:r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9C528F7"/>
    <w:multiLevelType w:val="hybridMultilevel"/>
    <w:tmpl w:val="6E2AB042"/>
    <w:lvl w:ilvl="0" w:tplc="B4887178">
      <w:start w:val="1"/>
      <w:numFmt w:val="lowerLetter"/>
      <w:lvlText w:val="(%1)"/>
      <w:lvlJc w:val="left"/>
      <w:pPr>
        <w:ind w:left="3087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3807" w:hanging="360"/>
      </w:pPr>
    </w:lvl>
    <w:lvl w:ilvl="2" w:tplc="0C09001B" w:tentative="1">
      <w:start w:val="1"/>
      <w:numFmt w:val="lowerRoman"/>
      <w:lvlText w:val="%3."/>
      <w:lvlJc w:val="right"/>
      <w:pPr>
        <w:ind w:left="4527" w:hanging="180"/>
      </w:pPr>
    </w:lvl>
    <w:lvl w:ilvl="3" w:tplc="0C09000F" w:tentative="1">
      <w:start w:val="1"/>
      <w:numFmt w:val="decimal"/>
      <w:lvlText w:val="%4."/>
      <w:lvlJc w:val="left"/>
      <w:pPr>
        <w:ind w:left="5247" w:hanging="360"/>
      </w:pPr>
    </w:lvl>
    <w:lvl w:ilvl="4" w:tplc="0C090019" w:tentative="1">
      <w:start w:val="1"/>
      <w:numFmt w:val="lowerLetter"/>
      <w:lvlText w:val="%5."/>
      <w:lvlJc w:val="left"/>
      <w:pPr>
        <w:ind w:left="5967" w:hanging="360"/>
      </w:pPr>
    </w:lvl>
    <w:lvl w:ilvl="5" w:tplc="0C09001B" w:tentative="1">
      <w:start w:val="1"/>
      <w:numFmt w:val="lowerRoman"/>
      <w:lvlText w:val="%6."/>
      <w:lvlJc w:val="right"/>
      <w:pPr>
        <w:ind w:left="6687" w:hanging="180"/>
      </w:pPr>
    </w:lvl>
    <w:lvl w:ilvl="6" w:tplc="0C09000F" w:tentative="1">
      <w:start w:val="1"/>
      <w:numFmt w:val="decimal"/>
      <w:lvlText w:val="%7."/>
      <w:lvlJc w:val="left"/>
      <w:pPr>
        <w:ind w:left="7407" w:hanging="360"/>
      </w:pPr>
    </w:lvl>
    <w:lvl w:ilvl="7" w:tplc="0C090019" w:tentative="1">
      <w:start w:val="1"/>
      <w:numFmt w:val="lowerLetter"/>
      <w:lvlText w:val="%8."/>
      <w:lvlJc w:val="left"/>
      <w:pPr>
        <w:ind w:left="8127" w:hanging="360"/>
      </w:pPr>
    </w:lvl>
    <w:lvl w:ilvl="8" w:tplc="0C0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23">
    <w:nsid w:val="5CC36A0E"/>
    <w:multiLevelType w:val="hybridMultilevel"/>
    <w:tmpl w:val="042E9BD0"/>
    <w:lvl w:ilvl="0" w:tplc="34343AD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613C7EC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5FC4119"/>
    <w:multiLevelType w:val="hybridMultilevel"/>
    <w:tmpl w:val="601ED748"/>
    <w:lvl w:ilvl="0" w:tplc="6064350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BB2DB7"/>
    <w:multiLevelType w:val="hybridMultilevel"/>
    <w:tmpl w:val="BCA0C0FC"/>
    <w:lvl w:ilvl="0" w:tplc="1384046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BC58D0"/>
    <w:multiLevelType w:val="hybridMultilevel"/>
    <w:tmpl w:val="9CD2A966"/>
    <w:lvl w:ilvl="0" w:tplc="10D648C2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28802458">
      <w:start w:val="1"/>
      <w:numFmt w:val="lowerLetter"/>
      <w:lvlText w:val="(%2)"/>
      <w:lvlJc w:val="left"/>
      <w:pPr>
        <w:ind w:left="2214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934" w:hanging="180"/>
      </w:pPr>
    </w:lvl>
    <w:lvl w:ilvl="3" w:tplc="0C09000F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6DF108BA"/>
    <w:multiLevelType w:val="hybridMultilevel"/>
    <w:tmpl w:val="2A9AAFEA"/>
    <w:lvl w:ilvl="0" w:tplc="2F04F666">
      <w:start w:val="1"/>
      <w:numFmt w:val="lowerLetter"/>
      <w:lvlText w:val="(%1)"/>
      <w:lvlJc w:val="left"/>
      <w:pPr>
        <w:ind w:left="30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774" w:hanging="360"/>
      </w:pPr>
    </w:lvl>
    <w:lvl w:ilvl="2" w:tplc="0C09001B" w:tentative="1">
      <w:start w:val="1"/>
      <w:numFmt w:val="lowerRoman"/>
      <w:lvlText w:val="%3."/>
      <w:lvlJc w:val="right"/>
      <w:pPr>
        <w:ind w:left="4494" w:hanging="180"/>
      </w:pPr>
    </w:lvl>
    <w:lvl w:ilvl="3" w:tplc="0C09000F" w:tentative="1">
      <w:start w:val="1"/>
      <w:numFmt w:val="decimal"/>
      <w:lvlText w:val="%4."/>
      <w:lvlJc w:val="left"/>
      <w:pPr>
        <w:ind w:left="5214" w:hanging="360"/>
      </w:pPr>
    </w:lvl>
    <w:lvl w:ilvl="4" w:tplc="0C090019" w:tentative="1">
      <w:start w:val="1"/>
      <w:numFmt w:val="lowerLetter"/>
      <w:lvlText w:val="%5."/>
      <w:lvlJc w:val="left"/>
      <w:pPr>
        <w:ind w:left="5934" w:hanging="360"/>
      </w:pPr>
    </w:lvl>
    <w:lvl w:ilvl="5" w:tplc="0C09001B" w:tentative="1">
      <w:start w:val="1"/>
      <w:numFmt w:val="lowerRoman"/>
      <w:lvlText w:val="%6."/>
      <w:lvlJc w:val="right"/>
      <w:pPr>
        <w:ind w:left="6654" w:hanging="180"/>
      </w:pPr>
    </w:lvl>
    <w:lvl w:ilvl="6" w:tplc="0C09000F" w:tentative="1">
      <w:start w:val="1"/>
      <w:numFmt w:val="decimal"/>
      <w:lvlText w:val="%7."/>
      <w:lvlJc w:val="left"/>
      <w:pPr>
        <w:ind w:left="7374" w:hanging="360"/>
      </w:pPr>
    </w:lvl>
    <w:lvl w:ilvl="7" w:tplc="0C090019" w:tentative="1">
      <w:start w:val="1"/>
      <w:numFmt w:val="lowerLetter"/>
      <w:lvlText w:val="%8."/>
      <w:lvlJc w:val="left"/>
      <w:pPr>
        <w:ind w:left="8094" w:hanging="360"/>
      </w:pPr>
    </w:lvl>
    <w:lvl w:ilvl="8" w:tplc="0C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9">
    <w:nsid w:val="6DF47CA7"/>
    <w:multiLevelType w:val="hybridMultilevel"/>
    <w:tmpl w:val="0B54D2FC"/>
    <w:lvl w:ilvl="0" w:tplc="8ABA9E2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0B230A0"/>
    <w:multiLevelType w:val="hybridMultilevel"/>
    <w:tmpl w:val="A86017DA"/>
    <w:lvl w:ilvl="0" w:tplc="2880245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496C1A96">
      <w:start w:val="1"/>
      <w:numFmt w:val="lowerRoman"/>
      <w:lvlText w:val="(%2)"/>
      <w:lvlJc w:val="left"/>
      <w:pPr>
        <w:ind w:left="1647" w:hanging="360"/>
      </w:pPr>
      <w:rPr>
        <w:rFonts w:hint="default"/>
      </w:rPr>
    </w:lvl>
    <w:lvl w:ilvl="2" w:tplc="5EF0B502">
      <w:start w:val="1"/>
      <w:numFmt w:val="lowerRoman"/>
      <w:lvlText w:val="(%3)"/>
      <w:lvlJc w:val="left"/>
      <w:pPr>
        <w:ind w:left="2907" w:hanging="720"/>
      </w:pPr>
      <w:rPr>
        <w:rFonts w:hint="default"/>
      </w:rPr>
    </w:lvl>
    <w:lvl w:ilvl="3" w:tplc="40CE9448">
      <w:start w:val="1"/>
      <w:numFmt w:val="upperLetter"/>
      <w:lvlText w:val="(%4)"/>
      <w:lvlJc w:val="left"/>
      <w:pPr>
        <w:ind w:left="3087" w:hanging="360"/>
      </w:pPr>
      <w:rPr>
        <w:rFonts w:hint="default"/>
      </w:rPr>
    </w:lvl>
    <w:lvl w:ilvl="4" w:tplc="0C090013">
      <w:start w:val="1"/>
      <w:numFmt w:val="upperRoman"/>
      <w:lvlText w:val="%5."/>
      <w:lvlJc w:val="right"/>
      <w:pPr>
        <w:ind w:left="3807" w:hanging="360"/>
      </w:pPr>
    </w:lvl>
    <w:lvl w:ilvl="5" w:tplc="40CE9448">
      <w:start w:val="1"/>
      <w:numFmt w:val="upperLetter"/>
      <w:lvlText w:val="(%6)"/>
      <w:lvlJc w:val="left"/>
      <w:pPr>
        <w:ind w:left="4527" w:hanging="180"/>
      </w:pPr>
      <w:rPr>
        <w:rFonts w:hint="default"/>
      </w:rPr>
    </w:lvl>
    <w:lvl w:ilvl="6" w:tplc="5B262292">
      <w:start w:val="1"/>
      <w:numFmt w:val="lowerRoman"/>
      <w:lvlText w:val="%7)"/>
      <w:lvlJc w:val="left"/>
      <w:pPr>
        <w:ind w:left="5607" w:hanging="720"/>
      </w:pPr>
      <w:rPr>
        <w:rFonts w:hint="default"/>
      </w:r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7A66E6E"/>
    <w:multiLevelType w:val="hybridMultilevel"/>
    <w:tmpl w:val="BB5A1FBC"/>
    <w:lvl w:ilvl="0" w:tplc="D1A68ADC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7B9D7F84"/>
    <w:multiLevelType w:val="hybridMultilevel"/>
    <w:tmpl w:val="0DD645C8"/>
    <w:lvl w:ilvl="0" w:tplc="E9504928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D5C761D"/>
    <w:multiLevelType w:val="hybridMultilevel"/>
    <w:tmpl w:val="1E7E3438"/>
    <w:lvl w:ilvl="0" w:tplc="B1D26082">
      <w:start w:val="3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9"/>
  </w:num>
  <w:num w:numId="3">
    <w:abstractNumId w:val="31"/>
  </w:num>
  <w:num w:numId="4">
    <w:abstractNumId w:val="20"/>
  </w:num>
  <w:num w:numId="5">
    <w:abstractNumId w:val="19"/>
  </w:num>
  <w:num w:numId="6">
    <w:abstractNumId w:val="6"/>
  </w:num>
  <w:num w:numId="7">
    <w:abstractNumId w:val="23"/>
  </w:num>
  <w:num w:numId="8">
    <w:abstractNumId w:val="7"/>
  </w:num>
  <w:num w:numId="9">
    <w:abstractNumId w:val="14"/>
  </w:num>
  <w:num w:numId="10">
    <w:abstractNumId w:val="33"/>
  </w:num>
  <w:num w:numId="11">
    <w:abstractNumId w:val="27"/>
  </w:num>
  <w:num w:numId="12">
    <w:abstractNumId w:val="17"/>
  </w:num>
  <w:num w:numId="13">
    <w:abstractNumId w:val="13"/>
  </w:num>
  <w:num w:numId="14">
    <w:abstractNumId w:val="9"/>
  </w:num>
  <w:num w:numId="15">
    <w:abstractNumId w:val="15"/>
  </w:num>
  <w:num w:numId="16">
    <w:abstractNumId w:val="28"/>
  </w:num>
  <w:num w:numId="17">
    <w:abstractNumId w:val="26"/>
  </w:num>
  <w:num w:numId="18">
    <w:abstractNumId w:val="32"/>
  </w:num>
  <w:num w:numId="19">
    <w:abstractNumId w:val="5"/>
  </w:num>
  <w:num w:numId="20">
    <w:abstractNumId w:val="12"/>
  </w:num>
  <w:num w:numId="21">
    <w:abstractNumId w:val="1"/>
  </w:num>
  <w:num w:numId="22">
    <w:abstractNumId w:val="0"/>
  </w:num>
  <w:num w:numId="23">
    <w:abstractNumId w:val="2"/>
  </w:num>
  <w:num w:numId="24">
    <w:abstractNumId w:val="24"/>
  </w:num>
  <w:num w:numId="25">
    <w:abstractNumId w:val="18"/>
  </w:num>
  <w:num w:numId="26">
    <w:abstractNumId w:val="22"/>
  </w:num>
  <w:num w:numId="27">
    <w:abstractNumId w:val="8"/>
  </w:num>
  <w:num w:numId="28">
    <w:abstractNumId w:val="4"/>
  </w:num>
  <w:num w:numId="29">
    <w:abstractNumId w:val="11"/>
  </w:num>
  <w:num w:numId="30">
    <w:abstractNumId w:val="25"/>
  </w:num>
  <w:num w:numId="31">
    <w:abstractNumId w:val="10"/>
  </w:num>
  <w:num w:numId="32">
    <w:abstractNumId w:val="16"/>
  </w:num>
  <w:num w:numId="33">
    <w:abstractNumId w:val="3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DC"/>
    <w:rsid w:val="00007BCA"/>
    <w:rsid w:val="00016C5E"/>
    <w:rsid w:val="000260B1"/>
    <w:rsid w:val="00031FFF"/>
    <w:rsid w:val="00044911"/>
    <w:rsid w:val="00046101"/>
    <w:rsid w:val="000566DE"/>
    <w:rsid w:val="000615C1"/>
    <w:rsid w:val="00064E55"/>
    <w:rsid w:val="00074D2F"/>
    <w:rsid w:val="0009616E"/>
    <w:rsid w:val="00096633"/>
    <w:rsid w:val="000D1291"/>
    <w:rsid w:val="000D2200"/>
    <w:rsid w:val="000E5755"/>
    <w:rsid w:val="000F4B75"/>
    <w:rsid w:val="0010529F"/>
    <w:rsid w:val="001106F8"/>
    <w:rsid w:val="00117312"/>
    <w:rsid w:val="00124C4E"/>
    <w:rsid w:val="001323D3"/>
    <w:rsid w:val="00132E81"/>
    <w:rsid w:val="00133458"/>
    <w:rsid w:val="00134979"/>
    <w:rsid w:val="00135752"/>
    <w:rsid w:val="0013741E"/>
    <w:rsid w:val="00143A84"/>
    <w:rsid w:val="0014496E"/>
    <w:rsid w:val="00147648"/>
    <w:rsid w:val="001546FB"/>
    <w:rsid w:val="00154F5E"/>
    <w:rsid w:val="00164CE7"/>
    <w:rsid w:val="00180BCC"/>
    <w:rsid w:val="00181013"/>
    <w:rsid w:val="0019217F"/>
    <w:rsid w:val="00197486"/>
    <w:rsid w:val="001A50AC"/>
    <w:rsid w:val="001B0869"/>
    <w:rsid w:val="001B39CD"/>
    <w:rsid w:val="001B4B93"/>
    <w:rsid w:val="001B67B2"/>
    <w:rsid w:val="001B6982"/>
    <w:rsid w:val="001D0C61"/>
    <w:rsid w:val="001D2BF4"/>
    <w:rsid w:val="001F1F14"/>
    <w:rsid w:val="001F26F1"/>
    <w:rsid w:val="00200233"/>
    <w:rsid w:val="0020089B"/>
    <w:rsid w:val="00224074"/>
    <w:rsid w:val="002260FF"/>
    <w:rsid w:val="002329A2"/>
    <w:rsid w:val="002436E2"/>
    <w:rsid w:val="002506A1"/>
    <w:rsid w:val="00260C59"/>
    <w:rsid w:val="00267AE2"/>
    <w:rsid w:val="00271796"/>
    <w:rsid w:val="002739BC"/>
    <w:rsid w:val="0028210D"/>
    <w:rsid w:val="002940B5"/>
    <w:rsid w:val="002A2CE7"/>
    <w:rsid w:val="002A5B4F"/>
    <w:rsid w:val="002A6173"/>
    <w:rsid w:val="002D1D4A"/>
    <w:rsid w:val="002D2A32"/>
    <w:rsid w:val="002D4265"/>
    <w:rsid w:val="002E1271"/>
    <w:rsid w:val="002F54B0"/>
    <w:rsid w:val="002F6C16"/>
    <w:rsid w:val="00306E9A"/>
    <w:rsid w:val="0031012C"/>
    <w:rsid w:val="00313101"/>
    <w:rsid w:val="003260DB"/>
    <w:rsid w:val="003401E7"/>
    <w:rsid w:val="0034589A"/>
    <w:rsid w:val="00350AF3"/>
    <w:rsid w:val="00352D83"/>
    <w:rsid w:val="003534AF"/>
    <w:rsid w:val="00364E6A"/>
    <w:rsid w:val="00367E9B"/>
    <w:rsid w:val="0039134C"/>
    <w:rsid w:val="003A00EF"/>
    <w:rsid w:val="003A6C52"/>
    <w:rsid w:val="003B3D4F"/>
    <w:rsid w:val="004077A2"/>
    <w:rsid w:val="00413123"/>
    <w:rsid w:val="004148C1"/>
    <w:rsid w:val="00422059"/>
    <w:rsid w:val="00425287"/>
    <w:rsid w:val="00432666"/>
    <w:rsid w:val="00434622"/>
    <w:rsid w:val="004517B2"/>
    <w:rsid w:val="00465EE3"/>
    <w:rsid w:val="004803DF"/>
    <w:rsid w:val="00484845"/>
    <w:rsid w:val="0048785E"/>
    <w:rsid w:val="004A1E44"/>
    <w:rsid w:val="004B1181"/>
    <w:rsid w:val="004B31E3"/>
    <w:rsid w:val="004D0792"/>
    <w:rsid w:val="004F5D81"/>
    <w:rsid w:val="005005AF"/>
    <w:rsid w:val="00504ABF"/>
    <w:rsid w:val="00504B13"/>
    <w:rsid w:val="00505258"/>
    <w:rsid w:val="0054332F"/>
    <w:rsid w:val="005511E7"/>
    <w:rsid w:val="00554E00"/>
    <w:rsid w:val="00561B17"/>
    <w:rsid w:val="00566F1A"/>
    <w:rsid w:val="00567AC4"/>
    <w:rsid w:val="00575285"/>
    <w:rsid w:val="005836C7"/>
    <w:rsid w:val="005B2351"/>
    <w:rsid w:val="005C5A9F"/>
    <w:rsid w:val="005D411D"/>
    <w:rsid w:val="005F6681"/>
    <w:rsid w:val="006011DF"/>
    <w:rsid w:val="00603780"/>
    <w:rsid w:val="006044F9"/>
    <w:rsid w:val="00627241"/>
    <w:rsid w:val="00631A73"/>
    <w:rsid w:val="006358C1"/>
    <w:rsid w:val="006377D3"/>
    <w:rsid w:val="006445FF"/>
    <w:rsid w:val="00653FDB"/>
    <w:rsid w:val="0066424A"/>
    <w:rsid w:val="00666C39"/>
    <w:rsid w:val="0067029E"/>
    <w:rsid w:val="006713EF"/>
    <w:rsid w:val="00680B60"/>
    <w:rsid w:val="00681F02"/>
    <w:rsid w:val="00690962"/>
    <w:rsid w:val="006928BB"/>
    <w:rsid w:val="006A5376"/>
    <w:rsid w:val="006C241A"/>
    <w:rsid w:val="006D4B7C"/>
    <w:rsid w:val="006E2B06"/>
    <w:rsid w:val="00700959"/>
    <w:rsid w:val="007024F9"/>
    <w:rsid w:val="00703C84"/>
    <w:rsid w:val="00704023"/>
    <w:rsid w:val="00711ED8"/>
    <w:rsid w:val="00715A0F"/>
    <w:rsid w:val="0072166C"/>
    <w:rsid w:val="00727356"/>
    <w:rsid w:val="00730C16"/>
    <w:rsid w:val="007501F6"/>
    <w:rsid w:val="00771487"/>
    <w:rsid w:val="007756BC"/>
    <w:rsid w:val="007B0001"/>
    <w:rsid w:val="007B30A4"/>
    <w:rsid w:val="007B380E"/>
    <w:rsid w:val="007C4BA2"/>
    <w:rsid w:val="007D1A7B"/>
    <w:rsid w:val="007D5C6B"/>
    <w:rsid w:val="007E1AAD"/>
    <w:rsid w:val="007E48C3"/>
    <w:rsid w:val="007E4931"/>
    <w:rsid w:val="007E6B42"/>
    <w:rsid w:val="007F5705"/>
    <w:rsid w:val="007F64F6"/>
    <w:rsid w:val="00801CF5"/>
    <w:rsid w:val="008042DD"/>
    <w:rsid w:val="00804A7E"/>
    <w:rsid w:val="008342C7"/>
    <w:rsid w:val="00857D08"/>
    <w:rsid w:val="00863683"/>
    <w:rsid w:val="008678B9"/>
    <w:rsid w:val="00873E5F"/>
    <w:rsid w:val="00875EF2"/>
    <w:rsid w:val="00881786"/>
    <w:rsid w:val="008865EF"/>
    <w:rsid w:val="00893608"/>
    <w:rsid w:val="0089634D"/>
    <w:rsid w:val="008A199E"/>
    <w:rsid w:val="008A5A7E"/>
    <w:rsid w:val="008A7CA2"/>
    <w:rsid w:val="008A7EEA"/>
    <w:rsid w:val="008B6DAF"/>
    <w:rsid w:val="008B7877"/>
    <w:rsid w:val="008C4E15"/>
    <w:rsid w:val="008D1213"/>
    <w:rsid w:val="008D2DAB"/>
    <w:rsid w:val="008D601A"/>
    <w:rsid w:val="008E201D"/>
    <w:rsid w:val="008E6642"/>
    <w:rsid w:val="008F0C79"/>
    <w:rsid w:val="008F1AF3"/>
    <w:rsid w:val="00900D44"/>
    <w:rsid w:val="00903882"/>
    <w:rsid w:val="00911A6B"/>
    <w:rsid w:val="009128AE"/>
    <w:rsid w:val="00916E4C"/>
    <w:rsid w:val="00921807"/>
    <w:rsid w:val="00921CA6"/>
    <w:rsid w:val="009400EF"/>
    <w:rsid w:val="009405DC"/>
    <w:rsid w:val="0094133C"/>
    <w:rsid w:val="00943F87"/>
    <w:rsid w:val="009552B6"/>
    <w:rsid w:val="009742E3"/>
    <w:rsid w:val="009A067D"/>
    <w:rsid w:val="009A4F34"/>
    <w:rsid w:val="009A7E5C"/>
    <w:rsid w:val="009B1C80"/>
    <w:rsid w:val="009B313B"/>
    <w:rsid w:val="009C03BA"/>
    <w:rsid w:val="009C14DC"/>
    <w:rsid w:val="009C41E2"/>
    <w:rsid w:val="009D6C86"/>
    <w:rsid w:val="009D7D21"/>
    <w:rsid w:val="009E307B"/>
    <w:rsid w:val="009E7412"/>
    <w:rsid w:val="009F4FC1"/>
    <w:rsid w:val="00A2096B"/>
    <w:rsid w:val="00A23E1B"/>
    <w:rsid w:val="00A41F1B"/>
    <w:rsid w:val="00A42449"/>
    <w:rsid w:val="00A42B7C"/>
    <w:rsid w:val="00A42D81"/>
    <w:rsid w:val="00A53EAE"/>
    <w:rsid w:val="00A54CF4"/>
    <w:rsid w:val="00A55C96"/>
    <w:rsid w:val="00A60A07"/>
    <w:rsid w:val="00A70427"/>
    <w:rsid w:val="00A70D37"/>
    <w:rsid w:val="00A927E1"/>
    <w:rsid w:val="00AB2260"/>
    <w:rsid w:val="00AC4D2B"/>
    <w:rsid w:val="00AC7F1F"/>
    <w:rsid w:val="00AD1736"/>
    <w:rsid w:val="00AD1A4D"/>
    <w:rsid w:val="00AD7E66"/>
    <w:rsid w:val="00AF51A6"/>
    <w:rsid w:val="00B1488D"/>
    <w:rsid w:val="00B26C57"/>
    <w:rsid w:val="00B32C28"/>
    <w:rsid w:val="00B34E1C"/>
    <w:rsid w:val="00B37528"/>
    <w:rsid w:val="00B44B95"/>
    <w:rsid w:val="00B528C7"/>
    <w:rsid w:val="00B55231"/>
    <w:rsid w:val="00B57F23"/>
    <w:rsid w:val="00B711BF"/>
    <w:rsid w:val="00B721C9"/>
    <w:rsid w:val="00B82944"/>
    <w:rsid w:val="00B83F9B"/>
    <w:rsid w:val="00B86E17"/>
    <w:rsid w:val="00B90763"/>
    <w:rsid w:val="00B97D2B"/>
    <w:rsid w:val="00BB063D"/>
    <w:rsid w:val="00BC5C3B"/>
    <w:rsid w:val="00BD0298"/>
    <w:rsid w:val="00BD44CC"/>
    <w:rsid w:val="00BE7E7C"/>
    <w:rsid w:val="00C06446"/>
    <w:rsid w:val="00C078D4"/>
    <w:rsid w:val="00C124A1"/>
    <w:rsid w:val="00C127DA"/>
    <w:rsid w:val="00C16E5A"/>
    <w:rsid w:val="00C24660"/>
    <w:rsid w:val="00C30721"/>
    <w:rsid w:val="00C33912"/>
    <w:rsid w:val="00C372C7"/>
    <w:rsid w:val="00C628F1"/>
    <w:rsid w:val="00C6513F"/>
    <w:rsid w:val="00C76882"/>
    <w:rsid w:val="00C81F2A"/>
    <w:rsid w:val="00C82FE0"/>
    <w:rsid w:val="00CB0C00"/>
    <w:rsid w:val="00CB53B2"/>
    <w:rsid w:val="00CC69A9"/>
    <w:rsid w:val="00CD3C05"/>
    <w:rsid w:val="00CD52B8"/>
    <w:rsid w:val="00CE6356"/>
    <w:rsid w:val="00D0349A"/>
    <w:rsid w:val="00D07E76"/>
    <w:rsid w:val="00D10CF9"/>
    <w:rsid w:val="00D11DE6"/>
    <w:rsid w:val="00D16F73"/>
    <w:rsid w:val="00D2453F"/>
    <w:rsid w:val="00D30DB0"/>
    <w:rsid w:val="00D36370"/>
    <w:rsid w:val="00D42E2C"/>
    <w:rsid w:val="00D43D9A"/>
    <w:rsid w:val="00D57D9F"/>
    <w:rsid w:val="00D73219"/>
    <w:rsid w:val="00D7599D"/>
    <w:rsid w:val="00D77534"/>
    <w:rsid w:val="00D80978"/>
    <w:rsid w:val="00D80C3A"/>
    <w:rsid w:val="00D87BE4"/>
    <w:rsid w:val="00D9186B"/>
    <w:rsid w:val="00D94AD5"/>
    <w:rsid w:val="00DA2E03"/>
    <w:rsid w:val="00DB285F"/>
    <w:rsid w:val="00DC1119"/>
    <w:rsid w:val="00DC2F5D"/>
    <w:rsid w:val="00DC49AC"/>
    <w:rsid w:val="00DD15D0"/>
    <w:rsid w:val="00DD562E"/>
    <w:rsid w:val="00DE15B7"/>
    <w:rsid w:val="00DE3D79"/>
    <w:rsid w:val="00DE533E"/>
    <w:rsid w:val="00E069C1"/>
    <w:rsid w:val="00E069C3"/>
    <w:rsid w:val="00E069F3"/>
    <w:rsid w:val="00E069F4"/>
    <w:rsid w:val="00E10B10"/>
    <w:rsid w:val="00E1774F"/>
    <w:rsid w:val="00E23190"/>
    <w:rsid w:val="00E26802"/>
    <w:rsid w:val="00E3065D"/>
    <w:rsid w:val="00E32A5C"/>
    <w:rsid w:val="00E40333"/>
    <w:rsid w:val="00E40F35"/>
    <w:rsid w:val="00E463BD"/>
    <w:rsid w:val="00E546C1"/>
    <w:rsid w:val="00E56D89"/>
    <w:rsid w:val="00E6154E"/>
    <w:rsid w:val="00E66C1F"/>
    <w:rsid w:val="00E701DC"/>
    <w:rsid w:val="00E707F3"/>
    <w:rsid w:val="00E9326D"/>
    <w:rsid w:val="00E9564E"/>
    <w:rsid w:val="00E9713A"/>
    <w:rsid w:val="00EA3E8F"/>
    <w:rsid w:val="00EB1A9F"/>
    <w:rsid w:val="00EB65D7"/>
    <w:rsid w:val="00EC4ED7"/>
    <w:rsid w:val="00ED32DF"/>
    <w:rsid w:val="00EE14BA"/>
    <w:rsid w:val="00EE2490"/>
    <w:rsid w:val="00EF0B33"/>
    <w:rsid w:val="00EF49FC"/>
    <w:rsid w:val="00F00830"/>
    <w:rsid w:val="00F15A9C"/>
    <w:rsid w:val="00F232DB"/>
    <w:rsid w:val="00F46BD0"/>
    <w:rsid w:val="00F62893"/>
    <w:rsid w:val="00F70F6E"/>
    <w:rsid w:val="00F7139B"/>
    <w:rsid w:val="00F97687"/>
    <w:rsid w:val="00FB72B7"/>
    <w:rsid w:val="00FD178C"/>
    <w:rsid w:val="00FD235A"/>
    <w:rsid w:val="00FE31BC"/>
    <w:rsid w:val="00FE6DE9"/>
    <w:rsid w:val="00FF49AD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4DC"/>
    <w:rPr>
      <w:rFonts w:ascii="Times" w:hAnsi="Times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A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A73"/>
    <w:rPr>
      <w:rFonts w:ascii="Times" w:hAnsi="Times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1A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A73"/>
    <w:rPr>
      <w:rFonts w:ascii="Times" w:hAnsi="Times"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349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97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979"/>
    <w:rPr>
      <w:rFonts w:ascii="Times" w:hAnsi="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9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979"/>
    <w:rPr>
      <w:rFonts w:ascii="Times" w:hAnsi="Times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9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97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04B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0792"/>
    <w:pPr>
      <w:ind w:left="720"/>
      <w:contextualSpacing/>
    </w:pPr>
  </w:style>
  <w:style w:type="paragraph" w:customStyle="1" w:styleId="definition">
    <w:name w:val="definition"/>
    <w:basedOn w:val="Normal"/>
    <w:rsid w:val="00561B17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paragraph" w:customStyle="1" w:styleId="paragraph">
    <w:name w:val="paragraph"/>
    <w:basedOn w:val="Normal"/>
    <w:rsid w:val="00561B17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6445F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D7E66"/>
    <w:rPr>
      <w:rFonts w:ascii="Times" w:hAnsi="Times"/>
      <w:sz w:val="24"/>
      <w:lang w:eastAsia="en-US"/>
    </w:rPr>
  </w:style>
  <w:style w:type="paragraph" w:customStyle="1" w:styleId="paragraphsub">
    <w:name w:val="paragraphsub"/>
    <w:basedOn w:val="Normal"/>
    <w:rsid w:val="00D7599D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4E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4E55"/>
    <w:rPr>
      <w:rFonts w:ascii="Times" w:hAnsi="Times"/>
      <w:sz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64E5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64E55"/>
    <w:rPr>
      <w:rFonts w:ascii="Times" w:hAnsi="Times"/>
      <w:sz w:val="24"/>
      <w:lang w:eastAsia="en-US"/>
    </w:rPr>
  </w:style>
  <w:style w:type="paragraph" w:customStyle="1" w:styleId="ActHead5">
    <w:name w:val="ActHead 5"/>
    <w:aliases w:val="s"/>
    <w:basedOn w:val="Normal"/>
    <w:next w:val="Normal"/>
    <w:link w:val="ActHead5Char"/>
    <w:qFormat/>
    <w:rsid w:val="00064E55"/>
    <w:pPr>
      <w:keepNext/>
      <w:keepLines/>
      <w:spacing w:before="280"/>
      <w:ind w:left="1134" w:hanging="1134"/>
      <w:outlineLvl w:val="4"/>
    </w:pPr>
    <w:rPr>
      <w:rFonts w:ascii="Times New Roman" w:hAnsi="Times New Roman"/>
      <w:b/>
      <w:kern w:val="28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rsid w:val="00064E55"/>
    <w:rPr>
      <w:b/>
      <w:kern w:val="28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4DC"/>
    <w:rPr>
      <w:rFonts w:ascii="Times" w:hAnsi="Times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A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A73"/>
    <w:rPr>
      <w:rFonts w:ascii="Times" w:hAnsi="Times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1A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A73"/>
    <w:rPr>
      <w:rFonts w:ascii="Times" w:hAnsi="Times"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349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97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979"/>
    <w:rPr>
      <w:rFonts w:ascii="Times" w:hAnsi="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9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979"/>
    <w:rPr>
      <w:rFonts w:ascii="Times" w:hAnsi="Times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9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97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04B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0792"/>
    <w:pPr>
      <w:ind w:left="720"/>
      <w:contextualSpacing/>
    </w:pPr>
  </w:style>
  <w:style w:type="paragraph" w:customStyle="1" w:styleId="definition">
    <w:name w:val="definition"/>
    <w:basedOn w:val="Normal"/>
    <w:rsid w:val="00561B17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paragraph" w:customStyle="1" w:styleId="paragraph">
    <w:name w:val="paragraph"/>
    <w:basedOn w:val="Normal"/>
    <w:rsid w:val="00561B17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6445F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D7E66"/>
    <w:rPr>
      <w:rFonts w:ascii="Times" w:hAnsi="Times"/>
      <w:sz w:val="24"/>
      <w:lang w:eastAsia="en-US"/>
    </w:rPr>
  </w:style>
  <w:style w:type="paragraph" w:customStyle="1" w:styleId="paragraphsub">
    <w:name w:val="paragraphsub"/>
    <w:basedOn w:val="Normal"/>
    <w:rsid w:val="00D7599D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4E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4E55"/>
    <w:rPr>
      <w:rFonts w:ascii="Times" w:hAnsi="Times"/>
      <w:sz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64E5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64E55"/>
    <w:rPr>
      <w:rFonts w:ascii="Times" w:hAnsi="Times"/>
      <w:sz w:val="24"/>
      <w:lang w:eastAsia="en-US"/>
    </w:rPr>
  </w:style>
  <w:style w:type="paragraph" w:customStyle="1" w:styleId="ActHead5">
    <w:name w:val="ActHead 5"/>
    <w:aliases w:val="s"/>
    <w:basedOn w:val="Normal"/>
    <w:next w:val="Normal"/>
    <w:link w:val="ActHead5Char"/>
    <w:qFormat/>
    <w:rsid w:val="00064E55"/>
    <w:pPr>
      <w:keepNext/>
      <w:keepLines/>
      <w:spacing w:before="280"/>
      <w:ind w:left="1134" w:hanging="1134"/>
      <w:outlineLvl w:val="4"/>
    </w:pPr>
    <w:rPr>
      <w:rFonts w:ascii="Times New Roman" w:hAnsi="Times New Roman"/>
      <w:b/>
      <w:kern w:val="28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rsid w:val="00064E55"/>
    <w:rPr>
      <w:b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rli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26BBB-CD37-4E82-ADA2-F2D704FF1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1800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10949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Mccarthy</dc:creator>
  <cp:lastModifiedBy>Ruki.Weerasinghe</cp:lastModifiedBy>
  <cp:revision>2</cp:revision>
  <cp:lastPrinted>2014-12-08T07:40:00Z</cp:lastPrinted>
  <dcterms:created xsi:type="dcterms:W3CDTF">2014-12-09T03:39:00Z</dcterms:created>
  <dcterms:modified xsi:type="dcterms:W3CDTF">2014-12-09T03:39:00Z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B848444</vt:lpwstr>
  </property>
  <property fmtid="{D5CDD505-2E9C-101B-9397-08002B2CF9AE}" pid="4" name="Objective-Title">
    <vt:lpwstr>Fee Class Order - Working Copy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2014-10-03T00:06:58Z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2014-11-07T00:55:31Z</vt:filetime>
  </property>
  <property fmtid="{D5CDD505-2E9C-101B-9397-08002B2CF9AE}" pid="11" name="Objective-Owner">
    <vt:lpwstr>James Champion</vt:lpwstr>
  </property>
  <property fmtid="{D5CDD505-2E9C-101B-9397-08002B2CF9AE}" pid="12" name="Objective-Path">
    <vt:lpwstr>ASIC BCS:REGULATION &amp; COMPLIANCE:Business Activity Projects:Compliance &amp; Campaign Projects:Investment Managers &amp; Superannuation:Fee Disclosure Project 2013-2014:</vt:lpwstr>
  </property>
  <property fmtid="{D5CDD505-2E9C-101B-9397-08002B2CF9AE}" pid="13" name="Objective-Parent">
    <vt:lpwstr>Fee Disclosure Project 2013-2014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8.1</vt:lpwstr>
  </property>
  <property fmtid="{D5CDD505-2E9C-101B-9397-08002B2CF9AE}" pid="16" name="Objective-VersionNumber">
    <vt:i4>10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2013 - 005604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</Properties>
</file>