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56894" w:rsidRDefault="00193461" w:rsidP="00C63713">
      <w:pPr>
        <w:rPr>
          <w:sz w:val="28"/>
        </w:rPr>
      </w:pPr>
      <w:r w:rsidRPr="00056894">
        <w:rPr>
          <w:noProof/>
          <w:lang w:eastAsia="en-AU"/>
        </w:rPr>
        <w:drawing>
          <wp:inline distT="0" distB="0" distL="0" distR="0" wp14:anchorId="62E25014" wp14:editId="1F26F2F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56894" w:rsidRDefault="0048364F" w:rsidP="0048364F">
      <w:pPr>
        <w:rPr>
          <w:sz w:val="19"/>
        </w:rPr>
      </w:pPr>
    </w:p>
    <w:p w:rsidR="0048364F" w:rsidRPr="00056894" w:rsidRDefault="00905C24" w:rsidP="0048364F">
      <w:pPr>
        <w:pStyle w:val="ShortT"/>
      </w:pPr>
      <w:r w:rsidRPr="00056894">
        <w:t xml:space="preserve">Health Insurance </w:t>
      </w:r>
      <w:r w:rsidR="00D92B9F" w:rsidRPr="00056894">
        <w:t>Legislation</w:t>
      </w:r>
      <w:r w:rsidR="004863F3" w:rsidRPr="00056894">
        <w:t xml:space="preserve"> </w:t>
      </w:r>
      <w:r w:rsidRPr="00056894">
        <w:t>Amendment (Optometric Services</w:t>
      </w:r>
      <w:r w:rsidR="00D92B9F" w:rsidRPr="00056894">
        <w:t xml:space="preserve"> and Other Measures</w:t>
      </w:r>
      <w:r w:rsidRPr="00056894">
        <w:t>) Regulation</w:t>
      </w:r>
      <w:r w:rsidR="00056894" w:rsidRPr="00056894">
        <w:t> </w:t>
      </w:r>
      <w:r w:rsidRPr="00056894">
        <w:t>2014</w:t>
      </w:r>
    </w:p>
    <w:p w:rsidR="0048364F" w:rsidRPr="00056894" w:rsidRDefault="0048364F" w:rsidP="0048364F"/>
    <w:p w:rsidR="0048364F" w:rsidRPr="00056894" w:rsidRDefault="00A4361F" w:rsidP="00680F17">
      <w:pPr>
        <w:pStyle w:val="InstNo"/>
      </w:pPr>
      <w:r w:rsidRPr="00056894">
        <w:t>Select Legislative Instrument</w:t>
      </w:r>
      <w:r w:rsidR="00154EAC" w:rsidRPr="00056894">
        <w:t xml:space="preserve"> </w:t>
      </w:r>
      <w:bookmarkStart w:id="0" w:name="BKCheck15B_1"/>
      <w:bookmarkEnd w:id="0"/>
      <w:r w:rsidR="00D0104A" w:rsidRPr="00056894">
        <w:fldChar w:fldCharType="begin"/>
      </w:r>
      <w:r w:rsidR="00D0104A" w:rsidRPr="00056894">
        <w:instrText xml:space="preserve"> DOCPROPERTY  ActNo </w:instrText>
      </w:r>
      <w:r w:rsidR="00D0104A" w:rsidRPr="00056894">
        <w:fldChar w:fldCharType="separate"/>
      </w:r>
      <w:r w:rsidR="00CF7C05">
        <w:t>No. 195, 2014</w:t>
      </w:r>
      <w:r w:rsidR="00D0104A" w:rsidRPr="00056894">
        <w:fldChar w:fldCharType="end"/>
      </w:r>
    </w:p>
    <w:p w:rsidR="00192078" w:rsidRPr="00056894" w:rsidRDefault="00192078" w:rsidP="006975AA">
      <w:pPr>
        <w:pStyle w:val="SignCoverPageStart"/>
        <w:spacing w:before="240"/>
        <w:rPr>
          <w:szCs w:val="22"/>
        </w:rPr>
      </w:pPr>
      <w:r w:rsidRPr="00056894">
        <w:rPr>
          <w:szCs w:val="22"/>
        </w:rPr>
        <w:t xml:space="preserve">I, General the Honourable Sir Peter Cosgrove AK MC (Ret’d), </w:t>
      </w:r>
      <w:r w:rsidR="00056894" w:rsidRPr="00056894">
        <w:rPr>
          <w:szCs w:val="22"/>
        </w:rPr>
        <w:t>Governor</w:t>
      </w:r>
      <w:r w:rsidR="00056894">
        <w:rPr>
          <w:szCs w:val="22"/>
        </w:rPr>
        <w:noBreakHyphen/>
      </w:r>
      <w:r w:rsidR="00056894" w:rsidRPr="00056894">
        <w:rPr>
          <w:szCs w:val="22"/>
        </w:rPr>
        <w:t>General</w:t>
      </w:r>
      <w:r w:rsidRPr="00056894">
        <w:rPr>
          <w:szCs w:val="22"/>
        </w:rPr>
        <w:t xml:space="preserve"> of the Commonwealth of Australia, acting with the advice of the Federal Executive Council, make the following regulation.</w:t>
      </w:r>
    </w:p>
    <w:p w:rsidR="00192078" w:rsidRPr="00056894" w:rsidRDefault="00192078" w:rsidP="006975AA">
      <w:pPr>
        <w:keepNext/>
        <w:spacing w:before="720" w:line="240" w:lineRule="atLeast"/>
        <w:ind w:right="397"/>
        <w:jc w:val="both"/>
        <w:rPr>
          <w:szCs w:val="22"/>
        </w:rPr>
      </w:pPr>
      <w:r w:rsidRPr="00056894">
        <w:rPr>
          <w:szCs w:val="22"/>
        </w:rPr>
        <w:t xml:space="preserve">Dated </w:t>
      </w:r>
      <w:bookmarkStart w:id="1" w:name="BKCheck15B_2"/>
      <w:bookmarkEnd w:id="1"/>
      <w:r w:rsidRPr="00056894">
        <w:rPr>
          <w:szCs w:val="22"/>
        </w:rPr>
        <w:fldChar w:fldCharType="begin"/>
      </w:r>
      <w:r w:rsidRPr="00056894">
        <w:rPr>
          <w:szCs w:val="22"/>
        </w:rPr>
        <w:instrText xml:space="preserve"> DOCPROPERTY  DateMade </w:instrText>
      </w:r>
      <w:r w:rsidRPr="00056894">
        <w:rPr>
          <w:szCs w:val="22"/>
        </w:rPr>
        <w:fldChar w:fldCharType="separate"/>
      </w:r>
      <w:r w:rsidR="00CF7C05">
        <w:rPr>
          <w:szCs w:val="22"/>
        </w:rPr>
        <w:t>11 December 2014</w:t>
      </w:r>
      <w:r w:rsidRPr="00056894">
        <w:rPr>
          <w:szCs w:val="22"/>
        </w:rPr>
        <w:fldChar w:fldCharType="end"/>
      </w:r>
    </w:p>
    <w:p w:rsidR="00192078" w:rsidRPr="00056894" w:rsidRDefault="00192078" w:rsidP="006975AA">
      <w:pPr>
        <w:keepNext/>
        <w:tabs>
          <w:tab w:val="left" w:pos="3402"/>
        </w:tabs>
        <w:spacing w:before="1080" w:line="300" w:lineRule="atLeast"/>
        <w:ind w:left="397" w:right="397"/>
        <w:jc w:val="right"/>
        <w:rPr>
          <w:szCs w:val="22"/>
        </w:rPr>
      </w:pPr>
      <w:r w:rsidRPr="00056894">
        <w:rPr>
          <w:szCs w:val="22"/>
        </w:rPr>
        <w:t>Peter Cosgrove</w:t>
      </w:r>
    </w:p>
    <w:p w:rsidR="00192078" w:rsidRPr="00056894" w:rsidRDefault="00056894" w:rsidP="006975AA">
      <w:pPr>
        <w:keepNext/>
        <w:tabs>
          <w:tab w:val="left" w:pos="3402"/>
        </w:tabs>
        <w:spacing w:line="300" w:lineRule="atLeast"/>
        <w:ind w:left="397" w:right="397"/>
        <w:jc w:val="right"/>
        <w:rPr>
          <w:szCs w:val="22"/>
        </w:rPr>
      </w:pPr>
      <w:r w:rsidRPr="00056894">
        <w:rPr>
          <w:szCs w:val="22"/>
        </w:rPr>
        <w:t>Governor</w:t>
      </w:r>
      <w:r>
        <w:rPr>
          <w:szCs w:val="22"/>
        </w:rPr>
        <w:noBreakHyphen/>
      </w:r>
      <w:r w:rsidRPr="00056894">
        <w:rPr>
          <w:szCs w:val="22"/>
        </w:rPr>
        <w:t>General</w:t>
      </w:r>
    </w:p>
    <w:p w:rsidR="00192078" w:rsidRPr="00056894" w:rsidRDefault="00192078" w:rsidP="006975AA">
      <w:pPr>
        <w:keepNext/>
        <w:tabs>
          <w:tab w:val="left" w:pos="3402"/>
        </w:tabs>
        <w:spacing w:before="840" w:after="1080" w:line="300" w:lineRule="atLeast"/>
        <w:ind w:right="397"/>
        <w:rPr>
          <w:szCs w:val="22"/>
        </w:rPr>
      </w:pPr>
      <w:r w:rsidRPr="00056894">
        <w:rPr>
          <w:szCs w:val="22"/>
        </w:rPr>
        <w:t>By His Excellency’s Command</w:t>
      </w:r>
    </w:p>
    <w:p w:rsidR="00192078" w:rsidRPr="00056894" w:rsidRDefault="00192078" w:rsidP="006975AA">
      <w:pPr>
        <w:keepNext/>
        <w:tabs>
          <w:tab w:val="left" w:pos="3402"/>
        </w:tabs>
        <w:spacing w:before="480" w:line="300" w:lineRule="atLeast"/>
        <w:ind w:right="397"/>
        <w:rPr>
          <w:szCs w:val="22"/>
        </w:rPr>
      </w:pPr>
      <w:r w:rsidRPr="00056894">
        <w:rPr>
          <w:szCs w:val="22"/>
        </w:rPr>
        <w:t>Peter Dutton</w:t>
      </w:r>
    </w:p>
    <w:p w:rsidR="00192078" w:rsidRPr="00056894" w:rsidRDefault="00192078" w:rsidP="000B5A9E">
      <w:pPr>
        <w:pStyle w:val="SignCoverPageEnd"/>
        <w:rPr>
          <w:szCs w:val="22"/>
        </w:rPr>
      </w:pPr>
      <w:r w:rsidRPr="00056894">
        <w:rPr>
          <w:szCs w:val="22"/>
        </w:rPr>
        <w:t>Minister for Health</w:t>
      </w:r>
    </w:p>
    <w:p w:rsidR="0048364F" w:rsidRPr="00056894" w:rsidRDefault="0048364F" w:rsidP="0048364F">
      <w:pPr>
        <w:pStyle w:val="Header"/>
        <w:tabs>
          <w:tab w:val="clear" w:pos="4150"/>
          <w:tab w:val="clear" w:pos="8307"/>
        </w:tabs>
      </w:pPr>
      <w:r w:rsidRPr="00056894">
        <w:rPr>
          <w:rStyle w:val="CharAmSchNo"/>
        </w:rPr>
        <w:t xml:space="preserve"> </w:t>
      </w:r>
      <w:r w:rsidRPr="00056894">
        <w:rPr>
          <w:rStyle w:val="CharAmSchText"/>
        </w:rPr>
        <w:t xml:space="preserve"> </w:t>
      </w:r>
    </w:p>
    <w:p w:rsidR="0048364F" w:rsidRPr="00056894" w:rsidRDefault="0048364F" w:rsidP="0048364F">
      <w:pPr>
        <w:pStyle w:val="Header"/>
        <w:tabs>
          <w:tab w:val="clear" w:pos="4150"/>
          <w:tab w:val="clear" w:pos="8307"/>
        </w:tabs>
      </w:pPr>
      <w:r w:rsidRPr="00056894">
        <w:rPr>
          <w:rStyle w:val="CharAmPartNo"/>
        </w:rPr>
        <w:t xml:space="preserve"> </w:t>
      </w:r>
      <w:r w:rsidRPr="00056894">
        <w:rPr>
          <w:rStyle w:val="CharAmPartText"/>
        </w:rPr>
        <w:t xml:space="preserve"> </w:t>
      </w:r>
    </w:p>
    <w:p w:rsidR="0048364F" w:rsidRPr="00056894" w:rsidRDefault="0048364F" w:rsidP="0048364F">
      <w:pPr>
        <w:sectPr w:rsidR="0048364F" w:rsidRPr="00056894" w:rsidSect="00104CB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056894" w:rsidRDefault="0048364F" w:rsidP="00DE71E1">
      <w:pPr>
        <w:rPr>
          <w:sz w:val="36"/>
        </w:rPr>
      </w:pPr>
      <w:r w:rsidRPr="00056894">
        <w:rPr>
          <w:sz w:val="36"/>
        </w:rPr>
        <w:lastRenderedPageBreak/>
        <w:t>Contents</w:t>
      </w:r>
    </w:p>
    <w:bookmarkStart w:id="2" w:name="BKCheck15B_3"/>
    <w:bookmarkEnd w:id="2"/>
    <w:p w:rsidR="008529F3" w:rsidRPr="00056894" w:rsidRDefault="008529F3">
      <w:pPr>
        <w:pStyle w:val="TOC5"/>
        <w:rPr>
          <w:rFonts w:asciiTheme="minorHAnsi" w:eastAsiaTheme="minorEastAsia" w:hAnsiTheme="minorHAnsi" w:cstheme="minorBidi"/>
          <w:noProof/>
          <w:kern w:val="0"/>
          <w:sz w:val="22"/>
          <w:szCs w:val="22"/>
        </w:rPr>
      </w:pPr>
      <w:r w:rsidRPr="00056894">
        <w:fldChar w:fldCharType="begin"/>
      </w:r>
      <w:r w:rsidRPr="00056894">
        <w:instrText xml:space="preserve"> TOC \o "1-9" </w:instrText>
      </w:r>
      <w:r w:rsidRPr="00056894">
        <w:fldChar w:fldCharType="separate"/>
      </w:r>
      <w:r w:rsidRPr="00056894">
        <w:rPr>
          <w:noProof/>
        </w:rPr>
        <w:t>1</w:t>
      </w:r>
      <w:r w:rsidRPr="00056894">
        <w:rPr>
          <w:noProof/>
        </w:rPr>
        <w:tab/>
        <w:t>Name</w:t>
      </w:r>
      <w:r w:rsidRPr="00056894">
        <w:rPr>
          <w:noProof/>
        </w:rPr>
        <w:tab/>
      </w:r>
      <w:r w:rsidRPr="00056894">
        <w:rPr>
          <w:noProof/>
        </w:rPr>
        <w:fldChar w:fldCharType="begin"/>
      </w:r>
      <w:r w:rsidRPr="00056894">
        <w:rPr>
          <w:noProof/>
        </w:rPr>
        <w:instrText xml:space="preserve"> PAGEREF _Toc404081014 \h </w:instrText>
      </w:r>
      <w:r w:rsidRPr="00056894">
        <w:rPr>
          <w:noProof/>
        </w:rPr>
      </w:r>
      <w:r w:rsidRPr="00056894">
        <w:rPr>
          <w:noProof/>
        </w:rPr>
        <w:fldChar w:fldCharType="separate"/>
      </w:r>
      <w:r w:rsidR="00CF7C05">
        <w:rPr>
          <w:noProof/>
        </w:rPr>
        <w:t>1</w:t>
      </w:r>
      <w:r w:rsidRPr="00056894">
        <w:rPr>
          <w:noProof/>
        </w:rPr>
        <w:fldChar w:fldCharType="end"/>
      </w:r>
    </w:p>
    <w:p w:rsidR="008529F3" w:rsidRPr="00056894" w:rsidRDefault="008529F3">
      <w:pPr>
        <w:pStyle w:val="TOC5"/>
        <w:rPr>
          <w:rFonts w:asciiTheme="minorHAnsi" w:eastAsiaTheme="minorEastAsia" w:hAnsiTheme="minorHAnsi" w:cstheme="minorBidi"/>
          <w:noProof/>
          <w:kern w:val="0"/>
          <w:sz w:val="22"/>
          <w:szCs w:val="22"/>
        </w:rPr>
      </w:pPr>
      <w:r w:rsidRPr="00056894">
        <w:rPr>
          <w:noProof/>
        </w:rPr>
        <w:t>2</w:t>
      </w:r>
      <w:r w:rsidRPr="00056894">
        <w:rPr>
          <w:noProof/>
        </w:rPr>
        <w:tab/>
        <w:t>Commencement</w:t>
      </w:r>
      <w:r w:rsidRPr="00056894">
        <w:rPr>
          <w:noProof/>
        </w:rPr>
        <w:tab/>
      </w:r>
      <w:r w:rsidRPr="00056894">
        <w:rPr>
          <w:noProof/>
        </w:rPr>
        <w:fldChar w:fldCharType="begin"/>
      </w:r>
      <w:r w:rsidRPr="00056894">
        <w:rPr>
          <w:noProof/>
        </w:rPr>
        <w:instrText xml:space="preserve"> PAGEREF _Toc404081015 \h </w:instrText>
      </w:r>
      <w:r w:rsidRPr="00056894">
        <w:rPr>
          <w:noProof/>
        </w:rPr>
      </w:r>
      <w:r w:rsidRPr="00056894">
        <w:rPr>
          <w:noProof/>
        </w:rPr>
        <w:fldChar w:fldCharType="separate"/>
      </w:r>
      <w:r w:rsidR="00CF7C05">
        <w:rPr>
          <w:noProof/>
        </w:rPr>
        <w:t>1</w:t>
      </w:r>
      <w:r w:rsidRPr="00056894">
        <w:rPr>
          <w:noProof/>
        </w:rPr>
        <w:fldChar w:fldCharType="end"/>
      </w:r>
    </w:p>
    <w:p w:rsidR="008529F3" w:rsidRPr="00056894" w:rsidRDefault="008529F3">
      <w:pPr>
        <w:pStyle w:val="TOC5"/>
        <w:rPr>
          <w:rFonts w:asciiTheme="minorHAnsi" w:eastAsiaTheme="minorEastAsia" w:hAnsiTheme="minorHAnsi" w:cstheme="minorBidi"/>
          <w:noProof/>
          <w:kern w:val="0"/>
          <w:sz w:val="22"/>
          <w:szCs w:val="22"/>
        </w:rPr>
      </w:pPr>
      <w:r w:rsidRPr="00056894">
        <w:rPr>
          <w:noProof/>
        </w:rPr>
        <w:t>3</w:t>
      </w:r>
      <w:r w:rsidRPr="00056894">
        <w:rPr>
          <w:noProof/>
        </w:rPr>
        <w:tab/>
        <w:t>Authority</w:t>
      </w:r>
      <w:r w:rsidRPr="00056894">
        <w:rPr>
          <w:noProof/>
        </w:rPr>
        <w:tab/>
      </w:r>
      <w:r w:rsidRPr="00056894">
        <w:rPr>
          <w:noProof/>
        </w:rPr>
        <w:fldChar w:fldCharType="begin"/>
      </w:r>
      <w:r w:rsidRPr="00056894">
        <w:rPr>
          <w:noProof/>
        </w:rPr>
        <w:instrText xml:space="preserve"> PAGEREF _Toc404081016 \h </w:instrText>
      </w:r>
      <w:r w:rsidRPr="00056894">
        <w:rPr>
          <w:noProof/>
        </w:rPr>
      </w:r>
      <w:r w:rsidRPr="00056894">
        <w:rPr>
          <w:noProof/>
        </w:rPr>
        <w:fldChar w:fldCharType="separate"/>
      </w:r>
      <w:r w:rsidR="00CF7C05">
        <w:rPr>
          <w:noProof/>
        </w:rPr>
        <w:t>1</w:t>
      </w:r>
      <w:r w:rsidRPr="00056894">
        <w:rPr>
          <w:noProof/>
        </w:rPr>
        <w:fldChar w:fldCharType="end"/>
      </w:r>
    </w:p>
    <w:p w:rsidR="008529F3" w:rsidRPr="00056894" w:rsidRDefault="008529F3">
      <w:pPr>
        <w:pStyle w:val="TOC5"/>
        <w:rPr>
          <w:rFonts w:asciiTheme="minorHAnsi" w:eastAsiaTheme="minorEastAsia" w:hAnsiTheme="minorHAnsi" w:cstheme="minorBidi"/>
          <w:noProof/>
          <w:kern w:val="0"/>
          <w:sz w:val="22"/>
          <w:szCs w:val="22"/>
        </w:rPr>
      </w:pPr>
      <w:r w:rsidRPr="00056894">
        <w:rPr>
          <w:noProof/>
        </w:rPr>
        <w:t>4</w:t>
      </w:r>
      <w:r w:rsidRPr="00056894">
        <w:rPr>
          <w:noProof/>
        </w:rPr>
        <w:tab/>
        <w:t>Schedules</w:t>
      </w:r>
      <w:r w:rsidRPr="00056894">
        <w:rPr>
          <w:noProof/>
        </w:rPr>
        <w:tab/>
      </w:r>
      <w:r w:rsidRPr="00056894">
        <w:rPr>
          <w:noProof/>
        </w:rPr>
        <w:fldChar w:fldCharType="begin"/>
      </w:r>
      <w:r w:rsidRPr="00056894">
        <w:rPr>
          <w:noProof/>
        </w:rPr>
        <w:instrText xml:space="preserve"> PAGEREF _Toc404081017 \h </w:instrText>
      </w:r>
      <w:r w:rsidRPr="00056894">
        <w:rPr>
          <w:noProof/>
        </w:rPr>
      </w:r>
      <w:r w:rsidRPr="00056894">
        <w:rPr>
          <w:noProof/>
        </w:rPr>
        <w:fldChar w:fldCharType="separate"/>
      </w:r>
      <w:r w:rsidR="00CF7C05">
        <w:rPr>
          <w:noProof/>
        </w:rPr>
        <w:t>1</w:t>
      </w:r>
      <w:r w:rsidRPr="00056894">
        <w:rPr>
          <w:noProof/>
        </w:rPr>
        <w:fldChar w:fldCharType="end"/>
      </w:r>
    </w:p>
    <w:p w:rsidR="008529F3" w:rsidRPr="00056894" w:rsidRDefault="008529F3">
      <w:pPr>
        <w:pStyle w:val="TOC6"/>
        <w:rPr>
          <w:rFonts w:asciiTheme="minorHAnsi" w:eastAsiaTheme="minorEastAsia" w:hAnsiTheme="minorHAnsi" w:cstheme="minorBidi"/>
          <w:b w:val="0"/>
          <w:noProof/>
          <w:kern w:val="0"/>
          <w:sz w:val="22"/>
          <w:szCs w:val="22"/>
        </w:rPr>
      </w:pPr>
      <w:r w:rsidRPr="00056894">
        <w:rPr>
          <w:noProof/>
        </w:rPr>
        <w:t>Schedule</w:t>
      </w:r>
      <w:r w:rsidR="00056894" w:rsidRPr="00056894">
        <w:rPr>
          <w:noProof/>
        </w:rPr>
        <w:t> </w:t>
      </w:r>
      <w:r w:rsidRPr="00056894">
        <w:rPr>
          <w:noProof/>
        </w:rPr>
        <w:t>1—Amendments</w:t>
      </w:r>
      <w:r w:rsidRPr="00056894">
        <w:rPr>
          <w:b w:val="0"/>
          <w:noProof/>
          <w:sz w:val="18"/>
        </w:rPr>
        <w:tab/>
      </w:r>
      <w:r w:rsidRPr="00056894">
        <w:rPr>
          <w:b w:val="0"/>
          <w:noProof/>
          <w:sz w:val="18"/>
        </w:rPr>
        <w:fldChar w:fldCharType="begin"/>
      </w:r>
      <w:r w:rsidRPr="00056894">
        <w:rPr>
          <w:b w:val="0"/>
          <w:noProof/>
          <w:sz w:val="18"/>
        </w:rPr>
        <w:instrText xml:space="preserve"> PAGEREF _Toc404081018 \h </w:instrText>
      </w:r>
      <w:r w:rsidRPr="00056894">
        <w:rPr>
          <w:b w:val="0"/>
          <w:noProof/>
          <w:sz w:val="18"/>
        </w:rPr>
      </w:r>
      <w:r w:rsidRPr="00056894">
        <w:rPr>
          <w:b w:val="0"/>
          <w:noProof/>
          <w:sz w:val="18"/>
        </w:rPr>
        <w:fldChar w:fldCharType="separate"/>
      </w:r>
      <w:r w:rsidR="00CF7C05">
        <w:rPr>
          <w:b w:val="0"/>
          <w:noProof/>
          <w:sz w:val="18"/>
        </w:rPr>
        <w:t>2</w:t>
      </w:r>
      <w:r w:rsidRPr="00056894">
        <w:rPr>
          <w:b w:val="0"/>
          <w:noProof/>
          <w:sz w:val="18"/>
        </w:rPr>
        <w:fldChar w:fldCharType="end"/>
      </w:r>
    </w:p>
    <w:p w:rsidR="008529F3" w:rsidRPr="00056894" w:rsidRDefault="008529F3">
      <w:pPr>
        <w:pStyle w:val="TOC7"/>
        <w:rPr>
          <w:rFonts w:asciiTheme="minorHAnsi" w:eastAsiaTheme="minorEastAsia" w:hAnsiTheme="minorHAnsi" w:cstheme="minorBidi"/>
          <w:noProof/>
          <w:kern w:val="0"/>
          <w:sz w:val="22"/>
          <w:szCs w:val="22"/>
        </w:rPr>
      </w:pPr>
      <w:r w:rsidRPr="00056894">
        <w:rPr>
          <w:noProof/>
        </w:rPr>
        <w:t>Part</w:t>
      </w:r>
      <w:r w:rsidR="00056894" w:rsidRPr="00056894">
        <w:rPr>
          <w:noProof/>
        </w:rPr>
        <w:t> </w:t>
      </w:r>
      <w:r w:rsidRPr="00056894">
        <w:rPr>
          <w:noProof/>
        </w:rPr>
        <w:t>1—Optometric services</w:t>
      </w:r>
      <w:r w:rsidRPr="00056894">
        <w:rPr>
          <w:noProof/>
          <w:sz w:val="18"/>
        </w:rPr>
        <w:tab/>
      </w:r>
      <w:r w:rsidRPr="00056894">
        <w:rPr>
          <w:noProof/>
          <w:sz w:val="18"/>
        </w:rPr>
        <w:fldChar w:fldCharType="begin"/>
      </w:r>
      <w:r w:rsidRPr="00056894">
        <w:rPr>
          <w:noProof/>
          <w:sz w:val="18"/>
        </w:rPr>
        <w:instrText xml:space="preserve"> PAGEREF _Toc404081019 \h </w:instrText>
      </w:r>
      <w:r w:rsidRPr="00056894">
        <w:rPr>
          <w:noProof/>
          <w:sz w:val="18"/>
        </w:rPr>
      </w:r>
      <w:r w:rsidRPr="00056894">
        <w:rPr>
          <w:noProof/>
          <w:sz w:val="18"/>
        </w:rPr>
        <w:fldChar w:fldCharType="separate"/>
      </w:r>
      <w:r w:rsidR="00CF7C05">
        <w:rPr>
          <w:noProof/>
          <w:sz w:val="18"/>
        </w:rPr>
        <w:t>2</w:t>
      </w:r>
      <w:r w:rsidRPr="00056894">
        <w:rPr>
          <w:noProof/>
          <w:sz w:val="18"/>
        </w:rPr>
        <w:fldChar w:fldCharType="end"/>
      </w:r>
    </w:p>
    <w:p w:rsidR="008529F3" w:rsidRPr="00056894" w:rsidRDefault="008529F3">
      <w:pPr>
        <w:pStyle w:val="TOC9"/>
        <w:rPr>
          <w:rFonts w:asciiTheme="minorHAnsi" w:eastAsiaTheme="minorEastAsia" w:hAnsiTheme="minorHAnsi" w:cstheme="minorBidi"/>
          <w:i w:val="0"/>
          <w:noProof/>
          <w:kern w:val="0"/>
          <w:sz w:val="22"/>
          <w:szCs w:val="22"/>
        </w:rPr>
      </w:pPr>
      <w:r w:rsidRPr="00056894">
        <w:rPr>
          <w:noProof/>
        </w:rPr>
        <w:t>Health Insurance (General Medical Services Table) Regulation</w:t>
      </w:r>
      <w:r w:rsidR="00056894" w:rsidRPr="00056894">
        <w:rPr>
          <w:noProof/>
        </w:rPr>
        <w:t> </w:t>
      </w:r>
      <w:r w:rsidRPr="00056894">
        <w:rPr>
          <w:noProof/>
        </w:rPr>
        <w:t>2014</w:t>
      </w:r>
      <w:r w:rsidRPr="00056894">
        <w:rPr>
          <w:i w:val="0"/>
          <w:noProof/>
          <w:sz w:val="18"/>
        </w:rPr>
        <w:tab/>
      </w:r>
      <w:r w:rsidRPr="00056894">
        <w:rPr>
          <w:i w:val="0"/>
          <w:noProof/>
          <w:sz w:val="18"/>
        </w:rPr>
        <w:fldChar w:fldCharType="begin"/>
      </w:r>
      <w:r w:rsidRPr="00056894">
        <w:rPr>
          <w:i w:val="0"/>
          <w:noProof/>
          <w:sz w:val="18"/>
        </w:rPr>
        <w:instrText xml:space="preserve"> PAGEREF _Toc404081020 \h </w:instrText>
      </w:r>
      <w:r w:rsidRPr="00056894">
        <w:rPr>
          <w:i w:val="0"/>
          <w:noProof/>
          <w:sz w:val="18"/>
        </w:rPr>
      </w:r>
      <w:r w:rsidRPr="00056894">
        <w:rPr>
          <w:i w:val="0"/>
          <w:noProof/>
          <w:sz w:val="18"/>
        </w:rPr>
        <w:fldChar w:fldCharType="separate"/>
      </w:r>
      <w:r w:rsidR="00CF7C05">
        <w:rPr>
          <w:i w:val="0"/>
          <w:noProof/>
          <w:sz w:val="18"/>
        </w:rPr>
        <w:t>2</w:t>
      </w:r>
      <w:r w:rsidRPr="00056894">
        <w:rPr>
          <w:i w:val="0"/>
          <w:noProof/>
          <w:sz w:val="18"/>
        </w:rPr>
        <w:fldChar w:fldCharType="end"/>
      </w:r>
    </w:p>
    <w:p w:rsidR="008529F3" w:rsidRPr="00056894" w:rsidRDefault="008529F3">
      <w:pPr>
        <w:pStyle w:val="TOC7"/>
        <w:rPr>
          <w:rFonts w:asciiTheme="minorHAnsi" w:eastAsiaTheme="minorEastAsia" w:hAnsiTheme="minorHAnsi" w:cstheme="minorBidi"/>
          <w:noProof/>
          <w:kern w:val="0"/>
          <w:sz w:val="22"/>
          <w:szCs w:val="22"/>
        </w:rPr>
      </w:pPr>
      <w:r w:rsidRPr="00056894">
        <w:rPr>
          <w:noProof/>
        </w:rPr>
        <w:t>Part</w:t>
      </w:r>
      <w:r w:rsidR="00056894" w:rsidRPr="00056894">
        <w:rPr>
          <w:noProof/>
        </w:rPr>
        <w:t> </w:t>
      </w:r>
      <w:r w:rsidRPr="00056894">
        <w:rPr>
          <w:noProof/>
        </w:rPr>
        <w:t>2—Other amendments</w:t>
      </w:r>
      <w:r w:rsidRPr="00056894">
        <w:rPr>
          <w:noProof/>
          <w:sz w:val="18"/>
        </w:rPr>
        <w:tab/>
      </w:r>
      <w:r w:rsidRPr="00056894">
        <w:rPr>
          <w:noProof/>
          <w:sz w:val="18"/>
        </w:rPr>
        <w:fldChar w:fldCharType="begin"/>
      </w:r>
      <w:r w:rsidRPr="00056894">
        <w:rPr>
          <w:noProof/>
          <w:sz w:val="18"/>
        </w:rPr>
        <w:instrText xml:space="preserve"> PAGEREF _Toc404081023 \h </w:instrText>
      </w:r>
      <w:r w:rsidRPr="00056894">
        <w:rPr>
          <w:noProof/>
          <w:sz w:val="18"/>
        </w:rPr>
      </w:r>
      <w:r w:rsidRPr="00056894">
        <w:rPr>
          <w:noProof/>
          <w:sz w:val="18"/>
        </w:rPr>
        <w:fldChar w:fldCharType="separate"/>
      </w:r>
      <w:r w:rsidR="00CF7C05">
        <w:rPr>
          <w:noProof/>
          <w:sz w:val="18"/>
        </w:rPr>
        <w:t>9</w:t>
      </w:r>
      <w:r w:rsidRPr="00056894">
        <w:rPr>
          <w:noProof/>
          <w:sz w:val="18"/>
        </w:rPr>
        <w:fldChar w:fldCharType="end"/>
      </w:r>
    </w:p>
    <w:p w:rsidR="008529F3" w:rsidRPr="00056894" w:rsidRDefault="008529F3">
      <w:pPr>
        <w:pStyle w:val="TOC9"/>
        <w:rPr>
          <w:rFonts w:asciiTheme="minorHAnsi" w:eastAsiaTheme="minorEastAsia" w:hAnsiTheme="minorHAnsi" w:cstheme="minorBidi"/>
          <w:i w:val="0"/>
          <w:noProof/>
          <w:kern w:val="0"/>
          <w:sz w:val="22"/>
          <w:szCs w:val="22"/>
        </w:rPr>
      </w:pPr>
      <w:r w:rsidRPr="00056894">
        <w:rPr>
          <w:noProof/>
        </w:rPr>
        <w:t>Health Insurance (Diagnostic Imaging Services Table) Regulation</w:t>
      </w:r>
      <w:r w:rsidR="00056894" w:rsidRPr="00056894">
        <w:rPr>
          <w:noProof/>
        </w:rPr>
        <w:t> </w:t>
      </w:r>
      <w:r w:rsidRPr="00056894">
        <w:rPr>
          <w:noProof/>
        </w:rPr>
        <w:t>2014</w:t>
      </w:r>
      <w:r w:rsidRPr="00056894">
        <w:rPr>
          <w:i w:val="0"/>
          <w:noProof/>
          <w:sz w:val="18"/>
        </w:rPr>
        <w:tab/>
      </w:r>
      <w:r w:rsidRPr="00056894">
        <w:rPr>
          <w:i w:val="0"/>
          <w:noProof/>
          <w:sz w:val="18"/>
        </w:rPr>
        <w:fldChar w:fldCharType="begin"/>
      </w:r>
      <w:r w:rsidRPr="00056894">
        <w:rPr>
          <w:i w:val="0"/>
          <w:noProof/>
          <w:sz w:val="18"/>
        </w:rPr>
        <w:instrText xml:space="preserve"> PAGEREF _Toc404081024 \h </w:instrText>
      </w:r>
      <w:r w:rsidRPr="00056894">
        <w:rPr>
          <w:i w:val="0"/>
          <w:noProof/>
          <w:sz w:val="18"/>
        </w:rPr>
      </w:r>
      <w:r w:rsidRPr="00056894">
        <w:rPr>
          <w:i w:val="0"/>
          <w:noProof/>
          <w:sz w:val="18"/>
        </w:rPr>
        <w:fldChar w:fldCharType="separate"/>
      </w:r>
      <w:r w:rsidR="00CF7C05">
        <w:rPr>
          <w:i w:val="0"/>
          <w:noProof/>
          <w:sz w:val="18"/>
        </w:rPr>
        <w:t>9</w:t>
      </w:r>
      <w:r w:rsidRPr="00056894">
        <w:rPr>
          <w:i w:val="0"/>
          <w:noProof/>
          <w:sz w:val="18"/>
        </w:rPr>
        <w:fldChar w:fldCharType="end"/>
      </w:r>
    </w:p>
    <w:p w:rsidR="008529F3" w:rsidRPr="00056894" w:rsidRDefault="008529F3">
      <w:pPr>
        <w:pStyle w:val="TOC9"/>
        <w:rPr>
          <w:rFonts w:asciiTheme="minorHAnsi" w:eastAsiaTheme="minorEastAsia" w:hAnsiTheme="minorHAnsi" w:cstheme="minorBidi"/>
          <w:i w:val="0"/>
          <w:noProof/>
          <w:kern w:val="0"/>
          <w:sz w:val="22"/>
          <w:szCs w:val="22"/>
        </w:rPr>
      </w:pPr>
      <w:r w:rsidRPr="00056894">
        <w:rPr>
          <w:noProof/>
        </w:rPr>
        <w:t>Health Insurance Regulations</w:t>
      </w:r>
      <w:r w:rsidR="00056894" w:rsidRPr="00056894">
        <w:rPr>
          <w:noProof/>
        </w:rPr>
        <w:t> </w:t>
      </w:r>
      <w:r w:rsidRPr="00056894">
        <w:rPr>
          <w:noProof/>
        </w:rPr>
        <w:t>1975</w:t>
      </w:r>
      <w:r w:rsidRPr="00056894">
        <w:rPr>
          <w:i w:val="0"/>
          <w:noProof/>
          <w:sz w:val="18"/>
        </w:rPr>
        <w:tab/>
      </w:r>
      <w:r w:rsidRPr="00056894">
        <w:rPr>
          <w:i w:val="0"/>
          <w:noProof/>
          <w:sz w:val="18"/>
        </w:rPr>
        <w:fldChar w:fldCharType="begin"/>
      </w:r>
      <w:r w:rsidRPr="00056894">
        <w:rPr>
          <w:i w:val="0"/>
          <w:noProof/>
          <w:sz w:val="18"/>
        </w:rPr>
        <w:instrText xml:space="preserve"> PAGEREF _Toc404081026 \h </w:instrText>
      </w:r>
      <w:r w:rsidRPr="00056894">
        <w:rPr>
          <w:i w:val="0"/>
          <w:noProof/>
          <w:sz w:val="18"/>
        </w:rPr>
      </w:r>
      <w:r w:rsidRPr="00056894">
        <w:rPr>
          <w:i w:val="0"/>
          <w:noProof/>
          <w:sz w:val="18"/>
        </w:rPr>
        <w:fldChar w:fldCharType="separate"/>
      </w:r>
      <w:r w:rsidR="00CF7C05">
        <w:rPr>
          <w:i w:val="0"/>
          <w:noProof/>
          <w:sz w:val="18"/>
        </w:rPr>
        <w:t>9</w:t>
      </w:r>
      <w:r w:rsidRPr="00056894">
        <w:rPr>
          <w:i w:val="0"/>
          <w:noProof/>
          <w:sz w:val="18"/>
        </w:rPr>
        <w:fldChar w:fldCharType="end"/>
      </w:r>
    </w:p>
    <w:p w:rsidR="00833416" w:rsidRPr="00056894" w:rsidRDefault="008529F3" w:rsidP="0048364F">
      <w:r w:rsidRPr="00056894">
        <w:fldChar w:fldCharType="end"/>
      </w:r>
    </w:p>
    <w:p w:rsidR="00722023" w:rsidRPr="00056894" w:rsidRDefault="00722023" w:rsidP="0048364F">
      <w:pPr>
        <w:sectPr w:rsidR="00722023" w:rsidRPr="00056894" w:rsidSect="00104CB6">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056894" w:rsidRDefault="0048364F" w:rsidP="0048364F">
      <w:pPr>
        <w:pStyle w:val="ActHead5"/>
      </w:pPr>
      <w:bookmarkStart w:id="3" w:name="_Toc404081014"/>
      <w:r w:rsidRPr="00056894">
        <w:rPr>
          <w:rStyle w:val="CharSectno"/>
        </w:rPr>
        <w:lastRenderedPageBreak/>
        <w:t>1</w:t>
      </w:r>
      <w:r w:rsidRPr="00056894">
        <w:t xml:space="preserve">  </w:t>
      </w:r>
      <w:r w:rsidR="004F676E" w:rsidRPr="00056894">
        <w:t>Name</w:t>
      </w:r>
      <w:bookmarkEnd w:id="3"/>
    </w:p>
    <w:p w:rsidR="0048364F" w:rsidRPr="00056894" w:rsidRDefault="0048364F" w:rsidP="0048364F">
      <w:pPr>
        <w:pStyle w:val="subsection"/>
      </w:pPr>
      <w:r w:rsidRPr="00056894">
        <w:tab/>
      </w:r>
      <w:r w:rsidRPr="00056894">
        <w:tab/>
        <w:t>Th</w:t>
      </w:r>
      <w:r w:rsidR="00F24C35" w:rsidRPr="00056894">
        <w:t>is</w:t>
      </w:r>
      <w:r w:rsidRPr="00056894">
        <w:t xml:space="preserve"> </w:t>
      </w:r>
      <w:r w:rsidR="00F24C35" w:rsidRPr="00056894">
        <w:t>is</w:t>
      </w:r>
      <w:r w:rsidR="003801D0" w:rsidRPr="00056894">
        <w:t xml:space="preserve"> the</w:t>
      </w:r>
      <w:r w:rsidRPr="00056894">
        <w:t xml:space="preserve"> </w:t>
      </w:r>
      <w:bookmarkStart w:id="4" w:name="BKCheck15B_4"/>
      <w:bookmarkEnd w:id="4"/>
      <w:r w:rsidR="00CB0180" w:rsidRPr="00056894">
        <w:rPr>
          <w:i/>
        </w:rPr>
        <w:fldChar w:fldCharType="begin"/>
      </w:r>
      <w:r w:rsidR="00CB0180" w:rsidRPr="00056894">
        <w:rPr>
          <w:i/>
        </w:rPr>
        <w:instrText xml:space="preserve"> STYLEREF  ShortT </w:instrText>
      </w:r>
      <w:r w:rsidR="00CB0180" w:rsidRPr="00056894">
        <w:rPr>
          <w:i/>
        </w:rPr>
        <w:fldChar w:fldCharType="separate"/>
      </w:r>
      <w:r w:rsidR="00CF7C05">
        <w:rPr>
          <w:i/>
          <w:noProof/>
        </w:rPr>
        <w:t>Health Insurance Legislation Amendment (Optometric Services and Other Measures) Regulation 2014</w:t>
      </w:r>
      <w:r w:rsidR="00CB0180" w:rsidRPr="00056894">
        <w:rPr>
          <w:i/>
        </w:rPr>
        <w:fldChar w:fldCharType="end"/>
      </w:r>
      <w:r w:rsidRPr="00056894">
        <w:t>.</w:t>
      </w:r>
    </w:p>
    <w:p w:rsidR="0048364F" w:rsidRPr="00056894" w:rsidRDefault="0048364F" w:rsidP="0048364F">
      <w:pPr>
        <w:pStyle w:val="ActHead5"/>
      </w:pPr>
      <w:bookmarkStart w:id="5" w:name="_Toc404081015"/>
      <w:r w:rsidRPr="00056894">
        <w:rPr>
          <w:rStyle w:val="CharSectno"/>
        </w:rPr>
        <w:t>2</w:t>
      </w:r>
      <w:r w:rsidRPr="00056894">
        <w:t xml:space="preserve">  Commencement</w:t>
      </w:r>
      <w:bookmarkEnd w:id="5"/>
    </w:p>
    <w:p w:rsidR="00A34A5F" w:rsidRPr="00056894" w:rsidRDefault="00A34A5F" w:rsidP="00D63EC3">
      <w:pPr>
        <w:pStyle w:val="subsection"/>
      </w:pPr>
      <w:bookmarkStart w:id="6" w:name="_GoBack"/>
      <w:r w:rsidRPr="00056894">
        <w:tab/>
      </w:r>
      <w:r w:rsidRPr="00056894">
        <w:tab/>
        <w:t>Each provision of this instrument specified in column 1 of the table commences, or is taken to have commenced, in accordance with column 2 of the table. Any other statement in column 2 has effect according to its terms.</w:t>
      </w:r>
      <w:bookmarkEnd w:id="6"/>
    </w:p>
    <w:p w:rsidR="00A34A5F" w:rsidRPr="00056894" w:rsidRDefault="00A34A5F" w:rsidP="00D63EC3">
      <w:pPr>
        <w:pStyle w:val="Tabletext"/>
      </w:pPr>
    </w:p>
    <w:tbl>
      <w:tblPr>
        <w:tblW w:w="4854" w:type="pct"/>
        <w:tblInd w:w="107" w:type="dxa"/>
        <w:tblLayout w:type="fixed"/>
        <w:tblCellMar>
          <w:left w:w="107" w:type="dxa"/>
          <w:right w:w="107" w:type="dxa"/>
        </w:tblCellMar>
        <w:tblLook w:val="04A0" w:firstRow="1" w:lastRow="0" w:firstColumn="1" w:lastColumn="0" w:noHBand="0" w:noVBand="1"/>
      </w:tblPr>
      <w:tblGrid>
        <w:gridCol w:w="2329"/>
        <w:gridCol w:w="4759"/>
      </w:tblGrid>
      <w:tr w:rsidR="00A34A5F" w:rsidRPr="00056894" w:rsidTr="00B97D42">
        <w:trPr>
          <w:cantSplit/>
          <w:tblHeader/>
        </w:trPr>
        <w:tc>
          <w:tcPr>
            <w:tcW w:w="7088" w:type="dxa"/>
            <w:gridSpan w:val="2"/>
            <w:tcBorders>
              <w:top w:val="single" w:sz="12" w:space="0" w:color="auto"/>
              <w:left w:val="nil"/>
              <w:bottom w:val="single" w:sz="6" w:space="0" w:color="auto"/>
              <w:right w:val="nil"/>
            </w:tcBorders>
            <w:hideMark/>
          </w:tcPr>
          <w:p w:rsidR="00A34A5F" w:rsidRPr="00056894" w:rsidRDefault="00A34A5F" w:rsidP="00900FD2">
            <w:pPr>
              <w:pStyle w:val="TableHeading"/>
            </w:pPr>
            <w:r w:rsidRPr="00056894">
              <w:t>Commencement information</w:t>
            </w:r>
          </w:p>
        </w:tc>
      </w:tr>
      <w:tr w:rsidR="00A34A5F" w:rsidRPr="00056894" w:rsidTr="00B97D42">
        <w:trPr>
          <w:cantSplit/>
          <w:tblHeader/>
        </w:trPr>
        <w:tc>
          <w:tcPr>
            <w:tcW w:w="2329" w:type="dxa"/>
            <w:tcBorders>
              <w:top w:val="single" w:sz="6" w:space="0" w:color="auto"/>
              <w:left w:val="nil"/>
              <w:bottom w:val="single" w:sz="6" w:space="0" w:color="auto"/>
              <w:right w:val="nil"/>
            </w:tcBorders>
            <w:hideMark/>
          </w:tcPr>
          <w:p w:rsidR="00A34A5F" w:rsidRPr="00056894" w:rsidRDefault="00A34A5F" w:rsidP="00900FD2">
            <w:pPr>
              <w:pStyle w:val="TableHeading"/>
            </w:pPr>
            <w:r w:rsidRPr="00056894">
              <w:t>Column 1</w:t>
            </w:r>
          </w:p>
        </w:tc>
        <w:tc>
          <w:tcPr>
            <w:tcW w:w="4759" w:type="dxa"/>
            <w:tcBorders>
              <w:top w:val="single" w:sz="6" w:space="0" w:color="auto"/>
              <w:left w:val="nil"/>
              <w:bottom w:val="single" w:sz="6" w:space="0" w:color="auto"/>
              <w:right w:val="nil"/>
            </w:tcBorders>
            <w:hideMark/>
          </w:tcPr>
          <w:p w:rsidR="00A34A5F" w:rsidRPr="00056894" w:rsidRDefault="00A34A5F" w:rsidP="00900FD2">
            <w:pPr>
              <w:pStyle w:val="TableHeading"/>
            </w:pPr>
            <w:r w:rsidRPr="00056894">
              <w:t>Column 2</w:t>
            </w:r>
          </w:p>
        </w:tc>
      </w:tr>
      <w:tr w:rsidR="00A34A5F" w:rsidRPr="00056894" w:rsidTr="00B97D42">
        <w:trPr>
          <w:cantSplit/>
          <w:tblHeader/>
        </w:trPr>
        <w:tc>
          <w:tcPr>
            <w:tcW w:w="2329" w:type="dxa"/>
            <w:tcBorders>
              <w:top w:val="single" w:sz="6" w:space="0" w:color="auto"/>
              <w:left w:val="nil"/>
              <w:bottom w:val="single" w:sz="12" w:space="0" w:color="auto"/>
              <w:right w:val="nil"/>
            </w:tcBorders>
            <w:hideMark/>
          </w:tcPr>
          <w:p w:rsidR="00A34A5F" w:rsidRPr="00056894" w:rsidRDefault="00A34A5F" w:rsidP="00900FD2">
            <w:pPr>
              <w:pStyle w:val="TableHeading"/>
            </w:pPr>
            <w:r w:rsidRPr="00056894">
              <w:t>Provisions</w:t>
            </w:r>
          </w:p>
        </w:tc>
        <w:tc>
          <w:tcPr>
            <w:tcW w:w="4759" w:type="dxa"/>
            <w:tcBorders>
              <w:top w:val="single" w:sz="6" w:space="0" w:color="auto"/>
              <w:left w:val="nil"/>
              <w:bottom w:val="single" w:sz="12" w:space="0" w:color="auto"/>
              <w:right w:val="nil"/>
            </w:tcBorders>
            <w:hideMark/>
          </w:tcPr>
          <w:p w:rsidR="00A34A5F" w:rsidRPr="00056894" w:rsidRDefault="00A34A5F" w:rsidP="00900FD2">
            <w:pPr>
              <w:pStyle w:val="TableHeading"/>
            </w:pPr>
            <w:r w:rsidRPr="00056894">
              <w:t>Commencement</w:t>
            </w:r>
          </w:p>
        </w:tc>
      </w:tr>
      <w:tr w:rsidR="00A34A5F" w:rsidRPr="00056894" w:rsidTr="00B97D42">
        <w:trPr>
          <w:cantSplit/>
        </w:trPr>
        <w:tc>
          <w:tcPr>
            <w:tcW w:w="2329" w:type="dxa"/>
            <w:tcBorders>
              <w:top w:val="single" w:sz="12" w:space="0" w:color="auto"/>
              <w:left w:val="nil"/>
              <w:bottom w:val="single" w:sz="2" w:space="0" w:color="auto"/>
              <w:right w:val="nil"/>
            </w:tcBorders>
            <w:hideMark/>
          </w:tcPr>
          <w:p w:rsidR="00A34A5F" w:rsidRPr="00056894" w:rsidRDefault="00A34A5F" w:rsidP="00D63EC3">
            <w:pPr>
              <w:pStyle w:val="Tabletext"/>
            </w:pPr>
            <w:r w:rsidRPr="00056894">
              <w:t>1.  Sections</w:t>
            </w:r>
            <w:r w:rsidR="00056894" w:rsidRPr="00056894">
              <w:t> </w:t>
            </w:r>
            <w:r w:rsidRPr="00056894">
              <w:t>1 to 4 and anything in this instrument not elsewhere covered by this table</w:t>
            </w:r>
          </w:p>
        </w:tc>
        <w:tc>
          <w:tcPr>
            <w:tcW w:w="4759" w:type="dxa"/>
            <w:tcBorders>
              <w:top w:val="single" w:sz="12" w:space="0" w:color="auto"/>
              <w:left w:val="nil"/>
              <w:bottom w:val="single" w:sz="2" w:space="0" w:color="auto"/>
              <w:right w:val="nil"/>
            </w:tcBorders>
            <w:hideMark/>
          </w:tcPr>
          <w:p w:rsidR="00A34A5F" w:rsidRPr="00056894" w:rsidRDefault="00A34A5F" w:rsidP="00D63EC3">
            <w:pPr>
              <w:pStyle w:val="Tabletext"/>
            </w:pPr>
            <w:r w:rsidRPr="00056894">
              <w:t>The day after this instrument is registered.</w:t>
            </w:r>
          </w:p>
        </w:tc>
      </w:tr>
      <w:tr w:rsidR="00A34A5F" w:rsidRPr="00056894" w:rsidTr="00B97D42">
        <w:trPr>
          <w:cantSplit/>
        </w:trPr>
        <w:tc>
          <w:tcPr>
            <w:tcW w:w="2329" w:type="dxa"/>
            <w:tcBorders>
              <w:top w:val="single" w:sz="2" w:space="0" w:color="auto"/>
              <w:left w:val="nil"/>
              <w:bottom w:val="single" w:sz="2" w:space="0" w:color="auto"/>
              <w:right w:val="nil"/>
            </w:tcBorders>
            <w:hideMark/>
          </w:tcPr>
          <w:p w:rsidR="00A34A5F" w:rsidRPr="00056894" w:rsidRDefault="00A34A5F" w:rsidP="00D63EC3">
            <w:pPr>
              <w:pStyle w:val="Tabletext"/>
            </w:pPr>
            <w:r w:rsidRPr="00056894">
              <w:t>2.  Schedule</w:t>
            </w:r>
            <w:r w:rsidR="00056894" w:rsidRPr="00056894">
              <w:t> </w:t>
            </w:r>
            <w:r w:rsidRPr="00056894">
              <w:t>1, Part</w:t>
            </w:r>
            <w:r w:rsidR="00056894" w:rsidRPr="00056894">
              <w:t> </w:t>
            </w:r>
            <w:r w:rsidRPr="00056894">
              <w:t>1</w:t>
            </w:r>
          </w:p>
        </w:tc>
        <w:tc>
          <w:tcPr>
            <w:tcW w:w="4759" w:type="dxa"/>
            <w:tcBorders>
              <w:top w:val="single" w:sz="2" w:space="0" w:color="auto"/>
              <w:left w:val="nil"/>
              <w:bottom w:val="single" w:sz="2" w:space="0" w:color="auto"/>
              <w:right w:val="nil"/>
            </w:tcBorders>
          </w:tcPr>
          <w:p w:rsidR="00A34A5F" w:rsidRPr="00056894" w:rsidRDefault="00A34A5F" w:rsidP="00D63EC3">
            <w:pPr>
              <w:pStyle w:val="Tabletext"/>
            </w:pPr>
            <w:r w:rsidRPr="00056894">
              <w:t>1</w:t>
            </w:r>
            <w:r w:rsidR="00056894" w:rsidRPr="00056894">
              <w:t> </w:t>
            </w:r>
            <w:r w:rsidRPr="00056894">
              <w:t>January 2015.</w:t>
            </w:r>
          </w:p>
        </w:tc>
      </w:tr>
      <w:tr w:rsidR="00D64E93" w:rsidRPr="00056894" w:rsidTr="00B97D42">
        <w:trPr>
          <w:cantSplit/>
        </w:trPr>
        <w:tc>
          <w:tcPr>
            <w:tcW w:w="2329" w:type="dxa"/>
            <w:tcBorders>
              <w:top w:val="single" w:sz="2" w:space="0" w:color="auto"/>
              <w:left w:val="nil"/>
              <w:bottom w:val="single" w:sz="12" w:space="0" w:color="auto"/>
              <w:right w:val="nil"/>
            </w:tcBorders>
            <w:hideMark/>
          </w:tcPr>
          <w:p w:rsidR="00D64E93" w:rsidRPr="00056894" w:rsidRDefault="00D64E93" w:rsidP="00EE5F05">
            <w:pPr>
              <w:pStyle w:val="Tabletext"/>
            </w:pPr>
            <w:r w:rsidRPr="00056894">
              <w:t>3.  Schedule</w:t>
            </w:r>
            <w:r w:rsidR="00056894" w:rsidRPr="00056894">
              <w:t> </w:t>
            </w:r>
            <w:r w:rsidRPr="00056894">
              <w:t>1, Part</w:t>
            </w:r>
            <w:r w:rsidR="00056894" w:rsidRPr="00056894">
              <w:t> </w:t>
            </w:r>
            <w:r w:rsidRPr="00056894">
              <w:t>2</w:t>
            </w:r>
          </w:p>
        </w:tc>
        <w:tc>
          <w:tcPr>
            <w:tcW w:w="4759" w:type="dxa"/>
            <w:tcBorders>
              <w:top w:val="single" w:sz="2" w:space="0" w:color="auto"/>
              <w:left w:val="nil"/>
              <w:bottom w:val="single" w:sz="12" w:space="0" w:color="auto"/>
              <w:right w:val="nil"/>
            </w:tcBorders>
          </w:tcPr>
          <w:p w:rsidR="00D64E93" w:rsidRPr="00056894" w:rsidRDefault="00D64E93" w:rsidP="00EE5F05">
            <w:pPr>
              <w:pStyle w:val="Tabletext"/>
            </w:pPr>
            <w:r w:rsidRPr="00056894">
              <w:t>The day afte</w:t>
            </w:r>
            <w:r w:rsidR="007D015A" w:rsidRPr="00056894">
              <w:t>r this instrument is registered.</w:t>
            </w:r>
          </w:p>
        </w:tc>
      </w:tr>
    </w:tbl>
    <w:p w:rsidR="007769D4" w:rsidRPr="00056894" w:rsidRDefault="007769D4" w:rsidP="007769D4">
      <w:pPr>
        <w:pStyle w:val="ActHead5"/>
      </w:pPr>
      <w:bookmarkStart w:id="7" w:name="_Toc404081016"/>
      <w:r w:rsidRPr="00056894">
        <w:rPr>
          <w:rStyle w:val="CharSectno"/>
        </w:rPr>
        <w:t>3</w:t>
      </w:r>
      <w:r w:rsidRPr="00056894">
        <w:t xml:space="preserve">  Authority</w:t>
      </w:r>
      <w:bookmarkEnd w:id="7"/>
    </w:p>
    <w:p w:rsidR="007769D4" w:rsidRPr="00056894" w:rsidRDefault="007769D4" w:rsidP="007769D4">
      <w:pPr>
        <w:pStyle w:val="subsection"/>
      </w:pPr>
      <w:r w:rsidRPr="00056894">
        <w:tab/>
      </w:r>
      <w:r w:rsidRPr="00056894">
        <w:tab/>
      </w:r>
      <w:r w:rsidR="00AF0336" w:rsidRPr="00056894">
        <w:t xml:space="preserve">This </w:t>
      </w:r>
      <w:r w:rsidR="00011222" w:rsidRPr="00056894">
        <w:t>instrument</w:t>
      </w:r>
      <w:r w:rsidR="00AF0336" w:rsidRPr="00056894">
        <w:t xml:space="preserve"> is made under the </w:t>
      </w:r>
      <w:r w:rsidR="00905C24" w:rsidRPr="00056894">
        <w:rPr>
          <w:i/>
        </w:rPr>
        <w:t>Health Insurance Act 1973</w:t>
      </w:r>
      <w:r w:rsidR="00D83D21" w:rsidRPr="00056894">
        <w:rPr>
          <w:i/>
        </w:rPr>
        <w:t>.</w:t>
      </w:r>
    </w:p>
    <w:p w:rsidR="00557C7A" w:rsidRPr="00056894" w:rsidRDefault="007769D4" w:rsidP="00557C7A">
      <w:pPr>
        <w:pStyle w:val="ActHead5"/>
      </w:pPr>
      <w:bookmarkStart w:id="8" w:name="_Toc404081017"/>
      <w:r w:rsidRPr="00056894">
        <w:rPr>
          <w:rStyle w:val="CharSectno"/>
        </w:rPr>
        <w:t>4</w:t>
      </w:r>
      <w:r w:rsidR="00557C7A" w:rsidRPr="00056894">
        <w:t xml:space="preserve">  </w:t>
      </w:r>
      <w:r w:rsidR="00B332B8" w:rsidRPr="00056894">
        <w:t>Schedules</w:t>
      </w:r>
      <w:bookmarkEnd w:id="8"/>
    </w:p>
    <w:p w:rsidR="00557C7A" w:rsidRPr="00056894" w:rsidRDefault="00557C7A" w:rsidP="00557C7A">
      <w:pPr>
        <w:pStyle w:val="subsection"/>
      </w:pPr>
      <w:r w:rsidRPr="00056894">
        <w:tab/>
      </w:r>
      <w:r w:rsidRPr="00056894">
        <w:tab/>
      </w:r>
      <w:r w:rsidR="00CD7ECB" w:rsidRPr="00056894">
        <w:t>Each instrument that is specified in a Schedule to this instrument is amended or repealed as set out in the applicable items in the Schedule concerned, and any other item in a Schedule to this instrument has effect according to its terms.</w:t>
      </w:r>
    </w:p>
    <w:p w:rsidR="0048364F" w:rsidRPr="00056894" w:rsidRDefault="0048364F" w:rsidP="00FF3089">
      <w:pPr>
        <w:pStyle w:val="ActHead6"/>
        <w:pageBreakBefore/>
      </w:pPr>
      <w:bookmarkStart w:id="9" w:name="_Toc404081018"/>
      <w:bookmarkStart w:id="10" w:name="opcAmSched"/>
      <w:bookmarkStart w:id="11" w:name="opcCurrentFind"/>
      <w:r w:rsidRPr="00056894">
        <w:rPr>
          <w:rStyle w:val="CharAmSchNo"/>
        </w:rPr>
        <w:lastRenderedPageBreak/>
        <w:t>Schedule</w:t>
      </w:r>
      <w:r w:rsidR="00056894" w:rsidRPr="00056894">
        <w:rPr>
          <w:rStyle w:val="CharAmSchNo"/>
        </w:rPr>
        <w:t> </w:t>
      </w:r>
      <w:r w:rsidRPr="00056894">
        <w:rPr>
          <w:rStyle w:val="CharAmSchNo"/>
        </w:rPr>
        <w:t>1</w:t>
      </w:r>
      <w:r w:rsidRPr="00056894">
        <w:t>—</w:t>
      </w:r>
      <w:r w:rsidR="00460499" w:rsidRPr="00056894">
        <w:rPr>
          <w:rStyle w:val="CharAmSchText"/>
        </w:rPr>
        <w:t>Amendments</w:t>
      </w:r>
      <w:bookmarkEnd w:id="9"/>
    </w:p>
    <w:p w:rsidR="0004044E" w:rsidRPr="00056894" w:rsidRDefault="00401EE5" w:rsidP="00401EE5">
      <w:pPr>
        <w:pStyle w:val="ActHead7"/>
      </w:pPr>
      <w:bookmarkStart w:id="12" w:name="_Toc404081019"/>
      <w:bookmarkEnd w:id="10"/>
      <w:bookmarkEnd w:id="11"/>
      <w:r w:rsidRPr="00056894">
        <w:rPr>
          <w:rStyle w:val="CharAmPartNo"/>
        </w:rPr>
        <w:t>Part</w:t>
      </w:r>
      <w:r w:rsidR="00056894" w:rsidRPr="00056894">
        <w:rPr>
          <w:rStyle w:val="CharAmPartNo"/>
        </w:rPr>
        <w:t> </w:t>
      </w:r>
      <w:r w:rsidRPr="00056894">
        <w:rPr>
          <w:rStyle w:val="CharAmPartNo"/>
        </w:rPr>
        <w:t>1</w:t>
      </w:r>
      <w:r w:rsidRPr="00056894">
        <w:t>—</w:t>
      </w:r>
      <w:r w:rsidRPr="00056894">
        <w:rPr>
          <w:rStyle w:val="CharAmPartText"/>
        </w:rPr>
        <w:t xml:space="preserve">Optometric </w:t>
      </w:r>
      <w:r w:rsidR="003301B8" w:rsidRPr="00056894">
        <w:rPr>
          <w:rStyle w:val="CharAmPartText"/>
        </w:rPr>
        <w:t>services</w:t>
      </w:r>
      <w:bookmarkEnd w:id="12"/>
    </w:p>
    <w:p w:rsidR="00326A78" w:rsidRPr="00056894" w:rsidRDefault="00326A78" w:rsidP="00326A78">
      <w:pPr>
        <w:pStyle w:val="ActHead9"/>
      </w:pPr>
      <w:bookmarkStart w:id="13" w:name="_Toc404081020"/>
      <w:r w:rsidRPr="00056894">
        <w:t>Health Insurance (General Medical Services Table) Regulation</w:t>
      </w:r>
      <w:r w:rsidR="00056894" w:rsidRPr="00056894">
        <w:t> </w:t>
      </w:r>
      <w:r w:rsidRPr="00056894">
        <w:t>2014</w:t>
      </w:r>
      <w:bookmarkEnd w:id="13"/>
    </w:p>
    <w:p w:rsidR="00BC2EF1" w:rsidRPr="00056894" w:rsidRDefault="0020213F" w:rsidP="00BC2EF1">
      <w:pPr>
        <w:pStyle w:val="ItemHead"/>
      </w:pPr>
      <w:r w:rsidRPr="00056894">
        <w:t>1</w:t>
      </w:r>
      <w:r w:rsidR="00BC2EF1" w:rsidRPr="00056894">
        <w:t xml:space="preserve">  Subclause</w:t>
      </w:r>
      <w:r w:rsidR="00056894" w:rsidRPr="00056894">
        <w:t> </w:t>
      </w:r>
      <w:r w:rsidR="00BC2EF1" w:rsidRPr="00056894">
        <w:t>1.2.3(1) of Schedule</w:t>
      </w:r>
      <w:r w:rsidR="00056894" w:rsidRPr="00056894">
        <w:t> </w:t>
      </w:r>
      <w:r w:rsidR="00BC2EF1" w:rsidRPr="00056894">
        <w:t>1</w:t>
      </w:r>
    </w:p>
    <w:p w:rsidR="00BC2EF1" w:rsidRPr="00056894" w:rsidRDefault="00BC2EF1" w:rsidP="00BC2EF1">
      <w:pPr>
        <w:pStyle w:val="Item"/>
      </w:pPr>
      <w:r w:rsidRPr="00056894">
        <w:t>Omit “10900”, substitute “10905”.</w:t>
      </w:r>
    </w:p>
    <w:p w:rsidR="00BC2EF1" w:rsidRPr="00056894" w:rsidRDefault="0020213F" w:rsidP="00BC2EF1">
      <w:pPr>
        <w:pStyle w:val="ItemHead"/>
      </w:pPr>
      <w:r w:rsidRPr="00056894">
        <w:t>2</w:t>
      </w:r>
      <w:r w:rsidR="00BC2EF1" w:rsidRPr="00056894">
        <w:t xml:space="preserve">  Clause</w:t>
      </w:r>
      <w:r w:rsidR="00056894" w:rsidRPr="00056894">
        <w:t> </w:t>
      </w:r>
      <w:r w:rsidR="00BC2EF1" w:rsidRPr="00056894">
        <w:t>2.28.1 of Schedule</w:t>
      </w:r>
      <w:r w:rsidR="00056894" w:rsidRPr="00056894">
        <w:t> </w:t>
      </w:r>
      <w:r w:rsidR="00BC2EF1" w:rsidRPr="00056894">
        <w:t>1 (heading)</w:t>
      </w:r>
    </w:p>
    <w:p w:rsidR="00BC2EF1" w:rsidRPr="00056894" w:rsidRDefault="00BC2EF1" w:rsidP="00BC2EF1">
      <w:pPr>
        <w:pStyle w:val="Item"/>
      </w:pPr>
      <w:r w:rsidRPr="00056894">
        <w:t>Repeal the heading, substitute:</w:t>
      </w:r>
    </w:p>
    <w:p w:rsidR="00BC2EF1" w:rsidRPr="00056894" w:rsidRDefault="00BC2EF1" w:rsidP="00BC2EF1">
      <w:pPr>
        <w:pStyle w:val="ActHead5"/>
      </w:pPr>
      <w:bookmarkStart w:id="14" w:name="_Toc404081021"/>
      <w:r w:rsidRPr="00056894">
        <w:rPr>
          <w:rStyle w:val="CharSectno"/>
        </w:rPr>
        <w:t>2.28.1</w:t>
      </w:r>
      <w:r w:rsidRPr="00056894">
        <w:t xml:space="preserve">  Applications of items</w:t>
      </w:r>
      <w:r w:rsidR="00056894" w:rsidRPr="00056894">
        <w:t> </w:t>
      </w:r>
      <w:r w:rsidRPr="00056894">
        <w:t>10940 and 10941</w:t>
      </w:r>
      <w:bookmarkEnd w:id="14"/>
    </w:p>
    <w:p w:rsidR="00BC2EF1" w:rsidRPr="00056894" w:rsidRDefault="0020213F" w:rsidP="00BC2EF1">
      <w:pPr>
        <w:pStyle w:val="ItemHead"/>
      </w:pPr>
      <w:r w:rsidRPr="00056894">
        <w:t>3</w:t>
      </w:r>
      <w:r w:rsidR="00BC2EF1" w:rsidRPr="00056894">
        <w:t xml:space="preserve">  Subclause</w:t>
      </w:r>
      <w:r w:rsidR="00056894" w:rsidRPr="00056894">
        <w:t> </w:t>
      </w:r>
      <w:r w:rsidR="00BC2EF1" w:rsidRPr="00056894">
        <w:t>2.28.1(1) of Schedule</w:t>
      </w:r>
      <w:r w:rsidR="00056894" w:rsidRPr="00056894">
        <w:t> </w:t>
      </w:r>
      <w:r w:rsidR="00BC2EF1" w:rsidRPr="00056894">
        <w:t>1</w:t>
      </w:r>
    </w:p>
    <w:p w:rsidR="00BC2EF1" w:rsidRPr="00056894" w:rsidRDefault="00BC2EF1" w:rsidP="00BC2EF1">
      <w:pPr>
        <w:pStyle w:val="Item"/>
      </w:pPr>
      <w:r w:rsidRPr="00056894">
        <w:t>Repeal the subclause.</w:t>
      </w:r>
    </w:p>
    <w:p w:rsidR="00BC2EF1" w:rsidRPr="00056894" w:rsidRDefault="0020213F" w:rsidP="00BC2EF1">
      <w:pPr>
        <w:pStyle w:val="ItemHead"/>
      </w:pPr>
      <w:r w:rsidRPr="00056894">
        <w:t>4</w:t>
      </w:r>
      <w:r w:rsidR="00BC2EF1" w:rsidRPr="00056894">
        <w:t xml:space="preserve">  Subclause</w:t>
      </w:r>
      <w:r w:rsidR="00056894" w:rsidRPr="00056894">
        <w:t> </w:t>
      </w:r>
      <w:r w:rsidR="00BC2EF1" w:rsidRPr="00056894">
        <w:t>2.28.4(2) of Schedule</w:t>
      </w:r>
      <w:r w:rsidR="00056894" w:rsidRPr="00056894">
        <w:t> </w:t>
      </w:r>
      <w:r w:rsidR="00BC2EF1" w:rsidRPr="00056894">
        <w:t>1</w:t>
      </w:r>
    </w:p>
    <w:p w:rsidR="00BC2EF1" w:rsidRPr="00056894" w:rsidRDefault="00942794" w:rsidP="00BC2EF1">
      <w:pPr>
        <w:pStyle w:val="Item"/>
      </w:pPr>
      <w:r w:rsidRPr="00056894">
        <w:t>Repeal the subclause</w:t>
      </w:r>
      <w:r w:rsidR="00BC2EF1" w:rsidRPr="00056894">
        <w:t>.</w:t>
      </w:r>
    </w:p>
    <w:p w:rsidR="00BC2EF1" w:rsidRPr="00056894" w:rsidRDefault="0020213F" w:rsidP="00BC2EF1">
      <w:pPr>
        <w:pStyle w:val="ItemHead"/>
      </w:pPr>
      <w:r w:rsidRPr="00056894">
        <w:t>5</w:t>
      </w:r>
      <w:r w:rsidR="00BC2EF1" w:rsidRPr="00056894">
        <w:t xml:space="preserve">  After clause</w:t>
      </w:r>
      <w:r w:rsidR="00056894" w:rsidRPr="00056894">
        <w:t> </w:t>
      </w:r>
      <w:r w:rsidR="00BC2EF1" w:rsidRPr="00056894">
        <w:t>2.28.5 of Schedule</w:t>
      </w:r>
      <w:r w:rsidR="00056894" w:rsidRPr="00056894">
        <w:t> </w:t>
      </w:r>
      <w:r w:rsidR="00BC2EF1" w:rsidRPr="00056894">
        <w:t>1</w:t>
      </w:r>
    </w:p>
    <w:p w:rsidR="00BC2EF1" w:rsidRPr="00056894" w:rsidRDefault="00BC2EF1" w:rsidP="00BC2EF1">
      <w:pPr>
        <w:pStyle w:val="Item"/>
      </w:pPr>
      <w:r w:rsidRPr="00056894">
        <w:t>Insert:</w:t>
      </w:r>
    </w:p>
    <w:p w:rsidR="00BC2EF1" w:rsidRPr="00056894" w:rsidRDefault="00BC2EF1" w:rsidP="00BC2EF1">
      <w:pPr>
        <w:pStyle w:val="ActHead5"/>
        <w:rPr>
          <w:i/>
        </w:rPr>
      </w:pPr>
      <w:bookmarkStart w:id="15" w:name="_Toc404081022"/>
      <w:r w:rsidRPr="00056894">
        <w:rPr>
          <w:rStyle w:val="CharSectno"/>
        </w:rPr>
        <w:t>2.28.6</w:t>
      </w:r>
      <w:r w:rsidRPr="00056894">
        <w:t xml:space="preserve">  Meaning of </w:t>
      </w:r>
      <w:r w:rsidRPr="00056894">
        <w:rPr>
          <w:i/>
        </w:rPr>
        <w:t>old item</w:t>
      </w:r>
      <w:r w:rsidR="00056894" w:rsidRPr="00056894">
        <w:rPr>
          <w:i/>
        </w:rPr>
        <w:t> </w:t>
      </w:r>
      <w:r w:rsidRPr="00056894">
        <w:rPr>
          <w:i/>
        </w:rPr>
        <w:t>10900</w:t>
      </w:r>
      <w:bookmarkEnd w:id="15"/>
    </w:p>
    <w:p w:rsidR="00BC2EF1" w:rsidRPr="00056894" w:rsidRDefault="00BC2EF1" w:rsidP="00BC2EF1">
      <w:pPr>
        <w:pStyle w:val="subsection"/>
      </w:pPr>
      <w:r w:rsidRPr="00056894">
        <w:tab/>
      </w:r>
      <w:r w:rsidRPr="00056894">
        <w:tab/>
        <w:t>In the items in Group A10:</w:t>
      </w:r>
    </w:p>
    <w:p w:rsidR="00BC2EF1" w:rsidRPr="00056894" w:rsidRDefault="00BC2EF1" w:rsidP="00BC2EF1">
      <w:pPr>
        <w:pStyle w:val="Definition"/>
        <w:ind w:left="1440"/>
      </w:pPr>
      <w:r w:rsidRPr="00056894">
        <w:rPr>
          <w:b/>
          <w:i/>
        </w:rPr>
        <w:t>old item</w:t>
      </w:r>
      <w:r w:rsidR="00056894" w:rsidRPr="00056894">
        <w:rPr>
          <w:b/>
          <w:i/>
        </w:rPr>
        <w:t> </w:t>
      </w:r>
      <w:r w:rsidRPr="00056894">
        <w:rPr>
          <w:b/>
          <w:i/>
        </w:rPr>
        <w:t>10900</w:t>
      </w:r>
      <w:r w:rsidRPr="00056894">
        <w:t xml:space="preserve"> means item</w:t>
      </w:r>
      <w:r w:rsidR="00056894" w:rsidRPr="00056894">
        <w:t> </w:t>
      </w:r>
      <w:r w:rsidRPr="00056894">
        <w:t xml:space="preserve">10900 of the table as it was in force at any </w:t>
      </w:r>
      <w:r w:rsidR="00413BEF" w:rsidRPr="00056894">
        <w:t>time before its repeal by</w:t>
      </w:r>
      <w:r w:rsidRPr="00056894">
        <w:t xml:space="preserve"> </w:t>
      </w:r>
      <w:r w:rsidR="00E552C2" w:rsidRPr="00056894">
        <w:t>Part</w:t>
      </w:r>
      <w:r w:rsidR="00056894" w:rsidRPr="00056894">
        <w:t> </w:t>
      </w:r>
      <w:r w:rsidR="00E552C2" w:rsidRPr="00056894">
        <w:t xml:space="preserve">1 of </w:t>
      </w:r>
      <w:r w:rsidRPr="00056894">
        <w:t>Schedule</w:t>
      </w:r>
      <w:r w:rsidR="00056894" w:rsidRPr="00056894">
        <w:t> </w:t>
      </w:r>
      <w:r w:rsidRPr="00056894">
        <w:t xml:space="preserve">1 to the </w:t>
      </w:r>
      <w:bookmarkStart w:id="16" w:name="BKCheck15B_5"/>
      <w:bookmarkEnd w:id="16"/>
      <w:r w:rsidR="00413BEF" w:rsidRPr="00056894">
        <w:rPr>
          <w:i/>
        </w:rPr>
        <w:fldChar w:fldCharType="begin"/>
      </w:r>
      <w:r w:rsidR="00413BEF" w:rsidRPr="00056894">
        <w:rPr>
          <w:i/>
        </w:rPr>
        <w:instrText xml:space="preserve"> STYLEREF  ShortT </w:instrText>
      </w:r>
      <w:r w:rsidR="00413BEF" w:rsidRPr="00056894">
        <w:rPr>
          <w:i/>
        </w:rPr>
        <w:fldChar w:fldCharType="separate"/>
      </w:r>
      <w:r w:rsidR="00CF7C05">
        <w:rPr>
          <w:i/>
          <w:noProof/>
        </w:rPr>
        <w:t>Health Insurance Legislation Amendment (Optometric Services and Other Measures) Regulation 2014</w:t>
      </w:r>
      <w:r w:rsidR="00413BEF" w:rsidRPr="00056894">
        <w:rPr>
          <w:i/>
        </w:rPr>
        <w:fldChar w:fldCharType="end"/>
      </w:r>
      <w:r w:rsidR="00413BEF" w:rsidRPr="00056894">
        <w:t>.</w:t>
      </w:r>
    </w:p>
    <w:p w:rsidR="00BC2EF1" w:rsidRPr="00056894" w:rsidRDefault="0020213F" w:rsidP="00BC2EF1">
      <w:pPr>
        <w:pStyle w:val="ItemHead"/>
      </w:pPr>
      <w:r w:rsidRPr="00056894">
        <w:t>6</w:t>
      </w:r>
      <w:r w:rsidR="00BC2EF1" w:rsidRPr="00056894">
        <w:t xml:space="preserve">  Schedule</w:t>
      </w:r>
      <w:r w:rsidR="00056894" w:rsidRPr="00056894">
        <w:t> </w:t>
      </w:r>
      <w:r w:rsidR="00BC2EF1" w:rsidRPr="00056894">
        <w:t>1 (item</w:t>
      </w:r>
      <w:r w:rsidR="00056894" w:rsidRPr="00056894">
        <w:t> </w:t>
      </w:r>
      <w:r w:rsidR="00BC2EF1" w:rsidRPr="00056894">
        <w:t>10900)</w:t>
      </w:r>
    </w:p>
    <w:p w:rsidR="00BC2EF1" w:rsidRPr="00056894" w:rsidRDefault="00BC2EF1" w:rsidP="00BC2EF1">
      <w:pPr>
        <w:pStyle w:val="Item"/>
      </w:pPr>
      <w:r w:rsidRPr="00056894">
        <w:t>Repeal the item.</w:t>
      </w:r>
    </w:p>
    <w:p w:rsidR="00BC2EF1" w:rsidRPr="00056894" w:rsidRDefault="0020213F" w:rsidP="00BC2EF1">
      <w:pPr>
        <w:pStyle w:val="ItemHead"/>
      </w:pPr>
      <w:r w:rsidRPr="00056894">
        <w:t>7</w:t>
      </w:r>
      <w:r w:rsidR="00BC2EF1" w:rsidRPr="00056894">
        <w:t xml:space="preserve">  Schedule</w:t>
      </w:r>
      <w:r w:rsidR="00056894" w:rsidRPr="00056894">
        <w:t> </w:t>
      </w:r>
      <w:r w:rsidR="00BC2EF1" w:rsidRPr="00056894">
        <w:t>1 (cell at item</w:t>
      </w:r>
      <w:r w:rsidR="00056894" w:rsidRPr="00056894">
        <w:t> </w:t>
      </w:r>
      <w:r w:rsidR="00BC2EF1" w:rsidRPr="00056894">
        <w:t>10905, column headed “Fee ($)”)</w:t>
      </w:r>
    </w:p>
    <w:p w:rsidR="00BC2EF1" w:rsidRPr="00056894" w:rsidRDefault="00BC2EF1" w:rsidP="00BC2EF1">
      <w:pPr>
        <w:pStyle w:val="Item"/>
      </w:pPr>
      <w:r w:rsidRPr="00056894">
        <w:t>Repeal the cell, substitute:</w:t>
      </w:r>
    </w:p>
    <w:p w:rsidR="00BC2EF1" w:rsidRPr="00056894" w:rsidRDefault="00BC2EF1" w:rsidP="00BC2EF1">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BC2EF1" w:rsidRPr="00056894" w:rsidTr="006975AA">
        <w:tc>
          <w:tcPr>
            <w:tcW w:w="992" w:type="dxa"/>
            <w:shd w:val="clear" w:color="auto" w:fill="auto"/>
            <w:hideMark/>
          </w:tcPr>
          <w:p w:rsidR="00BC2EF1" w:rsidRPr="00056894" w:rsidRDefault="00BC2EF1" w:rsidP="006975AA">
            <w:pPr>
              <w:pStyle w:val="Tabletext"/>
              <w:jc w:val="right"/>
            </w:pPr>
            <w:r w:rsidRPr="00056894">
              <w:lastRenderedPageBreak/>
              <w:t>66.80</w:t>
            </w:r>
          </w:p>
        </w:tc>
      </w:tr>
    </w:tbl>
    <w:p w:rsidR="00BC2EF1" w:rsidRPr="00056894" w:rsidRDefault="0020213F" w:rsidP="00BC2EF1">
      <w:pPr>
        <w:pStyle w:val="ItemHead"/>
      </w:pPr>
      <w:r w:rsidRPr="00056894">
        <w:t>8</w:t>
      </w:r>
      <w:r w:rsidR="00BC2EF1" w:rsidRPr="00056894">
        <w:t xml:space="preserve">  Schedule</w:t>
      </w:r>
      <w:r w:rsidR="00056894" w:rsidRPr="00056894">
        <w:t> </w:t>
      </w:r>
      <w:r w:rsidR="00BC2EF1" w:rsidRPr="00056894">
        <w:t>1 (items</w:t>
      </w:r>
      <w:r w:rsidR="00056894" w:rsidRPr="00056894">
        <w:t> </w:t>
      </w:r>
      <w:r w:rsidR="00BC2EF1" w:rsidRPr="00056894">
        <w:t>10907 to 10914)</w:t>
      </w:r>
    </w:p>
    <w:p w:rsidR="00BC2EF1" w:rsidRPr="00056894" w:rsidRDefault="00BC2EF1" w:rsidP="00BC2EF1">
      <w:pPr>
        <w:pStyle w:val="Item"/>
      </w:pPr>
      <w:r w:rsidRPr="00056894">
        <w:t>Repeal the items, substitute:</w:t>
      </w:r>
    </w:p>
    <w:p w:rsidR="00BC2EF1" w:rsidRPr="00056894" w:rsidRDefault="00BC2EF1" w:rsidP="00BC2EF1">
      <w:pPr>
        <w:pStyle w:val="Tabletext"/>
      </w:pPr>
    </w:p>
    <w:tbl>
      <w:tblPr>
        <w:tblW w:w="7095" w:type="dxa"/>
        <w:tblInd w:w="107"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51"/>
        <w:gridCol w:w="5245"/>
        <w:gridCol w:w="992"/>
        <w:gridCol w:w="7"/>
      </w:tblGrid>
      <w:tr w:rsidR="00BC2EF1" w:rsidRPr="00056894" w:rsidTr="001812BF">
        <w:tc>
          <w:tcPr>
            <w:tcW w:w="851" w:type="dxa"/>
            <w:tcBorders>
              <w:top w:val="nil"/>
              <w:bottom w:val="single" w:sz="4" w:space="0" w:color="auto"/>
            </w:tcBorders>
            <w:shd w:val="clear" w:color="auto" w:fill="auto"/>
            <w:hideMark/>
          </w:tcPr>
          <w:p w:rsidR="00BC2EF1" w:rsidRPr="00056894" w:rsidRDefault="00BC2EF1" w:rsidP="006975AA">
            <w:pPr>
              <w:pStyle w:val="Tabletext"/>
              <w:rPr>
                <w:snapToGrid w:val="0"/>
              </w:rPr>
            </w:pPr>
            <w:r w:rsidRPr="00056894">
              <w:rPr>
                <w:snapToGrid w:val="0"/>
              </w:rPr>
              <w:t>10907</w:t>
            </w:r>
          </w:p>
        </w:tc>
        <w:tc>
          <w:tcPr>
            <w:tcW w:w="5245" w:type="dxa"/>
            <w:tcBorders>
              <w:top w:val="nil"/>
              <w:bottom w:val="single" w:sz="4" w:space="0" w:color="auto"/>
            </w:tcBorders>
            <w:shd w:val="clear" w:color="auto" w:fill="auto"/>
            <w:hideMark/>
          </w:tcPr>
          <w:p w:rsidR="00735A0B" w:rsidRPr="00056894" w:rsidRDefault="00BC2EF1" w:rsidP="00735A0B">
            <w:pPr>
              <w:pStyle w:val="Tabletext"/>
            </w:pPr>
            <w:r w:rsidRPr="00056894">
              <w:rPr>
                <w:snapToGrid w:val="0"/>
              </w:rPr>
              <w:t>Professional attendance of more than 15 minutes in duration, being the first</w:t>
            </w:r>
            <w:r w:rsidR="005B2EA9" w:rsidRPr="00056894">
              <w:rPr>
                <w:snapToGrid w:val="0"/>
              </w:rPr>
              <w:t xml:space="preserve"> in a course of attention if</w:t>
            </w:r>
            <w:r w:rsidR="00735A0B" w:rsidRPr="00056894">
              <w:rPr>
                <w:snapToGrid w:val="0"/>
              </w:rPr>
              <w:t xml:space="preserve"> </w:t>
            </w:r>
            <w:r w:rsidR="005B2EA9" w:rsidRPr="00056894">
              <w:rPr>
                <w:snapToGrid w:val="0"/>
              </w:rPr>
              <w:t>the patient has attended another optometrist</w:t>
            </w:r>
            <w:r w:rsidR="00735A0B" w:rsidRPr="00056894">
              <w:rPr>
                <w:snapToGrid w:val="0"/>
              </w:rPr>
              <w:t xml:space="preserve"> for an attendance to which </w:t>
            </w:r>
            <w:r w:rsidR="00735A0B" w:rsidRPr="00056894">
              <w:t>this item or item</w:t>
            </w:r>
            <w:r w:rsidR="00056894" w:rsidRPr="00056894">
              <w:t> </w:t>
            </w:r>
            <w:r w:rsidR="00735A0B" w:rsidRPr="00056894">
              <w:t>10905, 10910, 10911, 10912, 10913, 10914 or 10915 applies, or to which old item</w:t>
            </w:r>
            <w:r w:rsidR="00056894" w:rsidRPr="00056894">
              <w:t> </w:t>
            </w:r>
            <w:r w:rsidR="00735A0B" w:rsidRPr="00056894">
              <w:t>10900 applied:</w:t>
            </w:r>
          </w:p>
          <w:p w:rsidR="00735A0B" w:rsidRPr="00056894" w:rsidRDefault="00735A0B" w:rsidP="00735A0B">
            <w:pPr>
              <w:pStyle w:val="Tablea"/>
              <w:rPr>
                <w:snapToGrid w:val="0"/>
              </w:rPr>
            </w:pPr>
            <w:r w:rsidRPr="00056894">
              <w:rPr>
                <w:snapToGrid w:val="0"/>
              </w:rPr>
              <w:t>(a) for a patient who is less than 65 years of age—within the previous 36 months; or</w:t>
            </w:r>
          </w:p>
          <w:p w:rsidR="007E7338" w:rsidRPr="00056894" w:rsidRDefault="00735A0B" w:rsidP="00381F56">
            <w:pPr>
              <w:pStyle w:val="Tablea"/>
              <w:rPr>
                <w:snapToGrid w:val="0"/>
              </w:rPr>
            </w:pPr>
            <w:r w:rsidRPr="00056894">
              <w:rPr>
                <w:snapToGrid w:val="0"/>
              </w:rPr>
              <w:t>(b) for a pat</w:t>
            </w:r>
            <w:r w:rsidR="00DB554D" w:rsidRPr="00056894">
              <w:rPr>
                <w:snapToGrid w:val="0"/>
              </w:rPr>
              <w:t>ient who is at least 65 years of</w:t>
            </w:r>
            <w:r w:rsidRPr="00056894">
              <w:rPr>
                <w:snapToGrid w:val="0"/>
              </w:rPr>
              <w:t xml:space="preserve"> age—wi</w:t>
            </w:r>
            <w:r w:rsidR="00C93258" w:rsidRPr="00056894">
              <w:rPr>
                <w:snapToGrid w:val="0"/>
              </w:rPr>
              <w:t>thin the previous 12 months</w:t>
            </w:r>
          </w:p>
        </w:tc>
        <w:tc>
          <w:tcPr>
            <w:tcW w:w="999" w:type="dxa"/>
            <w:gridSpan w:val="2"/>
            <w:tcBorders>
              <w:top w:val="nil"/>
              <w:bottom w:val="single" w:sz="4" w:space="0" w:color="auto"/>
            </w:tcBorders>
            <w:shd w:val="clear" w:color="auto" w:fill="auto"/>
            <w:hideMark/>
          </w:tcPr>
          <w:p w:rsidR="00BC2EF1" w:rsidRPr="00056894" w:rsidRDefault="00BC2EF1" w:rsidP="006975AA">
            <w:pPr>
              <w:pStyle w:val="Tabletext"/>
              <w:jc w:val="right"/>
            </w:pPr>
            <w:r w:rsidRPr="00056894">
              <w:t>33.45</w:t>
            </w:r>
          </w:p>
        </w:tc>
      </w:tr>
      <w:tr w:rsidR="00BC2EF1" w:rsidRPr="00056894" w:rsidTr="001812BF">
        <w:trPr>
          <w:gridAfter w:val="1"/>
          <w:wAfter w:w="7" w:type="dxa"/>
        </w:trPr>
        <w:tc>
          <w:tcPr>
            <w:tcW w:w="851" w:type="dxa"/>
            <w:shd w:val="clear" w:color="auto" w:fill="auto"/>
            <w:hideMark/>
          </w:tcPr>
          <w:p w:rsidR="00BC2EF1" w:rsidRPr="00056894" w:rsidRDefault="00BC2EF1" w:rsidP="006975AA">
            <w:pPr>
              <w:pStyle w:val="Tabletext"/>
            </w:pPr>
            <w:r w:rsidRPr="00056894">
              <w:t>10910</w:t>
            </w:r>
          </w:p>
        </w:tc>
        <w:tc>
          <w:tcPr>
            <w:tcW w:w="5245" w:type="dxa"/>
            <w:shd w:val="clear" w:color="auto" w:fill="auto"/>
            <w:hideMark/>
          </w:tcPr>
          <w:p w:rsidR="00BC2EF1" w:rsidRPr="00056894" w:rsidRDefault="00BC2EF1" w:rsidP="006975AA">
            <w:pPr>
              <w:pStyle w:val="Tabletext"/>
            </w:pPr>
            <w:r w:rsidRPr="00056894">
              <w:t>Professional attendance</w:t>
            </w:r>
            <w:r w:rsidRPr="00056894">
              <w:rPr>
                <w:i/>
              </w:rPr>
              <w:t xml:space="preserve"> </w:t>
            </w:r>
            <w:r w:rsidRPr="00056894">
              <w:t>of more than 15 minutes in duration, being the first in a course of attention, if:</w:t>
            </w:r>
          </w:p>
          <w:p w:rsidR="00BC2EF1" w:rsidRPr="00056894" w:rsidRDefault="00BC2EF1" w:rsidP="006975AA">
            <w:pPr>
              <w:pStyle w:val="Tablea"/>
            </w:pPr>
            <w:r w:rsidRPr="00056894">
              <w:t>(a) the patient is less than 65 years of age; and</w:t>
            </w:r>
          </w:p>
          <w:p w:rsidR="00BC2EF1" w:rsidRPr="00056894" w:rsidRDefault="00BC2EF1" w:rsidP="006975AA">
            <w:pPr>
              <w:pStyle w:val="Tablea"/>
            </w:pPr>
            <w:r w:rsidRPr="00056894">
              <w:t>(b) the patient has not, within the previous 36 months, received a service to which:</w:t>
            </w:r>
          </w:p>
          <w:p w:rsidR="00BC2EF1" w:rsidRPr="00056894" w:rsidRDefault="00BC2EF1" w:rsidP="006975AA">
            <w:pPr>
              <w:pStyle w:val="Tablei"/>
            </w:pPr>
            <w:r w:rsidRPr="00056894">
              <w:t>(i) this it</w:t>
            </w:r>
            <w:r w:rsidR="007E7338" w:rsidRPr="00056894">
              <w:t>em or item</w:t>
            </w:r>
            <w:r w:rsidR="00056894" w:rsidRPr="00056894">
              <w:t> </w:t>
            </w:r>
            <w:r w:rsidR="007E7338" w:rsidRPr="00056894">
              <w:t xml:space="preserve">10905, 10907, </w:t>
            </w:r>
            <w:r w:rsidRPr="00056894">
              <w:t>10912, 10913, 10914 or 10915 applies; or</w:t>
            </w:r>
          </w:p>
          <w:p w:rsidR="00BC2EF1" w:rsidRPr="00056894" w:rsidRDefault="00BC2EF1" w:rsidP="006975AA">
            <w:pPr>
              <w:pStyle w:val="Tablei"/>
            </w:pPr>
            <w:r w:rsidRPr="00056894">
              <w:t>(ii) old item</w:t>
            </w:r>
            <w:r w:rsidR="00056894" w:rsidRPr="00056894">
              <w:t> </w:t>
            </w:r>
            <w:r w:rsidRPr="00056894">
              <w:t>10900 applied</w:t>
            </w:r>
          </w:p>
        </w:tc>
        <w:tc>
          <w:tcPr>
            <w:tcW w:w="992" w:type="dxa"/>
            <w:shd w:val="clear" w:color="auto" w:fill="auto"/>
            <w:hideMark/>
          </w:tcPr>
          <w:p w:rsidR="00BC2EF1" w:rsidRPr="00056894" w:rsidRDefault="00BC2EF1" w:rsidP="004F633C">
            <w:pPr>
              <w:pStyle w:val="Tabletext"/>
              <w:jc w:val="right"/>
            </w:pPr>
            <w:r w:rsidRPr="00056894">
              <w:t>66.80</w:t>
            </w:r>
          </w:p>
        </w:tc>
      </w:tr>
      <w:tr w:rsidR="00BC2EF1" w:rsidRPr="00056894" w:rsidTr="001812BF">
        <w:trPr>
          <w:gridAfter w:val="1"/>
          <w:wAfter w:w="7" w:type="dxa"/>
        </w:trPr>
        <w:tc>
          <w:tcPr>
            <w:tcW w:w="851" w:type="dxa"/>
            <w:shd w:val="clear" w:color="auto" w:fill="auto"/>
          </w:tcPr>
          <w:p w:rsidR="00BC2EF1" w:rsidRPr="00056894" w:rsidRDefault="00BC2EF1" w:rsidP="006975AA">
            <w:pPr>
              <w:pStyle w:val="Tabletext"/>
            </w:pPr>
            <w:r w:rsidRPr="00056894">
              <w:t>10911</w:t>
            </w:r>
          </w:p>
        </w:tc>
        <w:tc>
          <w:tcPr>
            <w:tcW w:w="5245" w:type="dxa"/>
            <w:shd w:val="clear" w:color="auto" w:fill="auto"/>
          </w:tcPr>
          <w:p w:rsidR="00BC2EF1" w:rsidRPr="00056894" w:rsidRDefault="00BC2EF1" w:rsidP="006975AA">
            <w:pPr>
              <w:pStyle w:val="Tabletext"/>
            </w:pPr>
            <w:r w:rsidRPr="00056894">
              <w:t>Professional attendance</w:t>
            </w:r>
            <w:r w:rsidRPr="00056894">
              <w:rPr>
                <w:i/>
              </w:rPr>
              <w:t xml:space="preserve"> </w:t>
            </w:r>
            <w:r w:rsidRPr="00056894">
              <w:t xml:space="preserve">of more than 15 minutes in duration, being the first in a course of attention, </w:t>
            </w:r>
            <w:r w:rsidR="00C31FFE" w:rsidRPr="00056894">
              <w:t>if:</w:t>
            </w:r>
          </w:p>
          <w:p w:rsidR="00BC2EF1" w:rsidRPr="00056894" w:rsidRDefault="00BC2EF1" w:rsidP="006975AA">
            <w:pPr>
              <w:pStyle w:val="Tablea"/>
            </w:pPr>
            <w:r w:rsidRPr="00056894">
              <w:t xml:space="preserve">(a) </w:t>
            </w:r>
            <w:r w:rsidR="00C31FFE" w:rsidRPr="00056894">
              <w:t xml:space="preserve">the patient </w:t>
            </w:r>
            <w:r w:rsidRPr="00056894">
              <w:t>is at least 65 years of age; and</w:t>
            </w:r>
          </w:p>
          <w:p w:rsidR="00BC2EF1" w:rsidRPr="00056894" w:rsidRDefault="00BC2EF1" w:rsidP="006975AA">
            <w:pPr>
              <w:pStyle w:val="Tablea"/>
            </w:pPr>
            <w:r w:rsidRPr="00056894">
              <w:t xml:space="preserve">(b) </w:t>
            </w:r>
            <w:r w:rsidR="00C93258" w:rsidRPr="00056894">
              <w:t>the</w:t>
            </w:r>
            <w:r w:rsidR="00C31FFE" w:rsidRPr="00056894">
              <w:t xml:space="preserve"> patient </w:t>
            </w:r>
            <w:r w:rsidRPr="00056894">
              <w:t>has not, within the previous 12 months, received a service to which:</w:t>
            </w:r>
          </w:p>
          <w:p w:rsidR="00BC2EF1" w:rsidRPr="00056894" w:rsidRDefault="00BC2EF1" w:rsidP="006975AA">
            <w:pPr>
              <w:pStyle w:val="Tablei"/>
            </w:pPr>
            <w:r w:rsidRPr="00056894">
              <w:t>(i) this item, or item</w:t>
            </w:r>
            <w:r w:rsidR="00056894" w:rsidRPr="00056894">
              <w:t> </w:t>
            </w:r>
            <w:r w:rsidRPr="00056894">
              <w:t>10905, 10907, 10910, 10912, 10913, 10914 or 10915 applies; or</w:t>
            </w:r>
          </w:p>
          <w:p w:rsidR="00BC2EF1" w:rsidRPr="00056894" w:rsidRDefault="00BC2EF1" w:rsidP="006975AA">
            <w:pPr>
              <w:pStyle w:val="Tablei"/>
              <w:rPr>
                <w:b/>
              </w:rPr>
            </w:pPr>
            <w:r w:rsidRPr="00056894">
              <w:t>(ii) old item</w:t>
            </w:r>
            <w:r w:rsidR="00056894" w:rsidRPr="00056894">
              <w:t> </w:t>
            </w:r>
            <w:r w:rsidRPr="00056894">
              <w:t>10900 applied</w:t>
            </w:r>
          </w:p>
        </w:tc>
        <w:tc>
          <w:tcPr>
            <w:tcW w:w="992" w:type="dxa"/>
            <w:shd w:val="clear" w:color="auto" w:fill="auto"/>
          </w:tcPr>
          <w:p w:rsidR="00BC2EF1" w:rsidRPr="00056894" w:rsidRDefault="00BC2EF1" w:rsidP="006975AA">
            <w:pPr>
              <w:pStyle w:val="Tabletext"/>
              <w:tabs>
                <w:tab w:val="decimal" w:pos="400"/>
              </w:tabs>
              <w:jc w:val="right"/>
              <w:rPr>
                <w:snapToGrid w:val="0"/>
              </w:rPr>
            </w:pPr>
            <w:r w:rsidRPr="00056894">
              <w:rPr>
                <w:snapToGrid w:val="0"/>
              </w:rPr>
              <w:t>66.80</w:t>
            </w:r>
          </w:p>
        </w:tc>
      </w:tr>
      <w:tr w:rsidR="00BC2EF1" w:rsidRPr="00056894" w:rsidTr="001812BF">
        <w:tc>
          <w:tcPr>
            <w:tcW w:w="851" w:type="dxa"/>
            <w:shd w:val="clear" w:color="auto" w:fill="auto"/>
            <w:hideMark/>
          </w:tcPr>
          <w:p w:rsidR="00BC2EF1" w:rsidRPr="00056894" w:rsidRDefault="00BC2EF1" w:rsidP="006975AA">
            <w:pPr>
              <w:pStyle w:val="Tabletext"/>
              <w:rPr>
                <w:snapToGrid w:val="0"/>
              </w:rPr>
            </w:pPr>
            <w:r w:rsidRPr="00056894">
              <w:rPr>
                <w:snapToGrid w:val="0"/>
              </w:rPr>
              <w:t>10912</w:t>
            </w:r>
          </w:p>
        </w:tc>
        <w:tc>
          <w:tcPr>
            <w:tcW w:w="5245" w:type="dxa"/>
            <w:shd w:val="clear" w:color="auto" w:fill="auto"/>
            <w:hideMark/>
          </w:tcPr>
          <w:p w:rsidR="00BC2EF1" w:rsidRPr="00056894" w:rsidRDefault="00BC2EF1" w:rsidP="006975AA">
            <w:pPr>
              <w:pStyle w:val="Tabletext"/>
              <w:rPr>
                <w:snapToGrid w:val="0"/>
              </w:rPr>
            </w:pPr>
            <w:r w:rsidRPr="00056894">
              <w:rPr>
                <w:snapToGrid w:val="0"/>
              </w:rPr>
              <w:t>Professional attendance of more than 15 minutes in duration, being the first in a course of attention, if the patient has suffered a significant change of visual function requiring comprehensive reassessment:</w:t>
            </w:r>
          </w:p>
          <w:p w:rsidR="00735A0B" w:rsidRPr="00056894" w:rsidRDefault="00BC2EF1" w:rsidP="006975AA">
            <w:pPr>
              <w:pStyle w:val="Tablea"/>
            </w:pPr>
            <w:r w:rsidRPr="00056894">
              <w:t>(</w:t>
            </w:r>
            <w:r w:rsidR="00735A0B" w:rsidRPr="00056894">
              <w:t>a</w:t>
            </w:r>
            <w:r w:rsidRPr="00056894">
              <w:t>) for a patient who is less than 65 years of age—within 36 months of an initial consultation to which</w:t>
            </w:r>
            <w:r w:rsidR="00735A0B" w:rsidRPr="00056894">
              <w:t>:</w:t>
            </w:r>
          </w:p>
          <w:p w:rsidR="00735A0B" w:rsidRPr="00056894" w:rsidRDefault="00735A0B" w:rsidP="00735A0B">
            <w:pPr>
              <w:pStyle w:val="Tablei"/>
            </w:pPr>
            <w:r w:rsidRPr="00056894">
              <w:t>(i) this item, or item</w:t>
            </w:r>
            <w:r w:rsidR="00056894" w:rsidRPr="00056894">
              <w:t> </w:t>
            </w:r>
            <w:r w:rsidRPr="00056894">
              <w:t>10905, 10907, 10910</w:t>
            </w:r>
            <w:r w:rsidR="00064201" w:rsidRPr="00056894">
              <w:t>,</w:t>
            </w:r>
            <w:r w:rsidRPr="00056894">
              <w:t xml:space="preserve"> 10913, 10914 or 10915 at the same practice applies; or</w:t>
            </w:r>
          </w:p>
          <w:p w:rsidR="00BC2EF1" w:rsidRPr="00056894" w:rsidRDefault="00735A0B" w:rsidP="00735A0B">
            <w:pPr>
              <w:pStyle w:val="Tablei"/>
            </w:pPr>
            <w:r w:rsidRPr="00056894">
              <w:t xml:space="preserve">(ii) </w:t>
            </w:r>
            <w:r w:rsidR="00BC2EF1" w:rsidRPr="00056894">
              <w:t xml:space="preserve">old </w:t>
            </w:r>
            <w:r w:rsidR="008908E2" w:rsidRPr="00056894">
              <w:t>item</w:t>
            </w:r>
            <w:r w:rsidR="00056894" w:rsidRPr="00056894">
              <w:t> </w:t>
            </w:r>
            <w:r w:rsidR="00BC2EF1" w:rsidRPr="00056894">
              <w:t>10900 at the same practice applied; or</w:t>
            </w:r>
          </w:p>
          <w:p w:rsidR="00735A0B" w:rsidRPr="00056894" w:rsidRDefault="00735A0B" w:rsidP="006975AA">
            <w:pPr>
              <w:pStyle w:val="Tablea"/>
            </w:pPr>
            <w:r w:rsidRPr="00056894">
              <w:t>(b</w:t>
            </w:r>
            <w:r w:rsidR="00BC2EF1" w:rsidRPr="00056894">
              <w:t>) for a patient who is at least 65 years of age—within 12 months of an initial consultation to which</w:t>
            </w:r>
            <w:r w:rsidRPr="00056894">
              <w:t>:</w:t>
            </w:r>
          </w:p>
          <w:p w:rsidR="00735A0B" w:rsidRPr="00056894" w:rsidRDefault="00735A0B" w:rsidP="00735A0B">
            <w:pPr>
              <w:pStyle w:val="Tablei"/>
            </w:pPr>
            <w:r w:rsidRPr="00056894">
              <w:lastRenderedPageBreak/>
              <w:t>(i)</w:t>
            </w:r>
            <w:r w:rsidR="00BC2EF1" w:rsidRPr="00056894">
              <w:t xml:space="preserve"> </w:t>
            </w:r>
            <w:r w:rsidRPr="00056894">
              <w:t>this item, or item</w:t>
            </w:r>
            <w:r w:rsidR="00056894" w:rsidRPr="00056894">
              <w:t> </w:t>
            </w:r>
            <w:r w:rsidRPr="00056894">
              <w:t>10905, 10907, 10910, 10911, 10913, 10914 or 10915 at the same practice applies; or</w:t>
            </w:r>
          </w:p>
          <w:p w:rsidR="00BC2EF1" w:rsidRPr="00056894" w:rsidRDefault="00735A0B" w:rsidP="00735A0B">
            <w:pPr>
              <w:pStyle w:val="Tablei"/>
              <w:rPr>
                <w:snapToGrid w:val="0"/>
              </w:rPr>
            </w:pPr>
            <w:r w:rsidRPr="00056894">
              <w:t xml:space="preserve">(ii) </w:t>
            </w:r>
            <w:r w:rsidR="00BC2EF1" w:rsidRPr="00056894">
              <w:t xml:space="preserve">old </w:t>
            </w:r>
            <w:r w:rsidR="008908E2" w:rsidRPr="00056894">
              <w:t>item</w:t>
            </w:r>
            <w:r w:rsidR="00056894" w:rsidRPr="00056894">
              <w:t> </w:t>
            </w:r>
            <w:r w:rsidR="00BC2EF1" w:rsidRPr="00056894">
              <w:t>10900 at the same practice applied</w:t>
            </w:r>
          </w:p>
        </w:tc>
        <w:tc>
          <w:tcPr>
            <w:tcW w:w="999" w:type="dxa"/>
            <w:gridSpan w:val="2"/>
            <w:shd w:val="clear" w:color="auto" w:fill="auto"/>
            <w:hideMark/>
          </w:tcPr>
          <w:p w:rsidR="00BC2EF1" w:rsidRPr="00056894" w:rsidRDefault="00BC2EF1" w:rsidP="006975AA">
            <w:pPr>
              <w:pStyle w:val="Tabletext"/>
              <w:jc w:val="right"/>
            </w:pPr>
            <w:r w:rsidRPr="00056894">
              <w:lastRenderedPageBreak/>
              <w:t>66.80</w:t>
            </w:r>
          </w:p>
        </w:tc>
      </w:tr>
      <w:tr w:rsidR="00BC2EF1" w:rsidRPr="00056894" w:rsidTr="001812BF">
        <w:tc>
          <w:tcPr>
            <w:tcW w:w="851" w:type="dxa"/>
            <w:tcBorders>
              <w:bottom w:val="single" w:sz="4" w:space="0" w:color="auto"/>
            </w:tcBorders>
            <w:shd w:val="clear" w:color="auto" w:fill="auto"/>
            <w:hideMark/>
          </w:tcPr>
          <w:p w:rsidR="00BC2EF1" w:rsidRPr="00056894" w:rsidRDefault="00BC2EF1" w:rsidP="006975AA">
            <w:pPr>
              <w:pStyle w:val="Tabletext"/>
              <w:rPr>
                <w:snapToGrid w:val="0"/>
              </w:rPr>
            </w:pPr>
            <w:r w:rsidRPr="00056894">
              <w:rPr>
                <w:snapToGrid w:val="0"/>
              </w:rPr>
              <w:lastRenderedPageBreak/>
              <w:t>10913</w:t>
            </w:r>
          </w:p>
        </w:tc>
        <w:tc>
          <w:tcPr>
            <w:tcW w:w="5245" w:type="dxa"/>
            <w:tcBorders>
              <w:bottom w:val="single" w:sz="4" w:space="0" w:color="auto"/>
            </w:tcBorders>
            <w:shd w:val="clear" w:color="auto" w:fill="auto"/>
            <w:hideMark/>
          </w:tcPr>
          <w:p w:rsidR="00BC2EF1" w:rsidRPr="00056894" w:rsidRDefault="00BC2EF1" w:rsidP="006975AA">
            <w:pPr>
              <w:pStyle w:val="Tabletext"/>
              <w:rPr>
                <w:snapToGrid w:val="0"/>
              </w:rPr>
            </w:pPr>
            <w:r w:rsidRPr="00056894">
              <w:rPr>
                <w:snapToGrid w:val="0"/>
              </w:rPr>
              <w:t>Professional attendance of more than 15 minutes in duration, being the first in a course of attention, if the patient has new signs or symptoms, unrelated to the earlier course of attention, requiring comprehensive reassessment:</w:t>
            </w:r>
          </w:p>
          <w:p w:rsidR="00735A0B" w:rsidRPr="00056894" w:rsidRDefault="00735A0B" w:rsidP="006975AA">
            <w:pPr>
              <w:pStyle w:val="Tablea"/>
              <w:rPr>
                <w:snapToGrid w:val="0"/>
              </w:rPr>
            </w:pPr>
            <w:r w:rsidRPr="00056894">
              <w:rPr>
                <w:snapToGrid w:val="0"/>
              </w:rPr>
              <w:t>(a</w:t>
            </w:r>
            <w:r w:rsidR="00BC2EF1" w:rsidRPr="00056894">
              <w:rPr>
                <w:snapToGrid w:val="0"/>
              </w:rPr>
              <w:t>) for a patient who is less than 65 years of age—within 36 months of an initial consultation to which</w:t>
            </w:r>
            <w:r w:rsidRPr="00056894">
              <w:rPr>
                <w:snapToGrid w:val="0"/>
              </w:rPr>
              <w:t>:</w:t>
            </w:r>
          </w:p>
          <w:p w:rsidR="00735A0B" w:rsidRPr="00056894" w:rsidRDefault="00735A0B" w:rsidP="00735A0B">
            <w:pPr>
              <w:pStyle w:val="Tablei"/>
              <w:rPr>
                <w:snapToGrid w:val="0"/>
              </w:rPr>
            </w:pPr>
            <w:r w:rsidRPr="00056894">
              <w:t>(i) this ite</w:t>
            </w:r>
            <w:r w:rsidR="00064201" w:rsidRPr="00056894">
              <w:t>m, or item</w:t>
            </w:r>
            <w:r w:rsidR="00056894" w:rsidRPr="00056894">
              <w:t> </w:t>
            </w:r>
            <w:r w:rsidR="00064201" w:rsidRPr="00056894">
              <w:t>10905, 10907, 10910,</w:t>
            </w:r>
            <w:r w:rsidRPr="00056894">
              <w:t xml:space="preserve"> 10912, 10914 or 10915 at the same practice applie</w:t>
            </w:r>
            <w:r w:rsidRPr="00056894">
              <w:rPr>
                <w:snapToGrid w:val="0"/>
              </w:rPr>
              <w:t>s</w:t>
            </w:r>
            <w:r w:rsidR="00184CE7" w:rsidRPr="00056894">
              <w:rPr>
                <w:snapToGrid w:val="0"/>
              </w:rPr>
              <w:t>; or</w:t>
            </w:r>
          </w:p>
          <w:p w:rsidR="00BC2EF1" w:rsidRPr="00056894" w:rsidRDefault="00735A0B" w:rsidP="00735A0B">
            <w:pPr>
              <w:pStyle w:val="Tablei"/>
              <w:rPr>
                <w:snapToGrid w:val="0"/>
              </w:rPr>
            </w:pPr>
            <w:r w:rsidRPr="00056894">
              <w:rPr>
                <w:snapToGrid w:val="0"/>
              </w:rPr>
              <w:t xml:space="preserve">(ii) </w:t>
            </w:r>
            <w:r w:rsidR="00BC2EF1" w:rsidRPr="00056894">
              <w:rPr>
                <w:snapToGrid w:val="0"/>
              </w:rPr>
              <w:t xml:space="preserve">old </w:t>
            </w:r>
            <w:r w:rsidR="008908E2" w:rsidRPr="00056894">
              <w:rPr>
                <w:snapToGrid w:val="0"/>
              </w:rPr>
              <w:t>item</w:t>
            </w:r>
            <w:r w:rsidR="00056894" w:rsidRPr="00056894">
              <w:rPr>
                <w:snapToGrid w:val="0"/>
              </w:rPr>
              <w:t> </w:t>
            </w:r>
            <w:r w:rsidR="00BC2EF1" w:rsidRPr="00056894">
              <w:rPr>
                <w:snapToGrid w:val="0"/>
              </w:rPr>
              <w:t>10900 at the same practice applied; or</w:t>
            </w:r>
          </w:p>
          <w:p w:rsidR="00735A0B" w:rsidRPr="00056894" w:rsidRDefault="00735A0B" w:rsidP="006975AA">
            <w:pPr>
              <w:pStyle w:val="Tablea"/>
              <w:rPr>
                <w:snapToGrid w:val="0"/>
              </w:rPr>
            </w:pPr>
            <w:r w:rsidRPr="00056894">
              <w:rPr>
                <w:snapToGrid w:val="0"/>
              </w:rPr>
              <w:t>(b</w:t>
            </w:r>
            <w:r w:rsidR="00BC2EF1" w:rsidRPr="00056894">
              <w:rPr>
                <w:snapToGrid w:val="0"/>
              </w:rPr>
              <w:t>) for a patient who is at least 65 years of age—within 12 months of an initial consultation to which</w:t>
            </w:r>
            <w:r w:rsidR="00184CE7" w:rsidRPr="00056894">
              <w:rPr>
                <w:snapToGrid w:val="0"/>
              </w:rPr>
              <w:t>:</w:t>
            </w:r>
          </w:p>
          <w:p w:rsidR="00735A0B" w:rsidRPr="00056894" w:rsidRDefault="00735A0B" w:rsidP="00735A0B">
            <w:pPr>
              <w:pStyle w:val="Tablei"/>
              <w:rPr>
                <w:snapToGrid w:val="0"/>
              </w:rPr>
            </w:pPr>
            <w:r w:rsidRPr="00056894">
              <w:t>(i) this item, or item</w:t>
            </w:r>
            <w:r w:rsidR="00056894" w:rsidRPr="00056894">
              <w:t> </w:t>
            </w:r>
            <w:r w:rsidRPr="00056894">
              <w:t>10905, 10907, 10910, 10911, 10912, 10914 or 10915 at the same practice applie</w:t>
            </w:r>
            <w:r w:rsidRPr="00056894">
              <w:rPr>
                <w:snapToGrid w:val="0"/>
              </w:rPr>
              <w:t>s</w:t>
            </w:r>
            <w:r w:rsidR="00184CE7" w:rsidRPr="00056894">
              <w:rPr>
                <w:snapToGrid w:val="0"/>
              </w:rPr>
              <w:t>; or</w:t>
            </w:r>
          </w:p>
          <w:p w:rsidR="00BC2EF1" w:rsidRPr="00056894" w:rsidRDefault="00735A0B" w:rsidP="00735A0B">
            <w:pPr>
              <w:pStyle w:val="Tablei"/>
              <w:rPr>
                <w:snapToGrid w:val="0"/>
              </w:rPr>
            </w:pPr>
            <w:r w:rsidRPr="00056894">
              <w:rPr>
                <w:snapToGrid w:val="0"/>
              </w:rPr>
              <w:t xml:space="preserve">(ii) </w:t>
            </w:r>
            <w:r w:rsidR="00BC2EF1" w:rsidRPr="00056894">
              <w:rPr>
                <w:snapToGrid w:val="0"/>
              </w:rPr>
              <w:t xml:space="preserve">old </w:t>
            </w:r>
            <w:r w:rsidR="008908E2" w:rsidRPr="00056894">
              <w:rPr>
                <w:snapToGrid w:val="0"/>
              </w:rPr>
              <w:t>item</w:t>
            </w:r>
            <w:r w:rsidR="00056894" w:rsidRPr="00056894">
              <w:rPr>
                <w:snapToGrid w:val="0"/>
              </w:rPr>
              <w:t> </w:t>
            </w:r>
            <w:r w:rsidR="00BC2EF1" w:rsidRPr="00056894">
              <w:rPr>
                <w:snapToGrid w:val="0"/>
              </w:rPr>
              <w:t>10900 at the same practice applied</w:t>
            </w:r>
          </w:p>
        </w:tc>
        <w:tc>
          <w:tcPr>
            <w:tcW w:w="999" w:type="dxa"/>
            <w:gridSpan w:val="2"/>
            <w:tcBorders>
              <w:bottom w:val="single" w:sz="4" w:space="0" w:color="auto"/>
            </w:tcBorders>
            <w:shd w:val="clear" w:color="auto" w:fill="auto"/>
            <w:hideMark/>
          </w:tcPr>
          <w:p w:rsidR="00BC2EF1" w:rsidRPr="00056894" w:rsidRDefault="00BC2EF1" w:rsidP="006975AA">
            <w:pPr>
              <w:pStyle w:val="Tabletext"/>
              <w:jc w:val="right"/>
            </w:pPr>
            <w:r w:rsidRPr="00056894">
              <w:t>66.80</w:t>
            </w:r>
          </w:p>
        </w:tc>
      </w:tr>
      <w:tr w:rsidR="00BC2EF1" w:rsidRPr="00056894" w:rsidTr="001812BF">
        <w:tc>
          <w:tcPr>
            <w:tcW w:w="851" w:type="dxa"/>
            <w:tcBorders>
              <w:bottom w:val="nil"/>
            </w:tcBorders>
            <w:shd w:val="clear" w:color="auto" w:fill="auto"/>
            <w:hideMark/>
          </w:tcPr>
          <w:p w:rsidR="00BC2EF1" w:rsidRPr="00056894" w:rsidRDefault="00BC2EF1" w:rsidP="006975AA">
            <w:pPr>
              <w:pStyle w:val="Tabletext"/>
              <w:rPr>
                <w:snapToGrid w:val="0"/>
              </w:rPr>
            </w:pPr>
            <w:r w:rsidRPr="00056894">
              <w:rPr>
                <w:snapToGrid w:val="0"/>
              </w:rPr>
              <w:t>10914</w:t>
            </w:r>
          </w:p>
        </w:tc>
        <w:tc>
          <w:tcPr>
            <w:tcW w:w="5245" w:type="dxa"/>
            <w:tcBorders>
              <w:bottom w:val="nil"/>
            </w:tcBorders>
            <w:shd w:val="clear" w:color="auto" w:fill="auto"/>
            <w:hideMark/>
          </w:tcPr>
          <w:p w:rsidR="00BC2EF1" w:rsidRPr="00056894" w:rsidRDefault="00BC2EF1" w:rsidP="006975AA">
            <w:pPr>
              <w:pStyle w:val="Tabletext"/>
              <w:rPr>
                <w:snapToGrid w:val="0"/>
              </w:rPr>
            </w:pPr>
            <w:r w:rsidRPr="00056894">
              <w:rPr>
                <w:snapToGrid w:val="0"/>
              </w:rPr>
              <w:t>Professional attendance of more than 15 minutes in duration, being the first in a course of attention, if the patient has a progressive disorder (excluding presbyopia) requiring comprehensive reassessment:</w:t>
            </w:r>
          </w:p>
          <w:p w:rsidR="00735A0B" w:rsidRPr="00056894" w:rsidRDefault="00184CE7" w:rsidP="006975AA">
            <w:pPr>
              <w:pStyle w:val="Tablea"/>
              <w:rPr>
                <w:snapToGrid w:val="0"/>
              </w:rPr>
            </w:pPr>
            <w:r w:rsidRPr="00056894">
              <w:rPr>
                <w:snapToGrid w:val="0"/>
              </w:rPr>
              <w:t>(a</w:t>
            </w:r>
            <w:r w:rsidR="00BC2EF1" w:rsidRPr="00056894">
              <w:rPr>
                <w:snapToGrid w:val="0"/>
              </w:rPr>
              <w:t>) for a patient who is less than 65 years of age—within 36 months of an initial consultation to which</w:t>
            </w:r>
            <w:r w:rsidR="00735A0B" w:rsidRPr="00056894">
              <w:rPr>
                <w:snapToGrid w:val="0"/>
              </w:rPr>
              <w:t>:</w:t>
            </w:r>
          </w:p>
          <w:p w:rsidR="00735A0B" w:rsidRPr="00056894" w:rsidRDefault="00735A0B" w:rsidP="00735A0B">
            <w:pPr>
              <w:pStyle w:val="Tablei"/>
            </w:pPr>
            <w:r w:rsidRPr="00056894">
              <w:rPr>
                <w:snapToGrid w:val="0"/>
              </w:rPr>
              <w:t xml:space="preserve">(i) </w:t>
            </w:r>
            <w:r w:rsidRPr="00056894">
              <w:t>this it</w:t>
            </w:r>
            <w:r w:rsidR="00064201" w:rsidRPr="00056894">
              <w:t>em, or item</w:t>
            </w:r>
            <w:r w:rsidR="00056894" w:rsidRPr="00056894">
              <w:t> </w:t>
            </w:r>
            <w:r w:rsidR="00064201" w:rsidRPr="00056894">
              <w:t>10905, 10907, 10910</w:t>
            </w:r>
            <w:r w:rsidRPr="00056894">
              <w:t>, 10912, 10913 or 10915 applies; or</w:t>
            </w:r>
          </w:p>
          <w:p w:rsidR="00BC2EF1" w:rsidRPr="00056894" w:rsidRDefault="00735A0B" w:rsidP="00735A0B">
            <w:pPr>
              <w:pStyle w:val="Tablei"/>
              <w:rPr>
                <w:snapToGrid w:val="0"/>
              </w:rPr>
            </w:pPr>
            <w:r w:rsidRPr="00056894">
              <w:rPr>
                <w:snapToGrid w:val="0"/>
              </w:rPr>
              <w:t>(ii)</w:t>
            </w:r>
            <w:r w:rsidR="00BC2EF1" w:rsidRPr="00056894">
              <w:rPr>
                <w:snapToGrid w:val="0"/>
              </w:rPr>
              <w:t xml:space="preserve"> old </w:t>
            </w:r>
            <w:r w:rsidR="008908E2" w:rsidRPr="00056894">
              <w:rPr>
                <w:snapToGrid w:val="0"/>
              </w:rPr>
              <w:t>item</w:t>
            </w:r>
            <w:r w:rsidR="00056894" w:rsidRPr="00056894">
              <w:rPr>
                <w:snapToGrid w:val="0"/>
              </w:rPr>
              <w:t> </w:t>
            </w:r>
            <w:r w:rsidR="00BC2EF1" w:rsidRPr="00056894">
              <w:rPr>
                <w:snapToGrid w:val="0"/>
              </w:rPr>
              <w:t>10900 applied; or</w:t>
            </w:r>
          </w:p>
          <w:p w:rsidR="00735A0B" w:rsidRPr="00056894" w:rsidRDefault="00184CE7" w:rsidP="006975AA">
            <w:pPr>
              <w:pStyle w:val="Tablea"/>
              <w:rPr>
                <w:snapToGrid w:val="0"/>
              </w:rPr>
            </w:pPr>
            <w:r w:rsidRPr="00056894">
              <w:rPr>
                <w:snapToGrid w:val="0"/>
              </w:rPr>
              <w:t>(b</w:t>
            </w:r>
            <w:r w:rsidR="00BC2EF1" w:rsidRPr="00056894">
              <w:rPr>
                <w:snapToGrid w:val="0"/>
              </w:rPr>
              <w:t>) for a patient who is at least 65 years of age—within 12 months of an initial consultation to which</w:t>
            </w:r>
            <w:r w:rsidR="00735A0B" w:rsidRPr="00056894">
              <w:rPr>
                <w:snapToGrid w:val="0"/>
              </w:rPr>
              <w:t>:</w:t>
            </w:r>
          </w:p>
          <w:p w:rsidR="00735A0B" w:rsidRPr="00056894" w:rsidRDefault="00735A0B" w:rsidP="00735A0B">
            <w:pPr>
              <w:pStyle w:val="Tablei"/>
            </w:pPr>
            <w:r w:rsidRPr="00056894">
              <w:rPr>
                <w:snapToGrid w:val="0"/>
              </w:rPr>
              <w:t xml:space="preserve">(i) </w:t>
            </w:r>
            <w:r w:rsidRPr="00056894">
              <w:t>this item, or item</w:t>
            </w:r>
            <w:r w:rsidR="00056894" w:rsidRPr="00056894">
              <w:t> </w:t>
            </w:r>
            <w:r w:rsidRPr="00056894">
              <w:t>10905, 10907, 10910, 10911, 10912, 10913 or 10915 applies; or</w:t>
            </w:r>
          </w:p>
          <w:p w:rsidR="00BC2EF1" w:rsidRPr="00056894" w:rsidRDefault="00735A0B" w:rsidP="00735A0B">
            <w:pPr>
              <w:pStyle w:val="Tablei"/>
            </w:pPr>
            <w:r w:rsidRPr="00056894">
              <w:rPr>
                <w:snapToGrid w:val="0"/>
              </w:rPr>
              <w:t>(ii)</w:t>
            </w:r>
            <w:r w:rsidR="00BC2EF1" w:rsidRPr="00056894">
              <w:rPr>
                <w:snapToGrid w:val="0"/>
              </w:rPr>
              <w:t xml:space="preserve"> old </w:t>
            </w:r>
            <w:r w:rsidR="008908E2" w:rsidRPr="00056894">
              <w:rPr>
                <w:snapToGrid w:val="0"/>
              </w:rPr>
              <w:t>item</w:t>
            </w:r>
            <w:r w:rsidR="00056894" w:rsidRPr="00056894">
              <w:rPr>
                <w:snapToGrid w:val="0"/>
              </w:rPr>
              <w:t> </w:t>
            </w:r>
            <w:r w:rsidR="00BC2EF1" w:rsidRPr="00056894">
              <w:rPr>
                <w:snapToGrid w:val="0"/>
              </w:rPr>
              <w:t>10900 applied</w:t>
            </w:r>
          </w:p>
        </w:tc>
        <w:tc>
          <w:tcPr>
            <w:tcW w:w="999" w:type="dxa"/>
            <w:gridSpan w:val="2"/>
            <w:tcBorders>
              <w:bottom w:val="nil"/>
            </w:tcBorders>
            <w:shd w:val="clear" w:color="auto" w:fill="auto"/>
            <w:hideMark/>
          </w:tcPr>
          <w:p w:rsidR="00BC2EF1" w:rsidRPr="00056894" w:rsidRDefault="00BC2EF1" w:rsidP="006975AA">
            <w:pPr>
              <w:pStyle w:val="Tabletext"/>
              <w:jc w:val="right"/>
            </w:pPr>
            <w:r w:rsidRPr="00056894">
              <w:t>66.80</w:t>
            </w:r>
          </w:p>
        </w:tc>
      </w:tr>
    </w:tbl>
    <w:p w:rsidR="00BC2EF1" w:rsidRPr="00056894" w:rsidRDefault="0020213F" w:rsidP="00BC2EF1">
      <w:pPr>
        <w:pStyle w:val="ItemHead"/>
      </w:pPr>
      <w:r w:rsidRPr="00056894">
        <w:t>9</w:t>
      </w:r>
      <w:r w:rsidR="00BC2EF1" w:rsidRPr="00056894">
        <w:t xml:space="preserve">  Schedule</w:t>
      </w:r>
      <w:r w:rsidR="00056894" w:rsidRPr="00056894">
        <w:t> </w:t>
      </w:r>
      <w:r w:rsidR="00BC2EF1" w:rsidRPr="00056894">
        <w:t>1 (</w:t>
      </w:r>
      <w:r w:rsidR="00A254FD" w:rsidRPr="00056894">
        <w:t xml:space="preserve">cell at </w:t>
      </w:r>
      <w:r w:rsidR="00BC2EF1" w:rsidRPr="00056894">
        <w:t>item</w:t>
      </w:r>
      <w:r w:rsidR="00056894" w:rsidRPr="00056894">
        <w:t> </w:t>
      </w:r>
      <w:r w:rsidR="00BC2EF1" w:rsidRPr="00056894">
        <w:t>10915, column headed “Fee ($)”)</w:t>
      </w:r>
    </w:p>
    <w:p w:rsidR="00A254FD" w:rsidRPr="00056894" w:rsidRDefault="00A254FD" w:rsidP="00A254FD">
      <w:pPr>
        <w:pStyle w:val="Item"/>
      </w:pPr>
      <w:r w:rsidRPr="00056894">
        <w:t>Repeal the cell, substitute:</w:t>
      </w:r>
    </w:p>
    <w:p w:rsidR="00A254FD" w:rsidRPr="00056894" w:rsidRDefault="00A254FD" w:rsidP="00A254FD">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A254FD" w:rsidRPr="00056894" w:rsidTr="006975AA">
        <w:tc>
          <w:tcPr>
            <w:tcW w:w="992" w:type="dxa"/>
            <w:shd w:val="clear" w:color="auto" w:fill="auto"/>
            <w:hideMark/>
          </w:tcPr>
          <w:p w:rsidR="00A254FD" w:rsidRPr="00056894" w:rsidRDefault="00A254FD" w:rsidP="006975AA">
            <w:pPr>
              <w:pStyle w:val="Tabletext"/>
              <w:jc w:val="right"/>
            </w:pPr>
            <w:r w:rsidRPr="00056894">
              <w:t>66.80</w:t>
            </w:r>
          </w:p>
        </w:tc>
      </w:tr>
    </w:tbl>
    <w:p w:rsidR="00BC2EF1" w:rsidRPr="00056894" w:rsidRDefault="0020213F" w:rsidP="00BC2EF1">
      <w:pPr>
        <w:pStyle w:val="ItemHead"/>
      </w:pPr>
      <w:r w:rsidRPr="00056894">
        <w:lastRenderedPageBreak/>
        <w:t>10</w:t>
      </w:r>
      <w:r w:rsidR="00BC2EF1" w:rsidRPr="00056894">
        <w:t xml:space="preserve">  Schedule</w:t>
      </w:r>
      <w:r w:rsidR="00056894" w:rsidRPr="00056894">
        <w:t> </w:t>
      </w:r>
      <w:r w:rsidR="00BC2EF1" w:rsidRPr="00056894">
        <w:t>1 (cells at items</w:t>
      </w:r>
      <w:r w:rsidR="00056894" w:rsidRPr="00056894">
        <w:t> </w:t>
      </w:r>
      <w:r w:rsidR="00BC2EF1" w:rsidRPr="00056894">
        <w:t>10916 and 10918, column headed “Fee ($)”)</w:t>
      </w:r>
    </w:p>
    <w:p w:rsidR="00BC2EF1" w:rsidRPr="00056894" w:rsidRDefault="00BC2EF1" w:rsidP="00BC2EF1">
      <w:pPr>
        <w:pStyle w:val="Item"/>
      </w:pPr>
      <w:r w:rsidRPr="00056894">
        <w:t>Repeal the cells, substitute:</w:t>
      </w:r>
    </w:p>
    <w:p w:rsidR="00BC2EF1" w:rsidRPr="00056894" w:rsidRDefault="00BC2EF1" w:rsidP="00BC2EF1">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BC2EF1" w:rsidRPr="00056894" w:rsidTr="006975AA">
        <w:tc>
          <w:tcPr>
            <w:tcW w:w="992" w:type="dxa"/>
            <w:shd w:val="clear" w:color="auto" w:fill="auto"/>
            <w:hideMark/>
          </w:tcPr>
          <w:p w:rsidR="00BC2EF1" w:rsidRPr="00056894" w:rsidRDefault="00A45E70" w:rsidP="006975AA">
            <w:pPr>
              <w:pStyle w:val="Tabletext"/>
              <w:jc w:val="right"/>
            </w:pPr>
            <w:r w:rsidRPr="00056894">
              <w:t>33.4</w:t>
            </w:r>
            <w:r w:rsidR="00BC2EF1" w:rsidRPr="00056894">
              <w:t>5</w:t>
            </w:r>
          </w:p>
        </w:tc>
      </w:tr>
    </w:tbl>
    <w:p w:rsidR="00BC2EF1" w:rsidRPr="00056894" w:rsidRDefault="0020213F" w:rsidP="00BC2EF1">
      <w:pPr>
        <w:pStyle w:val="ItemHead"/>
      </w:pPr>
      <w:r w:rsidRPr="00056894">
        <w:t>11</w:t>
      </w:r>
      <w:r w:rsidR="00BC2EF1" w:rsidRPr="00056894">
        <w:t xml:space="preserve">  Schedule</w:t>
      </w:r>
      <w:r w:rsidR="00056894" w:rsidRPr="00056894">
        <w:t> </w:t>
      </w:r>
      <w:r w:rsidR="00BC2EF1" w:rsidRPr="00056894">
        <w:t>1 (items</w:t>
      </w:r>
      <w:r w:rsidR="00056894" w:rsidRPr="00056894">
        <w:t> </w:t>
      </w:r>
      <w:r w:rsidR="00BC2EF1" w:rsidRPr="00056894">
        <w:t>10921 to 10929)</w:t>
      </w:r>
    </w:p>
    <w:p w:rsidR="00BC2EF1" w:rsidRPr="00056894" w:rsidRDefault="00BC2EF1" w:rsidP="00BC2EF1">
      <w:pPr>
        <w:pStyle w:val="Item"/>
      </w:pPr>
      <w:r w:rsidRPr="00056894">
        <w:t>Repeal the items, substitute:</w:t>
      </w:r>
    </w:p>
    <w:p w:rsidR="00BC2EF1" w:rsidRPr="00056894" w:rsidRDefault="00BC2EF1" w:rsidP="00BC2EF1">
      <w:pPr>
        <w:pStyle w:val="Tabletext"/>
      </w:pPr>
    </w:p>
    <w:tbl>
      <w:tblPr>
        <w:tblW w:w="7088" w:type="dxa"/>
        <w:tblInd w:w="107"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851"/>
        <w:gridCol w:w="5245"/>
        <w:gridCol w:w="992"/>
      </w:tblGrid>
      <w:tr w:rsidR="00BC2EF1" w:rsidRPr="00056894" w:rsidTr="006975AA">
        <w:trPr>
          <w:cantSplit/>
        </w:trPr>
        <w:tc>
          <w:tcPr>
            <w:tcW w:w="851" w:type="dxa"/>
            <w:shd w:val="clear" w:color="auto" w:fill="auto"/>
          </w:tcPr>
          <w:p w:rsidR="00BC2EF1" w:rsidRPr="00056894" w:rsidRDefault="00BC2EF1" w:rsidP="006975AA">
            <w:pPr>
              <w:pStyle w:val="Tabletext"/>
            </w:pPr>
            <w:r w:rsidRPr="00056894">
              <w:t>10921</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with myopia of 5.0 dioptres or greater (spherical equivalent) in one eye</w:t>
            </w:r>
          </w:p>
        </w:tc>
        <w:tc>
          <w:tcPr>
            <w:tcW w:w="992" w:type="dxa"/>
            <w:shd w:val="clear" w:color="auto" w:fill="auto"/>
          </w:tcPr>
          <w:p w:rsidR="00BC2EF1" w:rsidRPr="00056894" w:rsidRDefault="00BC2EF1" w:rsidP="006975AA">
            <w:pPr>
              <w:pStyle w:val="Tabletext"/>
              <w:jc w:val="right"/>
            </w:pPr>
            <w:r w:rsidRPr="00056894">
              <w:t>165.80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t>10922</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with manifest hyperopia of 5.0 dioptres or greater (spherical equivalent) in one eye</w:t>
            </w:r>
          </w:p>
        </w:tc>
        <w:tc>
          <w:tcPr>
            <w:tcW w:w="992" w:type="dxa"/>
            <w:shd w:val="clear" w:color="auto" w:fill="auto"/>
          </w:tcPr>
          <w:p w:rsidR="00BC2EF1" w:rsidRPr="00056894" w:rsidRDefault="00BC2EF1" w:rsidP="006975AA">
            <w:pPr>
              <w:pStyle w:val="Tabletext"/>
              <w:jc w:val="right"/>
            </w:pPr>
            <w:r w:rsidRPr="00056894">
              <w:t>165.80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t>10923</w:t>
            </w:r>
          </w:p>
        </w:tc>
        <w:tc>
          <w:tcPr>
            <w:tcW w:w="5245" w:type="dxa"/>
            <w:shd w:val="clear" w:color="auto" w:fill="auto"/>
          </w:tcPr>
          <w:p w:rsidR="00BC2EF1" w:rsidRPr="00056894" w:rsidRDefault="00BC2EF1" w:rsidP="006975AA">
            <w:pPr>
              <w:pStyle w:val="Tabletext"/>
            </w:pPr>
            <w:r w:rsidRPr="00056894">
              <w:rPr>
                <w:snapToGrid w:val="0"/>
              </w:rPr>
              <w:t>All professional attendances after the first, being those attendances regarded as a single service, in a single course of attention involving the prescription and fitting of contact lenses, being a course of attention for which the</w:t>
            </w:r>
            <w:r w:rsidRPr="00056894">
              <w:t xml:space="preserve"> 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with astigmatism of 3.0 dioptres or greater in one eye</w:t>
            </w:r>
          </w:p>
        </w:tc>
        <w:tc>
          <w:tcPr>
            <w:tcW w:w="992" w:type="dxa"/>
            <w:shd w:val="clear" w:color="auto" w:fill="auto"/>
          </w:tcPr>
          <w:p w:rsidR="00BC2EF1" w:rsidRPr="00056894" w:rsidRDefault="00BC2EF1" w:rsidP="006975AA">
            <w:pPr>
              <w:pStyle w:val="Tabletext"/>
              <w:jc w:val="right"/>
            </w:pPr>
            <w:r w:rsidRPr="00056894">
              <w:t>165.80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lastRenderedPageBreak/>
              <w:t>10924</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992" w:type="dxa"/>
            <w:shd w:val="clear" w:color="auto" w:fill="auto"/>
          </w:tcPr>
          <w:p w:rsidR="00BC2EF1" w:rsidRPr="00056894" w:rsidRDefault="00BC2EF1" w:rsidP="006975AA">
            <w:pPr>
              <w:pStyle w:val="Tabletext"/>
              <w:jc w:val="right"/>
            </w:pPr>
            <w:r w:rsidRPr="00056894">
              <w:t>209.20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t>10925</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with anisometropia of 3.0 dioptres or greater (difference between spherical equivalents)</w:t>
            </w:r>
          </w:p>
        </w:tc>
        <w:tc>
          <w:tcPr>
            <w:tcW w:w="992" w:type="dxa"/>
            <w:shd w:val="clear" w:color="auto" w:fill="auto"/>
          </w:tcPr>
          <w:p w:rsidR="00BC2EF1" w:rsidRPr="00056894" w:rsidRDefault="00BC2EF1" w:rsidP="006975AA">
            <w:pPr>
              <w:pStyle w:val="Tabletext"/>
              <w:jc w:val="right"/>
            </w:pPr>
            <w:r w:rsidRPr="00056894">
              <w:t>165.80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t>10926</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with corrected visual acuity of 0.7 logMAR (6/30) or worse in both eyes, being patients for whom a contact lens is prescribed as part of a telescopic system</w:t>
            </w:r>
          </w:p>
        </w:tc>
        <w:tc>
          <w:tcPr>
            <w:tcW w:w="992" w:type="dxa"/>
            <w:shd w:val="clear" w:color="auto" w:fill="auto"/>
          </w:tcPr>
          <w:p w:rsidR="00BC2EF1" w:rsidRPr="00056894" w:rsidRDefault="00BC2EF1" w:rsidP="006975AA">
            <w:pPr>
              <w:pStyle w:val="Tabletext"/>
              <w:jc w:val="right"/>
            </w:pPr>
            <w:r w:rsidRPr="00056894">
              <w:t>165.80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lastRenderedPageBreak/>
              <w:t>10927</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for whom a wholly or segmentally opaque contact lens is prescribed for the alleviation of dazzle, distortion or diplopia caused by pathological mydriasis, aniridia, coloboma of the iris, pupillary malformation or distortion, significant ocular deformity or corneal opacity—whether congenital, traumatic or surgical in origin</w:t>
            </w:r>
          </w:p>
        </w:tc>
        <w:tc>
          <w:tcPr>
            <w:tcW w:w="992" w:type="dxa"/>
            <w:shd w:val="clear" w:color="auto" w:fill="auto"/>
          </w:tcPr>
          <w:p w:rsidR="00BC2EF1" w:rsidRPr="00056894" w:rsidRDefault="00BC2EF1" w:rsidP="006975AA">
            <w:pPr>
              <w:pStyle w:val="Tabletext"/>
              <w:jc w:val="right"/>
            </w:pPr>
            <w:r w:rsidRPr="00056894">
              <w:t>209.20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t>10928</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who, because of physical deformity, are unable to wear spectacles</w:t>
            </w:r>
          </w:p>
        </w:tc>
        <w:tc>
          <w:tcPr>
            <w:tcW w:w="992" w:type="dxa"/>
            <w:shd w:val="clear" w:color="auto" w:fill="auto"/>
          </w:tcPr>
          <w:p w:rsidR="00BC2EF1" w:rsidRPr="00056894" w:rsidRDefault="00BC2EF1" w:rsidP="006975AA">
            <w:pPr>
              <w:pStyle w:val="Tabletext"/>
              <w:jc w:val="right"/>
            </w:pPr>
            <w:r w:rsidRPr="00056894">
              <w:t>165.80</w:t>
            </w:r>
          </w:p>
        </w:tc>
      </w:tr>
      <w:tr w:rsidR="00BC2EF1" w:rsidRPr="00056894" w:rsidTr="006975AA">
        <w:trPr>
          <w:cantSplit/>
        </w:trPr>
        <w:tc>
          <w:tcPr>
            <w:tcW w:w="851" w:type="dxa"/>
            <w:shd w:val="clear" w:color="auto" w:fill="auto"/>
          </w:tcPr>
          <w:p w:rsidR="00BC2EF1" w:rsidRPr="00056894" w:rsidRDefault="00BC2EF1" w:rsidP="006975AA">
            <w:pPr>
              <w:pStyle w:val="Tabletext"/>
            </w:pPr>
            <w:r w:rsidRPr="00056894">
              <w:t>10929</w:t>
            </w:r>
          </w:p>
        </w:tc>
        <w:tc>
          <w:tcPr>
            <w:tcW w:w="5245" w:type="dxa"/>
            <w:shd w:val="clear" w:color="auto" w:fill="auto"/>
          </w:tcPr>
          <w:p w:rsidR="00BC2EF1" w:rsidRPr="00056894" w:rsidRDefault="00BC2EF1" w:rsidP="006975AA">
            <w:pPr>
              <w:pStyle w:val="Tabletext"/>
            </w:pPr>
            <w:r w:rsidRPr="00056894">
              <w:rPr>
                <w:snapToGrid w:val="0"/>
              </w:rPr>
              <w:t xml:space="preserve">All professional attendances after the first, being those attendances regarded as a single service, in a single course of attention involving the prescription and fitting of contact lenses, being a course of attention for which the </w:t>
            </w:r>
            <w:r w:rsidRPr="00056894">
              <w:t>first attendance is a service to which:</w:t>
            </w:r>
          </w:p>
          <w:p w:rsidR="00BC2EF1" w:rsidRPr="00056894" w:rsidRDefault="00BC2EF1" w:rsidP="006975AA">
            <w:pPr>
              <w:pStyle w:val="Tablea"/>
            </w:pPr>
            <w:r w:rsidRPr="00056894">
              <w:t>(a) item</w:t>
            </w:r>
            <w:r w:rsidR="00056894" w:rsidRPr="00056894">
              <w:t> </w:t>
            </w:r>
            <w:r w:rsidRPr="00056894">
              <w:t>10905, 10907, 10910, 10911, 10912, 10913, 10914,</w:t>
            </w:r>
            <w:r w:rsidR="00DE71E1" w:rsidRPr="00056894">
              <w:t xml:space="preserve"> </w:t>
            </w:r>
            <w:r w:rsidRPr="00056894">
              <w:t>10915 or 10916 applies; or</w:t>
            </w:r>
          </w:p>
          <w:p w:rsidR="00BC2EF1" w:rsidRPr="00056894" w:rsidRDefault="00BC2EF1" w:rsidP="006975AA">
            <w:pPr>
              <w:pStyle w:val="Tablea"/>
            </w:pPr>
            <w:r w:rsidRPr="00056894">
              <w:t>(b) old item</w:t>
            </w:r>
            <w:r w:rsidR="00056894" w:rsidRPr="00056894">
              <w:t> </w:t>
            </w:r>
            <w:r w:rsidRPr="00056894">
              <w:t>10900 applied</w:t>
            </w:r>
          </w:p>
          <w:p w:rsidR="00BC2EF1" w:rsidRPr="00056894" w:rsidRDefault="00BC2EF1" w:rsidP="006975AA">
            <w:pPr>
              <w:pStyle w:val="Tabletext"/>
            </w:pPr>
            <w:r w:rsidRPr="00056894">
              <w:t>For patients who have a medical or optical condition (other than myopia, hyperopia, astigmatism, anisometropia or a condition to which item</w:t>
            </w:r>
            <w:r w:rsidR="00056894" w:rsidRPr="00056894">
              <w:t> </w:t>
            </w:r>
            <w:r w:rsidRPr="00056894">
              <w:t>10926, 10927 or 10928 applies) requiring the use of a contact lens for correction, if the condition is specified on the patient’s account</w:t>
            </w:r>
          </w:p>
        </w:tc>
        <w:tc>
          <w:tcPr>
            <w:tcW w:w="992" w:type="dxa"/>
            <w:shd w:val="clear" w:color="auto" w:fill="auto"/>
          </w:tcPr>
          <w:p w:rsidR="00BC2EF1" w:rsidRPr="00056894" w:rsidRDefault="00BC2EF1" w:rsidP="006975AA">
            <w:pPr>
              <w:pStyle w:val="Tabletext"/>
              <w:jc w:val="right"/>
            </w:pPr>
            <w:r w:rsidRPr="00056894">
              <w:t>209.20</w:t>
            </w:r>
          </w:p>
        </w:tc>
      </w:tr>
    </w:tbl>
    <w:p w:rsidR="00BC2EF1" w:rsidRPr="00056894" w:rsidRDefault="0020213F" w:rsidP="00BC2EF1">
      <w:pPr>
        <w:pStyle w:val="ItemHead"/>
      </w:pPr>
      <w:r w:rsidRPr="00056894">
        <w:t>12</w:t>
      </w:r>
      <w:r w:rsidR="00BC2EF1" w:rsidRPr="00056894">
        <w:t xml:space="preserve">  Schedule</w:t>
      </w:r>
      <w:r w:rsidR="00056894" w:rsidRPr="00056894">
        <w:t> </w:t>
      </w:r>
      <w:r w:rsidR="00BC2EF1" w:rsidRPr="00056894">
        <w:t>1 (cell at item</w:t>
      </w:r>
      <w:r w:rsidR="00056894" w:rsidRPr="00056894">
        <w:t> </w:t>
      </w:r>
      <w:r w:rsidR="00BC2EF1" w:rsidRPr="00056894">
        <w:t>10930, column headed “Fee ($)”)</w:t>
      </w:r>
    </w:p>
    <w:p w:rsidR="00BC2EF1" w:rsidRPr="00056894" w:rsidRDefault="00BC2EF1" w:rsidP="00BC2EF1">
      <w:pPr>
        <w:pStyle w:val="Item"/>
      </w:pPr>
      <w:r w:rsidRPr="00056894">
        <w:t>Repeal the cell, substitute:</w:t>
      </w:r>
    </w:p>
    <w:p w:rsidR="00BC2EF1" w:rsidRPr="00056894" w:rsidRDefault="00BC2EF1" w:rsidP="00BC2EF1">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BC2EF1" w:rsidRPr="00056894" w:rsidTr="006975AA">
        <w:tc>
          <w:tcPr>
            <w:tcW w:w="992" w:type="dxa"/>
            <w:shd w:val="clear" w:color="auto" w:fill="auto"/>
            <w:hideMark/>
          </w:tcPr>
          <w:p w:rsidR="00BC2EF1" w:rsidRPr="00056894" w:rsidRDefault="00BC2EF1" w:rsidP="006975AA">
            <w:pPr>
              <w:pStyle w:val="Tabletext"/>
              <w:jc w:val="right"/>
            </w:pPr>
            <w:r w:rsidRPr="00056894">
              <w:lastRenderedPageBreak/>
              <w:t>165.80</w:t>
            </w:r>
          </w:p>
        </w:tc>
      </w:tr>
    </w:tbl>
    <w:p w:rsidR="00EE43FE" w:rsidRPr="00056894" w:rsidRDefault="0020213F" w:rsidP="00EE43FE">
      <w:pPr>
        <w:pStyle w:val="ItemHead"/>
      </w:pPr>
      <w:r w:rsidRPr="00056894">
        <w:t>13</w:t>
      </w:r>
      <w:r w:rsidR="00EE43FE" w:rsidRPr="00056894">
        <w:t xml:space="preserve">  Schedule</w:t>
      </w:r>
      <w:r w:rsidR="00056894" w:rsidRPr="00056894">
        <w:t> </w:t>
      </w:r>
      <w:r w:rsidR="00EE43FE" w:rsidRPr="00056894">
        <w:t>1 (cell at item</w:t>
      </w:r>
      <w:r w:rsidR="00056894" w:rsidRPr="00056894">
        <w:t> </w:t>
      </w:r>
      <w:r w:rsidR="00EE43FE" w:rsidRPr="00056894">
        <w:t>10931, column headed “Fee ($)”)</w:t>
      </w:r>
    </w:p>
    <w:p w:rsidR="00EE43FE" w:rsidRPr="00056894" w:rsidRDefault="00EE43FE" w:rsidP="00EE43FE">
      <w:pPr>
        <w:pStyle w:val="Item"/>
      </w:pPr>
      <w:r w:rsidRPr="00056894">
        <w:t>Repeal the cell, substitute:</w:t>
      </w:r>
    </w:p>
    <w:p w:rsidR="00EE43FE" w:rsidRPr="00056894" w:rsidRDefault="00EE43FE" w:rsidP="00EE43FE">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EE43FE" w:rsidRPr="00056894" w:rsidTr="006975AA">
        <w:tc>
          <w:tcPr>
            <w:tcW w:w="992" w:type="dxa"/>
            <w:shd w:val="clear" w:color="auto" w:fill="auto"/>
            <w:hideMark/>
          </w:tcPr>
          <w:p w:rsidR="00EE43FE" w:rsidRPr="00056894" w:rsidRDefault="00EE43FE" w:rsidP="006975AA">
            <w:pPr>
              <w:pStyle w:val="Tabletext"/>
              <w:jc w:val="right"/>
            </w:pPr>
            <w:r w:rsidRPr="00056894">
              <w:t>23.30</w:t>
            </w:r>
          </w:p>
        </w:tc>
      </w:tr>
    </w:tbl>
    <w:p w:rsidR="00EE43FE" w:rsidRPr="00056894" w:rsidRDefault="0020213F" w:rsidP="00EE43FE">
      <w:pPr>
        <w:pStyle w:val="ItemHead"/>
      </w:pPr>
      <w:r w:rsidRPr="00056894">
        <w:t>14</w:t>
      </w:r>
      <w:r w:rsidR="00EE43FE" w:rsidRPr="00056894">
        <w:t xml:space="preserve">  Schedule</w:t>
      </w:r>
      <w:r w:rsidR="00056894" w:rsidRPr="00056894">
        <w:t> </w:t>
      </w:r>
      <w:r w:rsidR="00EE43FE" w:rsidRPr="00056894">
        <w:t>1 (cell at item</w:t>
      </w:r>
      <w:r w:rsidR="00056894" w:rsidRPr="00056894">
        <w:t> </w:t>
      </w:r>
      <w:r w:rsidR="00EE43FE" w:rsidRPr="00056894">
        <w:t>10932, column headed “Fee ($)”)</w:t>
      </w:r>
    </w:p>
    <w:p w:rsidR="00EE43FE" w:rsidRPr="00056894" w:rsidRDefault="00EE43FE" w:rsidP="00EE43FE">
      <w:pPr>
        <w:pStyle w:val="Item"/>
      </w:pPr>
      <w:r w:rsidRPr="00056894">
        <w:t>Repeal the cell, substitute:</w:t>
      </w:r>
    </w:p>
    <w:p w:rsidR="00EE43FE" w:rsidRPr="00056894" w:rsidRDefault="00EE43FE" w:rsidP="00EE43FE">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EE43FE" w:rsidRPr="00056894" w:rsidTr="006975AA">
        <w:tc>
          <w:tcPr>
            <w:tcW w:w="992" w:type="dxa"/>
            <w:shd w:val="clear" w:color="auto" w:fill="auto"/>
            <w:hideMark/>
          </w:tcPr>
          <w:p w:rsidR="00EE43FE" w:rsidRPr="00056894" w:rsidRDefault="00EE43FE" w:rsidP="006975AA">
            <w:pPr>
              <w:pStyle w:val="Tabletext"/>
              <w:jc w:val="right"/>
            </w:pPr>
            <w:r w:rsidRPr="00056894">
              <w:t>11.60</w:t>
            </w:r>
          </w:p>
        </w:tc>
      </w:tr>
    </w:tbl>
    <w:p w:rsidR="00EE43FE" w:rsidRPr="00056894" w:rsidRDefault="0020213F" w:rsidP="00EE43FE">
      <w:pPr>
        <w:pStyle w:val="ItemHead"/>
      </w:pPr>
      <w:r w:rsidRPr="00056894">
        <w:t>15</w:t>
      </w:r>
      <w:r w:rsidR="00EE43FE" w:rsidRPr="00056894">
        <w:t xml:space="preserve">  Schedule</w:t>
      </w:r>
      <w:r w:rsidR="00056894" w:rsidRPr="00056894">
        <w:t> </w:t>
      </w:r>
      <w:r w:rsidR="00EE43FE" w:rsidRPr="00056894">
        <w:t>1 (cell at item</w:t>
      </w:r>
      <w:r w:rsidR="00056894" w:rsidRPr="00056894">
        <w:t> </w:t>
      </w:r>
      <w:r w:rsidR="0049510C" w:rsidRPr="00056894">
        <w:t>10933</w:t>
      </w:r>
      <w:r w:rsidR="00EE43FE" w:rsidRPr="00056894">
        <w:t>, column headed “Fee ($)”)</w:t>
      </w:r>
    </w:p>
    <w:p w:rsidR="00EE43FE" w:rsidRPr="00056894" w:rsidRDefault="00EE43FE" w:rsidP="00EE43FE">
      <w:pPr>
        <w:pStyle w:val="Item"/>
      </w:pPr>
      <w:r w:rsidRPr="00056894">
        <w:t>Repeal the cell, substitute:</w:t>
      </w:r>
    </w:p>
    <w:p w:rsidR="00EE43FE" w:rsidRPr="00056894" w:rsidRDefault="00EE43FE" w:rsidP="00EE43FE">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EE43FE" w:rsidRPr="00056894" w:rsidTr="006975AA">
        <w:tc>
          <w:tcPr>
            <w:tcW w:w="992" w:type="dxa"/>
            <w:shd w:val="clear" w:color="auto" w:fill="auto"/>
            <w:hideMark/>
          </w:tcPr>
          <w:p w:rsidR="00EE43FE" w:rsidRPr="00056894" w:rsidRDefault="00EE43FE" w:rsidP="006975AA">
            <w:pPr>
              <w:pStyle w:val="Tabletext"/>
              <w:jc w:val="right"/>
            </w:pPr>
            <w:r w:rsidRPr="00056894">
              <w:t>7.70</w:t>
            </w:r>
          </w:p>
        </w:tc>
      </w:tr>
    </w:tbl>
    <w:p w:rsidR="00EE43FE" w:rsidRPr="00056894" w:rsidRDefault="0020213F" w:rsidP="00EE43FE">
      <w:pPr>
        <w:pStyle w:val="ItemHead"/>
      </w:pPr>
      <w:r w:rsidRPr="00056894">
        <w:t>16</w:t>
      </w:r>
      <w:r w:rsidR="00EE43FE" w:rsidRPr="00056894">
        <w:t xml:space="preserve">  Schedule</w:t>
      </w:r>
      <w:r w:rsidR="00056894" w:rsidRPr="00056894">
        <w:t> </w:t>
      </w:r>
      <w:r w:rsidR="00EE43FE" w:rsidRPr="00056894">
        <w:t>1 (cell at item</w:t>
      </w:r>
      <w:r w:rsidR="00056894" w:rsidRPr="00056894">
        <w:t> </w:t>
      </w:r>
      <w:r w:rsidR="0049510C" w:rsidRPr="00056894">
        <w:t>1094</w:t>
      </w:r>
      <w:r w:rsidR="00EE43FE" w:rsidRPr="00056894">
        <w:t>0, column headed “Fee ($)”)</w:t>
      </w:r>
    </w:p>
    <w:p w:rsidR="00EE43FE" w:rsidRPr="00056894" w:rsidRDefault="00EE43FE" w:rsidP="00EE43FE">
      <w:pPr>
        <w:pStyle w:val="Item"/>
      </w:pPr>
      <w:r w:rsidRPr="00056894">
        <w:t>Repeal the cell, substitute:</w:t>
      </w:r>
    </w:p>
    <w:p w:rsidR="00EE43FE" w:rsidRPr="00056894" w:rsidRDefault="00EE43FE" w:rsidP="00EE43FE">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EE43FE" w:rsidRPr="00056894" w:rsidTr="006975AA">
        <w:tc>
          <w:tcPr>
            <w:tcW w:w="992" w:type="dxa"/>
            <w:shd w:val="clear" w:color="auto" w:fill="auto"/>
            <w:hideMark/>
          </w:tcPr>
          <w:p w:rsidR="00EE43FE" w:rsidRPr="00056894" w:rsidRDefault="00EE43FE" w:rsidP="006975AA">
            <w:pPr>
              <w:pStyle w:val="Tabletext"/>
              <w:jc w:val="right"/>
            </w:pPr>
            <w:r w:rsidRPr="00056894">
              <w:t>63.75</w:t>
            </w:r>
          </w:p>
        </w:tc>
      </w:tr>
    </w:tbl>
    <w:p w:rsidR="00EE43FE" w:rsidRPr="00056894" w:rsidRDefault="0020213F" w:rsidP="00EE43FE">
      <w:pPr>
        <w:pStyle w:val="ItemHead"/>
      </w:pPr>
      <w:r w:rsidRPr="00056894">
        <w:t>17</w:t>
      </w:r>
      <w:r w:rsidR="00EE43FE" w:rsidRPr="00056894">
        <w:t xml:space="preserve">  Schedule</w:t>
      </w:r>
      <w:r w:rsidR="00056894" w:rsidRPr="00056894">
        <w:t> </w:t>
      </w:r>
      <w:r w:rsidR="00EE43FE" w:rsidRPr="00056894">
        <w:t>1 (cell at item</w:t>
      </w:r>
      <w:r w:rsidR="00056894" w:rsidRPr="00056894">
        <w:t> </w:t>
      </w:r>
      <w:r w:rsidR="0049510C" w:rsidRPr="00056894">
        <w:t>10941</w:t>
      </w:r>
      <w:r w:rsidR="00EE43FE" w:rsidRPr="00056894">
        <w:t>, column headed “Fee ($)”)</w:t>
      </w:r>
    </w:p>
    <w:p w:rsidR="00EE43FE" w:rsidRPr="00056894" w:rsidRDefault="00EE43FE" w:rsidP="00EE43FE">
      <w:pPr>
        <w:pStyle w:val="Item"/>
      </w:pPr>
      <w:r w:rsidRPr="00056894">
        <w:t>Repeal the cell, substitute:</w:t>
      </w:r>
    </w:p>
    <w:p w:rsidR="00EE43FE" w:rsidRPr="00056894" w:rsidRDefault="00EE43FE" w:rsidP="00EE43FE">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EE43FE" w:rsidRPr="00056894" w:rsidTr="006975AA">
        <w:tc>
          <w:tcPr>
            <w:tcW w:w="992" w:type="dxa"/>
            <w:shd w:val="clear" w:color="auto" w:fill="auto"/>
            <w:hideMark/>
          </w:tcPr>
          <w:p w:rsidR="00EE43FE" w:rsidRPr="00056894" w:rsidRDefault="00EE43FE" w:rsidP="006975AA">
            <w:pPr>
              <w:pStyle w:val="Tabletext"/>
              <w:jc w:val="right"/>
            </w:pPr>
            <w:r w:rsidRPr="00056894">
              <w:t>38.45</w:t>
            </w:r>
          </w:p>
        </w:tc>
      </w:tr>
    </w:tbl>
    <w:p w:rsidR="00EE43FE" w:rsidRPr="00056894" w:rsidRDefault="0020213F" w:rsidP="00EE43FE">
      <w:pPr>
        <w:pStyle w:val="ItemHead"/>
      </w:pPr>
      <w:r w:rsidRPr="00056894">
        <w:t>18</w:t>
      </w:r>
      <w:r w:rsidR="00EE43FE" w:rsidRPr="00056894">
        <w:t xml:space="preserve">  Schedule</w:t>
      </w:r>
      <w:r w:rsidR="00056894" w:rsidRPr="00056894">
        <w:t> </w:t>
      </w:r>
      <w:r w:rsidR="00EE43FE" w:rsidRPr="00056894">
        <w:t>1 (cells at items</w:t>
      </w:r>
      <w:r w:rsidR="00056894" w:rsidRPr="00056894">
        <w:t> </w:t>
      </w:r>
      <w:r w:rsidR="0049510C" w:rsidRPr="00056894">
        <w:t>10942</w:t>
      </w:r>
      <w:r w:rsidR="00EE43FE" w:rsidRPr="00056894">
        <w:t xml:space="preserve"> and 10943, column headed “Fee ($)”)</w:t>
      </w:r>
    </w:p>
    <w:p w:rsidR="00EE43FE" w:rsidRPr="00056894" w:rsidRDefault="00EE43FE" w:rsidP="00EE43FE">
      <w:pPr>
        <w:pStyle w:val="Item"/>
      </w:pPr>
      <w:r w:rsidRPr="00056894">
        <w:t>Repeal the cells, substitute:</w:t>
      </w:r>
    </w:p>
    <w:p w:rsidR="00EE43FE" w:rsidRPr="00056894" w:rsidRDefault="00EE43FE" w:rsidP="00EE43FE">
      <w:pPr>
        <w:pStyle w:val="Tabletext"/>
      </w:pPr>
    </w:p>
    <w:tbl>
      <w:tblPr>
        <w:tblW w:w="992" w:type="dxa"/>
        <w:tblInd w:w="816" w:type="dxa"/>
        <w:tblLayout w:type="fixed"/>
        <w:tblCellMar>
          <w:left w:w="107" w:type="dxa"/>
          <w:right w:w="107" w:type="dxa"/>
        </w:tblCellMar>
        <w:tblLook w:val="04A0" w:firstRow="1" w:lastRow="0" w:firstColumn="1" w:lastColumn="0" w:noHBand="0" w:noVBand="1"/>
      </w:tblPr>
      <w:tblGrid>
        <w:gridCol w:w="992"/>
      </w:tblGrid>
      <w:tr w:rsidR="00EE43FE" w:rsidRPr="00056894" w:rsidTr="006975AA">
        <w:tc>
          <w:tcPr>
            <w:tcW w:w="992" w:type="dxa"/>
            <w:shd w:val="clear" w:color="auto" w:fill="auto"/>
            <w:hideMark/>
          </w:tcPr>
          <w:p w:rsidR="00EE43FE" w:rsidRPr="00056894" w:rsidRDefault="00EE43FE" w:rsidP="006975AA">
            <w:pPr>
              <w:pStyle w:val="Tabletext"/>
              <w:jc w:val="right"/>
            </w:pPr>
            <w:r w:rsidRPr="00056894">
              <w:t>33.45</w:t>
            </w:r>
          </w:p>
        </w:tc>
      </w:tr>
    </w:tbl>
    <w:p w:rsidR="00EE43FE" w:rsidRPr="00056894" w:rsidRDefault="00401EE5" w:rsidP="00401EE5">
      <w:pPr>
        <w:pStyle w:val="ActHead7"/>
        <w:pageBreakBefore/>
      </w:pPr>
      <w:bookmarkStart w:id="17" w:name="_Toc404081023"/>
      <w:r w:rsidRPr="00056894">
        <w:rPr>
          <w:rStyle w:val="CharAmPartNo"/>
        </w:rPr>
        <w:lastRenderedPageBreak/>
        <w:t>Part</w:t>
      </w:r>
      <w:r w:rsidR="00056894" w:rsidRPr="00056894">
        <w:rPr>
          <w:rStyle w:val="CharAmPartNo"/>
        </w:rPr>
        <w:t> </w:t>
      </w:r>
      <w:r w:rsidRPr="00056894">
        <w:rPr>
          <w:rStyle w:val="CharAmPartNo"/>
        </w:rPr>
        <w:t>2</w:t>
      </w:r>
      <w:r w:rsidRPr="00056894">
        <w:t>—</w:t>
      </w:r>
      <w:r w:rsidRPr="00056894">
        <w:rPr>
          <w:rStyle w:val="CharAmPartText"/>
        </w:rPr>
        <w:t>Other amendments</w:t>
      </w:r>
      <w:bookmarkEnd w:id="17"/>
    </w:p>
    <w:p w:rsidR="00EF27B2" w:rsidRPr="00056894" w:rsidRDefault="006D3E3E" w:rsidP="00EF27B2">
      <w:pPr>
        <w:pStyle w:val="ActHead9"/>
      </w:pPr>
      <w:bookmarkStart w:id="18" w:name="_Toc404081024"/>
      <w:r w:rsidRPr="00056894">
        <w:t>Health Insurance (Diagnostic Imaging Services Table) Regulation</w:t>
      </w:r>
      <w:r w:rsidR="00056894" w:rsidRPr="00056894">
        <w:t> </w:t>
      </w:r>
      <w:r w:rsidRPr="00056894">
        <w:t>2014</w:t>
      </w:r>
      <w:bookmarkEnd w:id="18"/>
    </w:p>
    <w:p w:rsidR="006D3E3E" w:rsidRPr="00056894" w:rsidRDefault="006D3E3E" w:rsidP="006D3E3E">
      <w:pPr>
        <w:pStyle w:val="ItemHead"/>
      </w:pPr>
      <w:r w:rsidRPr="00056894">
        <w:t xml:space="preserve">19  </w:t>
      </w:r>
      <w:r w:rsidR="00EF7262" w:rsidRPr="00056894">
        <w:t>Clause</w:t>
      </w:r>
      <w:r w:rsidR="00056894" w:rsidRPr="00056894">
        <w:t> </w:t>
      </w:r>
      <w:r w:rsidR="00EF7262" w:rsidRPr="00056894">
        <w:t>2.2.6</w:t>
      </w:r>
      <w:r w:rsidR="00AE1876" w:rsidRPr="00056894">
        <w:t xml:space="preserve"> of Schedule</w:t>
      </w:r>
      <w:r w:rsidR="00056894" w:rsidRPr="00056894">
        <w:t> </w:t>
      </w:r>
      <w:r w:rsidR="00AE1876" w:rsidRPr="00056894">
        <w:t>1</w:t>
      </w:r>
    </w:p>
    <w:p w:rsidR="00EF7262" w:rsidRPr="00056894" w:rsidRDefault="00EF7262" w:rsidP="00EF7262">
      <w:pPr>
        <w:pStyle w:val="Item"/>
      </w:pPr>
      <w:r w:rsidRPr="00056894">
        <w:t>Repeal the clause, substitute:</w:t>
      </w:r>
    </w:p>
    <w:p w:rsidR="00EF7262" w:rsidRPr="00056894" w:rsidRDefault="00EF7262" w:rsidP="00EF7262">
      <w:pPr>
        <w:pStyle w:val="ActHead5"/>
      </w:pPr>
      <w:bookmarkStart w:id="19" w:name="_Toc404081025"/>
      <w:r w:rsidRPr="00056894">
        <w:rPr>
          <w:rStyle w:val="CharSectno"/>
        </w:rPr>
        <w:t>2.2.6</w:t>
      </w:r>
      <w:r w:rsidRPr="00056894">
        <w:t xml:space="preserve">  Cone bean computed tomography—items</w:t>
      </w:r>
      <w:r w:rsidR="00056894" w:rsidRPr="00056894">
        <w:t> </w:t>
      </w:r>
      <w:r w:rsidRPr="00056894">
        <w:t>57362 and 57363</w:t>
      </w:r>
      <w:bookmarkEnd w:id="19"/>
    </w:p>
    <w:p w:rsidR="00E552C2" w:rsidRPr="00056894" w:rsidRDefault="00EF7262" w:rsidP="00EF7262">
      <w:pPr>
        <w:pStyle w:val="subsection"/>
      </w:pPr>
      <w:r w:rsidRPr="00056894">
        <w:tab/>
      </w:r>
      <w:r w:rsidRPr="00056894">
        <w:tab/>
        <w:t>Item</w:t>
      </w:r>
      <w:r w:rsidR="00056894" w:rsidRPr="00056894">
        <w:t> </w:t>
      </w:r>
      <w:r w:rsidRPr="00056894">
        <w:t>57362 or 57363 appli</w:t>
      </w:r>
      <w:r w:rsidR="00F27DBA" w:rsidRPr="00056894">
        <w:t>es to the service mentioned in that</w:t>
      </w:r>
      <w:r w:rsidRPr="00056894">
        <w:t xml:space="preserve"> item only if the service is performed with diagnostic imaging equipment that</w:t>
      </w:r>
      <w:r w:rsidR="00E552C2" w:rsidRPr="00056894">
        <w:t xml:space="preserve"> is </w:t>
      </w:r>
      <w:r w:rsidR="00F27DBA" w:rsidRPr="00056894">
        <w:t xml:space="preserve">not used </w:t>
      </w:r>
      <w:r w:rsidRPr="00056894">
        <w:t xml:space="preserve">to perform </w:t>
      </w:r>
      <w:r w:rsidR="00F27DBA" w:rsidRPr="00056894">
        <w:t>any other diagnostic imaging service</w:t>
      </w:r>
      <w:r w:rsidR="00E552C2" w:rsidRPr="00056894">
        <w:t>.</w:t>
      </w:r>
    </w:p>
    <w:p w:rsidR="005A1289" w:rsidRPr="00056894" w:rsidRDefault="007A0ECC" w:rsidP="007A0ECC">
      <w:pPr>
        <w:pStyle w:val="ItemHead"/>
      </w:pPr>
      <w:r w:rsidRPr="00056894">
        <w:t>20  Part</w:t>
      </w:r>
      <w:r w:rsidR="00056894" w:rsidRPr="00056894">
        <w:t> </w:t>
      </w:r>
      <w:r w:rsidRPr="00056894">
        <w:t>3 of Schedule</w:t>
      </w:r>
      <w:r w:rsidR="00056894" w:rsidRPr="00056894">
        <w:t> </w:t>
      </w:r>
      <w:r w:rsidRPr="00056894">
        <w:t xml:space="preserve">1 (definition of </w:t>
      </w:r>
      <w:r w:rsidRPr="00056894">
        <w:rPr>
          <w:i/>
        </w:rPr>
        <w:t>dental specialist</w:t>
      </w:r>
      <w:r w:rsidRPr="00056894">
        <w:t>)</w:t>
      </w:r>
    </w:p>
    <w:p w:rsidR="007A0ECC" w:rsidRPr="00056894" w:rsidRDefault="007A0ECC" w:rsidP="007A0ECC">
      <w:pPr>
        <w:pStyle w:val="Item"/>
      </w:pPr>
      <w:r w:rsidRPr="00056894">
        <w:t>Repeal the definition.</w:t>
      </w:r>
    </w:p>
    <w:p w:rsidR="00F27DBA" w:rsidRPr="00056894" w:rsidRDefault="00F27DBA" w:rsidP="00F27DBA">
      <w:pPr>
        <w:pStyle w:val="ActHead9"/>
      </w:pPr>
      <w:bookmarkStart w:id="20" w:name="_Toc404081026"/>
      <w:r w:rsidRPr="00056894">
        <w:t>Health Insurance Regulations</w:t>
      </w:r>
      <w:r w:rsidR="00056894" w:rsidRPr="00056894">
        <w:t> </w:t>
      </w:r>
      <w:r w:rsidRPr="00056894">
        <w:t>1975</w:t>
      </w:r>
      <w:bookmarkEnd w:id="20"/>
    </w:p>
    <w:p w:rsidR="006975AA" w:rsidRPr="00056894" w:rsidRDefault="006975AA" w:rsidP="006975AA">
      <w:pPr>
        <w:pStyle w:val="ItemHead"/>
      </w:pPr>
      <w:r w:rsidRPr="00056894">
        <w:t>21  Paragraph 10(1)(b)</w:t>
      </w:r>
    </w:p>
    <w:p w:rsidR="006975AA" w:rsidRPr="00056894" w:rsidRDefault="006975AA" w:rsidP="006975AA">
      <w:pPr>
        <w:pStyle w:val="Item"/>
      </w:pPr>
      <w:r w:rsidRPr="00056894">
        <w:t>After “56068”, insert “, 57362, 57363”.</w:t>
      </w:r>
    </w:p>
    <w:p w:rsidR="006975AA" w:rsidRPr="00056894" w:rsidRDefault="006975AA" w:rsidP="006975AA">
      <w:pPr>
        <w:pStyle w:val="ItemHead"/>
      </w:pPr>
      <w:r w:rsidRPr="00056894">
        <w:t>22  Paragraph 10(1)(d)</w:t>
      </w:r>
    </w:p>
    <w:p w:rsidR="006975AA" w:rsidRPr="00056894" w:rsidRDefault="006975AA" w:rsidP="006975AA">
      <w:pPr>
        <w:pStyle w:val="Item"/>
      </w:pPr>
      <w:r w:rsidRPr="00056894">
        <w:t>After “57345”, insert “, 57362, 57363”.</w:t>
      </w:r>
    </w:p>
    <w:sectPr w:rsidR="006975AA" w:rsidRPr="00056894" w:rsidSect="00104CB6">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AA" w:rsidRDefault="006975AA" w:rsidP="0048364F">
      <w:pPr>
        <w:spacing w:line="240" w:lineRule="auto"/>
      </w:pPr>
      <w:r>
        <w:separator/>
      </w:r>
    </w:p>
  </w:endnote>
  <w:endnote w:type="continuationSeparator" w:id="0">
    <w:p w:rsidR="006975AA" w:rsidRDefault="006975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104CB6" w:rsidRDefault="006975AA" w:rsidP="00104CB6">
    <w:pPr>
      <w:pStyle w:val="Footer"/>
      <w:tabs>
        <w:tab w:val="clear" w:pos="4153"/>
        <w:tab w:val="clear" w:pos="8306"/>
        <w:tab w:val="center" w:pos="4150"/>
        <w:tab w:val="right" w:pos="8307"/>
      </w:tabs>
      <w:spacing w:before="120"/>
      <w:rPr>
        <w:i/>
        <w:sz w:val="18"/>
      </w:rPr>
    </w:pPr>
    <w:r w:rsidRPr="00104CB6">
      <w:rPr>
        <w:i/>
        <w:sz w:val="18"/>
      </w:rPr>
      <w:t xml:space="preserve"> </w:t>
    </w:r>
    <w:r w:rsidR="00104CB6" w:rsidRPr="00104CB6">
      <w:rPr>
        <w:i/>
        <w:sz w:val="18"/>
      </w:rPr>
      <w:t>OPC60868 -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B6" w:rsidRDefault="00104CB6" w:rsidP="00104CB6">
    <w:pPr>
      <w:pStyle w:val="Footer"/>
    </w:pPr>
    <w:r w:rsidRPr="00104CB6">
      <w:rPr>
        <w:i/>
        <w:sz w:val="18"/>
      </w:rPr>
      <w:t>OPC60868 -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104CB6" w:rsidRDefault="006975AA" w:rsidP="00486382">
    <w:pPr>
      <w:pStyle w:val="Footer"/>
      <w:rPr>
        <w:sz w:val="18"/>
      </w:rPr>
    </w:pPr>
  </w:p>
  <w:p w:rsidR="006975AA" w:rsidRPr="00104CB6" w:rsidRDefault="00104CB6" w:rsidP="00104CB6">
    <w:pPr>
      <w:pStyle w:val="Footer"/>
      <w:rPr>
        <w:sz w:val="18"/>
      </w:rPr>
    </w:pPr>
    <w:r w:rsidRPr="00104CB6">
      <w:rPr>
        <w:i/>
        <w:sz w:val="18"/>
      </w:rPr>
      <w:t>OPC60868 -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104CB6" w:rsidRDefault="006975AA"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975AA" w:rsidRPr="00104CB6" w:rsidTr="00E33C1C">
      <w:tc>
        <w:tcPr>
          <w:tcW w:w="533" w:type="dxa"/>
          <w:tcBorders>
            <w:top w:val="nil"/>
            <w:left w:val="nil"/>
            <w:bottom w:val="nil"/>
            <w:right w:val="nil"/>
          </w:tcBorders>
        </w:tcPr>
        <w:p w:rsidR="006975AA" w:rsidRPr="00104CB6" w:rsidRDefault="006975AA" w:rsidP="00E33C1C">
          <w:pPr>
            <w:spacing w:line="0" w:lineRule="atLeast"/>
            <w:rPr>
              <w:rFonts w:cs="Times New Roman"/>
              <w:i/>
              <w:sz w:val="18"/>
            </w:rPr>
          </w:pPr>
          <w:r w:rsidRPr="00104CB6">
            <w:rPr>
              <w:rFonts w:cs="Times New Roman"/>
              <w:i/>
              <w:sz w:val="18"/>
            </w:rPr>
            <w:fldChar w:fldCharType="begin"/>
          </w:r>
          <w:r w:rsidRPr="00104CB6">
            <w:rPr>
              <w:rFonts w:cs="Times New Roman"/>
              <w:i/>
              <w:sz w:val="18"/>
            </w:rPr>
            <w:instrText xml:space="preserve"> PAGE </w:instrText>
          </w:r>
          <w:r w:rsidRPr="00104CB6">
            <w:rPr>
              <w:rFonts w:cs="Times New Roman"/>
              <w:i/>
              <w:sz w:val="18"/>
            </w:rPr>
            <w:fldChar w:fldCharType="separate"/>
          </w:r>
          <w:r w:rsidR="004D48AC">
            <w:rPr>
              <w:rFonts w:cs="Times New Roman"/>
              <w:i/>
              <w:noProof/>
              <w:sz w:val="18"/>
            </w:rPr>
            <w:t>ix</w:t>
          </w:r>
          <w:r w:rsidRPr="00104CB6">
            <w:rPr>
              <w:rFonts w:cs="Times New Roman"/>
              <w:i/>
              <w:sz w:val="18"/>
            </w:rPr>
            <w:fldChar w:fldCharType="end"/>
          </w:r>
        </w:p>
      </w:tc>
      <w:tc>
        <w:tcPr>
          <w:tcW w:w="5387" w:type="dxa"/>
          <w:tcBorders>
            <w:top w:val="nil"/>
            <w:left w:val="nil"/>
            <w:bottom w:val="nil"/>
            <w:right w:val="nil"/>
          </w:tcBorders>
        </w:tcPr>
        <w:p w:rsidR="006975AA" w:rsidRPr="00104CB6" w:rsidRDefault="006975AA" w:rsidP="00E33C1C">
          <w:pPr>
            <w:spacing w:line="0" w:lineRule="atLeast"/>
            <w:jc w:val="center"/>
            <w:rPr>
              <w:rFonts w:cs="Times New Roman"/>
              <w:i/>
              <w:sz w:val="18"/>
            </w:rPr>
          </w:pPr>
          <w:r w:rsidRPr="00104CB6">
            <w:rPr>
              <w:rFonts w:cs="Times New Roman"/>
              <w:i/>
              <w:sz w:val="18"/>
            </w:rPr>
            <w:fldChar w:fldCharType="begin"/>
          </w:r>
          <w:r w:rsidRPr="00104CB6">
            <w:rPr>
              <w:rFonts w:cs="Times New Roman"/>
              <w:i/>
              <w:sz w:val="18"/>
            </w:rPr>
            <w:instrText xml:space="preserve"> DOCPROPERTY ShortT </w:instrText>
          </w:r>
          <w:r w:rsidRPr="00104CB6">
            <w:rPr>
              <w:rFonts w:cs="Times New Roman"/>
              <w:i/>
              <w:sz w:val="18"/>
            </w:rPr>
            <w:fldChar w:fldCharType="separate"/>
          </w:r>
          <w:r w:rsidR="00CF7C05">
            <w:rPr>
              <w:rFonts w:cs="Times New Roman"/>
              <w:i/>
              <w:sz w:val="18"/>
            </w:rPr>
            <w:t>Health Insurance Legislation Amendment (Optometric Services and Other Measures) Regulation 2014</w:t>
          </w:r>
          <w:r w:rsidRPr="00104CB6">
            <w:rPr>
              <w:rFonts w:cs="Times New Roman"/>
              <w:i/>
              <w:sz w:val="18"/>
            </w:rPr>
            <w:fldChar w:fldCharType="end"/>
          </w:r>
        </w:p>
      </w:tc>
      <w:tc>
        <w:tcPr>
          <w:tcW w:w="1383" w:type="dxa"/>
          <w:tcBorders>
            <w:top w:val="nil"/>
            <w:left w:val="nil"/>
            <w:bottom w:val="nil"/>
            <w:right w:val="nil"/>
          </w:tcBorders>
        </w:tcPr>
        <w:p w:rsidR="006975AA" w:rsidRPr="00104CB6" w:rsidRDefault="006975AA" w:rsidP="00E33C1C">
          <w:pPr>
            <w:spacing w:line="0" w:lineRule="atLeast"/>
            <w:jc w:val="right"/>
            <w:rPr>
              <w:rFonts w:cs="Times New Roman"/>
              <w:i/>
              <w:sz w:val="18"/>
            </w:rPr>
          </w:pPr>
          <w:r w:rsidRPr="00104CB6">
            <w:rPr>
              <w:rFonts w:cs="Times New Roman"/>
              <w:i/>
              <w:sz w:val="18"/>
            </w:rPr>
            <w:fldChar w:fldCharType="begin"/>
          </w:r>
          <w:r w:rsidRPr="00104CB6">
            <w:rPr>
              <w:rFonts w:cs="Times New Roman"/>
              <w:i/>
              <w:sz w:val="18"/>
            </w:rPr>
            <w:instrText xml:space="preserve"> DOCPROPERTY ActNo </w:instrText>
          </w:r>
          <w:r w:rsidRPr="00104CB6">
            <w:rPr>
              <w:rFonts w:cs="Times New Roman"/>
              <w:i/>
              <w:sz w:val="18"/>
            </w:rPr>
            <w:fldChar w:fldCharType="separate"/>
          </w:r>
          <w:r w:rsidR="00CF7C05">
            <w:rPr>
              <w:rFonts w:cs="Times New Roman"/>
              <w:i/>
              <w:sz w:val="18"/>
            </w:rPr>
            <w:t>No. 195, 2014</w:t>
          </w:r>
          <w:r w:rsidRPr="00104CB6">
            <w:rPr>
              <w:rFonts w:cs="Times New Roman"/>
              <w:i/>
              <w:sz w:val="18"/>
            </w:rPr>
            <w:fldChar w:fldCharType="end"/>
          </w:r>
        </w:p>
      </w:tc>
    </w:tr>
  </w:tbl>
  <w:p w:rsidR="006975AA" w:rsidRPr="00104CB6" w:rsidRDefault="00104CB6" w:rsidP="00104CB6">
    <w:pPr>
      <w:rPr>
        <w:rFonts w:cs="Times New Roman"/>
        <w:i/>
        <w:sz w:val="18"/>
      </w:rPr>
    </w:pPr>
    <w:r w:rsidRPr="00104CB6">
      <w:rPr>
        <w:rFonts w:cs="Times New Roman"/>
        <w:i/>
        <w:sz w:val="18"/>
      </w:rPr>
      <w:t>OPC60868 -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E33C1C" w:rsidRDefault="006975A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975AA" w:rsidTr="00E33C1C">
      <w:tc>
        <w:tcPr>
          <w:tcW w:w="1383" w:type="dxa"/>
          <w:tcBorders>
            <w:top w:val="nil"/>
            <w:left w:val="nil"/>
            <w:bottom w:val="nil"/>
            <w:right w:val="nil"/>
          </w:tcBorders>
        </w:tcPr>
        <w:p w:rsidR="006975AA" w:rsidRDefault="006975A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F7C05">
            <w:rPr>
              <w:i/>
              <w:sz w:val="18"/>
            </w:rPr>
            <w:t>No. 195, 2014</w:t>
          </w:r>
          <w:r w:rsidRPr="007A1328">
            <w:rPr>
              <w:i/>
              <w:sz w:val="18"/>
            </w:rPr>
            <w:fldChar w:fldCharType="end"/>
          </w:r>
        </w:p>
      </w:tc>
      <w:tc>
        <w:tcPr>
          <w:tcW w:w="5387" w:type="dxa"/>
          <w:tcBorders>
            <w:top w:val="nil"/>
            <w:left w:val="nil"/>
            <w:bottom w:val="nil"/>
            <w:right w:val="nil"/>
          </w:tcBorders>
        </w:tcPr>
        <w:p w:rsidR="006975AA" w:rsidRDefault="006975A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7C05">
            <w:rPr>
              <w:i/>
              <w:sz w:val="18"/>
            </w:rPr>
            <w:t>Health Insurance Legislation Amendment (Optometric Services and Other Measures) Regulation 2014</w:t>
          </w:r>
          <w:r w:rsidRPr="007A1328">
            <w:rPr>
              <w:i/>
              <w:sz w:val="18"/>
            </w:rPr>
            <w:fldChar w:fldCharType="end"/>
          </w:r>
        </w:p>
      </w:tc>
      <w:tc>
        <w:tcPr>
          <w:tcW w:w="533" w:type="dxa"/>
          <w:tcBorders>
            <w:top w:val="nil"/>
            <w:left w:val="nil"/>
            <w:bottom w:val="nil"/>
            <w:right w:val="nil"/>
          </w:tcBorders>
        </w:tcPr>
        <w:p w:rsidR="006975AA" w:rsidRDefault="006975A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1CB3">
            <w:rPr>
              <w:i/>
              <w:noProof/>
              <w:sz w:val="18"/>
            </w:rPr>
            <w:t>i</w:t>
          </w:r>
          <w:r w:rsidRPr="00ED79B6">
            <w:rPr>
              <w:i/>
              <w:sz w:val="18"/>
            </w:rPr>
            <w:fldChar w:fldCharType="end"/>
          </w:r>
        </w:p>
      </w:tc>
    </w:tr>
  </w:tbl>
  <w:p w:rsidR="006975AA" w:rsidRPr="00ED79B6" w:rsidRDefault="00104CB6" w:rsidP="00104CB6">
    <w:pPr>
      <w:rPr>
        <w:i/>
        <w:sz w:val="18"/>
      </w:rPr>
    </w:pPr>
    <w:r w:rsidRPr="00104CB6">
      <w:rPr>
        <w:rFonts w:cs="Times New Roman"/>
        <w:i/>
        <w:sz w:val="18"/>
      </w:rPr>
      <w:t>OPC60868 -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104CB6" w:rsidRDefault="006975AA"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975AA" w:rsidRPr="00104CB6" w:rsidTr="00E33C1C">
      <w:tc>
        <w:tcPr>
          <w:tcW w:w="533" w:type="dxa"/>
          <w:tcBorders>
            <w:top w:val="nil"/>
            <w:left w:val="nil"/>
            <w:bottom w:val="nil"/>
            <w:right w:val="nil"/>
          </w:tcBorders>
        </w:tcPr>
        <w:p w:rsidR="006975AA" w:rsidRPr="00104CB6" w:rsidRDefault="006975AA" w:rsidP="00E33C1C">
          <w:pPr>
            <w:spacing w:line="0" w:lineRule="atLeast"/>
            <w:rPr>
              <w:rFonts w:cs="Times New Roman"/>
              <w:i/>
              <w:sz w:val="18"/>
            </w:rPr>
          </w:pPr>
          <w:r w:rsidRPr="00104CB6">
            <w:rPr>
              <w:rFonts w:cs="Times New Roman"/>
              <w:i/>
              <w:sz w:val="18"/>
            </w:rPr>
            <w:fldChar w:fldCharType="begin"/>
          </w:r>
          <w:r w:rsidRPr="00104CB6">
            <w:rPr>
              <w:rFonts w:cs="Times New Roman"/>
              <w:i/>
              <w:sz w:val="18"/>
            </w:rPr>
            <w:instrText xml:space="preserve"> PAGE </w:instrText>
          </w:r>
          <w:r w:rsidRPr="00104CB6">
            <w:rPr>
              <w:rFonts w:cs="Times New Roman"/>
              <w:i/>
              <w:sz w:val="18"/>
            </w:rPr>
            <w:fldChar w:fldCharType="separate"/>
          </w:r>
          <w:r w:rsidR="00B51CB3">
            <w:rPr>
              <w:rFonts w:cs="Times New Roman"/>
              <w:i/>
              <w:noProof/>
              <w:sz w:val="18"/>
            </w:rPr>
            <w:t>8</w:t>
          </w:r>
          <w:r w:rsidRPr="00104CB6">
            <w:rPr>
              <w:rFonts w:cs="Times New Roman"/>
              <w:i/>
              <w:sz w:val="18"/>
            </w:rPr>
            <w:fldChar w:fldCharType="end"/>
          </w:r>
        </w:p>
      </w:tc>
      <w:tc>
        <w:tcPr>
          <w:tcW w:w="5387" w:type="dxa"/>
          <w:tcBorders>
            <w:top w:val="nil"/>
            <w:left w:val="nil"/>
            <w:bottom w:val="nil"/>
            <w:right w:val="nil"/>
          </w:tcBorders>
        </w:tcPr>
        <w:p w:rsidR="006975AA" w:rsidRPr="00104CB6" w:rsidRDefault="006975AA" w:rsidP="00E33C1C">
          <w:pPr>
            <w:spacing w:line="0" w:lineRule="atLeast"/>
            <w:jc w:val="center"/>
            <w:rPr>
              <w:rFonts w:cs="Times New Roman"/>
              <w:i/>
              <w:sz w:val="18"/>
            </w:rPr>
          </w:pPr>
          <w:r w:rsidRPr="00104CB6">
            <w:rPr>
              <w:rFonts w:cs="Times New Roman"/>
              <w:i/>
              <w:sz w:val="18"/>
            </w:rPr>
            <w:fldChar w:fldCharType="begin"/>
          </w:r>
          <w:r w:rsidRPr="00104CB6">
            <w:rPr>
              <w:rFonts w:cs="Times New Roman"/>
              <w:i/>
              <w:sz w:val="18"/>
            </w:rPr>
            <w:instrText xml:space="preserve"> DOCPROPERTY ShortT </w:instrText>
          </w:r>
          <w:r w:rsidRPr="00104CB6">
            <w:rPr>
              <w:rFonts w:cs="Times New Roman"/>
              <w:i/>
              <w:sz w:val="18"/>
            </w:rPr>
            <w:fldChar w:fldCharType="separate"/>
          </w:r>
          <w:r w:rsidR="00CF7C05">
            <w:rPr>
              <w:rFonts w:cs="Times New Roman"/>
              <w:i/>
              <w:sz w:val="18"/>
            </w:rPr>
            <w:t>Health Insurance Legislation Amendment (Optometric Services and Other Measures) Regulation 2014</w:t>
          </w:r>
          <w:r w:rsidRPr="00104CB6">
            <w:rPr>
              <w:rFonts w:cs="Times New Roman"/>
              <w:i/>
              <w:sz w:val="18"/>
            </w:rPr>
            <w:fldChar w:fldCharType="end"/>
          </w:r>
        </w:p>
      </w:tc>
      <w:tc>
        <w:tcPr>
          <w:tcW w:w="1383" w:type="dxa"/>
          <w:tcBorders>
            <w:top w:val="nil"/>
            <w:left w:val="nil"/>
            <w:bottom w:val="nil"/>
            <w:right w:val="nil"/>
          </w:tcBorders>
        </w:tcPr>
        <w:p w:rsidR="006975AA" w:rsidRPr="00104CB6" w:rsidRDefault="006975AA" w:rsidP="00E33C1C">
          <w:pPr>
            <w:spacing w:line="0" w:lineRule="atLeast"/>
            <w:jc w:val="right"/>
            <w:rPr>
              <w:rFonts w:cs="Times New Roman"/>
              <w:i/>
              <w:sz w:val="18"/>
            </w:rPr>
          </w:pPr>
          <w:r w:rsidRPr="00104CB6">
            <w:rPr>
              <w:rFonts w:cs="Times New Roman"/>
              <w:i/>
              <w:sz w:val="18"/>
            </w:rPr>
            <w:fldChar w:fldCharType="begin"/>
          </w:r>
          <w:r w:rsidRPr="00104CB6">
            <w:rPr>
              <w:rFonts w:cs="Times New Roman"/>
              <w:i/>
              <w:sz w:val="18"/>
            </w:rPr>
            <w:instrText xml:space="preserve"> DOCPROPERTY ActNo </w:instrText>
          </w:r>
          <w:r w:rsidRPr="00104CB6">
            <w:rPr>
              <w:rFonts w:cs="Times New Roman"/>
              <w:i/>
              <w:sz w:val="18"/>
            </w:rPr>
            <w:fldChar w:fldCharType="separate"/>
          </w:r>
          <w:r w:rsidR="00CF7C05">
            <w:rPr>
              <w:rFonts w:cs="Times New Roman"/>
              <w:i/>
              <w:sz w:val="18"/>
            </w:rPr>
            <w:t>No. 195, 2014</w:t>
          </w:r>
          <w:r w:rsidRPr="00104CB6">
            <w:rPr>
              <w:rFonts w:cs="Times New Roman"/>
              <w:i/>
              <w:sz w:val="18"/>
            </w:rPr>
            <w:fldChar w:fldCharType="end"/>
          </w:r>
        </w:p>
      </w:tc>
    </w:tr>
  </w:tbl>
  <w:p w:rsidR="006975AA" w:rsidRPr="00104CB6" w:rsidRDefault="00104CB6" w:rsidP="00104CB6">
    <w:pPr>
      <w:rPr>
        <w:rFonts w:cs="Times New Roman"/>
        <w:i/>
        <w:sz w:val="18"/>
      </w:rPr>
    </w:pPr>
    <w:r w:rsidRPr="00104CB6">
      <w:rPr>
        <w:rFonts w:cs="Times New Roman"/>
        <w:i/>
        <w:sz w:val="18"/>
      </w:rPr>
      <w:t>OPC60868 -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E33C1C" w:rsidRDefault="006975A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975AA" w:rsidTr="00E33C1C">
      <w:tc>
        <w:tcPr>
          <w:tcW w:w="1383" w:type="dxa"/>
          <w:tcBorders>
            <w:top w:val="nil"/>
            <w:left w:val="nil"/>
            <w:bottom w:val="nil"/>
            <w:right w:val="nil"/>
          </w:tcBorders>
        </w:tcPr>
        <w:p w:rsidR="006975AA" w:rsidRDefault="006975A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F7C05">
            <w:rPr>
              <w:i/>
              <w:sz w:val="18"/>
            </w:rPr>
            <w:t>No. 195, 2014</w:t>
          </w:r>
          <w:r w:rsidRPr="007A1328">
            <w:rPr>
              <w:i/>
              <w:sz w:val="18"/>
            </w:rPr>
            <w:fldChar w:fldCharType="end"/>
          </w:r>
        </w:p>
      </w:tc>
      <w:tc>
        <w:tcPr>
          <w:tcW w:w="5387" w:type="dxa"/>
          <w:tcBorders>
            <w:top w:val="nil"/>
            <w:left w:val="nil"/>
            <w:bottom w:val="nil"/>
            <w:right w:val="nil"/>
          </w:tcBorders>
        </w:tcPr>
        <w:p w:rsidR="006975AA" w:rsidRDefault="006975A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7C05">
            <w:rPr>
              <w:i/>
              <w:sz w:val="18"/>
            </w:rPr>
            <w:t>Health Insurance Legislation Amendment (Optometric Services and Other Measures) Regulation 2014</w:t>
          </w:r>
          <w:r w:rsidRPr="007A1328">
            <w:rPr>
              <w:i/>
              <w:sz w:val="18"/>
            </w:rPr>
            <w:fldChar w:fldCharType="end"/>
          </w:r>
        </w:p>
      </w:tc>
      <w:tc>
        <w:tcPr>
          <w:tcW w:w="533" w:type="dxa"/>
          <w:tcBorders>
            <w:top w:val="nil"/>
            <w:left w:val="nil"/>
            <w:bottom w:val="nil"/>
            <w:right w:val="nil"/>
          </w:tcBorders>
        </w:tcPr>
        <w:p w:rsidR="006975AA" w:rsidRDefault="006975A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1CB3">
            <w:rPr>
              <w:i/>
              <w:noProof/>
              <w:sz w:val="18"/>
            </w:rPr>
            <w:t>9</w:t>
          </w:r>
          <w:r w:rsidRPr="00ED79B6">
            <w:rPr>
              <w:i/>
              <w:sz w:val="18"/>
            </w:rPr>
            <w:fldChar w:fldCharType="end"/>
          </w:r>
        </w:p>
      </w:tc>
    </w:tr>
  </w:tbl>
  <w:p w:rsidR="006975AA" w:rsidRPr="00ED79B6" w:rsidRDefault="00104CB6" w:rsidP="00104CB6">
    <w:pPr>
      <w:rPr>
        <w:i/>
        <w:sz w:val="18"/>
      </w:rPr>
    </w:pPr>
    <w:r w:rsidRPr="00104CB6">
      <w:rPr>
        <w:rFonts w:cs="Times New Roman"/>
        <w:i/>
        <w:sz w:val="18"/>
      </w:rPr>
      <w:t>OPC60868 -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E33C1C" w:rsidRDefault="006975AA"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975AA" w:rsidTr="006975AA">
      <w:tc>
        <w:tcPr>
          <w:tcW w:w="1383" w:type="dxa"/>
          <w:tcBorders>
            <w:top w:val="nil"/>
            <w:left w:val="nil"/>
            <w:bottom w:val="nil"/>
            <w:right w:val="nil"/>
          </w:tcBorders>
        </w:tcPr>
        <w:p w:rsidR="006975AA" w:rsidRDefault="006975AA" w:rsidP="006975A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F7C05">
            <w:rPr>
              <w:i/>
              <w:sz w:val="18"/>
            </w:rPr>
            <w:t>No. 195, 2014</w:t>
          </w:r>
          <w:r w:rsidRPr="007A1328">
            <w:rPr>
              <w:i/>
              <w:sz w:val="18"/>
            </w:rPr>
            <w:fldChar w:fldCharType="end"/>
          </w:r>
        </w:p>
      </w:tc>
      <w:tc>
        <w:tcPr>
          <w:tcW w:w="5387" w:type="dxa"/>
          <w:tcBorders>
            <w:top w:val="nil"/>
            <w:left w:val="nil"/>
            <w:bottom w:val="nil"/>
            <w:right w:val="nil"/>
          </w:tcBorders>
        </w:tcPr>
        <w:p w:rsidR="006975AA" w:rsidRDefault="006975AA" w:rsidP="006975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7C05">
            <w:rPr>
              <w:i/>
              <w:sz w:val="18"/>
            </w:rPr>
            <w:t>Health Insurance Legislation Amendment (Optometric Services and Other Measures) Regulation 2014</w:t>
          </w:r>
          <w:r w:rsidRPr="007A1328">
            <w:rPr>
              <w:i/>
              <w:sz w:val="18"/>
            </w:rPr>
            <w:fldChar w:fldCharType="end"/>
          </w:r>
        </w:p>
      </w:tc>
      <w:tc>
        <w:tcPr>
          <w:tcW w:w="533" w:type="dxa"/>
          <w:tcBorders>
            <w:top w:val="nil"/>
            <w:left w:val="nil"/>
            <w:bottom w:val="nil"/>
            <w:right w:val="nil"/>
          </w:tcBorders>
        </w:tcPr>
        <w:p w:rsidR="006975AA" w:rsidRDefault="006975AA" w:rsidP="006975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48AC">
            <w:rPr>
              <w:i/>
              <w:noProof/>
              <w:sz w:val="18"/>
            </w:rPr>
            <w:t>9</w:t>
          </w:r>
          <w:r w:rsidRPr="00ED79B6">
            <w:rPr>
              <w:i/>
              <w:sz w:val="18"/>
            </w:rPr>
            <w:fldChar w:fldCharType="end"/>
          </w:r>
        </w:p>
      </w:tc>
    </w:tr>
  </w:tbl>
  <w:p w:rsidR="006975AA" w:rsidRPr="00ED79B6" w:rsidRDefault="006975A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AA" w:rsidRDefault="006975AA" w:rsidP="0048364F">
      <w:pPr>
        <w:spacing w:line="240" w:lineRule="auto"/>
      </w:pPr>
      <w:r>
        <w:separator/>
      </w:r>
    </w:p>
  </w:footnote>
  <w:footnote w:type="continuationSeparator" w:id="0">
    <w:p w:rsidR="006975AA" w:rsidRDefault="006975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5F1388" w:rsidRDefault="006975A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5F1388" w:rsidRDefault="006975A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5F1388" w:rsidRDefault="006975A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ED79B6" w:rsidRDefault="006975A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ED79B6" w:rsidRDefault="006975A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ED79B6" w:rsidRDefault="006975A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A961C4" w:rsidRDefault="006975AA" w:rsidP="00B63BDE">
    <w:pPr>
      <w:rPr>
        <w:b/>
        <w:sz w:val="20"/>
      </w:rPr>
    </w:pPr>
    <w:r>
      <w:rPr>
        <w:b/>
        <w:sz w:val="20"/>
      </w:rPr>
      <w:fldChar w:fldCharType="begin"/>
    </w:r>
    <w:r>
      <w:rPr>
        <w:b/>
        <w:sz w:val="20"/>
      </w:rPr>
      <w:instrText xml:space="preserve"> STYLEREF CharAmSchNo </w:instrText>
    </w:r>
    <w:r w:rsidR="00B51CB3">
      <w:rPr>
        <w:b/>
        <w:sz w:val="20"/>
      </w:rPr>
      <w:fldChar w:fldCharType="separate"/>
    </w:r>
    <w:r w:rsidR="00B51CB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51CB3">
      <w:rPr>
        <w:sz w:val="20"/>
      </w:rPr>
      <w:fldChar w:fldCharType="separate"/>
    </w:r>
    <w:r w:rsidR="00B51CB3">
      <w:rPr>
        <w:noProof/>
        <w:sz w:val="20"/>
      </w:rPr>
      <w:t>Amendments</w:t>
    </w:r>
    <w:r>
      <w:rPr>
        <w:sz w:val="20"/>
      </w:rPr>
      <w:fldChar w:fldCharType="end"/>
    </w:r>
  </w:p>
  <w:p w:rsidR="006975AA" w:rsidRPr="00A961C4" w:rsidRDefault="006975AA" w:rsidP="00B63BDE">
    <w:pPr>
      <w:rPr>
        <w:b/>
        <w:sz w:val="20"/>
      </w:rPr>
    </w:pPr>
    <w:r>
      <w:rPr>
        <w:b/>
        <w:sz w:val="20"/>
      </w:rPr>
      <w:fldChar w:fldCharType="begin"/>
    </w:r>
    <w:r>
      <w:rPr>
        <w:b/>
        <w:sz w:val="20"/>
      </w:rPr>
      <w:instrText xml:space="preserve"> STYLEREF CharAmPartNo </w:instrText>
    </w:r>
    <w:r w:rsidR="00B51CB3">
      <w:rPr>
        <w:b/>
        <w:sz w:val="20"/>
      </w:rPr>
      <w:fldChar w:fldCharType="separate"/>
    </w:r>
    <w:r w:rsidR="00B51CB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51CB3">
      <w:rPr>
        <w:sz w:val="20"/>
      </w:rPr>
      <w:fldChar w:fldCharType="separate"/>
    </w:r>
    <w:r w:rsidR="00B51CB3">
      <w:rPr>
        <w:noProof/>
        <w:sz w:val="20"/>
      </w:rPr>
      <w:t>Optometric services</w:t>
    </w:r>
    <w:r>
      <w:rPr>
        <w:sz w:val="20"/>
      </w:rPr>
      <w:fldChar w:fldCharType="end"/>
    </w:r>
  </w:p>
  <w:p w:rsidR="006975AA" w:rsidRPr="00A961C4" w:rsidRDefault="006975A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A961C4" w:rsidRDefault="006975AA" w:rsidP="00E443FC">
    <w:pPr>
      <w:jc w:val="right"/>
      <w:rPr>
        <w:sz w:val="20"/>
      </w:rPr>
    </w:pPr>
    <w:r w:rsidRPr="00A961C4">
      <w:rPr>
        <w:sz w:val="20"/>
      </w:rPr>
      <w:fldChar w:fldCharType="begin"/>
    </w:r>
    <w:r w:rsidRPr="00A961C4">
      <w:rPr>
        <w:sz w:val="20"/>
      </w:rPr>
      <w:instrText xml:space="preserve"> STYLEREF CharAmSchText </w:instrText>
    </w:r>
    <w:r w:rsidR="00B51CB3">
      <w:rPr>
        <w:sz w:val="20"/>
      </w:rPr>
      <w:fldChar w:fldCharType="separate"/>
    </w:r>
    <w:r w:rsidR="00B51CB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51CB3">
      <w:rPr>
        <w:b/>
        <w:sz w:val="20"/>
      </w:rPr>
      <w:fldChar w:fldCharType="separate"/>
    </w:r>
    <w:r w:rsidR="00B51CB3">
      <w:rPr>
        <w:b/>
        <w:noProof/>
        <w:sz w:val="20"/>
      </w:rPr>
      <w:t>Schedule 1</w:t>
    </w:r>
    <w:r>
      <w:rPr>
        <w:b/>
        <w:sz w:val="20"/>
      </w:rPr>
      <w:fldChar w:fldCharType="end"/>
    </w:r>
  </w:p>
  <w:p w:rsidR="006975AA" w:rsidRPr="00A961C4" w:rsidRDefault="006975AA" w:rsidP="00E443FC">
    <w:pPr>
      <w:jc w:val="right"/>
      <w:rPr>
        <w:b/>
        <w:sz w:val="20"/>
      </w:rPr>
    </w:pPr>
    <w:r w:rsidRPr="00A961C4">
      <w:rPr>
        <w:sz w:val="20"/>
      </w:rPr>
      <w:fldChar w:fldCharType="begin"/>
    </w:r>
    <w:r w:rsidRPr="00A961C4">
      <w:rPr>
        <w:sz w:val="20"/>
      </w:rPr>
      <w:instrText xml:space="preserve"> STYLEREF CharAmPartText </w:instrText>
    </w:r>
    <w:r w:rsidR="00B51CB3">
      <w:rPr>
        <w:sz w:val="20"/>
      </w:rPr>
      <w:fldChar w:fldCharType="separate"/>
    </w:r>
    <w:r w:rsidR="00B51CB3">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51CB3">
      <w:rPr>
        <w:b/>
        <w:sz w:val="20"/>
      </w:rPr>
      <w:fldChar w:fldCharType="separate"/>
    </w:r>
    <w:r w:rsidR="00B51CB3">
      <w:rPr>
        <w:b/>
        <w:noProof/>
        <w:sz w:val="20"/>
      </w:rPr>
      <w:t>Part 2</w:t>
    </w:r>
    <w:r w:rsidRPr="00A961C4">
      <w:rPr>
        <w:b/>
        <w:sz w:val="20"/>
      </w:rPr>
      <w:fldChar w:fldCharType="end"/>
    </w:r>
  </w:p>
  <w:p w:rsidR="006975AA" w:rsidRPr="00A961C4" w:rsidRDefault="006975A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A" w:rsidRPr="00A961C4" w:rsidRDefault="006975A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24"/>
    <w:rsid w:val="000041C6"/>
    <w:rsid w:val="000063E4"/>
    <w:rsid w:val="00011222"/>
    <w:rsid w:val="000113BC"/>
    <w:rsid w:val="000136AF"/>
    <w:rsid w:val="00025060"/>
    <w:rsid w:val="0004044E"/>
    <w:rsid w:val="00040A88"/>
    <w:rsid w:val="00056894"/>
    <w:rsid w:val="000614BF"/>
    <w:rsid w:val="00064201"/>
    <w:rsid w:val="000A1FB3"/>
    <w:rsid w:val="000B5A9E"/>
    <w:rsid w:val="000C4E79"/>
    <w:rsid w:val="000D05EF"/>
    <w:rsid w:val="000D579E"/>
    <w:rsid w:val="000F21C1"/>
    <w:rsid w:val="000F7427"/>
    <w:rsid w:val="00104CB6"/>
    <w:rsid w:val="0010745C"/>
    <w:rsid w:val="00116975"/>
    <w:rsid w:val="00126F1A"/>
    <w:rsid w:val="00154EAC"/>
    <w:rsid w:val="001643C9"/>
    <w:rsid w:val="00165568"/>
    <w:rsid w:val="00166C2F"/>
    <w:rsid w:val="001716C9"/>
    <w:rsid w:val="00171EAE"/>
    <w:rsid w:val="001812BF"/>
    <w:rsid w:val="00184CE7"/>
    <w:rsid w:val="00191859"/>
    <w:rsid w:val="00192078"/>
    <w:rsid w:val="00193461"/>
    <w:rsid w:val="001939E1"/>
    <w:rsid w:val="00194A18"/>
    <w:rsid w:val="00195382"/>
    <w:rsid w:val="001B3097"/>
    <w:rsid w:val="001B7A5D"/>
    <w:rsid w:val="001C69C4"/>
    <w:rsid w:val="001D4229"/>
    <w:rsid w:val="001D7F83"/>
    <w:rsid w:val="001E16D0"/>
    <w:rsid w:val="001E3590"/>
    <w:rsid w:val="001E562E"/>
    <w:rsid w:val="001E7407"/>
    <w:rsid w:val="001F6924"/>
    <w:rsid w:val="00201D27"/>
    <w:rsid w:val="0020213F"/>
    <w:rsid w:val="00231427"/>
    <w:rsid w:val="00240749"/>
    <w:rsid w:val="00245F6A"/>
    <w:rsid w:val="00265FBC"/>
    <w:rsid w:val="00266D05"/>
    <w:rsid w:val="002932B1"/>
    <w:rsid w:val="00295408"/>
    <w:rsid w:val="00297ECB"/>
    <w:rsid w:val="002A0FFD"/>
    <w:rsid w:val="002B2731"/>
    <w:rsid w:val="002B5B89"/>
    <w:rsid w:val="002B7D96"/>
    <w:rsid w:val="002C29FB"/>
    <w:rsid w:val="002D043A"/>
    <w:rsid w:val="00304E75"/>
    <w:rsid w:val="003072FA"/>
    <w:rsid w:val="0031713F"/>
    <w:rsid w:val="00326A78"/>
    <w:rsid w:val="003301B8"/>
    <w:rsid w:val="003415D3"/>
    <w:rsid w:val="00352B0F"/>
    <w:rsid w:val="00361BD9"/>
    <w:rsid w:val="00363549"/>
    <w:rsid w:val="003801D0"/>
    <w:rsid w:val="00381F56"/>
    <w:rsid w:val="0039228E"/>
    <w:rsid w:val="003926B5"/>
    <w:rsid w:val="003B04EC"/>
    <w:rsid w:val="003C5F2B"/>
    <w:rsid w:val="003D0BFE"/>
    <w:rsid w:val="003D5700"/>
    <w:rsid w:val="003E5FF5"/>
    <w:rsid w:val="003F4CA9"/>
    <w:rsid w:val="003F567B"/>
    <w:rsid w:val="004010E7"/>
    <w:rsid w:val="00401403"/>
    <w:rsid w:val="00401EE5"/>
    <w:rsid w:val="004116CD"/>
    <w:rsid w:val="00412B83"/>
    <w:rsid w:val="00413BEF"/>
    <w:rsid w:val="00424CA9"/>
    <w:rsid w:val="00433910"/>
    <w:rsid w:val="0044291A"/>
    <w:rsid w:val="004541B9"/>
    <w:rsid w:val="00454741"/>
    <w:rsid w:val="00460499"/>
    <w:rsid w:val="00460959"/>
    <w:rsid w:val="00480FB9"/>
    <w:rsid w:val="0048364F"/>
    <w:rsid w:val="00486382"/>
    <w:rsid w:val="004863F3"/>
    <w:rsid w:val="0049510C"/>
    <w:rsid w:val="00496F97"/>
    <w:rsid w:val="004A2484"/>
    <w:rsid w:val="004C0255"/>
    <w:rsid w:val="004C5B5A"/>
    <w:rsid w:val="004C6444"/>
    <w:rsid w:val="004C6DE1"/>
    <w:rsid w:val="004C77F1"/>
    <w:rsid w:val="004D48AC"/>
    <w:rsid w:val="004F1FAC"/>
    <w:rsid w:val="004F3A90"/>
    <w:rsid w:val="004F633C"/>
    <w:rsid w:val="004F676E"/>
    <w:rsid w:val="00516B8D"/>
    <w:rsid w:val="00537FBC"/>
    <w:rsid w:val="00543469"/>
    <w:rsid w:val="00557C7A"/>
    <w:rsid w:val="00564DC6"/>
    <w:rsid w:val="00584811"/>
    <w:rsid w:val="005851A5"/>
    <w:rsid w:val="0058646E"/>
    <w:rsid w:val="00591E07"/>
    <w:rsid w:val="00593AA6"/>
    <w:rsid w:val="00594161"/>
    <w:rsid w:val="00594749"/>
    <w:rsid w:val="005A1289"/>
    <w:rsid w:val="005B2EA9"/>
    <w:rsid w:val="005B4067"/>
    <w:rsid w:val="005C12DE"/>
    <w:rsid w:val="005C3F41"/>
    <w:rsid w:val="005D1913"/>
    <w:rsid w:val="005E552A"/>
    <w:rsid w:val="00600219"/>
    <w:rsid w:val="006249E6"/>
    <w:rsid w:val="00630733"/>
    <w:rsid w:val="00637013"/>
    <w:rsid w:val="0064468A"/>
    <w:rsid w:val="00654CCA"/>
    <w:rsid w:val="00656DE9"/>
    <w:rsid w:val="00663BDD"/>
    <w:rsid w:val="00677CC2"/>
    <w:rsid w:val="00680F17"/>
    <w:rsid w:val="00685F42"/>
    <w:rsid w:val="006872E2"/>
    <w:rsid w:val="0069207B"/>
    <w:rsid w:val="006937E2"/>
    <w:rsid w:val="0069392E"/>
    <w:rsid w:val="006975AA"/>
    <w:rsid w:val="006977FB"/>
    <w:rsid w:val="006B262A"/>
    <w:rsid w:val="006C2C12"/>
    <w:rsid w:val="006C3FFF"/>
    <w:rsid w:val="006C7F8C"/>
    <w:rsid w:val="006D3667"/>
    <w:rsid w:val="006D3E3E"/>
    <w:rsid w:val="006D4E91"/>
    <w:rsid w:val="006E004B"/>
    <w:rsid w:val="006E668A"/>
    <w:rsid w:val="006E7147"/>
    <w:rsid w:val="006F103B"/>
    <w:rsid w:val="006F51C1"/>
    <w:rsid w:val="00700B2C"/>
    <w:rsid w:val="00701E6A"/>
    <w:rsid w:val="00713084"/>
    <w:rsid w:val="00722023"/>
    <w:rsid w:val="0072312F"/>
    <w:rsid w:val="00724521"/>
    <w:rsid w:val="00731E00"/>
    <w:rsid w:val="00735A0B"/>
    <w:rsid w:val="007440B7"/>
    <w:rsid w:val="00762EB0"/>
    <w:rsid w:val="007634AD"/>
    <w:rsid w:val="007715C9"/>
    <w:rsid w:val="00774EDD"/>
    <w:rsid w:val="007757EC"/>
    <w:rsid w:val="007769D4"/>
    <w:rsid w:val="00785AFA"/>
    <w:rsid w:val="007903AC"/>
    <w:rsid w:val="007A0ECC"/>
    <w:rsid w:val="007A7F9F"/>
    <w:rsid w:val="007D015A"/>
    <w:rsid w:val="007E7338"/>
    <w:rsid w:val="007E7D4A"/>
    <w:rsid w:val="00813EF0"/>
    <w:rsid w:val="00826DA5"/>
    <w:rsid w:val="00833416"/>
    <w:rsid w:val="008529F3"/>
    <w:rsid w:val="00856A31"/>
    <w:rsid w:val="00874B69"/>
    <w:rsid w:val="008754D0"/>
    <w:rsid w:val="00877D48"/>
    <w:rsid w:val="00880795"/>
    <w:rsid w:val="008908E2"/>
    <w:rsid w:val="0089783B"/>
    <w:rsid w:val="008A5A76"/>
    <w:rsid w:val="008D0EE0"/>
    <w:rsid w:val="008F07E3"/>
    <w:rsid w:val="008F4F1C"/>
    <w:rsid w:val="00905C24"/>
    <w:rsid w:val="00907271"/>
    <w:rsid w:val="00932377"/>
    <w:rsid w:val="00932A33"/>
    <w:rsid w:val="00942794"/>
    <w:rsid w:val="00950F68"/>
    <w:rsid w:val="009848EC"/>
    <w:rsid w:val="009B3629"/>
    <w:rsid w:val="009C49D8"/>
    <w:rsid w:val="009E3601"/>
    <w:rsid w:val="009F727E"/>
    <w:rsid w:val="00A1027A"/>
    <w:rsid w:val="00A2057D"/>
    <w:rsid w:val="00A231E2"/>
    <w:rsid w:val="00A254FD"/>
    <w:rsid w:val="00A2550D"/>
    <w:rsid w:val="00A26DBE"/>
    <w:rsid w:val="00A326A4"/>
    <w:rsid w:val="00A34A5F"/>
    <w:rsid w:val="00A4169B"/>
    <w:rsid w:val="00A4361F"/>
    <w:rsid w:val="00A45E70"/>
    <w:rsid w:val="00A5197F"/>
    <w:rsid w:val="00A64912"/>
    <w:rsid w:val="00A70A74"/>
    <w:rsid w:val="00A71C4E"/>
    <w:rsid w:val="00A80130"/>
    <w:rsid w:val="00A87AB9"/>
    <w:rsid w:val="00AB3315"/>
    <w:rsid w:val="00AB7B41"/>
    <w:rsid w:val="00AC06B3"/>
    <w:rsid w:val="00AD5641"/>
    <w:rsid w:val="00AE1876"/>
    <w:rsid w:val="00AE50A2"/>
    <w:rsid w:val="00AF0336"/>
    <w:rsid w:val="00AF6613"/>
    <w:rsid w:val="00B00902"/>
    <w:rsid w:val="00B032D8"/>
    <w:rsid w:val="00B332B8"/>
    <w:rsid w:val="00B33B3C"/>
    <w:rsid w:val="00B51CB3"/>
    <w:rsid w:val="00B61D2C"/>
    <w:rsid w:val="00B63BDE"/>
    <w:rsid w:val="00B93CBC"/>
    <w:rsid w:val="00B9678A"/>
    <w:rsid w:val="00B97D42"/>
    <w:rsid w:val="00BA5026"/>
    <w:rsid w:val="00BB6E79"/>
    <w:rsid w:val="00BC2EF1"/>
    <w:rsid w:val="00BC4F91"/>
    <w:rsid w:val="00BD60E6"/>
    <w:rsid w:val="00BE253A"/>
    <w:rsid w:val="00BE719A"/>
    <w:rsid w:val="00BE720A"/>
    <w:rsid w:val="00BF4533"/>
    <w:rsid w:val="00C067E5"/>
    <w:rsid w:val="00C15528"/>
    <w:rsid w:val="00C164CA"/>
    <w:rsid w:val="00C21B63"/>
    <w:rsid w:val="00C31FFE"/>
    <w:rsid w:val="00C42BF8"/>
    <w:rsid w:val="00C460AE"/>
    <w:rsid w:val="00C50043"/>
    <w:rsid w:val="00C62F65"/>
    <w:rsid w:val="00C63713"/>
    <w:rsid w:val="00C7573B"/>
    <w:rsid w:val="00C76CF3"/>
    <w:rsid w:val="00C77E30"/>
    <w:rsid w:val="00C93258"/>
    <w:rsid w:val="00CB0180"/>
    <w:rsid w:val="00CB3470"/>
    <w:rsid w:val="00CD606E"/>
    <w:rsid w:val="00CD7ECB"/>
    <w:rsid w:val="00CF0BB2"/>
    <w:rsid w:val="00CF7C05"/>
    <w:rsid w:val="00D0104A"/>
    <w:rsid w:val="00D13441"/>
    <w:rsid w:val="00D17B17"/>
    <w:rsid w:val="00D243A3"/>
    <w:rsid w:val="00D333D9"/>
    <w:rsid w:val="00D33440"/>
    <w:rsid w:val="00D40403"/>
    <w:rsid w:val="00D417D9"/>
    <w:rsid w:val="00D52EFE"/>
    <w:rsid w:val="00D6259A"/>
    <w:rsid w:val="00D63EF6"/>
    <w:rsid w:val="00D64E93"/>
    <w:rsid w:val="00D70DFB"/>
    <w:rsid w:val="00D766DF"/>
    <w:rsid w:val="00D83D21"/>
    <w:rsid w:val="00D84B58"/>
    <w:rsid w:val="00D925D1"/>
    <w:rsid w:val="00D92B9F"/>
    <w:rsid w:val="00D931B1"/>
    <w:rsid w:val="00DB554D"/>
    <w:rsid w:val="00DE71E1"/>
    <w:rsid w:val="00E05704"/>
    <w:rsid w:val="00E05C46"/>
    <w:rsid w:val="00E30206"/>
    <w:rsid w:val="00E33C1C"/>
    <w:rsid w:val="00E36DE6"/>
    <w:rsid w:val="00E443FC"/>
    <w:rsid w:val="00E45FE7"/>
    <w:rsid w:val="00E476B8"/>
    <w:rsid w:val="00E54292"/>
    <w:rsid w:val="00E552C2"/>
    <w:rsid w:val="00E55BCD"/>
    <w:rsid w:val="00E73EC4"/>
    <w:rsid w:val="00E74DC7"/>
    <w:rsid w:val="00E76FAB"/>
    <w:rsid w:val="00E83E2E"/>
    <w:rsid w:val="00E84B32"/>
    <w:rsid w:val="00E87699"/>
    <w:rsid w:val="00EC6E45"/>
    <w:rsid w:val="00ED3A7D"/>
    <w:rsid w:val="00EE43FE"/>
    <w:rsid w:val="00EF27B2"/>
    <w:rsid w:val="00EF2E3A"/>
    <w:rsid w:val="00EF7262"/>
    <w:rsid w:val="00F047E2"/>
    <w:rsid w:val="00F078DC"/>
    <w:rsid w:val="00F13E86"/>
    <w:rsid w:val="00F24C35"/>
    <w:rsid w:val="00F27DBA"/>
    <w:rsid w:val="00F56759"/>
    <w:rsid w:val="00F677A9"/>
    <w:rsid w:val="00F84CF5"/>
    <w:rsid w:val="00FA420B"/>
    <w:rsid w:val="00FB03B3"/>
    <w:rsid w:val="00FB192C"/>
    <w:rsid w:val="00FD7CFE"/>
    <w:rsid w:val="00FE1EFF"/>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6894"/>
    <w:pPr>
      <w:spacing w:line="260" w:lineRule="atLeast"/>
    </w:pPr>
    <w:rPr>
      <w:sz w:val="22"/>
    </w:rPr>
  </w:style>
  <w:style w:type="paragraph" w:styleId="Heading1">
    <w:name w:val="heading 1"/>
    <w:basedOn w:val="Normal"/>
    <w:next w:val="Normal"/>
    <w:link w:val="Heading1Char"/>
    <w:uiPriority w:val="9"/>
    <w:qFormat/>
    <w:rsid w:val="00A34A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4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4A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4A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4A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4A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4A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4A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4A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6894"/>
  </w:style>
  <w:style w:type="paragraph" w:customStyle="1" w:styleId="OPCParaBase">
    <w:name w:val="OPCParaBase"/>
    <w:qFormat/>
    <w:rsid w:val="00056894"/>
    <w:pPr>
      <w:spacing w:line="260" w:lineRule="atLeast"/>
    </w:pPr>
    <w:rPr>
      <w:rFonts w:eastAsia="Times New Roman" w:cs="Times New Roman"/>
      <w:sz w:val="22"/>
      <w:lang w:eastAsia="en-AU"/>
    </w:rPr>
  </w:style>
  <w:style w:type="paragraph" w:customStyle="1" w:styleId="ShortT">
    <w:name w:val="ShortT"/>
    <w:basedOn w:val="OPCParaBase"/>
    <w:next w:val="Normal"/>
    <w:qFormat/>
    <w:rsid w:val="00056894"/>
    <w:pPr>
      <w:spacing w:line="240" w:lineRule="auto"/>
    </w:pPr>
    <w:rPr>
      <w:b/>
      <w:sz w:val="40"/>
    </w:rPr>
  </w:style>
  <w:style w:type="paragraph" w:customStyle="1" w:styleId="ActHead1">
    <w:name w:val="ActHead 1"/>
    <w:aliases w:val="c"/>
    <w:basedOn w:val="OPCParaBase"/>
    <w:next w:val="Normal"/>
    <w:qFormat/>
    <w:rsid w:val="000568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68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68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68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68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68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68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68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68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56894"/>
  </w:style>
  <w:style w:type="paragraph" w:customStyle="1" w:styleId="Blocks">
    <w:name w:val="Blocks"/>
    <w:aliases w:val="bb"/>
    <w:basedOn w:val="OPCParaBase"/>
    <w:qFormat/>
    <w:rsid w:val="00056894"/>
    <w:pPr>
      <w:spacing w:line="240" w:lineRule="auto"/>
    </w:pPr>
    <w:rPr>
      <w:sz w:val="24"/>
    </w:rPr>
  </w:style>
  <w:style w:type="paragraph" w:customStyle="1" w:styleId="BoxText">
    <w:name w:val="BoxText"/>
    <w:aliases w:val="bt"/>
    <w:basedOn w:val="OPCParaBase"/>
    <w:qFormat/>
    <w:rsid w:val="000568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6894"/>
    <w:rPr>
      <w:b/>
    </w:rPr>
  </w:style>
  <w:style w:type="paragraph" w:customStyle="1" w:styleId="BoxHeadItalic">
    <w:name w:val="BoxHeadItalic"/>
    <w:aliases w:val="bhi"/>
    <w:basedOn w:val="BoxText"/>
    <w:next w:val="BoxStep"/>
    <w:qFormat/>
    <w:rsid w:val="00056894"/>
    <w:rPr>
      <w:i/>
    </w:rPr>
  </w:style>
  <w:style w:type="paragraph" w:customStyle="1" w:styleId="BoxList">
    <w:name w:val="BoxList"/>
    <w:aliases w:val="bl"/>
    <w:basedOn w:val="BoxText"/>
    <w:qFormat/>
    <w:rsid w:val="00056894"/>
    <w:pPr>
      <w:ind w:left="1559" w:hanging="425"/>
    </w:pPr>
  </w:style>
  <w:style w:type="paragraph" w:customStyle="1" w:styleId="BoxNote">
    <w:name w:val="BoxNote"/>
    <w:aliases w:val="bn"/>
    <w:basedOn w:val="BoxText"/>
    <w:qFormat/>
    <w:rsid w:val="00056894"/>
    <w:pPr>
      <w:tabs>
        <w:tab w:val="left" w:pos="1985"/>
      </w:tabs>
      <w:spacing w:before="122" w:line="198" w:lineRule="exact"/>
      <w:ind w:left="2948" w:hanging="1814"/>
    </w:pPr>
    <w:rPr>
      <w:sz w:val="18"/>
    </w:rPr>
  </w:style>
  <w:style w:type="paragraph" w:customStyle="1" w:styleId="BoxPara">
    <w:name w:val="BoxPara"/>
    <w:aliases w:val="bp"/>
    <w:basedOn w:val="BoxText"/>
    <w:qFormat/>
    <w:rsid w:val="00056894"/>
    <w:pPr>
      <w:tabs>
        <w:tab w:val="right" w:pos="2268"/>
      </w:tabs>
      <w:ind w:left="2552" w:hanging="1418"/>
    </w:pPr>
  </w:style>
  <w:style w:type="paragraph" w:customStyle="1" w:styleId="BoxStep">
    <w:name w:val="BoxStep"/>
    <w:aliases w:val="bs"/>
    <w:basedOn w:val="BoxText"/>
    <w:qFormat/>
    <w:rsid w:val="00056894"/>
    <w:pPr>
      <w:ind w:left="1985" w:hanging="851"/>
    </w:pPr>
  </w:style>
  <w:style w:type="character" w:customStyle="1" w:styleId="CharAmPartNo">
    <w:name w:val="CharAmPartNo"/>
    <w:basedOn w:val="OPCCharBase"/>
    <w:qFormat/>
    <w:rsid w:val="00056894"/>
  </w:style>
  <w:style w:type="character" w:customStyle="1" w:styleId="CharAmPartText">
    <w:name w:val="CharAmPartText"/>
    <w:basedOn w:val="OPCCharBase"/>
    <w:qFormat/>
    <w:rsid w:val="00056894"/>
  </w:style>
  <w:style w:type="character" w:customStyle="1" w:styleId="CharAmSchNo">
    <w:name w:val="CharAmSchNo"/>
    <w:basedOn w:val="OPCCharBase"/>
    <w:qFormat/>
    <w:rsid w:val="00056894"/>
  </w:style>
  <w:style w:type="character" w:customStyle="1" w:styleId="CharAmSchText">
    <w:name w:val="CharAmSchText"/>
    <w:basedOn w:val="OPCCharBase"/>
    <w:qFormat/>
    <w:rsid w:val="00056894"/>
  </w:style>
  <w:style w:type="character" w:customStyle="1" w:styleId="CharBoldItalic">
    <w:name w:val="CharBoldItalic"/>
    <w:basedOn w:val="OPCCharBase"/>
    <w:uiPriority w:val="1"/>
    <w:qFormat/>
    <w:rsid w:val="00056894"/>
    <w:rPr>
      <w:b/>
      <w:i/>
    </w:rPr>
  </w:style>
  <w:style w:type="character" w:customStyle="1" w:styleId="CharChapNo">
    <w:name w:val="CharChapNo"/>
    <w:basedOn w:val="OPCCharBase"/>
    <w:uiPriority w:val="1"/>
    <w:qFormat/>
    <w:rsid w:val="00056894"/>
  </w:style>
  <w:style w:type="character" w:customStyle="1" w:styleId="CharChapText">
    <w:name w:val="CharChapText"/>
    <w:basedOn w:val="OPCCharBase"/>
    <w:uiPriority w:val="1"/>
    <w:qFormat/>
    <w:rsid w:val="00056894"/>
  </w:style>
  <w:style w:type="character" w:customStyle="1" w:styleId="CharDivNo">
    <w:name w:val="CharDivNo"/>
    <w:basedOn w:val="OPCCharBase"/>
    <w:uiPriority w:val="1"/>
    <w:qFormat/>
    <w:rsid w:val="00056894"/>
  </w:style>
  <w:style w:type="character" w:customStyle="1" w:styleId="CharDivText">
    <w:name w:val="CharDivText"/>
    <w:basedOn w:val="OPCCharBase"/>
    <w:uiPriority w:val="1"/>
    <w:qFormat/>
    <w:rsid w:val="00056894"/>
  </w:style>
  <w:style w:type="character" w:customStyle="1" w:styleId="CharItalic">
    <w:name w:val="CharItalic"/>
    <w:basedOn w:val="OPCCharBase"/>
    <w:uiPriority w:val="1"/>
    <w:qFormat/>
    <w:rsid w:val="00056894"/>
    <w:rPr>
      <w:i/>
    </w:rPr>
  </w:style>
  <w:style w:type="character" w:customStyle="1" w:styleId="CharPartNo">
    <w:name w:val="CharPartNo"/>
    <w:basedOn w:val="OPCCharBase"/>
    <w:uiPriority w:val="1"/>
    <w:qFormat/>
    <w:rsid w:val="00056894"/>
  </w:style>
  <w:style w:type="character" w:customStyle="1" w:styleId="CharPartText">
    <w:name w:val="CharPartText"/>
    <w:basedOn w:val="OPCCharBase"/>
    <w:uiPriority w:val="1"/>
    <w:qFormat/>
    <w:rsid w:val="00056894"/>
  </w:style>
  <w:style w:type="character" w:customStyle="1" w:styleId="CharSectno">
    <w:name w:val="CharSectno"/>
    <w:basedOn w:val="OPCCharBase"/>
    <w:qFormat/>
    <w:rsid w:val="00056894"/>
  </w:style>
  <w:style w:type="character" w:customStyle="1" w:styleId="CharSubdNo">
    <w:name w:val="CharSubdNo"/>
    <w:basedOn w:val="OPCCharBase"/>
    <w:uiPriority w:val="1"/>
    <w:qFormat/>
    <w:rsid w:val="00056894"/>
  </w:style>
  <w:style w:type="character" w:customStyle="1" w:styleId="CharSubdText">
    <w:name w:val="CharSubdText"/>
    <w:basedOn w:val="OPCCharBase"/>
    <w:uiPriority w:val="1"/>
    <w:qFormat/>
    <w:rsid w:val="00056894"/>
  </w:style>
  <w:style w:type="paragraph" w:customStyle="1" w:styleId="CTA--">
    <w:name w:val="CTA --"/>
    <w:basedOn w:val="OPCParaBase"/>
    <w:next w:val="Normal"/>
    <w:rsid w:val="00056894"/>
    <w:pPr>
      <w:spacing w:before="60" w:line="240" w:lineRule="atLeast"/>
      <w:ind w:left="142" w:hanging="142"/>
    </w:pPr>
    <w:rPr>
      <w:sz w:val="20"/>
    </w:rPr>
  </w:style>
  <w:style w:type="paragraph" w:customStyle="1" w:styleId="CTA-">
    <w:name w:val="CTA -"/>
    <w:basedOn w:val="OPCParaBase"/>
    <w:rsid w:val="00056894"/>
    <w:pPr>
      <w:spacing w:before="60" w:line="240" w:lineRule="atLeast"/>
      <w:ind w:left="85" w:hanging="85"/>
    </w:pPr>
    <w:rPr>
      <w:sz w:val="20"/>
    </w:rPr>
  </w:style>
  <w:style w:type="paragraph" w:customStyle="1" w:styleId="CTA---">
    <w:name w:val="CTA ---"/>
    <w:basedOn w:val="OPCParaBase"/>
    <w:next w:val="Normal"/>
    <w:rsid w:val="00056894"/>
    <w:pPr>
      <w:spacing w:before="60" w:line="240" w:lineRule="atLeast"/>
      <w:ind w:left="198" w:hanging="198"/>
    </w:pPr>
    <w:rPr>
      <w:sz w:val="20"/>
    </w:rPr>
  </w:style>
  <w:style w:type="paragraph" w:customStyle="1" w:styleId="CTA----">
    <w:name w:val="CTA ----"/>
    <w:basedOn w:val="OPCParaBase"/>
    <w:next w:val="Normal"/>
    <w:rsid w:val="00056894"/>
    <w:pPr>
      <w:spacing w:before="60" w:line="240" w:lineRule="atLeast"/>
      <w:ind w:left="255" w:hanging="255"/>
    </w:pPr>
    <w:rPr>
      <w:sz w:val="20"/>
    </w:rPr>
  </w:style>
  <w:style w:type="paragraph" w:customStyle="1" w:styleId="CTA1a">
    <w:name w:val="CTA 1(a)"/>
    <w:basedOn w:val="OPCParaBase"/>
    <w:rsid w:val="00056894"/>
    <w:pPr>
      <w:tabs>
        <w:tab w:val="right" w:pos="414"/>
      </w:tabs>
      <w:spacing w:before="40" w:line="240" w:lineRule="atLeast"/>
      <w:ind w:left="675" w:hanging="675"/>
    </w:pPr>
    <w:rPr>
      <w:sz w:val="20"/>
    </w:rPr>
  </w:style>
  <w:style w:type="paragraph" w:customStyle="1" w:styleId="CTA1ai">
    <w:name w:val="CTA 1(a)(i)"/>
    <w:basedOn w:val="OPCParaBase"/>
    <w:rsid w:val="00056894"/>
    <w:pPr>
      <w:tabs>
        <w:tab w:val="right" w:pos="1004"/>
      </w:tabs>
      <w:spacing w:before="40" w:line="240" w:lineRule="atLeast"/>
      <w:ind w:left="1253" w:hanging="1253"/>
    </w:pPr>
    <w:rPr>
      <w:sz w:val="20"/>
    </w:rPr>
  </w:style>
  <w:style w:type="paragraph" w:customStyle="1" w:styleId="CTA2a">
    <w:name w:val="CTA 2(a)"/>
    <w:basedOn w:val="OPCParaBase"/>
    <w:rsid w:val="00056894"/>
    <w:pPr>
      <w:tabs>
        <w:tab w:val="right" w:pos="482"/>
      </w:tabs>
      <w:spacing w:before="40" w:line="240" w:lineRule="atLeast"/>
      <w:ind w:left="748" w:hanging="748"/>
    </w:pPr>
    <w:rPr>
      <w:sz w:val="20"/>
    </w:rPr>
  </w:style>
  <w:style w:type="paragraph" w:customStyle="1" w:styleId="CTA2ai">
    <w:name w:val="CTA 2(a)(i)"/>
    <w:basedOn w:val="OPCParaBase"/>
    <w:rsid w:val="00056894"/>
    <w:pPr>
      <w:tabs>
        <w:tab w:val="right" w:pos="1089"/>
      </w:tabs>
      <w:spacing w:before="40" w:line="240" w:lineRule="atLeast"/>
      <w:ind w:left="1327" w:hanging="1327"/>
    </w:pPr>
    <w:rPr>
      <w:sz w:val="20"/>
    </w:rPr>
  </w:style>
  <w:style w:type="paragraph" w:customStyle="1" w:styleId="CTA3a">
    <w:name w:val="CTA 3(a)"/>
    <w:basedOn w:val="OPCParaBase"/>
    <w:rsid w:val="00056894"/>
    <w:pPr>
      <w:tabs>
        <w:tab w:val="right" w:pos="556"/>
      </w:tabs>
      <w:spacing w:before="40" w:line="240" w:lineRule="atLeast"/>
      <w:ind w:left="805" w:hanging="805"/>
    </w:pPr>
    <w:rPr>
      <w:sz w:val="20"/>
    </w:rPr>
  </w:style>
  <w:style w:type="paragraph" w:customStyle="1" w:styleId="CTA3ai">
    <w:name w:val="CTA 3(a)(i)"/>
    <w:basedOn w:val="OPCParaBase"/>
    <w:rsid w:val="00056894"/>
    <w:pPr>
      <w:tabs>
        <w:tab w:val="right" w:pos="1140"/>
      </w:tabs>
      <w:spacing w:before="40" w:line="240" w:lineRule="atLeast"/>
      <w:ind w:left="1361" w:hanging="1361"/>
    </w:pPr>
    <w:rPr>
      <w:sz w:val="20"/>
    </w:rPr>
  </w:style>
  <w:style w:type="paragraph" w:customStyle="1" w:styleId="CTA4a">
    <w:name w:val="CTA 4(a)"/>
    <w:basedOn w:val="OPCParaBase"/>
    <w:rsid w:val="00056894"/>
    <w:pPr>
      <w:tabs>
        <w:tab w:val="right" w:pos="624"/>
      </w:tabs>
      <w:spacing w:before="40" w:line="240" w:lineRule="atLeast"/>
      <w:ind w:left="873" w:hanging="873"/>
    </w:pPr>
    <w:rPr>
      <w:sz w:val="20"/>
    </w:rPr>
  </w:style>
  <w:style w:type="paragraph" w:customStyle="1" w:styleId="CTA4ai">
    <w:name w:val="CTA 4(a)(i)"/>
    <w:basedOn w:val="OPCParaBase"/>
    <w:rsid w:val="00056894"/>
    <w:pPr>
      <w:tabs>
        <w:tab w:val="right" w:pos="1213"/>
      </w:tabs>
      <w:spacing w:before="40" w:line="240" w:lineRule="atLeast"/>
      <w:ind w:left="1452" w:hanging="1452"/>
    </w:pPr>
    <w:rPr>
      <w:sz w:val="20"/>
    </w:rPr>
  </w:style>
  <w:style w:type="paragraph" w:customStyle="1" w:styleId="CTACAPS">
    <w:name w:val="CTA CAPS"/>
    <w:basedOn w:val="OPCParaBase"/>
    <w:rsid w:val="00056894"/>
    <w:pPr>
      <w:spacing w:before="60" w:line="240" w:lineRule="atLeast"/>
    </w:pPr>
    <w:rPr>
      <w:sz w:val="20"/>
    </w:rPr>
  </w:style>
  <w:style w:type="paragraph" w:customStyle="1" w:styleId="CTAright">
    <w:name w:val="CTA right"/>
    <w:basedOn w:val="OPCParaBase"/>
    <w:rsid w:val="00056894"/>
    <w:pPr>
      <w:spacing w:before="60" w:line="240" w:lineRule="auto"/>
      <w:jc w:val="right"/>
    </w:pPr>
    <w:rPr>
      <w:sz w:val="20"/>
    </w:rPr>
  </w:style>
  <w:style w:type="paragraph" w:customStyle="1" w:styleId="subsection">
    <w:name w:val="subsection"/>
    <w:aliases w:val="ss"/>
    <w:basedOn w:val="OPCParaBase"/>
    <w:link w:val="subsectionChar"/>
    <w:rsid w:val="00056894"/>
    <w:pPr>
      <w:tabs>
        <w:tab w:val="right" w:pos="1021"/>
      </w:tabs>
      <w:spacing w:before="180" w:line="240" w:lineRule="auto"/>
      <w:ind w:left="1134" w:hanging="1134"/>
    </w:pPr>
  </w:style>
  <w:style w:type="paragraph" w:customStyle="1" w:styleId="Definition">
    <w:name w:val="Definition"/>
    <w:aliases w:val="dd"/>
    <w:basedOn w:val="OPCParaBase"/>
    <w:rsid w:val="00056894"/>
    <w:pPr>
      <w:spacing w:before="180" w:line="240" w:lineRule="auto"/>
      <w:ind w:left="1134"/>
    </w:pPr>
  </w:style>
  <w:style w:type="paragraph" w:customStyle="1" w:styleId="ETAsubitem">
    <w:name w:val="ETA(subitem)"/>
    <w:basedOn w:val="OPCParaBase"/>
    <w:rsid w:val="00056894"/>
    <w:pPr>
      <w:tabs>
        <w:tab w:val="right" w:pos="340"/>
      </w:tabs>
      <w:spacing w:before="60" w:line="240" w:lineRule="auto"/>
      <w:ind w:left="454" w:hanging="454"/>
    </w:pPr>
    <w:rPr>
      <w:sz w:val="20"/>
    </w:rPr>
  </w:style>
  <w:style w:type="paragraph" w:customStyle="1" w:styleId="ETApara">
    <w:name w:val="ETA(para)"/>
    <w:basedOn w:val="OPCParaBase"/>
    <w:rsid w:val="00056894"/>
    <w:pPr>
      <w:tabs>
        <w:tab w:val="right" w:pos="754"/>
      </w:tabs>
      <w:spacing w:before="60" w:line="240" w:lineRule="auto"/>
      <w:ind w:left="828" w:hanging="828"/>
    </w:pPr>
    <w:rPr>
      <w:sz w:val="20"/>
    </w:rPr>
  </w:style>
  <w:style w:type="paragraph" w:customStyle="1" w:styleId="ETAsubpara">
    <w:name w:val="ETA(subpara)"/>
    <w:basedOn w:val="OPCParaBase"/>
    <w:rsid w:val="00056894"/>
    <w:pPr>
      <w:tabs>
        <w:tab w:val="right" w:pos="1083"/>
      </w:tabs>
      <w:spacing w:before="60" w:line="240" w:lineRule="auto"/>
      <w:ind w:left="1191" w:hanging="1191"/>
    </w:pPr>
    <w:rPr>
      <w:sz w:val="20"/>
    </w:rPr>
  </w:style>
  <w:style w:type="paragraph" w:customStyle="1" w:styleId="ETAsub-subpara">
    <w:name w:val="ETA(sub-subpara)"/>
    <w:basedOn w:val="OPCParaBase"/>
    <w:rsid w:val="00056894"/>
    <w:pPr>
      <w:tabs>
        <w:tab w:val="right" w:pos="1412"/>
      </w:tabs>
      <w:spacing w:before="60" w:line="240" w:lineRule="auto"/>
      <w:ind w:left="1525" w:hanging="1525"/>
    </w:pPr>
    <w:rPr>
      <w:sz w:val="20"/>
    </w:rPr>
  </w:style>
  <w:style w:type="paragraph" w:customStyle="1" w:styleId="Formula">
    <w:name w:val="Formula"/>
    <w:basedOn w:val="OPCParaBase"/>
    <w:rsid w:val="00056894"/>
    <w:pPr>
      <w:spacing w:line="240" w:lineRule="auto"/>
      <w:ind w:left="1134"/>
    </w:pPr>
    <w:rPr>
      <w:sz w:val="20"/>
    </w:rPr>
  </w:style>
  <w:style w:type="paragraph" w:styleId="Header">
    <w:name w:val="header"/>
    <w:basedOn w:val="OPCParaBase"/>
    <w:link w:val="HeaderChar"/>
    <w:unhideWhenUsed/>
    <w:rsid w:val="000568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6894"/>
    <w:rPr>
      <w:rFonts w:eastAsia="Times New Roman" w:cs="Times New Roman"/>
      <w:sz w:val="16"/>
      <w:lang w:eastAsia="en-AU"/>
    </w:rPr>
  </w:style>
  <w:style w:type="paragraph" w:customStyle="1" w:styleId="House">
    <w:name w:val="House"/>
    <w:basedOn w:val="OPCParaBase"/>
    <w:rsid w:val="00056894"/>
    <w:pPr>
      <w:spacing w:line="240" w:lineRule="auto"/>
    </w:pPr>
    <w:rPr>
      <w:sz w:val="28"/>
    </w:rPr>
  </w:style>
  <w:style w:type="paragraph" w:customStyle="1" w:styleId="Item">
    <w:name w:val="Item"/>
    <w:aliases w:val="i"/>
    <w:basedOn w:val="OPCParaBase"/>
    <w:next w:val="ItemHead"/>
    <w:rsid w:val="00056894"/>
    <w:pPr>
      <w:keepLines/>
      <w:spacing w:before="80" w:line="240" w:lineRule="auto"/>
      <w:ind w:left="709"/>
    </w:pPr>
  </w:style>
  <w:style w:type="paragraph" w:customStyle="1" w:styleId="ItemHead">
    <w:name w:val="ItemHead"/>
    <w:aliases w:val="ih"/>
    <w:basedOn w:val="OPCParaBase"/>
    <w:next w:val="Item"/>
    <w:link w:val="ItemHeadChar"/>
    <w:rsid w:val="000568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6894"/>
    <w:pPr>
      <w:spacing w:line="240" w:lineRule="auto"/>
    </w:pPr>
    <w:rPr>
      <w:b/>
      <w:sz w:val="32"/>
    </w:rPr>
  </w:style>
  <w:style w:type="paragraph" w:customStyle="1" w:styleId="notedraft">
    <w:name w:val="note(draft)"/>
    <w:aliases w:val="nd"/>
    <w:basedOn w:val="OPCParaBase"/>
    <w:rsid w:val="00056894"/>
    <w:pPr>
      <w:spacing w:before="240" w:line="240" w:lineRule="auto"/>
      <w:ind w:left="284" w:hanging="284"/>
    </w:pPr>
    <w:rPr>
      <w:i/>
      <w:sz w:val="24"/>
    </w:rPr>
  </w:style>
  <w:style w:type="paragraph" w:customStyle="1" w:styleId="notemargin">
    <w:name w:val="note(margin)"/>
    <w:aliases w:val="nm"/>
    <w:basedOn w:val="OPCParaBase"/>
    <w:rsid w:val="00056894"/>
    <w:pPr>
      <w:tabs>
        <w:tab w:val="left" w:pos="709"/>
      </w:tabs>
      <w:spacing w:before="122" w:line="198" w:lineRule="exact"/>
      <w:ind w:left="709" w:hanging="709"/>
    </w:pPr>
    <w:rPr>
      <w:sz w:val="18"/>
    </w:rPr>
  </w:style>
  <w:style w:type="paragraph" w:customStyle="1" w:styleId="noteToPara">
    <w:name w:val="noteToPara"/>
    <w:aliases w:val="ntp"/>
    <w:basedOn w:val="OPCParaBase"/>
    <w:rsid w:val="00056894"/>
    <w:pPr>
      <w:spacing w:before="122" w:line="198" w:lineRule="exact"/>
      <w:ind w:left="2353" w:hanging="709"/>
    </w:pPr>
    <w:rPr>
      <w:sz w:val="18"/>
    </w:rPr>
  </w:style>
  <w:style w:type="paragraph" w:customStyle="1" w:styleId="noteParlAmend">
    <w:name w:val="note(ParlAmend)"/>
    <w:aliases w:val="npp"/>
    <w:basedOn w:val="OPCParaBase"/>
    <w:next w:val="ParlAmend"/>
    <w:rsid w:val="00056894"/>
    <w:pPr>
      <w:spacing w:line="240" w:lineRule="auto"/>
      <w:jc w:val="right"/>
    </w:pPr>
    <w:rPr>
      <w:rFonts w:ascii="Arial" w:hAnsi="Arial"/>
      <w:b/>
      <w:i/>
    </w:rPr>
  </w:style>
  <w:style w:type="paragraph" w:customStyle="1" w:styleId="Page1">
    <w:name w:val="Page1"/>
    <w:basedOn w:val="OPCParaBase"/>
    <w:rsid w:val="00056894"/>
    <w:pPr>
      <w:spacing w:before="5600" w:line="240" w:lineRule="auto"/>
    </w:pPr>
    <w:rPr>
      <w:b/>
      <w:sz w:val="32"/>
    </w:rPr>
  </w:style>
  <w:style w:type="paragraph" w:customStyle="1" w:styleId="PageBreak">
    <w:name w:val="PageBreak"/>
    <w:aliases w:val="pb"/>
    <w:basedOn w:val="OPCParaBase"/>
    <w:rsid w:val="00056894"/>
    <w:pPr>
      <w:spacing w:line="240" w:lineRule="auto"/>
    </w:pPr>
    <w:rPr>
      <w:sz w:val="20"/>
    </w:rPr>
  </w:style>
  <w:style w:type="paragraph" w:customStyle="1" w:styleId="paragraphsub">
    <w:name w:val="paragraph(sub)"/>
    <w:aliases w:val="aa"/>
    <w:basedOn w:val="OPCParaBase"/>
    <w:rsid w:val="00056894"/>
    <w:pPr>
      <w:tabs>
        <w:tab w:val="right" w:pos="1985"/>
      </w:tabs>
      <w:spacing w:before="40" w:line="240" w:lineRule="auto"/>
      <w:ind w:left="2098" w:hanging="2098"/>
    </w:pPr>
  </w:style>
  <w:style w:type="paragraph" w:customStyle="1" w:styleId="paragraphsub-sub">
    <w:name w:val="paragraph(sub-sub)"/>
    <w:aliases w:val="aaa"/>
    <w:basedOn w:val="OPCParaBase"/>
    <w:rsid w:val="00056894"/>
    <w:pPr>
      <w:tabs>
        <w:tab w:val="right" w:pos="2722"/>
      </w:tabs>
      <w:spacing w:before="40" w:line="240" w:lineRule="auto"/>
      <w:ind w:left="2835" w:hanging="2835"/>
    </w:pPr>
  </w:style>
  <w:style w:type="paragraph" w:customStyle="1" w:styleId="paragraph">
    <w:name w:val="paragraph"/>
    <w:aliases w:val="a"/>
    <w:basedOn w:val="OPCParaBase"/>
    <w:rsid w:val="00056894"/>
    <w:pPr>
      <w:tabs>
        <w:tab w:val="right" w:pos="1531"/>
      </w:tabs>
      <w:spacing w:before="40" w:line="240" w:lineRule="auto"/>
      <w:ind w:left="1644" w:hanging="1644"/>
    </w:pPr>
  </w:style>
  <w:style w:type="paragraph" w:customStyle="1" w:styleId="ParlAmend">
    <w:name w:val="ParlAmend"/>
    <w:aliases w:val="pp"/>
    <w:basedOn w:val="OPCParaBase"/>
    <w:rsid w:val="00056894"/>
    <w:pPr>
      <w:spacing w:before="240" w:line="240" w:lineRule="atLeast"/>
      <w:ind w:hanging="567"/>
    </w:pPr>
    <w:rPr>
      <w:sz w:val="24"/>
    </w:rPr>
  </w:style>
  <w:style w:type="paragraph" w:customStyle="1" w:styleId="Penalty">
    <w:name w:val="Penalty"/>
    <w:basedOn w:val="OPCParaBase"/>
    <w:rsid w:val="00056894"/>
    <w:pPr>
      <w:tabs>
        <w:tab w:val="left" w:pos="2977"/>
      </w:tabs>
      <w:spacing w:before="180" w:line="240" w:lineRule="auto"/>
      <w:ind w:left="1985" w:hanging="851"/>
    </w:pPr>
  </w:style>
  <w:style w:type="paragraph" w:customStyle="1" w:styleId="Portfolio">
    <w:name w:val="Portfolio"/>
    <w:basedOn w:val="OPCParaBase"/>
    <w:rsid w:val="00056894"/>
    <w:pPr>
      <w:spacing w:line="240" w:lineRule="auto"/>
    </w:pPr>
    <w:rPr>
      <w:i/>
      <w:sz w:val="20"/>
    </w:rPr>
  </w:style>
  <w:style w:type="paragraph" w:customStyle="1" w:styleId="Preamble">
    <w:name w:val="Preamble"/>
    <w:basedOn w:val="OPCParaBase"/>
    <w:next w:val="Normal"/>
    <w:rsid w:val="000568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6894"/>
    <w:pPr>
      <w:spacing w:line="240" w:lineRule="auto"/>
    </w:pPr>
    <w:rPr>
      <w:i/>
      <w:sz w:val="20"/>
    </w:rPr>
  </w:style>
  <w:style w:type="paragraph" w:customStyle="1" w:styleId="Session">
    <w:name w:val="Session"/>
    <w:basedOn w:val="OPCParaBase"/>
    <w:rsid w:val="00056894"/>
    <w:pPr>
      <w:spacing w:line="240" w:lineRule="auto"/>
    </w:pPr>
    <w:rPr>
      <w:sz w:val="28"/>
    </w:rPr>
  </w:style>
  <w:style w:type="paragraph" w:customStyle="1" w:styleId="Sponsor">
    <w:name w:val="Sponsor"/>
    <w:basedOn w:val="OPCParaBase"/>
    <w:rsid w:val="00056894"/>
    <w:pPr>
      <w:spacing w:line="240" w:lineRule="auto"/>
    </w:pPr>
    <w:rPr>
      <w:i/>
    </w:rPr>
  </w:style>
  <w:style w:type="paragraph" w:customStyle="1" w:styleId="Subitem">
    <w:name w:val="Subitem"/>
    <w:aliases w:val="iss"/>
    <w:basedOn w:val="OPCParaBase"/>
    <w:rsid w:val="00056894"/>
    <w:pPr>
      <w:spacing w:before="180" w:line="240" w:lineRule="auto"/>
      <w:ind w:left="709" w:hanging="709"/>
    </w:pPr>
  </w:style>
  <w:style w:type="paragraph" w:customStyle="1" w:styleId="SubitemHead">
    <w:name w:val="SubitemHead"/>
    <w:aliases w:val="issh"/>
    <w:basedOn w:val="OPCParaBase"/>
    <w:rsid w:val="000568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6894"/>
    <w:pPr>
      <w:spacing w:before="40" w:line="240" w:lineRule="auto"/>
      <w:ind w:left="1134"/>
    </w:pPr>
  </w:style>
  <w:style w:type="paragraph" w:customStyle="1" w:styleId="SubsectionHead">
    <w:name w:val="SubsectionHead"/>
    <w:aliases w:val="ssh"/>
    <w:basedOn w:val="OPCParaBase"/>
    <w:next w:val="subsection"/>
    <w:rsid w:val="00056894"/>
    <w:pPr>
      <w:keepNext/>
      <w:keepLines/>
      <w:spacing w:before="240" w:line="240" w:lineRule="auto"/>
      <w:ind w:left="1134"/>
    </w:pPr>
    <w:rPr>
      <w:i/>
    </w:rPr>
  </w:style>
  <w:style w:type="paragraph" w:customStyle="1" w:styleId="Tablea">
    <w:name w:val="Table(a)"/>
    <w:aliases w:val="ta"/>
    <w:basedOn w:val="OPCParaBase"/>
    <w:rsid w:val="00056894"/>
    <w:pPr>
      <w:spacing w:before="60" w:line="240" w:lineRule="auto"/>
      <w:ind w:left="284" w:hanging="284"/>
    </w:pPr>
    <w:rPr>
      <w:sz w:val="20"/>
    </w:rPr>
  </w:style>
  <w:style w:type="paragraph" w:customStyle="1" w:styleId="TableAA">
    <w:name w:val="Table(AA)"/>
    <w:aliases w:val="taaa"/>
    <w:basedOn w:val="OPCParaBase"/>
    <w:rsid w:val="000568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68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6894"/>
    <w:pPr>
      <w:spacing w:before="60" w:line="240" w:lineRule="atLeast"/>
    </w:pPr>
    <w:rPr>
      <w:sz w:val="20"/>
    </w:rPr>
  </w:style>
  <w:style w:type="paragraph" w:customStyle="1" w:styleId="TLPBoxTextnote">
    <w:name w:val="TLPBoxText(note"/>
    <w:aliases w:val="right)"/>
    <w:basedOn w:val="OPCParaBase"/>
    <w:rsid w:val="000568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68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6894"/>
    <w:pPr>
      <w:spacing w:before="122" w:line="198" w:lineRule="exact"/>
      <w:ind w:left="1985" w:hanging="851"/>
      <w:jc w:val="right"/>
    </w:pPr>
    <w:rPr>
      <w:sz w:val="18"/>
    </w:rPr>
  </w:style>
  <w:style w:type="paragraph" w:customStyle="1" w:styleId="TLPTableBullet">
    <w:name w:val="TLPTableBullet"/>
    <w:aliases w:val="ttb"/>
    <w:basedOn w:val="OPCParaBase"/>
    <w:rsid w:val="00056894"/>
    <w:pPr>
      <w:spacing w:line="240" w:lineRule="exact"/>
      <w:ind w:left="284" w:hanging="284"/>
    </w:pPr>
    <w:rPr>
      <w:sz w:val="20"/>
    </w:rPr>
  </w:style>
  <w:style w:type="paragraph" w:styleId="TOC1">
    <w:name w:val="toc 1"/>
    <w:basedOn w:val="OPCParaBase"/>
    <w:next w:val="Normal"/>
    <w:uiPriority w:val="39"/>
    <w:semiHidden/>
    <w:unhideWhenUsed/>
    <w:rsid w:val="000568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568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568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568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68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68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68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68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68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6894"/>
    <w:pPr>
      <w:keepLines/>
      <w:spacing w:before="240" w:after="120" w:line="240" w:lineRule="auto"/>
      <w:ind w:left="794"/>
    </w:pPr>
    <w:rPr>
      <w:b/>
      <w:kern w:val="28"/>
      <w:sz w:val="20"/>
    </w:rPr>
  </w:style>
  <w:style w:type="paragraph" w:customStyle="1" w:styleId="TofSectsHeading">
    <w:name w:val="TofSects(Heading)"/>
    <w:basedOn w:val="OPCParaBase"/>
    <w:rsid w:val="00056894"/>
    <w:pPr>
      <w:spacing w:before="240" w:after="120" w:line="240" w:lineRule="auto"/>
    </w:pPr>
    <w:rPr>
      <w:b/>
      <w:sz w:val="24"/>
    </w:rPr>
  </w:style>
  <w:style w:type="paragraph" w:customStyle="1" w:styleId="TofSectsSection">
    <w:name w:val="TofSects(Section)"/>
    <w:basedOn w:val="OPCParaBase"/>
    <w:rsid w:val="00056894"/>
    <w:pPr>
      <w:keepLines/>
      <w:spacing w:before="40" w:line="240" w:lineRule="auto"/>
      <w:ind w:left="1588" w:hanging="794"/>
    </w:pPr>
    <w:rPr>
      <w:kern w:val="28"/>
      <w:sz w:val="18"/>
    </w:rPr>
  </w:style>
  <w:style w:type="paragraph" w:customStyle="1" w:styleId="TofSectsSubdiv">
    <w:name w:val="TofSects(Subdiv)"/>
    <w:basedOn w:val="OPCParaBase"/>
    <w:rsid w:val="00056894"/>
    <w:pPr>
      <w:keepLines/>
      <w:spacing w:before="80" w:line="240" w:lineRule="auto"/>
      <w:ind w:left="1588" w:hanging="794"/>
    </w:pPr>
    <w:rPr>
      <w:kern w:val="28"/>
    </w:rPr>
  </w:style>
  <w:style w:type="paragraph" w:customStyle="1" w:styleId="WRStyle">
    <w:name w:val="WR Style"/>
    <w:aliases w:val="WR"/>
    <w:basedOn w:val="OPCParaBase"/>
    <w:rsid w:val="00056894"/>
    <w:pPr>
      <w:spacing w:before="240" w:line="240" w:lineRule="auto"/>
      <w:ind w:left="284" w:hanging="284"/>
    </w:pPr>
    <w:rPr>
      <w:b/>
      <w:i/>
      <w:kern w:val="28"/>
      <w:sz w:val="24"/>
    </w:rPr>
  </w:style>
  <w:style w:type="paragraph" w:customStyle="1" w:styleId="notepara">
    <w:name w:val="note(para)"/>
    <w:aliases w:val="na"/>
    <w:basedOn w:val="OPCParaBase"/>
    <w:rsid w:val="00056894"/>
    <w:pPr>
      <w:spacing w:before="40" w:line="198" w:lineRule="exact"/>
      <w:ind w:left="2354" w:hanging="369"/>
    </w:pPr>
    <w:rPr>
      <w:sz w:val="18"/>
    </w:rPr>
  </w:style>
  <w:style w:type="paragraph" w:styleId="Footer">
    <w:name w:val="footer"/>
    <w:link w:val="FooterChar"/>
    <w:rsid w:val="000568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6894"/>
    <w:rPr>
      <w:rFonts w:eastAsia="Times New Roman" w:cs="Times New Roman"/>
      <w:sz w:val="22"/>
      <w:szCs w:val="24"/>
      <w:lang w:eastAsia="en-AU"/>
    </w:rPr>
  </w:style>
  <w:style w:type="character" w:styleId="LineNumber">
    <w:name w:val="line number"/>
    <w:basedOn w:val="OPCCharBase"/>
    <w:uiPriority w:val="99"/>
    <w:semiHidden/>
    <w:unhideWhenUsed/>
    <w:rsid w:val="00056894"/>
    <w:rPr>
      <w:sz w:val="16"/>
    </w:rPr>
  </w:style>
  <w:style w:type="table" w:customStyle="1" w:styleId="CFlag">
    <w:name w:val="CFlag"/>
    <w:basedOn w:val="TableNormal"/>
    <w:uiPriority w:val="99"/>
    <w:rsid w:val="0005689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8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94"/>
    <w:rPr>
      <w:rFonts w:ascii="Tahoma" w:hAnsi="Tahoma" w:cs="Tahoma"/>
      <w:sz w:val="16"/>
      <w:szCs w:val="16"/>
    </w:rPr>
  </w:style>
  <w:style w:type="character" w:styleId="Hyperlink">
    <w:name w:val="Hyperlink"/>
    <w:basedOn w:val="DefaultParagraphFont"/>
    <w:rsid w:val="00056894"/>
    <w:rPr>
      <w:color w:val="0000FF"/>
      <w:u w:val="single"/>
    </w:rPr>
  </w:style>
  <w:style w:type="table" w:styleId="TableGrid">
    <w:name w:val="Table Grid"/>
    <w:basedOn w:val="TableNormal"/>
    <w:uiPriority w:val="59"/>
    <w:rsid w:val="00056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56894"/>
    <w:rPr>
      <w:b/>
      <w:sz w:val="28"/>
      <w:szCs w:val="32"/>
    </w:rPr>
  </w:style>
  <w:style w:type="paragraph" w:customStyle="1" w:styleId="TerritoryT">
    <w:name w:val="TerritoryT"/>
    <w:basedOn w:val="OPCParaBase"/>
    <w:next w:val="Normal"/>
    <w:rsid w:val="00056894"/>
    <w:rPr>
      <w:b/>
      <w:sz w:val="32"/>
    </w:rPr>
  </w:style>
  <w:style w:type="paragraph" w:customStyle="1" w:styleId="LegislationMadeUnder">
    <w:name w:val="LegislationMadeUnder"/>
    <w:basedOn w:val="OPCParaBase"/>
    <w:next w:val="Normal"/>
    <w:rsid w:val="00056894"/>
    <w:rPr>
      <w:i/>
      <w:sz w:val="32"/>
      <w:szCs w:val="32"/>
    </w:rPr>
  </w:style>
  <w:style w:type="paragraph" w:customStyle="1" w:styleId="SignCoverPageEnd">
    <w:name w:val="SignCoverPageEnd"/>
    <w:basedOn w:val="OPCParaBase"/>
    <w:next w:val="Normal"/>
    <w:rsid w:val="0005689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6894"/>
    <w:pPr>
      <w:pBdr>
        <w:top w:val="single" w:sz="4" w:space="1" w:color="auto"/>
      </w:pBdr>
      <w:spacing w:before="360"/>
      <w:ind w:right="397"/>
      <w:jc w:val="both"/>
    </w:pPr>
  </w:style>
  <w:style w:type="paragraph" w:customStyle="1" w:styleId="NotesHeading1">
    <w:name w:val="NotesHeading 1"/>
    <w:basedOn w:val="OPCParaBase"/>
    <w:next w:val="Normal"/>
    <w:rsid w:val="00056894"/>
    <w:rPr>
      <w:b/>
      <w:sz w:val="28"/>
      <w:szCs w:val="28"/>
    </w:rPr>
  </w:style>
  <w:style w:type="paragraph" w:customStyle="1" w:styleId="NotesHeading2">
    <w:name w:val="NotesHeading 2"/>
    <w:basedOn w:val="OPCParaBase"/>
    <w:next w:val="Normal"/>
    <w:rsid w:val="00056894"/>
    <w:rPr>
      <w:b/>
      <w:sz w:val="28"/>
      <w:szCs w:val="28"/>
    </w:rPr>
  </w:style>
  <w:style w:type="paragraph" w:customStyle="1" w:styleId="ENotesText">
    <w:name w:val="ENotesText"/>
    <w:basedOn w:val="OPCParaBase"/>
    <w:next w:val="Normal"/>
    <w:rsid w:val="00056894"/>
  </w:style>
  <w:style w:type="paragraph" w:customStyle="1" w:styleId="CompiledActNo">
    <w:name w:val="CompiledActNo"/>
    <w:basedOn w:val="OPCParaBase"/>
    <w:next w:val="Normal"/>
    <w:rsid w:val="00056894"/>
    <w:rPr>
      <w:b/>
      <w:sz w:val="24"/>
      <w:szCs w:val="24"/>
    </w:rPr>
  </w:style>
  <w:style w:type="paragraph" w:customStyle="1" w:styleId="CompiledMadeUnder">
    <w:name w:val="CompiledMadeUnder"/>
    <w:basedOn w:val="OPCParaBase"/>
    <w:next w:val="Normal"/>
    <w:rsid w:val="00056894"/>
    <w:rPr>
      <w:i/>
      <w:sz w:val="24"/>
      <w:szCs w:val="24"/>
    </w:rPr>
  </w:style>
  <w:style w:type="paragraph" w:customStyle="1" w:styleId="Paragraphsub-sub-sub">
    <w:name w:val="Paragraph(sub-sub-sub)"/>
    <w:aliases w:val="aaaa"/>
    <w:basedOn w:val="OPCParaBase"/>
    <w:rsid w:val="00056894"/>
    <w:pPr>
      <w:tabs>
        <w:tab w:val="right" w:pos="3402"/>
      </w:tabs>
      <w:spacing w:before="40" w:line="240" w:lineRule="auto"/>
      <w:ind w:left="3402" w:hanging="3402"/>
    </w:pPr>
  </w:style>
  <w:style w:type="paragraph" w:customStyle="1" w:styleId="NoteToSubpara">
    <w:name w:val="NoteToSubpara"/>
    <w:aliases w:val="nts"/>
    <w:basedOn w:val="OPCParaBase"/>
    <w:rsid w:val="00056894"/>
    <w:pPr>
      <w:spacing w:before="40" w:line="198" w:lineRule="exact"/>
      <w:ind w:left="2835" w:hanging="709"/>
    </w:pPr>
    <w:rPr>
      <w:sz w:val="18"/>
    </w:rPr>
  </w:style>
  <w:style w:type="paragraph" w:customStyle="1" w:styleId="EndNotespara">
    <w:name w:val="EndNotes(para)"/>
    <w:aliases w:val="eta"/>
    <w:basedOn w:val="OPCParaBase"/>
    <w:next w:val="Normal"/>
    <w:rsid w:val="000568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68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568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689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56894"/>
    <w:pPr>
      <w:keepNext/>
      <w:spacing w:before="60" w:line="240" w:lineRule="atLeast"/>
    </w:pPr>
    <w:rPr>
      <w:rFonts w:ascii="Arial" w:hAnsi="Arial"/>
      <w:b/>
      <w:sz w:val="16"/>
    </w:rPr>
  </w:style>
  <w:style w:type="paragraph" w:customStyle="1" w:styleId="ENoteTTi">
    <w:name w:val="ENoteTTi"/>
    <w:aliases w:val="entti"/>
    <w:basedOn w:val="OPCParaBase"/>
    <w:rsid w:val="00056894"/>
    <w:pPr>
      <w:keepNext/>
      <w:spacing w:before="60" w:line="240" w:lineRule="atLeast"/>
      <w:ind w:left="170"/>
    </w:pPr>
    <w:rPr>
      <w:sz w:val="16"/>
    </w:rPr>
  </w:style>
  <w:style w:type="paragraph" w:customStyle="1" w:styleId="ENotesHeading1">
    <w:name w:val="ENotesHeading 1"/>
    <w:aliases w:val="Enh1"/>
    <w:basedOn w:val="OPCParaBase"/>
    <w:next w:val="Normal"/>
    <w:rsid w:val="00056894"/>
    <w:pPr>
      <w:spacing w:before="120"/>
      <w:outlineLvl w:val="1"/>
    </w:pPr>
    <w:rPr>
      <w:b/>
      <w:sz w:val="28"/>
      <w:szCs w:val="28"/>
    </w:rPr>
  </w:style>
  <w:style w:type="paragraph" w:customStyle="1" w:styleId="ENotesHeading2">
    <w:name w:val="ENotesHeading 2"/>
    <w:aliases w:val="Enh2"/>
    <w:basedOn w:val="OPCParaBase"/>
    <w:next w:val="Normal"/>
    <w:rsid w:val="00056894"/>
    <w:pPr>
      <w:spacing w:before="120" w:after="120"/>
      <w:outlineLvl w:val="2"/>
    </w:pPr>
    <w:rPr>
      <w:b/>
      <w:sz w:val="24"/>
      <w:szCs w:val="28"/>
    </w:rPr>
  </w:style>
  <w:style w:type="paragraph" w:customStyle="1" w:styleId="ENoteTTIndentHeading">
    <w:name w:val="ENoteTTIndentHeading"/>
    <w:aliases w:val="enTTHi"/>
    <w:basedOn w:val="OPCParaBase"/>
    <w:rsid w:val="000568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6894"/>
    <w:pPr>
      <w:spacing w:before="60" w:line="240" w:lineRule="atLeast"/>
    </w:pPr>
    <w:rPr>
      <w:sz w:val="16"/>
    </w:rPr>
  </w:style>
  <w:style w:type="paragraph" w:customStyle="1" w:styleId="MadeunderText">
    <w:name w:val="MadeunderText"/>
    <w:basedOn w:val="OPCParaBase"/>
    <w:next w:val="CompiledMadeUnder"/>
    <w:rsid w:val="00056894"/>
    <w:pPr>
      <w:spacing w:before="240"/>
    </w:pPr>
    <w:rPr>
      <w:sz w:val="24"/>
      <w:szCs w:val="24"/>
    </w:rPr>
  </w:style>
  <w:style w:type="paragraph" w:customStyle="1" w:styleId="ENotesHeading3">
    <w:name w:val="ENotesHeading 3"/>
    <w:aliases w:val="Enh3"/>
    <w:basedOn w:val="OPCParaBase"/>
    <w:next w:val="Normal"/>
    <w:rsid w:val="00056894"/>
    <w:pPr>
      <w:keepNext/>
      <w:spacing w:before="120" w:line="240" w:lineRule="auto"/>
      <w:outlineLvl w:val="4"/>
    </w:pPr>
    <w:rPr>
      <w:b/>
      <w:szCs w:val="24"/>
    </w:rPr>
  </w:style>
  <w:style w:type="character" w:customStyle="1" w:styleId="CharSubPartTextCASA">
    <w:name w:val="CharSubPartText(CASA)"/>
    <w:basedOn w:val="OPCCharBase"/>
    <w:uiPriority w:val="1"/>
    <w:rsid w:val="00056894"/>
  </w:style>
  <w:style w:type="character" w:customStyle="1" w:styleId="CharSubPartNoCASA">
    <w:name w:val="CharSubPartNo(CASA)"/>
    <w:basedOn w:val="OPCCharBase"/>
    <w:uiPriority w:val="1"/>
    <w:rsid w:val="00056894"/>
  </w:style>
  <w:style w:type="paragraph" w:customStyle="1" w:styleId="ENoteTTIndentHeadingSub">
    <w:name w:val="ENoteTTIndentHeadingSub"/>
    <w:aliases w:val="enTTHis"/>
    <w:basedOn w:val="OPCParaBase"/>
    <w:rsid w:val="00056894"/>
    <w:pPr>
      <w:keepNext/>
      <w:spacing w:before="60" w:line="240" w:lineRule="atLeast"/>
      <w:ind w:left="340"/>
    </w:pPr>
    <w:rPr>
      <w:b/>
      <w:sz w:val="16"/>
    </w:rPr>
  </w:style>
  <w:style w:type="paragraph" w:customStyle="1" w:styleId="ENoteTTiSub">
    <w:name w:val="ENoteTTiSub"/>
    <w:aliases w:val="enttis"/>
    <w:basedOn w:val="OPCParaBase"/>
    <w:rsid w:val="00056894"/>
    <w:pPr>
      <w:keepNext/>
      <w:spacing w:before="60" w:line="240" w:lineRule="atLeast"/>
      <w:ind w:left="340"/>
    </w:pPr>
    <w:rPr>
      <w:sz w:val="16"/>
    </w:rPr>
  </w:style>
  <w:style w:type="paragraph" w:customStyle="1" w:styleId="SubDivisionMigration">
    <w:name w:val="SubDivisionMigration"/>
    <w:aliases w:val="sdm"/>
    <w:basedOn w:val="OPCParaBase"/>
    <w:rsid w:val="000568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6894"/>
    <w:pPr>
      <w:keepNext/>
      <w:keepLines/>
      <w:spacing w:before="240" w:line="240" w:lineRule="auto"/>
      <w:ind w:left="1134" w:hanging="1134"/>
    </w:pPr>
    <w:rPr>
      <w:b/>
      <w:sz w:val="28"/>
    </w:rPr>
  </w:style>
  <w:style w:type="paragraph" w:customStyle="1" w:styleId="notetext">
    <w:name w:val="note(text)"/>
    <w:aliases w:val="n"/>
    <w:basedOn w:val="OPCParaBase"/>
    <w:rsid w:val="0005689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568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6894"/>
    <w:rPr>
      <w:sz w:val="22"/>
    </w:rPr>
  </w:style>
  <w:style w:type="paragraph" w:customStyle="1" w:styleId="SOTextNote">
    <w:name w:val="SO TextNote"/>
    <w:aliases w:val="sont"/>
    <w:basedOn w:val="SOText"/>
    <w:qFormat/>
    <w:rsid w:val="00056894"/>
    <w:pPr>
      <w:spacing w:before="122" w:line="198" w:lineRule="exact"/>
      <w:ind w:left="1843" w:hanging="709"/>
    </w:pPr>
    <w:rPr>
      <w:sz w:val="18"/>
    </w:rPr>
  </w:style>
  <w:style w:type="paragraph" w:customStyle="1" w:styleId="SOPara">
    <w:name w:val="SO Para"/>
    <w:aliases w:val="soa"/>
    <w:basedOn w:val="SOText"/>
    <w:link w:val="SOParaChar"/>
    <w:qFormat/>
    <w:rsid w:val="00056894"/>
    <w:pPr>
      <w:tabs>
        <w:tab w:val="right" w:pos="1786"/>
      </w:tabs>
      <w:spacing w:before="40"/>
      <w:ind w:left="2070" w:hanging="936"/>
    </w:pPr>
  </w:style>
  <w:style w:type="character" w:customStyle="1" w:styleId="SOParaChar">
    <w:name w:val="SO Para Char"/>
    <w:aliases w:val="soa Char"/>
    <w:basedOn w:val="DefaultParagraphFont"/>
    <w:link w:val="SOPara"/>
    <w:rsid w:val="00056894"/>
    <w:rPr>
      <w:sz w:val="22"/>
    </w:rPr>
  </w:style>
  <w:style w:type="paragraph" w:customStyle="1" w:styleId="FileName">
    <w:name w:val="FileName"/>
    <w:basedOn w:val="Normal"/>
    <w:rsid w:val="00056894"/>
  </w:style>
  <w:style w:type="paragraph" w:customStyle="1" w:styleId="TableHeading">
    <w:name w:val="TableHeading"/>
    <w:aliases w:val="th"/>
    <w:basedOn w:val="OPCParaBase"/>
    <w:next w:val="Tabletext"/>
    <w:rsid w:val="00056894"/>
    <w:pPr>
      <w:keepNext/>
      <w:spacing w:before="60" w:line="240" w:lineRule="atLeast"/>
    </w:pPr>
    <w:rPr>
      <w:b/>
      <w:sz w:val="20"/>
    </w:rPr>
  </w:style>
  <w:style w:type="paragraph" w:customStyle="1" w:styleId="SOHeadBold">
    <w:name w:val="SO HeadBold"/>
    <w:aliases w:val="sohb"/>
    <w:basedOn w:val="SOText"/>
    <w:next w:val="SOText"/>
    <w:link w:val="SOHeadBoldChar"/>
    <w:qFormat/>
    <w:rsid w:val="00056894"/>
    <w:rPr>
      <w:b/>
    </w:rPr>
  </w:style>
  <w:style w:type="character" w:customStyle="1" w:styleId="SOHeadBoldChar">
    <w:name w:val="SO HeadBold Char"/>
    <w:aliases w:val="sohb Char"/>
    <w:basedOn w:val="DefaultParagraphFont"/>
    <w:link w:val="SOHeadBold"/>
    <w:rsid w:val="00056894"/>
    <w:rPr>
      <w:b/>
      <w:sz w:val="22"/>
    </w:rPr>
  </w:style>
  <w:style w:type="paragraph" w:customStyle="1" w:styleId="SOHeadItalic">
    <w:name w:val="SO HeadItalic"/>
    <w:aliases w:val="sohi"/>
    <w:basedOn w:val="SOText"/>
    <w:next w:val="SOText"/>
    <w:link w:val="SOHeadItalicChar"/>
    <w:qFormat/>
    <w:rsid w:val="00056894"/>
    <w:rPr>
      <w:i/>
    </w:rPr>
  </w:style>
  <w:style w:type="character" w:customStyle="1" w:styleId="SOHeadItalicChar">
    <w:name w:val="SO HeadItalic Char"/>
    <w:aliases w:val="sohi Char"/>
    <w:basedOn w:val="DefaultParagraphFont"/>
    <w:link w:val="SOHeadItalic"/>
    <w:rsid w:val="00056894"/>
    <w:rPr>
      <w:i/>
      <w:sz w:val="22"/>
    </w:rPr>
  </w:style>
  <w:style w:type="paragraph" w:customStyle="1" w:styleId="SOBullet">
    <w:name w:val="SO Bullet"/>
    <w:aliases w:val="sotb"/>
    <w:basedOn w:val="SOText"/>
    <w:link w:val="SOBulletChar"/>
    <w:qFormat/>
    <w:rsid w:val="00056894"/>
    <w:pPr>
      <w:ind w:left="1559" w:hanging="425"/>
    </w:pPr>
  </w:style>
  <w:style w:type="character" w:customStyle="1" w:styleId="SOBulletChar">
    <w:name w:val="SO Bullet Char"/>
    <w:aliases w:val="sotb Char"/>
    <w:basedOn w:val="DefaultParagraphFont"/>
    <w:link w:val="SOBullet"/>
    <w:rsid w:val="00056894"/>
    <w:rPr>
      <w:sz w:val="22"/>
    </w:rPr>
  </w:style>
  <w:style w:type="paragraph" w:customStyle="1" w:styleId="SOBulletNote">
    <w:name w:val="SO BulletNote"/>
    <w:aliases w:val="sonb"/>
    <w:basedOn w:val="SOTextNote"/>
    <w:link w:val="SOBulletNoteChar"/>
    <w:qFormat/>
    <w:rsid w:val="00056894"/>
    <w:pPr>
      <w:tabs>
        <w:tab w:val="left" w:pos="1560"/>
      </w:tabs>
      <w:ind w:left="2268" w:hanging="1134"/>
    </w:pPr>
  </w:style>
  <w:style w:type="character" w:customStyle="1" w:styleId="SOBulletNoteChar">
    <w:name w:val="SO BulletNote Char"/>
    <w:aliases w:val="sonb Char"/>
    <w:basedOn w:val="DefaultParagraphFont"/>
    <w:link w:val="SOBulletNote"/>
    <w:rsid w:val="00056894"/>
    <w:rPr>
      <w:sz w:val="18"/>
    </w:rPr>
  </w:style>
  <w:style w:type="paragraph" w:customStyle="1" w:styleId="SOText2">
    <w:name w:val="SO Text2"/>
    <w:aliases w:val="sot2"/>
    <w:basedOn w:val="Normal"/>
    <w:next w:val="SOText"/>
    <w:link w:val="SOText2Char"/>
    <w:rsid w:val="000568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6894"/>
    <w:rPr>
      <w:sz w:val="22"/>
    </w:rPr>
  </w:style>
  <w:style w:type="paragraph" w:customStyle="1" w:styleId="SubPartCASA">
    <w:name w:val="SubPart(CASA)"/>
    <w:aliases w:val="csp"/>
    <w:basedOn w:val="OPCParaBase"/>
    <w:next w:val="ActHead3"/>
    <w:rsid w:val="0005689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2EF1"/>
    <w:rPr>
      <w:rFonts w:eastAsia="Times New Roman" w:cs="Times New Roman"/>
      <w:sz w:val="22"/>
      <w:lang w:eastAsia="en-AU"/>
    </w:rPr>
  </w:style>
  <w:style w:type="character" w:customStyle="1" w:styleId="ItemHeadChar">
    <w:name w:val="ItemHead Char"/>
    <w:aliases w:val="ih Char"/>
    <w:basedOn w:val="DefaultParagraphFont"/>
    <w:link w:val="ItemHead"/>
    <w:locked/>
    <w:rsid w:val="00BC2EF1"/>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A34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4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4A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34A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34A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34A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34A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34A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4A5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6894"/>
    <w:pPr>
      <w:spacing w:line="260" w:lineRule="atLeast"/>
    </w:pPr>
    <w:rPr>
      <w:sz w:val="22"/>
    </w:rPr>
  </w:style>
  <w:style w:type="paragraph" w:styleId="Heading1">
    <w:name w:val="heading 1"/>
    <w:basedOn w:val="Normal"/>
    <w:next w:val="Normal"/>
    <w:link w:val="Heading1Char"/>
    <w:uiPriority w:val="9"/>
    <w:qFormat/>
    <w:rsid w:val="00A34A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4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4A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4A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4A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4A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4A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4A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4A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6894"/>
  </w:style>
  <w:style w:type="paragraph" w:customStyle="1" w:styleId="OPCParaBase">
    <w:name w:val="OPCParaBase"/>
    <w:qFormat/>
    <w:rsid w:val="00056894"/>
    <w:pPr>
      <w:spacing w:line="260" w:lineRule="atLeast"/>
    </w:pPr>
    <w:rPr>
      <w:rFonts w:eastAsia="Times New Roman" w:cs="Times New Roman"/>
      <w:sz w:val="22"/>
      <w:lang w:eastAsia="en-AU"/>
    </w:rPr>
  </w:style>
  <w:style w:type="paragraph" w:customStyle="1" w:styleId="ShortT">
    <w:name w:val="ShortT"/>
    <w:basedOn w:val="OPCParaBase"/>
    <w:next w:val="Normal"/>
    <w:qFormat/>
    <w:rsid w:val="00056894"/>
    <w:pPr>
      <w:spacing w:line="240" w:lineRule="auto"/>
    </w:pPr>
    <w:rPr>
      <w:b/>
      <w:sz w:val="40"/>
    </w:rPr>
  </w:style>
  <w:style w:type="paragraph" w:customStyle="1" w:styleId="ActHead1">
    <w:name w:val="ActHead 1"/>
    <w:aliases w:val="c"/>
    <w:basedOn w:val="OPCParaBase"/>
    <w:next w:val="Normal"/>
    <w:qFormat/>
    <w:rsid w:val="000568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68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68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68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68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68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68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68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68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56894"/>
  </w:style>
  <w:style w:type="paragraph" w:customStyle="1" w:styleId="Blocks">
    <w:name w:val="Blocks"/>
    <w:aliases w:val="bb"/>
    <w:basedOn w:val="OPCParaBase"/>
    <w:qFormat/>
    <w:rsid w:val="00056894"/>
    <w:pPr>
      <w:spacing w:line="240" w:lineRule="auto"/>
    </w:pPr>
    <w:rPr>
      <w:sz w:val="24"/>
    </w:rPr>
  </w:style>
  <w:style w:type="paragraph" w:customStyle="1" w:styleId="BoxText">
    <w:name w:val="BoxText"/>
    <w:aliases w:val="bt"/>
    <w:basedOn w:val="OPCParaBase"/>
    <w:qFormat/>
    <w:rsid w:val="000568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6894"/>
    <w:rPr>
      <w:b/>
    </w:rPr>
  </w:style>
  <w:style w:type="paragraph" w:customStyle="1" w:styleId="BoxHeadItalic">
    <w:name w:val="BoxHeadItalic"/>
    <w:aliases w:val="bhi"/>
    <w:basedOn w:val="BoxText"/>
    <w:next w:val="BoxStep"/>
    <w:qFormat/>
    <w:rsid w:val="00056894"/>
    <w:rPr>
      <w:i/>
    </w:rPr>
  </w:style>
  <w:style w:type="paragraph" w:customStyle="1" w:styleId="BoxList">
    <w:name w:val="BoxList"/>
    <w:aliases w:val="bl"/>
    <w:basedOn w:val="BoxText"/>
    <w:qFormat/>
    <w:rsid w:val="00056894"/>
    <w:pPr>
      <w:ind w:left="1559" w:hanging="425"/>
    </w:pPr>
  </w:style>
  <w:style w:type="paragraph" w:customStyle="1" w:styleId="BoxNote">
    <w:name w:val="BoxNote"/>
    <w:aliases w:val="bn"/>
    <w:basedOn w:val="BoxText"/>
    <w:qFormat/>
    <w:rsid w:val="00056894"/>
    <w:pPr>
      <w:tabs>
        <w:tab w:val="left" w:pos="1985"/>
      </w:tabs>
      <w:spacing w:before="122" w:line="198" w:lineRule="exact"/>
      <w:ind w:left="2948" w:hanging="1814"/>
    </w:pPr>
    <w:rPr>
      <w:sz w:val="18"/>
    </w:rPr>
  </w:style>
  <w:style w:type="paragraph" w:customStyle="1" w:styleId="BoxPara">
    <w:name w:val="BoxPara"/>
    <w:aliases w:val="bp"/>
    <w:basedOn w:val="BoxText"/>
    <w:qFormat/>
    <w:rsid w:val="00056894"/>
    <w:pPr>
      <w:tabs>
        <w:tab w:val="right" w:pos="2268"/>
      </w:tabs>
      <w:ind w:left="2552" w:hanging="1418"/>
    </w:pPr>
  </w:style>
  <w:style w:type="paragraph" w:customStyle="1" w:styleId="BoxStep">
    <w:name w:val="BoxStep"/>
    <w:aliases w:val="bs"/>
    <w:basedOn w:val="BoxText"/>
    <w:qFormat/>
    <w:rsid w:val="00056894"/>
    <w:pPr>
      <w:ind w:left="1985" w:hanging="851"/>
    </w:pPr>
  </w:style>
  <w:style w:type="character" w:customStyle="1" w:styleId="CharAmPartNo">
    <w:name w:val="CharAmPartNo"/>
    <w:basedOn w:val="OPCCharBase"/>
    <w:qFormat/>
    <w:rsid w:val="00056894"/>
  </w:style>
  <w:style w:type="character" w:customStyle="1" w:styleId="CharAmPartText">
    <w:name w:val="CharAmPartText"/>
    <w:basedOn w:val="OPCCharBase"/>
    <w:qFormat/>
    <w:rsid w:val="00056894"/>
  </w:style>
  <w:style w:type="character" w:customStyle="1" w:styleId="CharAmSchNo">
    <w:name w:val="CharAmSchNo"/>
    <w:basedOn w:val="OPCCharBase"/>
    <w:qFormat/>
    <w:rsid w:val="00056894"/>
  </w:style>
  <w:style w:type="character" w:customStyle="1" w:styleId="CharAmSchText">
    <w:name w:val="CharAmSchText"/>
    <w:basedOn w:val="OPCCharBase"/>
    <w:qFormat/>
    <w:rsid w:val="00056894"/>
  </w:style>
  <w:style w:type="character" w:customStyle="1" w:styleId="CharBoldItalic">
    <w:name w:val="CharBoldItalic"/>
    <w:basedOn w:val="OPCCharBase"/>
    <w:uiPriority w:val="1"/>
    <w:qFormat/>
    <w:rsid w:val="00056894"/>
    <w:rPr>
      <w:b/>
      <w:i/>
    </w:rPr>
  </w:style>
  <w:style w:type="character" w:customStyle="1" w:styleId="CharChapNo">
    <w:name w:val="CharChapNo"/>
    <w:basedOn w:val="OPCCharBase"/>
    <w:uiPriority w:val="1"/>
    <w:qFormat/>
    <w:rsid w:val="00056894"/>
  </w:style>
  <w:style w:type="character" w:customStyle="1" w:styleId="CharChapText">
    <w:name w:val="CharChapText"/>
    <w:basedOn w:val="OPCCharBase"/>
    <w:uiPriority w:val="1"/>
    <w:qFormat/>
    <w:rsid w:val="00056894"/>
  </w:style>
  <w:style w:type="character" w:customStyle="1" w:styleId="CharDivNo">
    <w:name w:val="CharDivNo"/>
    <w:basedOn w:val="OPCCharBase"/>
    <w:uiPriority w:val="1"/>
    <w:qFormat/>
    <w:rsid w:val="00056894"/>
  </w:style>
  <w:style w:type="character" w:customStyle="1" w:styleId="CharDivText">
    <w:name w:val="CharDivText"/>
    <w:basedOn w:val="OPCCharBase"/>
    <w:uiPriority w:val="1"/>
    <w:qFormat/>
    <w:rsid w:val="00056894"/>
  </w:style>
  <w:style w:type="character" w:customStyle="1" w:styleId="CharItalic">
    <w:name w:val="CharItalic"/>
    <w:basedOn w:val="OPCCharBase"/>
    <w:uiPriority w:val="1"/>
    <w:qFormat/>
    <w:rsid w:val="00056894"/>
    <w:rPr>
      <w:i/>
    </w:rPr>
  </w:style>
  <w:style w:type="character" w:customStyle="1" w:styleId="CharPartNo">
    <w:name w:val="CharPartNo"/>
    <w:basedOn w:val="OPCCharBase"/>
    <w:uiPriority w:val="1"/>
    <w:qFormat/>
    <w:rsid w:val="00056894"/>
  </w:style>
  <w:style w:type="character" w:customStyle="1" w:styleId="CharPartText">
    <w:name w:val="CharPartText"/>
    <w:basedOn w:val="OPCCharBase"/>
    <w:uiPriority w:val="1"/>
    <w:qFormat/>
    <w:rsid w:val="00056894"/>
  </w:style>
  <w:style w:type="character" w:customStyle="1" w:styleId="CharSectno">
    <w:name w:val="CharSectno"/>
    <w:basedOn w:val="OPCCharBase"/>
    <w:qFormat/>
    <w:rsid w:val="00056894"/>
  </w:style>
  <w:style w:type="character" w:customStyle="1" w:styleId="CharSubdNo">
    <w:name w:val="CharSubdNo"/>
    <w:basedOn w:val="OPCCharBase"/>
    <w:uiPriority w:val="1"/>
    <w:qFormat/>
    <w:rsid w:val="00056894"/>
  </w:style>
  <w:style w:type="character" w:customStyle="1" w:styleId="CharSubdText">
    <w:name w:val="CharSubdText"/>
    <w:basedOn w:val="OPCCharBase"/>
    <w:uiPriority w:val="1"/>
    <w:qFormat/>
    <w:rsid w:val="00056894"/>
  </w:style>
  <w:style w:type="paragraph" w:customStyle="1" w:styleId="CTA--">
    <w:name w:val="CTA --"/>
    <w:basedOn w:val="OPCParaBase"/>
    <w:next w:val="Normal"/>
    <w:rsid w:val="00056894"/>
    <w:pPr>
      <w:spacing w:before="60" w:line="240" w:lineRule="atLeast"/>
      <w:ind w:left="142" w:hanging="142"/>
    </w:pPr>
    <w:rPr>
      <w:sz w:val="20"/>
    </w:rPr>
  </w:style>
  <w:style w:type="paragraph" w:customStyle="1" w:styleId="CTA-">
    <w:name w:val="CTA -"/>
    <w:basedOn w:val="OPCParaBase"/>
    <w:rsid w:val="00056894"/>
    <w:pPr>
      <w:spacing w:before="60" w:line="240" w:lineRule="atLeast"/>
      <w:ind w:left="85" w:hanging="85"/>
    </w:pPr>
    <w:rPr>
      <w:sz w:val="20"/>
    </w:rPr>
  </w:style>
  <w:style w:type="paragraph" w:customStyle="1" w:styleId="CTA---">
    <w:name w:val="CTA ---"/>
    <w:basedOn w:val="OPCParaBase"/>
    <w:next w:val="Normal"/>
    <w:rsid w:val="00056894"/>
    <w:pPr>
      <w:spacing w:before="60" w:line="240" w:lineRule="atLeast"/>
      <w:ind w:left="198" w:hanging="198"/>
    </w:pPr>
    <w:rPr>
      <w:sz w:val="20"/>
    </w:rPr>
  </w:style>
  <w:style w:type="paragraph" w:customStyle="1" w:styleId="CTA----">
    <w:name w:val="CTA ----"/>
    <w:basedOn w:val="OPCParaBase"/>
    <w:next w:val="Normal"/>
    <w:rsid w:val="00056894"/>
    <w:pPr>
      <w:spacing w:before="60" w:line="240" w:lineRule="atLeast"/>
      <w:ind w:left="255" w:hanging="255"/>
    </w:pPr>
    <w:rPr>
      <w:sz w:val="20"/>
    </w:rPr>
  </w:style>
  <w:style w:type="paragraph" w:customStyle="1" w:styleId="CTA1a">
    <w:name w:val="CTA 1(a)"/>
    <w:basedOn w:val="OPCParaBase"/>
    <w:rsid w:val="00056894"/>
    <w:pPr>
      <w:tabs>
        <w:tab w:val="right" w:pos="414"/>
      </w:tabs>
      <w:spacing w:before="40" w:line="240" w:lineRule="atLeast"/>
      <w:ind w:left="675" w:hanging="675"/>
    </w:pPr>
    <w:rPr>
      <w:sz w:val="20"/>
    </w:rPr>
  </w:style>
  <w:style w:type="paragraph" w:customStyle="1" w:styleId="CTA1ai">
    <w:name w:val="CTA 1(a)(i)"/>
    <w:basedOn w:val="OPCParaBase"/>
    <w:rsid w:val="00056894"/>
    <w:pPr>
      <w:tabs>
        <w:tab w:val="right" w:pos="1004"/>
      </w:tabs>
      <w:spacing w:before="40" w:line="240" w:lineRule="atLeast"/>
      <w:ind w:left="1253" w:hanging="1253"/>
    </w:pPr>
    <w:rPr>
      <w:sz w:val="20"/>
    </w:rPr>
  </w:style>
  <w:style w:type="paragraph" w:customStyle="1" w:styleId="CTA2a">
    <w:name w:val="CTA 2(a)"/>
    <w:basedOn w:val="OPCParaBase"/>
    <w:rsid w:val="00056894"/>
    <w:pPr>
      <w:tabs>
        <w:tab w:val="right" w:pos="482"/>
      </w:tabs>
      <w:spacing w:before="40" w:line="240" w:lineRule="atLeast"/>
      <w:ind w:left="748" w:hanging="748"/>
    </w:pPr>
    <w:rPr>
      <w:sz w:val="20"/>
    </w:rPr>
  </w:style>
  <w:style w:type="paragraph" w:customStyle="1" w:styleId="CTA2ai">
    <w:name w:val="CTA 2(a)(i)"/>
    <w:basedOn w:val="OPCParaBase"/>
    <w:rsid w:val="00056894"/>
    <w:pPr>
      <w:tabs>
        <w:tab w:val="right" w:pos="1089"/>
      </w:tabs>
      <w:spacing w:before="40" w:line="240" w:lineRule="atLeast"/>
      <w:ind w:left="1327" w:hanging="1327"/>
    </w:pPr>
    <w:rPr>
      <w:sz w:val="20"/>
    </w:rPr>
  </w:style>
  <w:style w:type="paragraph" w:customStyle="1" w:styleId="CTA3a">
    <w:name w:val="CTA 3(a)"/>
    <w:basedOn w:val="OPCParaBase"/>
    <w:rsid w:val="00056894"/>
    <w:pPr>
      <w:tabs>
        <w:tab w:val="right" w:pos="556"/>
      </w:tabs>
      <w:spacing w:before="40" w:line="240" w:lineRule="atLeast"/>
      <w:ind w:left="805" w:hanging="805"/>
    </w:pPr>
    <w:rPr>
      <w:sz w:val="20"/>
    </w:rPr>
  </w:style>
  <w:style w:type="paragraph" w:customStyle="1" w:styleId="CTA3ai">
    <w:name w:val="CTA 3(a)(i)"/>
    <w:basedOn w:val="OPCParaBase"/>
    <w:rsid w:val="00056894"/>
    <w:pPr>
      <w:tabs>
        <w:tab w:val="right" w:pos="1140"/>
      </w:tabs>
      <w:spacing w:before="40" w:line="240" w:lineRule="atLeast"/>
      <w:ind w:left="1361" w:hanging="1361"/>
    </w:pPr>
    <w:rPr>
      <w:sz w:val="20"/>
    </w:rPr>
  </w:style>
  <w:style w:type="paragraph" w:customStyle="1" w:styleId="CTA4a">
    <w:name w:val="CTA 4(a)"/>
    <w:basedOn w:val="OPCParaBase"/>
    <w:rsid w:val="00056894"/>
    <w:pPr>
      <w:tabs>
        <w:tab w:val="right" w:pos="624"/>
      </w:tabs>
      <w:spacing w:before="40" w:line="240" w:lineRule="atLeast"/>
      <w:ind w:left="873" w:hanging="873"/>
    </w:pPr>
    <w:rPr>
      <w:sz w:val="20"/>
    </w:rPr>
  </w:style>
  <w:style w:type="paragraph" w:customStyle="1" w:styleId="CTA4ai">
    <w:name w:val="CTA 4(a)(i)"/>
    <w:basedOn w:val="OPCParaBase"/>
    <w:rsid w:val="00056894"/>
    <w:pPr>
      <w:tabs>
        <w:tab w:val="right" w:pos="1213"/>
      </w:tabs>
      <w:spacing w:before="40" w:line="240" w:lineRule="atLeast"/>
      <w:ind w:left="1452" w:hanging="1452"/>
    </w:pPr>
    <w:rPr>
      <w:sz w:val="20"/>
    </w:rPr>
  </w:style>
  <w:style w:type="paragraph" w:customStyle="1" w:styleId="CTACAPS">
    <w:name w:val="CTA CAPS"/>
    <w:basedOn w:val="OPCParaBase"/>
    <w:rsid w:val="00056894"/>
    <w:pPr>
      <w:spacing w:before="60" w:line="240" w:lineRule="atLeast"/>
    </w:pPr>
    <w:rPr>
      <w:sz w:val="20"/>
    </w:rPr>
  </w:style>
  <w:style w:type="paragraph" w:customStyle="1" w:styleId="CTAright">
    <w:name w:val="CTA right"/>
    <w:basedOn w:val="OPCParaBase"/>
    <w:rsid w:val="00056894"/>
    <w:pPr>
      <w:spacing w:before="60" w:line="240" w:lineRule="auto"/>
      <w:jc w:val="right"/>
    </w:pPr>
    <w:rPr>
      <w:sz w:val="20"/>
    </w:rPr>
  </w:style>
  <w:style w:type="paragraph" w:customStyle="1" w:styleId="subsection">
    <w:name w:val="subsection"/>
    <w:aliases w:val="ss"/>
    <w:basedOn w:val="OPCParaBase"/>
    <w:link w:val="subsectionChar"/>
    <w:rsid w:val="00056894"/>
    <w:pPr>
      <w:tabs>
        <w:tab w:val="right" w:pos="1021"/>
      </w:tabs>
      <w:spacing w:before="180" w:line="240" w:lineRule="auto"/>
      <w:ind w:left="1134" w:hanging="1134"/>
    </w:pPr>
  </w:style>
  <w:style w:type="paragraph" w:customStyle="1" w:styleId="Definition">
    <w:name w:val="Definition"/>
    <w:aliases w:val="dd"/>
    <w:basedOn w:val="OPCParaBase"/>
    <w:rsid w:val="00056894"/>
    <w:pPr>
      <w:spacing w:before="180" w:line="240" w:lineRule="auto"/>
      <w:ind w:left="1134"/>
    </w:pPr>
  </w:style>
  <w:style w:type="paragraph" w:customStyle="1" w:styleId="ETAsubitem">
    <w:name w:val="ETA(subitem)"/>
    <w:basedOn w:val="OPCParaBase"/>
    <w:rsid w:val="00056894"/>
    <w:pPr>
      <w:tabs>
        <w:tab w:val="right" w:pos="340"/>
      </w:tabs>
      <w:spacing w:before="60" w:line="240" w:lineRule="auto"/>
      <w:ind w:left="454" w:hanging="454"/>
    </w:pPr>
    <w:rPr>
      <w:sz w:val="20"/>
    </w:rPr>
  </w:style>
  <w:style w:type="paragraph" w:customStyle="1" w:styleId="ETApara">
    <w:name w:val="ETA(para)"/>
    <w:basedOn w:val="OPCParaBase"/>
    <w:rsid w:val="00056894"/>
    <w:pPr>
      <w:tabs>
        <w:tab w:val="right" w:pos="754"/>
      </w:tabs>
      <w:spacing w:before="60" w:line="240" w:lineRule="auto"/>
      <w:ind w:left="828" w:hanging="828"/>
    </w:pPr>
    <w:rPr>
      <w:sz w:val="20"/>
    </w:rPr>
  </w:style>
  <w:style w:type="paragraph" w:customStyle="1" w:styleId="ETAsubpara">
    <w:name w:val="ETA(subpara)"/>
    <w:basedOn w:val="OPCParaBase"/>
    <w:rsid w:val="00056894"/>
    <w:pPr>
      <w:tabs>
        <w:tab w:val="right" w:pos="1083"/>
      </w:tabs>
      <w:spacing w:before="60" w:line="240" w:lineRule="auto"/>
      <w:ind w:left="1191" w:hanging="1191"/>
    </w:pPr>
    <w:rPr>
      <w:sz w:val="20"/>
    </w:rPr>
  </w:style>
  <w:style w:type="paragraph" w:customStyle="1" w:styleId="ETAsub-subpara">
    <w:name w:val="ETA(sub-subpara)"/>
    <w:basedOn w:val="OPCParaBase"/>
    <w:rsid w:val="00056894"/>
    <w:pPr>
      <w:tabs>
        <w:tab w:val="right" w:pos="1412"/>
      </w:tabs>
      <w:spacing w:before="60" w:line="240" w:lineRule="auto"/>
      <w:ind w:left="1525" w:hanging="1525"/>
    </w:pPr>
    <w:rPr>
      <w:sz w:val="20"/>
    </w:rPr>
  </w:style>
  <w:style w:type="paragraph" w:customStyle="1" w:styleId="Formula">
    <w:name w:val="Formula"/>
    <w:basedOn w:val="OPCParaBase"/>
    <w:rsid w:val="00056894"/>
    <w:pPr>
      <w:spacing w:line="240" w:lineRule="auto"/>
      <w:ind w:left="1134"/>
    </w:pPr>
    <w:rPr>
      <w:sz w:val="20"/>
    </w:rPr>
  </w:style>
  <w:style w:type="paragraph" w:styleId="Header">
    <w:name w:val="header"/>
    <w:basedOn w:val="OPCParaBase"/>
    <w:link w:val="HeaderChar"/>
    <w:unhideWhenUsed/>
    <w:rsid w:val="000568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6894"/>
    <w:rPr>
      <w:rFonts w:eastAsia="Times New Roman" w:cs="Times New Roman"/>
      <w:sz w:val="16"/>
      <w:lang w:eastAsia="en-AU"/>
    </w:rPr>
  </w:style>
  <w:style w:type="paragraph" w:customStyle="1" w:styleId="House">
    <w:name w:val="House"/>
    <w:basedOn w:val="OPCParaBase"/>
    <w:rsid w:val="00056894"/>
    <w:pPr>
      <w:spacing w:line="240" w:lineRule="auto"/>
    </w:pPr>
    <w:rPr>
      <w:sz w:val="28"/>
    </w:rPr>
  </w:style>
  <w:style w:type="paragraph" w:customStyle="1" w:styleId="Item">
    <w:name w:val="Item"/>
    <w:aliases w:val="i"/>
    <w:basedOn w:val="OPCParaBase"/>
    <w:next w:val="ItemHead"/>
    <w:rsid w:val="00056894"/>
    <w:pPr>
      <w:keepLines/>
      <w:spacing w:before="80" w:line="240" w:lineRule="auto"/>
      <w:ind w:left="709"/>
    </w:pPr>
  </w:style>
  <w:style w:type="paragraph" w:customStyle="1" w:styleId="ItemHead">
    <w:name w:val="ItemHead"/>
    <w:aliases w:val="ih"/>
    <w:basedOn w:val="OPCParaBase"/>
    <w:next w:val="Item"/>
    <w:link w:val="ItemHeadChar"/>
    <w:rsid w:val="000568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56894"/>
    <w:pPr>
      <w:spacing w:line="240" w:lineRule="auto"/>
    </w:pPr>
    <w:rPr>
      <w:b/>
      <w:sz w:val="32"/>
    </w:rPr>
  </w:style>
  <w:style w:type="paragraph" w:customStyle="1" w:styleId="notedraft">
    <w:name w:val="note(draft)"/>
    <w:aliases w:val="nd"/>
    <w:basedOn w:val="OPCParaBase"/>
    <w:rsid w:val="00056894"/>
    <w:pPr>
      <w:spacing w:before="240" w:line="240" w:lineRule="auto"/>
      <w:ind w:left="284" w:hanging="284"/>
    </w:pPr>
    <w:rPr>
      <w:i/>
      <w:sz w:val="24"/>
    </w:rPr>
  </w:style>
  <w:style w:type="paragraph" w:customStyle="1" w:styleId="notemargin">
    <w:name w:val="note(margin)"/>
    <w:aliases w:val="nm"/>
    <w:basedOn w:val="OPCParaBase"/>
    <w:rsid w:val="00056894"/>
    <w:pPr>
      <w:tabs>
        <w:tab w:val="left" w:pos="709"/>
      </w:tabs>
      <w:spacing w:before="122" w:line="198" w:lineRule="exact"/>
      <w:ind w:left="709" w:hanging="709"/>
    </w:pPr>
    <w:rPr>
      <w:sz w:val="18"/>
    </w:rPr>
  </w:style>
  <w:style w:type="paragraph" w:customStyle="1" w:styleId="noteToPara">
    <w:name w:val="noteToPara"/>
    <w:aliases w:val="ntp"/>
    <w:basedOn w:val="OPCParaBase"/>
    <w:rsid w:val="00056894"/>
    <w:pPr>
      <w:spacing w:before="122" w:line="198" w:lineRule="exact"/>
      <w:ind w:left="2353" w:hanging="709"/>
    </w:pPr>
    <w:rPr>
      <w:sz w:val="18"/>
    </w:rPr>
  </w:style>
  <w:style w:type="paragraph" w:customStyle="1" w:styleId="noteParlAmend">
    <w:name w:val="note(ParlAmend)"/>
    <w:aliases w:val="npp"/>
    <w:basedOn w:val="OPCParaBase"/>
    <w:next w:val="ParlAmend"/>
    <w:rsid w:val="00056894"/>
    <w:pPr>
      <w:spacing w:line="240" w:lineRule="auto"/>
      <w:jc w:val="right"/>
    </w:pPr>
    <w:rPr>
      <w:rFonts w:ascii="Arial" w:hAnsi="Arial"/>
      <w:b/>
      <w:i/>
    </w:rPr>
  </w:style>
  <w:style w:type="paragraph" w:customStyle="1" w:styleId="Page1">
    <w:name w:val="Page1"/>
    <w:basedOn w:val="OPCParaBase"/>
    <w:rsid w:val="00056894"/>
    <w:pPr>
      <w:spacing w:before="5600" w:line="240" w:lineRule="auto"/>
    </w:pPr>
    <w:rPr>
      <w:b/>
      <w:sz w:val="32"/>
    </w:rPr>
  </w:style>
  <w:style w:type="paragraph" w:customStyle="1" w:styleId="PageBreak">
    <w:name w:val="PageBreak"/>
    <w:aliases w:val="pb"/>
    <w:basedOn w:val="OPCParaBase"/>
    <w:rsid w:val="00056894"/>
    <w:pPr>
      <w:spacing w:line="240" w:lineRule="auto"/>
    </w:pPr>
    <w:rPr>
      <w:sz w:val="20"/>
    </w:rPr>
  </w:style>
  <w:style w:type="paragraph" w:customStyle="1" w:styleId="paragraphsub">
    <w:name w:val="paragraph(sub)"/>
    <w:aliases w:val="aa"/>
    <w:basedOn w:val="OPCParaBase"/>
    <w:rsid w:val="00056894"/>
    <w:pPr>
      <w:tabs>
        <w:tab w:val="right" w:pos="1985"/>
      </w:tabs>
      <w:spacing w:before="40" w:line="240" w:lineRule="auto"/>
      <w:ind w:left="2098" w:hanging="2098"/>
    </w:pPr>
  </w:style>
  <w:style w:type="paragraph" w:customStyle="1" w:styleId="paragraphsub-sub">
    <w:name w:val="paragraph(sub-sub)"/>
    <w:aliases w:val="aaa"/>
    <w:basedOn w:val="OPCParaBase"/>
    <w:rsid w:val="00056894"/>
    <w:pPr>
      <w:tabs>
        <w:tab w:val="right" w:pos="2722"/>
      </w:tabs>
      <w:spacing w:before="40" w:line="240" w:lineRule="auto"/>
      <w:ind w:left="2835" w:hanging="2835"/>
    </w:pPr>
  </w:style>
  <w:style w:type="paragraph" w:customStyle="1" w:styleId="paragraph">
    <w:name w:val="paragraph"/>
    <w:aliases w:val="a"/>
    <w:basedOn w:val="OPCParaBase"/>
    <w:rsid w:val="00056894"/>
    <w:pPr>
      <w:tabs>
        <w:tab w:val="right" w:pos="1531"/>
      </w:tabs>
      <w:spacing w:before="40" w:line="240" w:lineRule="auto"/>
      <w:ind w:left="1644" w:hanging="1644"/>
    </w:pPr>
  </w:style>
  <w:style w:type="paragraph" w:customStyle="1" w:styleId="ParlAmend">
    <w:name w:val="ParlAmend"/>
    <w:aliases w:val="pp"/>
    <w:basedOn w:val="OPCParaBase"/>
    <w:rsid w:val="00056894"/>
    <w:pPr>
      <w:spacing w:before="240" w:line="240" w:lineRule="atLeast"/>
      <w:ind w:hanging="567"/>
    </w:pPr>
    <w:rPr>
      <w:sz w:val="24"/>
    </w:rPr>
  </w:style>
  <w:style w:type="paragraph" w:customStyle="1" w:styleId="Penalty">
    <w:name w:val="Penalty"/>
    <w:basedOn w:val="OPCParaBase"/>
    <w:rsid w:val="00056894"/>
    <w:pPr>
      <w:tabs>
        <w:tab w:val="left" w:pos="2977"/>
      </w:tabs>
      <w:spacing w:before="180" w:line="240" w:lineRule="auto"/>
      <w:ind w:left="1985" w:hanging="851"/>
    </w:pPr>
  </w:style>
  <w:style w:type="paragraph" w:customStyle="1" w:styleId="Portfolio">
    <w:name w:val="Portfolio"/>
    <w:basedOn w:val="OPCParaBase"/>
    <w:rsid w:val="00056894"/>
    <w:pPr>
      <w:spacing w:line="240" w:lineRule="auto"/>
    </w:pPr>
    <w:rPr>
      <w:i/>
      <w:sz w:val="20"/>
    </w:rPr>
  </w:style>
  <w:style w:type="paragraph" w:customStyle="1" w:styleId="Preamble">
    <w:name w:val="Preamble"/>
    <w:basedOn w:val="OPCParaBase"/>
    <w:next w:val="Normal"/>
    <w:rsid w:val="000568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6894"/>
    <w:pPr>
      <w:spacing w:line="240" w:lineRule="auto"/>
    </w:pPr>
    <w:rPr>
      <w:i/>
      <w:sz w:val="20"/>
    </w:rPr>
  </w:style>
  <w:style w:type="paragraph" w:customStyle="1" w:styleId="Session">
    <w:name w:val="Session"/>
    <w:basedOn w:val="OPCParaBase"/>
    <w:rsid w:val="00056894"/>
    <w:pPr>
      <w:spacing w:line="240" w:lineRule="auto"/>
    </w:pPr>
    <w:rPr>
      <w:sz w:val="28"/>
    </w:rPr>
  </w:style>
  <w:style w:type="paragraph" w:customStyle="1" w:styleId="Sponsor">
    <w:name w:val="Sponsor"/>
    <w:basedOn w:val="OPCParaBase"/>
    <w:rsid w:val="00056894"/>
    <w:pPr>
      <w:spacing w:line="240" w:lineRule="auto"/>
    </w:pPr>
    <w:rPr>
      <w:i/>
    </w:rPr>
  </w:style>
  <w:style w:type="paragraph" w:customStyle="1" w:styleId="Subitem">
    <w:name w:val="Subitem"/>
    <w:aliases w:val="iss"/>
    <w:basedOn w:val="OPCParaBase"/>
    <w:rsid w:val="00056894"/>
    <w:pPr>
      <w:spacing w:before="180" w:line="240" w:lineRule="auto"/>
      <w:ind w:left="709" w:hanging="709"/>
    </w:pPr>
  </w:style>
  <w:style w:type="paragraph" w:customStyle="1" w:styleId="SubitemHead">
    <w:name w:val="SubitemHead"/>
    <w:aliases w:val="issh"/>
    <w:basedOn w:val="OPCParaBase"/>
    <w:rsid w:val="000568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6894"/>
    <w:pPr>
      <w:spacing w:before="40" w:line="240" w:lineRule="auto"/>
      <w:ind w:left="1134"/>
    </w:pPr>
  </w:style>
  <w:style w:type="paragraph" w:customStyle="1" w:styleId="SubsectionHead">
    <w:name w:val="SubsectionHead"/>
    <w:aliases w:val="ssh"/>
    <w:basedOn w:val="OPCParaBase"/>
    <w:next w:val="subsection"/>
    <w:rsid w:val="00056894"/>
    <w:pPr>
      <w:keepNext/>
      <w:keepLines/>
      <w:spacing w:before="240" w:line="240" w:lineRule="auto"/>
      <w:ind w:left="1134"/>
    </w:pPr>
    <w:rPr>
      <w:i/>
    </w:rPr>
  </w:style>
  <w:style w:type="paragraph" w:customStyle="1" w:styleId="Tablea">
    <w:name w:val="Table(a)"/>
    <w:aliases w:val="ta"/>
    <w:basedOn w:val="OPCParaBase"/>
    <w:rsid w:val="00056894"/>
    <w:pPr>
      <w:spacing w:before="60" w:line="240" w:lineRule="auto"/>
      <w:ind w:left="284" w:hanging="284"/>
    </w:pPr>
    <w:rPr>
      <w:sz w:val="20"/>
    </w:rPr>
  </w:style>
  <w:style w:type="paragraph" w:customStyle="1" w:styleId="TableAA">
    <w:name w:val="Table(AA)"/>
    <w:aliases w:val="taaa"/>
    <w:basedOn w:val="OPCParaBase"/>
    <w:rsid w:val="000568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68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6894"/>
    <w:pPr>
      <w:spacing w:before="60" w:line="240" w:lineRule="atLeast"/>
    </w:pPr>
    <w:rPr>
      <w:sz w:val="20"/>
    </w:rPr>
  </w:style>
  <w:style w:type="paragraph" w:customStyle="1" w:styleId="TLPBoxTextnote">
    <w:name w:val="TLPBoxText(note"/>
    <w:aliases w:val="right)"/>
    <w:basedOn w:val="OPCParaBase"/>
    <w:rsid w:val="000568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68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6894"/>
    <w:pPr>
      <w:spacing w:before="122" w:line="198" w:lineRule="exact"/>
      <w:ind w:left="1985" w:hanging="851"/>
      <w:jc w:val="right"/>
    </w:pPr>
    <w:rPr>
      <w:sz w:val="18"/>
    </w:rPr>
  </w:style>
  <w:style w:type="paragraph" w:customStyle="1" w:styleId="TLPTableBullet">
    <w:name w:val="TLPTableBullet"/>
    <w:aliases w:val="ttb"/>
    <w:basedOn w:val="OPCParaBase"/>
    <w:rsid w:val="00056894"/>
    <w:pPr>
      <w:spacing w:line="240" w:lineRule="exact"/>
      <w:ind w:left="284" w:hanging="284"/>
    </w:pPr>
    <w:rPr>
      <w:sz w:val="20"/>
    </w:rPr>
  </w:style>
  <w:style w:type="paragraph" w:styleId="TOC1">
    <w:name w:val="toc 1"/>
    <w:basedOn w:val="OPCParaBase"/>
    <w:next w:val="Normal"/>
    <w:uiPriority w:val="39"/>
    <w:semiHidden/>
    <w:unhideWhenUsed/>
    <w:rsid w:val="000568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568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568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568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68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568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568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68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568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6894"/>
    <w:pPr>
      <w:keepLines/>
      <w:spacing w:before="240" w:after="120" w:line="240" w:lineRule="auto"/>
      <w:ind w:left="794"/>
    </w:pPr>
    <w:rPr>
      <w:b/>
      <w:kern w:val="28"/>
      <w:sz w:val="20"/>
    </w:rPr>
  </w:style>
  <w:style w:type="paragraph" w:customStyle="1" w:styleId="TofSectsHeading">
    <w:name w:val="TofSects(Heading)"/>
    <w:basedOn w:val="OPCParaBase"/>
    <w:rsid w:val="00056894"/>
    <w:pPr>
      <w:spacing w:before="240" w:after="120" w:line="240" w:lineRule="auto"/>
    </w:pPr>
    <w:rPr>
      <w:b/>
      <w:sz w:val="24"/>
    </w:rPr>
  </w:style>
  <w:style w:type="paragraph" w:customStyle="1" w:styleId="TofSectsSection">
    <w:name w:val="TofSects(Section)"/>
    <w:basedOn w:val="OPCParaBase"/>
    <w:rsid w:val="00056894"/>
    <w:pPr>
      <w:keepLines/>
      <w:spacing w:before="40" w:line="240" w:lineRule="auto"/>
      <w:ind w:left="1588" w:hanging="794"/>
    </w:pPr>
    <w:rPr>
      <w:kern w:val="28"/>
      <w:sz w:val="18"/>
    </w:rPr>
  </w:style>
  <w:style w:type="paragraph" w:customStyle="1" w:styleId="TofSectsSubdiv">
    <w:name w:val="TofSects(Subdiv)"/>
    <w:basedOn w:val="OPCParaBase"/>
    <w:rsid w:val="00056894"/>
    <w:pPr>
      <w:keepLines/>
      <w:spacing w:before="80" w:line="240" w:lineRule="auto"/>
      <w:ind w:left="1588" w:hanging="794"/>
    </w:pPr>
    <w:rPr>
      <w:kern w:val="28"/>
    </w:rPr>
  </w:style>
  <w:style w:type="paragraph" w:customStyle="1" w:styleId="WRStyle">
    <w:name w:val="WR Style"/>
    <w:aliases w:val="WR"/>
    <w:basedOn w:val="OPCParaBase"/>
    <w:rsid w:val="00056894"/>
    <w:pPr>
      <w:spacing w:before="240" w:line="240" w:lineRule="auto"/>
      <w:ind w:left="284" w:hanging="284"/>
    </w:pPr>
    <w:rPr>
      <w:b/>
      <w:i/>
      <w:kern w:val="28"/>
      <w:sz w:val="24"/>
    </w:rPr>
  </w:style>
  <w:style w:type="paragraph" w:customStyle="1" w:styleId="notepara">
    <w:name w:val="note(para)"/>
    <w:aliases w:val="na"/>
    <w:basedOn w:val="OPCParaBase"/>
    <w:rsid w:val="00056894"/>
    <w:pPr>
      <w:spacing w:before="40" w:line="198" w:lineRule="exact"/>
      <w:ind w:left="2354" w:hanging="369"/>
    </w:pPr>
    <w:rPr>
      <w:sz w:val="18"/>
    </w:rPr>
  </w:style>
  <w:style w:type="paragraph" w:styleId="Footer">
    <w:name w:val="footer"/>
    <w:link w:val="FooterChar"/>
    <w:rsid w:val="000568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6894"/>
    <w:rPr>
      <w:rFonts w:eastAsia="Times New Roman" w:cs="Times New Roman"/>
      <w:sz w:val="22"/>
      <w:szCs w:val="24"/>
      <w:lang w:eastAsia="en-AU"/>
    </w:rPr>
  </w:style>
  <w:style w:type="character" w:styleId="LineNumber">
    <w:name w:val="line number"/>
    <w:basedOn w:val="OPCCharBase"/>
    <w:uiPriority w:val="99"/>
    <w:semiHidden/>
    <w:unhideWhenUsed/>
    <w:rsid w:val="00056894"/>
    <w:rPr>
      <w:sz w:val="16"/>
    </w:rPr>
  </w:style>
  <w:style w:type="table" w:customStyle="1" w:styleId="CFlag">
    <w:name w:val="CFlag"/>
    <w:basedOn w:val="TableNormal"/>
    <w:uiPriority w:val="99"/>
    <w:rsid w:val="0005689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8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94"/>
    <w:rPr>
      <w:rFonts w:ascii="Tahoma" w:hAnsi="Tahoma" w:cs="Tahoma"/>
      <w:sz w:val="16"/>
      <w:szCs w:val="16"/>
    </w:rPr>
  </w:style>
  <w:style w:type="character" w:styleId="Hyperlink">
    <w:name w:val="Hyperlink"/>
    <w:basedOn w:val="DefaultParagraphFont"/>
    <w:rsid w:val="00056894"/>
    <w:rPr>
      <w:color w:val="0000FF"/>
      <w:u w:val="single"/>
    </w:rPr>
  </w:style>
  <w:style w:type="table" w:styleId="TableGrid">
    <w:name w:val="Table Grid"/>
    <w:basedOn w:val="TableNormal"/>
    <w:uiPriority w:val="59"/>
    <w:rsid w:val="00056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056894"/>
    <w:rPr>
      <w:b/>
      <w:sz w:val="28"/>
      <w:szCs w:val="32"/>
    </w:rPr>
  </w:style>
  <w:style w:type="paragraph" w:customStyle="1" w:styleId="TerritoryT">
    <w:name w:val="TerritoryT"/>
    <w:basedOn w:val="OPCParaBase"/>
    <w:next w:val="Normal"/>
    <w:rsid w:val="00056894"/>
    <w:rPr>
      <w:b/>
      <w:sz w:val="32"/>
    </w:rPr>
  </w:style>
  <w:style w:type="paragraph" w:customStyle="1" w:styleId="LegislationMadeUnder">
    <w:name w:val="LegislationMadeUnder"/>
    <w:basedOn w:val="OPCParaBase"/>
    <w:next w:val="Normal"/>
    <w:rsid w:val="00056894"/>
    <w:rPr>
      <w:i/>
      <w:sz w:val="32"/>
      <w:szCs w:val="32"/>
    </w:rPr>
  </w:style>
  <w:style w:type="paragraph" w:customStyle="1" w:styleId="SignCoverPageEnd">
    <w:name w:val="SignCoverPageEnd"/>
    <w:basedOn w:val="OPCParaBase"/>
    <w:next w:val="Normal"/>
    <w:rsid w:val="0005689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6894"/>
    <w:pPr>
      <w:pBdr>
        <w:top w:val="single" w:sz="4" w:space="1" w:color="auto"/>
      </w:pBdr>
      <w:spacing w:before="360"/>
      <w:ind w:right="397"/>
      <w:jc w:val="both"/>
    </w:pPr>
  </w:style>
  <w:style w:type="paragraph" w:customStyle="1" w:styleId="NotesHeading1">
    <w:name w:val="NotesHeading 1"/>
    <w:basedOn w:val="OPCParaBase"/>
    <w:next w:val="Normal"/>
    <w:rsid w:val="00056894"/>
    <w:rPr>
      <w:b/>
      <w:sz w:val="28"/>
      <w:szCs w:val="28"/>
    </w:rPr>
  </w:style>
  <w:style w:type="paragraph" w:customStyle="1" w:styleId="NotesHeading2">
    <w:name w:val="NotesHeading 2"/>
    <w:basedOn w:val="OPCParaBase"/>
    <w:next w:val="Normal"/>
    <w:rsid w:val="00056894"/>
    <w:rPr>
      <w:b/>
      <w:sz w:val="28"/>
      <w:szCs w:val="28"/>
    </w:rPr>
  </w:style>
  <w:style w:type="paragraph" w:customStyle="1" w:styleId="ENotesText">
    <w:name w:val="ENotesText"/>
    <w:basedOn w:val="OPCParaBase"/>
    <w:next w:val="Normal"/>
    <w:rsid w:val="00056894"/>
  </w:style>
  <w:style w:type="paragraph" w:customStyle="1" w:styleId="CompiledActNo">
    <w:name w:val="CompiledActNo"/>
    <w:basedOn w:val="OPCParaBase"/>
    <w:next w:val="Normal"/>
    <w:rsid w:val="00056894"/>
    <w:rPr>
      <w:b/>
      <w:sz w:val="24"/>
      <w:szCs w:val="24"/>
    </w:rPr>
  </w:style>
  <w:style w:type="paragraph" w:customStyle="1" w:styleId="CompiledMadeUnder">
    <w:name w:val="CompiledMadeUnder"/>
    <w:basedOn w:val="OPCParaBase"/>
    <w:next w:val="Normal"/>
    <w:rsid w:val="00056894"/>
    <w:rPr>
      <w:i/>
      <w:sz w:val="24"/>
      <w:szCs w:val="24"/>
    </w:rPr>
  </w:style>
  <w:style w:type="paragraph" w:customStyle="1" w:styleId="Paragraphsub-sub-sub">
    <w:name w:val="Paragraph(sub-sub-sub)"/>
    <w:aliases w:val="aaaa"/>
    <w:basedOn w:val="OPCParaBase"/>
    <w:rsid w:val="00056894"/>
    <w:pPr>
      <w:tabs>
        <w:tab w:val="right" w:pos="3402"/>
      </w:tabs>
      <w:spacing w:before="40" w:line="240" w:lineRule="auto"/>
      <w:ind w:left="3402" w:hanging="3402"/>
    </w:pPr>
  </w:style>
  <w:style w:type="paragraph" w:customStyle="1" w:styleId="NoteToSubpara">
    <w:name w:val="NoteToSubpara"/>
    <w:aliases w:val="nts"/>
    <w:basedOn w:val="OPCParaBase"/>
    <w:rsid w:val="00056894"/>
    <w:pPr>
      <w:spacing w:before="40" w:line="198" w:lineRule="exact"/>
      <w:ind w:left="2835" w:hanging="709"/>
    </w:pPr>
    <w:rPr>
      <w:sz w:val="18"/>
    </w:rPr>
  </w:style>
  <w:style w:type="paragraph" w:customStyle="1" w:styleId="EndNotespara">
    <w:name w:val="EndNotes(para)"/>
    <w:aliases w:val="eta"/>
    <w:basedOn w:val="OPCParaBase"/>
    <w:next w:val="Normal"/>
    <w:rsid w:val="000568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68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568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689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056894"/>
    <w:pPr>
      <w:keepNext/>
      <w:spacing w:before="60" w:line="240" w:lineRule="atLeast"/>
    </w:pPr>
    <w:rPr>
      <w:rFonts w:ascii="Arial" w:hAnsi="Arial"/>
      <w:b/>
      <w:sz w:val="16"/>
    </w:rPr>
  </w:style>
  <w:style w:type="paragraph" w:customStyle="1" w:styleId="ENoteTTi">
    <w:name w:val="ENoteTTi"/>
    <w:aliases w:val="entti"/>
    <w:basedOn w:val="OPCParaBase"/>
    <w:rsid w:val="00056894"/>
    <w:pPr>
      <w:keepNext/>
      <w:spacing w:before="60" w:line="240" w:lineRule="atLeast"/>
      <w:ind w:left="170"/>
    </w:pPr>
    <w:rPr>
      <w:sz w:val="16"/>
    </w:rPr>
  </w:style>
  <w:style w:type="paragraph" w:customStyle="1" w:styleId="ENotesHeading1">
    <w:name w:val="ENotesHeading 1"/>
    <w:aliases w:val="Enh1"/>
    <w:basedOn w:val="OPCParaBase"/>
    <w:next w:val="Normal"/>
    <w:rsid w:val="00056894"/>
    <w:pPr>
      <w:spacing w:before="120"/>
      <w:outlineLvl w:val="1"/>
    </w:pPr>
    <w:rPr>
      <w:b/>
      <w:sz w:val="28"/>
      <w:szCs w:val="28"/>
    </w:rPr>
  </w:style>
  <w:style w:type="paragraph" w:customStyle="1" w:styleId="ENotesHeading2">
    <w:name w:val="ENotesHeading 2"/>
    <w:aliases w:val="Enh2"/>
    <w:basedOn w:val="OPCParaBase"/>
    <w:next w:val="Normal"/>
    <w:rsid w:val="00056894"/>
    <w:pPr>
      <w:spacing w:before="120" w:after="120"/>
      <w:outlineLvl w:val="2"/>
    </w:pPr>
    <w:rPr>
      <w:b/>
      <w:sz w:val="24"/>
      <w:szCs w:val="28"/>
    </w:rPr>
  </w:style>
  <w:style w:type="paragraph" w:customStyle="1" w:styleId="ENoteTTIndentHeading">
    <w:name w:val="ENoteTTIndentHeading"/>
    <w:aliases w:val="enTTHi"/>
    <w:basedOn w:val="OPCParaBase"/>
    <w:rsid w:val="000568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56894"/>
    <w:pPr>
      <w:spacing w:before="60" w:line="240" w:lineRule="atLeast"/>
    </w:pPr>
    <w:rPr>
      <w:sz w:val="16"/>
    </w:rPr>
  </w:style>
  <w:style w:type="paragraph" w:customStyle="1" w:styleId="MadeunderText">
    <w:name w:val="MadeunderText"/>
    <w:basedOn w:val="OPCParaBase"/>
    <w:next w:val="CompiledMadeUnder"/>
    <w:rsid w:val="00056894"/>
    <w:pPr>
      <w:spacing w:before="240"/>
    </w:pPr>
    <w:rPr>
      <w:sz w:val="24"/>
      <w:szCs w:val="24"/>
    </w:rPr>
  </w:style>
  <w:style w:type="paragraph" w:customStyle="1" w:styleId="ENotesHeading3">
    <w:name w:val="ENotesHeading 3"/>
    <w:aliases w:val="Enh3"/>
    <w:basedOn w:val="OPCParaBase"/>
    <w:next w:val="Normal"/>
    <w:rsid w:val="00056894"/>
    <w:pPr>
      <w:keepNext/>
      <w:spacing w:before="120" w:line="240" w:lineRule="auto"/>
      <w:outlineLvl w:val="4"/>
    </w:pPr>
    <w:rPr>
      <w:b/>
      <w:szCs w:val="24"/>
    </w:rPr>
  </w:style>
  <w:style w:type="character" w:customStyle="1" w:styleId="CharSubPartTextCASA">
    <w:name w:val="CharSubPartText(CASA)"/>
    <w:basedOn w:val="OPCCharBase"/>
    <w:uiPriority w:val="1"/>
    <w:rsid w:val="00056894"/>
  </w:style>
  <w:style w:type="character" w:customStyle="1" w:styleId="CharSubPartNoCASA">
    <w:name w:val="CharSubPartNo(CASA)"/>
    <w:basedOn w:val="OPCCharBase"/>
    <w:uiPriority w:val="1"/>
    <w:rsid w:val="00056894"/>
  </w:style>
  <w:style w:type="paragraph" w:customStyle="1" w:styleId="ENoteTTIndentHeadingSub">
    <w:name w:val="ENoteTTIndentHeadingSub"/>
    <w:aliases w:val="enTTHis"/>
    <w:basedOn w:val="OPCParaBase"/>
    <w:rsid w:val="00056894"/>
    <w:pPr>
      <w:keepNext/>
      <w:spacing w:before="60" w:line="240" w:lineRule="atLeast"/>
      <w:ind w:left="340"/>
    </w:pPr>
    <w:rPr>
      <w:b/>
      <w:sz w:val="16"/>
    </w:rPr>
  </w:style>
  <w:style w:type="paragraph" w:customStyle="1" w:styleId="ENoteTTiSub">
    <w:name w:val="ENoteTTiSub"/>
    <w:aliases w:val="enttis"/>
    <w:basedOn w:val="OPCParaBase"/>
    <w:rsid w:val="00056894"/>
    <w:pPr>
      <w:keepNext/>
      <w:spacing w:before="60" w:line="240" w:lineRule="atLeast"/>
      <w:ind w:left="340"/>
    </w:pPr>
    <w:rPr>
      <w:sz w:val="16"/>
    </w:rPr>
  </w:style>
  <w:style w:type="paragraph" w:customStyle="1" w:styleId="SubDivisionMigration">
    <w:name w:val="SubDivisionMigration"/>
    <w:aliases w:val="sdm"/>
    <w:basedOn w:val="OPCParaBase"/>
    <w:rsid w:val="000568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6894"/>
    <w:pPr>
      <w:keepNext/>
      <w:keepLines/>
      <w:spacing w:before="240" w:line="240" w:lineRule="auto"/>
      <w:ind w:left="1134" w:hanging="1134"/>
    </w:pPr>
    <w:rPr>
      <w:b/>
      <w:sz w:val="28"/>
    </w:rPr>
  </w:style>
  <w:style w:type="paragraph" w:customStyle="1" w:styleId="notetext">
    <w:name w:val="note(text)"/>
    <w:aliases w:val="n"/>
    <w:basedOn w:val="OPCParaBase"/>
    <w:rsid w:val="0005689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0568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6894"/>
    <w:rPr>
      <w:sz w:val="22"/>
    </w:rPr>
  </w:style>
  <w:style w:type="paragraph" w:customStyle="1" w:styleId="SOTextNote">
    <w:name w:val="SO TextNote"/>
    <w:aliases w:val="sont"/>
    <w:basedOn w:val="SOText"/>
    <w:qFormat/>
    <w:rsid w:val="00056894"/>
    <w:pPr>
      <w:spacing w:before="122" w:line="198" w:lineRule="exact"/>
      <w:ind w:left="1843" w:hanging="709"/>
    </w:pPr>
    <w:rPr>
      <w:sz w:val="18"/>
    </w:rPr>
  </w:style>
  <w:style w:type="paragraph" w:customStyle="1" w:styleId="SOPara">
    <w:name w:val="SO Para"/>
    <w:aliases w:val="soa"/>
    <w:basedOn w:val="SOText"/>
    <w:link w:val="SOParaChar"/>
    <w:qFormat/>
    <w:rsid w:val="00056894"/>
    <w:pPr>
      <w:tabs>
        <w:tab w:val="right" w:pos="1786"/>
      </w:tabs>
      <w:spacing w:before="40"/>
      <w:ind w:left="2070" w:hanging="936"/>
    </w:pPr>
  </w:style>
  <w:style w:type="character" w:customStyle="1" w:styleId="SOParaChar">
    <w:name w:val="SO Para Char"/>
    <w:aliases w:val="soa Char"/>
    <w:basedOn w:val="DefaultParagraphFont"/>
    <w:link w:val="SOPara"/>
    <w:rsid w:val="00056894"/>
    <w:rPr>
      <w:sz w:val="22"/>
    </w:rPr>
  </w:style>
  <w:style w:type="paragraph" w:customStyle="1" w:styleId="FileName">
    <w:name w:val="FileName"/>
    <w:basedOn w:val="Normal"/>
    <w:rsid w:val="00056894"/>
  </w:style>
  <w:style w:type="paragraph" w:customStyle="1" w:styleId="TableHeading">
    <w:name w:val="TableHeading"/>
    <w:aliases w:val="th"/>
    <w:basedOn w:val="OPCParaBase"/>
    <w:next w:val="Tabletext"/>
    <w:rsid w:val="00056894"/>
    <w:pPr>
      <w:keepNext/>
      <w:spacing w:before="60" w:line="240" w:lineRule="atLeast"/>
    </w:pPr>
    <w:rPr>
      <w:b/>
      <w:sz w:val="20"/>
    </w:rPr>
  </w:style>
  <w:style w:type="paragraph" w:customStyle="1" w:styleId="SOHeadBold">
    <w:name w:val="SO HeadBold"/>
    <w:aliases w:val="sohb"/>
    <w:basedOn w:val="SOText"/>
    <w:next w:val="SOText"/>
    <w:link w:val="SOHeadBoldChar"/>
    <w:qFormat/>
    <w:rsid w:val="00056894"/>
    <w:rPr>
      <w:b/>
    </w:rPr>
  </w:style>
  <w:style w:type="character" w:customStyle="1" w:styleId="SOHeadBoldChar">
    <w:name w:val="SO HeadBold Char"/>
    <w:aliases w:val="sohb Char"/>
    <w:basedOn w:val="DefaultParagraphFont"/>
    <w:link w:val="SOHeadBold"/>
    <w:rsid w:val="00056894"/>
    <w:rPr>
      <w:b/>
      <w:sz w:val="22"/>
    </w:rPr>
  </w:style>
  <w:style w:type="paragraph" w:customStyle="1" w:styleId="SOHeadItalic">
    <w:name w:val="SO HeadItalic"/>
    <w:aliases w:val="sohi"/>
    <w:basedOn w:val="SOText"/>
    <w:next w:val="SOText"/>
    <w:link w:val="SOHeadItalicChar"/>
    <w:qFormat/>
    <w:rsid w:val="00056894"/>
    <w:rPr>
      <w:i/>
    </w:rPr>
  </w:style>
  <w:style w:type="character" w:customStyle="1" w:styleId="SOHeadItalicChar">
    <w:name w:val="SO HeadItalic Char"/>
    <w:aliases w:val="sohi Char"/>
    <w:basedOn w:val="DefaultParagraphFont"/>
    <w:link w:val="SOHeadItalic"/>
    <w:rsid w:val="00056894"/>
    <w:rPr>
      <w:i/>
      <w:sz w:val="22"/>
    </w:rPr>
  </w:style>
  <w:style w:type="paragraph" w:customStyle="1" w:styleId="SOBullet">
    <w:name w:val="SO Bullet"/>
    <w:aliases w:val="sotb"/>
    <w:basedOn w:val="SOText"/>
    <w:link w:val="SOBulletChar"/>
    <w:qFormat/>
    <w:rsid w:val="00056894"/>
    <w:pPr>
      <w:ind w:left="1559" w:hanging="425"/>
    </w:pPr>
  </w:style>
  <w:style w:type="character" w:customStyle="1" w:styleId="SOBulletChar">
    <w:name w:val="SO Bullet Char"/>
    <w:aliases w:val="sotb Char"/>
    <w:basedOn w:val="DefaultParagraphFont"/>
    <w:link w:val="SOBullet"/>
    <w:rsid w:val="00056894"/>
    <w:rPr>
      <w:sz w:val="22"/>
    </w:rPr>
  </w:style>
  <w:style w:type="paragraph" w:customStyle="1" w:styleId="SOBulletNote">
    <w:name w:val="SO BulletNote"/>
    <w:aliases w:val="sonb"/>
    <w:basedOn w:val="SOTextNote"/>
    <w:link w:val="SOBulletNoteChar"/>
    <w:qFormat/>
    <w:rsid w:val="00056894"/>
    <w:pPr>
      <w:tabs>
        <w:tab w:val="left" w:pos="1560"/>
      </w:tabs>
      <w:ind w:left="2268" w:hanging="1134"/>
    </w:pPr>
  </w:style>
  <w:style w:type="character" w:customStyle="1" w:styleId="SOBulletNoteChar">
    <w:name w:val="SO BulletNote Char"/>
    <w:aliases w:val="sonb Char"/>
    <w:basedOn w:val="DefaultParagraphFont"/>
    <w:link w:val="SOBulletNote"/>
    <w:rsid w:val="00056894"/>
    <w:rPr>
      <w:sz w:val="18"/>
    </w:rPr>
  </w:style>
  <w:style w:type="paragraph" w:customStyle="1" w:styleId="SOText2">
    <w:name w:val="SO Text2"/>
    <w:aliases w:val="sot2"/>
    <w:basedOn w:val="Normal"/>
    <w:next w:val="SOText"/>
    <w:link w:val="SOText2Char"/>
    <w:rsid w:val="000568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6894"/>
    <w:rPr>
      <w:sz w:val="22"/>
    </w:rPr>
  </w:style>
  <w:style w:type="paragraph" w:customStyle="1" w:styleId="SubPartCASA">
    <w:name w:val="SubPart(CASA)"/>
    <w:aliases w:val="csp"/>
    <w:basedOn w:val="OPCParaBase"/>
    <w:next w:val="ActHead3"/>
    <w:rsid w:val="0005689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2EF1"/>
    <w:rPr>
      <w:rFonts w:eastAsia="Times New Roman" w:cs="Times New Roman"/>
      <w:sz w:val="22"/>
      <w:lang w:eastAsia="en-AU"/>
    </w:rPr>
  </w:style>
  <w:style w:type="character" w:customStyle="1" w:styleId="ItemHeadChar">
    <w:name w:val="ItemHead Char"/>
    <w:aliases w:val="ih Char"/>
    <w:basedOn w:val="DefaultParagraphFont"/>
    <w:link w:val="ItemHead"/>
    <w:locked/>
    <w:rsid w:val="00BC2EF1"/>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A34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4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4A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34A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34A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34A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34A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34A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4A5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2104</Words>
  <Characters>10680</Characters>
  <Application>Microsoft Office Word</Application>
  <DocSecurity>0</DocSecurity>
  <PresentationFormat/>
  <Lines>352</Lines>
  <Paragraphs>205</Paragraphs>
  <ScaleCrop>false</ScaleCrop>
  <HeadingPairs>
    <vt:vector size="2" baseType="variant">
      <vt:variant>
        <vt:lpstr>Title</vt:lpstr>
      </vt:variant>
      <vt:variant>
        <vt:i4>1</vt:i4>
      </vt:variant>
    </vt:vector>
  </HeadingPairs>
  <TitlesOfParts>
    <vt:vector size="1" baseType="lpstr">
      <vt:lpstr>Health Insurance Legislation Amendment (Optometric Services and Other Measures) Regulation 2014</vt:lpstr>
    </vt:vector>
  </TitlesOfParts>
  <Manager/>
  <Company/>
  <LinksUpToDate>false</LinksUpToDate>
  <CharactersWithSpaces>12609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2014-11-11T03:55:00Z</cp:lastPrinted>
  <dcterms:created xsi:type="dcterms:W3CDTF">2014-12-08T05:07:00Z</dcterms:created>
  <dcterms:modified xsi:type="dcterms:W3CDTF">2014-12-08T05:07:00Z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195, 2014</vt:lpwstr>
  </property>
  <property fmtid="{D5CDD505-2E9C-101B-9397-08002B2CF9AE}" pid="3" name="ShortT">
    <vt:lpwstr>Health Insurance Legislation Amendment (Optometric Services and Other Measures)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11 December 2014</vt:lpwstr>
  </property>
  <property fmtid="{D5CDD505-2E9C-101B-9397-08002B2CF9AE}" pid="10" name="Authority">
    <vt:lpwstr/>
  </property>
  <property fmtid="{D5CDD505-2E9C-101B-9397-08002B2CF9AE}" pid="11" name="ID">
    <vt:lpwstr>OPC60868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11 December 2014</vt:lpwstr>
  </property>
</Properties>
</file>