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BD1" w:rsidRDefault="00F26F1B" w:rsidP="005B0D80">
      <w:pPr>
        <w:pStyle w:val="Heading1"/>
      </w:pPr>
      <w:r w:rsidRPr="005B0D80">
        <w:t>Explanatory Statement</w:t>
      </w:r>
    </w:p>
    <w:p w:rsidR="000E2609" w:rsidRDefault="000E2609" w:rsidP="00776B1D">
      <w:r>
        <w:t xml:space="preserve">Issued by the Authority of the </w:t>
      </w:r>
      <w:r w:rsidR="003F42CD">
        <w:t xml:space="preserve">Australian </w:t>
      </w:r>
      <w:bookmarkStart w:id="0" w:name="_GoBack"/>
      <w:bookmarkEnd w:id="0"/>
      <w:r w:rsidR="006C0142">
        <w:t xml:space="preserve">Privacy </w:t>
      </w:r>
      <w:r w:rsidR="002153A6">
        <w:t>Commissioner</w:t>
      </w:r>
    </w:p>
    <w:p w:rsidR="00157146" w:rsidRPr="009500FD" w:rsidRDefault="00480673" w:rsidP="00F720FF">
      <w:pPr>
        <w:rPr>
          <w:rFonts w:eastAsiaTheme="majorEastAsia" w:cstheme="majorBidi"/>
          <w:b/>
          <w:bCs/>
          <w:i/>
          <w:sz w:val="28"/>
          <w:szCs w:val="26"/>
        </w:rPr>
      </w:pPr>
      <w:r w:rsidRPr="009500FD">
        <w:rPr>
          <w:rFonts w:eastAsiaTheme="majorEastAsia" w:cstheme="majorBidi"/>
          <w:b/>
          <w:bCs/>
          <w:i/>
          <w:sz w:val="28"/>
          <w:szCs w:val="26"/>
        </w:rPr>
        <w:t xml:space="preserve">Privacy (Market and Social Research) Code 2014 </w:t>
      </w:r>
    </w:p>
    <w:p w:rsidR="003759EA" w:rsidRDefault="00F720FF" w:rsidP="005B0D80">
      <w:r>
        <w:t xml:space="preserve">This explanatory statement relates to the </w:t>
      </w:r>
      <w:r>
        <w:rPr>
          <w:i/>
        </w:rPr>
        <w:t xml:space="preserve">Privacy (Market and Social Research) Code 2014 </w:t>
      </w:r>
      <w:r w:rsidRPr="005A39CD">
        <w:t>(</w:t>
      </w:r>
      <w:r w:rsidR="00965A5D">
        <w:t xml:space="preserve">the </w:t>
      </w:r>
      <w:r w:rsidRPr="005A39CD">
        <w:t>AMSRO code)</w:t>
      </w:r>
      <w:r>
        <w:t xml:space="preserve"> </w:t>
      </w:r>
      <w:r w:rsidRPr="00DA45B9">
        <w:t>registered under s </w:t>
      </w:r>
      <w:proofErr w:type="gramStart"/>
      <w:r w:rsidRPr="00DA45B9">
        <w:t>26</w:t>
      </w:r>
      <w:r>
        <w:t>U(</w:t>
      </w:r>
      <w:proofErr w:type="gramEnd"/>
      <w:r>
        <w:t>1)</w:t>
      </w:r>
      <w:r w:rsidRPr="00DA45B9">
        <w:t xml:space="preserve"> of the</w:t>
      </w:r>
      <w:r w:rsidRPr="00796BF8">
        <w:t xml:space="preserve"> </w:t>
      </w:r>
      <w:r w:rsidR="00053CC0">
        <w:rPr>
          <w:i/>
        </w:rPr>
        <w:t xml:space="preserve">Privacy Act 1988 </w:t>
      </w:r>
      <w:r w:rsidR="00053CC0" w:rsidRPr="007E25AE">
        <w:t>(Privacy Act)</w:t>
      </w:r>
      <w:r w:rsidR="00053CC0">
        <w:t>.</w:t>
      </w:r>
    </w:p>
    <w:p w:rsidR="005C026D" w:rsidRDefault="005C026D" w:rsidP="005B0D80">
      <w:r>
        <w:t xml:space="preserve">This explanatory statement fulfils the Information Commissioner’s obligations under s 26(1) of the </w:t>
      </w:r>
      <w:r>
        <w:rPr>
          <w:i/>
        </w:rPr>
        <w:t>Legislative Instruments Act 2003</w:t>
      </w:r>
      <w:r>
        <w:t xml:space="preserve"> (the Legislative Instruments Act).</w:t>
      </w:r>
    </w:p>
    <w:p w:rsidR="003110F4" w:rsidRDefault="005B0D80" w:rsidP="00D56D7F">
      <w:pPr>
        <w:pStyle w:val="Heading2"/>
      </w:pPr>
      <w:r w:rsidRPr="00796BF8">
        <w:t xml:space="preserve">Authority for </w:t>
      </w:r>
      <w:r w:rsidR="000E2609" w:rsidRPr="00796BF8">
        <w:t xml:space="preserve">the </w:t>
      </w:r>
      <w:r w:rsidR="00E6675C" w:rsidRPr="00796BF8">
        <w:t xml:space="preserve">registration of the </w:t>
      </w:r>
      <w:r w:rsidR="001809F8">
        <w:t>AMSRO</w:t>
      </w:r>
      <w:r w:rsidR="001809F8" w:rsidRPr="00796BF8">
        <w:t xml:space="preserve"> </w:t>
      </w:r>
      <w:r w:rsidR="00E6675C" w:rsidRPr="00796BF8">
        <w:t>code</w:t>
      </w:r>
    </w:p>
    <w:p w:rsidR="005D19D3" w:rsidRDefault="005D19D3" w:rsidP="00E6675C">
      <w:r>
        <w:t>O</w:t>
      </w:r>
      <w:r w:rsidRPr="007B18ED">
        <w:t xml:space="preserve">n </w:t>
      </w:r>
      <w:r w:rsidRPr="00127D9F">
        <w:t>11 September 2014</w:t>
      </w:r>
      <w:r>
        <w:t>,</w:t>
      </w:r>
      <w:r w:rsidR="00EA4C03">
        <w:t xml:space="preserve"> the </w:t>
      </w:r>
      <w:r w:rsidR="00EA4C03">
        <w:rPr>
          <w:rFonts w:asciiTheme="minorHAnsi" w:hAnsiTheme="minorHAnsi" w:cstheme="minorHAnsi"/>
        </w:rPr>
        <w:t>Association of Market and Social Research Organisation</w:t>
      </w:r>
      <w:r>
        <w:t xml:space="preserve"> </w:t>
      </w:r>
      <w:r w:rsidR="00EA4C03">
        <w:t>(</w:t>
      </w:r>
      <w:r>
        <w:rPr>
          <w:rFonts w:asciiTheme="minorHAnsi" w:hAnsiTheme="minorHAnsi" w:cstheme="minorHAnsi"/>
        </w:rPr>
        <w:t>AMSRO</w:t>
      </w:r>
      <w:r w:rsidR="00EA4C03">
        <w:rPr>
          <w:rFonts w:asciiTheme="minorHAnsi" w:hAnsiTheme="minorHAnsi" w:cstheme="minorHAnsi"/>
        </w:rPr>
        <w:t>)</w:t>
      </w:r>
      <w:r w:rsidRPr="007B18ED">
        <w:t xml:space="preserve"> appl</w:t>
      </w:r>
      <w:r>
        <w:t xml:space="preserve">ied to the </w:t>
      </w:r>
      <w:r w:rsidR="006A517D">
        <w:t>Office of the Aust</w:t>
      </w:r>
      <w:r w:rsidR="00971B55">
        <w:t xml:space="preserve">ralian Information Commissioner </w:t>
      </w:r>
      <w:r w:rsidR="006A517D">
        <w:t>(</w:t>
      </w:r>
      <w:r>
        <w:t>OAIC</w:t>
      </w:r>
      <w:r w:rsidR="006A517D">
        <w:t>)</w:t>
      </w:r>
      <w:r>
        <w:t xml:space="preserve"> to register the </w:t>
      </w:r>
      <w:r w:rsidR="00965A5D">
        <w:t>AMSRO code</w:t>
      </w:r>
      <w:r w:rsidR="002D383F">
        <w:t xml:space="preserve"> as an APP code</w:t>
      </w:r>
      <w:r w:rsidRPr="007B18ED">
        <w:t xml:space="preserve"> under s 26F</w:t>
      </w:r>
      <w:r>
        <w:t xml:space="preserve"> of the Privacy Act.</w:t>
      </w:r>
    </w:p>
    <w:p w:rsidR="000F2A71" w:rsidRDefault="000F2A71" w:rsidP="000F2A71">
      <w:pPr>
        <w:keepLines/>
      </w:pPr>
      <w:r>
        <w:t>In accordance with Part IIIB of the Privacy Act, if a</w:t>
      </w:r>
      <w:r w:rsidRPr="005E071B">
        <w:t xml:space="preserve">n application for registration of </w:t>
      </w:r>
      <w:r>
        <w:t>an APP</w:t>
      </w:r>
      <w:r w:rsidRPr="005E071B">
        <w:t xml:space="preserve"> code is made</w:t>
      </w:r>
      <w:r>
        <w:t xml:space="preserve"> by a code developer</w:t>
      </w:r>
      <w:r w:rsidRPr="005E071B">
        <w:t xml:space="preserve"> under s</w:t>
      </w:r>
      <w:r>
        <w:t> </w:t>
      </w:r>
      <w:r w:rsidRPr="005E071B">
        <w:t>26</w:t>
      </w:r>
      <w:r>
        <w:t>F</w:t>
      </w:r>
      <w:r w:rsidRPr="005E071B">
        <w:t xml:space="preserve"> </w:t>
      </w:r>
      <w:r>
        <w:t xml:space="preserve">of the Privacy Act, the Information Commissioner is </w:t>
      </w:r>
      <w:r w:rsidRPr="00047B8C">
        <w:t>empowered by</w:t>
      </w:r>
      <w:r>
        <w:t xml:space="preserve"> </w:t>
      </w:r>
      <w:r w:rsidRPr="00047B8C">
        <w:t>s 2</w:t>
      </w:r>
      <w:r>
        <w:t>6H</w:t>
      </w:r>
      <w:r w:rsidRPr="00047B8C">
        <w:t xml:space="preserve">(1) of the Privacy Act to </w:t>
      </w:r>
      <w:r>
        <w:t>register that APP code</w:t>
      </w:r>
      <w:r w:rsidRPr="00047B8C">
        <w:t xml:space="preserve">.  </w:t>
      </w:r>
    </w:p>
    <w:p w:rsidR="000F2A71" w:rsidRDefault="000F2A71" w:rsidP="00E6675C">
      <w:r w:rsidRPr="00CC62D1">
        <w:t>Under s 12</w:t>
      </w:r>
      <w:r w:rsidR="00034817">
        <w:t>(4)(a)</w:t>
      </w:r>
      <w:r w:rsidRPr="00CC62D1">
        <w:t xml:space="preserve"> of the </w:t>
      </w:r>
      <w:r w:rsidRPr="00CC62D1">
        <w:rPr>
          <w:i/>
        </w:rPr>
        <w:t>Australian Information Commissioner Act 2010</w:t>
      </w:r>
      <w:r w:rsidRPr="00CC62D1">
        <w:t>, with the approval of the Information Commissioner, the Privacy Commissioner</w:t>
      </w:r>
      <w:r w:rsidR="00965A5D">
        <w:t xml:space="preserve"> </w:t>
      </w:r>
      <w:r w:rsidR="00F324C7">
        <w:t>may</w:t>
      </w:r>
      <w:r w:rsidR="00495DBD">
        <w:t xml:space="preserve"> </w:t>
      </w:r>
      <w:r w:rsidR="00CC62D1" w:rsidRPr="00781A96">
        <w:t xml:space="preserve">perform the functions, and exercise the powers conferred on the </w:t>
      </w:r>
      <w:r w:rsidR="00781A96">
        <w:t xml:space="preserve">Information </w:t>
      </w:r>
      <w:r w:rsidR="00CC62D1" w:rsidRPr="00781A96">
        <w:t xml:space="preserve">Commissioner by Part IIIB of the Privacy Act. </w:t>
      </w:r>
      <w:r w:rsidRPr="00781A96">
        <w:t xml:space="preserve">The Information Commissioner </w:t>
      </w:r>
      <w:r w:rsidR="003110F4" w:rsidRPr="00781A96">
        <w:t xml:space="preserve">approved the </w:t>
      </w:r>
      <w:r w:rsidRPr="00781A96">
        <w:t xml:space="preserve">Privacy Commissioner </w:t>
      </w:r>
      <w:r w:rsidR="003110F4" w:rsidRPr="00781A96">
        <w:t>to exercise this power</w:t>
      </w:r>
      <w:r w:rsidR="00495DBD">
        <w:t xml:space="preserve"> for the recognition of the AMSRO code</w:t>
      </w:r>
      <w:r w:rsidR="003110F4" w:rsidRPr="00781A96">
        <w:t xml:space="preserve">. </w:t>
      </w:r>
    </w:p>
    <w:p w:rsidR="00AC7FE8" w:rsidRPr="00047B8C" w:rsidRDefault="00AC7FE8" w:rsidP="00047B8C">
      <w:pPr>
        <w:pStyle w:val="Heading2"/>
      </w:pPr>
      <w:r w:rsidRPr="00047B8C">
        <w:t xml:space="preserve">Purpose </w:t>
      </w:r>
      <w:r w:rsidR="00826FF3">
        <w:t xml:space="preserve">and </w:t>
      </w:r>
      <w:r w:rsidR="00E20967">
        <w:t>o</w:t>
      </w:r>
      <w:r w:rsidR="00826FF3">
        <w:t xml:space="preserve">peration of the </w:t>
      </w:r>
      <w:r w:rsidR="001809F8">
        <w:t xml:space="preserve">AMSRO </w:t>
      </w:r>
      <w:r w:rsidR="00826FF3">
        <w:t>code</w:t>
      </w:r>
    </w:p>
    <w:p w:rsidR="002D383F" w:rsidRDefault="002D383F" w:rsidP="002D383F">
      <w:pPr>
        <w:pStyle w:val="Bulletlist"/>
        <w:numPr>
          <w:ilvl w:val="0"/>
          <w:numId w:val="0"/>
        </w:numPr>
      </w:pPr>
      <w:r>
        <w:t>In accordance with s 26C of the Privacy Act, an APP code performs the following functions:</w:t>
      </w:r>
    </w:p>
    <w:p w:rsidR="002D383F" w:rsidRDefault="002D383F" w:rsidP="002D383F">
      <w:pPr>
        <w:pStyle w:val="Bulletlist"/>
        <w:numPr>
          <w:ilvl w:val="0"/>
          <w:numId w:val="20"/>
        </w:numPr>
      </w:pPr>
      <w:r w:rsidRPr="00DF713B">
        <w:t>set</w:t>
      </w:r>
      <w:r>
        <w:t>s</w:t>
      </w:r>
      <w:r w:rsidRPr="00DF713B">
        <w:t xml:space="preserve"> out how one or more of the </w:t>
      </w:r>
      <w:r w:rsidR="00971B55">
        <w:t>Australian Privacy Principles (</w:t>
      </w:r>
      <w:r>
        <w:t>APPs</w:t>
      </w:r>
      <w:r w:rsidR="00971B55">
        <w:t>)</w:t>
      </w:r>
      <w:r>
        <w:t xml:space="preserve"> </w:t>
      </w:r>
      <w:r w:rsidRPr="00DF713B">
        <w:t>are to be applied or complied with</w:t>
      </w:r>
      <w:r>
        <w:t xml:space="preserve"> (s 26C(2)(a))</w:t>
      </w:r>
    </w:p>
    <w:p w:rsidR="002D383F" w:rsidRDefault="002D383F" w:rsidP="002D383F">
      <w:pPr>
        <w:pStyle w:val="Bulletlist"/>
        <w:numPr>
          <w:ilvl w:val="0"/>
          <w:numId w:val="20"/>
        </w:numPr>
      </w:pPr>
      <w:r>
        <w:t>speci</w:t>
      </w:r>
      <w:r w:rsidR="00377E11">
        <w:t>es</w:t>
      </w:r>
      <w:r>
        <w:t xml:space="preserve"> the APP entities that are bound by the code, or a way of determining the APP entities which are bound by the code</w:t>
      </w:r>
      <w:r w:rsidRPr="00DF713B" w:rsidDel="003716C8">
        <w:t xml:space="preserve"> </w:t>
      </w:r>
      <w:r>
        <w:t>(s 26C(2)(b))</w:t>
      </w:r>
    </w:p>
    <w:p w:rsidR="002D383F" w:rsidRDefault="002D383F" w:rsidP="002D383F">
      <w:pPr>
        <w:pStyle w:val="Bulletlist"/>
        <w:numPr>
          <w:ilvl w:val="0"/>
          <w:numId w:val="20"/>
        </w:numPr>
      </w:pPr>
      <w:proofErr w:type="gramStart"/>
      <w:r w:rsidRPr="0006748E">
        <w:t>set</w:t>
      </w:r>
      <w:r w:rsidR="00781A96">
        <w:t>s</w:t>
      </w:r>
      <w:proofErr w:type="gramEnd"/>
      <w:r w:rsidRPr="0006748E">
        <w:t xml:space="preserve"> out the period during which the code is in force (which must not start the day before the code is registered under section 26H)</w:t>
      </w:r>
      <w:r>
        <w:t xml:space="preserve"> (s 26C(2)(c)).</w:t>
      </w:r>
    </w:p>
    <w:p w:rsidR="002D383F" w:rsidRDefault="002D383F" w:rsidP="002D383F">
      <w:pPr>
        <w:pStyle w:val="Bulletlist"/>
        <w:numPr>
          <w:ilvl w:val="0"/>
          <w:numId w:val="0"/>
        </w:numPr>
        <w:ind w:left="578" w:hanging="578"/>
      </w:pPr>
      <w:r>
        <w:t xml:space="preserve">In addition, an APP code may: </w:t>
      </w:r>
    </w:p>
    <w:p w:rsidR="002D383F" w:rsidRDefault="002D383F" w:rsidP="002D383F">
      <w:pPr>
        <w:pStyle w:val="ListParagraph"/>
        <w:keepLines/>
        <w:numPr>
          <w:ilvl w:val="0"/>
          <w:numId w:val="24"/>
        </w:numPr>
        <w:tabs>
          <w:tab w:val="clear" w:pos="567"/>
        </w:tabs>
        <w:contextualSpacing w:val="0"/>
      </w:pPr>
      <w:r>
        <w:t>impose additional requirements to those imposed by one or more of the APPs, so long as the additional requirements are not contrary to, or inconsistent with, those principles (s 26C(3)(a))</w:t>
      </w:r>
    </w:p>
    <w:p w:rsidR="002D383F" w:rsidRPr="0064606C" w:rsidRDefault="002D383F" w:rsidP="002D383F">
      <w:pPr>
        <w:pStyle w:val="ListParagraph"/>
        <w:keepLines/>
        <w:numPr>
          <w:ilvl w:val="0"/>
          <w:numId w:val="24"/>
        </w:numPr>
        <w:tabs>
          <w:tab w:val="clear" w:pos="567"/>
        </w:tabs>
        <w:contextualSpacing w:val="0"/>
      </w:pPr>
      <w:r w:rsidRPr="0064606C">
        <w:t>cover an act or practice that is exempt within the meaning of subsection 7B(1), (2) or (3)</w:t>
      </w:r>
      <w:r>
        <w:t xml:space="preserve"> of the Privacy Act (s 26C(3)(b))</w:t>
      </w:r>
    </w:p>
    <w:p w:rsidR="002D383F" w:rsidRDefault="002D383F" w:rsidP="002D383F">
      <w:pPr>
        <w:pStyle w:val="ListParagraph"/>
        <w:keepLines/>
        <w:numPr>
          <w:ilvl w:val="0"/>
          <w:numId w:val="24"/>
        </w:numPr>
        <w:tabs>
          <w:tab w:val="clear" w:pos="567"/>
        </w:tabs>
        <w:contextualSpacing w:val="0"/>
      </w:pPr>
      <w:r>
        <w:t>deal with the internal handling of complaints (s 26C(3)(c))</w:t>
      </w:r>
    </w:p>
    <w:p w:rsidR="002D383F" w:rsidRDefault="002D383F" w:rsidP="002D383F">
      <w:pPr>
        <w:pStyle w:val="ListParagraph"/>
        <w:keepLines/>
        <w:numPr>
          <w:ilvl w:val="0"/>
          <w:numId w:val="24"/>
        </w:numPr>
        <w:tabs>
          <w:tab w:val="clear" w:pos="567"/>
        </w:tabs>
        <w:contextualSpacing w:val="0"/>
      </w:pPr>
      <w:r>
        <w:lastRenderedPageBreak/>
        <w:t xml:space="preserve">provide for the reporting to the Privacy Commissioner about complaints (s 26C(3)(d)) </w:t>
      </w:r>
    </w:p>
    <w:p w:rsidR="002D383F" w:rsidRDefault="002D383F" w:rsidP="00377E11">
      <w:pPr>
        <w:pStyle w:val="ListParagraph"/>
        <w:keepLines/>
        <w:numPr>
          <w:ilvl w:val="0"/>
          <w:numId w:val="24"/>
        </w:numPr>
        <w:tabs>
          <w:tab w:val="clear" w:pos="567"/>
        </w:tabs>
        <w:contextualSpacing w:val="0"/>
      </w:pPr>
      <w:proofErr w:type="gramStart"/>
      <w:r>
        <w:t>deal</w:t>
      </w:r>
      <w:proofErr w:type="gramEnd"/>
      <w:r>
        <w:t xml:space="preserve"> with any other relevant matters (s 26C(3)(e)).</w:t>
      </w:r>
    </w:p>
    <w:p w:rsidR="00A815C1" w:rsidRDefault="00FC1F4B" w:rsidP="002D383F">
      <w:r>
        <w:t xml:space="preserve">The </w:t>
      </w:r>
      <w:r w:rsidR="003716C8">
        <w:t>AMSRO</w:t>
      </w:r>
      <w:r>
        <w:t xml:space="preserve"> code </w:t>
      </w:r>
      <w:proofErr w:type="gramStart"/>
      <w:r w:rsidR="003759EA">
        <w:t xml:space="preserve">was initiated and developed by </w:t>
      </w:r>
      <w:r w:rsidR="00965A5D">
        <w:t>AMSRO</w:t>
      </w:r>
      <w:proofErr w:type="gramEnd"/>
      <w:r w:rsidR="003759EA">
        <w:t>. AMSRO is the peak body for the market and social research industry, and the ‘</w:t>
      </w:r>
      <w:r w:rsidR="002D383F">
        <w:t xml:space="preserve">APP </w:t>
      </w:r>
      <w:r w:rsidR="003759EA">
        <w:t>code developer’ of the AMSRO code, as defined in s 6(1) of the Privacy Act</w:t>
      </w:r>
      <w:r>
        <w:t>.</w:t>
      </w:r>
      <w:r w:rsidR="00A466A3">
        <w:t xml:space="preserve"> </w:t>
      </w:r>
      <w:r w:rsidR="00A815C1">
        <w:t xml:space="preserve">The AMSRO code will only be binding on AMSRO members, referred to as </w:t>
      </w:r>
      <w:r w:rsidR="002D383F">
        <w:t>‘</w:t>
      </w:r>
      <w:r w:rsidR="00A815C1">
        <w:t>research organisations</w:t>
      </w:r>
      <w:r w:rsidR="002D383F">
        <w:t>’</w:t>
      </w:r>
      <w:r w:rsidR="00A815C1">
        <w:t xml:space="preserve"> in the AMSRO code. </w:t>
      </w:r>
    </w:p>
    <w:p w:rsidR="00FC1F4B" w:rsidRPr="00D56D7F" w:rsidRDefault="00053CC0" w:rsidP="00DF713B">
      <w:pPr>
        <w:rPr>
          <w:color w:val="000000" w:themeColor="text1"/>
        </w:rPr>
      </w:pPr>
      <w:r w:rsidRPr="00D56D7F">
        <w:t xml:space="preserve">In accordance with s </w:t>
      </w:r>
      <w:proofErr w:type="gramStart"/>
      <w:r w:rsidRPr="00D56D7F">
        <w:t>26B(</w:t>
      </w:r>
      <w:proofErr w:type="gramEnd"/>
      <w:r w:rsidRPr="00D56D7F">
        <w:t>1), the AMSRO code comes into force when it is included on the OAIC</w:t>
      </w:r>
      <w:r w:rsidR="00D56D7F">
        <w:t xml:space="preserve"> </w:t>
      </w:r>
      <w:hyperlink r:id="rId9" w:anchor="register" w:history="1">
        <w:r w:rsidR="00D56D7F" w:rsidRPr="00D56D7F">
          <w:rPr>
            <w:rStyle w:val="Hyperlink"/>
          </w:rPr>
          <w:t>Codes Register</w:t>
        </w:r>
      </w:hyperlink>
      <w:r w:rsidR="00D56D7F">
        <w:t xml:space="preserve"> kept under s 26U(1) of that Act</w:t>
      </w:r>
      <w:r w:rsidRPr="00D56D7F">
        <w:rPr>
          <w:rStyle w:val="Hyperlink"/>
          <w:color w:val="auto"/>
          <w:u w:val="none"/>
        </w:rPr>
        <w:t>,</w:t>
      </w:r>
      <w:r w:rsidRPr="00D56D7F">
        <w:t xml:space="preserve"> and will remain in force until it is repealed.</w:t>
      </w:r>
      <w:r w:rsidR="00D56D7F">
        <w:t xml:space="preserve"> </w:t>
      </w:r>
    </w:p>
    <w:p w:rsidR="003716C8" w:rsidRDefault="005272D7" w:rsidP="00D56D7F">
      <w:pPr>
        <w:pStyle w:val="Bulletlist"/>
        <w:numPr>
          <w:ilvl w:val="0"/>
          <w:numId w:val="0"/>
        </w:numPr>
      </w:pPr>
      <w:r>
        <w:t>The AMSRO code replaces the</w:t>
      </w:r>
      <w:r w:rsidR="00EA4C03">
        <w:t xml:space="preserve"> former</w:t>
      </w:r>
      <w:r>
        <w:t xml:space="preserve"> </w:t>
      </w:r>
      <w:r>
        <w:rPr>
          <w:i/>
        </w:rPr>
        <w:t xml:space="preserve">Market and Social Research Privacy Code </w:t>
      </w:r>
      <w:r>
        <w:t>(</w:t>
      </w:r>
      <w:r w:rsidR="00757CA1">
        <w:t xml:space="preserve">the </w:t>
      </w:r>
      <w:r>
        <w:t>former AMSRO code). The former AMSRO code was</w:t>
      </w:r>
      <w:r w:rsidRPr="00936ECE">
        <w:t xml:space="preserve"> i</w:t>
      </w:r>
      <w:r>
        <w:t>n operation from 1 September 2003 until the introduction of amendments to the Privacy Act on 12</w:t>
      </w:r>
      <w:r w:rsidR="00EA4C03">
        <w:t> </w:t>
      </w:r>
      <w:r>
        <w:t xml:space="preserve">March 2014.  </w:t>
      </w:r>
    </w:p>
    <w:p w:rsidR="0007193D" w:rsidRDefault="0007193D" w:rsidP="0007193D">
      <w:pPr>
        <w:pStyle w:val="Heading2"/>
      </w:pPr>
      <w:r>
        <w:t xml:space="preserve">Reasons for the decision to register the </w:t>
      </w:r>
      <w:r w:rsidR="003716C8">
        <w:t>AMSRO</w:t>
      </w:r>
      <w:r>
        <w:t xml:space="preserve"> code</w:t>
      </w:r>
    </w:p>
    <w:p w:rsidR="00DF713B" w:rsidRPr="00047B8C" w:rsidRDefault="00F26929" w:rsidP="00DF713B">
      <w:r w:rsidRPr="00047B8C">
        <w:t xml:space="preserve">In </w:t>
      </w:r>
      <w:r w:rsidR="00E6675C">
        <w:t xml:space="preserve">deciding to register the </w:t>
      </w:r>
      <w:r w:rsidR="003716C8">
        <w:t>AMSRO</w:t>
      </w:r>
      <w:r w:rsidR="00E6675C">
        <w:t xml:space="preserve"> code</w:t>
      </w:r>
      <w:r w:rsidR="00047B8C" w:rsidRPr="00047B8C">
        <w:t>,</w:t>
      </w:r>
      <w:r w:rsidR="00D07322" w:rsidRPr="00047B8C">
        <w:t xml:space="preserve"> the </w:t>
      </w:r>
      <w:r w:rsidR="006C0142">
        <w:t xml:space="preserve">Privacy </w:t>
      </w:r>
      <w:r w:rsidR="002153A6">
        <w:t>Commissioner</w:t>
      </w:r>
      <w:r w:rsidR="00D07322" w:rsidRPr="00047B8C">
        <w:t xml:space="preserve"> </w:t>
      </w:r>
      <w:r w:rsidR="0032198C" w:rsidRPr="00047B8C">
        <w:t xml:space="preserve">has </w:t>
      </w:r>
      <w:r w:rsidRPr="00047B8C">
        <w:t>had regard to</w:t>
      </w:r>
      <w:r w:rsidR="00DF713B">
        <w:t xml:space="preserve"> </w:t>
      </w:r>
      <w:r w:rsidR="00DF713B" w:rsidRPr="00047B8C">
        <w:t>the objects of the Privacy Act, in particular:</w:t>
      </w:r>
    </w:p>
    <w:p w:rsidR="00DF713B" w:rsidRDefault="00DF713B">
      <w:pPr>
        <w:pStyle w:val="Bulletlist"/>
      </w:pPr>
      <w:r w:rsidRPr="00047B8C">
        <w:t>to promote the protection of the p</w:t>
      </w:r>
      <w:r>
        <w:t>rivacy of individuals (s 2A(a))</w:t>
      </w:r>
    </w:p>
    <w:p w:rsidR="00DF713B" w:rsidRDefault="00DF713B" w:rsidP="00DF713B">
      <w:pPr>
        <w:pStyle w:val="Bulletlist"/>
      </w:pPr>
      <w:proofErr w:type="gramStart"/>
      <w:r w:rsidRPr="00047B8C">
        <w:t>to</w:t>
      </w:r>
      <w:proofErr w:type="gramEnd"/>
      <w:r w:rsidRPr="00047B8C">
        <w:t xml:space="preserve"> promote responsible and transparent handling of personal information by entities (s 2A(d))</w:t>
      </w:r>
      <w:r w:rsidR="00D6107F">
        <w:t>.</w:t>
      </w:r>
    </w:p>
    <w:p w:rsidR="005E7DDB" w:rsidRDefault="00A05EB7" w:rsidP="00DF713B">
      <w:r>
        <w:t xml:space="preserve">The </w:t>
      </w:r>
      <w:r w:rsidR="006C0142">
        <w:t xml:space="preserve">Privacy </w:t>
      </w:r>
      <w:r w:rsidR="002153A6">
        <w:t>Commissioner</w:t>
      </w:r>
      <w:r>
        <w:t xml:space="preserve"> </w:t>
      </w:r>
      <w:r w:rsidR="005E7DDB">
        <w:t>has</w:t>
      </w:r>
      <w:r w:rsidR="005E7DDB" w:rsidRPr="001D1763">
        <w:t xml:space="preserve"> </w:t>
      </w:r>
      <w:r w:rsidR="005E7DDB">
        <w:t xml:space="preserve">taken into account the requirements for an </w:t>
      </w:r>
      <w:r w:rsidR="005E7DDB" w:rsidRPr="00655673">
        <w:t>APP code under s</w:t>
      </w:r>
      <w:r w:rsidR="006A517D">
        <w:t> </w:t>
      </w:r>
      <w:r w:rsidR="005E7DDB" w:rsidRPr="00655673">
        <w:t xml:space="preserve">26C of the Privacy Act, the procedural requirements for the development of an APP code under s 26E </w:t>
      </w:r>
      <w:r w:rsidR="005E7DDB">
        <w:t xml:space="preserve">of the Privacy Act, </w:t>
      </w:r>
      <w:r w:rsidR="005E7DDB" w:rsidRPr="00655673">
        <w:t>and the making of the application for registration under s 26F</w:t>
      </w:r>
      <w:r w:rsidR="005E7DDB">
        <w:t xml:space="preserve"> of the Privacy Act</w:t>
      </w:r>
      <w:r w:rsidR="005E7DDB" w:rsidRPr="00655673">
        <w:t>.</w:t>
      </w:r>
      <w:r w:rsidR="005E7DDB">
        <w:t xml:space="preserve"> </w:t>
      </w:r>
    </w:p>
    <w:p w:rsidR="00B17545" w:rsidRPr="005A39CD" w:rsidRDefault="00DF713B" w:rsidP="005A39CD">
      <w:r>
        <w:t xml:space="preserve">In addition, the </w:t>
      </w:r>
      <w:r w:rsidR="006C0142">
        <w:t xml:space="preserve">Privacy </w:t>
      </w:r>
      <w:r w:rsidR="002153A6">
        <w:t>Commissioner</w:t>
      </w:r>
      <w:r>
        <w:t xml:space="preserve"> has had regard to </w:t>
      </w:r>
      <w:r w:rsidR="00E6675C">
        <w:t xml:space="preserve">the </w:t>
      </w:r>
      <w:hyperlink r:id="rId10" w:history="1">
        <w:r w:rsidR="00E6675C" w:rsidRPr="009C4B61">
          <w:rPr>
            <w:rStyle w:val="Hyperlink"/>
          </w:rPr>
          <w:t>Guidelines for developing codes</w:t>
        </w:r>
      </w:hyperlink>
      <w:r w:rsidR="00E6675C">
        <w:t xml:space="preserve"> (the Guidelines) issued under s 26V of the Privacy Act</w:t>
      </w:r>
      <w:r w:rsidR="00F26929" w:rsidRPr="00047B8C">
        <w:t>.</w:t>
      </w:r>
      <w:r w:rsidRPr="00DF713B">
        <w:t xml:space="preserve"> The Appendix to those Guidelines sets out a non-exhaustive checklist of the primary matters that </w:t>
      </w:r>
      <w:r>
        <w:t xml:space="preserve">the </w:t>
      </w:r>
      <w:r w:rsidR="006C0142">
        <w:t xml:space="preserve">Privacy </w:t>
      </w:r>
      <w:r w:rsidR="002153A6">
        <w:t>Commissioner</w:t>
      </w:r>
      <w:r>
        <w:t xml:space="preserve"> will</w:t>
      </w:r>
      <w:r w:rsidRPr="00DF713B">
        <w:t xml:space="preserve"> consider when deciding whether to register a code</w:t>
      </w:r>
      <w:r>
        <w:t xml:space="preserve">, including </w:t>
      </w:r>
      <w:r w:rsidR="00B17545">
        <w:t>an APP</w:t>
      </w:r>
      <w:r>
        <w:t xml:space="preserve"> code</w:t>
      </w:r>
      <w:r w:rsidRPr="00DF713B">
        <w:t>.</w:t>
      </w:r>
      <w:r w:rsidR="00A32059">
        <w:t xml:space="preserve"> Those matters include: </w:t>
      </w:r>
    </w:p>
    <w:p w:rsidR="00A32059" w:rsidRDefault="002C7066" w:rsidP="00A32059">
      <w:pPr>
        <w:pStyle w:val="ListParagraph"/>
        <w:numPr>
          <w:ilvl w:val="0"/>
          <w:numId w:val="22"/>
        </w:numPr>
        <w:tabs>
          <w:tab w:val="clear" w:pos="567"/>
        </w:tabs>
        <w:ind w:left="714" w:hanging="357"/>
        <w:contextualSpacing w:val="0"/>
      </w:pPr>
      <w:bookmarkStart w:id="1" w:name="_Toc377641371"/>
      <w:r>
        <w:t>w</w:t>
      </w:r>
      <w:r w:rsidR="00A32059" w:rsidRPr="007613D3">
        <w:t>hether there are appropriate governance arrangements in place to administer the code</w:t>
      </w:r>
      <w:bookmarkEnd w:id="1"/>
    </w:p>
    <w:p w:rsidR="00A32059" w:rsidRDefault="002C7066" w:rsidP="00A32059">
      <w:pPr>
        <w:pStyle w:val="ListParagraph"/>
        <w:numPr>
          <w:ilvl w:val="0"/>
          <w:numId w:val="22"/>
        </w:numPr>
        <w:tabs>
          <w:tab w:val="clear" w:pos="567"/>
        </w:tabs>
        <w:ind w:left="714" w:hanging="357"/>
        <w:contextualSpacing w:val="0"/>
      </w:pPr>
      <w:r>
        <w:t>w</w:t>
      </w:r>
      <w:r w:rsidR="00A32059" w:rsidRPr="00A32059">
        <w:t>hether there are appropriate reporting mechanisms</w:t>
      </w:r>
    </w:p>
    <w:p w:rsidR="00A32059" w:rsidRDefault="002C7066" w:rsidP="00A32059">
      <w:pPr>
        <w:pStyle w:val="ListParagraph"/>
        <w:numPr>
          <w:ilvl w:val="0"/>
          <w:numId w:val="22"/>
        </w:numPr>
        <w:tabs>
          <w:tab w:val="clear" w:pos="567"/>
        </w:tabs>
        <w:ind w:left="714" w:hanging="357"/>
        <w:contextualSpacing w:val="0"/>
      </w:pPr>
      <w:r>
        <w:t>w</w:t>
      </w:r>
      <w:r w:rsidR="00A32059" w:rsidRPr="00A32059">
        <w:t>hether entities bound by the code are clearly identified</w:t>
      </w:r>
    </w:p>
    <w:p w:rsidR="00A32059" w:rsidRDefault="002C7066" w:rsidP="00A32059">
      <w:pPr>
        <w:pStyle w:val="ListParagraph"/>
        <w:numPr>
          <w:ilvl w:val="0"/>
          <w:numId w:val="22"/>
        </w:numPr>
        <w:tabs>
          <w:tab w:val="clear" w:pos="567"/>
        </w:tabs>
        <w:ind w:left="714" w:hanging="357"/>
        <w:contextualSpacing w:val="0"/>
      </w:pPr>
      <w:r>
        <w:t>whether there are s</w:t>
      </w:r>
      <w:r w:rsidR="00A32059">
        <w:t>tandardised internal privacy complaint handling procedures</w:t>
      </w:r>
    </w:p>
    <w:p w:rsidR="00A32059" w:rsidRDefault="002C7066" w:rsidP="00A32059">
      <w:pPr>
        <w:pStyle w:val="ListParagraph"/>
        <w:numPr>
          <w:ilvl w:val="0"/>
          <w:numId w:val="22"/>
        </w:numPr>
        <w:tabs>
          <w:tab w:val="clear" w:pos="567"/>
        </w:tabs>
        <w:ind w:left="714" w:hanging="357"/>
        <w:contextualSpacing w:val="0"/>
      </w:pPr>
      <w:r>
        <w:t>w</w:t>
      </w:r>
      <w:r w:rsidR="00A32059">
        <w:t xml:space="preserve">hether there was initial notification of, and updates on, the code’s development </w:t>
      </w:r>
    </w:p>
    <w:p w:rsidR="00A32059" w:rsidRDefault="002C7066" w:rsidP="00A32059">
      <w:pPr>
        <w:pStyle w:val="ListParagraph"/>
        <w:numPr>
          <w:ilvl w:val="0"/>
          <w:numId w:val="22"/>
        </w:numPr>
        <w:tabs>
          <w:tab w:val="clear" w:pos="567"/>
        </w:tabs>
        <w:ind w:left="714" w:hanging="357"/>
        <w:contextualSpacing w:val="0"/>
      </w:pPr>
      <w:r>
        <w:t>w</w:t>
      </w:r>
      <w:r w:rsidR="00A32059">
        <w:t xml:space="preserve">hether a code developer satisfied the public consultation requirements and considered views of stakeholders obtained during the consultation </w:t>
      </w:r>
      <w:r w:rsidR="0007193D">
        <w:t>(set out in more detail below)</w:t>
      </w:r>
    </w:p>
    <w:p w:rsidR="00A32059" w:rsidRDefault="002C7066" w:rsidP="00A32059">
      <w:pPr>
        <w:pStyle w:val="ListParagraph"/>
        <w:numPr>
          <w:ilvl w:val="0"/>
          <w:numId w:val="22"/>
        </w:numPr>
        <w:tabs>
          <w:tab w:val="clear" w:pos="567"/>
        </w:tabs>
        <w:ind w:left="714" w:hanging="357"/>
        <w:contextualSpacing w:val="0"/>
      </w:pPr>
      <w:r>
        <w:t>w</w:t>
      </w:r>
      <w:r w:rsidR="00A32059">
        <w:t>hether the code meets the drafting style requirements</w:t>
      </w:r>
    </w:p>
    <w:p w:rsidR="00A32059" w:rsidRDefault="002C7066" w:rsidP="00A32059">
      <w:pPr>
        <w:pStyle w:val="ListParagraph"/>
        <w:numPr>
          <w:ilvl w:val="0"/>
          <w:numId w:val="22"/>
        </w:numPr>
        <w:tabs>
          <w:tab w:val="clear" w:pos="567"/>
        </w:tabs>
        <w:ind w:left="714" w:hanging="357"/>
        <w:contextualSpacing w:val="0"/>
      </w:pPr>
      <w:r>
        <w:lastRenderedPageBreak/>
        <w:t>w</w:t>
      </w:r>
      <w:r w:rsidR="00A32059">
        <w:t xml:space="preserve">hether the openness and transparency matters have been addressed </w:t>
      </w:r>
    </w:p>
    <w:p w:rsidR="00A32059" w:rsidRDefault="002C7066" w:rsidP="00A32059">
      <w:pPr>
        <w:pStyle w:val="ListParagraph"/>
        <w:numPr>
          <w:ilvl w:val="0"/>
          <w:numId w:val="22"/>
        </w:numPr>
        <w:tabs>
          <w:tab w:val="clear" w:pos="567"/>
        </w:tabs>
        <w:ind w:left="714" w:hanging="357"/>
        <w:contextualSpacing w:val="0"/>
      </w:pPr>
      <w:proofErr w:type="gramStart"/>
      <w:r>
        <w:t>a</w:t>
      </w:r>
      <w:r w:rsidR="00A32059">
        <w:t>ny</w:t>
      </w:r>
      <w:proofErr w:type="gramEnd"/>
      <w:r w:rsidR="00A32059">
        <w:t xml:space="preserve"> matters raised by any person whom the </w:t>
      </w:r>
      <w:r w:rsidR="002153A6">
        <w:t>Information Commissioner</w:t>
      </w:r>
      <w:r w:rsidR="00A32059" w:rsidRPr="00D70F2C">
        <w:t xml:space="preserve"> consults</w:t>
      </w:r>
      <w:r w:rsidR="00D70F2C" w:rsidRPr="00D70F2C">
        <w:t>.</w:t>
      </w:r>
    </w:p>
    <w:p w:rsidR="002C7066" w:rsidRPr="00047B8C" w:rsidRDefault="002C7066" w:rsidP="002C7066">
      <w:r>
        <w:t xml:space="preserve">The </w:t>
      </w:r>
      <w:r w:rsidR="006C0142">
        <w:t xml:space="preserve">Privacy </w:t>
      </w:r>
      <w:r w:rsidR="002153A6">
        <w:t>Commissioner</w:t>
      </w:r>
      <w:r>
        <w:t xml:space="preserve"> is satisfied that the </w:t>
      </w:r>
      <w:r w:rsidR="00B17545">
        <w:t xml:space="preserve">AMSRO </w:t>
      </w:r>
      <w:r>
        <w:t xml:space="preserve">code adequately addresses those criteria. </w:t>
      </w:r>
    </w:p>
    <w:p w:rsidR="00CB6868" w:rsidRPr="00C97F99" w:rsidRDefault="00CB6868" w:rsidP="00CB6868">
      <w:pPr>
        <w:pStyle w:val="Heading2"/>
      </w:pPr>
      <w:r w:rsidRPr="00C97F99">
        <w:t>Consultation</w:t>
      </w:r>
    </w:p>
    <w:p w:rsidR="00CB6868" w:rsidRPr="000E7DCD" w:rsidRDefault="002E49D5" w:rsidP="00CB6868">
      <w:pPr>
        <w:rPr>
          <w:highlight w:val="yellow"/>
        </w:rPr>
      </w:pPr>
      <w:r w:rsidRPr="00685826">
        <w:t>Consistent with the requirements of</w:t>
      </w:r>
      <w:r w:rsidR="00685826" w:rsidRPr="00685826">
        <w:t xml:space="preserve"> s 17 of</w:t>
      </w:r>
      <w:r w:rsidRPr="00685826">
        <w:t xml:space="preserve"> the </w:t>
      </w:r>
      <w:r w:rsidRPr="006C0142">
        <w:t>Legislative Instruments Act</w:t>
      </w:r>
      <w:r w:rsidR="00315CD3" w:rsidRPr="00685826">
        <w:t xml:space="preserve">, </w:t>
      </w:r>
      <w:r w:rsidR="00CD68D3" w:rsidRPr="00685826">
        <w:t>the</w:t>
      </w:r>
      <w:r w:rsidR="006A517D">
        <w:t xml:space="preserve"> Privacy</w:t>
      </w:r>
      <w:r w:rsidR="002153A6">
        <w:t xml:space="preserve"> Commissioner</w:t>
      </w:r>
      <w:r w:rsidR="00CD68D3" w:rsidRPr="00685826">
        <w:t xml:space="preserve"> </w:t>
      </w:r>
      <w:r w:rsidR="00685826" w:rsidRPr="00685826">
        <w:t xml:space="preserve">has </w:t>
      </w:r>
      <w:r w:rsidR="002D383F">
        <w:t>considered</w:t>
      </w:r>
      <w:r w:rsidR="00685826" w:rsidRPr="00685826">
        <w:t xml:space="preserve"> the consultation process undertaken</w:t>
      </w:r>
      <w:r w:rsidR="00685826">
        <w:t xml:space="preserve"> by </w:t>
      </w:r>
      <w:r w:rsidR="00B17545">
        <w:t xml:space="preserve">AMSRO </w:t>
      </w:r>
      <w:r w:rsidR="00685826">
        <w:t xml:space="preserve">as </w:t>
      </w:r>
      <w:r w:rsidR="002D383F">
        <w:t xml:space="preserve">the APP </w:t>
      </w:r>
      <w:r w:rsidR="00685826" w:rsidRPr="00685826">
        <w:t>code developer</w:t>
      </w:r>
      <w:r w:rsidR="002C7066">
        <w:t>.</w:t>
      </w:r>
    </w:p>
    <w:p w:rsidR="000E7DCD" w:rsidRPr="000561AD" w:rsidRDefault="000E7DCD" w:rsidP="000E7DCD">
      <w:pPr>
        <w:rPr>
          <w:rFonts w:eastAsia="Times New Roman" w:cs="Times New Roman"/>
          <w:lang w:eastAsia="en-AU"/>
        </w:rPr>
      </w:pPr>
      <w:r w:rsidRPr="000561AD">
        <w:rPr>
          <w:rFonts w:eastAsia="Times New Roman" w:cs="Times New Roman"/>
          <w:lang w:eastAsia="en-AU"/>
        </w:rPr>
        <w:t>Section 26</w:t>
      </w:r>
      <w:r w:rsidR="00B17545">
        <w:rPr>
          <w:rFonts w:eastAsia="Times New Roman" w:cs="Times New Roman"/>
          <w:lang w:eastAsia="en-AU"/>
        </w:rPr>
        <w:t>F</w:t>
      </w:r>
      <w:r w:rsidRPr="000561AD">
        <w:rPr>
          <w:rFonts w:eastAsia="Times New Roman" w:cs="Times New Roman"/>
          <w:lang w:eastAsia="en-AU"/>
        </w:rPr>
        <w:t xml:space="preserve"> of the Privacy Act requires that before </w:t>
      </w:r>
      <w:r w:rsidR="00B17545">
        <w:rPr>
          <w:rFonts w:eastAsia="Times New Roman" w:cs="Times New Roman"/>
          <w:lang w:eastAsia="en-AU"/>
        </w:rPr>
        <w:t>an APP</w:t>
      </w:r>
      <w:r w:rsidRPr="000561AD">
        <w:rPr>
          <w:rFonts w:eastAsia="Times New Roman" w:cs="Times New Roman"/>
          <w:lang w:eastAsia="en-AU"/>
        </w:rPr>
        <w:t xml:space="preserve"> code developer makes an application to register </w:t>
      </w:r>
      <w:r w:rsidR="00B17545">
        <w:rPr>
          <w:rFonts w:eastAsia="Times New Roman" w:cs="Times New Roman"/>
          <w:lang w:eastAsia="en-AU"/>
        </w:rPr>
        <w:t>an APP</w:t>
      </w:r>
      <w:r w:rsidRPr="000561AD">
        <w:rPr>
          <w:rFonts w:eastAsia="Times New Roman" w:cs="Times New Roman"/>
          <w:lang w:eastAsia="en-AU"/>
        </w:rPr>
        <w:t xml:space="preserve"> code, it must:</w:t>
      </w:r>
    </w:p>
    <w:p w:rsidR="000E7DCD" w:rsidRPr="000561AD" w:rsidRDefault="000E7DCD" w:rsidP="007F28C8">
      <w:pPr>
        <w:pStyle w:val="ListParagraph"/>
        <w:numPr>
          <w:ilvl w:val="0"/>
          <w:numId w:val="21"/>
        </w:numPr>
        <w:tabs>
          <w:tab w:val="clear" w:pos="567"/>
        </w:tabs>
        <w:ind w:left="714" w:hanging="357"/>
        <w:contextualSpacing w:val="0"/>
        <w:rPr>
          <w:rFonts w:eastAsia="Times New Roman" w:cs="Times New Roman"/>
          <w:lang w:eastAsia="en-AU"/>
        </w:rPr>
      </w:pPr>
      <w:r w:rsidRPr="000561AD">
        <w:rPr>
          <w:rFonts w:eastAsia="Times New Roman" w:cs="Times New Roman"/>
          <w:lang w:eastAsia="en-AU"/>
        </w:rPr>
        <w:t xml:space="preserve">make a draft of the </w:t>
      </w:r>
      <w:r w:rsidR="00B17545">
        <w:rPr>
          <w:rFonts w:eastAsia="Times New Roman" w:cs="Times New Roman"/>
          <w:lang w:eastAsia="en-AU"/>
        </w:rPr>
        <w:t>APP</w:t>
      </w:r>
      <w:r w:rsidRPr="000561AD">
        <w:rPr>
          <w:rFonts w:eastAsia="Times New Roman" w:cs="Times New Roman"/>
          <w:lang w:eastAsia="en-AU"/>
        </w:rPr>
        <w:t xml:space="preserve"> code publicly available</w:t>
      </w:r>
      <w:r w:rsidR="00490DBF">
        <w:rPr>
          <w:rFonts w:eastAsia="Times New Roman" w:cs="Times New Roman"/>
          <w:lang w:eastAsia="en-AU"/>
        </w:rPr>
        <w:t xml:space="preserve"> (s 2F(2)(a))</w:t>
      </w:r>
    </w:p>
    <w:p w:rsidR="000E7DCD" w:rsidRPr="000561AD" w:rsidRDefault="000E7DCD" w:rsidP="007F28C8">
      <w:pPr>
        <w:pStyle w:val="ListParagraph"/>
        <w:numPr>
          <w:ilvl w:val="0"/>
          <w:numId w:val="21"/>
        </w:numPr>
        <w:tabs>
          <w:tab w:val="clear" w:pos="567"/>
        </w:tabs>
        <w:ind w:left="714" w:hanging="357"/>
        <w:contextualSpacing w:val="0"/>
        <w:rPr>
          <w:rFonts w:eastAsia="Times New Roman" w:cs="Times New Roman"/>
          <w:lang w:eastAsia="en-AU"/>
        </w:rPr>
      </w:pPr>
      <w:r w:rsidRPr="000561AD">
        <w:rPr>
          <w:rFonts w:eastAsia="Times New Roman" w:cs="Times New Roman"/>
          <w:lang w:eastAsia="en-AU"/>
        </w:rPr>
        <w:t>invite the public to make submissions to the developer about the draft within a specified period (which must run for at least 28 days)</w:t>
      </w:r>
      <w:r w:rsidR="00490DBF" w:rsidRPr="00490DBF">
        <w:rPr>
          <w:rFonts w:eastAsia="Times New Roman" w:cs="Times New Roman"/>
          <w:lang w:eastAsia="en-AU"/>
        </w:rPr>
        <w:t xml:space="preserve"> </w:t>
      </w:r>
      <w:r w:rsidR="00490DBF">
        <w:rPr>
          <w:rFonts w:eastAsia="Times New Roman" w:cs="Times New Roman"/>
          <w:lang w:eastAsia="en-AU"/>
        </w:rPr>
        <w:t>(s 2F(2)(b))</w:t>
      </w:r>
    </w:p>
    <w:p w:rsidR="000E7DCD" w:rsidRPr="000561AD" w:rsidRDefault="000E7DCD" w:rsidP="007F28C8">
      <w:pPr>
        <w:pStyle w:val="ListParagraph"/>
        <w:numPr>
          <w:ilvl w:val="0"/>
          <w:numId w:val="21"/>
        </w:numPr>
        <w:tabs>
          <w:tab w:val="clear" w:pos="567"/>
        </w:tabs>
        <w:ind w:left="714" w:hanging="357"/>
        <w:contextualSpacing w:val="0"/>
        <w:rPr>
          <w:rFonts w:eastAsia="Times New Roman" w:cs="Times New Roman"/>
          <w:lang w:eastAsia="en-AU"/>
        </w:rPr>
      </w:pPr>
      <w:proofErr w:type="gramStart"/>
      <w:r w:rsidRPr="000561AD">
        <w:rPr>
          <w:rFonts w:eastAsia="Times New Roman" w:cs="Times New Roman"/>
          <w:lang w:eastAsia="en-AU"/>
        </w:rPr>
        <w:t>give</w:t>
      </w:r>
      <w:proofErr w:type="gramEnd"/>
      <w:r w:rsidRPr="000561AD">
        <w:rPr>
          <w:rFonts w:eastAsia="Times New Roman" w:cs="Times New Roman"/>
          <w:lang w:eastAsia="en-AU"/>
        </w:rPr>
        <w:t xml:space="preserve"> consideration to any submissions made within the specified period</w:t>
      </w:r>
      <w:r w:rsidR="00490DBF">
        <w:rPr>
          <w:rFonts w:eastAsia="Times New Roman" w:cs="Times New Roman"/>
          <w:lang w:eastAsia="en-AU"/>
        </w:rPr>
        <w:t xml:space="preserve"> (s 2F(2)(c))</w:t>
      </w:r>
      <w:r w:rsidRPr="000561AD">
        <w:rPr>
          <w:rFonts w:eastAsia="Times New Roman" w:cs="Times New Roman"/>
          <w:lang w:eastAsia="en-AU"/>
        </w:rPr>
        <w:t>.</w:t>
      </w:r>
    </w:p>
    <w:p w:rsidR="00EA4C03" w:rsidRDefault="00B17545" w:rsidP="004B3D60">
      <w:pPr>
        <w:rPr>
          <w:rFonts w:eastAsia="Times New Roman" w:cs="Times New Roman"/>
          <w:lang w:eastAsia="en-AU"/>
        </w:rPr>
      </w:pPr>
      <w:r>
        <w:t>O</w:t>
      </w:r>
      <w:r w:rsidRPr="00573D89">
        <w:t xml:space="preserve">n </w:t>
      </w:r>
      <w:r>
        <w:t xml:space="preserve">18 March 2014, </w:t>
      </w:r>
      <w:r w:rsidRPr="00573D89">
        <w:t>A</w:t>
      </w:r>
      <w:r>
        <w:t>MSRO</w:t>
      </w:r>
      <w:r w:rsidRPr="00573D89">
        <w:t xml:space="preserve"> </w:t>
      </w:r>
      <w:r w:rsidR="004B3D60">
        <w:t xml:space="preserve">released </w:t>
      </w:r>
      <w:r w:rsidRPr="00573D89">
        <w:t xml:space="preserve">a draft of the </w:t>
      </w:r>
      <w:r>
        <w:t>AMSRO code</w:t>
      </w:r>
      <w:r w:rsidRPr="00573D89">
        <w:t xml:space="preserve"> </w:t>
      </w:r>
      <w:r w:rsidR="004B3D60">
        <w:t xml:space="preserve">on its website </w:t>
      </w:r>
      <w:r w:rsidRPr="00573D89">
        <w:t xml:space="preserve">for public consultation. </w:t>
      </w:r>
      <w:r>
        <w:t>That consultation ran for a period of 32</w:t>
      </w:r>
      <w:r w:rsidRPr="00573D89">
        <w:t xml:space="preserve"> days</w:t>
      </w:r>
      <w:r w:rsidR="000E7DCD" w:rsidRPr="000561AD">
        <w:rPr>
          <w:rFonts w:eastAsia="Times New Roman" w:cs="Times New Roman"/>
          <w:lang w:eastAsia="en-AU"/>
        </w:rPr>
        <w:t xml:space="preserve">, </w:t>
      </w:r>
      <w:r w:rsidR="00A12509">
        <w:rPr>
          <w:rFonts w:eastAsia="Times New Roman" w:cs="Times New Roman"/>
          <w:lang w:eastAsia="en-AU"/>
        </w:rPr>
        <w:t>which satisfies</w:t>
      </w:r>
      <w:r w:rsidR="000E7DCD" w:rsidRPr="000561AD">
        <w:rPr>
          <w:rFonts w:eastAsia="Times New Roman" w:cs="Times New Roman"/>
          <w:lang w:eastAsia="en-AU"/>
        </w:rPr>
        <w:t xml:space="preserve"> the requirement in s</w:t>
      </w:r>
      <w:r w:rsidR="00A05EB7">
        <w:rPr>
          <w:rFonts w:eastAsia="Times New Roman" w:cs="Times New Roman"/>
          <w:lang w:eastAsia="en-AU"/>
        </w:rPr>
        <w:t xml:space="preserve"> </w:t>
      </w:r>
      <w:r w:rsidR="000E7DCD" w:rsidRPr="000561AD">
        <w:rPr>
          <w:rFonts w:eastAsia="Times New Roman" w:cs="Times New Roman"/>
          <w:lang w:eastAsia="en-AU"/>
        </w:rPr>
        <w:t>26</w:t>
      </w:r>
      <w:r>
        <w:rPr>
          <w:rFonts w:eastAsia="Times New Roman" w:cs="Times New Roman"/>
          <w:lang w:eastAsia="en-AU"/>
        </w:rPr>
        <w:t>F</w:t>
      </w:r>
      <w:r w:rsidR="000E7DCD" w:rsidRPr="000561AD">
        <w:rPr>
          <w:rFonts w:eastAsia="Times New Roman" w:cs="Times New Roman"/>
          <w:lang w:eastAsia="en-AU"/>
        </w:rPr>
        <w:t xml:space="preserve"> that the consultation run for a </w:t>
      </w:r>
      <w:r w:rsidR="000E7DCD" w:rsidRPr="00D70F2C">
        <w:rPr>
          <w:rFonts w:eastAsia="Times New Roman" w:cs="Times New Roman"/>
          <w:lang w:eastAsia="en-AU"/>
        </w:rPr>
        <w:t>period of at least 28 days</w:t>
      </w:r>
      <w:r w:rsidR="006F5D3D">
        <w:rPr>
          <w:rFonts w:eastAsia="Times New Roman" w:cs="Times New Roman"/>
          <w:lang w:eastAsia="en-AU"/>
        </w:rPr>
        <w:t xml:space="preserve">. </w:t>
      </w:r>
      <w:bookmarkStart w:id="2" w:name="_Ref377639526"/>
    </w:p>
    <w:p w:rsidR="006C0142" w:rsidRPr="000561AD" w:rsidRDefault="004B3D60" w:rsidP="004B3D60">
      <w:pPr>
        <w:rPr>
          <w:rFonts w:eastAsia="Times New Roman" w:cs="Times New Roman"/>
          <w:lang w:eastAsia="en-AU"/>
        </w:rPr>
      </w:pPr>
      <w:r>
        <w:t xml:space="preserve">The information submitted </w:t>
      </w:r>
      <w:r w:rsidR="00D57157">
        <w:t xml:space="preserve">to the </w:t>
      </w:r>
      <w:r w:rsidR="00965A5D">
        <w:t>OAIC</w:t>
      </w:r>
      <w:r w:rsidR="00D57157">
        <w:t xml:space="preserve"> </w:t>
      </w:r>
      <w:r>
        <w:t>by AMSRO on 11 September 2014 in support of its application</w:t>
      </w:r>
      <w:r w:rsidR="00757CA1">
        <w:t>,</w:t>
      </w:r>
      <w:r>
        <w:t xml:space="preserve"> included correspondence showing that all AMSRO members </w:t>
      </w:r>
      <w:r w:rsidR="00A12509">
        <w:t xml:space="preserve">that </w:t>
      </w:r>
      <w:proofErr w:type="gramStart"/>
      <w:r>
        <w:t>will be bound</w:t>
      </w:r>
      <w:proofErr w:type="gramEnd"/>
      <w:r>
        <w:t xml:space="preserve"> by the AMSRO code were </w:t>
      </w:r>
      <w:r w:rsidR="00A12509">
        <w:t xml:space="preserve">individually </w:t>
      </w:r>
      <w:r>
        <w:t>notified about the public consultation.</w:t>
      </w:r>
      <w:bookmarkEnd w:id="2"/>
      <w:r>
        <w:t xml:space="preserve"> </w:t>
      </w:r>
      <w:r>
        <w:rPr>
          <w:rFonts w:eastAsia="Times New Roman" w:cs="Times New Roman"/>
          <w:lang w:eastAsia="en-AU"/>
        </w:rPr>
        <w:t xml:space="preserve">Further, </w:t>
      </w:r>
      <w:r>
        <w:t xml:space="preserve">AMSRO provided copies of the </w:t>
      </w:r>
      <w:r w:rsidRPr="0063076D">
        <w:t xml:space="preserve">correspondence between </w:t>
      </w:r>
      <w:r>
        <w:t>itself</w:t>
      </w:r>
      <w:r w:rsidRPr="0063076D">
        <w:t xml:space="preserve"> and </w:t>
      </w:r>
      <w:r>
        <w:t xml:space="preserve">the </w:t>
      </w:r>
      <w:r w:rsidR="006F5D3D">
        <w:t xml:space="preserve">two </w:t>
      </w:r>
      <w:r>
        <w:t xml:space="preserve">AMSRO </w:t>
      </w:r>
      <w:r w:rsidRPr="0063076D">
        <w:t>members</w:t>
      </w:r>
      <w:r>
        <w:t xml:space="preserve"> who made submissions in </w:t>
      </w:r>
      <w:r w:rsidR="006F5D3D">
        <w:t>relation</w:t>
      </w:r>
      <w:r>
        <w:t xml:space="preserve"> to the draft AMSRO code.</w:t>
      </w:r>
      <w:r w:rsidR="00EA4C03" w:rsidRPr="00EA4C03">
        <w:t xml:space="preserve"> </w:t>
      </w:r>
      <w:r w:rsidR="00EA4C03">
        <w:t>AMSRO responded to the concerns outlined in those submissions, and amended the AMSRO code to address them.</w:t>
      </w:r>
    </w:p>
    <w:p w:rsidR="006C7CB4" w:rsidRDefault="002C7066" w:rsidP="005A39CD">
      <w:pPr>
        <w:rPr>
          <w:rFonts w:eastAsia="Times New Roman" w:cs="Times New Roman"/>
          <w:lang w:eastAsia="en-AU"/>
        </w:rPr>
      </w:pPr>
      <w:r>
        <w:t xml:space="preserve">The </w:t>
      </w:r>
      <w:r w:rsidR="006C0142">
        <w:t xml:space="preserve">Privacy </w:t>
      </w:r>
      <w:r w:rsidR="002153A6">
        <w:t>Commissioner</w:t>
      </w:r>
      <w:r>
        <w:t xml:space="preserve"> is satisfied, for the reasons set out above, that the consultation process undertaken by </w:t>
      </w:r>
      <w:r w:rsidR="00B17545">
        <w:t xml:space="preserve">AMSRO </w:t>
      </w:r>
      <w:r w:rsidR="006A517D">
        <w:t xml:space="preserve">adequately addresses the criteria required by s </w:t>
      </w:r>
      <w:r w:rsidR="006A517D" w:rsidRPr="000561AD">
        <w:rPr>
          <w:rFonts w:eastAsia="Times New Roman" w:cs="Times New Roman"/>
          <w:lang w:eastAsia="en-AU"/>
        </w:rPr>
        <w:t>26</w:t>
      </w:r>
      <w:r w:rsidR="006A517D">
        <w:rPr>
          <w:rFonts w:eastAsia="Times New Roman" w:cs="Times New Roman"/>
          <w:lang w:eastAsia="en-AU"/>
        </w:rPr>
        <w:t>F</w:t>
      </w:r>
      <w:r w:rsidR="006A517D" w:rsidRPr="000561AD">
        <w:rPr>
          <w:rFonts w:eastAsia="Times New Roman" w:cs="Times New Roman"/>
          <w:lang w:eastAsia="en-AU"/>
        </w:rPr>
        <w:t xml:space="preserve"> of the Privacy Act</w:t>
      </w:r>
      <w:r w:rsidR="006A517D">
        <w:rPr>
          <w:rFonts w:eastAsia="Times New Roman" w:cs="Times New Roman"/>
          <w:lang w:eastAsia="en-AU"/>
        </w:rPr>
        <w:t>.</w:t>
      </w:r>
      <w:r w:rsidR="006A517D" w:rsidRPr="000561AD">
        <w:rPr>
          <w:rFonts w:eastAsia="Times New Roman" w:cs="Times New Roman"/>
          <w:lang w:eastAsia="en-AU"/>
        </w:rPr>
        <w:t xml:space="preserve"> </w:t>
      </w:r>
    </w:p>
    <w:p w:rsidR="00495DBD" w:rsidRDefault="00495DBD" w:rsidP="005A39CD">
      <w:pPr>
        <w:rPr>
          <w:rFonts w:eastAsia="Times New Roman" w:cs="Times New Roman"/>
          <w:lang w:eastAsia="en-AU"/>
        </w:rPr>
      </w:pPr>
      <w:r>
        <w:rPr>
          <w:rFonts w:eastAsia="Times New Roman" w:cs="Times New Roman"/>
          <w:lang w:eastAsia="en-AU"/>
        </w:rPr>
        <w:t>The Office of Best Practice Regulation (OBPR)</w:t>
      </w:r>
      <w:r w:rsidR="006C7CB4">
        <w:rPr>
          <w:rFonts w:eastAsia="Times New Roman" w:cs="Times New Roman"/>
          <w:lang w:eastAsia="en-AU"/>
        </w:rPr>
        <w:t xml:space="preserve"> was also consulted on the AMSRO code. </w:t>
      </w:r>
      <w:r>
        <w:rPr>
          <w:rFonts w:eastAsia="Times New Roman" w:cs="Times New Roman"/>
          <w:lang w:eastAsia="en-AU"/>
        </w:rPr>
        <w:t xml:space="preserve">OBPR advised that </w:t>
      </w:r>
      <w:r w:rsidR="005C026D">
        <w:rPr>
          <w:rFonts w:eastAsia="Times New Roman" w:cs="Times New Roman"/>
          <w:lang w:eastAsia="en-AU"/>
        </w:rPr>
        <w:t xml:space="preserve">the AMSRO code did not require </w:t>
      </w:r>
      <w:r>
        <w:rPr>
          <w:rFonts w:eastAsia="Times New Roman" w:cs="Times New Roman"/>
          <w:lang w:eastAsia="en-AU"/>
        </w:rPr>
        <w:t>a Regulatory Impact Statement</w:t>
      </w:r>
      <w:r w:rsidR="005C026D">
        <w:rPr>
          <w:rFonts w:eastAsia="Times New Roman" w:cs="Times New Roman"/>
          <w:lang w:eastAsia="en-AU"/>
        </w:rPr>
        <w:t xml:space="preserve">. </w:t>
      </w:r>
    </w:p>
    <w:p w:rsidR="001C5BD2" w:rsidRDefault="001C5BD2" w:rsidP="005A39CD">
      <w:pPr>
        <w:rPr>
          <w:rFonts w:eastAsiaTheme="majorEastAsia" w:cstheme="majorBidi"/>
          <w:b/>
          <w:bCs/>
          <w:sz w:val="28"/>
          <w:szCs w:val="26"/>
        </w:rPr>
      </w:pPr>
      <w:r>
        <w:br w:type="page"/>
      </w:r>
    </w:p>
    <w:p w:rsidR="001C5BD2" w:rsidRPr="001C5BD2" w:rsidRDefault="00C204DA" w:rsidP="001C5BD2">
      <w:pPr>
        <w:pStyle w:val="Heading1"/>
      </w:pPr>
      <w:r w:rsidRPr="001C5BD2">
        <w:lastRenderedPageBreak/>
        <w:t xml:space="preserve">Statement of compatibility </w:t>
      </w:r>
      <w:r w:rsidR="00911215" w:rsidRPr="001C5BD2">
        <w:t>with human rights</w:t>
      </w:r>
    </w:p>
    <w:p w:rsidR="00C204DA" w:rsidRPr="001C5BD2" w:rsidRDefault="001C5BD2" w:rsidP="001C5BD2">
      <w:pPr>
        <w:pStyle w:val="Heading4"/>
      </w:pPr>
      <w:r w:rsidRPr="001C5BD2">
        <w:t>P</w:t>
      </w:r>
      <w:r w:rsidR="00911215" w:rsidRPr="001C5BD2">
        <w:t>repared in accordance with Part 3 of the Human Rights (Parliamentary Scrutiny) Act 2011</w:t>
      </w:r>
    </w:p>
    <w:p w:rsidR="001C5BD2" w:rsidRDefault="00686F17" w:rsidP="001C5BD2">
      <w:r>
        <w:t>The</w:t>
      </w:r>
      <w:r w:rsidR="001C5BD2">
        <w:t xml:space="preserve"> </w:t>
      </w:r>
      <w:r w:rsidR="004B3D60" w:rsidRPr="005A39CD">
        <w:rPr>
          <w:i/>
        </w:rPr>
        <w:t>Privacy (Market and Social Research) Code 2014</w:t>
      </w:r>
      <w:r w:rsidR="00EA4C03">
        <w:rPr>
          <w:i/>
        </w:rPr>
        <w:t xml:space="preserve"> </w:t>
      </w:r>
      <w:r w:rsidR="00EA4C03">
        <w:t>(the AMSRO code)</w:t>
      </w:r>
      <w:r w:rsidR="00A05EB7">
        <w:t>,</w:t>
      </w:r>
      <w:r w:rsidR="004B3D60">
        <w:t xml:space="preserve"> </w:t>
      </w:r>
      <w:r w:rsidRPr="00C811E7">
        <w:t xml:space="preserve">submitted by the </w:t>
      </w:r>
      <w:r w:rsidR="004B3D60">
        <w:t xml:space="preserve">Association of Market and </w:t>
      </w:r>
      <w:r w:rsidR="004B3D60" w:rsidRPr="00936ECE">
        <w:t>S</w:t>
      </w:r>
      <w:r w:rsidR="004B3D60">
        <w:t xml:space="preserve">ocial </w:t>
      </w:r>
      <w:r w:rsidR="004B3D60" w:rsidRPr="00936ECE">
        <w:t>R</w:t>
      </w:r>
      <w:r w:rsidR="004B3D60">
        <w:t xml:space="preserve">esearch </w:t>
      </w:r>
      <w:r w:rsidR="004B3D60" w:rsidRPr="00936ECE">
        <w:t>O</w:t>
      </w:r>
      <w:r w:rsidR="004B3D60">
        <w:t>rganisations (AMSRO)</w:t>
      </w:r>
      <w:r w:rsidR="004B3D60" w:rsidRPr="00936ECE">
        <w:t xml:space="preserve"> </w:t>
      </w:r>
      <w:r w:rsidRPr="00C811E7">
        <w:t>to the</w:t>
      </w:r>
      <w:r>
        <w:t xml:space="preserve"> </w:t>
      </w:r>
      <w:r w:rsidR="00D069BC">
        <w:t xml:space="preserve">Privacy </w:t>
      </w:r>
      <w:r w:rsidR="002153A6">
        <w:t>Commissioner</w:t>
      </w:r>
      <w:r w:rsidR="00C217F1">
        <w:t xml:space="preserve"> for registration on </w:t>
      </w:r>
      <w:r w:rsidR="004B3D60">
        <w:t>11 September 2014</w:t>
      </w:r>
      <w:r w:rsidR="00A05EB7">
        <w:t>,</w:t>
      </w:r>
      <w:r>
        <w:t xml:space="preserve"> </w:t>
      </w:r>
      <w:r w:rsidR="001C5BD2">
        <w:t>is compatible with the human rights and freedoms recognised or declared in the internation</w:t>
      </w:r>
      <w:r w:rsidR="00820912">
        <w:t>al instruments listed in s </w:t>
      </w:r>
      <w:r w:rsidR="001C5BD2">
        <w:t xml:space="preserve">3 of the </w:t>
      </w:r>
      <w:r w:rsidR="001C5BD2" w:rsidRPr="001C5BD2">
        <w:rPr>
          <w:i/>
        </w:rPr>
        <w:t>Human Righ</w:t>
      </w:r>
      <w:r w:rsidR="00820912">
        <w:rPr>
          <w:i/>
        </w:rPr>
        <w:t>ts (Parliamentary Scrutiny) Act </w:t>
      </w:r>
      <w:r w:rsidR="001C5BD2" w:rsidRPr="001C5BD2">
        <w:rPr>
          <w:i/>
        </w:rPr>
        <w:t>2011</w:t>
      </w:r>
      <w:r w:rsidR="001C5BD2">
        <w:t>.</w:t>
      </w:r>
    </w:p>
    <w:p w:rsidR="001C5BD2" w:rsidRDefault="001C5BD2" w:rsidP="001C5BD2">
      <w:pPr>
        <w:pStyle w:val="Heading2"/>
      </w:pPr>
      <w:r>
        <w:t>Operation</w:t>
      </w:r>
    </w:p>
    <w:p w:rsidR="001C5BD2" w:rsidRDefault="001C5BD2" w:rsidP="001C5BD2">
      <w:r w:rsidRPr="00256CB7">
        <w:t xml:space="preserve">The </w:t>
      </w:r>
      <w:r w:rsidR="004B3D60" w:rsidRPr="00256CB7">
        <w:t>AMSRO</w:t>
      </w:r>
      <w:r w:rsidRPr="00256CB7">
        <w:t xml:space="preserve"> code is a </w:t>
      </w:r>
      <w:r w:rsidR="00820912" w:rsidRPr="00256CB7">
        <w:t xml:space="preserve">binding </w:t>
      </w:r>
      <w:r w:rsidRPr="00256CB7">
        <w:t>written code of practice</w:t>
      </w:r>
      <w:r w:rsidR="00A12509">
        <w:t xml:space="preserve"> about information privacy</w:t>
      </w:r>
      <w:r w:rsidR="00687622">
        <w:t xml:space="preserve"> developed under Part IIIB of the </w:t>
      </w:r>
      <w:r w:rsidR="00687622">
        <w:rPr>
          <w:i/>
        </w:rPr>
        <w:t>Privacy Act 1988</w:t>
      </w:r>
      <w:r w:rsidR="00687622">
        <w:t xml:space="preserve"> (the Privacy Act)</w:t>
      </w:r>
      <w:r w:rsidRPr="00256CB7">
        <w:t xml:space="preserve">. The </w:t>
      </w:r>
      <w:r w:rsidR="004B3D60" w:rsidRPr="00256CB7">
        <w:t>AMSRO</w:t>
      </w:r>
      <w:r w:rsidRPr="00256CB7">
        <w:t xml:space="preserve"> code </w:t>
      </w:r>
      <w:r w:rsidR="00A12509" w:rsidRPr="00256CB7">
        <w:t>supplement</w:t>
      </w:r>
      <w:r w:rsidR="00A12509">
        <w:t>s</w:t>
      </w:r>
      <w:r w:rsidR="00A12509" w:rsidRPr="00256CB7">
        <w:t xml:space="preserve"> the provisions of </w:t>
      </w:r>
      <w:r w:rsidR="00A12509">
        <w:t xml:space="preserve">the </w:t>
      </w:r>
      <w:r w:rsidR="00E113F7">
        <w:t>Australian Privacy Principles (</w:t>
      </w:r>
      <w:r w:rsidR="00A12509">
        <w:t>APPs</w:t>
      </w:r>
      <w:r w:rsidR="00E113F7">
        <w:t>)</w:t>
      </w:r>
      <w:r w:rsidR="00A12509">
        <w:t xml:space="preserve"> in </w:t>
      </w:r>
      <w:r w:rsidR="00A12509" w:rsidRPr="005A39CD">
        <w:t xml:space="preserve">Schedule 1 </w:t>
      </w:r>
      <w:r w:rsidR="00A12509" w:rsidRPr="00256CB7">
        <w:t xml:space="preserve">of the </w:t>
      </w:r>
      <w:r w:rsidR="00A12509">
        <w:t xml:space="preserve">Privacy Act and </w:t>
      </w:r>
      <w:r w:rsidR="00A05EB7">
        <w:t>outline</w:t>
      </w:r>
      <w:r w:rsidR="00A12509">
        <w:t>s</w:t>
      </w:r>
      <w:r w:rsidR="00A05EB7">
        <w:t xml:space="preserve"> how the entities bound by the code </w:t>
      </w:r>
      <w:r w:rsidR="00377E11">
        <w:t xml:space="preserve">must </w:t>
      </w:r>
      <w:r w:rsidR="00A05EB7">
        <w:t xml:space="preserve">apply or comply with </w:t>
      </w:r>
      <w:r w:rsidR="00A12509">
        <w:t xml:space="preserve">the </w:t>
      </w:r>
      <w:r w:rsidR="00A05EB7">
        <w:t>APPs.</w:t>
      </w:r>
      <w:r w:rsidR="00A12509">
        <w:t xml:space="preserve"> It also imposes a number of requirements additional to the APPs with which the entities bound by the AMSRO must comply.</w:t>
      </w:r>
      <w:r w:rsidR="00053CC0">
        <w:t xml:space="preserve"> </w:t>
      </w:r>
    </w:p>
    <w:p w:rsidR="00065564" w:rsidRDefault="00687622" w:rsidP="001C5BD2">
      <w:r>
        <w:t xml:space="preserve">In accordance with </w:t>
      </w:r>
      <w:r w:rsidR="009500FD">
        <w:t xml:space="preserve">s </w:t>
      </w:r>
      <w:proofErr w:type="gramStart"/>
      <w:r w:rsidR="009500FD">
        <w:t>26B(</w:t>
      </w:r>
      <w:proofErr w:type="gramEnd"/>
      <w:r w:rsidR="009500FD">
        <w:t>1)</w:t>
      </w:r>
      <w:r>
        <w:t>, t</w:t>
      </w:r>
      <w:r w:rsidR="00065564" w:rsidRPr="002C5BBA">
        <w:t>h</w:t>
      </w:r>
      <w:r w:rsidR="00065564">
        <w:t xml:space="preserve">e AMSRO </w:t>
      </w:r>
      <w:r w:rsidR="00065564" w:rsidRPr="002C5BBA">
        <w:t>code comes into force when it is included on the</w:t>
      </w:r>
      <w:r>
        <w:t xml:space="preserve"> OAIC</w:t>
      </w:r>
      <w:r w:rsidR="00FA2064">
        <w:t xml:space="preserve"> </w:t>
      </w:r>
      <w:hyperlink r:id="rId11" w:anchor="register" w:history="1">
        <w:r w:rsidR="00FA2064" w:rsidRPr="00FA2064">
          <w:rPr>
            <w:rStyle w:val="Hyperlink"/>
          </w:rPr>
          <w:t>Codes Register</w:t>
        </w:r>
      </w:hyperlink>
      <w:r w:rsidR="00FA2064">
        <w:t xml:space="preserve"> kept under s 26U(1) of that Act</w:t>
      </w:r>
      <w:r w:rsidR="00065564" w:rsidRPr="00FA2064">
        <w:rPr>
          <w:rStyle w:val="Hyperlink"/>
          <w:color w:val="000000" w:themeColor="text1"/>
        </w:rPr>
        <w:t>,</w:t>
      </w:r>
      <w:r w:rsidR="00065564" w:rsidRPr="00FA2064">
        <w:rPr>
          <w:color w:val="000000" w:themeColor="text1"/>
        </w:rPr>
        <w:t xml:space="preserve"> </w:t>
      </w:r>
      <w:r w:rsidR="00065564">
        <w:t>and will remain in force until it is repealed.</w:t>
      </w:r>
    </w:p>
    <w:p w:rsidR="001C5BD2" w:rsidRDefault="001C5BD2" w:rsidP="001C5BD2">
      <w:pPr>
        <w:pStyle w:val="Heading2"/>
      </w:pPr>
      <w:r>
        <w:t>Human rights implications</w:t>
      </w:r>
    </w:p>
    <w:p w:rsidR="00820912" w:rsidRPr="00965A5D" w:rsidRDefault="00EC53BE" w:rsidP="00820912">
      <w:r w:rsidRPr="00965A5D">
        <w:t xml:space="preserve">The </w:t>
      </w:r>
      <w:r w:rsidR="00D45305" w:rsidRPr="00965A5D">
        <w:t xml:space="preserve">AMSRO </w:t>
      </w:r>
      <w:r w:rsidR="00820912" w:rsidRPr="00965A5D">
        <w:t xml:space="preserve">code engages Article 17 of the </w:t>
      </w:r>
      <w:r w:rsidR="00820912" w:rsidRPr="00965A5D">
        <w:rPr>
          <w:i/>
        </w:rPr>
        <w:t xml:space="preserve">International Covenant on Civil and Political Rights </w:t>
      </w:r>
      <w:r w:rsidR="000E2941" w:rsidRPr="00965A5D">
        <w:t xml:space="preserve">(ICCPR). Article 17 </w:t>
      </w:r>
      <w:r w:rsidR="00820912" w:rsidRPr="00965A5D">
        <w:t xml:space="preserve">provides that no one shall be subjected to arbitrary or unlawful interference with his or her privacy, family, home or correspondence, </w:t>
      </w:r>
      <w:proofErr w:type="gramStart"/>
      <w:r w:rsidR="00820912" w:rsidRPr="00965A5D">
        <w:t>nor</w:t>
      </w:r>
      <w:proofErr w:type="gramEnd"/>
      <w:r w:rsidR="00820912" w:rsidRPr="00965A5D">
        <w:t xml:space="preserve"> to unlawful attacks on his or her honour and reputation, and that everyone has the right to the protection of the law against such interference or attacks.  </w:t>
      </w:r>
    </w:p>
    <w:p w:rsidR="00B84193" w:rsidRPr="00965A5D" w:rsidRDefault="00297318" w:rsidP="00686F17">
      <w:r w:rsidRPr="00965A5D">
        <w:t>The AMSRO code protects against the arbitrary interference with privacy, and advances the right to the protection of the law against such interference by</w:t>
      </w:r>
      <w:r w:rsidR="00B84193" w:rsidRPr="00965A5D">
        <w:t>:</w:t>
      </w:r>
    </w:p>
    <w:p w:rsidR="00B84193" w:rsidRPr="00965A5D" w:rsidRDefault="00B84193" w:rsidP="005A39CD">
      <w:pPr>
        <w:pStyle w:val="ListParagraph"/>
        <w:keepLines/>
        <w:numPr>
          <w:ilvl w:val="0"/>
          <w:numId w:val="32"/>
        </w:numPr>
        <w:tabs>
          <w:tab w:val="clear" w:pos="567"/>
        </w:tabs>
        <w:contextualSpacing w:val="0"/>
      </w:pPr>
      <w:r w:rsidRPr="00965A5D">
        <w:t xml:space="preserve">setting out how the APPs in Schedule 1 of the Privacy Act are to be applied and complied with </w:t>
      </w:r>
      <w:r w:rsidR="00E4265A" w:rsidRPr="00965A5D">
        <w:t>in the market and social research industry</w:t>
      </w:r>
      <w:r w:rsidR="00490DBF" w:rsidRPr="00965A5D">
        <w:t xml:space="preserve"> (Part E)</w:t>
      </w:r>
    </w:p>
    <w:p w:rsidR="00D069BC" w:rsidRPr="00965A5D" w:rsidRDefault="00297318" w:rsidP="005A39CD">
      <w:pPr>
        <w:pStyle w:val="ListParagraph"/>
        <w:keepLines/>
        <w:numPr>
          <w:ilvl w:val="0"/>
          <w:numId w:val="32"/>
        </w:numPr>
        <w:tabs>
          <w:tab w:val="clear" w:pos="567"/>
        </w:tabs>
        <w:contextualSpacing w:val="0"/>
      </w:pPr>
      <w:r w:rsidRPr="00965A5D">
        <w:t xml:space="preserve">introducing </w:t>
      </w:r>
      <w:r w:rsidR="00B84193" w:rsidRPr="00965A5D">
        <w:t xml:space="preserve">additional </w:t>
      </w:r>
      <w:r w:rsidR="00EA4C03" w:rsidRPr="00965A5D">
        <w:t xml:space="preserve">privacy enhancing </w:t>
      </w:r>
      <w:r w:rsidR="00B84193" w:rsidRPr="00965A5D">
        <w:t>requirements</w:t>
      </w:r>
      <w:r w:rsidR="00E4265A" w:rsidRPr="00965A5D">
        <w:t xml:space="preserve"> for </w:t>
      </w:r>
      <w:r w:rsidR="006D480E" w:rsidRPr="00965A5D">
        <w:t xml:space="preserve">research organisations </w:t>
      </w:r>
      <w:r w:rsidR="001C18BC" w:rsidRPr="00965A5D">
        <w:t xml:space="preserve">to apply in the market and social research industry </w:t>
      </w:r>
      <w:r w:rsidR="006D480E" w:rsidRPr="00965A5D">
        <w:t xml:space="preserve">when </w:t>
      </w:r>
      <w:r w:rsidR="00E4265A" w:rsidRPr="00965A5D">
        <w:t>handling personal information</w:t>
      </w:r>
      <w:r w:rsidR="00B84193" w:rsidRPr="00965A5D">
        <w:t>, including</w:t>
      </w:r>
      <w:r w:rsidR="00D069BC" w:rsidRPr="00965A5D">
        <w:t>:</w:t>
      </w:r>
    </w:p>
    <w:p w:rsidR="00D069BC" w:rsidRPr="00965A5D" w:rsidRDefault="00E113F7" w:rsidP="00157146">
      <w:pPr>
        <w:pStyle w:val="ListParagraph"/>
        <w:numPr>
          <w:ilvl w:val="1"/>
          <w:numId w:val="21"/>
        </w:numPr>
        <w:tabs>
          <w:tab w:val="clear" w:pos="567"/>
        </w:tabs>
        <w:contextualSpacing w:val="0"/>
        <w:rPr>
          <w:rFonts w:eastAsia="Times New Roman" w:cs="Times New Roman"/>
          <w:lang w:eastAsia="en-AU"/>
        </w:rPr>
      </w:pPr>
      <w:r w:rsidRPr="00965A5D">
        <w:rPr>
          <w:rFonts w:eastAsia="Times New Roman" w:cs="Times New Roman"/>
          <w:lang w:eastAsia="en-AU"/>
        </w:rPr>
        <w:t xml:space="preserve">the </w:t>
      </w:r>
      <w:r w:rsidR="006D480E" w:rsidRPr="00965A5D">
        <w:rPr>
          <w:rFonts w:eastAsia="Times New Roman" w:cs="Times New Roman"/>
          <w:lang w:eastAsia="en-AU"/>
        </w:rPr>
        <w:t xml:space="preserve">additional </w:t>
      </w:r>
      <w:r w:rsidR="00D069BC" w:rsidRPr="00965A5D">
        <w:rPr>
          <w:rFonts w:eastAsia="Times New Roman" w:cs="Times New Roman"/>
          <w:lang w:eastAsia="en-AU"/>
        </w:rPr>
        <w:t>matters</w:t>
      </w:r>
      <w:r w:rsidR="0056005F" w:rsidRPr="00965A5D">
        <w:rPr>
          <w:rFonts w:eastAsia="Times New Roman" w:cs="Times New Roman"/>
          <w:lang w:eastAsia="en-AU"/>
        </w:rPr>
        <w:t xml:space="preserve"> </w:t>
      </w:r>
      <w:r w:rsidR="00D069BC" w:rsidRPr="00965A5D">
        <w:rPr>
          <w:rFonts w:eastAsia="Times New Roman" w:cs="Times New Roman"/>
          <w:lang w:eastAsia="en-AU"/>
        </w:rPr>
        <w:t xml:space="preserve">that a research organisation bound by the AMSRO code must notify an individual </w:t>
      </w:r>
      <w:r w:rsidR="006D480E" w:rsidRPr="00965A5D">
        <w:rPr>
          <w:rFonts w:eastAsia="Times New Roman" w:cs="Times New Roman"/>
          <w:lang w:eastAsia="en-AU"/>
        </w:rPr>
        <w:t xml:space="preserve">participating in market research </w:t>
      </w:r>
      <w:r w:rsidR="00D069BC" w:rsidRPr="00965A5D">
        <w:rPr>
          <w:rFonts w:eastAsia="Times New Roman" w:cs="Times New Roman"/>
          <w:lang w:eastAsia="en-AU"/>
        </w:rPr>
        <w:t>about, and the timeframe for providing that notice</w:t>
      </w:r>
      <w:r w:rsidR="00F1082E" w:rsidRPr="00965A5D">
        <w:rPr>
          <w:rFonts w:eastAsia="Times New Roman" w:cs="Times New Roman"/>
          <w:lang w:eastAsia="en-AU"/>
        </w:rPr>
        <w:t xml:space="preserve"> (paragraphs </w:t>
      </w:r>
      <w:r w:rsidR="00F66A42" w:rsidRPr="00965A5D">
        <w:rPr>
          <w:rFonts w:eastAsia="Times New Roman" w:cs="Times New Roman"/>
          <w:lang w:eastAsia="en-AU"/>
        </w:rPr>
        <w:t>5.3 – 5.4</w:t>
      </w:r>
      <w:r w:rsidR="00F1082E" w:rsidRPr="00965A5D">
        <w:rPr>
          <w:rFonts w:eastAsia="Times New Roman" w:cs="Times New Roman"/>
          <w:lang w:eastAsia="en-AU"/>
        </w:rPr>
        <w:t>)</w:t>
      </w:r>
    </w:p>
    <w:p w:rsidR="00D069BC" w:rsidRPr="00965A5D" w:rsidRDefault="001C18BC" w:rsidP="00157146">
      <w:pPr>
        <w:pStyle w:val="ListParagraph"/>
        <w:numPr>
          <w:ilvl w:val="1"/>
          <w:numId w:val="21"/>
        </w:numPr>
        <w:tabs>
          <w:tab w:val="clear" w:pos="567"/>
        </w:tabs>
        <w:contextualSpacing w:val="0"/>
        <w:rPr>
          <w:rFonts w:eastAsia="Times New Roman" w:cs="Times New Roman"/>
          <w:lang w:eastAsia="en-AU"/>
        </w:rPr>
      </w:pPr>
      <w:r w:rsidRPr="00965A5D">
        <w:rPr>
          <w:rFonts w:eastAsia="Times New Roman" w:cs="Times New Roman"/>
          <w:lang w:eastAsia="en-AU"/>
        </w:rPr>
        <w:t xml:space="preserve">the circumstances </w:t>
      </w:r>
      <w:r w:rsidR="00E113F7" w:rsidRPr="00965A5D">
        <w:rPr>
          <w:rFonts w:eastAsia="Times New Roman" w:cs="Times New Roman"/>
          <w:lang w:eastAsia="en-AU"/>
        </w:rPr>
        <w:t xml:space="preserve">under which </w:t>
      </w:r>
      <w:r w:rsidR="00D069BC" w:rsidRPr="00965A5D">
        <w:rPr>
          <w:rFonts w:eastAsia="Times New Roman" w:cs="Times New Roman"/>
          <w:lang w:eastAsia="en-AU"/>
        </w:rPr>
        <w:t xml:space="preserve">a research organisation bound by the AMSRO code can </w:t>
      </w:r>
      <w:r w:rsidR="00C17294" w:rsidRPr="00965A5D">
        <w:rPr>
          <w:rFonts w:eastAsia="Times New Roman" w:cs="Times New Roman"/>
          <w:lang w:eastAsia="en-AU"/>
        </w:rPr>
        <w:t xml:space="preserve">use and </w:t>
      </w:r>
      <w:r w:rsidR="00D069BC" w:rsidRPr="00965A5D">
        <w:rPr>
          <w:rFonts w:eastAsia="Times New Roman" w:cs="Times New Roman"/>
          <w:lang w:eastAsia="en-AU"/>
        </w:rPr>
        <w:t>disclose certain personal information</w:t>
      </w:r>
      <w:r w:rsidR="00F1082E" w:rsidRPr="00965A5D">
        <w:rPr>
          <w:rFonts w:eastAsia="Times New Roman" w:cs="Times New Roman"/>
          <w:lang w:eastAsia="en-AU"/>
        </w:rPr>
        <w:t xml:space="preserve"> (paragraphs</w:t>
      </w:r>
      <w:r w:rsidR="00F66A42" w:rsidRPr="00965A5D">
        <w:rPr>
          <w:rFonts w:eastAsia="Times New Roman" w:cs="Times New Roman"/>
          <w:lang w:eastAsia="en-AU"/>
        </w:rPr>
        <w:t xml:space="preserve"> 6.2A – 6.2B</w:t>
      </w:r>
      <w:r w:rsidR="00F1082E" w:rsidRPr="00965A5D">
        <w:rPr>
          <w:rFonts w:eastAsia="Times New Roman" w:cs="Times New Roman"/>
          <w:lang w:eastAsia="en-AU"/>
        </w:rPr>
        <w:t>)</w:t>
      </w:r>
    </w:p>
    <w:p w:rsidR="00757CA1" w:rsidRPr="00965A5D" w:rsidRDefault="00F6193A" w:rsidP="0056005F">
      <w:pPr>
        <w:pStyle w:val="ListParagraph"/>
        <w:numPr>
          <w:ilvl w:val="1"/>
          <w:numId w:val="21"/>
        </w:numPr>
        <w:tabs>
          <w:tab w:val="clear" w:pos="567"/>
        </w:tabs>
        <w:contextualSpacing w:val="0"/>
        <w:rPr>
          <w:rFonts w:eastAsia="Times New Roman" w:cs="Times New Roman"/>
          <w:lang w:eastAsia="en-AU"/>
        </w:rPr>
      </w:pPr>
      <w:r w:rsidRPr="00965A5D">
        <w:rPr>
          <w:rFonts w:eastAsia="Times New Roman" w:cs="Times New Roman"/>
          <w:lang w:eastAsia="en-AU"/>
        </w:rPr>
        <w:lastRenderedPageBreak/>
        <w:t>th</w:t>
      </w:r>
      <w:r w:rsidR="0056005F" w:rsidRPr="00965A5D">
        <w:rPr>
          <w:rFonts w:eastAsia="Times New Roman" w:cs="Times New Roman"/>
          <w:lang w:eastAsia="en-AU"/>
        </w:rPr>
        <w:t xml:space="preserve">e specific purposes which </w:t>
      </w:r>
      <w:r w:rsidR="00D069BC" w:rsidRPr="00965A5D">
        <w:rPr>
          <w:rFonts w:eastAsia="Times New Roman" w:cs="Times New Roman"/>
          <w:lang w:eastAsia="en-AU"/>
        </w:rPr>
        <w:t xml:space="preserve">a research organisation bound by the AMSRO code </w:t>
      </w:r>
      <w:r w:rsidR="0056005F" w:rsidRPr="00965A5D">
        <w:rPr>
          <w:rFonts w:eastAsia="Times New Roman" w:cs="Times New Roman"/>
          <w:lang w:eastAsia="en-AU"/>
        </w:rPr>
        <w:t>can rely upon to</w:t>
      </w:r>
      <w:r w:rsidR="00D069BC" w:rsidRPr="00965A5D">
        <w:rPr>
          <w:rFonts w:eastAsia="Times New Roman" w:cs="Times New Roman"/>
          <w:lang w:eastAsia="en-AU"/>
        </w:rPr>
        <w:t xml:space="preserve"> permit t</w:t>
      </w:r>
      <w:r w:rsidR="0056005F" w:rsidRPr="00965A5D">
        <w:rPr>
          <w:rFonts w:eastAsia="Times New Roman" w:cs="Times New Roman"/>
          <w:lang w:eastAsia="en-AU"/>
        </w:rPr>
        <w:t>he</w:t>
      </w:r>
      <w:r w:rsidR="00D069BC" w:rsidRPr="00965A5D">
        <w:rPr>
          <w:rFonts w:eastAsia="Times New Roman" w:cs="Times New Roman"/>
          <w:lang w:eastAsia="en-AU"/>
        </w:rPr>
        <w:t xml:space="preserve"> ret</w:t>
      </w:r>
      <w:r w:rsidR="0056005F" w:rsidRPr="00965A5D">
        <w:rPr>
          <w:rFonts w:eastAsia="Times New Roman" w:cs="Times New Roman"/>
          <w:lang w:eastAsia="en-AU"/>
        </w:rPr>
        <w:t xml:space="preserve">ention of </w:t>
      </w:r>
      <w:r w:rsidR="00D069BC" w:rsidRPr="00965A5D">
        <w:rPr>
          <w:rFonts w:eastAsia="Times New Roman" w:cs="Times New Roman"/>
          <w:lang w:eastAsia="en-AU"/>
        </w:rPr>
        <w:t>personal information</w:t>
      </w:r>
      <w:r w:rsidRPr="00965A5D">
        <w:rPr>
          <w:rFonts w:eastAsia="Times New Roman" w:cs="Times New Roman"/>
          <w:lang w:eastAsia="en-AU"/>
        </w:rPr>
        <w:t xml:space="preserve"> </w:t>
      </w:r>
      <w:r w:rsidR="00F1082E" w:rsidRPr="00965A5D">
        <w:rPr>
          <w:rFonts w:eastAsia="Times New Roman" w:cs="Times New Roman"/>
          <w:lang w:eastAsia="en-AU"/>
        </w:rPr>
        <w:t xml:space="preserve">(paragraph </w:t>
      </w:r>
      <w:r w:rsidR="00F66A42" w:rsidRPr="00965A5D">
        <w:rPr>
          <w:rFonts w:eastAsia="Times New Roman" w:cs="Times New Roman"/>
          <w:lang w:eastAsia="en-AU"/>
        </w:rPr>
        <w:t>11.3</w:t>
      </w:r>
      <w:r w:rsidR="00F1082E" w:rsidRPr="00965A5D">
        <w:rPr>
          <w:rFonts w:eastAsia="Times New Roman" w:cs="Times New Roman"/>
          <w:lang w:eastAsia="en-AU"/>
        </w:rPr>
        <w:t>)</w:t>
      </w:r>
    </w:p>
    <w:p w:rsidR="00D069BC" w:rsidRPr="00965A5D" w:rsidRDefault="00D069BC" w:rsidP="0056005F">
      <w:pPr>
        <w:pStyle w:val="ListParagraph"/>
        <w:numPr>
          <w:ilvl w:val="1"/>
          <w:numId w:val="21"/>
        </w:numPr>
        <w:tabs>
          <w:tab w:val="clear" w:pos="567"/>
        </w:tabs>
        <w:contextualSpacing w:val="0"/>
        <w:rPr>
          <w:rFonts w:eastAsia="Times New Roman" w:cs="Times New Roman"/>
          <w:lang w:eastAsia="en-AU"/>
        </w:rPr>
      </w:pPr>
      <w:r w:rsidRPr="00965A5D">
        <w:rPr>
          <w:rFonts w:eastAsia="Times New Roman" w:cs="Times New Roman"/>
          <w:lang w:eastAsia="en-AU"/>
        </w:rPr>
        <w:t>the steps that a research organisation bound by the AMSRO code must take to de-identify certain personal information</w:t>
      </w:r>
      <w:r w:rsidR="00F1082E" w:rsidRPr="00965A5D">
        <w:rPr>
          <w:rFonts w:eastAsia="Times New Roman" w:cs="Times New Roman"/>
          <w:lang w:eastAsia="en-AU"/>
        </w:rPr>
        <w:t xml:space="preserve"> (paragraph </w:t>
      </w:r>
      <w:r w:rsidR="00F66A42" w:rsidRPr="00965A5D">
        <w:rPr>
          <w:rFonts w:eastAsia="Times New Roman" w:cs="Times New Roman"/>
          <w:lang w:eastAsia="en-AU"/>
        </w:rPr>
        <w:t>11.4</w:t>
      </w:r>
      <w:r w:rsidR="00F1082E" w:rsidRPr="00965A5D">
        <w:rPr>
          <w:rFonts w:eastAsia="Times New Roman" w:cs="Times New Roman"/>
          <w:lang w:eastAsia="en-AU"/>
        </w:rPr>
        <w:t>)</w:t>
      </w:r>
    </w:p>
    <w:p w:rsidR="00971B55" w:rsidRPr="00965A5D" w:rsidRDefault="00971B55" w:rsidP="00971B55">
      <w:pPr>
        <w:pStyle w:val="ListParagraph"/>
        <w:numPr>
          <w:ilvl w:val="1"/>
          <w:numId w:val="21"/>
        </w:numPr>
        <w:tabs>
          <w:tab w:val="clear" w:pos="567"/>
        </w:tabs>
        <w:contextualSpacing w:val="0"/>
        <w:rPr>
          <w:rFonts w:eastAsia="Times New Roman" w:cs="Times New Roman"/>
          <w:lang w:eastAsia="en-AU"/>
        </w:rPr>
      </w:pPr>
      <w:r w:rsidRPr="00965A5D">
        <w:rPr>
          <w:rFonts w:eastAsia="Times New Roman" w:cs="Times New Roman"/>
          <w:lang w:eastAsia="en-AU"/>
        </w:rPr>
        <w:t>when a research organisation bound by the AMSRO code is permitted to retain certain personal information</w:t>
      </w:r>
      <w:r w:rsidR="00F1082E" w:rsidRPr="00965A5D">
        <w:rPr>
          <w:rFonts w:eastAsia="Times New Roman" w:cs="Times New Roman"/>
          <w:lang w:eastAsia="en-AU"/>
        </w:rPr>
        <w:t xml:space="preserve"> (paragraph </w:t>
      </w:r>
      <w:r w:rsidR="00F66A42" w:rsidRPr="00965A5D">
        <w:rPr>
          <w:rFonts w:eastAsia="Times New Roman" w:cs="Times New Roman"/>
          <w:lang w:eastAsia="en-AU"/>
        </w:rPr>
        <w:t>11.5</w:t>
      </w:r>
      <w:r w:rsidR="00F1082E" w:rsidRPr="00965A5D">
        <w:rPr>
          <w:rFonts w:eastAsia="Times New Roman" w:cs="Times New Roman"/>
          <w:lang w:eastAsia="en-AU"/>
        </w:rPr>
        <w:t>)</w:t>
      </w:r>
    </w:p>
    <w:p w:rsidR="00D069BC" w:rsidRPr="00965A5D" w:rsidRDefault="00D069BC" w:rsidP="00157146">
      <w:pPr>
        <w:pStyle w:val="ListParagraph"/>
        <w:numPr>
          <w:ilvl w:val="1"/>
          <w:numId w:val="21"/>
        </w:numPr>
        <w:tabs>
          <w:tab w:val="clear" w:pos="567"/>
        </w:tabs>
        <w:contextualSpacing w:val="0"/>
        <w:rPr>
          <w:rFonts w:eastAsia="Times New Roman" w:cs="Times New Roman"/>
          <w:lang w:eastAsia="en-AU"/>
        </w:rPr>
      </w:pPr>
      <w:r w:rsidRPr="00965A5D">
        <w:rPr>
          <w:rFonts w:eastAsia="Times New Roman" w:cs="Times New Roman"/>
          <w:lang w:eastAsia="en-AU"/>
        </w:rPr>
        <w:t xml:space="preserve">the </w:t>
      </w:r>
      <w:r w:rsidR="00F6193A" w:rsidRPr="00965A5D">
        <w:rPr>
          <w:rFonts w:eastAsia="Times New Roman" w:cs="Times New Roman"/>
          <w:lang w:eastAsia="en-AU"/>
        </w:rPr>
        <w:t xml:space="preserve">reasonable </w:t>
      </w:r>
      <w:r w:rsidRPr="00965A5D">
        <w:rPr>
          <w:rFonts w:eastAsia="Times New Roman" w:cs="Times New Roman"/>
          <w:lang w:eastAsia="en-AU"/>
        </w:rPr>
        <w:t>steps a research organisation bound by the AMSRO code must take to ensure that certain personal information that it discloses is protected</w:t>
      </w:r>
      <w:r w:rsidR="00F1082E" w:rsidRPr="00965A5D">
        <w:rPr>
          <w:rFonts w:eastAsia="Times New Roman" w:cs="Times New Roman"/>
          <w:lang w:eastAsia="en-AU"/>
        </w:rPr>
        <w:t xml:space="preserve"> (paragraphs 11</w:t>
      </w:r>
      <w:r w:rsidR="00F66A42" w:rsidRPr="00965A5D">
        <w:rPr>
          <w:rFonts w:eastAsia="Times New Roman" w:cs="Times New Roman"/>
          <w:lang w:eastAsia="en-AU"/>
        </w:rPr>
        <w:t xml:space="preserve">.6(a) – </w:t>
      </w:r>
      <w:r w:rsidR="00692038" w:rsidRPr="00965A5D">
        <w:rPr>
          <w:rFonts w:eastAsia="Times New Roman" w:cs="Times New Roman"/>
          <w:lang w:eastAsia="en-AU"/>
        </w:rPr>
        <w:t>(c)</w:t>
      </w:r>
      <w:r w:rsidR="00F1082E" w:rsidRPr="00965A5D">
        <w:rPr>
          <w:rFonts w:eastAsia="Times New Roman" w:cs="Times New Roman"/>
          <w:lang w:eastAsia="en-AU"/>
        </w:rPr>
        <w:t>)</w:t>
      </w:r>
    </w:p>
    <w:p w:rsidR="00D069BC" w:rsidRPr="00965A5D" w:rsidRDefault="00F6193A" w:rsidP="00157146">
      <w:pPr>
        <w:pStyle w:val="ListParagraph"/>
        <w:numPr>
          <w:ilvl w:val="1"/>
          <w:numId w:val="21"/>
        </w:numPr>
        <w:tabs>
          <w:tab w:val="clear" w:pos="567"/>
        </w:tabs>
        <w:contextualSpacing w:val="0"/>
        <w:rPr>
          <w:rFonts w:eastAsia="Times New Roman" w:cs="Times New Roman"/>
          <w:lang w:eastAsia="en-AU"/>
        </w:rPr>
      </w:pPr>
      <w:proofErr w:type="gramStart"/>
      <w:r w:rsidRPr="00965A5D">
        <w:rPr>
          <w:rFonts w:eastAsia="Times New Roman" w:cs="Times New Roman"/>
          <w:lang w:eastAsia="en-AU"/>
        </w:rPr>
        <w:t>the</w:t>
      </w:r>
      <w:proofErr w:type="gramEnd"/>
      <w:r w:rsidRPr="00965A5D">
        <w:rPr>
          <w:rFonts w:eastAsia="Times New Roman" w:cs="Times New Roman"/>
          <w:lang w:eastAsia="en-AU"/>
        </w:rPr>
        <w:t xml:space="preserve"> </w:t>
      </w:r>
      <w:r w:rsidR="00C17294" w:rsidRPr="00965A5D">
        <w:rPr>
          <w:rFonts w:eastAsia="Times New Roman" w:cs="Times New Roman"/>
          <w:lang w:eastAsia="en-AU"/>
        </w:rPr>
        <w:t xml:space="preserve">limited </w:t>
      </w:r>
      <w:r w:rsidRPr="00965A5D">
        <w:rPr>
          <w:rFonts w:eastAsia="Times New Roman" w:cs="Times New Roman"/>
          <w:lang w:eastAsia="en-AU"/>
        </w:rPr>
        <w:t xml:space="preserve">circumstances </w:t>
      </w:r>
      <w:r w:rsidR="00D069BC" w:rsidRPr="00965A5D">
        <w:rPr>
          <w:rFonts w:eastAsia="Times New Roman" w:cs="Times New Roman"/>
          <w:lang w:eastAsia="en-AU"/>
        </w:rPr>
        <w:t xml:space="preserve">when a research organisation bound by the AMSRO code is </w:t>
      </w:r>
      <w:r w:rsidRPr="00965A5D">
        <w:rPr>
          <w:rFonts w:eastAsia="Times New Roman" w:cs="Times New Roman"/>
          <w:lang w:eastAsia="en-AU"/>
        </w:rPr>
        <w:t xml:space="preserve">not </w:t>
      </w:r>
      <w:r w:rsidR="00D069BC" w:rsidRPr="00965A5D">
        <w:rPr>
          <w:rFonts w:eastAsia="Times New Roman" w:cs="Times New Roman"/>
          <w:lang w:eastAsia="en-AU"/>
        </w:rPr>
        <w:t>required to comply with a request to destroy or de-identi</w:t>
      </w:r>
      <w:r w:rsidR="00F1082E" w:rsidRPr="00965A5D">
        <w:rPr>
          <w:rFonts w:eastAsia="Times New Roman" w:cs="Times New Roman"/>
          <w:lang w:eastAsia="en-AU"/>
        </w:rPr>
        <w:t>fy certain personal information (paragraph 11</w:t>
      </w:r>
      <w:r w:rsidR="00F66A42" w:rsidRPr="00965A5D">
        <w:rPr>
          <w:rFonts w:eastAsia="Times New Roman" w:cs="Times New Roman"/>
          <w:lang w:eastAsia="en-AU"/>
        </w:rPr>
        <w:t>.7</w:t>
      </w:r>
      <w:r w:rsidR="00F1082E" w:rsidRPr="00965A5D">
        <w:rPr>
          <w:rFonts w:eastAsia="Times New Roman" w:cs="Times New Roman"/>
          <w:lang w:eastAsia="en-AU"/>
        </w:rPr>
        <w:t xml:space="preserve">). </w:t>
      </w:r>
    </w:p>
    <w:p w:rsidR="00B84193" w:rsidRDefault="00E113F7" w:rsidP="00C442DB">
      <w:r>
        <w:t xml:space="preserve">The AMSRO code does not limit any of the rights and freedoms contained in the seven core human rights treaties to which Australia is a party.  </w:t>
      </w:r>
    </w:p>
    <w:p w:rsidR="001C5BD2" w:rsidRDefault="001C5BD2" w:rsidP="00B5454F">
      <w:pPr>
        <w:pStyle w:val="Heading2"/>
      </w:pPr>
      <w:r>
        <w:t>Conclusion</w:t>
      </w:r>
    </w:p>
    <w:p w:rsidR="001614E3" w:rsidRPr="005A39CD" w:rsidRDefault="00B5454F" w:rsidP="00B5454F">
      <w:r w:rsidRPr="00800855">
        <w:t xml:space="preserve">The </w:t>
      </w:r>
      <w:r w:rsidR="00D45305" w:rsidRPr="00800855">
        <w:t xml:space="preserve">AMSRO </w:t>
      </w:r>
      <w:r w:rsidRPr="00800855">
        <w:t>code</w:t>
      </w:r>
      <w:r w:rsidR="001C5BD2" w:rsidRPr="00800855">
        <w:t xml:space="preserve"> is compatible with human rights </w:t>
      </w:r>
      <w:r w:rsidRPr="00800855">
        <w:t>because</w:t>
      </w:r>
      <w:r w:rsidR="00297318">
        <w:t xml:space="preserve"> it advances </w:t>
      </w:r>
      <w:r w:rsidR="00F16AC1" w:rsidRPr="00B62647">
        <w:rPr>
          <w:rFonts w:asciiTheme="minorHAnsi" w:hAnsiTheme="minorHAnsi" w:cstheme="minorHAnsi"/>
          <w:szCs w:val="24"/>
        </w:rPr>
        <w:t>the protection of human rights</w:t>
      </w:r>
      <w:r w:rsidR="00F16AC1">
        <w:t xml:space="preserve"> by supplementing and strengthening the APPs</w:t>
      </w:r>
      <w:r w:rsidR="00E90394">
        <w:t xml:space="preserve"> through</w:t>
      </w:r>
      <w:r w:rsidR="00F16AC1">
        <w:t xml:space="preserve"> </w:t>
      </w:r>
      <w:r w:rsidR="00E90394">
        <w:t xml:space="preserve">the introduction of </w:t>
      </w:r>
      <w:r w:rsidR="00F16AC1">
        <w:t>additional</w:t>
      </w:r>
      <w:r w:rsidR="00FF1C34">
        <w:t>, privacy enhancing</w:t>
      </w:r>
      <w:r w:rsidR="00F16AC1">
        <w:t xml:space="preserve"> </w:t>
      </w:r>
      <w:r w:rsidR="00E90394">
        <w:t xml:space="preserve">requirements for the handling of personal information by </w:t>
      </w:r>
      <w:r w:rsidR="00FF1C34">
        <w:t xml:space="preserve">the </w:t>
      </w:r>
      <w:r w:rsidR="00E90394">
        <w:t xml:space="preserve">entities that it binds. </w:t>
      </w:r>
    </w:p>
    <w:p w:rsidR="001C5BD2" w:rsidRDefault="001C5BD2" w:rsidP="0007193D">
      <w:pPr>
        <w:spacing w:after="200" w:line="24" w:lineRule="auto"/>
        <w:rPr>
          <w:highlight w:val="yellow"/>
        </w:rPr>
      </w:pPr>
    </w:p>
    <w:p w:rsidR="00E4265A" w:rsidRPr="0007193D" w:rsidRDefault="00E4265A">
      <w:pPr>
        <w:spacing w:after="200" w:line="24" w:lineRule="auto"/>
        <w:rPr>
          <w:highlight w:val="yellow"/>
        </w:rPr>
      </w:pPr>
    </w:p>
    <w:sectPr w:rsidR="00E4265A" w:rsidRPr="000719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FA9" w:rsidRDefault="00FD5FA9" w:rsidP="00CB6868">
      <w:pPr>
        <w:spacing w:after="0"/>
      </w:pPr>
      <w:r>
        <w:separator/>
      </w:r>
    </w:p>
  </w:endnote>
  <w:endnote w:type="continuationSeparator" w:id="0">
    <w:p w:rsidR="00FD5FA9" w:rsidRDefault="00FD5FA9" w:rsidP="00CB686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FA9" w:rsidRDefault="00FD5FA9" w:rsidP="00CB6868">
      <w:pPr>
        <w:spacing w:after="0"/>
      </w:pPr>
      <w:r>
        <w:separator/>
      </w:r>
    </w:p>
  </w:footnote>
  <w:footnote w:type="continuationSeparator" w:id="0">
    <w:p w:rsidR="00FD5FA9" w:rsidRDefault="00FD5FA9" w:rsidP="00CB686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1758B"/>
    <w:multiLevelType w:val="hybridMultilevel"/>
    <w:tmpl w:val="3B9C6318"/>
    <w:lvl w:ilvl="0" w:tplc="6EEA8F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44615"/>
    <w:multiLevelType w:val="hybridMultilevel"/>
    <w:tmpl w:val="994C90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629F2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DB616E"/>
    <w:multiLevelType w:val="hybridMultilevel"/>
    <w:tmpl w:val="04D6DC80"/>
    <w:lvl w:ilvl="0" w:tplc="D6D43B7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9B26CF"/>
    <w:multiLevelType w:val="hybridMultilevel"/>
    <w:tmpl w:val="84DEBB68"/>
    <w:lvl w:ilvl="0" w:tplc="3E02218A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i w:val="0"/>
        <w:sz w:val="24"/>
        <w:szCs w:val="24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1D95A5E"/>
    <w:multiLevelType w:val="hybridMultilevel"/>
    <w:tmpl w:val="11BE0E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E81C48"/>
    <w:multiLevelType w:val="hybridMultilevel"/>
    <w:tmpl w:val="6010B476"/>
    <w:lvl w:ilvl="0" w:tplc="D6D43B7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B708EC"/>
    <w:multiLevelType w:val="multilevel"/>
    <w:tmpl w:val="7E1681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7">
    <w:nsid w:val="186351A7"/>
    <w:multiLevelType w:val="hybridMultilevel"/>
    <w:tmpl w:val="968CF0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086E13"/>
    <w:multiLevelType w:val="hybridMultilevel"/>
    <w:tmpl w:val="363CF2A0"/>
    <w:lvl w:ilvl="0" w:tplc="85F0E76A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1427B6"/>
    <w:multiLevelType w:val="hybridMultilevel"/>
    <w:tmpl w:val="D5A01D2A"/>
    <w:lvl w:ilvl="0" w:tplc="A4B08506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8102093"/>
    <w:multiLevelType w:val="hybridMultilevel"/>
    <w:tmpl w:val="BDCAA456"/>
    <w:lvl w:ilvl="0" w:tplc="96C21E2E">
      <w:start w:val="1"/>
      <w:numFmt w:val="decimal"/>
      <w:lvlText w:val="%1."/>
      <w:lvlJc w:val="right"/>
      <w:pPr>
        <w:ind w:left="63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E15376"/>
    <w:multiLevelType w:val="hybridMultilevel"/>
    <w:tmpl w:val="C3D8D4FA"/>
    <w:lvl w:ilvl="0" w:tplc="1AFE0792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720" w:hanging="360"/>
      </w:pPr>
    </w:lvl>
    <w:lvl w:ilvl="2" w:tplc="0C09001B" w:tentative="1">
      <w:start w:val="1"/>
      <w:numFmt w:val="lowerRoman"/>
      <w:lvlText w:val="%3."/>
      <w:lvlJc w:val="right"/>
      <w:pPr>
        <w:ind w:left="1440" w:hanging="180"/>
      </w:pPr>
    </w:lvl>
    <w:lvl w:ilvl="3" w:tplc="0C09000F" w:tentative="1">
      <w:start w:val="1"/>
      <w:numFmt w:val="decimal"/>
      <w:lvlText w:val="%4."/>
      <w:lvlJc w:val="left"/>
      <w:pPr>
        <w:ind w:left="2160" w:hanging="360"/>
      </w:pPr>
    </w:lvl>
    <w:lvl w:ilvl="4" w:tplc="0C090019" w:tentative="1">
      <w:start w:val="1"/>
      <w:numFmt w:val="lowerLetter"/>
      <w:lvlText w:val="%5."/>
      <w:lvlJc w:val="left"/>
      <w:pPr>
        <w:ind w:left="2880" w:hanging="360"/>
      </w:pPr>
    </w:lvl>
    <w:lvl w:ilvl="5" w:tplc="0C09001B" w:tentative="1">
      <w:start w:val="1"/>
      <w:numFmt w:val="lowerRoman"/>
      <w:lvlText w:val="%6."/>
      <w:lvlJc w:val="right"/>
      <w:pPr>
        <w:ind w:left="3600" w:hanging="180"/>
      </w:pPr>
    </w:lvl>
    <w:lvl w:ilvl="6" w:tplc="0C09000F" w:tentative="1">
      <w:start w:val="1"/>
      <w:numFmt w:val="decimal"/>
      <w:lvlText w:val="%7."/>
      <w:lvlJc w:val="left"/>
      <w:pPr>
        <w:ind w:left="4320" w:hanging="360"/>
      </w:pPr>
    </w:lvl>
    <w:lvl w:ilvl="7" w:tplc="0C090019" w:tentative="1">
      <w:start w:val="1"/>
      <w:numFmt w:val="lowerLetter"/>
      <w:lvlText w:val="%8."/>
      <w:lvlJc w:val="left"/>
      <w:pPr>
        <w:ind w:left="5040" w:hanging="360"/>
      </w:pPr>
    </w:lvl>
    <w:lvl w:ilvl="8" w:tplc="0C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2">
    <w:nsid w:val="30F737B4"/>
    <w:multiLevelType w:val="hybridMultilevel"/>
    <w:tmpl w:val="C9E870FC"/>
    <w:lvl w:ilvl="0" w:tplc="0B1A438C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C926EA"/>
    <w:multiLevelType w:val="hybridMultilevel"/>
    <w:tmpl w:val="A07E7F54"/>
    <w:lvl w:ilvl="0" w:tplc="4EC8BFBE">
      <w:start w:val="1"/>
      <w:numFmt w:val="decimal"/>
      <w:pStyle w:val="ListParagraph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2B33B8"/>
    <w:multiLevelType w:val="hybridMultilevel"/>
    <w:tmpl w:val="2370D274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C0A104A"/>
    <w:multiLevelType w:val="hybridMultilevel"/>
    <w:tmpl w:val="2DC09F3A"/>
    <w:lvl w:ilvl="0" w:tplc="D6D43B7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B45D0D"/>
    <w:multiLevelType w:val="hybridMultilevel"/>
    <w:tmpl w:val="D74E4B50"/>
    <w:lvl w:ilvl="0" w:tplc="51D82C2A">
      <w:numFmt w:val="bullet"/>
      <w:lvlText w:val="-"/>
      <w:lvlJc w:val="left"/>
      <w:pPr>
        <w:ind w:left="1080" w:hanging="360"/>
      </w:pPr>
      <w:rPr>
        <w:rFonts w:ascii="Cambria" w:eastAsia="Calibri" w:hAnsi="Cambria" w:cs="Times New Roman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99A4A1A"/>
    <w:multiLevelType w:val="hybridMultilevel"/>
    <w:tmpl w:val="2AF8E81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B2A56DA"/>
    <w:multiLevelType w:val="hybridMultilevel"/>
    <w:tmpl w:val="4E6E2DBA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4DC24299"/>
    <w:multiLevelType w:val="hybridMultilevel"/>
    <w:tmpl w:val="8E3E79C0"/>
    <w:lvl w:ilvl="0" w:tplc="61AEC176">
      <w:start w:val="1"/>
      <w:numFmt w:val="bullet"/>
      <w:lvlText w:val=""/>
      <w:lvlJc w:val="left"/>
      <w:pPr>
        <w:ind w:left="-55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89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61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33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05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77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49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210" w:hanging="360"/>
      </w:pPr>
      <w:rPr>
        <w:rFonts w:ascii="Wingdings" w:hAnsi="Wingdings" w:hint="default"/>
      </w:rPr>
    </w:lvl>
  </w:abstractNum>
  <w:abstractNum w:abstractNumId="20">
    <w:nsid w:val="51921DCA"/>
    <w:multiLevelType w:val="hybridMultilevel"/>
    <w:tmpl w:val="4BAC8F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629F2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6D490D"/>
    <w:multiLevelType w:val="hybridMultilevel"/>
    <w:tmpl w:val="9D924F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9440B0"/>
    <w:multiLevelType w:val="hybridMultilevel"/>
    <w:tmpl w:val="DFB2508A"/>
    <w:lvl w:ilvl="0" w:tplc="0C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3">
    <w:nsid w:val="6381148F"/>
    <w:multiLevelType w:val="hybridMultilevel"/>
    <w:tmpl w:val="904A0026"/>
    <w:lvl w:ilvl="0" w:tplc="37FE764A">
      <w:start w:val="1"/>
      <w:numFmt w:val="lowerLetter"/>
      <w:lvlText w:val="%1)"/>
      <w:lvlJc w:val="left"/>
      <w:pPr>
        <w:ind w:left="1353" w:hanging="360"/>
      </w:pPr>
    </w:lvl>
    <w:lvl w:ilvl="1" w:tplc="0C090019">
      <w:start w:val="1"/>
      <w:numFmt w:val="lowerLetter"/>
      <w:lvlText w:val="%2."/>
      <w:lvlJc w:val="left"/>
      <w:pPr>
        <w:ind w:left="2073" w:hanging="360"/>
      </w:pPr>
    </w:lvl>
    <w:lvl w:ilvl="2" w:tplc="0C09001B">
      <w:start w:val="1"/>
      <w:numFmt w:val="lowerRoman"/>
      <w:lvlText w:val="%3."/>
      <w:lvlJc w:val="right"/>
      <w:pPr>
        <w:ind w:left="2793" w:hanging="180"/>
      </w:pPr>
    </w:lvl>
    <w:lvl w:ilvl="3" w:tplc="0C09000F">
      <w:start w:val="1"/>
      <w:numFmt w:val="decimal"/>
      <w:lvlText w:val="%4."/>
      <w:lvlJc w:val="left"/>
      <w:pPr>
        <w:ind w:left="3513" w:hanging="360"/>
      </w:pPr>
    </w:lvl>
    <w:lvl w:ilvl="4" w:tplc="0C090019">
      <w:start w:val="1"/>
      <w:numFmt w:val="lowerLetter"/>
      <w:lvlText w:val="%5."/>
      <w:lvlJc w:val="left"/>
      <w:pPr>
        <w:ind w:left="4233" w:hanging="360"/>
      </w:pPr>
    </w:lvl>
    <w:lvl w:ilvl="5" w:tplc="0C09001B">
      <w:start w:val="1"/>
      <w:numFmt w:val="lowerRoman"/>
      <w:lvlText w:val="%6."/>
      <w:lvlJc w:val="right"/>
      <w:pPr>
        <w:ind w:left="4953" w:hanging="180"/>
      </w:pPr>
    </w:lvl>
    <w:lvl w:ilvl="6" w:tplc="0C09000F">
      <w:start w:val="1"/>
      <w:numFmt w:val="decimal"/>
      <w:lvlText w:val="%7."/>
      <w:lvlJc w:val="left"/>
      <w:pPr>
        <w:ind w:left="5673" w:hanging="360"/>
      </w:pPr>
    </w:lvl>
    <w:lvl w:ilvl="7" w:tplc="0C090019">
      <w:start w:val="1"/>
      <w:numFmt w:val="lowerLetter"/>
      <w:lvlText w:val="%8."/>
      <w:lvlJc w:val="left"/>
      <w:pPr>
        <w:ind w:left="6393" w:hanging="360"/>
      </w:pPr>
    </w:lvl>
    <w:lvl w:ilvl="8" w:tplc="0C09001B">
      <w:start w:val="1"/>
      <w:numFmt w:val="lowerRoman"/>
      <w:lvlText w:val="%9."/>
      <w:lvlJc w:val="right"/>
      <w:pPr>
        <w:ind w:left="7113" w:hanging="180"/>
      </w:pPr>
    </w:lvl>
  </w:abstractNum>
  <w:abstractNum w:abstractNumId="24">
    <w:nsid w:val="65CE4F2C"/>
    <w:multiLevelType w:val="hybridMultilevel"/>
    <w:tmpl w:val="D4FC57CC"/>
    <w:lvl w:ilvl="0" w:tplc="9D80E53C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6773D2F"/>
    <w:multiLevelType w:val="hybridMultilevel"/>
    <w:tmpl w:val="DEAC25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7974BC"/>
    <w:multiLevelType w:val="hybridMultilevel"/>
    <w:tmpl w:val="4FB2BEBE"/>
    <w:lvl w:ilvl="0" w:tplc="F3629F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97045B"/>
    <w:multiLevelType w:val="hybridMultilevel"/>
    <w:tmpl w:val="A29CAE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9277E1"/>
    <w:multiLevelType w:val="hybridMultilevel"/>
    <w:tmpl w:val="A95242FE"/>
    <w:lvl w:ilvl="0" w:tplc="C452FE0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0014CA"/>
    <w:multiLevelType w:val="hybridMultilevel"/>
    <w:tmpl w:val="3D5695D6"/>
    <w:lvl w:ilvl="0" w:tplc="B832C518">
      <w:start w:val="1"/>
      <w:numFmt w:val="bullet"/>
      <w:pStyle w:val="Bullet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C3D7822"/>
    <w:multiLevelType w:val="hybridMultilevel"/>
    <w:tmpl w:val="F84C05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CB03839"/>
    <w:multiLevelType w:val="hybridMultilevel"/>
    <w:tmpl w:val="A8E4DEB8"/>
    <w:lvl w:ilvl="0" w:tplc="46B6499E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6"/>
  </w:num>
  <w:num w:numId="2">
    <w:abstractNumId w:val="8"/>
  </w:num>
  <w:num w:numId="3">
    <w:abstractNumId w:val="10"/>
  </w:num>
  <w:num w:numId="4">
    <w:abstractNumId w:val="13"/>
  </w:num>
  <w:num w:numId="5">
    <w:abstractNumId w:val="0"/>
  </w:num>
  <w:num w:numId="6">
    <w:abstractNumId w:val="28"/>
  </w:num>
  <w:num w:numId="7">
    <w:abstractNumId w:val="9"/>
  </w:num>
  <w:num w:numId="8">
    <w:abstractNumId w:val="29"/>
  </w:num>
  <w:num w:numId="9">
    <w:abstractNumId w:val="24"/>
  </w:num>
  <w:num w:numId="10">
    <w:abstractNumId w:val="4"/>
  </w:num>
  <w:num w:numId="11">
    <w:abstractNumId w:val="16"/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4"/>
  </w:num>
  <w:num w:numId="15">
    <w:abstractNumId w:val="2"/>
  </w:num>
  <w:num w:numId="16">
    <w:abstractNumId w:val="31"/>
  </w:num>
  <w:num w:numId="17">
    <w:abstractNumId w:val="5"/>
  </w:num>
  <w:num w:numId="18">
    <w:abstractNumId w:val="12"/>
  </w:num>
  <w:num w:numId="19">
    <w:abstractNumId w:val="15"/>
  </w:num>
  <w:num w:numId="20">
    <w:abstractNumId w:val="21"/>
  </w:num>
  <w:num w:numId="21">
    <w:abstractNumId w:val="20"/>
  </w:num>
  <w:num w:numId="22">
    <w:abstractNumId w:val="7"/>
  </w:num>
  <w:num w:numId="23">
    <w:abstractNumId w:val="17"/>
  </w:num>
  <w:num w:numId="24">
    <w:abstractNumId w:val="30"/>
  </w:num>
  <w:num w:numId="25">
    <w:abstractNumId w:val="27"/>
  </w:num>
  <w:num w:numId="26">
    <w:abstractNumId w:val="18"/>
  </w:num>
  <w:num w:numId="27">
    <w:abstractNumId w:val="25"/>
  </w:num>
  <w:num w:numId="28">
    <w:abstractNumId w:val="19"/>
  </w:num>
  <w:num w:numId="29">
    <w:abstractNumId w:val="3"/>
  </w:num>
  <w:num w:numId="30">
    <w:abstractNumId w:val="6"/>
  </w:num>
  <w:num w:numId="31">
    <w:abstractNumId w:val="13"/>
  </w:num>
  <w:num w:numId="32">
    <w:abstractNumId w:val="1"/>
  </w:num>
  <w:num w:numId="33">
    <w:abstractNumId w:val="22"/>
  </w:num>
  <w:num w:numId="34">
    <w:abstractNumId w:val="13"/>
  </w:num>
  <w:num w:numId="35">
    <w:abstractNumId w:val="13"/>
  </w:num>
  <w:num w:numId="3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3"/>
  </w:num>
  <w:num w:numId="38">
    <w:abstractNumId w:val="13"/>
  </w:num>
  <w:num w:numId="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F1B"/>
    <w:rsid w:val="00000D7E"/>
    <w:rsid w:val="0000624D"/>
    <w:rsid w:val="00034817"/>
    <w:rsid w:val="00047B8C"/>
    <w:rsid w:val="00053CC0"/>
    <w:rsid w:val="000561AD"/>
    <w:rsid w:val="00065564"/>
    <w:rsid w:val="00067AAF"/>
    <w:rsid w:val="0007193D"/>
    <w:rsid w:val="00096050"/>
    <w:rsid w:val="0009781C"/>
    <w:rsid w:val="000A1ABA"/>
    <w:rsid w:val="000C5927"/>
    <w:rsid w:val="000C6D4C"/>
    <w:rsid w:val="000E2609"/>
    <w:rsid w:val="000E2941"/>
    <w:rsid w:val="000E7DCD"/>
    <w:rsid w:val="000F083B"/>
    <w:rsid w:val="000F2A71"/>
    <w:rsid w:val="000F4227"/>
    <w:rsid w:val="000F45FC"/>
    <w:rsid w:val="00124C7C"/>
    <w:rsid w:val="00127BE9"/>
    <w:rsid w:val="00130850"/>
    <w:rsid w:val="00157146"/>
    <w:rsid w:val="001614E3"/>
    <w:rsid w:val="001635DC"/>
    <w:rsid w:val="00167D8D"/>
    <w:rsid w:val="001809F8"/>
    <w:rsid w:val="001A5C66"/>
    <w:rsid w:val="001B42D9"/>
    <w:rsid w:val="001C18BC"/>
    <w:rsid w:val="001C5BD2"/>
    <w:rsid w:val="001C61D2"/>
    <w:rsid w:val="001D27AA"/>
    <w:rsid w:val="001D6DE9"/>
    <w:rsid w:val="001E4843"/>
    <w:rsid w:val="0021050D"/>
    <w:rsid w:val="002153A6"/>
    <w:rsid w:val="00217D43"/>
    <w:rsid w:val="00220AD7"/>
    <w:rsid w:val="00236009"/>
    <w:rsid w:val="002475CD"/>
    <w:rsid w:val="002547A9"/>
    <w:rsid w:val="00256CB7"/>
    <w:rsid w:val="00263EFE"/>
    <w:rsid w:val="00295DE8"/>
    <w:rsid w:val="00297318"/>
    <w:rsid w:val="002A66FC"/>
    <w:rsid w:val="002C19E2"/>
    <w:rsid w:val="002C631B"/>
    <w:rsid w:val="002C7066"/>
    <w:rsid w:val="002D383F"/>
    <w:rsid w:val="002D604B"/>
    <w:rsid w:val="002E4556"/>
    <w:rsid w:val="002E49D5"/>
    <w:rsid w:val="002E6D84"/>
    <w:rsid w:val="002F2148"/>
    <w:rsid w:val="003110F4"/>
    <w:rsid w:val="00315CD3"/>
    <w:rsid w:val="0032198C"/>
    <w:rsid w:val="003230A6"/>
    <w:rsid w:val="00323D4D"/>
    <w:rsid w:val="00330B5B"/>
    <w:rsid w:val="0035207E"/>
    <w:rsid w:val="003716C8"/>
    <w:rsid w:val="003759EA"/>
    <w:rsid w:val="00377E11"/>
    <w:rsid w:val="00380BC2"/>
    <w:rsid w:val="003B5CF2"/>
    <w:rsid w:val="003D2C20"/>
    <w:rsid w:val="003D4A38"/>
    <w:rsid w:val="003D7B86"/>
    <w:rsid w:val="003F42CD"/>
    <w:rsid w:val="003F7FA3"/>
    <w:rsid w:val="00410BAE"/>
    <w:rsid w:val="0047085D"/>
    <w:rsid w:val="004758C8"/>
    <w:rsid w:val="00480673"/>
    <w:rsid w:val="00485AF3"/>
    <w:rsid w:val="00490DBF"/>
    <w:rsid w:val="00495DBD"/>
    <w:rsid w:val="00495F61"/>
    <w:rsid w:val="004B3D60"/>
    <w:rsid w:val="004B4721"/>
    <w:rsid w:val="004D2B2E"/>
    <w:rsid w:val="004D7FB5"/>
    <w:rsid w:val="00502990"/>
    <w:rsid w:val="00516541"/>
    <w:rsid w:val="005174E0"/>
    <w:rsid w:val="005272D7"/>
    <w:rsid w:val="00537B95"/>
    <w:rsid w:val="00542843"/>
    <w:rsid w:val="00554E0B"/>
    <w:rsid w:val="0056005F"/>
    <w:rsid w:val="00560827"/>
    <w:rsid w:val="00576930"/>
    <w:rsid w:val="00576C04"/>
    <w:rsid w:val="00583A7B"/>
    <w:rsid w:val="00594852"/>
    <w:rsid w:val="005A10DE"/>
    <w:rsid w:val="005A39CD"/>
    <w:rsid w:val="005B0D80"/>
    <w:rsid w:val="005C026D"/>
    <w:rsid w:val="005D163B"/>
    <w:rsid w:val="005D19D3"/>
    <w:rsid w:val="005E071B"/>
    <w:rsid w:val="005E5F79"/>
    <w:rsid w:val="005E7DDB"/>
    <w:rsid w:val="005F7414"/>
    <w:rsid w:val="005F7A6E"/>
    <w:rsid w:val="00621841"/>
    <w:rsid w:val="00624A12"/>
    <w:rsid w:val="00645F8E"/>
    <w:rsid w:val="006529D7"/>
    <w:rsid w:val="00664C9C"/>
    <w:rsid w:val="00685826"/>
    <w:rsid w:val="00686F17"/>
    <w:rsid w:val="00687622"/>
    <w:rsid w:val="00690262"/>
    <w:rsid w:val="00690C8F"/>
    <w:rsid w:val="00692038"/>
    <w:rsid w:val="006A0BD1"/>
    <w:rsid w:val="006A517D"/>
    <w:rsid w:val="006C0142"/>
    <w:rsid w:val="006C3651"/>
    <w:rsid w:val="006C369F"/>
    <w:rsid w:val="006C7CB4"/>
    <w:rsid w:val="006D480E"/>
    <w:rsid w:val="006E6F34"/>
    <w:rsid w:val="006F40D9"/>
    <w:rsid w:val="006F41C9"/>
    <w:rsid w:val="006F5D3D"/>
    <w:rsid w:val="00707BB9"/>
    <w:rsid w:val="00721355"/>
    <w:rsid w:val="00757CA1"/>
    <w:rsid w:val="0077081A"/>
    <w:rsid w:val="00776725"/>
    <w:rsid w:val="00776B1D"/>
    <w:rsid w:val="00781A96"/>
    <w:rsid w:val="00796BF8"/>
    <w:rsid w:val="007B0492"/>
    <w:rsid w:val="007E5AAB"/>
    <w:rsid w:val="007E64D1"/>
    <w:rsid w:val="007F28C8"/>
    <w:rsid w:val="00800855"/>
    <w:rsid w:val="00806AE5"/>
    <w:rsid w:val="00820912"/>
    <w:rsid w:val="0082209F"/>
    <w:rsid w:val="00826FF3"/>
    <w:rsid w:val="00827B6B"/>
    <w:rsid w:val="008554F1"/>
    <w:rsid w:val="00887EBD"/>
    <w:rsid w:val="00896AE5"/>
    <w:rsid w:val="008D6365"/>
    <w:rsid w:val="008F092D"/>
    <w:rsid w:val="008F35D8"/>
    <w:rsid w:val="008F385F"/>
    <w:rsid w:val="00911215"/>
    <w:rsid w:val="00933771"/>
    <w:rsid w:val="009409B8"/>
    <w:rsid w:val="009500FD"/>
    <w:rsid w:val="00965A5D"/>
    <w:rsid w:val="00967209"/>
    <w:rsid w:val="00971B55"/>
    <w:rsid w:val="00975521"/>
    <w:rsid w:val="009842FB"/>
    <w:rsid w:val="0099671F"/>
    <w:rsid w:val="009A34A9"/>
    <w:rsid w:val="009A3FE9"/>
    <w:rsid w:val="009A6C47"/>
    <w:rsid w:val="009B2678"/>
    <w:rsid w:val="009B5E35"/>
    <w:rsid w:val="009D4344"/>
    <w:rsid w:val="009E0FBF"/>
    <w:rsid w:val="00A05EB7"/>
    <w:rsid w:val="00A063B4"/>
    <w:rsid w:val="00A12509"/>
    <w:rsid w:val="00A32059"/>
    <w:rsid w:val="00A466A3"/>
    <w:rsid w:val="00A815C1"/>
    <w:rsid w:val="00A95051"/>
    <w:rsid w:val="00AA381C"/>
    <w:rsid w:val="00AC239A"/>
    <w:rsid w:val="00AC4CCE"/>
    <w:rsid w:val="00AC509A"/>
    <w:rsid w:val="00AC7FE8"/>
    <w:rsid w:val="00AE340D"/>
    <w:rsid w:val="00B0529E"/>
    <w:rsid w:val="00B065B8"/>
    <w:rsid w:val="00B0705C"/>
    <w:rsid w:val="00B12F70"/>
    <w:rsid w:val="00B17545"/>
    <w:rsid w:val="00B2695D"/>
    <w:rsid w:val="00B5454F"/>
    <w:rsid w:val="00B84193"/>
    <w:rsid w:val="00BA11D7"/>
    <w:rsid w:val="00BB5FF1"/>
    <w:rsid w:val="00BC2947"/>
    <w:rsid w:val="00BC411A"/>
    <w:rsid w:val="00BE10BF"/>
    <w:rsid w:val="00BE5414"/>
    <w:rsid w:val="00BE74C4"/>
    <w:rsid w:val="00BE7A65"/>
    <w:rsid w:val="00C17294"/>
    <w:rsid w:val="00C204DA"/>
    <w:rsid w:val="00C217F1"/>
    <w:rsid w:val="00C31B5F"/>
    <w:rsid w:val="00C324F5"/>
    <w:rsid w:val="00C41D87"/>
    <w:rsid w:val="00C442DB"/>
    <w:rsid w:val="00C47E2E"/>
    <w:rsid w:val="00C577A2"/>
    <w:rsid w:val="00C62F25"/>
    <w:rsid w:val="00C811E7"/>
    <w:rsid w:val="00C904C4"/>
    <w:rsid w:val="00C97F99"/>
    <w:rsid w:val="00CB3246"/>
    <w:rsid w:val="00CB37A3"/>
    <w:rsid w:val="00CB6868"/>
    <w:rsid w:val="00CC62D1"/>
    <w:rsid w:val="00CD0E33"/>
    <w:rsid w:val="00CD3159"/>
    <w:rsid w:val="00CD68D3"/>
    <w:rsid w:val="00CE5C3E"/>
    <w:rsid w:val="00D049F9"/>
    <w:rsid w:val="00D069BC"/>
    <w:rsid w:val="00D07322"/>
    <w:rsid w:val="00D45305"/>
    <w:rsid w:val="00D515D1"/>
    <w:rsid w:val="00D56D7F"/>
    <w:rsid w:val="00D57157"/>
    <w:rsid w:val="00D6107F"/>
    <w:rsid w:val="00D70F2C"/>
    <w:rsid w:val="00D80987"/>
    <w:rsid w:val="00D93C8E"/>
    <w:rsid w:val="00D9545B"/>
    <w:rsid w:val="00DA45B9"/>
    <w:rsid w:val="00DB05F0"/>
    <w:rsid w:val="00DB2324"/>
    <w:rsid w:val="00DD7D51"/>
    <w:rsid w:val="00DE59AE"/>
    <w:rsid w:val="00DE6D89"/>
    <w:rsid w:val="00DF713B"/>
    <w:rsid w:val="00E113F7"/>
    <w:rsid w:val="00E20967"/>
    <w:rsid w:val="00E26267"/>
    <w:rsid w:val="00E4265A"/>
    <w:rsid w:val="00E4280D"/>
    <w:rsid w:val="00E47822"/>
    <w:rsid w:val="00E6675C"/>
    <w:rsid w:val="00E81D4F"/>
    <w:rsid w:val="00E90394"/>
    <w:rsid w:val="00EA4C03"/>
    <w:rsid w:val="00EC53BE"/>
    <w:rsid w:val="00F1082E"/>
    <w:rsid w:val="00F16AC1"/>
    <w:rsid w:val="00F26929"/>
    <w:rsid w:val="00F26F1B"/>
    <w:rsid w:val="00F324C7"/>
    <w:rsid w:val="00F35640"/>
    <w:rsid w:val="00F6193A"/>
    <w:rsid w:val="00F66A42"/>
    <w:rsid w:val="00F720FF"/>
    <w:rsid w:val="00F83F7E"/>
    <w:rsid w:val="00F917A1"/>
    <w:rsid w:val="00FA2064"/>
    <w:rsid w:val="00FA5B4C"/>
    <w:rsid w:val="00FC1F4B"/>
    <w:rsid w:val="00FD5FA9"/>
    <w:rsid w:val="00FD65D2"/>
    <w:rsid w:val="00FE4430"/>
    <w:rsid w:val="00FF1C34"/>
    <w:rsid w:val="00FF2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1" w:unhideWhenUsed="0" w:qFormat="1"/>
    <w:lsdException w:name="heading 4" w:uiPriority="4" w:qFormat="1"/>
    <w:lsdException w:name="heading 5" w:uiPriority="4" w:qFormat="1"/>
    <w:lsdException w:name="heading 6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3" w:unhideWhenUsed="0" w:qFormat="1"/>
    <w:lsdException w:name="Strong" w:semiHidden="0" w:uiPriority="22" w:unhideWhenUsed="0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semiHidden="0" w:uiPriority="4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C04"/>
    <w:pPr>
      <w:spacing w:after="240" w:line="240" w:lineRule="auto"/>
    </w:pPr>
    <w:rPr>
      <w:rFonts w:ascii="Calibri" w:hAnsi="Calibri"/>
      <w:sz w:val="24"/>
    </w:rPr>
  </w:style>
  <w:style w:type="paragraph" w:styleId="Heading1">
    <w:name w:val="heading 1"/>
    <w:basedOn w:val="Normal"/>
    <w:next w:val="Normal"/>
    <w:link w:val="Heading1Char"/>
    <w:uiPriority w:val="1"/>
    <w:qFormat/>
    <w:rsid w:val="00D80987"/>
    <w:pPr>
      <w:keepNext/>
      <w:keepLines/>
      <w:spacing w:before="300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1"/>
    <w:qFormat/>
    <w:rsid w:val="00B0529E"/>
    <w:pPr>
      <w:keepNext/>
      <w:keepLines/>
      <w:spacing w:before="240" w:after="18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rsid w:val="00B0529E"/>
    <w:pPr>
      <w:keepNext/>
      <w:keepLines/>
      <w:spacing w:before="240" w:after="120"/>
      <w:outlineLvl w:val="2"/>
    </w:pPr>
    <w:rPr>
      <w:rFonts w:eastAsiaTheme="majorEastAsia" w:cstheme="majorBidi"/>
      <w:b/>
      <w:bCs/>
      <w:i/>
    </w:rPr>
  </w:style>
  <w:style w:type="paragraph" w:styleId="Heading4">
    <w:name w:val="heading 4"/>
    <w:basedOn w:val="Normal"/>
    <w:next w:val="Normal"/>
    <w:link w:val="Heading4Char"/>
    <w:uiPriority w:val="2"/>
    <w:qFormat/>
    <w:rsid w:val="00B0529E"/>
    <w:pPr>
      <w:keepNext/>
      <w:keepLines/>
      <w:spacing w:before="240" w:after="120"/>
      <w:outlineLvl w:val="3"/>
    </w:pPr>
    <w:rPr>
      <w:rFonts w:eastAsiaTheme="majorEastAsia" w:cstheme="majorBidi"/>
      <w:bCs/>
      <w:i/>
      <w:iCs/>
    </w:rPr>
  </w:style>
  <w:style w:type="paragraph" w:styleId="Heading5">
    <w:name w:val="heading 5"/>
    <w:basedOn w:val="Normal"/>
    <w:next w:val="Normal"/>
    <w:link w:val="Heading5Char"/>
    <w:uiPriority w:val="2"/>
    <w:qFormat/>
    <w:rsid w:val="00AC4CCE"/>
    <w:pPr>
      <w:keepNext/>
      <w:keepLines/>
      <w:spacing w:before="120" w:after="120"/>
      <w:outlineLvl w:val="4"/>
    </w:pPr>
    <w:rPr>
      <w:rFonts w:eastAsiaTheme="majorEastAsia" w:cstheme="majorBidi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D80987"/>
    <w:rPr>
      <w:rFonts w:ascii="Calibri" w:eastAsiaTheme="majorEastAsia" w:hAnsi="Calibri" w:cstheme="majorBidi"/>
      <w:b/>
      <w:bCs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B0529E"/>
    <w:rPr>
      <w:rFonts w:ascii="Calibri" w:eastAsiaTheme="majorEastAsia" w:hAnsi="Calibri" w:cstheme="majorBidi"/>
      <w:b/>
      <w:bCs/>
      <w:sz w:val="28"/>
      <w:szCs w:val="26"/>
    </w:rPr>
  </w:style>
  <w:style w:type="paragraph" w:styleId="Title">
    <w:name w:val="Title"/>
    <w:basedOn w:val="Normal"/>
    <w:next w:val="Normal"/>
    <w:link w:val="TitleChar"/>
    <w:uiPriority w:val="2"/>
    <w:qFormat/>
    <w:rsid w:val="00DE6D89"/>
    <w:pPr>
      <w:spacing w:before="360"/>
      <w:contextualSpacing/>
      <w:jc w:val="right"/>
    </w:pPr>
    <w:rPr>
      <w:rFonts w:eastAsiaTheme="majorEastAsia" w:cstheme="majorBidi"/>
      <w:b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2"/>
    <w:rsid w:val="00DE6D89"/>
    <w:rPr>
      <w:rFonts w:ascii="Calibri" w:eastAsiaTheme="majorEastAsia" w:hAnsi="Calibri" w:cstheme="majorBidi"/>
      <w:b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3"/>
    <w:qFormat/>
    <w:rsid w:val="00DE6D89"/>
    <w:pPr>
      <w:numPr>
        <w:ilvl w:val="1"/>
      </w:numPr>
      <w:spacing w:before="120" w:after="120"/>
      <w:jc w:val="center"/>
    </w:pPr>
    <w:rPr>
      <w:rFonts w:eastAsiaTheme="majorEastAsia" w:cstheme="majorBidi"/>
      <w:b/>
      <w:iCs/>
      <w:spacing w:val="5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3"/>
    <w:rsid w:val="00DE6D89"/>
    <w:rPr>
      <w:rFonts w:ascii="Calibri" w:eastAsiaTheme="majorEastAsia" w:hAnsi="Calibri" w:cstheme="majorBidi"/>
      <w:b/>
      <w:iCs/>
      <w:spacing w:val="5"/>
      <w:sz w:val="28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1E4843"/>
    <w:pPr>
      <w:spacing w:before="120"/>
      <w:ind w:left="709" w:right="521"/>
    </w:pPr>
    <w:rPr>
      <w:iCs/>
    </w:rPr>
  </w:style>
  <w:style w:type="character" w:customStyle="1" w:styleId="QuoteChar">
    <w:name w:val="Quote Char"/>
    <w:basedOn w:val="DefaultParagraphFont"/>
    <w:link w:val="Quote"/>
    <w:uiPriority w:val="29"/>
    <w:rsid w:val="001E4843"/>
    <w:rPr>
      <w:rFonts w:ascii="Calibri" w:hAnsi="Calibri"/>
      <w:iCs/>
      <w:sz w:val="24"/>
    </w:rPr>
  </w:style>
  <w:style w:type="paragraph" w:styleId="ListParagraph">
    <w:name w:val="List Paragraph"/>
    <w:basedOn w:val="Normal"/>
    <w:uiPriority w:val="34"/>
    <w:qFormat/>
    <w:rsid w:val="006A0BD1"/>
    <w:pPr>
      <w:numPr>
        <w:numId w:val="4"/>
      </w:numPr>
      <w:tabs>
        <w:tab w:val="left" w:pos="567"/>
      </w:tabs>
      <w:spacing w:before="120" w:after="120"/>
      <w:contextualSpacing/>
    </w:pPr>
  </w:style>
  <w:style w:type="character" w:customStyle="1" w:styleId="Heading3Char">
    <w:name w:val="Heading 3 Char"/>
    <w:basedOn w:val="DefaultParagraphFont"/>
    <w:link w:val="Heading3"/>
    <w:uiPriority w:val="1"/>
    <w:rsid w:val="00B0529E"/>
    <w:rPr>
      <w:rFonts w:ascii="Calibri" w:eastAsiaTheme="majorEastAsia" w:hAnsi="Calibri" w:cstheme="majorBidi"/>
      <w:b/>
      <w:bCs/>
      <w:i/>
      <w:sz w:val="24"/>
    </w:rPr>
  </w:style>
  <w:style w:type="character" w:customStyle="1" w:styleId="Heading4Char">
    <w:name w:val="Heading 4 Char"/>
    <w:basedOn w:val="DefaultParagraphFont"/>
    <w:link w:val="Heading4"/>
    <w:uiPriority w:val="2"/>
    <w:rsid w:val="00D80987"/>
    <w:rPr>
      <w:rFonts w:ascii="Calibri" w:eastAsiaTheme="majorEastAsia" w:hAnsi="Calibri" w:cstheme="majorBidi"/>
      <w:bCs/>
      <w:i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2"/>
    <w:rsid w:val="00D80987"/>
    <w:rPr>
      <w:rFonts w:ascii="Calibri" w:eastAsiaTheme="majorEastAsia" w:hAnsi="Calibri" w:cstheme="majorBidi"/>
      <w:b/>
    </w:rPr>
  </w:style>
  <w:style w:type="paragraph" w:customStyle="1" w:styleId="Bullets">
    <w:name w:val="Bullets"/>
    <w:basedOn w:val="ListParagraph"/>
    <w:qFormat/>
    <w:rsid w:val="00DE6D89"/>
    <w:pPr>
      <w:numPr>
        <w:numId w:val="2"/>
      </w:numPr>
      <w:spacing w:after="0"/>
      <w:ind w:hanging="578"/>
      <w:contextualSpacing w:val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741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41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917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1">
    <w:name w:val="Light List Accent 1"/>
    <w:basedOn w:val="TableNormal"/>
    <w:uiPriority w:val="61"/>
    <w:rsid w:val="00F917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OAICtable">
    <w:name w:val="OAIC table"/>
    <w:basedOn w:val="TableNormal"/>
    <w:uiPriority w:val="99"/>
    <w:rsid w:val="00576C04"/>
    <w:pPr>
      <w:spacing w:before="120" w:after="12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108" w:type="dxa"/>
        <w:bottom w:w="85" w:type="dxa"/>
        <w:right w:w="108" w:type="dxa"/>
      </w:tblCellMar>
    </w:tblPr>
    <w:tblStylePr w:type="firstRow">
      <w:pPr>
        <w:wordWrap/>
        <w:spacing w:beforeLines="0" w:before="120" w:beforeAutospacing="0" w:afterLines="0" w:after="120" w:afterAutospacing="0"/>
        <w:contextualSpacing w:val="0"/>
        <w:jc w:val="left"/>
      </w:pPr>
      <w:rPr>
        <w:rFonts w:ascii="Calibri" w:hAnsi="Calibri"/>
        <w:b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customStyle="1" w:styleId="Tabletext">
    <w:name w:val="Table text"/>
    <w:basedOn w:val="Normal"/>
    <w:uiPriority w:val="2"/>
    <w:qFormat/>
    <w:rsid w:val="00263EFE"/>
    <w:pPr>
      <w:spacing w:before="60" w:after="120"/>
    </w:pPr>
  </w:style>
  <w:style w:type="paragraph" w:customStyle="1" w:styleId="NumberedNormal">
    <w:name w:val="Numbered Normal"/>
    <w:basedOn w:val="ListParagraph"/>
    <w:qFormat/>
    <w:rsid w:val="006A0BD1"/>
    <w:pPr>
      <w:spacing w:after="240"/>
      <w:contextualSpacing w:val="0"/>
    </w:pPr>
  </w:style>
  <w:style w:type="character" w:customStyle="1" w:styleId="charparttext">
    <w:name w:val="charparttext"/>
    <w:basedOn w:val="DefaultParagraphFont"/>
    <w:rsid w:val="00F26F1B"/>
  </w:style>
  <w:style w:type="character" w:styleId="CommentReference">
    <w:name w:val="annotation reference"/>
    <w:basedOn w:val="DefaultParagraphFont"/>
    <w:uiPriority w:val="99"/>
    <w:semiHidden/>
    <w:unhideWhenUsed/>
    <w:rsid w:val="00F26F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26F1B"/>
    <w:rPr>
      <w:rFonts w:eastAsia="Times New Roman" w:cs="Times New Roman"/>
      <w:sz w:val="20"/>
      <w:szCs w:val="20"/>
      <w:lang w:eastAsia="en-AU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26F1B"/>
    <w:rPr>
      <w:rFonts w:ascii="Calibri" w:eastAsia="Times New Roman" w:hAnsi="Calibri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7D51"/>
    <w:rPr>
      <w:rFonts w:eastAsia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7D51"/>
    <w:rPr>
      <w:rFonts w:ascii="Calibri" w:eastAsia="Times New Roman" w:hAnsi="Calibri" w:cs="Times New Roman"/>
      <w:b/>
      <w:bCs/>
      <w:sz w:val="20"/>
      <w:szCs w:val="20"/>
      <w:lang w:eastAsia="en-AU"/>
    </w:rPr>
  </w:style>
  <w:style w:type="paragraph" w:customStyle="1" w:styleId="Bulletlist">
    <w:name w:val="Bullet list"/>
    <w:basedOn w:val="ListParagraph"/>
    <w:qFormat/>
    <w:rsid w:val="00CB6868"/>
    <w:pPr>
      <w:numPr>
        <w:numId w:val="8"/>
      </w:numPr>
      <w:tabs>
        <w:tab w:val="clear" w:pos="567"/>
      </w:tabs>
      <w:spacing w:before="0"/>
      <w:ind w:hanging="578"/>
      <w:contextualSpacing w:val="0"/>
    </w:pPr>
    <w:rPr>
      <w:rFonts w:eastAsia="Times New Roman" w:cs="Times New Roman"/>
      <w:lang w:eastAsia="en-A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B6868"/>
    <w:pPr>
      <w:spacing w:after="0"/>
    </w:pPr>
    <w:rPr>
      <w:rFonts w:eastAsia="Times New Roman" w:cs="Times New Roman"/>
      <w:sz w:val="20"/>
      <w:szCs w:val="20"/>
      <w:lang w:eastAsia="en-A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B6868"/>
    <w:rPr>
      <w:rFonts w:ascii="Calibri" w:eastAsia="Times New Roman" w:hAnsi="Calibri" w:cs="Times New Roman"/>
      <w:sz w:val="20"/>
      <w:szCs w:val="20"/>
      <w:lang w:eastAsia="en-AU"/>
    </w:rPr>
  </w:style>
  <w:style w:type="character" w:styleId="FootnoteReference">
    <w:name w:val="footnote reference"/>
    <w:basedOn w:val="DefaultParagraphFont"/>
    <w:uiPriority w:val="99"/>
    <w:semiHidden/>
    <w:unhideWhenUsed/>
    <w:rsid w:val="00CB686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CB6868"/>
    <w:rPr>
      <w:color w:val="0000FF" w:themeColor="hyperlink"/>
      <w:u w:val="single"/>
    </w:rPr>
  </w:style>
  <w:style w:type="paragraph" w:customStyle="1" w:styleId="Default">
    <w:name w:val="Default"/>
    <w:rsid w:val="00330B5B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paragraph" w:customStyle="1" w:styleId="ndissubsection">
    <w:name w:val="ndissubsection"/>
    <w:basedOn w:val="Normal"/>
    <w:rsid w:val="0047085D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3110F4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323D4D"/>
    <w:pPr>
      <w:spacing w:after="0" w:line="240" w:lineRule="auto"/>
    </w:pPr>
    <w:rPr>
      <w:rFonts w:ascii="Calibri" w:hAnsi="Calibri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1" w:unhideWhenUsed="0" w:qFormat="1"/>
    <w:lsdException w:name="heading 4" w:uiPriority="4" w:qFormat="1"/>
    <w:lsdException w:name="heading 5" w:uiPriority="4" w:qFormat="1"/>
    <w:lsdException w:name="heading 6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3" w:unhideWhenUsed="0" w:qFormat="1"/>
    <w:lsdException w:name="Strong" w:semiHidden="0" w:uiPriority="22" w:unhideWhenUsed="0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semiHidden="0" w:uiPriority="4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C04"/>
    <w:pPr>
      <w:spacing w:after="240" w:line="240" w:lineRule="auto"/>
    </w:pPr>
    <w:rPr>
      <w:rFonts w:ascii="Calibri" w:hAnsi="Calibri"/>
      <w:sz w:val="24"/>
    </w:rPr>
  </w:style>
  <w:style w:type="paragraph" w:styleId="Heading1">
    <w:name w:val="heading 1"/>
    <w:basedOn w:val="Normal"/>
    <w:next w:val="Normal"/>
    <w:link w:val="Heading1Char"/>
    <w:uiPriority w:val="1"/>
    <w:qFormat/>
    <w:rsid w:val="00D80987"/>
    <w:pPr>
      <w:keepNext/>
      <w:keepLines/>
      <w:spacing w:before="300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1"/>
    <w:qFormat/>
    <w:rsid w:val="00B0529E"/>
    <w:pPr>
      <w:keepNext/>
      <w:keepLines/>
      <w:spacing w:before="240" w:after="18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rsid w:val="00B0529E"/>
    <w:pPr>
      <w:keepNext/>
      <w:keepLines/>
      <w:spacing w:before="240" w:after="120"/>
      <w:outlineLvl w:val="2"/>
    </w:pPr>
    <w:rPr>
      <w:rFonts w:eastAsiaTheme="majorEastAsia" w:cstheme="majorBidi"/>
      <w:b/>
      <w:bCs/>
      <w:i/>
    </w:rPr>
  </w:style>
  <w:style w:type="paragraph" w:styleId="Heading4">
    <w:name w:val="heading 4"/>
    <w:basedOn w:val="Normal"/>
    <w:next w:val="Normal"/>
    <w:link w:val="Heading4Char"/>
    <w:uiPriority w:val="2"/>
    <w:qFormat/>
    <w:rsid w:val="00B0529E"/>
    <w:pPr>
      <w:keepNext/>
      <w:keepLines/>
      <w:spacing w:before="240" w:after="120"/>
      <w:outlineLvl w:val="3"/>
    </w:pPr>
    <w:rPr>
      <w:rFonts w:eastAsiaTheme="majorEastAsia" w:cstheme="majorBidi"/>
      <w:bCs/>
      <w:i/>
      <w:iCs/>
    </w:rPr>
  </w:style>
  <w:style w:type="paragraph" w:styleId="Heading5">
    <w:name w:val="heading 5"/>
    <w:basedOn w:val="Normal"/>
    <w:next w:val="Normal"/>
    <w:link w:val="Heading5Char"/>
    <w:uiPriority w:val="2"/>
    <w:qFormat/>
    <w:rsid w:val="00AC4CCE"/>
    <w:pPr>
      <w:keepNext/>
      <w:keepLines/>
      <w:spacing w:before="120" w:after="120"/>
      <w:outlineLvl w:val="4"/>
    </w:pPr>
    <w:rPr>
      <w:rFonts w:eastAsiaTheme="majorEastAsia" w:cstheme="majorBidi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D80987"/>
    <w:rPr>
      <w:rFonts w:ascii="Calibri" w:eastAsiaTheme="majorEastAsia" w:hAnsi="Calibri" w:cstheme="majorBidi"/>
      <w:b/>
      <w:bCs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B0529E"/>
    <w:rPr>
      <w:rFonts w:ascii="Calibri" w:eastAsiaTheme="majorEastAsia" w:hAnsi="Calibri" w:cstheme="majorBidi"/>
      <w:b/>
      <w:bCs/>
      <w:sz w:val="28"/>
      <w:szCs w:val="26"/>
    </w:rPr>
  </w:style>
  <w:style w:type="paragraph" w:styleId="Title">
    <w:name w:val="Title"/>
    <w:basedOn w:val="Normal"/>
    <w:next w:val="Normal"/>
    <w:link w:val="TitleChar"/>
    <w:uiPriority w:val="2"/>
    <w:qFormat/>
    <w:rsid w:val="00DE6D89"/>
    <w:pPr>
      <w:spacing w:before="360"/>
      <w:contextualSpacing/>
      <w:jc w:val="right"/>
    </w:pPr>
    <w:rPr>
      <w:rFonts w:eastAsiaTheme="majorEastAsia" w:cstheme="majorBidi"/>
      <w:b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2"/>
    <w:rsid w:val="00DE6D89"/>
    <w:rPr>
      <w:rFonts w:ascii="Calibri" w:eastAsiaTheme="majorEastAsia" w:hAnsi="Calibri" w:cstheme="majorBidi"/>
      <w:b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3"/>
    <w:qFormat/>
    <w:rsid w:val="00DE6D89"/>
    <w:pPr>
      <w:numPr>
        <w:ilvl w:val="1"/>
      </w:numPr>
      <w:spacing w:before="120" w:after="120"/>
      <w:jc w:val="center"/>
    </w:pPr>
    <w:rPr>
      <w:rFonts w:eastAsiaTheme="majorEastAsia" w:cstheme="majorBidi"/>
      <w:b/>
      <w:iCs/>
      <w:spacing w:val="5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3"/>
    <w:rsid w:val="00DE6D89"/>
    <w:rPr>
      <w:rFonts w:ascii="Calibri" w:eastAsiaTheme="majorEastAsia" w:hAnsi="Calibri" w:cstheme="majorBidi"/>
      <w:b/>
      <w:iCs/>
      <w:spacing w:val="5"/>
      <w:sz w:val="28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1E4843"/>
    <w:pPr>
      <w:spacing w:before="120"/>
      <w:ind w:left="709" w:right="521"/>
    </w:pPr>
    <w:rPr>
      <w:iCs/>
    </w:rPr>
  </w:style>
  <w:style w:type="character" w:customStyle="1" w:styleId="QuoteChar">
    <w:name w:val="Quote Char"/>
    <w:basedOn w:val="DefaultParagraphFont"/>
    <w:link w:val="Quote"/>
    <w:uiPriority w:val="29"/>
    <w:rsid w:val="001E4843"/>
    <w:rPr>
      <w:rFonts w:ascii="Calibri" w:hAnsi="Calibri"/>
      <w:iCs/>
      <w:sz w:val="24"/>
    </w:rPr>
  </w:style>
  <w:style w:type="paragraph" w:styleId="ListParagraph">
    <w:name w:val="List Paragraph"/>
    <w:basedOn w:val="Normal"/>
    <w:uiPriority w:val="34"/>
    <w:qFormat/>
    <w:rsid w:val="006A0BD1"/>
    <w:pPr>
      <w:numPr>
        <w:numId w:val="4"/>
      </w:numPr>
      <w:tabs>
        <w:tab w:val="left" w:pos="567"/>
      </w:tabs>
      <w:spacing w:before="120" w:after="120"/>
      <w:contextualSpacing/>
    </w:pPr>
  </w:style>
  <w:style w:type="character" w:customStyle="1" w:styleId="Heading3Char">
    <w:name w:val="Heading 3 Char"/>
    <w:basedOn w:val="DefaultParagraphFont"/>
    <w:link w:val="Heading3"/>
    <w:uiPriority w:val="1"/>
    <w:rsid w:val="00B0529E"/>
    <w:rPr>
      <w:rFonts w:ascii="Calibri" w:eastAsiaTheme="majorEastAsia" w:hAnsi="Calibri" w:cstheme="majorBidi"/>
      <w:b/>
      <w:bCs/>
      <w:i/>
      <w:sz w:val="24"/>
    </w:rPr>
  </w:style>
  <w:style w:type="character" w:customStyle="1" w:styleId="Heading4Char">
    <w:name w:val="Heading 4 Char"/>
    <w:basedOn w:val="DefaultParagraphFont"/>
    <w:link w:val="Heading4"/>
    <w:uiPriority w:val="2"/>
    <w:rsid w:val="00D80987"/>
    <w:rPr>
      <w:rFonts w:ascii="Calibri" w:eastAsiaTheme="majorEastAsia" w:hAnsi="Calibri" w:cstheme="majorBidi"/>
      <w:bCs/>
      <w:i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2"/>
    <w:rsid w:val="00D80987"/>
    <w:rPr>
      <w:rFonts w:ascii="Calibri" w:eastAsiaTheme="majorEastAsia" w:hAnsi="Calibri" w:cstheme="majorBidi"/>
      <w:b/>
    </w:rPr>
  </w:style>
  <w:style w:type="paragraph" w:customStyle="1" w:styleId="Bullets">
    <w:name w:val="Bullets"/>
    <w:basedOn w:val="ListParagraph"/>
    <w:qFormat/>
    <w:rsid w:val="00DE6D89"/>
    <w:pPr>
      <w:numPr>
        <w:numId w:val="2"/>
      </w:numPr>
      <w:spacing w:after="0"/>
      <w:ind w:hanging="578"/>
      <w:contextualSpacing w:val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741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41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917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1">
    <w:name w:val="Light List Accent 1"/>
    <w:basedOn w:val="TableNormal"/>
    <w:uiPriority w:val="61"/>
    <w:rsid w:val="00F917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OAICtable">
    <w:name w:val="OAIC table"/>
    <w:basedOn w:val="TableNormal"/>
    <w:uiPriority w:val="99"/>
    <w:rsid w:val="00576C04"/>
    <w:pPr>
      <w:spacing w:before="120" w:after="12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108" w:type="dxa"/>
        <w:bottom w:w="85" w:type="dxa"/>
        <w:right w:w="108" w:type="dxa"/>
      </w:tblCellMar>
    </w:tblPr>
    <w:tblStylePr w:type="firstRow">
      <w:pPr>
        <w:wordWrap/>
        <w:spacing w:beforeLines="0" w:before="120" w:beforeAutospacing="0" w:afterLines="0" w:after="120" w:afterAutospacing="0"/>
        <w:contextualSpacing w:val="0"/>
        <w:jc w:val="left"/>
      </w:pPr>
      <w:rPr>
        <w:rFonts w:ascii="Calibri" w:hAnsi="Calibri"/>
        <w:b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customStyle="1" w:styleId="Tabletext">
    <w:name w:val="Table text"/>
    <w:basedOn w:val="Normal"/>
    <w:uiPriority w:val="2"/>
    <w:qFormat/>
    <w:rsid w:val="00263EFE"/>
    <w:pPr>
      <w:spacing w:before="60" w:after="120"/>
    </w:pPr>
  </w:style>
  <w:style w:type="paragraph" w:customStyle="1" w:styleId="NumberedNormal">
    <w:name w:val="Numbered Normal"/>
    <w:basedOn w:val="ListParagraph"/>
    <w:qFormat/>
    <w:rsid w:val="006A0BD1"/>
    <w:pPr>
      <w:spacing w:after="240"/>
      <w:contextualSpacing w:val="0"/>
    </w:pPr>
  </w:style>
  <w:style w:type="character" w:customStyle="1" w:styleId="charparttext">
    <w:name w:val="charparttext"/>
    <w:basedOn w:val="DefaultParagraphFont"/>
    <w:rsid w:val="00F26F1B"/>
  </w:style>
  <w:style w:type="character" w:styleId="CommentReference">
    <w:name w:val="annotation reference"/>
    <w:basedOn w:val="DefaultParagraphFont"/>
    <w:uiPriority w:val="99"/>
    <w:semiHidden/>
    <w:unhideWhenUsed/>
    <w:rsid w:val="00F26F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26F1B"/>
    <w:rPr>
      <w:rFonts w:eastAsia="Times New Roman" w:cs="Times New Roman"/>
      <w:sz w:val="20"/>
      <w:szCs w:val="20"/>
      <w:lang w:eastAsia="en-AU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26F1B"/>
    <w:rPr>
      <w:rFonts w:ascii="Calibri" w:eastAsia="Times New Roman" w:hAnsi="Calibri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7D51"/>
    <w:rPr>
      <w:rFonts w:eastAsia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7D51"/>
    <w:rPr>
      <w:rFonts w:ascii="Calibri" w:eastAsia="Times New Roman" w:hAnsi="Calibri" w:cs="Times New Roman"/>
      <w:b/>
      <w:bCs/>
      <w:sz w:val="20"/>
      <w:szCs w:val="20"/>
      <w:lang w:eastAsia="en-AU"/>
    </w:rPr>
  </w:style>
  <w:style w:type="paragraph" w:customStyle="1" w:styleId="Bulletlist">
    <w:name w:val="Bullet list"/>
    <w:basedOn w:val="ListParagraph"/>
    <w:qFormat/>
    <w:rsid w:val="00CB6868"/>
    <w:pPr>
      <w:numPr>
        <w:numId w:val="8"/>
      </w:numPr>
      <w:tabs>
        <w:tab w:val="clear" w:pos="567"/>
      </w:tabs>
      <w:spacing w:before="0"/>
      <w:ind w:hanging="578"/>
      <w:contextualSpacing w:val="0"/>
    </w:pPr>
    <w:rPr>
      <w:rFonts w:eastAsia="Times New Roman" w:cs="Times New Roman"/>
      <w:lang w:eastAsia="en-A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B6868"/>
    <w:pPr>
      <w:spacing w:after="0"/>
    </w:pPr>
    <w:rPr>
      <w:rFonts w:eastAsia="Times New Roman" w:cs="Times New Roman"/>
      <w:sz w:val="20"/>
      <w:szCs w:val="20"/>
      <w:lang w:eastAsia="en-A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B6868"/>
    <w:rPr>
      <w:rFonts w:ascii="Calibri" w:eastAsia="Times New Roman" w:hAnsi="Calibri" w:cs="Times New Roman"/>
      <w:sz w:val="20"/>
      <w:szCs w:val="20"/>
      <w:lang w:eastAsia="en-AU"/>
    </w:rPr>
  </w:style>
  <w:style w:type="character" w:styleId="FootnoteReference">
    <w:name w:val="footnote reference"/>
    <w:basedOn w:val="DefaultParagraphFont"/>
    <w:uiPriority w:val="99"/>
    <w:semiHidden/>
    <w:unhideWhenUsed/>
    <w:rsid w:val="00CB686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CB6868"/>
    <w:rPr>
      <w:color w:val="0000FF" w:themeColor="hyperlink"/>
      <w:u w:val="single"/>
    </w:rPr>
  </w:style>
  <w:style w:type="paragraph" w:customStyle="1" w:styleId="Default">
    <w:name w:val="Default"/>
    <w:rsid w:val="00330B5B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paragraph" w:customStyle="1" w:styleId="ndissubsection">
    <w:name w:val="ndissubsection"/>
    <w:basedOn w:val="Normal"/>
    <w:rsid w:val="0047085D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3110F4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323D4D"/>
    <w:pPr>
      <w:spacing w:after="0" w:line="240" w:lineRule="auto"/>
    </w:pPr>
    <w:rPr>
      <w:rFonts w:ascii="Calibri" w:hAnsi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7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3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32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32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769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638146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535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884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598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0472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6568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99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16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65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24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32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204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408381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597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244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808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550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3918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3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8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20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85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97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285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929386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426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034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0460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8179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523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oaic.gov.au/privacy/applying-privacy-law/privacy-registers/privacy-codes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oaic.gov.au/privacy/applying-privacy-law/advisory-privacy-guidelines/guidelines-for-developing-code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aic.gov.au/privacy/applying-privacy-law/privacy-registers/privacy-cod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C872B-053A-4C2E-B673-8EBB76ABA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1622</Words>
  <Characters>9252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the Australian Information Commissioner</Company>
  <LinksUpToDate>false</LinksUpToDate>
  <CharactersWithSpaces>10853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Croxall</dc:creator>
  <cp:lastModifiedBy>Claire Hilton</cp:lastModifiedBy>
  <cp:revision>3</cp:revision>
  <cp:lastPrinted>2014-11-28T06:25:00Z</cp:lastPrinted>
  <dcterms:created xsi:type="dcterms:W3CDTF">2014-12-11T03:12:00Z</dcterms:created>
  <dcterms:modified xsi:type="dcterms:W3CDTF">2014-12-11T04:10:00Z</dcterms:modified>
</cp:coreProperties>
</file>