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E6" w:rsidRPr="00172BEB" w:rsidRDefault="00612AE6" w:rsidP="00612AE6">
      <w:pPr>
        <w:pStyle w:val="Heading1"/>
      </w:pPr>
      <w:r>
        <w:t>Legislative Instruments Amendment</w:t>
      </w:r>
      <w:r w:rsidRPr="0010116E">
        <w:t xml:space="preserve"> (</w:t>
      </w:r>
      <w:r>
        <w:t>Exemptions</w:t>
      </w:r>
      <w:r w:rsidRPr="00172BEB">
        <w:t xml:space="preserve">) </w:t>
      </w:r>
      <w:r w:rsidRPr="00A82681">
        <w:t>Regulation 201</w:t>
      </w:r>
      <w:r w:rsidR="0030451A" w:rsidRPr="00A82681">
        <w:t>4</w:t>
      </w:r>
      <w:r w:rsidR="00A82681">
        <w:t xml:space="preserve"> </w:t>
      </w:r>
    </w:p>
    <w:p w:rsidR="00612AE6" w:rsidRPr="00172BEB" w:rsidRDefault="00612AE6" w:rsidP="00612AE6">
      <w:pPr>
        <w:pStyle w:val="Heading1"/>
      </w:pPr>
      <w:r w:rsidRPr="00172BEB">
        <w:t>EXPLANATORY STATEMENT</w:t>
      </w:r>
    </w:p>
    <w:p w:rsidR="00612AE6" w:rsidRPr="00172BEB" w:rsidRDefault="00612AE6" w:rsidP="00612AE6">
      <w:pPr>
        <w:spacing w:before="180" w:line="240" w:lineRule="auto"/>
        <w:jc w:val="center"/>
        <w:rPr>
          <w:b/>
          <w:u w:val="single"/>
        </w:rPr>
      </w:pPr>
      <w:r w:rsidRPr="00172BEB">
        <w:rPr>
          <w:b/>
          <w:u w:val="single"/>
        </w:rPr>
        <w:t>Se</w:t>
      </w:r>
      <w:r w:rsidR="00A82681">
        <w:rPr>
          <w:b/>
          <w:u w:val="single"/>
        </w:rPr>
        <w:t>lect Legislative Instrument</w:t>
      </w:r>
      <w:r w:rsidRPr="00172BEB">
        <w:rPr>
          <w:b/>
          <w:u w:val="single"/>
        </w:rPr>
        <w:t xml:space="preserve"> No</w:t>
      </w:r>
      <w:r w:rsidR="00AF6E87">
        <w:rPr>
          <w:b/>
          <w:u w:val="single"/>
        </w:rPr>
        <w:t>. 187</w:t>
      </w:r>
      <w:bookmarkStart w:id="0" w:name="_GoBack"/>
      <w:bookmarkEnd w:id="0"/>
      <w:r w:rsidR="00A82681" w:rsidRPr="00ED174D">
        <w:rPr>
          <w:b/>
          <w:u w:val="single"/>
        </w:rPr>
        <w:t>,</w:t>
      </w:r>
      <w:r w:rsidR="00A82681">
        <w:rPr>
          <w:b/>
          <w:u w:val="single"/>
        </w:rPr>
        <w:t xml:space="preserve"> 2014 </w:t>
      </w:r>
    </w:p>
    <w:p w:rsidR="00612AE6" w:rsidRPr="00172BEB" w:rsidRDefault="00612AE6" w:rsidP="00612AE6">
      <w:pPr>
        <w:spacing w:before="180" w:line="240" w:lineRule="auto"/>
        <w:jc w:val="center"/>
        <w:rPr>
          <w:i/>
        </w:rPr>
      </w:pPr>
      <w:r w:rsidRPr="00172BEB">
        <w:t>Issued under the Authority of the Attorney</w:t>
      </w:r>
      <w:r>
        <w:noBreakHyphen/>
      </w:r>
      <w:r w:rsidRPr="00172BEB">
        <w:t>General</w:t>
      </w:r>
    </w:p>
    <w:p w:rsidR="00612AE6" w:rsidRPr="00172BEB" w:rsidRDefault="00612AE6" w:rsidP="00612AE6">
      <w:pPr>
        <w:pBdr>
          <w:bottom w:val="single" w:sz="4" w:space="1" w:color="auto"/>
        </w:pBdr>
        <w:spacing w:after="240"/>
        <w:jc w:val="center"/>
      </w:pPr>
    </w:p>
    <w:p w:rsidR="00612AE6" w:rsidRPr="008B0884" w:rsidRDefault="00612AE6" w:rsidP="00612AE6">
      <w:pPr>
        <w:pStyle w:val="Paragraph"/>
        <w:rPr>
          <w:b/>
        </w:rPr>
      </w:pPr>
      <w:r w:rsidRPr="008B0884">
        <w:rPr>
          <w:b/>
        </w:rPr>
        <w:t>OUTLINE</w:t>
      </w:r>
    </w:p>
    <w:p w:rsidR="00612AE6" w:rsidRDefault="00612AE6" w:rsidP="00612AE6">
      <w:pPr>
        <w:pStyle w:val="Paragraph"/>
      </w:pPr>
      <w:r>
        <w:t xml:space="preserve">Section 62 of the </w:t>
      </w:r>
      <w:r>
        <w:rPr>
          <w:i/>
        </w:rPr>
        <w:t xml:space="preserve">Legislative Instruments Act 2003 </w:t>
      </w:r>
      <w:r>
        <w:t>(the Act) provides that the Governor</w:t>
      </w:r>
      <w:r>
        <w:noBreakHyphen/>
        <w:t xml:space="preserve">General may make regulations prescribing all matters required or permitted by the Act to be prescribed, or necessary or convenient to be prescribed for carrying out or giving effect to the Act. </w:t>
      </w:r>
    </w:p>
    <w:p w:rsidR="009A1138" w:rsidRDefault="00612AE6" w:rsidP="00612AE6">
      <w:pPr>
        <w:pStyle w:val="Paragraph"/>
      </w:pPr>
      <w:r>
        <w:t>The Act establishes a comprehensive regime for the management of Commonw</w:t>
      </w:r>
      <w:r w:rsidR="009A1138">
        <w:t xml:space="preserve">ealth legislative instruments.  </w:t>
      </w:r>
    </w:p>
    <w:p w:rsidR="00D05502" w:rsidRDefault="00D05502" w:rsidP="00612AE6">
      <w:pPr>
        <w:pStyle w:val="Paragraph"/>
      </w:pPr>
      <w:r>
        <w:t>Section 7 of the Act lists categories of instruments that are not legislative instruments and therefore not subject to the Act.  Item 24 of the table in section 7(1) of the Act provides that i</w:t>
      </w:r>
      <w:r w:rsidRPr="00D05502">
        <w:t>nstruments prescribed by the regu</w:t>
      </w:r>
      <w:r>
        <w:t>lations for the purposes of that</w:t>
      </w:r>
      <w:r w:rsidRPr="00D05502">
        <w:t xml:space="preserve"> table</w:t>
      </w:r>
      <w:r>
        <w:t xml:space="preserve"> are</w:t>
      </w:r>
      <w:r w:rsidR="001942B2">
        <w:t xml:space="preserve"> not legislative instruments.  </w:t>
      </w:r>
      <w:r>
        <w:t xml:space="preserve">Regulation 7 of the </w:t>
      </w:r>
      <w:r w:rsidRPr="00D05502">
        <w:rPr>
          <w:i/>
        </w:rPr>
        <w:t>Legislative Instruments Regulations 2004</w:t>
      </w:r>
      <w:r>
        <w:t xml:space="preserve"> (the Principal Regulations) provides that an instrument listed in Schedule 1 to the Principal Regulations is not a legislative instrument.  </w:t>
      </w:r>
    </w:p>
    <w:p w:rsidR="00612AE6" w:rsidRDefault="00612AE6" w:rsidP="00612AE6">
      <w:pPr>
        <w:pStyle w:val="Paragraph"/>
      </w:pPr>
      <w:r>
        <w:t>Part 6 of the Act provides a regime for the sunsetting (automatic ceasing) of legislative instruments after 10 years of operation.  The regime ensures that legislative instruments are kept up to date and only remain in force for so long as they are needed.</w:t>
      </w:r>
      <w:r w:rsidR="00D05502">
        <w:t xml:space="preserve">  </w:t>
      </w:r>
    </w:p>
    <w:p w:rsidR="00612AE6" w:rsidRDefault="00612AE6" w:rsidP="00612AE6">
      <w:pPr>
        <w:pStyle w:val="Paragraph"/>
      </w:pPr>
      <w:r>
        <w:t>Item 51 of subsection 54(2) of the Act provides that Part 6 of the Act does not apply to legislative instruments prescribed by the regulations for the purposes of the table.  Regulat</w:t>
      </w:r>
      <w:r w:rsidR="00D05502">
        <w:t>ion 9 of the Principal Regulations</w:t>
      </w:r>
      <w:r>
        <w:t xml:space="preserve"> provides that an instrument listed in Schedule 3 to the Principal Regulations is declared to be exempt from the sunsetting provisions of the Act.   </w:t>
      </w:r>
    </w:p>
    <w:p w:rsidR="00D05502" w:rsidRDefault="00612AE6" w:rsidP="00612AE6">
      <w:pPr>
        <w:pStyle w:val="Paragraph"/>
      </w:pPr>
      <w:r>
        <w:t xml:space="preserve">The purpose of the </w:t>
      </w:r>
      <w:r w:rsidRPr="00AB36FC">
        <w:rPr>
          <w:i/>
        </w:rPr>
        <w:t xml:space="preserve">Legislative Instruments Amendment (Exemptions) </w:t>
      </w:r>
      <w:r w:rsidRPr="00D05502">
        <w:rPr>
          <w:i/>
        </w:rPr>
        <w:t>Regulation 201</w:t>
      </w:r>
      <w:r w:rsidR="0030451A" w:rsidRPr="00D05502">
        <w:rPr>
          <w:i/>
        </w:rPr>
        <w:t>4</w:t>
      </w:r>
      <w:r w:rsidRPr="00D05502">
        <w:rPr>
          <w:i/>
        </w:rPr>
        <w:t xml:space="preserve"> </w:t>
      </w:r>
      <w:r w:rsidRPr="00D05502">
        <w:t>(the</w:t>
      </w:r>
      <w:r>
        <w:t xml:space="preserve"> Regulation</w:t>
      </w:r>
      <w:r w:rsidR="001942B2">
        <w:t>s</w:t>
      </w:r>
      <w:r>
        <w:t xml:space="preserve">) is to amend </w:t>
      </w:r>
      <w:r w:rsidR="00D05502">
        <w:t xml:space="preserve">Schedule 1 and </w:t>
      </w:r>
      <w:r>
        <w:t xml:space="preserve">Schedule 3 to the Principal Regulations to add </w:t>
      </w:r>
      <w:r w:rsidR="001A20C5">
        <w:t>and make corrections to items in</w:t>
      </w:r>
      <w:r w:rsidR="00D05502">
        <w:t xml:space="preserve"> those Schedules.  </w:t>
      </w:r>
    </w:p>
    <w:p w:rsidR="008D6F6E" w:rsidRDefault="009C6D01" w:rsidP="00612AE6">
      <w:pPr>
        <w:pStyle w:val="Paragraph"/>
      </w:pPr>
      <w:r>
        <w:t xml:space="preserve">The amendments serve three purposes.  </w:t>
      </w:r>
      <w:r w:rsidR="00D05502" w:rsidRPr="00ED174D">
        <w:t>Firstly</w:t>
      </w:r>
      <w:r w:rsidR="00D05502" w:rsidRPr="009C6D01">
        <w:t xml:space="preserve">, </w:t>
      </w:r>
      <w:r w:rsidR="00D05502">
        <w:t>the Regulation</w:t>
      </w:r>
      <w:r w:rsidR="001942B2">
        <w:t>s</w:t>
      </w:r>
      <w:r w:rsidR="00D05502">
        <w:t xml:space="preserve"> </w:t>
      </w:r>
      <w:r w:rsidR="001942B2">
        <w:t>insert</w:t>
      </w:r>
      <w:r w:rsidR="008D6F6E">
        <w:t xml:space="preserve"> an item in Schedule 1 of the Principal Regulations to </w:t>
      </w:r>
      <w:r w:rsidR="00D05502">
        <w:t xml:space="preserve">confirm that total fire ban orders made under subsection 85(1) of the </w:t>
      </w:r>
      <w:r w:rsidR="00D05502" w:rsidRPr="008D6F6E">
        <w:rPr>
          <w:i/>
        </w:rPr>
        <w:t>Jervis Bay Territory Rural Fires Ordinance 2014</w:t>
      </w:r>
      <w:r w:rsidR="00D05502">
        <w:t xml:space="preserve"> are not legislative instruments and are exempt from the operation of the Act.  </w:t>
      </w:r>
    </w:p>
    <w:p w:rsidR="00A56DB2" w:rsidRPr="001A20C5" w:rsidRDefault="009C6D01" w:rsidP="00A56DB2">
      <w:pPr>
        <w:pStyle w:val="Paragraph"/>
      </w:pPr>
      <w:r>
        <w:t xml:space="preserve">The intention is to </w:t>
      </w:r>
      <w:r w:rsidR="002F28B8">
        <w:t>put beyond</w:t>
      </w:r>
      <w:r w:rsidR="00A56DB2">
        <w:t xml:space="preserve"> doubt that Jervis Bay Territory total fire ban orders are not legislative instruments</w:t>
      </w:r>
      <w:r>
        <w:t>,</w:t>
      </w:r>
      <w:r w:rsidR="00A56DB2">
        <w:t xml:space="preserve"> </w:t>
      </w:r>
      <w:r>
        <w:t>following</w:t>
      </w:r>
      <w:r w:rsidR="00A56DB2">
        <w:t xml:space="preserve"> consultation with the Department of Infrastructure and Regional</w:t>
      </w:r>
      <w:r w:rsidR="00025C08">
        <w:t xml:space="preserve">. </w:t>
      </w:r>
    </w:p>
    <w:p w:rsidR="001A20C5" w:rsidRDefault="008D6F6E" w:rsidP="00612AE6">
      <w:pPr>
        <w:pStyle w:val="Paragraph"/>
      </w:pPr>
      <w:r w:rsidRPr="00ED174D">
        <w:lastRenderedPageBreak/>
        <w:t>Secondly</w:t>
      </w:r>
      <w:r w:rsidRPr="009C6D01">
        <w:t>, the</w:t>
      </w:r>
      <w:r>
        <w:t xml:space="preserve"> Regulation</w:t>
      </w:r>
      <w:r w:rsidR="001942B2">
        <w:t>s add</w:t>
      </w:r>
      <w:r>
        <w:t xml:space="preserve"> </w:t>
      </w:r>
      <w:r w:rsidR="009C6D01">
        <w:t>seven</w:t>
      </w:r>
      <w:r>
        <w:t xml:space="preserve"> new items to Schedule 3 of the Principal Regulations.  </w:t>
      </w:r>
      <w:r w:rsidR="00612AE6">
        <w:t xml:space="preserve">The instruments to be exempt from sunsetting by this Regulation have each been assessed as not suitable for regular review under Part 6 of the Act.  </w:t>
      </w:r>
    </w:p>
    <w:p w:rsidR="00A56DB2" w:rsidRDefault="002821EB" w:rsidP="00A56DB2">
      <w:pPr>
        <w:pStyle w:val="Paragraph"/>
      </w:pPr>
      <w:r>
        <w:t xml:space="preserve">Exemptions from sunsetting for certain categories of legislative instruments were </w:t>
      </w:r>
      <w:r w:rsidR="008E65F0">
        <w:t xml:space="preserve">either </w:t>
      </w:r>
      <w:r>
        <w:t xml:space="preserve">requested by </w:t>
      </w:r>
      <w:r w:rsidR="0089772C">
        <w:t>the responsible Minister or their Department</w:t>
      </w:r>
      <w:r>
        <w:t xml:space="preserve">, or </w:t>
      </w:r>
      <w:r w:rsidR="0089772C">
        <w:t xml:space="preserve">were </w:t>
      </w:r>
      <w:r>
        <w:t>identified by the Attorney</w:t>
      </w:r>
      <w:r>
        <w:noBreakHyphen/>
        <w:t xml:space="preserve">General’s Department.  The Regulations were then developed in consultation with responsible Departments.  </w:t>
      </w:r>
    </w:p>
    <w:p w:rsidR="00A56DB2" w:rsidRDefault="00025C08" w:rsidP="00A56DB2">
      <w:pPr>
        <w:pStyle w:val="Paragraph"/>
      </w:pPr>
      <w:r>
        <w:t>T</w:t>
      </w:r>
      <w:r w:rsidR="00A56DB2">
        <w:t>here is a long</w:t>
      </w:r>
      <w:r w:rsidR="00A56DB2">
        <w:noBreakHyphen/>
        <w:t>standing principle that exemptions</w:t>
      </w:r>
      <w:r>
        <w:t xml:space="preserve"> from sunsetting</w:t>
      </w:r>
      <w:r w:rsidR="00A56DB2">
        <w:t xml:space="preserve"> should only be granted where the instrument is not suitable for regular review.  </w:t>
      </w:r>
      <w:r>
        <w:t xml:space="preserve">To satisfy this principle an exemption should meet at least one of five established criteria: </w:t>
      </w:r>
    </w:p>
    <w:p w:rsidR="00A56DB2" w:rsidRDefault="00A56DB2" w:rsidP="00A56DB2">
      <w:pPr>
        <w:pStyle w:val="Paragraphnumbered"/>
        <w:numPr>
          <w:ilvl w:val="0"/>
          <w:numId w:val="2"/>
        </w:numPr>
        <w:spacing w:line="240" w:lineRule="auto"/>
      </w:pPr>
      <w:r>
        <w:t>the rule-maker has been given a statutory role independent of the Government, or is operating in comp</w:t>
      </w:r>
      <w:r w:rsidR="00025C08">
        <w:t xml:space="preserve">etition with the private sector </w:t>
      </w:r>
    </w:p>
    <w:p w:rsidR="00A56DB2" w:rsidRDefault="00A56DB2" w:rsidP="00A56DB2">
      <w:pPr>
        <w:pStyle w:val="Paragraphnumbered"/>
        <w:numPr>
          <w:ilvl w:val="0"/>
          <w:numId w:val="2"/>
        </w:numPr>
        <w:spacing w:line="240" w:lineRule="auto"/>
      </w:pPr>
      <w:r>
        <w:t>the instrument is designed to be enduring an</w:t>
      </w:r>
      <w:r w:rsidR="00025C08">
        <w:t xml:space="preserve">d not subject to regular review </w:t>
      </w:r>
    </w:p>
    <w:p w:rsidR="00A56DB2" w:rsidRDefault="00A56DB2" w:rsidP="00A56DB2">
      <w:pPr>
        <w:pStyle w:val="Paragraphnumbered"/>
        <w:numPr>
          <w:ilvl w:val="0"/>
          <w:numId w:val="2"/>
        </w:numPr>
        <w:spacing w:line="240" w:lineRule="auto"/>
      </w:pPr>
      <w:r>
        <w:t>commercial certainty wo</w:t>
      </w:r>
      <w:r w:rsidR="00025C08">
        <w:t xml:space="preserve">uld be undermined by sunsetting </w:t>
      </w:r>
    </w:p>
    <w:p w:rsidR="00A56DB2" w:rsidRDefault="00A56DB2" w:rsidP="00A56DB2">
      <w:pPr>
        <w:pStyle w:val="Paragraphnumbered"/>
        <w:numPr>
          <w:ilvl w:val="0"/>
          <w:numId w:val="2"/>
        </w:numPr>
        <w:spacing w:line="240" w:lineRule="auto"/>
      </w:pPr>
      <w:r>
        <w:t xml:space="preserve">the instrument is part of </w:t>
      </w:r>
      <w:r w:rsidR="00025C08">
        <w:t xml:space="preserve">an intergovernmental scheme, or </w:t>
      </w:r>
    </w:p>
    <w:p w:rsidR="00A56DB2" w:rsidRDefault="00A56DB2" w:rsidP="00A56DB2">
      <w:pPr>
        <w:pStyle w:val="Paragraphnumbered"/>
        <w:numPr>
          <w:ilvl w:val="0"/>
          <w:numId w:val="2"/>
        </w:numPr>
        <w:spacing w:line="240" w:lineRule="auto"/>
      </w:pPr>
      <w:r>
        <w:t xml:space="preserve">the instrument is subject to a more rigorous statutory review process. </w:t>
      </w:r>
    </w:p>
    <w:p w:rsidR="00A56DB2" w:rsidRDefault="00A56DB2" w:rsidP="00A56DB2">
      <w:pPr>
        <w:pStyle w:val="Paragraph"/>
      </w:pPr>
      <w:r>
        <w:t>Each exemption</w:t>
      </w:r>
      <w:r w:rsidR="0082350E">
        <w:t xml:space="preserve"> from sunsetting</w:t>
      </w:r>
      <w:r w:rsidR="00C40ABA">
        <w:t xml:space="preserve"> made by the</w:t>
      </w:r>
      <w:r>
        <w:t xml:space="preserve"> Regulation</w:t>
      </w:r>
      <w:r w:rsidR="00C40ABA">
        <w:t>s</w:t>
      </w:r>
      <w:r>
        <w:t xml:space="preserve"> was analysed against the above criteria and found to be not suitable for regular review under </w:t>
      </w:r>
      <w:r w:rsidR="009C6D01">
        <w:t>Part </w:t>
      </w:r>
      <w:r>
        <w:t xml:space="preserve">6 of the Act. </w:t>
      </w:r>
    </w:p>
    <w:p w:rsidR="00A56DB2" w:rsidRPr="000C5DDB" w:rsidRDefault="003A6DE5" w:rsidP="00A56DB2">
      <w:pPr>
        <w:pStyle w:val="Paragraph"/>
      </w:pPr>
      <w:r w:rsidRPr="00ED174D">
        <w:t>Thirdly</w:t>
      </w:r>
      <w:r w:rsidRPr="009C6D01">
        <w:t>,</w:t>
      </w:r>
      <w:r>
        <w:t xml:space="preserve"> the Regulation</w:t>
      </w:r>
      <w:r w:rsidR="00C40ABA">
        <w:t>s</w:t>
      </w:r>
      <w:r>
        <w:t xml:space="preserve"> u</w:t>
      </w:r>
      <w:r w:rsidR="00C40ABA">
        <w:t>pdate</w:t>
      </w:r>
      <w:r>
        <w:t xml:space="preserve"> the title of the Act referred to in item 51 of Schedule 3</w:t>
      </w:r>
      <w:r w:rsidR="00C40ABA">
        <w:t xml:space="preserve"> of the Principal Regulations</w:t>
      </w:r>
      <w:r>
        <w:t xml:space="preserve">, repealing the outdated reference to the </w:t>
      </w:r>
      <w:r w:rsidRPr="003A6DE5">
        <w:rPr>
          <w:i/>
        </w:rPr>
        <w:t>War Precautions Act Repeal Act 1920</w:t>
      </w:r>
      <w:r>
        <w:t xml:space="preserve"> and replacing it with the current title of </w:t>
      </w:r>
      <w:r w:rsidRPr="003A6DE5">
        <w:rPr>
          <w:i/>
        </w:rPr>
        <w:t>Protection of Word “Anzac” Act 1920</w:t>
      </w:r>
      <w:r>
        <w:t xml:space="preserve">.  This correction makes no substantive change to the law and merely reflects a change made to the title of the Act in question.  </w:t>
      </w:r>
    </w:p>
    <w:p w:rsidR="00025C08" w:rsidRDefault="00025C08" w:rsidP="00025C08">
      <w:pPr>
        <w:pStyle w:val="Paragraph"/>
      </w:pPr>
      <w:r>
        <w:t>The Act does not specify any conditions that must be fulfill</w:t>
      </w:r>
      <w:r w:rsidR="00C40ABA">
        <w:t>ed before the power to make these</w:t>
      </w:r>
      <w:r>
        <w:t xml:space="preserve"> Regulation</w:t>
      </w:r>
      <w:r w:rsidR="00C40ABA">
        <w:t>s</w:t>
      </w:r>
      <w:r>
        <w:t xml:space="preserve"> may be exercised. </w:t>
      </w:r>
    </w:p>
    <w:p w:rsidR="00612AE6" w:rsidRDefault="00634735" w:rsidP="00612AE6">
      <w:pPr>
        <w:pStyle w:val="Paragraph"/>
      </w:pPr>
      <w:r>
        <w:t>The</w:t>
      </w:r>
      <w:r w:rsidR="00612AE6">
        <w:t xml:space="preserve"> Regulation</w:t>
      </w:r>
      <w:r w:rsidR="00C40ABA">
        <w:t>s</w:t>
      </w:r>
      <w:r w:rsidR="00612AE6">
        <w:t xml:space="preserve"> will</w:t>
      </w:r>
      <w:r w:rsidR="00612AE6" w:rsidRPr="00415156">
        <w:t xml:space="preserve"> be a legislative instrument for the purposes of the </w:t>
      </w:r>
      <w:r w:rsidR="00C955A7">
        <w:t>Legislative Instruments </w:t>
      </w:r>
      <w:r w:rsidR="00612AE6" w:rsidRPr="00415156">
        <w:t xml:space="preserve">Act. </w:t>
      </w:r>
      <w:r>
        <w:t xml:space="preserve"> </w:t>
      </w:r>
    </w:p>
    <w:p w:rsidR="00612AE6" w:rsidRPr="00415156" w:rsidRDefault="00634735" w:rsidP="00612AE6">
      <w:pPr>
        <w:pStyle w:val="Paragraph"/>
      </w:pPr>
      <w:r>
        <w:t>The</w:t>
      </w:r>
      <w:r w:rsidR="00612AE6">
        <w:t xml:space="preserve"> Regulation</w:t>
      </w:r>
      <w:r w:rsidR="00C40ABA">
        <w:t>s</w:t>
      </w:r>
      <w:r w:rsidR="00612AE6">
        <w:t xml:space="preserve"> will</w:t>
      </w:r>
      <w:r w:rsidR="00C40ABA">
        <w:t xml:space="preserve"> commence on the day after they are</w:t>
      </w:r>
      <w:r w:rsidR="00612AE6" w:rsidRPr="00415156">
        <w:t xml:space="preserve"> registered on the Federal Register of Legislative Instruments.</w:t>
      </w:r>
      <w:r>
        <w:t xml:space="preserve">  </w:t>
      </w:r>
    </w:p>
    <w:p w:rsidR="00612AE6" w:rsidRPr="00415156" w:rsidRDefault="00612AE6" w:rsidP="00612AE6">
      <w:pPr>
        <w:pStyle w:val="Heading3"/>
        <w:spacing w:before="240" w:line="240" w:lineRule="auto"/>
        <w:rPr>
          <w:szCs w:val="24"/>
        </w:rPr>
      </w:pPr>
      <w:r w:rsidRPr="00415156">
        <w:rPr>
          <w:szCs w:val="24"/>
        </w:rPr>
        <w:t>Regulatory impact analysis</w:t>
      </w:r>
    </w:p>
    <w:p w:rsidR="00612AE6" w:rsidRPr="00415156" w:rsidRDefault="00612AE6" w:rsidP="00612AE6">
      <w:pPr>
        <w:spacing w:before="240" w:line="240" w:lineRule="auto"/>
        <w:rPr>
          <w:sz w:val="24"/>
          <w:szCs w:val="24"/>
        </w:rPr>
      </w:pPr>
      <w:r>
        <w:rPr>
          <w:sz w:val="24"/>
          <w:szCs w:val="24"/>
        </w:rPr>
        <w:t>Before this R</w:t>
      </w:r>
      <w:r w:rsidRPr="00415156">
        <w:rPr>
          <w:sz w:val="24"/>
          <w:szCs w:val="24"/>
        </w:rPr>
        <w:t xml:space="preserve">egulation was made, its expected impact was assessed using the Preliminary Assessment tool approved by the Office of Best Practice Regulation (OBPR). </w:t>
      </w:r>
      <w:r>
        <w:rPr>
          <w:sz w:val="24"/>
          <w:szCs w:val="24"/>
        </w:rPr>
        <w:t xml:space="preserve"> </w:t>
      </w:r>
      <w:r w:rsidRPr="00415156">
        <w:rPr>
          <w:sz w:val="24"/>
          <w:szCs w:val="24"/>
        </w:rPr>
        <w:t xml:space="preserve">That assessment indicated that it </w:t>
      </w:r>
      <w:r>
        <w:rPr>
          <w:sz w:val="24"/>
          <w:szCs w:val="24"/>
        </w:rPr>
        <w:t>will</w:t>
      </w:r>
      <w:r w:rsidRPr="00415156">
        <w:rPr>
          <w:sz w:val="24"/>
          <w:szCs w:val="24"/>
        </w:rPr>
        <w:t xml:space="preserve"> have no or low impact on business, individuals and the economy.  This assessment has been confirmed by the OBPR (OBPR </w:t>
      </w:r>
      <w:r w:rsidRPr="00087225">
        <w:rPr>
          <w:sz w:val="24"/>
          <w:szCs w:val="24"/>
        </w:rPr>
        <w:t xml:space="preserve">reference </w:t>
      </w:r>
      <w:r w:rsidR="004532A4" w:rsidRPr="00087225">
        <w:rPr>
          <w:sz w:val="24"/>
          <w:szCs w:val="24"/>
        </w:rPr>
        <w:t>17635</w:t>
      </w:r>
      <w:r w:rsidRPr="00087225">
        <w:rPr>
          <w:sz w:val="24"/>
          <w:szCs w:val="24"/>
        </w:rPr>
        <w:t>).</w:t>
      </w:r>
      <w:r w:rsidRPr="00415156">
        <w:rPr>
          <w:sz w:val="24"/>
          <w:szCs w:val="24"/>
        </w:rPr>
        <w:t xml:space="preserve"> </w:t>
      </w:r>
    </w:p>
    <w:p w:rsidR="00612AE6" w:rsidRPr="00415156" w:rsidRDefault="00612AE6" w:rsidP="00612AE6">
      <w:pPr>
        <w:pStyle w:val="Heading3"/>
        <w:spacing w:before="240" w:line="240" w:lineRule="auto"/>
        <w:rPr>
          <w:szCs w:val="24"/>
        </w:rPr>
      </w:pPr>
      <w:r w:rsidRPr="00415156">
        <w:rPr>
          <w:szCs w:val="24"/>
        </w:rPr>
        <w:lastRenderedPageBreak/>
        <w:t xml:space="preserve">Statement of compatibility with human rights obligations </w:t>
      </w:r>
    </w:p>
    <w:p w:rsidR="00612AE6" w:rsidRPr="00415156" w:rsidRDefault="00612AE6" w:rsidP="00612AE6">
      <w:pPr>
        <w:spacing w:before="240" w:line="240" w:lineRule="auto"/>
        <w:rPr>
          <w:sz w:val="24"/>
          <w:szCs w:val="24"/>
        </w:rPr>
      </w:pPr>
      <w:r w:rsidRPr="00415156">
        <w:rPr>
          <w:sz w:val="24"/>
          <w:szCs w:val="24"/>
        </w:rPr>
        <w:t>Before this regulation was made, its impact on human rights was assessed using tools and guidance published by the</w:t>
      </w:r>
      <w:r w:rsidR="004532A4">
        <w:rPr>
          <w:sz w:val="24"/>
          <w:szCs w:val="24"/>
        </w:rPr>
        <w:t xml:space="preserve"> Attorney</w:t>
      </w:r>
      <w:r w:rsidR="004532A4">
        <w:rPr>
          <w:sz w:val="24"/>
          <w:szCs w:val="24"/>
        </w:rPr>
        <w:noBreakHyphen/>
        <w:t>General’s Department.</w:t>
      </w:r>
      <w:r w:rsidRPr="00415156">
        <w:rPr>
          <w:sz w:val="24"/>
          <w:szCs w:val="24"/>
        </w:rPr>
        <w:t xml:space="preserve"> </w:t>
      </w:r>
      <w:r>
        <w:rPr>
          <w:sz w:val="24"/>
          <w:szCs w:val="24"/>
        </w:rPr>
        <w:t>This</w:t>
      </w:r>
      <w:r w:rsidRPr="00415156">
        <w:rPr>
          <w:sz w:val="24"/>
          <w:szCs w:val="24"/>
        </w:rPr>
        <w:t xml:space="preserve"> Regulation </w:t>
      </w:r>
      <w:r>
        <w:rPr>
          <w:sz w:val="24"/>
          <w:szCs w:val="24"/>
        </w:rPr>
        <w:t>will</w:t>
      </w:r>
      <w:r w:rsidRPr="00415156">
        <w:rPr>
          <w:sz w:val="24"/>
          <w:szCs w:val="24"/>
        </w:rPr>
        <w:t xml:space="preserve"> make </w:t>
      </w:r>
      <w:r w:rsidR="00202A9E">
        <w:rPr>
          <w:sz w:val="24"/>
          <w:szCs w:val="24"/>
        </w:rPr>
        <w:t>technical amendments</w:t>
      </w:r>
      <w:r w:rsidRPr="00415156">
        <w:rPr>
          <w:sz w:val="24"/>
          <w:szCs w:val="24"/>
        </w:rPr>
        <w:t xml:space="preserve"> to the Principal Regulations which </w:t>
      </w:r>
      <w:r>
        <w:rPr>
          <w:sz w:val="24"/>
          <w:szCs w:val="24"/>
        </w:rPr>
        <w:t>will</w:t>
      </w:r>
      <w:r w:rsidRPr="00415156">
        <w:rPr>
          <w:sz w:val="24"/>
          <w:szCs w:val="24"/>
        </w:rPr>
        <w:t xml:space="preserve"> have no impact on the human rights and freedoms recognised or declared in the international instruments listed in section 3 of the </w:t>
      </w:r>
      <w:r w:rsidRPr="00415156">
        <w:rPr>
          <w:i/>
          <w:sz w:val="24"/>
          <w:szCs w:val="24"/>
        </w:rPr>
        <w:t>Human Rights (Parliamentary Scrutiny) Act 2011</w:t>
      </w:r>
      <w:r w:rsidRPr="00415156">
        <w:rPr>
          <w:sz w:val="24"/>
          <w:szCs w:val="24"/>
        </w:rPr>
        <w:t>.  This Regulation is compatible with human rights as it does not raise any human rights issues.</w:t>
      </w:r>
    </w:p>
    <w:p w:rsidR="00612AE6" w:rsidRPr="00415156" w:rsidRDefault="00612AE6" w:rsidP="00612AE6">
      <w:pPr>
        <w:pStyle w:val="Heading2"/>
        <w:spacing w:before="240" w:line="240" w:lineRule="auto"/>
        <w:rPr>
          <w:szCs w:val="24"/>
        </w:rPr>
      </w:pPr>
      <w:r w:rsidRPr="00415156">
        <w:rPr>
          <w:szCs w:val="24"/>
        </w:rPr>
        <w:t xml:space="preserve">PROCESSES FOR REVIEW OF THIS REGULATION </w:t>
      </w:r>
    </w:p>
    <w:p w:rsidR="00612AE6" w:rsidRPr="00415156" w:rsidRDefault="00612AE6" w:rsidP="00612AE6">
      <w:pPr>
        <w:spacing w:before="240" w:line="240" w:lineRule="auto"/>
        <w:rPr>
          <w:sz w:val="24"/>
          <w:szCs w:val="24"/>
        </w:rPr>
      </w:pPr>
      <w:r w:rsidRPr="00415156">
        <w:rPr>
          <w:sz w:val="24"/>
          <w:szCs w:val="24"/>
        </w:rPr>
        <w:t xml:space="preserve">This </w:t>
      </w:r>
      <w:r>
        <w:rPr>
          <w:sz w:val="24"/>
          <w:szCs w:val="24"/>
        </w:rPr>
        <w:t>R</w:t>
      </w:r>
      <w:r w:rsidRPr="00415156">
        <w:rPr>
          <w:sz w:val="24"/>
          <w:szCs w:val="24"/>
        </w:rPr>
        <w:t>egulation is subject to tabling and disallowance under Part 5 of the LIA, and will cease as if repealed on the day after the la</w:t>
      </w:r>
      <w:r w:rsidR="00C40ABA">
        <w:rPr>
          <w:sz w:val="24"/>
          <w:szCs w:val="24"/>
        </w:rPr>
        <w:t xml:space="preserve">st of its provisions commence. </w:t>
      </w:r>
    </w:p>
    <w:p w:rsidR="00612AE6" w:rsidRPr="00415156" w:rsidRDefault="00612AE6" w:rsidP="00612AE6">
      <w:pPr>
        <w:pStyle w:val="Heading2"/>
        <w:spacing w:before="240" w:line="240" w:lineRule="auto"/>
        <w:rPr>
          <w:szCs w:val="24"/>
        </w:rPr>
      </w:pPr>
      <w:r w:rsidRPr="00415156">
        <w:rPr>
          <w:szCs w:val="24"/>
        </w:rPr>
        <w:t xml:space="preserve">OTHER ISSUES </w:t>
      </w:r>
    </w:p>
    <w:p w:rsidR="00612AE6" w:rsidRPr="00415156" w:rsidRDefault="00612AE6" w:rsidP="00612AE6">
      <w:pPr>
        <w:pStyle w:val="Heading3"/>
        <w:spacing w:before="240" w:line="240" w:lineRule="auto"/>
        <w:rPr>
          <w:szCs w:val="24"/>
        </w:rPr>
      </w:pPr>
      <w:r w:rsidRPr="00415156">
        <w:rPr>
          <w:szCs w:val="24"/>
        </w:rPr>
        <w:t>Matter incorporated by reference</w:t>
      </w:r>
    </w:p>
    <w:p w:rsidR="00612AE6" w:rsidRPr="00415156" w:rsidRDefault="00612AE6" w:rsidP="00612AE6">
      <w:pPr>
        <w:spacing w:before="240" w:line="240" w:lineRule="auto"/>
        <w:rPr>
          <w:sz w:val="24"/>
          <w:szCs w:val="24"/>
        </w:rPr>
      </w:pPr>
      <w:r>
        <w:rPr>
          <w:sz w:val="24"/>
          <w:szCs w:val="24"/>
        </w:rPr>
        <w:t>This R</w:t>
      </w:r>
      <w:r w:rsidRPr="00415156">
        <w:rPr>
          <w:sz w:val="24"/>
          <w:szCs w:val="24"/>
        </w:rPr>
        <w:t xml:space="preserve">egulation does not apply, adopt or incorporate other matter by reference. </w:t>
      </w:r>
    </w:p>
    <w:p w:rsidR="00612AE6" w:rsidRPr="00415156" w:rsidRDefault="00612AE6" w:rsidP="00612AE6">
      <w:pPr>
        <w:pStyle w:val="Heading3"/>
        <w:spacing w:before="240" w:line="240" w:lineRule="auto"/>
        <w:rPr>
          <w:szCs w:val="24"/>
        </w:rPr>
      </w:pPr>
      <w:r w:rsidRPr="00415156">
        <w:rPr>
          <w:szCs w:val="24"/>
        </w:rPr>
        <w:t xml:space="preserve">More information </w:t>
      </w:r>
    </w:p>
    <w:p w:rsidR="00612AE6" w:rsidRPr="00415156" w:rsidRDefault="00612AE6" w:rsidP="00612AE6">
      <w:pPr>
        <w:spacing w:before="240" w:line="240" w:lineRule="auto"/>
        <w:rPr>
          <w:sz w:val="24"/>
          <w:szCs w:val="24"/>
        </w:rPr>
      </w:pPr>
      <w:r w:rsidRPr="00415156">
        <w:rPr>
          <w:sz w:val="24"/>
          <w:szCs w:val="24"/>
        </w:rPr>
        <w:t xml:space="preserve">An explanation of the provisions and the Schedules to the regulation is provided in </w:t>
      </w:r>
      <w:r w:rsidRPr="00415156">
        <w:rPr>
          <w:sz w:val="24"/>
          <w:szCs w:val="24"/>
          <w:u w:val="single"/>
        </w:rPr>
        <w:t>Attachment A</w:t>
      </w:r>
      <w:r w:rsidRPr="00415156">
        <w:rPr>
          <w:sz w:val="24"/>
          <w:szCs w:val="24"/>
        </w:rPr>
        <w:t>.</w:t>
      </w:r>
    </w:p>
    <w:p w:rsidR="00612AE6" w:rsidRPr="00415156" w:rsidRDefault="00612AE6" w:rsidP="00612AE6">
      <w:pPr>
        <w:pStyle w:val="Heading2"/>
        <w:spacing w:before="240" w:line="240" w:lineRule="auto"/>
        <w:rPr>
          <w:rFonts w:ascii="Times New Roman" w:hAnsi="Times New Roman"/>
          <w:szCs w:val="24"/>
        </w:rPr>
      </w:pPr>
      <w:r w:rsidRPr="00415156">
        <w:rPr>
          <w:rStyle w:val="Heading1Char"/>
        </w:rPr>
        <w:br w:type="page"/>
      </w:r>
      <w:r w:rsidRPr="00415156">
        <w:rPr>
          <w:rFonts w:ascii="Times New Roman" w:hAnsi="Times New Roman"/>
          <w:szCs w:val="24"/>
        </w:rPr>
        <w:lastRenderedPageBreak/>
        <w:t>NOTES ON SECTIONS</w:t>
      </w:r>
      <w:r w:rsidRPr="00415156">
        <w:rPr>
          <w:rFonts w:ascii="Times New Roman" w:hAnsi="Times New Roman"/>
          <w:szCs w:val="24"/>
        </w:rPr>
        <w:tab/>
      </w:r>
      <w:r w:rsidRPr="00415156">
        <w:rPr>
          <w:rFonts w:ascii="Times New Roman" w:hAnsi="Times New Roman"/>
          <w:szCs w:val="24"/>
        </w:rPr>
        <w:tab/>
      </w:r>
      <w:r w:rsidRPr="00415156">
        <w:rPr>
          <w:rFonts w:ascii="Times New Roman" w:hAnsi="Times New Roman"/>
          <w:szCs w:val="24"/>
        </w:rPr>
        <w:tab/>
      </w:r>
      <w:r w:rsidRPr="00415156">
        <w:rPr>
          <w:rFonts w:ascii="Times New Roman" w:hAnsi="Times New Roman"/>
          <w:szCs w:val="24"/>
        </w:rPr>
        <w:tab/>
      </w:r>
      <w:r w:rsidRPr="00415156">
        <w:rPr>
          <w:rFonts w:ascii="Times New Roman" w:hAnsi="Times New Roman"/>
          <w:szCs w:val="24"/>
        </w:rPr>
        <w:tab/>
      </w:r>
      <w:r w:rsidRPr="00415156">
        <w:rPr>
          <w:rFonts w:ascii="Times New Roman" w:hAnsi="Times New Roman"/>
          <w:szCs w:val="24"/>
        </w:rPr>
        <w:tab/>
        <w:t xml:space="preserve">       </w:t>
      </w:r>
      <w:r w:rsidRPr="00415156">
        <w:rPr>
          <w:rFonts w:ascii="Times New Roman" w:hAnsi="Times New Roman"/>
          <w:szCs w:val="24"/>
          <w:u w:val="single"/>
        </w:rPr>
        <w:t>ATTACHMENT A</w:t>
      </w:r>
    </w:p>
    <w:p w:rsidR="00612AE6" w:rsidRPr="00415156" w:rsidRDefault="00612AE6" w:rsidP="00612AE6">
      <w:pPr>
        <w:pStyle w:val="Heading3"/>
        <w:spacing w:before="240" w:line="240" w:lineRule="auto"/>
        <w:rPr>
          <w:rFonts w:ascii="Times New Roman" w:hAnsi="Times New Roman"/>
          <w:szCs w:val="24"/>
        </w:rPr>
      </w:pPr>
      <w:r w:rsidRPr="00415156">
        <w:rPr>
          <w:rFonts w:ascii="Times New Roman" w:hAnsi="Times New Roman"/>
          <w:szCs w:val="24"/>
        </w:rPr>
        <w:t>Section 1</w:t>
      </w:r>
      <w:r w:rsidRPr="00415156">
        <w:rPr>
          <w:rFonts w:ascii="Times New Roman" w:hAnsi="Times New Roman"/>
          <w:szCs w:val="24"/>
        </w:rPr>
        <w:tab/>
        <w:t>Name of regulation</w:t>
      </w:r>
    </w:p>
    <w:p w:rsidR="00612AE6" w:rsidRPr="00415156" w:rsidRDefault="00612AE6" w:rsidP="00612AE6">
      <w:pPr>
        <w:spacing w:before="240" w:line="240" w:lineRule="auto"/>
        <w:rPr>
          <w:sz w:val="24"/>
          <w:szCs w:val="24"/>
        </w:rPr>
      </w:pPr>
      <w:r w:rsidRPr="00415156">
        <w:rPr>
          <w:sz w:val="24"/>
          <w:szCs w:val="24"/>
        </w:rPr>
        <w:t>This section provides for the Regulation</w:t>
      </w:r>
      <w:r w:rsidR="00C40ABA">
        <w:rPr>
          <w:sz w:val="24"/>
          <w:szCs w:val="24"/>
        </w:rPr>
        <w:t>s</w:t>
      </w:r>
      <w:r w:rsidRPr="00415156">
        <w:rPr>
          <w:sz w:val="24"/>
          <w:szCs w:val="24"/>
        </w:rPr>
        <w:t xml:space="preserve"> to be named as the </w:t>
      </w:r>
      <w:r w:rsidRPr="00415156">
        <w:rPr>
          <w:i/>
          <w:sz w:val="24"/>
          <w:szCs w:val="24"/>
        </w:rPr>
        <w:t>Legislative In</w:t>
      </w:r>
      <w:r w:rsidR="00C40ABA">
        <w:rPr>
          <w:i/>
          <w:sz w:val="24"/>
          <w:szCs w:val="24"/>
        </w:rPr>
        <w:t>struments Amendment (</w:t>
      </w:r>
      <w:r w:rsidRPr="00415156">
        <w:rPr>
          <w:i/>
          <w:sz w:val="24"/>
          <w:szCs w:val="24"/>
        </w:rPr>
        <w:t xml:space="preserve">Exemptions) </w:t>
      </w:r>
      <w:r w:rsidRPr="00C40ABA">
        <w:rPr>
          <w:i/>
          <w:sz w:val="24"/>
          <w:szCs w:val="24"/>
        </w:rPr>
        <w:t>Regulation 201</w:t>
      </w:r>
      <w:r w:rsidR="004532A4" w:rsidRPr="00C40ABA">
        <w:rPr>
          <w:i/>
          <w:sz w:val="24"/>
          <w:szCs w:val="24"/>
        </w:rPr>
        <w:t>4</w:t>
      </w:r>
      <w:r w:rsidRPr="00C40ABA">
        <w:rPr>
          <w:sz w:val="24"/>
          <w:szCs w:val="24"/>
        </w:rPr>
        <w:t>.  The</w:t>
      </w:r>
      <w:r w:rsidRPr="00415156">
        <w:rPr>
          <w:sz w:val="24"/>
          <w:szCs w:val="24"/>
        </w:rPr>
        <w:t xml:space="preserve"> Regulation</w:t>
      </w:r>
      <w:r w:rsidR="00C40ABA">
        <w:rPr>
          <w:sz w:val="24"/>
          <w:szCs w:val="24"/>
        </w:rPr>
        <w:t>s</w:t>
      </w:r>
      <w:r w:rsidRPr="00415156">
        <w:rPr>
          <w:sz w:val="24"/>
          <w:szCs w:val="24"/>
        </w:rPr>
        <w:t xml:space="preserve"> may be cited by that name. </w:t>
      </w:r>
    </w:p>
    <w:p w:rsidR="00612AE6" w:rsidRPr="00415156" w:rsidRDefault="00612AE6" w:rsidP="00612AE6">
      <w:pPr>
        <w:pStyle w:val="Heading3"/>
        <w:spacing w:before="240" w:line="240" w:lineRule="auto"/>
        <w:rPr>
          <w:rFonts w:ascii="Times New Roman" w:hAnsi="Times New Roman"/>
          <w:szCs w:val="24"/>
        </w:rPr>
      </w:pPr>
      <w:r w:rsidRPr="00415156">
        <w:rPr>
          <w:rFonts w:ascii="Times New Roman" w:hAnsi="Times New Roman"/>
          <w:szCs w:val="24"/>
        </w:rPr>
        <w:t xml:space="preserve">Section 2 </w:t>
      </w:r>
      <w:r w:rsidRPr="00415156">
        <w:rPr>
          <w:rFonts w:ascii="Times New Roman" w:hAnsi="Times New Roman"/>
          <w:szCs w:val="24"/>
        </w:rPr>
        <w:tab/>
        <w:t>Commencement</w:t>
      </w:r>
    </w:p>
    <w:p w:rsidR="00612AE6" w:rsidRPr="00415156" w:rsidRDefault="00612AE6" w:rsidP="00612AE6">
      <w:pPr>
        <w:spacing w:before="240" w:line="240" w:lineRule="auto"/>
        <w:rPr>
          <w:sz w:val="24"/>
          <w:szCs w:val="24"/>
        </w:rPr>
      </w:pPr>
      <w:r w:rsidRPr="00415156">
        <w:rPr>
          <w:sz w:val="24"/>
          <w:szCs w:val="24"/>
        </w:rPr>
        <w:t>This section provides for the Regulation</w:t>
      </w:r>
      <w:r w:rsidR="00C40ABA">
        <w:rPr>
          <w:sz w:val="24"/>
          <w:szCs w:val="24"/>
        </w:rPr>
        <w:t>s to commence on the day after they are</w:t>
      </w:r>
      <w:r w:rsidRPr="00415156">
        <w:rPr>
          <w:sz w:val="24"/>
          <w:szCs w:val="24"/>
        </w:rPr>
        <w:t xml:space="preserve"> registered on the Federal Register of Legislative Instruments.</w:t>
      </w:r>
    </w:p>
    <w:p w:rsidR="00612AE6" w:rsidRPr="00415156" w:rsidRDefault="00612AE6" w:rsidP="00612AE6">
      <w:pPr>
        <w:pStyle w:val="Heading3"/>
        <w:spacing w:before="240" w:line="240" w:lineRule="auto"/>
        <w:rPr>
          <w:rFonts w:ascii="Times New Roman" w:hAnsi="Times New Roman"/>
          <w:szCs w:val="24"/>
        </w:rPr>
      </w:pPr>
      <w:r w:rsidRPr="00415156">
        <w:rPr>
          <w:rFonts w:ascii="Times New Roman" w:hAnsi="Times New Roman"/>
          <w:szCs w:val="24"/>
        </w:rPr>
        <w:t>Section 3</w:t>
      </w:r>
      <w:r w:rsidRPr="00415156">
        <w:rPr>
          <w:rFonts w:ascii="Times New Roman" w:hAnsi="Times New Roman"/>
          <w:szCs w:val="24"/>
        </w:rPr>
        <w:tab/>
        <w:t>Authority</w:t>
      </w:r>
    </w:p>
    <w:p w:rsidR="00612AE6" w:rsidRPr="00415156" w:rsidRDefault="00612AE6" w:rsidP="00612AE6">
      <w:pPr>
        <w:spacing w:before="240" w:line="240" w:lineRule="auto"/>
        <w:rPr>
          <w:sz w:val="24"/>
          <w:szCs w:val="24"/>
        </w:rPr>
      </w:pPr>
      <w:r w:rsidRPr="00415156">
        <w:rPr>
          <w:sz w:val="24"/>
          <w:szCs w:val="24"/>
        </w:rPr>
        <w:t xml:space="preserve">This section identifies the </w:t>
      </w:r>
      <w:r w:rsidRPr="00415156">
        <w:rPr>
          <w:i/>
          <w:sz w:val="24"/>
          <w:szCs w:val="24"/>
        </w:rPr>
        <w:t>Legislative Instruments Act 2003</w:t>
      </w:r>
      <w:r w:rsidRPr="00415156">
        <w:rPr>
          <w:sz w:val="24"/>
          <w:szCs w:val="24"/>
        </w:rPr>
        <w:t xml:space="preserve"> (the LIA) as the Act that authorises the making of the Regulation</w:t>
      </w:r>
      <w:r w:rsidR="00C40ABA">
        <w:rPr>
          <w:sz w:val="24"/>
          <w:szCs w:val="24"/>
        </w:rPr>
        <w:t>s</w:t>
      </w:r>
      <w:r w:rsidRPr="00415156">
        <w:rPr>
          <w:sz w:val="24"/>
          <w:szCs w:val="24"/>
        </w:rPr>
        <w:t>.</w:t>
      </w:r>
    </w:p>
    <w:p w:rsidR="00612AE6" w:rsidRPr="00415156" w:rsidRDefault="00612AE6" w:rsidP="00612AE6">
      <w:pPr>
        <w:pStyle w:val="Heading3"/>
        <w:spacing w:before="240" w:line="240" w:lineRule="auto"/>
        <w:rPr>
          <w:rFonts w:ascii="Times New Roman" w:hAnsi="Times New Roman"/>
          <w:szCs w:val="24"/>
        </w:rPr>
      </w:pPr>
      <w:r w:rsidRPr="00415156">
        <w:rPr>
          <w:rFonts w:ascii="Times New Roman" w:hAnsi="Times New Roman"/>
          <w:szCs w:val="24"/>
        </w:rPr>
        <w:t>Section 4</w:t>
      </w:r>
      <w:r w:rsidRPr="00415156">
        <w:rPr>
          <w:rFonts w:ascii="Times New Roman" w:hAnsi="Times New Roman"/>
          <w:szCs w:val="24"/>
        </w:rPr>
        <w:tab/>
        <w:t>Schedule(s)</w:t>
      </w:r>
    </w:p>
    <w:p w:rsidR="00612AE6" w:rsidRPr="00415156" w:rsidRDefault="00612AE6" w:rsidP="00612AE6">
      <w:pPr>
        <w:spacing w:before="240" w:line="240" w:lineRule="auto"/>
        <w:rPr>
          <w:sz w:val="24"/>
          <w:szCs w:val="24"/>
        </w:rPr>
      </w:pPr>
      <w:r w:rsidRPr="00415156">
        <w:rPr>
          <w:sz w:val="24"/>
          <w:szCs w:val="24"/>
        </w:rPr>
        <w:t xml:space="preserve">This section </w:t>
      </w:r>
      <w:r w:rsidR="00C40ABA">
        <w:rPr>
          <w:sz w:val="24"/>
          <w:szCs w:val="24"/>
        </w:rPr>
        <w:t xml:space="preserve">provides </w:t>
      </w:r>
      <w:r w:rsidRPr="00415156">
        <w:rPr>
          <w:sz w:val="24"/>
          <w:szCs w:val="24"/>
        </w:rPr>
        <w:t xml:space="preserve">that the </w:t>
      </w:r>
      <w:r w:rsidRPr="00C4335D">
        <w:rPr>
          <w:i/>
          <w:sz w:val="24"/>
          <w:szCs w:val="24"/>
        </w:rPr>
        <w:t>Legislative Instruments Regulations 2004</w:t>
      </w:r>
      <w:r w:rsidRPr="00415156">
        <w:rPr>
          <w:sz w:val="24"/>
          <w:szCs w:val="24"/>
        </w:rPr>
        <w:t xml:space="preserve"> (the Principal Regulations) are amended as set out in the Schedule. </w:t>
      </w:r>
    </w:p>
    <w:p w:rsidR="00612AE6" w:rsidRPr="00415156" w:rsidRDefault="00612AE6" w:rsidP="00612AE6">
      <w:pPr>
        <w:pStyle w:val="Heading3"/>
        <w:spacing w:before="240" w:line="240" w:lineRule="auto"/>
        <w:rPr>
          <w:rFonts w:ascii="Times New Roman" w:hAnsi="Times New Roman"/>
          <w:szCs w:val="24"/>
        </w:rPr>
      </w:pPr>
      <w:r w:rsidRPr="00415156">
        <w:rPr>
          <w:rFonts w:ascii="Times New Roman" w:hAnsi="Times New Roman"/>
          <w:szCs w:val="24"/>
        </w:rPr>
        <w:t>Schedule 1</w:t>
      </w:r>
      <w:r w:rsidRPr="00415156">
        <w:rPr>
          <w:rFonts w:ascii="Times New Roman" w:hAnsi="Times New Roman"/>
          <w:szCs w:val="24"/>
        </w:rPr>
        <w:tab/>
        <w:t>Amendments</w:t>
      </w:r>
    </w:p>
    <w:p w:rsidR="00612AE6" w:rsidRDefault="00612AE6" w:rsidP="00612AE6">
      <w:pPr>
        <w:spacing w:before="240" w:line="240" w:lineRule="auto"/>
        <w:rPr>
          <w:sz w:val="24"/>
          <w:szCs w:val="24"/>
        </w:rPr>
      </w:pPr>
      <w:r w:rsidRPr="00C40ABA">
        <w:rPr>
          <w:sz w:val="24"/>
          <w:szCs w:val="24"/>
        </w:rPr>
        <w:t>Schedule 1 of the Regulation</w:t>
      </w:r>
      <w:r w:rsidR="00C40ABA" w:rsidRPr="00C40ABA">
        <w:rPr>
          <w:sz w:val="24"/>
          <w:szCs w:val="24"/>
        </w:rPr>
        <w:t>s</w:t>
      </w:r>
      <w:r w:rsidRPr="00C40ABA">
        <w:rPr>
          <w:sz w:val="24"/>
          <w:szCs w:val="24"/>
        </w:rPr>
        <w:t xml:space="preserve"> </w:t>
      </w:r>
      <w:r w:rsidR="00C40ABA">
        <w:rPr>
          <w:sz w:val="24"/>
          <w:szCs w:val="24"/>
        </w:rPr>
        <w:t>adds</w:t>
      </w:r>
      <w:r w:rsidR="00103320" w:rsidRPr="00C40ABA">
        <w:rPr>
          <w:sz w:val="24"/>
          <w:szCs w:val="24"/>
        </w:rPr>
        <w:t xml:space="preserve"> additional items to </w:t>
      </w:r>
      <w:r w:rsidRPr="00C40ABA">
        <w:rPr>
          <w:sz w:val="24"/>
          <w:szCs w:val="24"/>
        </w:rPr>
        <w:t>Schedule</w:t>
      </w:r>
      <w:r w:rsidR="00C40ABA" w:rsidRPr="00C40ABA">
        <w:rPr>
          <w:sz w:val="24"/>
          <w:szCs w:val="24"/>
        </w:rPr>
        <w:t>s 1 and</w:t>
      </w:r>
      <w:r w:rsidRPr="00C40ABA">
        <w:rPr>
          <w:sz w:val="24"/>
          <w:szCs w:val="24"/>
        </w:rPr>
        <w:t xml:space="preserve"> 3 </w:t>
      </w:r>
      <w:r w:rsidR="00103320" w:rsidRPr="00C40ABA">
        <w:rPr>
          <w:sz w:val="24"/>
          <w:szCs w:val="24"/>
        </w:rPr>
        <w:t>of</w:t>
      </w:r>
      <w:r w:rsidRPr="00C40ABA">
        <w:rPr>
          <w:sz w:val="24"/>
          <w:szCs w:val="24"/>
        </w:rPr>
        <w:t xml:space="preserve"> the Principal Regulations</w:t>
      </w:r>
      <w:r w:rsidR="00103320" w:rsidRPr="00C40ABA">
        <w:rPr>
          <w:sz w:val="24"/>
          <w:szCs w:val="24"/>
        </w:rPr>
        <w:t xml:space="preserve">. </w:t>
      </w:r>
      <w:r w:rsidR="00C40ABA">
        <w:rPr>
          <w:sz w:val="24"/>
          <w:szCs w:val="24"/>
        </w:rPr>
        <w:t>Part 2 of Schedule 1 of the Regulations lists i</w:t>
      </w:r>
      <w:r w:rsidR="00C40ABA" w:rsidRPr="00C40ABA">
        <w:rPr>
          <w:sz w:val="24"/>
          <w:szCs w:val="24"/>
        </w:rPr>
        <w:t xml:space="preserve">nstruments </w:t>
      </w:r>
      <w:r w:rsidR="00C40ABA">
        <w:rPr>
          <w:sz w:val="24"/>
          <w:szCs w:val="24"/>
        </w:rPr>
        <w:t xml:space="preserve">made under particular provisions that are declared not to be legislative instruments. Instruments listed in this Schedule are not subject to the provisions of the LIA.  </w:t>
      </w:r>
      <w:r w:rsidRPr="00C40ABA">
        <w:rPr>
          <w:sz w:val="24"/>
          <w:szCs w:val="24"/>
        </w:rPr>
        <w:t xml:space="preserve">Schedule 3 to the Principal Regulations lists instruments that are declared not to be subject to the sunsetting regime provided under the LIA.  </w:t>
      </w:r>
    </w:p>
    <w:p w:rsidR="001165E9" w:rsidRPr="00C40ABA" w:rsidRDefault="001165E9" w:rsidP="00612AE6">
      <w:pPr>
        <w:spacing w:before="240" w:line="240" w:lineRule="auto"/>
        <w:rPr>
          <w:sz w:val="24"/>
          <w:szCs w:val="24"/>
        </w:rPr>
      </w:pPr>
      <w:r>
        <w:rPr>
          <w:sz w:val="24"/>
          <w:szCs w:val="24"/>
        </w:rPr>
        <w:t xml:space="preserve">Item 1 provides that an order made under subsection 85(1) of the </w:t>
      </w:r>
      <w:r w:rsidRPr="001165E9">
        <w:rPr>
          <w:i/>
          <w:sz w:val="24"/>
          <w:szCs w:val="24"/>
        </w:rPr>
        <w:t>Jervis Bay Territory Rural Fires Ordinance 2014</w:t>
      </w:r>
      <w:r>
        <w:rPr>
          <w:sz w:val="24"/>
          <w:szCs w:val="24"/>
        </w:rPr>
        <w:t xml:space="preserve"> is not a legislative instrument.  </w:t>
      </w:r>
    </w:p>
    <w:p w:rsidR="00103320" w:rsidRPr="00C40ABA" w:rsidRDefault="001165E9" w:rsidP="00612AE6">
      <w:pPr>
        <w:spacing w:before="240" w:line="240" w:lineRule="auto"/>
        <w:rPr>
          <w:sz w:val="24"/>
          <w:szCs w:val="24"/>
        </w:rPr>
      </w:pPr>
      <w:r>
        <w:rPr>
          <w:sz w:val="24"/>
          <w:szCs w:val="24"/>
        </w:rPr>
        <w:t>Item 2</w:t>
      </w:r>
      <w:r w:rsidR="00C40ABA">
        <w:rPr>
          <w:sz w:val="24"/>
          <w:szCs w:val="24"/>
        </w:rPr>
        <w:t xml:space="preserve"> </w:t>
      </w:r>
      <w:r w:rsidR="00612AE6" w:rsidRPr="00C40ABA">
        <w:rPr>
          <w:sz w:val="24"/>
          <w:szCs w:val="24"/>
        </w:rPr>
        <w:t>provide</w:t>
      </w:r>
      <w:r w:rsidR="00C40ABA">
        <w:rPr>
          <w:sz w:val="24"/>
          <w:szCs w:val="24"/>
        </w:rPr>
        <w:t>s</w:t>
      </w:r>
      <w:r w:rsidR="00612AE6" w:rsidRPr="00C40ABA">
        <w:rPr>
          <w:sz w:val="24"/>
          <w:szCs w:val="24"/>
        </w:rPr>
        <w:t xml:space="preserve"> exemp</w:t>
      </w:r>
      <w:r>
        <w:rPr>
          <w:sz w:val="24"/>
          <w:szCs w:val="24"/>
        </w:rPr>
        <w:t>tions from sunsetting for determinations</w:t>
      </w:r>
      <w:r w:rsidR="00612AE6" w:rsidRPr="00C40ABA">
        <w:rPr>
          <w:sz w:val="24"/>
          <w:szCs w:val="24"/>
        </w:rPr>
        <w:t xml:space="preserve"> made </w:t>
      </w:r>
      <w:r w:rsidR="00103320" w:rsidRPr="00C40ABA">
        <w:rPr>
          <w:sz w:val="24"/>
          <w:szCs w:val="24"/>
        </w:rPr>
        <w:t xml:space="preserve">solely for the purposes of </w:t>
      </w:r>
      <w:r w:rsidR="00D21097">
        <w:rPr>
          <w:sz w:val="24"/>
          <w:szCs w:val="24"/>
        </w:rPr>
        <w:t xml:space="preserve">either or both of </w:t>
      </w:r>
      <w:r w:rsidR="00103320" w:rsidRPr="00C40ABA">
        <w:rPr>
          <w:sz w:val="24"/>
          <w:szCs w:val="24"/>
        </w:rPr>
        <w:t>section</w:t>
      </w:r>
      <w:r w:rsidR="00D21097">
        <w:rPr>
          <w:sz w:val="24"/>
          <w:szCs w:val="24"/>
        </w:rPr>
        <w:t>s</w:t>
      </w:r>
      <w:r w:rsidR="00103320" w:rsidRPr="00C40ABA">
        <w:rPr>
          <w:sz w:val="24"/>
          <w:szCs w:val="24"/>
        </w:rPr>
        <w:t xml:space="preserve"> 13 </w:t>
      </w:r>
      <w:r w:rsidR="00D21097">
        <w:rPr>
          <w:sz w:val="24"/>
          <w:szCs w:val="24"/>
        </w:rPr>
        <w:t>and</w:t>
      </w:r>
      <w:r w:rsidR="00103320" w:rsidRPr="00C40ABA">
        <w:rPr>
          <w:sz w:val="24"/>
          <w:szCs w:val="24"/>
        </w:rPr>
        <w:t xml:space="preserve"> 13A of the </w:t>
      </w:r>
      <w:r w:rsidR="00103320" w:rsidRPr="00C40ABA">
        <w:rPr>
          <w:i/>
          <w:sz w:val="24"/>
          <w:szCs w:val="24"/>
        </w:rPr>
        <w:t>Currency Act 1965</w:t>
      </w:r>
      <w:r>
        <w:rPr>
          <w:sz w:val="24"/>
          <w:szCs w:val="24"/>
        </w:rPr>
        <w:t xml:space="preserve"> (table item 15A), and for regulations made under that Act (table item 15B). These determinations and regulations </w:t>
      </w:r>
      <w:r w:rsidR="00103320" w:rsidRPr="00C40ABA">
        <w:rPr>
          <w:sz w:val="24"/>
          <w:szCs w:val="24"/>
        </w:rPr>
        <w:t xml:space="preserve">provide </w:t>
      </w:r>
      <w:r>
        <w:rPr>
          <w:sz w:val="24"/>
          <w:szCs w:val="24"/>
        </w:rPr>
        <w:t xml:space="preserve">for matters that are intended to be enduring and not subject to regular review under the LIA, such as the standard weight and dimensions of coins.  </w:t>
      </w:r>
    </w:p>
    <w:p w:rsidR="00B820E8" w:rsidRPr="00C40ABA" w:rsidRDefault="001165E9" w:rsidP="00612AE6">
      <w:pPr>
        <w:spacing w:before="240" w:line="240" w:lineRule="auto"/>
        <w:rPr>
          <w:sz w:val="24"/>
          <w:szCs w:val="24"/>
        </w:rPr>
      </w:pPr>
      <w:r>
        <w:rPr>
          <w:sz w:val="24"/>
          <w:szCs w:val="24"/>
        </w:rPr>
        <w:t>Item 3</w:t>
      </w:r>
      <w:r w:rsidR="00612AE6" w:rsidRPr="00C40ABA">
        <w:rPr>
          <w:sz w:val="24"/>
          <w:szCs w:val="24"/>
        </w:rPr>
        <w:t xml:space="preserve"> </w:t>
      </w:r>
      <w:r w:rsidR="00862304">
        <w:rPr>
          <w:sz w:val="24"/>
          <w:szCs w:val="24"/>
        </w:rPr>
        <w:t>provides</w:t>
      </w:r>
      <w:r w:rsidR="00612AE6" w:rsidRPr="00C40ABA">
        <w:rPr>
          <w:sz w:val="24"/>
          <w:szCs w:val="24"/>
        </w:rPr>
        <w:t xml:space="preserve"> exemption from sunsetting for </w:t>
      </w:r>
      <w:r w:rsidR="00B820E8" w:rsidRPr="00C40ABA">
        <w:rPr>
          <w:sz w:val="24"/>
          <w:szCs w:val="24"/>
        </w:rPr>
        <w:t>multiple instruments made under different Acts.</w:t>
      </w:r>
      <w:r w:rsidR="00862304">
        <w:rPr>
          <w:sz w:val="24"/>
          <w:szCs w:val="24"/>
        </w:rPr>
        <w:t xml:space="preserve"> </w:t>
      </w:r>
    </w:p>
    <w:p w:rsidR="00B820E8" w:rsidRPr="00C40ABA" w:rsidRDefault="00862304" w:rsidP="00B820E8">
      <w:pPr>
        <w:spacing w:before="240" w:line="240" w:lineRule="auto"/>
        <w:rPr>
          <w:sz w:val="24"/>
          <w:szCs w:val="24"/>
        </w:rPr>
      </w:pPr>
      <w:r>
        <w:rPr>
          <w:sz w:val="24"/>
          <w:szCs w:val="24"/>
        </w:rPr>
        <w:t>Table item 17A</w:t>
      </w:r>
      <w:r w:rsidR="00051315" w:rsidRPr="00C40ABA">
        <w:rPr>
          <w:sz w:val="24"/>
          <w:szCs w:val="24"/>
        </w:rPr>
        <w:t xml:space="preserve"> </w:t>
      </w:r>
      <w:r>
        <w:rPr>
          <w:sz w:val="24"/>
          <w:szCs w:val="24"/>
        </w:rPr>
        <w:t>provides</w:t>
      </w:r>
      <w:r w:rsidR="00051315" w:rsidRPr="00C40ABA">
        <w:rPr>
          <w:sz w:val="24"/>
          <w:szCs w:val="24"/>
        </w:rPr>
        <w:t xml:space="preserve"> exemptions from sunsetting for Disability S</w:t>
      </w:r>
      <w:r w:rsidR="00B820E8" w:rsidRPr="00C40ABA">
        <w:rPr>
          <w:sz w:val="24"/>
          <w:szCs w:val="24"/>
        </w:rPr>
        <w:t xml:space="preserve">tandards made under section 31 of the </w:t>
      </w:r>
      <w:r w:rsidR="00B820E8" w:rsidRPr="00C40ABA">
        <w:rPr>
          <w:i/>
          <w:sz w:val="24"/>
          <w:szCs w:val="24"/>
        </w:rPr>
        <w:t>Disability Discrimination Act 1992</w:t>
      </w:r>
      <w:r w:rsidR="00051315" w:rsidRPr="00C40ABA">
        <w:rPr>
          <w:sz w:val="24"/>
          <w:szCs w:val="24"/>
        </w:rPr>
        <w:t>. The Disability Standards set out rights and responsibilities with more detail than is provided under the Act.</w:t>
      </w:r>
      <w:r w:rsidR="00051629" w:rsidRPr="00C40ABA">
        <w:rPr>
          <w:sz w:val="24"/>
          <w:szCs w:val="24"/>
        </w:rPr>
        <w:t xml:space="preserve"> </w:t>
      </w:r>
      <w:r w:rsidR="00FA7725" w:rsidRPr="00C40ABA">
        <w:rPr>
          <w:sz w:val="24"/>
          <w:szCs w:val="24"/>
        </w:rPr>
        <w:t>A more stringent statutory review process than sunsetting applies to these pro</w:t>
      </w:r>
      <w:r w:rsidR="002E4516" w:rsidRPr="00C40ABA">
        <w:rPr>
          <w:sz w:val="24"/>
          <w:szCs w:val="24"/>
        </w:rPr>
        <w:t>visions and should be preserved</w:t>
      </w:r>
      <w:r w:rsidR="00CF25E8">
        <w:rPr>
          <w:sz w:val="24"/>
          <w:szCs w:val="24"/>
        </w:rPr>
        <w:t>.  C</w:t>
      </w:r>
      <w:r w:rsidR="002E4516" w:rsidRPr="00C40ABA">
        <w:rPr>
          <w:sz w:val="24"/>
          <w:szCs w:val="24"/>
        </w:rPr>
        <w:t xml:space="preserve">ommercial certainty would </w:t>
      </w:r>
      <w:r w:rsidR="00CF25E8">
        <w:rPr>
          <w:sz w:val="24"/>
          <w:szCs w:val="24"/>
        </w:rPr>
        <w:t xml:space="preserve">also </w:t>
      </w:r>
      <w:r w:rsidR="002E4516" w:rsidRPr="00C40ABA">
        <w:rPr>
          <w:sz w:val="24"/>
          <w:szCs w:val="24"/>
        </w:rPr>
        <w:t xml:space="preserve">be undermined </w:t>
      </w:r>
      <w:r>
        <w:rPr>
          <w:sz w:val="24"/>
          <w:szCs w:val="24"/>
        </w:rPr>
        <w:t xml:space="preserve">by the sunsetting of these rules. </w:t>
      </w:r>
    </w:p>
    <w:p w:rsidR="00051629" w:rsidRPr="00C40ABA" w:rsidRDefault="00862304" w:rsidP="00B820E8">
      <w:pPr>
        <w:spacing w:before="240" w:line="240" w:lineRule="auto"/>
        <w:rPr>
          <w:sz w:val="24"/>
          <w:szCs w:val="24"/>
        </w:rPr>
      </w:pPr>
      <w:r>
        <w:rPr>
          <w:sz w:val="24"/>
          <w:szCs w:val="24"/>
        </w:rPr>
        <w:t>Table item 17B</w:t>
      </w:r>
      <w:r w:rsidR="00051629" w:rsidRPr="00C40ABA">
        <w:rPr>
          <w:sz w:val="24"/>
          <w:szCs w:val="24"/>
        </w:rPr>
        <w:t xml:space="preserve"> </w:t>
      </w:r>
      <w:r>
        <w:rPr>
          <w:sz w:val="24"/>
          <w:szCs w:val="24"/>
        </w:rPr>
        <w:t>provides</w:t>
      </w:r>
      <w:r w:rsidR="00051629" w:rsidRPr="00C40ABA">
        <w:rPr>
          <w:sz w:val="24"/>
          <w:szCs w:val="24"/>
        </w:rPr>
        <w:t xml:space="preserve"> exemptions from sunsetting for regulations made under the </w:t>
      </w:r>
      <w:r w:rsidR="00051629" w:rsidRPr="00C40ABA">
        <w:rPr>
          <w:i/>
          <w:sz w:val="24"/>
          <w:szCs w:val="24"/>
        </w:rPr>
        <w:t>Extradition Act 1988</w:t>
      </w:r>
      <w:r w:rsidR="00615EAB">
        <w:rPr>
          <w:sz w:val="24"/>
          <w:szCs w:val="24"/>
        </w:rPr>
        <w:t xml:space="preserve"> that are not otherwise automatically exempt</w:t>
      </w:r>
      <w:r w:rsidR="00051629" w:rsidRPr="00C40ABA">
        <w:rPr>
          <w:sz w:val="24"/>
          <w:szCs w:val="24"/>
        </w:rPr>
        <w:t xml:space="preserve">. These regulations </w:t>
      </w:r>
      <w:r w:rsidR="00615EAB">
        <w:rPr>
          <w:sz w:val="24"/>
          <w:szCs w:val="24"/>
        </w:rPr>
        <w:t xml:space="preserve">that are </w:t>
      </w:r>
      <w:r w:rsidR="00615EAB">
        <w:rPr>
          <w:sz w:val="24"/>
          <w:szCs w:val="24"/>
        </w:rPr>
        <w:lastRenderedPageBreak/>
        <w:t xml:space="preserve">not automatically exempt were made to implement </w:t>
      </w:r>
      <w:r w:rsidR="00051629" w:rsidRPr="00C40ABA">
        <w:rPr>
          <w:sz w:val="24"/>
          <w:szCs w:val="24"/>
        </w:rPr>
        <w:t>extradition arrangements with other nations that are of less than treaty status</w:t>
      </w:r>
      <w:r w:rsidR="00615EAB">
        <w:rPr>
          <w:sz w:val="24"/>
          <w:szCs w:val="24"/>
        </w:rPr>
        <w:t xml:space="preserve"> or reciprocal arrangements with other nations</w:t>
      </w:r>
      <w:r w:rsidR="00051629" w:rsidRPr="00C40ABA">
        <w:rPr>
          <w:sz w:val="24"/>
          <w:szCs w:val="24"/>
        </w:rPr>
        <w:t xml:space="preserve">. </w:t>
      </w:r>
      <w:r w:rsidR="002E4516" w:rsidRPr="00C40ABA">
        <w:rPr>
          <w:sz w:val="24"/>
          <w:szCs w:val="24"/>
        </w:rPr>
        <w:t>These regulations are intended to be enduring and not subject to regular review under the LIA.</w:t>
      </w:r>
    </w:p>
    <w:p w:rsidR="00F75D7A" w:rsidRDefault="00F75D7A" w:rsidP="00F75D7A">
      <w:pPr>
        <w:spacing w:before="240" w:line="240" w:lineRule="auto"/>
        <w:rPr>
          <w:sz w:val="24"/>
          <w:szCs w:val="24"/>
        </w:rPr>
      </w:pPr>
      <w:r>
        <w:rPr>
          <w:sz w:val="24"/>
          <w:szCs w:val="24"/>
        </w:rPr>
        <w:t>Table item 17C provides exemptions from sunsetting for multiple instruments made under different provisions of the</w:t>
      </w:r>
      <w:r>
        <w:rPr>
          <w:i/>
          <w:sz w:val="24"/>
          <w:szCs w:val="24"/>
        </w:rPr>
        <w:t xml:space="preserve"> Family Law Act </w:t>
      </w:r>
      <w:r>
        <w:rPr>
          <w:sz w:val="24"/>
          <w:szCs w:val="24"/>
        </w:rPr>
        <w:t xml:space="preserve">1975. Proclamations made under the provisions referred to in paragraphs (a) to (d), (f), (g), and (i) define which Federal, State and Territory courts have jurisdiction to hear matters arising under the </w:t>
      </w:r>
      <w:r>
        <w:rPr>
          <w:i/>
          <w:sz w:val="24"/>
          <w:szCs w:val="24"/>
        </w:rPr>
        <w:t>Family Law Act 1975</w:t>
      </w:r>
      <w:r>
        <w:rPr>
          <w:sz w:val="24"/>
          <w:szCs w:val="24"/>
        </w:rPr>
        <w:t xml:space="preserve">. Proclamations made under the provisions referred to in paragraphs (e) and (h) deal with the application of certain provisions of Part VII of the </w:t>
      </w:r>
      <w:r>
        <w:rPr>
          <w:i/>
          <w:sz w:val="24"/>
          <w:szCs w:val="24"/>
        </w:rPr>
        <w:t>Family Law Act</w:t>
      </w:r>
      <w:r>
        <w:rPr>
          <w:sz w:val="24"/>
          <w:szCs w:val="24"/>
        </w:rPr>
        <w:t xml:space="preserve"> 1975 in matters involving children who are subject to a child welfare law in Queensland, Tasmania, New South Wales, or Victoria. These proclamations are part of an intergovernmental scheme and are intended to be enduring.  </w:t>
      </w:r>
    </w:p>
    <w:p w:rsidR="0087096A" w:rsidRDefault="008E6A82" w:rsidP="0087096A">
      <w:pPr>
        <w:spacing w:before="240" w:line="240" w:lineRule="auto"/>
        <w:rPr>
          <w:sz w:val="24"/>
          <w:szCs w:val="24"/>
        </w:rPr>
      </w:pPr>
      <w:r>
        <w:rPr>
          <w:sz w:val="24"/>
          <w:szCs w:val="24"/>
        </w:rPr>
        <w:t xml:space="preserve">Item 4 provides an </w:t>
      </w:r>
      <w:r w:rsidR="0087096A" w:rsidRPr="00C40ABA">
        <w:rPr>
          <w:sz w:val="24"/>
          <w:szCs w:val="24"/>
        </w:rPr>
        <w:t xml:space="preserve">exemption from sunsetting for regulations made under the </w:t>
      </w:r>
      <w:r w:rsidR="0087096A" w:rsidRPr="00C40ABA">
        <w:rPr>
          <w:i/>
        </w:rPr>
        <w:t>International Transfer of Prisoners Act 1997</w:t>
      </w:r>
      <w:r>
        <w:rPr>
          <w:i/>
        </w:rPr>
        <w:t xml:space="preserve"> </w:t>
      </w:r>
      <w:r>
        <w:t>(</w:t>
      </w:r>
      <w:r>
        <w:rPr>
          <w:sz w:val="24"/>
          <w:szCs w:val="24"/>
        </w:rPr>
        <w:t>table item 20A)</w:t>
      </w:r>
      <w:r w:rsidR="00615EAB">
        <w:rPr>
          <w:sz w:val="24"/>
          <w:szCs w:val="24"/>
        </w:rPr>
        <w:t xml:space="preserve"> that are not otherwise automatically exempt</w:t>
      </w:r>
      <w:r w:rsidR="0087096A" w:rsidRPr="00C40ABA">
        <w:rPr>
          <w:sz w:val="24"/>
          <w:szCs w:val="24"/>
        </w:rPr>
        <w:t>. These regulations</w:t>
      </w:r>
      <w:r w:rsidR="00615EAB">
        <w:rPr>
          <w:sz w:val="24"/>
          <w:szCs w:val="24"/>
        </w:rPr>
        <w:t xml:space="preserve"> that are not automatically exempt implement prisoner transfer</w:t>
      </w:r>
      <w:r w:rsidR="0087096A" w:rsidRPr="00C40ABA">
        <w:rPr>
          <w:sz w:val="24"/>
          <w:szCs w:val="24"/>
        </w:rPr>
        <w:t xml:space="preserve"> arrangements with other nations that are of less than treaty status. These regulations are intended to be enduring and not subject to regular review under the LIA. </w:t>
      </w:r>
    </w:p>
    <w:p w:rsidR="00B231B2" w:rsidRDefault="008E6A82" w:rsidP="00612AE6">
      <w:pPr>
        <w:spacing w:before="240" w:line="240" w:lineRule="auto"/>
        <w:rPr>
          <w:sz w:val="24"/>
          <w:szCs w:val="24"/>
        </w:rPr>
      </w:pPr>
      <w:r>
        <w:rPr>
          <w:sz w:val="24"/>
          <w:szCs w:val="24"/>
        </w:rPr>
        <w:t xml:space="preserve">Item 5 provides an exemption from sunsetting for </w:t>
      </w:r>
      <w:r w:rsidR="002873ED" w:rsidRPr="00C40ABA">
        <w:rPr>
          <w:sz w:val="24"/>
          <w:szCs w:val="24"/>
        </w:rPr>
        <w:t xml:space="preserve">regulations under </w:t>
      </w:r>
      <w:r w:rsidR="002873ED" w:rsidRPr="00C40ABA">
        <w:rPr>
          <w:i/>
          <w:sz w:val="24"/>
          <w:szCs w:val="24"/>
        </w:rPr>
        <w:t>Mutual Assistance in Business Regulation Act 1992</w:t>
      </w:r>
      <w:r>
        <w:rPr>
          <w:sz w:val="24"/>
          <w:szCs w:val="24"/>
        </w:rPr>
        <w:t xml:space="preserve"> (table item 23A)</w:t>
      </w:r>
      <w:r w:rsidR="002873ED" w:rsidRPr="00C40ABA">
        <w:rPr>
          <w:sz w:val="24"/>
          <w:szCs w:val="24"/>
        </w:rPr>
        <w:t>. The regulations set out how Commonwealth business-regulating authorities may assist their foreign counterparts.</w:t>
      </w:r>
      <w:r w:rsidR="002873ED">
        <w:rPr>
          <w:sz w:val="24"/>
          <w:szCs w:val="24"/>
        </w:rPr>
        <w:t xml:space="preserve"> </w:t>
      </w:r>
    </w:p>
    <w:p w:rsidR="00D32BEF" w:rsidRPr="002873ED" w:rsidRDefault="00D32BEF" w:rsidP="00612AE6">
      <w:pPr>
        <w:spacing w:before="240" w:line="240" w:lineRule="auto"/>
        <w:rPr>
          <w:sz w:val="24"/>
          <w:szCs w:val="24"/>
        </w:rPr>
      </w:pPr>
      <w:r>
        <w:rPr>
          <w:sz w:val="24"/>
          <w:szCs w:val="24"/>
        </w:rPr>
        <w:t xml:space="preserve">Item 6 repeals and replaces existing table item 51, to reflect the change in name of the </w:t>
      </w:r>
      <w:r w:rsidRPr="00D32BEF">
        <w:rPr>
          <w:i/>
          <w:sz w:val="24"/>
          <w:szCs w:val="24"/>
        </w:rPr>
        <w:t xml:space="preserve">Protection of </w:t>
      </w:r>
      <w:r w:rsidR="00B07ACE">
        <w:rPr>
          <w:i/>
          <w:sz w:val="24"/>
          <w:szCs w:val="24"/>
        </w:rPr>
        <w:t>W</w:t>
      </w:r>
      <w:r w:rsidRPr="00D32BEF">
        <w:rPr>
          <w:i/>
          <w:sz w:val="24"/>
          <w:szCs w:val="24"/>
        </w:rPr>
        <w:t>ord “Anzac” Act 1920</w:t>
      </w:r>
      <w:r>
        <w:rPr>
          <w:sz w:val="24"/>
          <w:szCs w:val="24"/>
        </w:rPr>
        <w:t xml:space="preserve">. </w:t>
      </w:r>
    </w:p>
    <w:p w:rsidR="0052492B" w:rsidRDefault="0052492B"/>
    <w:sectPr w:rsidR="0052492B" w:rsidSect="0030451A">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097" w:rsidRDefault="00D21097">
      <w:pPr>
        <w:spacing w:line="240" w:lineRule="auto"/>
      </w:pPr>
      <w:r>
        <w:separator/>
      </w:r>
    </w:p>
  </w:endnote>
  <w:endnote w:type="continuationSeparator" w:id="0">
    <w:p w:rsidR="00D21097" w:rsidRDefault="00D21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97" w:rsidRDefault="00D21097" w:rsidP="003045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1097" w:rsidRDefault="00D21097" w:rsidP="0030451A">
    <w:pPr>
      <w:pStyle w:val="Footer"/>
      <w:ind w:right="360"/>
    </w:pPr>
  </w:p>
  <w:p w:rsidR="00D21097" w:rsidRPr="00172BEB" w:rsidRDefault="00D21097" w:rsidP="0030451A">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Pr>
        <w:i/>
        <w:noProof/>
        <w:sz w:val="18"/>
      </w:rPr>
      <w:t>\\actdc01fs01p\user_folder$\tehang\Documents\Offline Records (AG)\AG submissions, drafting and ExCo\Legislative Instruments Amendment (Sunsetting Exemptions) Regulation 2013 - explanatory statement.DOCX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7233BC">
      <w:rPr>
        <w:i/>
        <w:noProof/>
        <w:sz w:val="18"/>
      </w:rPr>
      <w:t>10/12/2014 8:22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97" w:rsidRDefault="00D21097" w:rsidP="0030451A">
    <w:pPr>
      <w:pStyle w:val="Footer"/>
      <w:tabs>
        <w:tab w:val="clear" w:pos="4153"/>
        <w:tab w:val="clear" w:pos="8306"/>
        <w:tab w:val="left" w:pos="7680"/>
      </w:tabs>
      <w:ind w:right="27"/>
      <w:jc w:val="right"/>
      <w:rPr>
        <w:noProof/>
      </w:rPr>
    </w:pP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10223500</wp:posOffset>
              </wp:positionV>
              <wp:extent cx="4413885" cy="342265"/>
              <wp:effectExtent l="0" t="0" r="5715"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rsidR="00D21097" w:rsidRPr="00705638" w:rsidRDefault="00D21097" w:rsidP="0030451A">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0;margin-top:805pt;width:347.55pt;height:26.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" stroked="f">
              <v:textbox>
                <w:txbxContent>
                  <w:p w:rsidR="00862304" w:rsidRPr="00705638" w:rsidRDefault="00862304" w:rsidP="0030451A">
                    <w:pPr>
                      <w:jc w:val="center"/>
                      <w:rPr>
                        <w:rFonts w:ascii="Arial" w:hAnsi="Arial" w:cs="Arial"/>
                        <w:b/>
                        <w:sz w:val="40"/>
                      </w:rPr>
                    </w:pPr>
                  </w:p>
                </w:txbxContent>
              </v:textbox>
              <w10:wrap anchory="page"/>
            </v:shape>
          </w:pict>
        </mc:Fallback>
      </mc:AlternateContent>
    </w:r>
    <w:r>
      <w:t xml:space="preserve">Explanatory Statement page </w:t>
    </w:r>
    <w:r>
      <w:fldChar w:fldCharType="begin"/>
    </w:r>
    <w:r>
      <w:instrText xml:space="preserve"> PAGE  \* MERGEFORMAT </w:instrText>
    </w:r>
    <w:r>
      <w:fldChar w:fldCharType="separate"/>
    </w:r>
    <w:r w:rsidR="00AF6E87">
      <w:rPr>
        <w:noProof/>
      </w:rPr>
      <w:t>1</w:t>
    </w:r>
    <w:r>
      <w:rPr>
        <w:noProof/>
      </w:rPr>
      <w:fldChar w:fldCharType="end"/>
    </w:r>
    <w:r>
      <w:rPr>
        <w:noProof/>
      </w:rPr>
      <w:t xml:space="preserve"> of </w:t>
    </w:r>
    <w:fldSimple w:instr=" NUMPAGES ">
      <w:r w:rsidR="00AF6E87">
        <w:rPr>
          <w:noProof/>
        </w:rPr>
        <w:t>5</w:t>
      </w:r>
    </w:fldSimple>
  </w:p>
  <w:p w:rsidR="00D21097" w:rsidRPr="000B0D5F" w:rsidRDefault="00D21097" w:rsidP="0030451A">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97" w:rsidRDefault="00D21097">
    <w:pPr>
      <w:pStyle w:val="Footer"/>
    </w:pPr>
  </w:p>
  <w:p w:rsidR="00D21097" w:rsidRPr="00172BEB" w:rsidRDefault="00D21097" w:rsidP="0030451A">
    <w:pPr>
      <w:pStyle w:val="Footer"/>
      <w:rPr>
        <w:i/>
        <w:sz w:val="18"/>
      </w:rPr>
    </w:pPr>
    <w:r>
      <w:rPr>
        <w:i/>
        <w:sz w:val="18"/>
      </w:rPr>
      <w:fldChar w:fldCharType="begin"/>
    </w:r>
    <w:r>
      <w:rPr>
        <w:i/>
        <w:sz w:val="18"/>
      </w:rPr>
      <w:instrText xml:space="preserve"> FILENAME \p \* MERGEFORMAT </w:instrText>
    </w:r>
    <w:r>
      <w:rPr>
        <w:i/>
        <w:sz w:val="18"/>
      </w:rPr>
      <w:fldChar w:fldCharType="separate"/>
    </w:r>
    <w:r>
      <w:rPr>
        <w:i/>
        <w:noProof/>
        <w:sz w:val="18"/>
      </w:rPr>
      <w:t>\\actdc01fs01p\user_folder$\tehang\Documents\Offline Records (AG)\AG submissions, drafting and ExCo\Legislative Instruments Amendment (Sunsetting Exemptions) Regulation 2013 - explanatory statement.DOCX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7233BC">
      <w:rPr>
        <w:i/>
        <w:noProof/>
        <w:sz w:val="18"/>
      </w:rPr>
      <w:t>10/12/2014 8:22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097" w:rsidRDefault="00D21097">
      <w:pPr>
        <w:spacing w:line="240" w:lineRule="auto"/>
      </w:pPr>
      <w:r>
        <w:separator/>
      </w:r>
    </w:p>
  </w:footnote>
  <w:footnote w:type="continuationSeparator" w:id="0">
    <w:p w:rsidR="00D21097" w:rsidRDefault="00D210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A0" w:rsidRDefault="00261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97" w:rsidRDefault="00D21097">
    <w:pPr>
      <w:pStyle w:val="Header"/>
    </w:pPr>
    <w:r>
      <w:rPr>
        <w:noProof/>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143510</wp:posOffset>
              </wp:positionV>
              <wp:extent cx="4413885" cy="342265"/>
              <wp:effectExtent l="0" t="0" r="5715"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rsidR="00D21097" w:rsidRPr="00705638" w:rsidRDefault="00D21097" w:rsidP="0030451A">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0;margin-top:11.3pt;width:347.55pt;height:26.9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" stroked="f">
              <v:textbox>
                <w:txbxContent>
                  <w:p w:rsidR="00862304" w:rsidRPr="00705638" w:rsidRDefault="00862304" w:rsidP="0030451A">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A0" w:rsidRDefault="00261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1">
    <w:nsid w:val="6113573F"/>
    <w:multiLevelType w:val="hybridMultilevel"/>
    <w:tmpl w:val="CD802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E6"/>
    <w:rsid w:val="00025C08"/>
    <w:rsid w:val="00051315"/>
    <w:rsid w:val="00051629"/>
    <w:rsid w:val="000742FD"/>
    <w:rsid w:val="00087225"/>
    <w:rsid w:val="000C5DDB"/>
    <w:rsid w:val="00103320"/>
    <w:rsid w:val="001165E9"/>
    <w:rsid w:val="001942B2"/>
    <w:rsid w:val="001A20C5"/>
    <w:rsid w:val="001C0C5A"/>
    <w:rsid w:val="00202A9E"/>
    <w:rsid w:val="00261DA0"/>
    <w:rsid w:val="002821EB"/>
    <w:rsid w:val="002873ED"/>
    <w:rsid w:val="002E4516"/>
    <w:rsid w:val="002F28B8"/>
    <w:rsid w:val="0030451A"/>
    <w:rsid w:val="0033007A"/>
    <w:rsid w:val="003A6DE5"/>
    <w:rsid w:val="003E5FB1"/>
    <w:rsid w:val="00424DBD"/>
    <w:rsid w:val="0044123A"/>
    <w:rsid w:val="004532A4"/>
    <w:rsid w:val="0052492B"/>
    <w:rsid w:val="00612AE6"/>
    <w:rsid w:val="006145D0"/>
    <w:rsid w:val="00615EAB"/>
    <w:rsid w:val="00634735"/>
    <w:rsid w:val="006348E5"/>
    <w:rsid w:val="0066491A"/>
    <w:rsid w:val="00673348"/>
    <w:rsid w:val="006B7215"/>
    <w:rsid w:val="007233BC"/>
    <w:rsid w:val="007B0ADC"/>
    <w:rsid w:val="007B5789"/>
    <w:rsid w:val="007D66DE"/>
    <w:rsid w:val="0082350E"/>
    <w:rsid w:val="00862304"/>
    <w:rsid w:val="0087096A"/>
    <w:rsid w:val="0089772C"/>
    <w:rsid w:val="008D6F6E"/>
    <w:rsid w:val="008E65F0"/>
    <w:rsid w:val="008E6A82"/>
    <w:rsid w:val="00990352"/>
    <w:rsid w:val="009A1138"/>
    <w:rsid w:val="009C6D01"/>
    <w:rsid w:val="00A53629"/>
    <w:rsid w:val="00A56DB2"/>
    <w:rsid w:val="00A82681"/>
    <w:rsid w:val="00A82D45"/>
    <w:rsid w:val="00A85B31"/>
    <w:rsid w:val="00AF4D52"/>
    <w:rsid w:val="00AF6E87"/>
    <w:rsid w:val="00B07ACE"/>
    <w:rsid w:val="00B11BDA"/>
    <w:rsid w:val="00B231B2"/>
    <w:rsid w:val="00B820E8"/>
    <w:rsid w:val="00B86ECE"/>
    <w:rsid w:val="00C40ABA"/>
    <w:rsid w:val="00C955A7"/>
    <w:rsid w:val="00CF25E8"/>
    <w:rsid w:val="00D05502"/>
    <w:rsid w:val="00D10E99"/>
    <w:rsid w:val="00D21097"/>
    <w:rsid w:val="00D32BEF"/>
    <w:rsid w:val="00E8368A"/>
    <w:rsid w:val="00ED174D"/>
    <w:rsid w:val="00F75D7A"/>
    <w:rsid w:val="00FA7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2AE6"/>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612AE6"/>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612AE6"/>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612AE6"/>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AE6"/>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612AE6"/>
    <w:rPr>
      <w:rFonts w:ascii="Times" w:eastAsia="Calibri" w:hAnsi="Times" w:cs="Times New Roman"/>
      <w:b/>
      <w:sz w:val="24"/>
      <w:szCs w:val="20"/>
    </w:rPr>
  </w:style>
  <w:style w:type="character" w:customStyle="1" w:styleId="Heading3Char">
    <w:name w:val="Heading 3 Char"/>
    <w:basedOn w:val="DefaultParagraphFont"/>
    <w:link w:val="Heading3"/>
    <w:rsid w:val="00612AE6"/>
    <w:rPr>
      <w:rFonts w:ascii="Times" w:eastAsia="Calibri" w:hAnsi="Times" w:cs="Times New Roman"/>
      <w:b/>
      <w:sz w:val="24"/>
      <w:szCs w:val="20"/>
    </w:rPr>
  </w:style>
  <w:style w:type="paragraph" w:styleId="Header">
    <w:name w:val="header"/>
    <w:basedOn w:val="Normal"/>
    <w:link w:val="HeaderChar"/>
    <w:unhideWhenUsed/>
    <w:rsid w:val="00612AE6"/>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612AE6"/>
    <w:rPr>
      <w:rFonts w:ascii="Times New Roman" w:eastAsia="Times New Roman" w:hAnsi="Times New Roman" w:cs="Times New Roman"/>
      <w:sz w:val="16"/>
      <w:szCs w:val="20"/>
      <w:lang w:eastAsia="en-AU"/>
    </w:rPr>
  </w:style>
  <w:style w:type="paragraph" w:styleId="Footer">
    <w:name w:val="footer"/>
    <w:link w:val="FooterChar"/>
    <w:rsid w:val="00612AE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612AE6"/>
    <w:rPr>
      <w:rFonts w:ascii="Times New Roman" w:eastAsia="Times New Roman" w:hAnsi="Times New Roman" w:cs="Times New Roman"/>
      <w:szCs w:val="24"/>
      <w:lang w:eastAsia="en-AU"/>
    </w:rPr>
  </w:style>
  <w:style w:type="character" w:styleId="PageNumber">
    <w:name w:val="page number"/>
    <w:rsid w:val="00612AE6"/>
  </w:style>
  <w:style w:type="paragraph" w:customStyle="1" w:styleId="Paragraph">
    <w:name w:val="Paragraph"/>
    <w:basedOn w:val="Normal"/>
    <w:uiPriority w:val="99"/>
    <w:rsid w:val="00612AE6"/>
    <w:pPr>
      <w:numPr>
        <w:ilvl w:val="12"/>
      </w:numPr>
      <w:spacing w:before="240" w:line="240" w:lineRule="auto"/>
    </w:pPr>
    <w:rPr>
      <w:sz w:val="24"/>
      <w:szCs w:val="24"/>
      <w:lang w:eastAsia="en-AU"/>
    </w:rPr>
  </w:style>
  <w:style w:type="paragraph" w:customStyle="1" w:styleId="Paragraphnumbered">
    <w:name w:val="Paragraph (numbered)"/>
    <w:basedOn w:val="Normal"/>
    <w:uiPriority w:val="99"/>
    <w:rsid w:val="00612AE6"/>
    <w:pPr>
      <w:numPr>
        <w:numId w:val="1"/>
      </w:numPr>
      <w:spacing w:before="240" w:line="360" w:lineRule="auto"/>
    </w:pPr>
    <w:rPr>
      <w:rFonts w:eastAsia="Times New Roman"/>
      <w:sz w:val="24"/>
      <w:lang w:eastAsia="en-AU"/>
    </w:rPr>
  </w:style>
  <w:style w:type="paragraph" w:styleId="BalloonText">
    <w:name w:val="Balloon Text"/>
    <w:basedOn w:val="Normal"/>
    <w:link w:val="BalloonTextChar"/>
    <w:uiPriority w:val="99"/>
    <w:semiHidden/>
    <w:unhideWhenUsed/>
    <w:rsid w:val="009C6D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D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2AE6"/>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612AE6"/>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612AE6"/>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612AE6"/>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AE6"/>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612AE6"/>
    <w:rPr>
      <w:rFonts w:ascii="Times" w:eastAsia="Calibri" w:hAnsi="Times" w:cs="Times New Roman"/>
      <w:b/>
      <w:sz w:val="24"/>
      <w:szCs w:val="20"/>
    </w:rPr>
  </w:style>
  <w:style w:type="character" w:customStyle="1" w:styleId="Heading3Char">
    <w:name w:val="Heading 3 Char"/>
    <w:basedOn w:val="DefaultParagraphFont"/>
    <w:link w:val="Heading3"/>
    <w:rsid w:val="00612AE6"/>
    <w:rPr>
      <w:rFonts w:ascii="Times" w:eastAsia="Calibri" w:hAnsi="Times" w:cs="Times New Roman"/>
      <w:b/>
      <w:sz w:val="24"/>
      <w:szCs w:val="20"/>
    </w:rPr>
  </w:style>
  <w:style w:type="paragraph" w:styleId="Header">
    <w:name w:val="header"/>
    <w:basedOn w:val="Normal"/>
    <w:link w:val="HeaderChar"/>
    <w:unhideWhenUsed/>
    <w:rsid w:val="00612AE6"/>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612AE6"/>
    <w:rPr>
      <w:rFonts w:ascii="Times New Roman" w:eastAsia="Times New Roman" w:hAnsi="Times New Roman" w:cs="Times New Roman"/>
      <w:sz w:val="16"/>
      <w:szCs w:val="20"/>
      <w:lang w:eastAsia="en-AU"/>
    </w:rPr>
  </w:style>
  <w:style w:type="paragraph" w:styleId="Footer">
    <w:name w:val="footer"/>
    <w:link w:val="FooterChar"/>
    <w:rsid w:val="00612AE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612AE6"/>
    <w:rPr>
      <w:rFonts w:ascii="Times New Roman" w:eastAsia="Times New Roman" w:hAnsi="Times New Roman" w:cs="Times New Roman"/>
      <w:szCs w:val="24"/>
      <w:lang w:eastAsia="en-AU"/>
    </w:rPr>
  </w:style>
  <w:style w:type="character" w:styleId="PageNumber">
    <w:name w:val="page number"/>
    <w:rsid w:val="00612AE6"/>
  </w:style>
  <w:style w:type="paragraph" w:customStyle="1" w:styleId="Paragraph">
    <w:name w:val="Paragraph"/>
    <w:basedOn w:val="Normal"/>
    <w:uiPriority w:val="99"/>
    <w:rsid w:val="00612AE6"/>
    <w:pPr>
      <w:numPr>
        <w:ilvl w:val="12"/>
      </w:numPr>
      <w:spacing w:before="240" w:line="240" w:lineRule="auto"/>
    </w:pPr>
    <w:rPr>
      <w:sz w:val="24"/>
      <w:szCs w:val="24"/>
      <w:lang w:eastAsia="en-AU"/>
    </w:rPr>
  </w:style>
  <w:style w:type="paragraph" w:customStyle="1" w:styleId="Paragraphnumbered">
    <w:name w:val="Paragraph (numbered)"/>
    <w:basedOn w:val="Normal"/>
    <w:uiPriority w:val="99"/>
    <w:rsid w:val="00612AE6"/>
    <w:pPr>
      <w:numPr>
        <w:numId w:val="1"/>
      </w:numPr>
      <w:spacing w:before="240" w:line="360" w:lineRule="auto"/>
    </w:pPr>
    <w:rPr>
      <w:rFonts w:eastAsia="Times New Roman"/>
      <w:sz w:val="24"/>
      <w:lang w:eastAsia="en-AU"/>
    </w:rPr>
  </w:style>
  <w:style w:type="paragraph" w:styleId="BalloonText">
    <w:name w:val="Balloon Text"/>
    <w:basedOn w:val="Normal"/>
    <w:link w:val="BalloonTextChar"/>
    <w:uiPriority w:val="99"/>
    <w:semiHidden/>
    <w:unhideWhenUsed/>
    <w:rsid w:val="009C6D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D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5481-69E0-4708-83CC-8C3B592A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8716</Characters>
  <Application>Microsoft Office Word</Application>
  <DocSecurity>0</DocSecurity>
  <Lines>72</Lines>
  <Paragraphs>20</Paragraphs>
  <ScaleCrop>false</ScaleCrop>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2014-12-09T21:23:00Z</dcterms:created>
  <dcterms:modified xsi:type="dcterms:W3CDTF">2014-12-09T21:23:00Z</dcterms:modified>
</cp:coreProperties>
</file>