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EF" w:rsidRPr="00627CEC" w:rsidRDefault="00CB13EF" w:rsidP="00CB13EF">
      <w:pPr>
        <w:ind w:right="91"/>
        <w:jc w:val="center"/>
      </w:pPr>
      <w:r w:rsidRPr="00627CEC">
        <w:rPr>
          <w:b/>
          <w:u w:val="single"/>
        </w:rPr>
        <w:t>EXPLANATORY STATEMENT</w:t>
      </w:r>
    </w:p>
    <w:p w:rsidR="00CB13EF" w:rsidRPr="00627CEC" w:rsidRDefault="00627CEC" w:rsidP="00CB13EF">
      <w:pPr>
        <w:pStyle w:val="Heading6"/>
        <w:jc w:val="center"/>
        <w:rPr>
          <w:u w:val="none"/>
        </w:rPr>
      </w:pPr>
      <w:bookmarkStart w:id="0" w:name="_GoBack"/>
      <w:bookmarkEnd w:id="0"/>
      <w:r>
        <w:rPr>
          <w:u w:val="none"/>
        </w:rPr>
        <w:t xml:space="preserve">Issued by the Authority of the </w:t>
      </w:r>
      <w:r w:rsidR="00CB13EF" w:rsidRPr="00627CEC">
        <w:rPr>
          <w:u w:val="none"/>
        </w:rPr>
        <w:t xml:space="preserve">Minister for </w:t>
      </w:r>
      <w:r w:rsidR="00914ECD">
        <w:rPr>
          <w:u w:val="none"/>
        </w:rPr>
        <w:t>the Environment</w:t>
      </w:r>
    </w:p>
    <w:p w:rsidR="00CB13EF" w:rsidRPr="00627CEC" w:rsidRDefault="00CB13EF" w:rsidP="00CB13EF">
      <w:pPr>
        <w:pStyle w:val="Heading2"/>
        <w:numPr>
          <w:ilvl w:val="0"/>
          <w:numId w:val="0"/>
        </w:numPr>
        <w:spacing w:before="0" w:after="0"/>
        <w:jc w:val="center"/>
        <w:rPr>
          <w:b w:val="0"/>
          <w:bCs/>
          <w:i/>
          <w:iCs/>
        </w:rPr>
      </w:pPr>
    </w:p>
    <w:p w:rsidR="00CB13EF" w:rsidRPr="00627CEC" w:rsidRDefault="00CB13EF" w:rsidP="00CB13EF">
      <w:pPr>
        <w:pStyle w:val="Heading2"/>
        <w:numPr>
          <w:ilvl w:val="0"/>
          <w:numId w:val="0"/>
        </w:numPr>
        <w:spacing w:before="0" w:after="0"/>
        <w:jc w:val="center"/>
        <w:rPr>
          <w:b w:val="0"/>
          <w:bCs/>
          <w:i/>
          <w:iCs/>
        </w:rPr>
      </w:pPr>
      <w:r w:rsidRPr="00627CEC">
        <w:rPr>
          <w:b w:val="0"/>
          <w:i/>
        </w:rPr>
        <w:t>Antarctic Treaty (Environment Protection) Act 1980</w:t>
      </w:r>
      <w:r w:rsidR="00BD1540" w:rsidRPr="00627CEC">
        <w:rPr>
          <w:b w:val="0"/>
        </w:rPr>
        <w:t xml:space="preserve"> (Cth)</w:t>
      </w:r>
    </w:p>
    <w:p w:rsidR="00CB13EF" w:rsidRPr="00627CEC" w:rsidRDefault="00CB13EF" w:rsidP="00CB13EF">
      <w:pPr>
        <w:pStyle w:val="Footer"/>
        <w:tabs>
          <w:tab w:val="clear" w:pos="4153"/>
          <w:tab w:val="clear" w:pos="8306"/>
        </w:tabs>
        <w:spacing w:before="0"/>
      </w:pPr>
    </w:p>
    <w:p w:rsidR="00CB13EF" w:rsidRPr="00627CEC" w:rsidRDefault="00CB13EF" w:rsidP="00CB13EF">
      <w:pPr>
        <w:ind w:right="91" w:firstLine="8"/>
        <w:jc w:val="center"/>
        <w:rPr>
          <w:i/>
        </w:rPr>
      </w:pPr>
      <w:r w:rsidRPr="00627CEC">
        <w:rPr>
          <w:i/>
        </w:rPr>
        <w:t>Antarctic Treaty (Environment Protection)</w:t>
      </w:r>
      <w:r w:rsidR="00627CEC">
        <w:rPr>
          <w:i/>
        </w:rPr>
        <w:t xml:space="preserve"> Amendment</w:t>
      </w:r>
      <w:r w:rsidRPr="00627CEC">
        <w:rPr>
          <w:i/>
        </w:rPr>
        <w:t xml:space="preserve"> </w:t>
      </w:r>
      <w:r w:rsidR="00914ECD">
        <w:rPr>
          <w:i/>
        </w:rPr>
        <w:t xml:space="preserve">(2012 to 2014 Measures-Protected and Managed Areas) </w:t>
      </w:r>
      <w:r w:rsidR="00902077" w:rsidRPr="00627CEC">
        <w:rPr>
          <w:i/>
        </w:rPr>
        <w:t>Proclamation 20</w:t>
      </w:r>
      <w:r w:rsidR="00627CEC">
        <w:rPr>
          <w:i/>
        </w:rPr>
        <w:t>1</w:t>
      </w:r>
      <w:r w:rsidR="00914ECD">
        <w:rPr>
          <w:i/>
        </w:rPr>
        <w:t>4</w:t>
      </w:r>
    </w:p>
    <w:p w:rsidR="009C2298" w:rsidRPr="00627CEC" w:rsidRDefault="009C2298" w:rsidP="00CB13EF">
      <w:pPr>
        <w:ind w:right="91" w:firstLine="8"/>
        <w:jc w:val="center"/>
      </w:pPr>
    </w:p>
    <w:p w:rsidR="00914ECD" w:rsidRDefault="00914ECD" w:rsidP="00914ECD">
      <w:r>
        <w:t>Subsection 8</w:t>
      </w:r>
      <w:r w:rsidRPr="00E538D2">
        <w:t xml:space="preserve">(2) of the </w:t>
      </w:r>
      <w:r w:rsidRPr="00A42945">
        <w:rPr>
          <w:i/>
        </w:rPr>
        <w:t>Antarctic Treaty (Environment Protection) Act</w:t>
      </w:r>
      <w:r w:rsidRPr="00A7206B">
        <w:rPr>
          <w:i/>
        </w:rPr>
        <w:t xml:space="preserve"> 1980</w:t>
      </w:r>
      <w:r>
        <w:t xml:space="preserve"> (the </w:t>
      </w:r>
      <w:r w:rsidRPr="009C4F51">
        <w:rPr>
          <w:b/>
        </w:rPr>
        <w:t>Act</w:t>
      </w:r>
      <w:r>
        <w:t xml:space="preserve">) </w:t>
      </w:r>
      <w:r w:rsidRPr="00E538D2">
        <w:t>provides that the Governor-General may, by Proclamation, declare an area</w:t>
      </w:r>
      <w:r w:rsidR="00301B0B" w:rsidRPr="00301B0B">
        <w:t xml:space="preserve"> </w:t>
      </w:r>
      <w:r w:rsidR="00301B0B">
        <w:t>specified in the Proclamation</w:t>
      </w:r>
      <w:r w:rsidRPr="00E538D2">
        <w:t xml:space="preserve"> to be an Antarctic specially protected area (</w:t>
      </w:r>
      <w:r w:rsidRPr="009C4F51">
        <w:rPr>
          <w:b/>
        </w:rPr>
        <w:t>ASPA</w:t>
      </w:r>
      <w:r w:rsidRPr="00E538D2">
        <w:t>) and, by the same or another Proclamation, may declare an area</w:t>
      </w:r>
      <w:r w:rsidR="00301B0B" w:rsidRPr="00301B0B">
        <w:t xml:space="preserve"> </w:t>
      </w:r>
      <w:r w:rsidR="00301B0B">
        <w:t>specified in the Proclamation</w:t>
      </w:r>
      <w:r w:rsidRPr="00E538D2">
        <w:t xml:space="preserve"> to be an Antarctic specially managed area (</w:t>
      </w:r>
      <w:r w:rsidRPr="009C4F51">
        <w:rPr>
          <w:b/>
        </w:rPr>
        <w:t>ASMA</w:t>
      </w:r>
      <w:r w:rsidRPr="00E538D2">
        <w:t xml:space="preserve">).  </w:t>
      </w:r>
      <w:r>
        <w:t>However, subsection 8(3) of the Act provides that an area may not be declared to be an ASPA or an ASMA unless the Antarctic Treaty Consultative Parties have adopted a management plan in respect of the area</w:t>
      </w:r>
      <w:r w:rsidR="003F6555">
        <w:t xml:space="preserve"> under Article 6 of Annex V to the Madrid Protocol</w:t>
      </w:r>
      <w:r>
        <w:t xml:space="preserve">.  </w:t>
      </w:r>
      <w:r w:rsidRPr="000F5D79">
        <w:t>Subsection 8(6) of the Act provides that the Governor-General may, by Proclamation, vary the boundaries of an ASPA or ASMA in accordance with an amendment of the management plan adopted by the Antarctic Treaty Consultative Parties.</w:t>
      </w:r>
      <w:r>
        <w:t xml:space="preserve"> Subsection 8(6) also provides that the Governor-General may, by Proclamation, revoke a declaration of an ASPA or ASMA if the management plan in respect of the ASPA or ASMA has been revoked.</w:t>
      </w:r>
    </w:p>
    <w:p w:rsidR="00914ECD" w:rsidRDefault="00914ECD" w:rsidP="00914ECD"/>
    <w:p w:rsidR="00914ECD" w:rsidRDefault="00914ECD" w:rsidP="00914ECD">
      <w:r>
        <w:t xml:space="preserve">Australia is an Antarctic Treaty Consultative Party under the Antarctic Treaty and the Proclamation seeks to give effect to measures agreed to by Antarctic Treaty Consultative Parties under the Protocol on Environmental Protection to the Antarctic Treaty in domestic law.  </w:t>
      </w:r>
    </w:p>
    <w:p w:rsidR="00914ECD" w:rsidRDefault="00914ECD" w:rsidP="00914ECD"/>
    <w:p w:rsidR="00914ECD" w:rsidRDefault="00914ECD" w:rsidP="00914ECD">
      <w:r w:rsidRPr="00B073AA">
        <w:t xml:space="preserve">The purpose of the Proclamation is to amend the </w:t>
      </w:r>
      <w:r w:rsidRPr="00B073AA">
        <w:rPr>
          <w:i/>
        </w:rPr>
        <w:t>Antarctic Treaty (Environment Protection) Proclamation 2007</w:t>
      </w:r>
      <w:r>
        <w:t xml:space="preserve"> (the </w:t>
      </w:r>
      <w:r w:rsidRPr="00A3679F">
        <w:rPr>
          <w:b/>
        </w:rPr>
        <w:t>Principal Proclamation</w:t>
      </w:r>
      <w:r>
        <w:t xml:space="preserve">) </w:t>
      </w:r>
      <w:r w:rsidR="003F6555">
        <w:t xml:space="preserve">by </w:t>
      </w:r>
      <w:r w:rsidR="006740FD">
        <w:t xml:space="preserve">declaring </w:t>
      </w:r>
      <w:r>
        <w:t xml:space="preserve"> three new ASPAs, varying the boundaries of 18 ASPAs, varying the boundaries of one ASMA, revoking the declarations of three ASPAs and revoking the declaration of one ASMA</w:t>
      </w:r>
      <w:r w:rsidRPr="00ED7DB2">
        <w:t>.</w:t>
      </w:r>
      <w:r>
        <w:t xml:space="preserve">  The Proclamation also makes consequential amendments to remove four additional ASPAs that ceased operation on 31 December 2010</w:t>
      </w:r>
      <w:r w:rsidR="00725F94">
        <w:t>, and  to repeal spent sections</w:t>
      </w:r>
      <w:r>
        <w:t xml:space="preserve">. </w:t>
      </w:r>
    </w:p>
    <w:p w:rsidR="00914ECD" w:rsidRDefault="00914ECD" w:rsidP="00914ECD"/>
    <w:p w:rsidR="00914ECD" w:rsidRDefault="00914ECD" w:rsidP="00914ECD">
      <w:r>
        <w:t>The Proclamation declare</w:t>
      </w:r>
      <w:r w:rsidR="006740FD">
        <w:t>s</w:t>
      </w:r>
      <w:r>
        <w:t xml:space="preserve"> the boundaries of the following three new ASPAs:</w:t>
      </w:r>
    </w:p>
    <w:p w:rsidR="00A335F3" w:rsidRDefault="00A335F3" w:rsidP="00914ECD"/>
    <w:p w:rsidR="00914ECD" w:rsidRDefault="00914ECD" w:rsidP="00914ECD">
      <w:pPr>
        <w:numPr>
          <w:ilvl w:val="0"/>
          <w:numId w:val="6"/>
        </w:numPr>
      </w:pPr>
      <w:r>
        <w:t>Cape Washington and Silverfish Bay, Northern Terra Nova Bay, Ross Sea (ASPA No. 173);</w:t>
      </w:r>
    </w:p>
    <w:p w:rsidR="00914ECD" w:rsidRDefault="00914ECD" w:rsidP="00914ECD">
      <w:pPr>
        <w:numPr>
          <w:ilvl w:val="0"/>
          <w:numId w:val="6"/>
        </w:numPr>
      </w:pPr>
      <w:proofErr w:type="spellStart"/>
      <w:r>
        <w:t>Stornes</w:t>
      </w:r>
      <w:proofErr w:type="spellEnd"/>
      <w:r>
        <w:t xml:space="preserve">, </w:t>
      </w:r>
      <w:proofErr w:type="spellStart"/>
      <w:r>
        <w:t>Laresmann</w:t>
      </w:r>
      <w:proofErr w:type="spellEnd"/>
      <w:r>
        <w:t xml:space="preserve"> Hills, Princess Elizabeth Land (ASPA No. 174); and,</w:t>
      </w:r>
    </w:p>
    <w:p w:rsidR="00914ECD" w:rsidRDefault="00914ECD" w:rsidP="00914ECD">
      <w:pPr>
        <w:numPr>
          <w:ilvl w:val="0"/>
          <w:numId w:val="6"/>
        </w:numPr>
      </w:pPr>
      <w:r w:rsidRPr="00135837">
        <w:t xml:space="preserve">High Altitude Geothermal Sites of the Ross Sea Region (including parts of the summits of Mount </w:t>
      </w:r>
      <w:proofErr w:type="spellStart"/>
      <w:r w:rsidRPr="00135837">
        <w:t>Erebus</w:t>
      </w:r>
      <w:proofErr w:type="spellEnd"/>
      <w:r w:rsidRPr="00135837">
        <w:t xml:space="preserve">, Ross Island and Mount Melbourne and Mount </w:t>
      </w:r>
      <w:proofErr w:type="spellStart"/>
      <w:r w:rsidRPr="00135837">
        <w:t>Rittmann</w:t>
      </w:r>
      <w:proofErr w:type="spellEnd"/>
      <w:r w:rsidRPr="00135837">
        <w:t>), northern Victoria Land</w:t>
      </w:r>
      <w:r>
        <w:t xml:space="preserve"> (ASPA No. 175)</w:t>
      </w:r>
    </w:p>
    <w:p w:rsidR="00914ECD" w:rsidRDefault="00914ECD" w:rsidP="00914ECD"/>
    <w:p w:rsidR="00914ECD" w:rsidRPr="00C7503D" w:rsidRDefault="00914ECD" w:rsidP="00914ECD">
      <w:r>
        <w:t>The new ASPAs were adopted at the 36</w:t>
      </w:r>
      <w:r w:rsidRPr="00C7503D">
        <w:rPr>
          <w:vertAlign w:val="superscript"/>
        </w:rPr>
        <w:t>th</w:t>
      </w:r>
      <w:r>
        <w:t xml:space="preserve"> and 37</w:t>
      </w:r>
      <w:r w:rsidRPr="00C7503D">
        <w:rPr>
          <w:vertAlign w:val="superscript"/>
        </w:rPr>
        <w:t>th</w:t>
      </w:r>
      <w:r>
        <w:t xml:space="preserve"> Antarctic Treaty Consultative Meeting (</w:t>
      </w:r>
      <w:r>
        <w:rPr>
          <w:b/>
        </w:rPr>
        <w:t>ATCM</w:t>
      </w:r>
      <w:r>
        <w:t>)</w:t>
      </w:r>
      <w:r w:rsidR="006740FD">
        <w:t>,</w:t>
      </w:r>
      <w:r>
        <w:t xml:space="preserve"> along with associated management plans.  </w:t>
      </w:r>
    </w:p>
    <w:p w:rsidR="00914ECD" w:rsidRDefault="00914ECD" w:rsidP="00914ECD"/>
    <w:p w:rsidR="00914ECD" w:rsidRDefault="00914ECD" w:rsidP="00914ECD">
      <w:r>
        <w:t xml:space="preserve">The Proclamation </w:t>
      </w:r>
      <w:r w:rsidR="006740FD">
        <w:t xml:space="preserve">varies </w:t>
      </w:r>
      <w:r>
        <w:t xml:space="preserve"> the </w:t>
      </w:r>
      <w:r w:rsidRPr="00ED7DB2">
        <w:t>boundaries of</w:t>
      </w:r>
      <w:r>
        <w:t xml:space="preserve"> the following</w:t>
      </w:r>
      <w:r w:rsidRPr="00ED7DB2">
        <w:t xml:space="preserve"> </w:t>
      </w:r>
      <w:r w:rsidR="006740FD">
        <w:t xml:space="preserve"> existing </w:t>
      </w:r>
      <w:r>
        <w:t>18</w:t>
      </w:r>
      <w:r w:rsidRPr="00ED7DB2">
        <w:t xml:space="preserve"> A</w:t>
      </w:r>
      <w:r>
        <w:t>SP</w:t>
      </w:r>
      <w:r w:rsidRPr="00ED7DB2">
        <w:t>As</w:t>
      </w:r>
      <w:r>
        <w:t xml:space="preserve"> and one ASMA</w:t>
      </w:r>
      <w:r w:rsidRPr="00ED7DB2">
        <w:t xml:space="preserve"> declared</w:t>
      </w:r>
      <w:r>
        <w:t xml:space="preserve"> under the Principal Proclamation:  </w:t>
      </w:r>
    </w:p>
    <w:p w:rsidR="00914ECD" w:rsidRDefault="00914ECD" w:rsidP="00914ECD"/>
    <w:p w:rsidR="00914ECD" w:rsidRDefault="00914ECD" w:rsidP="00914ECD">
      <w:pPr>
        <w:numPr>
          <w:ilvl w:val="0"/>
          <w:numId w:val="6"/>
        </w:numPr>
      </w:pPr>
      <w:r w:rsidRPr="00135837">
        <w:t>Moe Island, South Orkney Islands</w:t>
      </w:r>
      <w:r>
        <w:t xml:space="preserve"> (ASPA No. 109);</w:t>
      </w:r>
    </w:p>
    <w:p w:rsidR="00914ECD" w:rsidRDefault="00914ECD" w:rsidP="00914ECD">
      <w:pPr>
        <w:numPr>
          <w:ilvl w:val="0"/>
          <w:numId w:val="6"/>
        </w:numPr>
      </w:pPr>
      <w:r w:rsidRPr="00135837">
        <w:t>Southern Powell Island and adjacent islands, South Orkney Islands</w:t>
      </w:r>
      <w:r>
        <w:t xml:space="preserve"> (ASPA No. 111);</w:t>
      </w:r>
    </w:p>
    <w:p w:rsidR="00914ECD" w:rsidRDefault="00914ECD" w:rsidP="00914ECD">
      <w:pPr>
        <w:numPr>
          <w:ilvl w:val="0"/>
          <w:numId w:val="6"/>
        </w:numPr>
      </w:pPr>
      <w:r w:rsidRPr="00135837">
        <w:t>Coppermine Peninsula, Robert Island, South Shetland Islands</w:t>
      </w:r>
      <w:r>
        <w:t xml:space="preserve"> (ASPA No. 112);</w:t>
      </w:r>
    </w:p>
    <w:p w:rsidR="00914ECD" w:rsidRDefault="00914ECD" w:rsidP="00914ECD">
      <w:pPr>
        <w:numPr>
          <w:ilvl w:val="0"/>
          <w:numId w:val="6"/>
        </w:numPr>
      </w:pPr>
      <w:r w:rsidRPr="00135837">
        <w:t>Litchfield Island, Arthur Harbor, Anvers Island, Palmer Archipelago</w:t>
      </w:r>
      <w:r>
        <w:t xml:space="preserve"> (ASPA No. 113);</w:t>
      </w:r>
    </w:p>
    <w:p w:rsidR="00914ECD" w:rsidRDefault="00914ECD" w:rsidP="00914ECD">
      <w:pPr>
        <w:numPr>
          <w:ilvl w:val="0"/>
          <w:numId w:val="6"/>
        </w:numPr>
      </w:pPr>
      <w:proofErr w:type="spellStart"/>
      <w:r w:rsidRPr="00135837">
        <w:t>Lagotellerie</w:t>
      </w:r>
      <w:proofErr w:type="spellEnd"/>
      <w:r w:rsidRPr="00135837">
        <w:t xml:space="preserve"> Island, Marguerite Bay, Graham Land</w:t>
      </w:r>
      <w:r>
        <w:t xml:space="preserve"> (ASPA No. 115);</w:t>
      </w:r>
    </w:p>
    <w:p w:rsidR="00914ECD" w:rsidRDefault="00914ECD" w:rsidP="00914ECD">
      <w:pPr>
        <w:numPr>
          <w:ilvl w:val="0"/>
          <w:numId w:val="6"/>
        </w:numPr>
      </w:pPr>
      <w:r w:rsidRPr="00135837">
        <w:t xml:space="preserve">Cape </w:t>
      </w:r>
      <w:proofErr w:type="spellStart"/>
      <w:r w:rsidRPr="00135837">
        <w:t>Royds</w:t>
      </w:r>
      <w:proofErr w:type="spellEnd"/>
      <w:r w:rsidRPr="00135837">
        <w:t>, Ross Island</w:t>
      </w:r>
      <w:r>
        <w:t xml:space="preserve"> (</w:t>
      </w:r>
      <w:proofErr w:type="spellStart"/>
      <w:r>
        <w:t>ASPA</w:t>
      </w:r>
      <w:proofErr w:type="spellEnd"/>
      <w:r>
        <w:t xml:space="preserve"> No. 121);</w:t>
      </w:r>
    </w:p>
    <w:p w:rsidR="00914ECD" w:rsidRDefault="00914ECD" w:rsidP="00914ECD">
      <w:pPr>
        <w:numPr>
          <w:ilvl w:val="0"/>
          <w:numId w:val="6"/>
        </w:numPr>
      </w:pPr>
      <w:r w:rsidRPr="00135837">
        <w:t>Barwick and Balham Valleys, Southern Victoria Land</w:t>
      </w:r>
      <w:r>
        <w:t xml:space="preserve"> (ASPA No. 123);</w:t>
      </w:r>
    </w:p>
    <w:p w:rsidR="00914ECD" w:rsidRDefault="00914ECD" w:rsidP="00914ECD">
      <w:pPr>
        <w:numPr>
          <w:ilvl w:val="0"/>
          <w:numId w:val="6"/>
        </w:numPr>
      </w:pPr>
      <w:r w:rsidRPr="00135837">
        <w:t>Cape Crozier, Ross Island</w:t>
      </w:r>
      <w:r>
        <w:t xml:space="preserve"> (</w:t>
      </w:r>
      <w:proofErr w:type="spellStart"/>
      <w:r>
        <w:t>ASPA</w:t>
      </w:r>
      <w:proofErr w:type="spellEnd"/>
      <w:r>
        <w:t xml:space="preserve"> No. 124);</w:t>
      </w:r>
    </w:p>
    <w:p w:rsidR="00914ECD" w:rsidRDefault="00914ECD" w:rsidP="00914ECD">
      <w:pPr>
        <w:numPr>
          <w:ilvl w:val="0"/>
          <w:numId w:val="6"/>
        </w:numPr>
      </w:pPr>
      <w:r w:rsidRPr="00135837">
        <w:t>Western Shore of Admiralty Bay, King George Island, South Shetland Islands</w:t>
      </w:r>
      <w:r>
        <w:t xml:space="preserve"> (ASPA No. 128);</w:t>
      </w:r>
    </w:p>
    <w:p w:rsidR="00914ECD" w:rsidRDefault="00914ECD" w:rsidP="00914ECD">
      <w:pPr>
        <w:numPr>
          <w:ilvl w:val="0"/>
          <w:numId w:val="6"/>
        </w:numPr>
      </w:pPr>
      <w:r w:rsidRPr="00135837">
        <w:t>Potter Peninsula, King George Island (Isla 25 de Mayo), South Shetland Islands</w:t>
      </w:r>
      <w:r>
        <w:t xml:space="preserve"> (ASPA No. 132);</w:t>
      </w:r>
    </w:p>
    <w:p w:rsidR="00914ECD" w:rsidRDefault="00914ECD" w:rsidP="00914ECD">
      <w:pPr>
        <w:numPr>
          <w:ilvl w:val="0"/>
          <w:numId w:val="6"/>
        </w:numPr>
      </w:pPr>
      <w:r w:rsidRPr="00135837">
        <w:t>Harmony Point, Nelson Island, South Shetland Islands</w:t>
      </w:r>
      <w:r>
        <w:t xml:space="preserve"> (ASPA No. 133);</w:t>
      </w:r>
    </w:p>
    <w:p w:rsidR="00914ECD" w:rsidRDefault="00914ECD" w:rsidP="00914ECD">
      <w:pPr>
        <w:numPr>
          <w:ilvl w:val="0"/>
          <w:numId w:val="6"/>
        </w:numPr>
      </w:pPr>
      <w:proofErr w:type="spellStart"/>
      <w:r w:rsidRPr="00135837">
        <w:t>Cierva</w:t>
      </w:r>
      <w:proofErr w:type="spellEnd"/>
      <w:r w:rsidRPr="00135837">
        <w:t xml:space="preserve"> Point and Offshore Islands, </w:t>
      </w:r>
      <w:proofErr w:type="spellStart"/>
      <w:r w:rsidRPr="00135837">
        <w:t>Danco</w:t>
      </w:r>
      <w:proofErr w:type="spellEnd"/>
      <w:r w:rsidRPr="00135837">
        <w:t xml:space="preserve"> Coast, Antarctic Peninsula</w:t>
      </w:r>
      <w:r>
        <w:t xml:space="preserve"> (ASPA No. 134);</w:t>
      </w:r>
    </w:p>
    <w:p w:rsidR="00914ECD" w:rsidRDefault="00914ECD" w:rsidP="00914ECD">
      <w:pPr>
        <w:numPr>
          <w:ilvl w:val="0"/>
          <w:numId w:val="6"/>
        </w:numPr>
      </w:pPr>
      <w:r w:rsidRPr="00135837">
        <w:t>Parts of Deception Island, South Shetland Islands</w:t>
      </w:r>
      <w:r>
        <w:t xml:space="preserve"> (ASPA No. 140);</w:t>
      </w:r>
    </w:p>
    <w:p w:rsidR="00914ECD" w:rsidRDefault="00914ECD" w:rsidP="00914ECD">
      <w:pPr>
        <w:numPr>
          <w:ilvl w:val="0"/>
          <w:numId w:val="6"/>
        </w:numPr>
      </w:pPr>
      <w:proofErr w:type="spellStart"/>
      <w:r w:rsidRPr="00135837">
        <w:t>Yukidori</w:t>
      </w:r>
      <w:proofErr w:type="spellEnd"/>
      <w:r w:rsidRPr="00135837">
        <w:t xml:space="preserve"> Valley, </w:t>
      </w:r>
      <w:proofErr w:type="spellStart"/>
      <w:r w:rsidRPr="00135837">
        <w:t>Langhovde</w:t>
      </w:r>
      <w:proofErr w:type="spellEnd"/>
      <w:r w:rsidRPr="00135837">
        <w:t xml:space="preserve">, </w:t>
      </w:r>
      <w:proofErr w:type="spellStart"/>
      <w:r w:rsidRPr="00135837">
        <w:t>Lützow</w:t>
      </w:r>
      <w:proofErr w:type="spellEnd"/>
      <w:r>
        <w:noBreakHyphen/>
      </w:r>
      <w:r w:rsidRPr="00135837">
        <w:t>Holm Bay</w:t>
      </w:r>
      <w:r>
        <w:t xml:space="preserve"> (ASPA No. 141);</w:t>
      </w:r>
    </w:p>
    <w:p w:rsidR="00914ECD" w:rsidRDefault="00914ECD" w:rsidP="00914ECD">
      <w:pPr>
        <w:numPr>
          <w:ilvl w:val="0"/>
          <w:numId w:val="6"/>
        </w:numPr>
      </w:pPr>
      <w:proofErr w:type="spellStart"/>
      <w:r w:rsidRPr="00135837">
        <w:t>Svarthamaren</w:t>
      </w:r>
      <w:proofErr w:type="spellEnd"/>
      <w:r w:rsidRPr="00135837">
        <w:t>,</w:t>
      </w:r>
      <w:r w:rsidRPr="00135837">
        <w:rPr>
          <w:szCs w:val="24"/>
        </w:rPr>
        <w:t xml:space="preserve"> </w:t>
      </w:r>
      <w:proofErr w:type="spellStart"/>
      <w:r w:rsidRPr="00135837">
        <w:t>Mühlig</w:t>
      </w:r>
      <w:r>
        <w:noBreakHyphen/>
      </w:r>
      <w:r w:rsidRPr="00135837">
        <w:t>Hofmannfjella</w:t>
      </w:r>
      <w:proofErr w:type="spellEnd"/>
      <w:r w:rsidRPr="00135837">
        <w:t xml:space="preserve">, </w:t>
      </w:r>
      <w:proofErr w:type="spellStart"/>
      <w:r w:rsidRPr="00135837">
        <w:t>Dronning</w:t>
      </w:r>
      <w:proofErr w:type="spellEnd"/>
      <w:r w:rsidRPr="00135837">
        <w:t xml:space="preserve"> Maud Land</w:t>
      </w:r>
      <w:r>
        <w:t xml:space="preserve"> (ASPA No. 142);</w:t>
      </w:r>
    </w:p>
    <w:p w:rsidR="00914ECD" w:rsidRDefault="00914ECD" w:rsidP="00914ECD">
      <w:pPr>
        <w:numPr>
          <w:ilvl w:val="0"/>
          <w:numId w:val="6"/>
        </w:numPr>
      </w:pPr>
      <w:r w:rsidRPr="00135837">
        <w:t>Botany Bay, Cape Geology, Victoria Land</w:t>
      </w:r>
      <w:r>
        <w:t xml:space="preserve"> (ASPA No. 154);</w:t>
      </w:r>
    </w:p>
    <w:p w:rsidR="00914ECD" w:rsidRDefault="00914ECD" w:rsidP="00914ECD">
      <w:pPr>
        <w:numPr>
          <w:ilvl w:val="0"/>
          <w:numId w:val="6"/>
        </w:numPr>
      </w:pPr>
      <w:r w:rsidRPr="00135837">
        <w:t>Mawson’s Huts, Cape Denison Commonwealth Bay, George V Land, East Antarctica</w:t>
      </w:r>
      <w:r>
        <w:t xml:space="preserve"> (ASPA No. 162);</w:t>
      </w:r>
    </w:p>
    <w:p w:rsidR="00914ECD" w:rsidRDefault="00914ECD" w:rsidP="00914ECD">
      <w:pPr>
        <w:numPr>
          <w:ilvl w:val="0"/>
          <w:numId w:val="6"/>
        </w:numPr>
      </w:pPr>
      <w:r w:rsidRPr="00135837">
        <w:t>Marion Nunataks, Charcot Island, Antarctic Peninsula</w:t>
      </w:r>
      <w:r>
        <w:t xml:space="preserve"> (ASPA No. 170), and;</w:t>
      </w:r>
    </w:p>
    <w:p w:rsidR="00914ECD" w:rsidRDefault="00914ECD" w:rsidP="00914ECD">
      <w:pPr>
        <w:numPr>
          <w:ilvl w:val="0"/>
          <w:numId w:val="6"/>
        </w:numPr>
      </w:pPr>
      <w:r w:rsidRPr="00135837">
        <w:t>Deception Island, South Shetland Islands, Antarctica</w:t>
      </w:r>
      <w:r>
        <w:t xml:space="preserve"> (ASMA No. 4).</w:t>
      </w:r>
    </w:p>
    <w:p w:rsidR="00914ECD" w:rsidRDefault="00914ECD" w:rsidP="00914ECD"/>
    <w:p w:rsidR="00914ECD" w:rsidRDefault="00914ECD" w:rsidP="00914ECD">
      <w:r w:rsidRPr="00ED7DB2">
        <w:t xml:space="preserve">The </w:t>
      </w:r>
      <w:bookmarkStart w:id="1" w:name="OLE_LINK2"/>
      <w:r w:rsidRPr="00ED7DB2">
        <w:t xml:space="preserve">variation </w:t>
      </w:r>
      <w:bookmarkEnd w:id="1"/>
      <w:r w:rsidRPr="00ED7DB2">
        <w:t>of</w:t>
      </w:r>
      <w:r w:rsidR="006740FD">
        <w:t xml:space="preserve"> the boundaries of</w:t>
      </w:r>
      <w:r w:rsidRPr="00ED7DB2">
        <w:t xml:space="preserve"> these ASPAs </w:t>
      </w:r>
      <w:r>
        <w:t xml:space="preserve">and one ASMA </w:t>
      </w:r>
      <w:r w:rsidRPr="00ED7DB2">
        <w:t xml:space="preserve">in the Proclamation reflects amendments adopted by the </w:t>
      </w:r>
      <w:r>
        <w:t>35</w:t>
      </w:r>
      <w:r w:rsidRPr="000F4360">
        <w:rPr>
          <w:vertAlign w:val="superscript"/>
        </w:rPr>
        <w:t>th</w:t>
      </w:r>
      <w:r>
        <w:t>, 36</w:t>
      </w:r>
      <w:r w:rsidRPr="000F4360">
        <w:rPr>
          <w:vertAlign w:val="superscript"/>
        </w:rPr>
        <w:t>th</w:t>
      </w:r>
      <w:r>
        <w:t xml:space="preserve"> and 37</w:t>
      </w:r>
      <w:r w:rsidRPr="000F4360">
        <w:rPr>
          <w:vertAlign w:val="superscript"/>
        </w:rPr>
        <w:t>th</w:t>
      </w:r>
      <w:r>
        <w:t xml:space="preserve"> ATCM </w:t>
      </w:r>
      <w:r w:rsidRPr="00ED7DB2">
        <w:t xml:space="preserve">to </w:t>
      </w:r>
      <w:r>
        <w:t xml:space="preserve">vary </w:t>
      </w:r>
      <w:r w:rsidRPr="00ED7DB2">
        <w:t xml:space="preserve">the boundaries </w:t>
      </w:r>
      <w:r w:rsidR="0058509C">
        <w:t xml:space="preserve">in the management plans </w:t>
      </w:r>
      <w:r w:rsidRPr="00ED7DB2">
        <w:t>of these ASPAs</w:t>
      </w:r>
      <w:r>
        <w:t xml:space="preserve"> and ASMA</w:t>
      </w:r>
      <w:r w:rsidRPr="00ED7DB2">
        <w:t xml:space="preserve">.   </w:t>
      </w:r>
    </w:p>
    <w:p w:rsidR="00914ECD" w:rsidRDefault="00914ECD" w:rsidP="00914ECD"/>
    <w:p w:rsidR="00914ECD" w:rsidRDefault="00914ECD" w:rsidP="00914ECD">
      <w:r>
        <w:t>The Proclamation  revoke</w:t>
      </w:r>
      <w:r w:rsidR="002806B5">
        <w:t>s</w:t>
      </w:r>
      <w:r>
        <w:t xml:space="preserve"> the declaration of the following three ASPAs and one ASMA declared under the Principal Proclamation:</w:t>
      </w:r>
    </w:p>
    <w:p w:rsidR="00914ECD" w:rsidRDefault="00914ECD" w:rsidP="00914ECD"/>
    <w:p w:rsidR="00914ECD" w:rsidRDefault="00914ECD" w:rsidP="00914ECD">
      <w:pPr>
        <w:numPr>
          <w:ilvl w:val="0"/>
          <w:numId w:val="6"/>
        </w:numPr>
      </w:pPr>
      <w:r>
        <w:t>Summit of Mount Melbourne, Victoria Land (ASPA No. 118);</w:t>
      </w:r>
    </w:p>
    <w:p w:rsidR="00914ECD" w:rsidRDefault="00914ECD" w:rsidP="00914ECD">
      <w:pPr>
        <w:numPr>
          <w:ilvl w:val="0"/>
          <w:numId w:val="6"/>
        </w:numPr>
      </w:pPr>
      <w:r>
        <w:t xml:space="preserve">Tramway Ridge, Mount </w:t>
      </w:r>
      <w:proofErr w:type="spellStart"/>
      <w:r>
        <w:t>Erebus</w:t>
      </w:r>
      <w:proofErr w:type="spellEnd"/>
      <w:r>
        <w:t>, Ross Island (</w:t>
      </w:r>
      <w:proofErr w:type="spellStart"/>
      <w:r>
        <w:t>ASPA</w:t>
      </w:r>
      <w:proofErr w:type="spellEnd"/>
      <w:r>
        <w:t xml:space="preserve"> No. 130);</w:t>
      </w:r>
    </w:p>
    <w:p w:rsidR="00914ECD" w:rsidRDefault="00914ECD" w:rsidP="00914ECD">
      <w:pPr>
        <w:numPr>
          <w:ilvl w:val="0"/>
          <w:numId w:val="6"/>
        </w:numPr>
      </w:pPr>
      <w:r>
        <w:t>Northern Coronation Island, South Orkney Islands (ASPA No. 114), and;</w:t>
      </w:r>
    </w:p>
    <w:p w:rsidR="00914ECD" w:rsidRDefault="00914ECD" w:rsidP="00914ECD">
      <w:pPr>
        <w:numPr>
          <w:ilvl w:val="0"/>
          <w:numId w:val="6"/>
        </w:numPr>
      </w:pPr>
      <w:r>
        <w:t>Cape Denison, Commonwealth Bay, George V Land, East Antarctica (ASMA No. 3).</w:t>
      </w:r>
    </w:p>
    <w:p w:rsidR="00914ECD" w:rsidRDefault="00914ECD" w:rsidP="00914ECD"/>
    <w:p w:rsidR="00914ECD" w:rsidRPr="004B4FD8" w:rsidRDefault="00914ECD" w:rsidP="00914ECD">
      <w:r>
        <w:t>The revocation of these ASPAs and one ASMA in the Proposed Proclamation reflects decisions by the 37</w:t>
      </w:r>
      <w:r w:rsidRPr="000F4360">
        <w:rPr>
          <w:vertAlign w:val="superscript"/>
        </w:rPr>
        <w:t>th</w:t>
      </w:r>
      <w:r>
        <w:t xml:space="preserve"> ATCM to revoke management plans in relation to those areas and de-designate them as ASPAs and ASMAs. </w:t>
      </w:r>
    </w:p>
    <w:p w:rsidR="00914ECD" w:rsidRPr="00B073AA" w:rsidRDefault="00914ECD" w:rsidP="00914ECD">
      <w:pPr>
        <w:rPr>
          <w:highlight w:val="yellow"/>
        </w:rPr>
      </w:pPr>
    </w:p>
    <w:p w:rsidR="00914ECD" w:rsidRDefault="00914ECD" w:rsidP="00914ECD">
      <w:r w:rsidRPr="004B4FD8">
        <w:t>All relevant Treaty Parties, including Australia, unanimously agreed to the</w:t>
      </w:r>
      <w:r w:rsidR="002806B5">
        <w:t xml:space="preserve"> all the </w:t>
      </w:r>
      <w:r w:rsidRPr="004B4FD8">
        <w:t>measures</w:t>
      </w:r>
      <w:r w:rsidR="002806B5">
        <w:t xml:space="preserve"> listed above</w:t>
      </w:r>
      <w:r w:rsidRPr="004B4FD8">
        <w:t xml:space="preserve"> at the </w:t>
      </w:r>
      <w:r>
        <w:t>35</w:t>
      </w:r>
      <w:r w:rsidRPr="00C7503D">
        <w:rPr>
          <w:vertAlign w:val="superscript"/>
        </w:rPr>
        <w:t>th</w:t>
      </w:r>
      <w:r>
        <w:t>, 36</w:t>
      </w:r>
      <w:r w:rsidRPr="00C7503D">
        <w:rPr>
          <w:vertAlign w:val="superscript"/>
        </w:rPr>
        <w:t>th</w:t>
      </w:r>
      <w:r>
        <w:t xml:space="preserve"> and 37</w:t>
      </w:r>
      <w:r w:rsidRPr="00C7503D">
        <w:rPr>
          <w:vertAlign w:val="superscript"/>
        </w:rPr>
        <w:t>th</w:t>
      </w:r>
      <w:r>
        <w:t xml:space="preserve"> </w:t>
      </w:r>
      <w:r w:rsidRPr="004B4FD8">
        <w:t>ATCMs.</w:t>
      </w:r>
      <w:r w:rsidRPr="00E538D2">
        <w:t xml:space="preserve">  </w:t>
      </w:r>
    </w:p>
    <w:p w:rsidR="00914ECD" w:rsidRDefault="00914ECD" w:rsidP="00914ECD"/>
    <w:p w:rsidR="00914ECD" w:rsidRDefault="00914ECD" w:rsidP="00914ECD">
      <w:pPr>
        <w:ind w:right="91"/>
      </w:pPr>
      <w:r>
        <w:t>ASPAs and ASMAs are designated in order to protect outstanding environmental, scientific, historic, aesthetic or wilderness values or ongoing planned scientific research. Paragraph 19(1)(d) of the Act makes it an offence for a person to enter or carry on any</w:t>
      </w:r>
      <w:r w:rsidR="00EC47BD">
        <w:t xml:space="preserve"> other</w:t>
      </w:r>
      <w:r>
        <w:t xml:space="preserve"> activity in an ASPA.  Paragraph 19(1)(e) of the Act makes it an offence for a person to carry on any activity in an ASMA otherwise than as authorised by the plan of management relating to the area.  </w:t>
      </w:r>
    </w:p>
    <w:p w:rsidR="00914ECD" w:rsidRDefault="00914ECD" w:rsidP="00914ECD"/>
    <w:p w:rsidR="00914ECD" w:rsidRDefault="00914ECD" w:rsidP="00914ECD">
      <w:r>
        <w:t>Where an area is proclaimed to be an ASPA or an ASMA, the subsoil beneath any land or sea-bed, extending to 1000 m</w:t>
      </w:r>
      <w:r w:rsidR="00EC47BD">
        <w:t>etres</w:t>
      </w:r>
      <w:r>
        <w:t xml:space="preserve"> below the surface, as specified in subsections 5(3) and (4) of the Principal Proclamation, is deemed to be within the area.</w:t>
      </w:r>
    </w:p>
    <w:p w:rsidR="00477A07" w:rsidRDefault="00477A07" w:rsidP="00477A07"/>
    <w:p w:rsidR="00914ECD" w:rsidRDefault="00914ECD" w:rsidP="00914ECD">
      <w:r w:rsidRPr="004D3D32">
        <w:t>The Office of Best Practice Regulation has indicated that a Regulatory Impact Ass</w:t>
      </w:r>
      <w:r>
        <w:t>essment is not required for the Proclamation as it is likely to have minor impacts on business (</w:t>
      </w:r>
      <w:r w:rsidRPr="0019521D">
        <w:t>OBPR ID:</w:t>
      </w:r>
      <w:r>
        <w:t> </w:t>
      </w:r>
      <w:r w:rsidRPr="00CC2792">
        <w:t>17270</w:t>
      </w:r>
      <w:r w:rsidRPr="0019521D">
        <w:t>).</w:t>
      </w:r>
    </w:p>
    <w:p w:rsidR="00D3675B" w:rsidRPr="00E538D2" w:rsidRDefault="00D3675B" w:rsidP="00477A07"/>
    <w:p w:rsidR="00477A07" w:rsidRPr="00397100" w:rsidRDefault="00477A07" w:rsidP="00477A07">
      <w:r w:rsidRPr="00E538D2">
        <w:t>The Proclamation</w:t>
      </w:r>
      <w:r>
        <w:t xml:space="preserve"> </w:t>
      </w:r>
      <w:r w:rsidR="007A2FC8">
        <w:t>is</w:t>
      </w:r>
      <w:r>
        <w:t xml:space="preserve"> a legislative instrument for the purposes of the </w:t>
      </w:r>
      <w:r>
        <w:rPr>
          <w:i/>
        </w:rPr>
        <w:t>Legislative Instruments Act 2003</w:t>
      </w:r>
      <w:r>
        <w:t xml:space="preserve"> and c</w:t>
      </w:r>
      <w:r w:rsidR="00B03C78">
        <w:t>ommences on the day after it is</w:t>
      </w:r>
      <w:r>
        <w:t xml:space="preserve"> registered on the Federal Register of Legislative Instruments</w:t>
      </w:r>
      <w:r>
        <w:rPr>
          <w:i/>
        </w:rPr>
        <w:t>.</w:t>
      </w:r>
      <w:r>
        <w:t xml:space="preserve"> </w:t>
      </w:r>
    </w:p>
    <w:p w:rsidR="00495357" w:rsidRPr="00627CEC" w:rsidRDefault="00495357" w:rsidP="00495357"/>
    <w:p w:rsidR="00914ECD" w:rsidRDefault="00173016" w:rsidP="00495357">
      <w:r w:rsidRPr="00627CEC">
        <w:t xml:space="preserve">The details of the Proclamation are included in the </w:t>
      </w:r>
      <w:r w:rsidRPr="00627CEC">
        <w:rPr>
          <w:b/>
          <w:u w:val="single"/>
        </w:rPr>
        <w:t>Attachment</w:t>
      </w:r>
      <w:r w:rsidRPr="00627CEC">
        <w:t xml:space="preserve">. </w:t>
      </w:r>
    </w:p>
    <w:p w:rsid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360" w:after="120"/>
        <w:jc w:val="center"/>
      </w:pPr>
      <w:r>
        <w:br w:type="page"/>
      </w:r>
      <w:r w:rsidR="005C7876" w:rsidRPr="00F017CE">
        <w:rPr>
          <w:noProof/>
        </w:rPr>
        <w:lastRenderedPageBreak/>
        <w:drawing>
          <wp:inline distT="0" distB="0" distL="0" distR="0">
            <wp:extent cx="2258060" cy="1683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8060" cy="1683385"/>
                    </a:xfrm>
                    <a:prstGeom prst="rect">
                      <a:avLst/>
                    </a:prstGeom>
                    <a:noFill/>
                    <a:ln>
                      <a:noFill/>
                    </a:ln>
                  </pic:spPr>
                </pic:pic>
              </a:graphicData>
            </a:graphic>
          </wp:inline>
        </w:drawing>
      </w: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360" w:after="120"/>
        <w:jc w:val="center"/>
        <w:rPr>
          <w:b/>
          <w:sz w:val="28"/>
          <w:szCs w:val="28"/>
        </w:rPr>
      </w:pPr>
      <w:r w:rsidRPr="00D664E6">
        <w:rPr>
          <w:b/>
          <w:sz w:val="28"/>
          <w:szCs w:val="28"/>
        </w:rPr>
        <w:t>Statement of Compatibility with Human Rights</w:t>
      </w: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szCs w:val="24"/>
        </w:rPr>
      </w:pPr>
      <w:r w:rsidRPr="00D664E6">
        <w:rPr>
          <w:i/>
          <w:szCs w:val="24"/>
        </w:rPr>
        <w:t>Prepared in accordance with Part 3 of the Human Rights (Parliamentary Scrutiny) Act 2011</w:t>
      </w: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szCs w:val="24"/>
        </w:rPr>
      </w:pPr>
    </w:p>
    <w:p w:rsidR="00914ECD" w:rsidRDefault="00914ECD" w:rsidP="00914ECD">
      <w:pPr>
        <w:pStyle w:val="ShortT"/>
        <w:pBdr>
          <w:top w:val="thinThickThinSmallGap" w:sz="18" w:space="1" w:color="auto"/>
          <w:left w:val="thinThickThinSmallGap" w:sz="18" w:space="4" w:color="auto"/>
          <w:bottom w:val="thinThickThinSmallGap" w:sz="18" w:space="1" w:color="auto"/>
          <w:right w:val="thinThickThinSmallGap" w:sz="18" w:space="4" w:color="auto"/>
        </w:pBdr>
        <w:rPr>
          <w:sz w:val="24"/>
          <w:szCs w:val="24"/>
        </w:rPr>
      </w:pPr>
      <w:r w:rsidRPr="00991F7C">
        <w:rPr>
          <w:sz w:val="24"/>
          <w:szCs w:val="24"/>
        </w:rPr>
        <w:t>Antarctic Treaty</w:t>
      </w:r>
      <w:bookmarkStart w:id="2" w:name="BK_S1P1L2C17"/>
      <w:bookmarkEnd w:id="2"/>
      <w:r w:rsidRPr="00991F7C">
        <w:rPr>
          <w:sz w:val="24"/>
          <w:szCs w:val="24"/>
        </w:rPr>
        <w:t xml:space="preserve"> (Environment Protection) Amendment (2012 to 2014 Measures—Protected Areas and Managed Areas) Proclamation 2014</w:t>
      </w:r>
    </w:p>
    <w:p w:rsidR="00914ECD" w:rsidRPr="00E803B8"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pPr>
    </w:p>
    <w:p w:rsid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pPr>
      <w:r w:rsidRPr="00FC576C">
        <w:t xml:space="preserve">This Legislative Instrument is compatible with the human rights and freedoms recognised or declared in the international instruments listed in section 3 of the </w:t>
      </w:r>
      <w:r w:rsidRPr="00FC576C">
        <w:rPr>
          <w:i/>
        </w:rPr>
        <w:t>Human Rights (Parliamentary Scrutiny) Act 2011</w:t>
      </w:r>
      <w:r w:rsidRPr="00FC576C">
        <w:t>.</w:t>
      </w:r>
    </w:p>
    <w:p w:rsidR="00914ECD" w:rsidRPr="00FC576C"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rPr>
          <w:b/>
          <w:szCs w:val="24"/>
        </w:rPr>
      </w:pPr>
      <w:r>
        <w:rPr>
          <w:b/>
          <w:szCs w:val="24"/>
        </w:rPr>
        <w:t xml:space="preserve">Overview of the </w:t>
      </w:r>
      <w:r w:rsidRPr="00D664E6">
        <w:rPr>
          <w:b/>
          <w:szCs w:val="24"/>
        </w:rPr>
        <w:t>Legislative Instrument</w:t>
      </w:r>
    </w:p>
    <w:p w:rsidR="00914ECD" w:rsidRPr="00F5715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pPr>
      <w:r w:rsidRPr="00F57156">
        <w:t xml:space="preserve">Australian legislation implements components of the Antarctic Treaty system into Australian law, including the </w:t>
      </w:r>
      <w:r w:rsidRPr="00F57156">
        <w:rPr>
          <w:rStyle w:val="Emphasis"/>
        </w:rPr>
        <w:t>Antarctic Treaty (Environment Protection) Act 1980</w:t>
      </w:r>
      <w:r w:rsidRPr="00F57156">
        <w:t xml:space="preserve">, giving effect to the </w:t>
      </w:r>
      <w:r>
        <w:t>Protocol on Environmental Protection to the Antarctic Treaty</w:t>
      </w:r>
      <w:r w:rsidRPr="00F57156">
        <w:t>, which sets out environmental protection obligations. Annex V to the Protocol provides a legal framework for the establishment of specially protected and managed areas within Antarctica. At each year’s Antarctic Treaty Consultative Meeting new areas may be nominated</w:t>
      </w:r>
      <w:r>
        <w:t>,</w:t>
      </w:r>
      <w:r w:rsidRPr="00F57156">
        <w:t xml:space="preserve"> and existing areas may be updated</w:t>
      </w:r>
      <w:r>
        <w:t xml:space="preserve"> and existing areas may be de-designated</w:t>
      </w:r>
      <w:r w:rsidRPr="00F57156">
        <w:t>. This Legislative Instrument reflects those changes that have been made from 2012 to 2014.</w:t>
      </w: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color w:val="0070C0"/>
          <w:szCs w:val="24"/>
        </w:rPr>
      </w:pP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szCs w:val="24"/>
        </w:rPr>
      </w:pPr>
      <w:r w:rsidRPr="00D664E6">
        <w:rPr>
          <w:b/>
          <w:szCs w:val="24"/>
        </w:rPr>
        <w:t>Human rights implications</w:t>
      </w:r>
    </w:p>
    <w:p w:rsidR="00F31126" w:rsidRDefault="00914ECD" w:rsidP="004D5433">
      <w:pPr>
        <w:pBdr>
          <w:top w:val="thinThickThinSmallGap" w:sz="18" w:space="1" w:color="auto"/>
          <w:left w:val="thinThickThinSmallGap" w:sz="18" w:space="4" w:color="auto"/>
          <w:bottom w:val="thinThickThinSmallGap" w:sz="18" w:space="1" w:color="auto"/>
          <w:right w:val="thinThickThinSmallGap" w:sz="18" w:space="4" w:color="auto"/>
        </w:pBdr>
        <w:spacing w:afterLines="60" w:after="144"/>
        <w:jc w:val="both"/>
      </w:pPr>
      <w:r w:rsidRPr="003D07CB">
        <w:t xml:space="preserve">The Legislative Instrument engages the right to freedom of movement. </w:t>
      </w:r>
      <w:r>
        <w:t xml:space="preserve">The Antarctic Specially Protected Areas (ASPA) possess outstanding scientific, historical, environmental, aesthetic or wilderness values. It is reasonable, necessary and proportionate to restrict access to those areas in order to protect these values. This restriction is not absolute. Persons may still access an ASPA with a permit. To obtain a permit, persons must meet the prescriptions of the management plan. </w:t>
      </w:r>
    </w:p>
    <w:p w:rsid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b/>
          <w:szCs w:val="24"/>
          <w:lang w:eastAsia="en-US"/>
        </w:rPr>
      </w:pPr>
    </w:p>
    <w:p w:rsid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b/>
          <w:szCs w:val="24"/>
          <w:lang w:eastAsia="en-US"/>
        </w:rPr>
      </w:pPr>
    </w:p>
    <w:p w:rsidR="00914ECD" w:rsidRP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b/>
          <w:szCs w:val="24"/>
          <w:lang w:eastAsia="en-US"/>
        </w:rPr>
      </w:pPr>
      <w:r w:rsidRPr="00914ECD">
        <w:rPr>
          <w:rFonts w:eastAsia="Calibri"/>
          <w:b/>
          <w:szCs w:val="24"/>
          <w:lang w:eastAsia="en-US"/>
        </w:rPr>
        <w:t xml:space="preserve">Conclusion </w:t>
      </w:r>
    </w:p>
    <w:p w:rsidR="00914ECD" w:rsidRP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szCs w:val="24"/>
          <w:lang w:eastAsia="en-US"/>
        </w:rPr>
      </w:pPr>
      <w:r w:rsidRPr="00914ECD">
        <w:rPr>
          <w:rFonts w:eastAsia="Calibri"/>
          <w:szCs w:val="24"/>
          <w:lang w:eastAsia="en-US"/>
        </w:rPr>
        <w:t xml:space="preserve">This Legislative Instrument is compatible with the human rights and freedoms recognised or declared in the international instruments listed in section 3 of the </w:t>
      </w:r>
      <w:r w:rsidRPr="00914ECD">
        <w:rPr>
          <w:rFonts w:eastAsia="Calibri"/>
          <w:i/>
          <w:szCs w:val="24"/>
          <w:lang w:eastAsia="en-US"/>
        </w:rPr>
        <w:t>Human Rights (Parliamentary Scrutiny) Act 2011</w:t>
      </w:r>
      <w:r w:rsidRPr="00914ECD">
        <w:rPr>
          <w:rFonts w:eastAsia="Calibri"/>
          <w:szCs w:val="24"/>
          <w:lang w:eastAsia="en-US"/>
        </w:rPr>
        <w:t xml:space="preserve"> for it is reasonable, necessary and proportionate. </w:t>
      </w:r>
    </w:p>
    <w:p w:rsidR="00914ECD" w:rsidRP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szCs w:val="24"/>
          <w:lang w:eastAsia="en-US"/>
        </w:rPr>
      </w:pPr>
    </w:p>
    <w:p w:rsidR="00507922"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b/>
          <w:szCs w:val="24"/>
          <w:lang w:eastAsia="en-US"/>
        </w:rPr>
      </w:pPr>
      <w:r w:rsidRPr="00914ECD">
        <w:rPr>
          <w:rFonts w:eastAsia="Calibri"/>
          <w:b/>
          <w:szCs w:val="24"/>
          <w:lang w:eastAsia="en-US"/>
        </w:rPr>
        <w:t>Dr. Tony Fleming</w:t>
      </w:r>
    </w:p>
    <w:p w:rsidR="00507922"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b/>
          <w:szCs w:val="24"/>
          <w:lang w:eastAsia="en-US"/>
        </w:rPr>
      </w:pPr>
      <w:r w:rsidRPr="00914ECD">
        <w:rPr>
          <w:rFonts w:eastAsia="Calibri"/>
          <w:b/>
          <w:szCs w:val="24"/>
          <w:lang w:eastAsia="en-US"/>
        </w:rPr>
        <w:t xml:space="preserve">Director </w:t>
      </w:r>
    </w:p>
    <w:p w:rsidR="00914ECD" w:rsidRP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b/>
          <w:szCs w:val="24"/>
          <w:lang w:eastAsia="en-US"/>
        </w:rPr>
      </w:pPr>
      <w:r w:rsidRPr="00914ECD">
        <w:rPr>
          <w:rFonts w:eastAsia="Calibri"/>
          <w:b/>
          <w:szCs w:val="24"/>
          <w:lang w:eastAsia="en-US"/>
        </w:rPr>
        <w:t>Australian Antarctic Division</w:t>
      </w:r>
    </w:p>
    <w:p w:rsidR="00173016" w:rsidRPr="00627CEC" w:rsidRDefault="00507922"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pPr>
      <w:r>
        <w:rPr>
          <w:rFonts w:eastAsia="Calibri"/>
          <w:b/>
          <w:szCs w:val="24"/>
          <w:lang w:eastAsia="en-US"/>
        </w:rPr>
        <w:t>October</w:t>
      </w:r>
      <w:r w:rsidR="00914ECD" w:rsidRPr="00914ECD">
        <w:rPr>
          <w:rFonts w:eastAsia="Calibri"/>
          <w:b/>
          <w:szCs w:val="24"/>
          <w:lang w:eastAsia="en-US"/>
        </w:rPr>
        <w:t xml:space="preserve"> 2014</w:t>
      </w:r>
    </w:p>
    <w:p w:rsidR="00AC0395" w:rsidRPr="00627CEC" w:rsidRDefault="00AC0395" w:rsidP="00AC0395">
      <w:pPr>
        <w:tabs>
          <w:tab w:val="center" w:pos="4111"/>
          <w:tab w:val="left" w:pos="4536"/>
        </w:tabs>
        <w:ind w:right="91"/>
        <w:jc w:val="right"/>
        <w:rPr>
          <w:u w:val="single"/>
        </w:rPr>
      </w:pPr>
      <w:r w:rsidRPr="00627CEC">
        <w:br w:type="page"/>
      </w:r>
      <w:r w:rsidRPr="00627CEC">
        <w:rPr>
          <w:b/>
          <w:u w:val="single"/>
        </w:rPr>
        <w:lastRenderedPageBreak/>
        <w:t>ATTACHMENT</w:t>
      </w:r>
    </w:p>
    <w:p w:rsidR="00AC0395" w:rsidRPr="00627CEC" w:rsidRDefault="00AC0395" w:rsidP="00AC0395">
      <w:pPr>
        <w:ind w:right="91"/>
        <w:jc w:val="right"/>
      </w:pPr>
    </w:p>
    <w:p w:rsidR="00AC0395" w:rsidRPr="00627CEC" w:rsidRDefault="00AC0395" w:rsidP="00AC0395">
      <w:pPr>
        <w:ind w:right="91"/>
        <w:rPr>
          <w:b/>
          <w:u w:val="single"/>
        </w:rPr>
      </w:pPr>
      <w:r w:rsidRPr="00627CEC">
        <w:rPr>
          <w:b/>
          <w:u w:val="single"/>
        </w:rPr>
        <w:t xml:space="preserve">Details of the </w:t>
      </w:r>
      <w:r w:rsidRPr="00627CEC">
        <w:rPr>
          <w:b/>
          <w:i/>
          <w:u w:val="single"/>
        </w:rPr>
        <w:t xml:space="preserve">Antarctic Treaty (Environment </w:t>
      </w:r>
      <w:r w:rsidRPr="00A335F3">
        <w:rPr>
          <w:b/>
          <w:i/>
          <w:u w:val="single"/>
        </w:rPr>
        <w:t xml:space="preserve">Protection) </w:t>
      </w:r>
      <w:r w:rsidR="005B27D1" w:rsidRPr="00A335F3">
        <w:rPr>
          <w:b/>
          <w:i/>
          <w:u w:val="single"/>
        </w:rPr>
        <w:t xml:space="preserve">Amendment </w:t>
      </w:r>
      <w:r w:rsidR="00A335F3">
        <w:rPr>
          <w:b/>
          <w:i/>
          <w:u w:val="single"/>
        </w:rPr>
        <w:t xml:space="preserve">(2012 to 2014 Measures–Protected Areas and Managed Areas) </w:t>
      </w:r>
      <w:r w:rsidR="001F6F40" w:rsidRPr="00A335F3">
        <w:rPr>
          <w:b/>
          <w:i/>
          <w:u w:val="single"/>
        </w:rPr>
        <w:t>Proclamation 20</w:t>
      </w:r>
      <w:r w:rsidR="005B27D1" w:rsidRPr="00A335F3">
        <w:rPr>
          <w:b/>
          <w:i/>
          <w:u w:val="single"/>
        </w:rPr>
        <w:t>1</w:t>
      </w:r>
      <w:r w:rsidR="00A335F3">
        <w:rPr>
          <w:b/>
          <w:i/>
          <w:u w:val="single"/>
        </w:rPr>
        <w:t>4</w:t>
      </w:r>
    </w:p>
    <w:p w:rsidR="00AC0395" w:rsidRPr="00627CEC" w:rsidRDefault="00AC0395" w:rsidP="00AC0395">
      <w:pPr>
        <w:ind w:right="91"/>
      </w:pPr>
    </w:p>
    <w:p w:rsidR="00AC0395" w:rsidRPr="00627CEC" w:rsidRDefault="00AC0395" w:rsidP="00AC0395">
      <w:pPr>
        <w:pStyle w:val="Heading6"/>
        <w:spacing w:before="0"/>
      </w:pPr>
      <w:r w:rsidRPr="00627CEC">
        <w:t>Section 1 – Name</w:t>
      </w:r>
    </w:p>
    <w:p w:rsidR="00AC0395" w:rsidRPr="00627CEC" w:rsidRDefault="00AC0395" w:rsidP="00AC0395">
      <w:pPr>
        <w:ind w:right="91"/>
      </w:pPr>
    </w:p>
    <w:p w:rsidR="00AC0395" w:rsidRPr="00627CEC" w:rsidRDefault="00AC0395" w:rsidP="00AC0395">
      <w:pPr>
        <w:ind w:right="91"/>
      </w:pPr>
      <w:r w:rsidRPr="00627CEC">
        <w:t xml:space="preserve">This section provides that the </w:t>
      </w:r>
      <w:r w:rsidR="0058509C">
        <w:t xml:space="preserve">name </w:t>
      </w:r>
      <w:r w:rsidRPr="00627CEC">
        <w:t xml:space="preserve">of the </w:t>
      </w:r>
      <w:r w:rsidR="0058509C">
        <w:t>i</w:t>
      </w:r>
      <w:r w:rsidR="00A335F3">
        <w:t>nstrument</w:t>
      </w:r>
      <w:r w:rsidRPr="00627CEC">
        <w:t xml:space="preserve"> is the </w:t>
      </w:r>
      <w:r w:rsidRPr="00627CEC">
        <w:rPr>
          <w:i/>
        </w:rPr>
        <w:t xml:space="preserve">Antarctic Treaty (Environment Protection) </w:t>
      </w:r>
      <w:r w:rsidR="00627CEC">
        <w:rPr>
          <w:i/>
        </w:rPr>
        <w:t>Amendment</w:t>
      </w:r>
      <w:r w:rsidR="00A335F3">
        <w:rPr>
          <w:i/>
        </w:rPr>
        <w:t xml:space="preserve"> (2012 to 2014 Measures–Protected Areas</w:t>
      </w:r>
      <w:r w:rsidR="00627CEC">
        <w:rPr>
          <w:i/>
        </w:rPr>
        <w:t xml:space="preserve"> </w:t>
      </w:r>
      <w:r w:rsidR="00A335F3">
        <w:rPr>
          <w:i/>
        </w:rPr>
        <w:t xml:space="preserve">and Managed Areas) </w:t>
      </w:r>
      <w:r w:rsidR="00EB0084" w:rsidRPr="00627CEC">
        <w:rPr>
          <w:i/>
        </w:rPr>
        <w:t>Proclamation 20</w:t>
      </w:r>
      <w:r w:rsidR="00627CEC">
        <w:rPr>
          <w:i/>
        </w:rPr>
        <w:t>1</w:t>
      </w:r>
      <w:r w:rsidR="00A335F3">
        <w:rPr>
          <w:i/>
        </w:rPr>
        <w:t>4</w:t>
      </w:r>
      <w:r w:rsidRPr="00627CEC">
        <w:t>.</w:t>
      </w:r>
    </w:p>
    <w:p w:rsidR="00AC0395" w:rsidRPr="00627CEC" w:rsidRDefault="00AC0395" w:rsidP="00AC0395">
      <w:pPr>
        <w:ind w:right="91"/>
      </w:pPr>
    </w:p>
    <w:p w:rsidR="00AC0395" w:rsidRPr="00627CEC" w:rsidRDefault="00C95F76" w:rsidP="00AC0395">
      <w:pPr>
        <w:ind w:right="91"/>
        <w:rPr>
          <w:u w:val="single"/>
        </w:rPr>
      </w:pPr>
      <w:r w:rsidRPr="00627CEC">
        <w:rPr>
          <w:u w:val="single"/>
        </w:rPr>
        <w:t>Section</w:t>
      </w:r>
      <w:r w:rsidR="00AC0395" w:rsidRPr="00627CEC">
        <w:rPr>
          <w:u w:val="single"/>
        </w:rPr>
        <w:t xml:space="preserve"> 2 – Commencement</w:t>
      </w:r>
    </w:p>
    <w:p w:rsidR="00AC0395" w:rsidRPr="00627CEC" w:rsidRDefault="00AC0395" w:rsidP="00AC0395">
      <w:pPr>
        <w:ind w:right="91"/>
      </w:pPr>
    </w:p>
    <w:p w:rsidR="00AC0395" w:rsidRDefault="00A335F3" w:rsidP="00AC0395">
      <w:pPr>
        <w:pStyle w:val="A2"/>
        <w:ind w:left="0" w:firstLine="0"/>
      </w:pPr>
      <w:r>
        <w:t xml:space="preserve">This section provides for the </w:t>
      </w:r>
      <w:r w:rsidR="0058509C">
        <w:t>i</w:t>
      </w:r>
      <w:r>
        <w:t>nstrument</w:t>
      </w:r>
      <w:r w:rsidR="00AC0395" w:rsidRPr="00627CEC">
        <w:t xml:space="preserve"> to commence on </w:t>
      </w:r>
      <w:r w:rsidR="00B00BC0" w:rsidRPr="00627CEC">
        <w:t xml:space="preserve">the </w:t>
      </w:r>
      <w:r w:rsidR="008807CB" w:rsidRPr="00627CEC">
        <w:t xml:space="preserve">day </w:t>
      </w:r>
      <w:r w:rsidR="00B00BC0" w:rsidRPr="00627CEC">
        <w:t>after</w:t>
      </w:r>
      <w:r w:rsidR="0058509C">
        <w:t xml:space="preserve"> it is registered</w:t>
      </w:r>
      <w:r w:rsidR="00F15B50" w:rsidRPr="00627CEC">
        <w:t xml:space="preserve"> on the Federal Register of Legislative Instruments</w:t>
      </w:r>
      <w:r w:rsidR="00B00BC0" w:rsidRPr="00627CEC">
        <w:t xml:space="preserve">. </w:t>
      </w:r>
    </w:p>
    <w:p w:rsidR="00A335F3" w:rsidRDefault="00A335F3" w:rsidP="00A335F3">
      <w:pPr>
        <w:rPr>
          <w:lang w:eastAsia="en-US"/>
        </w:rPr>
      </w:pPr>
    </w:p>
    <w:p w:rsidR="00A335F3" w:rsidRDefault="00A335F3" w:rsidP="00A335F3">
      <w:pPr>
        <w:rPr>
          <w:lang w:eastAsia="en-US"/>
        </w:rPr>
      </w:pPr>
      <w:r>
        <w:rPr>
          <w:u w:val="single"/>
          <w:lang w:eastAsia="en-US"/>
        </w:rPr>
        <w:t>Section 3 – Authority</w:t>
      </w:r>
    </w:p>
    <w:p w:rsidR="00A335F3" w:rsidRDefault="00A335F3" w:rsidP="00A335F3">
      <w:pPr>
        <w:rPr>
          <w:lang w:eastAsia="en-US"/>
        </w:rPr>
      </w:pPr>
    </w:p>
    <w:p w:rsidR="00A335F3" w:rsidRPr="00A335F3" w:rsidRDefault="00A335F3" w:rsidP="00A335F3">
      <w:pPr>
        <w:rPr>
          <w:u w:val="single"/>
          <w:lang w:eastAsia="en-US"/>
        </w:rPr>
      </w:pPr>
      <w:r>
        <w:rPr>
          <w:lang w:eastAsia="en-US"/>
        </w:rPr>
        <w:t xml:space="preserve">This section provides that the instrument is made under section 8 of the </w:t>
      </w:r>
      <w:r>
        <w:rPr>
          <w:i/>
          <w:lang w:eastAsia="en-US"/>
        </w:rPr>
        <w:t>Antarctic Treaty (Environment Protection) Act 1980</w:t>
      </w:r>
      <w:r w:rsidR="00D90763">
        <w:rPr>
          <w:lang w:eastAsia="en-US"/>
        </w:rPr>
        <w:t xml:space="preserve"> (the </w:t>
      </w:r>
      <w:r w:rsidR="005A1688" w:rsidRPr="005A1688">
        <w:rPr>
          <w:b/>
          <w:lang w:eastAsia="en-US"/>
        </w:rPr>
        <w:t>Act</w:t>
      </w:r>
      <w:r w:rsidR="00D90763">
        <w:rPr>
          <w:lang w:eastAsia="en-US"/>
        </w:rPr>
        <w:t>)</w:t>
      </w:r>
      <w:r>
        <w:rPr>
          <w:lang w:eastAsia="en-US"/>
        </w:rPr>
        <w:t xml:space="preserve">. </w:t>
      </w:r>
      <w:r>
        <w:rPr>
          <w:u w:val="single"/>
          <w:lang w:eastAsia="en-US"/>
        </w:rPr>
        <w:t xml:space="preserve"> </w:t>
      </w:r>
    </w:p>
    <w:p w:rsidR="00AC0395" w:rsidRPr="00627CEC" w:rsidRDefault="00AC0395" w:rsidP="00AC0395">
      <w:pPr>
        <w:ind w:right="91"/>
      </w:pPr>
    </w:p>
    <w:p w:rsidR="00AC0395" w:rsidRPr="002C3B75" w:rsidRDefault="00C95F76" w:rsidP="00AC0395">
      <w:pPr>
        <w:ind w:right="91"/>
        <w:rPr>
          <w:i/>
          <w:u w:val="single"/>
        </w:rPr>
      </w:pPr>
      <w:r w:rsidRPr="00627CEC">
        <w:rPr>
          <w:u w:val="single"/>
        </w:rPr>
        <w:t>Section</w:t>
      </w:r>
      <w:r w:rsidR="00AC0395" w:rsidRPr="00627CEC">
        <w:rPr>
          <w:u w:val="single"/>
        </w:rPr>
        <w:t xml:space="preserve"> </w:t>
      </w:r>
      <w:r w:rsidR="00A335F3">
        <w:rPr>
          <w:u w:val="single"/>
        </w:rPr>
        <w:t>4</w:t>
      </w:r>
      <w:r w:rsidR="00AC0395" w:rsidRPr="00627CEC">
        <w:rPr>
          <w:u w:val="single"/>
        </w:rPr>
        <w:t xml:space="preserve"> – </w:t>
      </w:r>
      <w:r w:rsidR="00A335F3">
        <w:rPr>
          <w:u w:val="single"/>
        </w:rPr>
        <w:t>Schedules</w:t>
      </w:r>
    </w:p>
    <w:p w:rsidR="00AC0395" w:rsidRPr="00627CEC" w:rsidRDefault="00AC0395" w:rsidP="00AC0395">
      <w:pPr>
        <w:ind w:right="91"/>
        <w:rPr>
          <w:iCs/>
        </w:rPr>
      </w:pPr>
    </w:p>
    <w:p w:rsidR="004D2266" w:rsidRPr="00627CEC" w:rsidRDefault="00B00BC0" w:rsidP="004D2266">
      <w:pPr>
        <w:ind w:right="91"/>
        <w:rPr>
          <w:i/>
          <w:iCs/>
        </w:rPr>
      </w:pPr>
      <w:r w:rsidRPr="00627CEC">
        <w:t xml:space="preserve">This section </w:t>
      </w:r>
      <w:r w:rsidR="00627CEC">
        <w:t xml:space="preserve">provides that </w:t>
      </w:r>
      <w:r w:rsidR="00A335F3">
        <w:t>each instrum</w:t>
      </w:r>
      <w:r w:rsidR="00657CFA">
        <w:t xml:space="preserve">ent specified in the </w:t>
      </w:r>
      <w:r w:rsidR="0058509C">
        <w:t>S</w:t>
      </w:r>
      <w:r w:rsidR="00657CFA">
        <w:t>chedules is</w:t>
      </w:r>
      <w:r w:rsidR="00A335F3">
        <w:t xml:space="preserve"> amended or repealed in accordance with the terms of the </w:t>
      </w:r>
      <w:r w:rsidR="0058509C">
        <w:t>S</w:t>
      </w:r>
      <w:r w:rsidR="00A335F3">
        <w:t xml:space="preserve">chedule. </w:t>
      </w:r>
    </w:p>
    <w:p w:rsidR="00134886" w:rsidRPr="00627CEC" w:rsidRDefault="00134886" w:rsidP="00AC0395">
      <w:pPr>
        <w:tabs>
          <w:tab w:val="left" w:pos="1276"/>
        </w:tabs>
        <w:ind w:right="-180"/>
      </w:pPr>
    </w:p>
    <w:p w:rsidR="00134886" w:rsidRPr="007E021F" w:rsidRDefault="00134886" w:rsidP="00AC0395">
      <w:pPr>
        <w:tabs>
          <w:tab w:val="left" w:pos="1276"/>
        </w:tabs>
        <w:ind w:right="-180"/>
        <w:rPr>
          <w:u w:val="single"/>
        </w:rPr>
      </w:pPr>
      <w:r w:rsidRPr="007E021F">
        <w:rPr>
          <w:u w:val="single"/>
        </w:rPr>
        <w:t>Schedule 1</w:t>
      </w:r>
      <w:r w:rsidR="00657CFA">
        <w:rPr>
          <w:u w:val="single"/>
        </w:rPr>
        <w:t xml:space="preserve"> - Amendments</w:t>
      </w:r>
    </w:p>
    <w:p w:rsidR="00134886" w:rsidRDefault="00134886" w:rsidP="00AC0395">
      <w:pPr>
        <w:tabs>
          <w:tab w:val="left" w:pos="1276"/>
        </w:tabs>
        <w:ind w:right="-180"/>
        <w:rPr>
          <w:highlight w:val="yellow"/>
        </w:rPr>
      </w:pPr>
    </w:p>
    <w:p w:rsidR="00755B60" w:rsidRPr="00755B60" w:rsidRDefault="00755B60" w:rsidP="00AC0395">
      <w:pPr>
        <w:tabs>
          <w:tab w:val="left" w:pos="1276"/>
        </w:tabs>
        <w:ind w:right="-180"/>
      </w:pPr>
      <w:r w:rsidRPr="00755B60">
        <w:t>Amendments</w:t>
      </w:r>
      <w:r>
        <w:t xml:space="preserve"> in this Schedule refer to the </w:t>
      </w:r>
      <w:r>
        <w:rPr>
          <w:i/>
        </w:rPr>
        <w:t xml:space="preserve">Antarctic Treaty (Environment Protection) Proclamation 2007 </w:t>
      </w:r>
      <w:r>
        <w:t xml:space="preserve">(the </w:t>
      </w:r>
      <w:r>
        <w:rPr>
          <w:b/>
        </w:rPr>
        <w:t>Principal Proclamation</w:t>
      </w:r>
      <w:r>
        <w:t xml:space="preserve">). </w:t>
      </w:r>
    </w:p>
    <w:p w:rsidR="00755B60" w:rsidRDefault="00755B60" w:rsidP="00AC0395">
      <w:pPr>
        <w:tabs>
          <w:tab w:val="left" w:pos="1276"/>
        </w:tabs>
        <w:ind w:right="-180"/>
        <w:rPr>
          <w:highlight w:val="yellow"/>
        </w:rPr>
      </w:pPr>
    </w:p>
    <w:p w:rsidR="00657CFA" w:rsidRPr="0058509C" w:rsidRDefault="00657CFA" w:rsidP="00AC0395">
      <w:pPr>
        <w:tabs>
          <w:tab w:val="left" w:pos="1276"/>
        </w:tabs>
        <w:ind w:right="-180"/>
      </w:pPr>
      <w:r w:rsidRPr="00657CFA">
        <w:t>Item</w:t>
      </w:r>
      <w:r>
        <w:t xml:space="preserve"> 1 </w:t>
      </w:r>
      <w:r w:rsidR="00D90763">
        <w:t>amends</w:t>
      </w:r>
      <w:r>
        <w:t xml:space="preserve"> the note at section 4</w:t>
      </w:r>
      <w:r w:rsidR="00755B60">
        <w:t xml:space="preserve"> of the Principal Proclamation</w:t>
      </w:r>
      <w:r>
        <w:t xml:space="preserve"> to </w:t>
      </w:r>
      <w:r w:rsidR="00D90763">
        <w:t xml:space="preserve">make it clear that a number of expressions used in the Principal Proclamation are defined in the Act, and </w:t>
      </w:r>
      <w:r>
        <w:t>remove</w:t>
      </w:r>
      <w:r w:rsidR="00D90763">
        <w:t>s</w:t>
      </w:r>
      <w:r>
        <w:t xml:space="preserve"> defined terms </w:t>
      </w:r>
      <w:r w:rsidR="0058509C">
        <w:t>that are not needed.</w:t>
      </w:r>
    </w:p>
    <w:p w:rsidR="00657CFA" w:rsidRDefault="00657CFA" w:rsidP="00AC0395">
      <w:pPr>
        <w:tabs>
          <w:tab w:val="left" w:pos="1276"/>
        </w:tabs>
        <w:ind w:right="-180"/>
      </w:pPr>
    </w:p>
    <w:p w:rsidR="00657CFA" w:rsidRDefault="00657CFA" w:rsidP="00AC0395">
      <w:pPr>
        <w:tabs>
          <w:tab w:val="left" w:pos="1276"/>
        </w:tabs>
        <w:ind w:right="-180"/>
      </w:pPr>
      <w:r>
        <w:t xml:space="preserve">Item 2 provides an update to the note at section 5 </w:t>
      </w:r>
      <w:r w:rsidR="00755B60">
        <w:t xml:space="preserve">of the Principal Proclamation </w:t>
      </w:r>
      <w:r>
        <w:t>to provide an up-to-date reference to where further details</w:t>
      </w:r>
      <w:r w:rsidR="0058509C">
        <w:t xml:space="preserve"> of </w:t>
      </w:r>
      <w:r w:rsidR="00501E73">
        <w:t>Antarctic Specially Protected Areas (</w:t>
      </w:r>
      <w:r w:rsidR="005A1688" w:rsidRPr="005A1688">
        <w:rPr>
          <w:b/>
        </w:rPr>
        <w:t>ASPAs</w:t>
      </w:r>
      <w:r w:rsidR="00501E73">
        <w:t>)</w:t>
      </w:r>
      <w:r w:rsidR="0058509C">
        <w:t xml:space="preserve"> and </w:t>
      </w:r>
      <w:r w:rsidR="00501E73">
        <w:t>Antarctic Specially Managed Area (</w:t>
      </w:r>
      <w:r w:rsidR="005A1688" w:rsidRPr="005A1688">
        <w:rPr>
          <w:b/>
        </w:rPr>
        <w:t>ASMAs</w:t>
      </w:r>
      <w:r w:rsidR="00501E73">
        <w:t>)</w:t>
      </w:r>
      <w:r>
        <w:t xml:space="preserve"> can be found on the internet. </w:t>
      </w:r>
    </w:p>
    <w:p w:rsidR="00657CFA" w:rsidRDefault="00657CFA" w:rsidP="00AC0395">
      <w:pPr>
        <w:tabs>
          <w:tab w:val="left" w:pos="1276"/>
        </w:tabs>
        <w:ind w:right="-180"/>
      </w:pPr>
    </w:p>
    <w:p w:rsidR="007E021F" w:rsidRPr="0058509C" w:rsidRDefault="00657CFA" w:rsidP="00AC0395">
      <w:pPr>
        <w:tabs>
          <w:tab w:val="left" w:pos="1276"/>
        </w:tabs>
        <w:ind w:right="-180"/>
      </w:pPr>
      <w:r>
        <w:t xml:space="preserve">Items 3 to 13 </w:t>
      </w:r>
      <w:r w:rsidR="0058509C">
        <w:t xml:space="preserve">replace  the existing boundaries of </w:t>
      </w:r>
      <w:r w:rsidR="001A4222">
        <w:t xml:space="preserve">18 </w:t>
      </w:r>
      <w:r w:rsidR="005A1688" w:rsidRPr="005A1688">
        <w:t>ASPA</w:t>
      </w:r>
      <w:r w:rsidR="007E021F" w:rsidRPr="00657CFA">
        <w:rPr>
          <w:b/>
        </w:rPr>
        <w:t>s</w:t>
      </w:r>
      <w:r w:rsidR="0058509C">
        <w:t xml:space="preserve"> with new boundaries in accordance with management plans adopted by the </w:t>
      </w:r>
      <w:r w:rsidR="001A4222">
        <w:t>35</w:t>
      </w:r>
      <w:r w:rsidR="001A4222" w:rsidRPr="001A4222">
        <w:rPr>
          <w:vertAlign w:val="superscript"/>
        </w:rPr>
        <w:t>th</w:t>
      </w:r>
      <w:r w:rsidR="001A4222">
        <w:t>, 36</w:t>
      </w:r>
      <w:r w:rsidR="001A4222" w:rsidRPr="001A4222">
        <w:rPr>
          <w:vertAlign w:val="superscript"/>
        </w:rPr>
        <w:t>th</w:t>
      </w:r>
      <w:r w:rsidR="001A4222">
        <w:t xml:space="preserve"> and 37</w:t>
      </w:r>
      <w:r w:rsidR="001A4222" w:rsidRPr="001A4222">
        <w:rPr>
          <w:vertAlign w:val="superscript"/>
        </w:rPr>
        <w:t>th</w:t>
      </w:r>
      <w:r w:rsidR="001A4222">
        <w:t xml:space="preserve"> </w:t>
      </w:r>
      <w:r w:rsidR="0058509C">
        <w:t>Antarctic Treaty Consultative Meeting</w:t>
      </w:r>
      <w:r w:rsidR="001A4222">
        <w:t>s</w:t>
      </w:r>
      <w:r w:rsidR="0058509C">
        <w:t xml:space="preserve"> (</w:t>
      </w:r>
      <w:r w:rsidR="0058509C">
        <w:rPr>
          <w:b/>
        </w:rPr>
        <w:t>ATCM</w:t>
      </w:r>
      <w:r w:rsidR="0058509C">
        <w:t>)</w:t>
      </w:r>
      <w:r w:rsidR="001A4222">
        <w:t>.</w:t>
      </w:r>
    </w:p>
    <w:p w:rsidR="006313F9" w:rsidRDefault="006313F9" w:rsidP="00AC0395">
      <w:pPr>
        <w:tabs>
          <w:tab w:val="left" w:pos="1276"/>
        </w:tabs>
        <w:ind w:right="-180"/>
      </w:pPr>
    </w:p>
    <w:p w:rsidR="00657CFA" w:rsidRDefault="00657CFA" w:rsidP="00C05E1F">
      <w:r>
        <w:t xml:space="preserve">Item 14 </w:t>
      </w:r>
      <w:r w:rsidR="00B91326">
        <w:t xml:space="preserve">declares and </w:t>
      </w:r>
      <w:r>
        <w:t xml:space="preserve">describes </w:t>
      </w:r>
      <w:r w:rsidR="001A4222">
        <w:t>the area of three new</w:t>
      </w:r>
      <w:r>
        <w:t xml:space="preserve"> ASPAs</w:t>
      </w:r>
      <w:r w:rsidR="0058509C">
        <w:t xml:space="preserve"> adopted by the</w:t>
      </w:r>
      <w:r w:rsidR="001A4222">
        <w:t xml:space="preserve"> 36</w:t>
      </w:r>
      <w:r w:rsidR="001A4222" w:rsidRPr="001A4222">
        <w:rPr>
          <w:vertAlign w:val="superscript"/>
        </w:rPr>
        <w:t>th</w:t>
      </w:r>
      <w:r w:rsidR="001A4222">
        <w:t xml:space="preserve"> and 37</w:t>
      </w:r>
      <w:r w:rsidR="001A4222" w:rsidRPr="001A4222">
        <w:rPr>
          <w:vertAlign w:val="superscript"/>
        </w:rPr>
        <w:t>th</w:t>
      </w:r>
      <w:r w:rsidR="001A4222">
        <w:t xml:space="preserve"> ATCMs</w:t>
      </w:r>
      <w:r>
        <w:t>.</w:t>
      </w:r>
    </w:p>
    <w:p w:rsidR="00657CFA" w:rsidRDefault="00657CFA" w:rsidP="00C05E1F"/>
    <w:p w:rsidR="00657CFA" w:rsidRDefault="00657CFA" w:rsidP="00C05E1F">
      <w:r>
        <w:lastRenderedPageBreak/>
        <w:t>Item 15</w:t>
      </w:r>
      <w:r w:rsidRPr="00657CFA">
        <w:t xml:space="preserve"> </w:t>
      </w:r>
      <w:r w:rsidR="001A4222">
        <w:t xml:space="preserve">replaces the existing boundaries of one </w:t>
      </w:r>
      <w:r w:rsidR="005A1688" w:rsidRPr="005A1688">
        <w:t>ASMA</w:t>
      </w:r>
      <w:r w:rsidR="001A4222">
        <w:t xml:space="preserve"> with new boundaries in accordance with the management plan adopted by the 35</w:t>
      </w:r>
      <w:r w:rsidR="001A4222" w:rsidRPr="001A4222">
        <w:rPr>
          <w:vertAlign w:val="superscript"/>
        </w:rPr>
        <w:t>th</w:t>
      </w:r>
      <w:r w:rsidR="001A4222">
        <w:t xml:space="preserve"> ATCM</w:t>
      </w:r>
      <w:r>
        <w:t>.</w:t>
      </w:r>
    </w:p>
    <w:p w:rsidR="00657CFA" w:rsidRDefault="00657CFA" w:rsidP="00C05E1F"/>
    <w:p w:rsidR="00657CFA" w:rsidRDefault="00755B60" w:rsidP="00C05E1F">
      <w:r>
        <w:rPr>
          <w:u w:val="single"/>
        </w:rPr>
        <w:t>Schedule 2 – Repeals</w:t>
      </w:r>
    </w:p>
    <w:p w:rsidR="001A4222" w:rsidRDefault="001A4222" w:rsidP="001A4222">
      <w:pPr>
        <w:tabs>
          <w:tab w:val="left" w:pos="1276"/>
        </w:tabs>
        <w:ind w:right="-180"/>
      </w:pPr>
    </w:p>
    <w:p w:rsidR="001A4222" w:rsidRPr="00755B60" w:rsidRDefault="001A4222" w:rsidP="001A4222">
      <w:pPr>
        <w:tabs>
          <w:tab w:val="left" w:pos="1276"/>
        </w:tabs>
        <w:ind w:right="-180"/>
      </w:pPr>
      <w:r w:rsidRPr="00755B60">
        <w:t>Amendments</w:t>
      </w:r>
      <w:r>
        <w:t xml:space="preserve"> in this Schedule refer to the </w:t>
      </w:r>
      <w:r w:rsidRPr="001A4222">
        <w:t>Principal Proclamation</w:t>
      </w:r>
      <w:r>
        <w:t xml:space="preserve">. </w:t>
      </w:r>
    </w:p>
    <w:p w:rsidR="001A4222" w:rsidRDefault="001A4222" w:rsidP="00C05E1F"/>
    <w:p w:rsidR="00755B60" w:rsidRDefault="00755B60" w:rsidP="00C05E1F">
      <w:r>
        <w:t>Item 1 repeals section 3 of the Principal Proclamation</w:t>
      </w:r>
      <w:r w:rsidR="00DE5172">
        <w:t xml:space="preserve"> as it is spent.</w:t>
      </w:r>
    </w:p>
    <w:p w:rsidR="00DE5172" w:rsidRDefault="00DE5172" w:rsidP="00C05E1F"/>
    <w:p w:rsidR="00DE5172" w:rsidRDefault="00DE5172" w:rsidP="00C05E1F">
      <w:r>
        <w:t>Item 2 repeals section 6 of the Principal Proclamation as it is spent and consequential amendments have been made at Item 3.</w:t>
      </w:r>
    </w:p>
    <w:p w:rsidR="00DE5172" w:rsidRDefault="00DE5172" w:rsidP="00C05E1F"/>
    <w:p w:rsidR="00DE5172" w:rsidRDefault="00DE5172" w:rsidP="00C05E1F">
      <w:r>
        <w:t xml:space="preserve">Item 3 </w:t>
      </w:r>
      <w:r w:rsidR="001A4222">
        <w:t>repeals the descriptions of seven ASPAs</w:t>
      </w:r>
      <w:r>
        <w:t>.</w:t>
      </w:r>
      <w:r w:rsidR="001A4222">
        <w:t xml:space="preserve">  The management plans for ASPAs 118, 130 and 1</w:t>
      </w:r>
      <w:r w:rsidR="00A059C3">
        <w:t>1</w:t>
      </w:r>
      <w:r w:rsidR="001A4222">
        <w:t xml:space="preserve">4 (at Parts 18, 30 and </w:t>
      </w:r>
      <w:r w:rsidR="00A059C3">
        <w:t>1</w:t>
      </w:r>
      <w:r w:rsidR="001A4222">
        <w:t>4 respectively of the Principal Proclamation) were revoked by the 37</w:t>
      </w:r>
      <w:r w:rsidR="001A4222" w:rsidRPr="001A4222">
        <w:rPr>
          <w:vertAlign w:val="superscript"/>
        </w:rPr>
        <w:t>th</w:t>
      </w:r>
      <w:r w:rsidR="001A4222">
        <w:t xml:space="preserve"> ATCM.  ASPAs 1</w:t>
      </w:r>
      <w:r w:rsidR="00A059C3">
        <w:t>4</w:t>
      </w:r>
      <w:r w:rsidR="001A4222">
        <w:t>4, 125, 146 and 150 (at Parts  25,</w:t>
      </w:r>
      <w:r w:rsidR="00725F94">
        <w:t xml:space="preserve"> 44, </w:t>
      </w:r>
      <w:r w:rsidR="001A4222">
        <w:t xml:space="preserve"> 46 and 50 respectively of the Principal Proclamation) ceased to have effect on 31 December 2010 – as provided for in section 6 of the Principal Proclamation.  The repeal of the Parts related to those ASPAs is a consequential amendment of </w:t>
      </w:r>
      <w:r w:rsidR="00725F94">
        <w:t xml:space="preserve">the deletion of section 6 as a </w:t>
      </w:r>
      <w:r w:rsidR="001A4222">
        <w:t xml:space="preserve">spent provision. </w:t>
      </w:r>
    </w:p>
    <w:p w:rsidR="00DE5172" w:rsidRDefault="00DE5172" w:rsidP="00C05E1F"/>
    <w:p w:rsidR="00DE5172" w:rsidRPr="00755B60" w:rsidRDefault="00A22DAB" w:rsidP="00C05E1F">
      <w:r>
        <w:t>Item 4 repeals the description of ASMA No. 3, as the management plan was revoked by the 37</w:t>
      </w:r>
      <w:r w:rsidRPr="00A22DAB">
        <w:rPr>
          <w:vertAlign w:val="superscript"/>
        </w:rPr>
        <w:t>th</w:t>
      </w:r>
      <w:r>
        <w:t xml:space="preserve"> ATCM</w:t>
      </w:r>
      <w:r w:rsidR="00DE5172">
        <w:t xml:space="preserve">. </w:t>
      </w:r>
    </w:p>
    <w:sectPr w:rsidR="00DE5172" w:rsidRPr="00755B60" w:rsidSect="0091362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94" w:rsidRDefault="00725F94">
      <w:r>
        <w:separator/>
      </w:r>
    </w:p>
  </w:endnote>
  <w:endnote w:type="continuationSeparator" w:id="0">
    <w:p w:rsidR="00725F94" w:rsidRDefault="0072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94" w:rsidRDefault="00725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94" w:rsidRDefault="00725F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94" w:rsidRDefault="00725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94" w:rsidRDefault="00725F94">
      <w:r>
        <w:separator/>
      </w:r>
    </w:p>
  </w:footnote>
  <w:footnote w:type="continuationSeparator" w:id="0">
    <w:p w:rsidR="00725F94" w:rsidRDefault="00725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94" w:rsidRDefault="009230B1">
    <w:pPr>
      <w:pStyle w:val="Header"/>
      <w:framePr w:wrap="around" w:vAnchor="text" w:hAnchor="margin" w:xAlign="center" w:y="1"/>
      <w:rPr>
        <w:rStyle w:val="PageNumber"/>
      </w:rPr>
    </w:pPr>
    <w:r>
      <w:rPr>
        <w:rStyle w:val="PageNumber"/>
      </w:rPr>
      <w:fldChar w:fldCharType="begin"/>
    </w:r>
    <w:r w:rsidR="00725F94">
      <w:rPr>
        <w:rStyle w:val="PageNumber"/>
      </w:rPr>
      <w:instrText xml:space="preserve">PAGE  </w:instrText>
    </w:r>
    <w:r>
      <w:rPr>
        <w:rStyle w:val="PageNumber"/>
      </w:rPr>
      <w:fldChar w:fldCharType="end"/>
    </w:r>
  </w:p>
  <w:p w:rsidR="00725F94" w:rsidRDefault="00725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94" w:rsidRDefault="009230B1">
    <w:pPr>
      <w:pStyle w:val="Header"/>
      <w:framePr w:wrap="around" w:vAnchor="text" w:hAnchor="margin" w:xAlign="center" w:y="1"/>
      <w:rPr>
        <w:rStyle w:val="PageNumber"/>
      </w:rPr>
    </w:pPr>
    <w:r>
      <w:rPr>
        <w:rStyle w:val="PageNumber"/>
      </w:rPr>
      <w:fldChar w:fldCharType="begin"/>
    </w:r>
    <w:r w:rsidR="00725F94">
      <w:rPr>
        <w:rStyle w:val="PageNumber"/>
      </w:rPr>
      <w:instrText xml:space="preserve">PAGE  </w:instrText>
    </w:r>
    <w:r>
      <w:rPr>
        <w:rStyle w:val="PageNumber"/>
      </w:rPr>
      <w:fldChar w:fldCharType="separate"/>
    </w:r>
    <w:r w:rsidR="00DC4D71">
      <w:rPr>
        <w:rStyle w:val="PageNumber"/>
        <w:noProof/>
      </w:rPr>
      <w:t>- 3 -</w:t>
    </w:r>
    <w:r>
      <w:rPr>
        <w:rStyle w:val="PageNumber"/>
      </w:rPr>
      <w:fldChar w:fldCharType="end"/>
    </w:r>
  </w:p>
  <w:p w:rsidR="00725F94" w:rsidRDefault="00725F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94" w:rsidRDefault="00725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5322" w:hanging="360"/>
      </w:pPr>
      <w:rPr>
        <w:rFonts w:ascii="Symbol" w:hAnsi="Symbol" w:hint="default"/>
      </w:rPr>
    </w:lvl>
    <w:lvl w:ilvl="1" w:tplc="0C090003" w:tentative="1">
      <w:start w:val="1"/>
      <w:numFmt w:val="bullet"/>
      <w:lvlText w:val="o"/>
      <w:lvlJc w:val="left"/>
      <w:pPr>
        <w:ind w:left="6042" w:hanging="360"/>
      </w:pPr>
      <w:rPr>
        <w:rFonts w:ascii="Courier New" w:hAnsi="Courier New" w:cs="Courier New" w:hint="default"/>
      </w:rPr>
    </w:lvl>
    <w:lvl w:ilvl="2" w:tplc="0C090005" w:tentative="1">
      <w:start w:val="1"/>
      <w:numFmt w:val="bullet"/>
      <w:lvlText w:val=""/>
      <w:lvlJc w:val="left"/>
      <w:pPr>
        <w:ind w:left="6762" w:hanging="360"/>
      </w:pPr>
      <w:rPr>
        <w:rFonts w:ascii="Wingdings" w:hAnsi="Wingdings" w:hint="default"/>
      </w:rPr>
    </w:lvl>
    <w:lvl w:ilvl="3" w:tplc="0C090001" w:tentative="1">
      <w:start w:val="1"/>
      <w:numFmt w:val="bullet"/>
      <w:lvlText w:val=""/>
      <w:lvlJc w:val="left"/>
      <w:pPr>
        <w:ind w:left="7482" w:hanging="360"/>
      </w:pPr>
      <w:rPr>
        <w:rFonts w:ascii="Symbol" w:hAnsi="Symbol" w:hint="default"/>
      </w:rPr>
    </w:lvl>
    <w:lvl w:ilvl="4" w:tplc="0C090003" w:tentative="1">
      <w:start w:val="1"/>
      <w:numFmt w:val="bullet"/>
      <w:lvlText w:val="o"/>
      <w:lvlJc w:val="left"/>
      <w:pPr>
        <w:ind w:left="8202" w:hanging="360"/>
      </w:pPr>
      <w:rPr>
        <w:rFonts w:ascii="Courier New" w:hAnsi="Courier New" w:cs="Courier New" w:hint="default"/>
      </w:rPr>
    </w:lvl>
    <w:lvl w:ilvl="5" w:tplc="0C090005" w:tentative="1">
      <w:start w:val="1"/>
      <w:numFmt w:val="bullet"/>
      <w:lvlText w:val=""/>
      <w:lvlJc w:val="left"/>
      <w:pPr>
        <w:ind w:left="8922" w:hanging="360"/>
      </w:pPr>
      <w:rPr>
        <w:rFonts w:ascii="Wingdings" w:hAnsi="Wingdings" w:hint="default"/>
      </w:rPr>
    </w:lvl>
    <w:lvl w:ilvl="6" w:tplc="0C090001" w:tentative="1">
      <w:start w:val="1"/>
      <w:numFmt w:val="bullet"/>
      <w:lvlText w:val=""/>
      <w:lvlJc w:val="left"/>
      <w:pPr>
        <w:ind w:left="9642" w:hanging="360"/>
      </w:pPr>
      <w:rPr>
        <w:rFonts w:ascii="Symbol" w:hAnsi="Symbol" w:hint="default"/>
      </w:rPr>
    </w:lvl>
    <w:lvl w:ilvl="7" w:tplc="0C090003" w:tentative="1">
      <w:start w:val="1"/>
      <w:numFmt w:val="bullet"/>
      <w:lvlText w:val="o"/>
      <w:lvlJc w:val="left"/>
      <w:pPr>
        <w:ind w:left="10362" w:hanging="360"/>
      </w:pPr>
      <w:rPr>
        <w:rFonts w:ascii="Courier New" w:hAnsi="Courier New" w:cs="Courier New" w:hint="default"/>
      </w:rPr>
    </w:lvl>
    <w:lvl w:ilvl="8" w:tplc="0C090005" w:tentative="1">
      <w:start w:val="1"/>
      <w:numFmt w:val="bullet"/>
      <w:lvlText w:val=""/>
      <w:lvlJc w:val="left"/>
      <w:pPr>
        <w:ind w:left="11082" w:hanging="360"/>
      </w:pPr>
      <w:rPr>
        <w:rFonts w:ascii="Wingdings" w:hAnsi="Wingdings" w:hint="default"/>
      </w:rPr>
    </w:lvl>
  </w:abstractNum>
  <w:abstractNum w:abstractNumId="1">
    <w:nsid w:val="301B36C0"/>
    <w:multiLevelType w:val="hybridMultilevel"/>
    <w:tmpl w:val="A8F2FEF2"/>
    <w:lvl w:ilvl="0" w:tplc="F89E7C00">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98031C"/>
    <w:multiLevelType w:val="multilevel"/>
    <w:tmpl w:val="6A8297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6AF79E5"/>
    <w:multiLevelType w:val="hybridMultilevel"/>
    <w:tmpl w:val="2EE4259E"/>
    <w:lvl w:ilvl="0" w:tplc="F27CFE7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2A131B"/>
    <w:multiLevelType w:val="hybridMultilevel"/>
    <w:tmpl w:val="6A829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0CB7850"/>
    <w:multiLevelType w:val="hybridMultilevel"/>
    <w:tmpl w:val="D0B8B42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nsid w:val="7C0F23FB"/>
    <w:multiLevelType w:val="hybridMultilevel"/>
    <w:tmpl w:val="51048392"/>
    <w:lvl w:ilvl="0" w:tplc="4A1C830E">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3"/>
  </w:num>
  <w:num w:numId="3">
    <w:abstractNumId w:val="4"/>
  </w:num>
  <w:num w:numId="4">
    <w:abstractNumId w:val="2"/>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55"/>
    <w:rsid w:val="0000393F"/>
    <w:rsid w:val="000051A0"/>
    <w:rsid w:val="000068CE"/>
    <w:rsid w:val="00011170"/>
    <w:rsid w:val="00027301"/>
    <w:rsid w:val="00032C38"/>
    <w:rsid w:val="00043B65"/>
    <w:rsid w:val="00047BC6"/>
    <w:rsid w:val="000621A6"/>
    <w:rsid w:val="00071477"/>
    <w:rsid w:val="0009749F"/>
    <w:rsid w:val="000A58BD"/>
    <w:rsid w:val="000B7482"/>
    <w:rsid w:val="000C080A"/>
    <w:rsid w:val="000E39C6"/>
    <w:rsid w:val="000E5524"/>
    <w:rsid w:val="000F38A1"/>
    <w:rsid w:val="00134886"/>
    <w:rsid w:val="00137B3F"/>
    <w:rsid w:val="00151235"/>
    <w:rsid w:val="001648DE"/>
    <w:rsid w:val="00173016"/>
    <w:rsid w:val="001A4222"/>
    <w:rsid w:val="001D28A5"/>
    <w:rsid w:val="001D6504"/>
    <w:rsid w:val="001F6F40"/>
    <w:rsid w:val="00204935"/>
    <w:rsid w:val="00207BF3"/>
    <w:rsid w:val="0021757A"/>
    <w:rsid w:val="0022084A"/>
    <w:rsid w:val="002275F4"/>
    <w:rsid w:val="00236AF9"/>
    <w:rsid w:val="00247BC3"/>
    <w:rsid w:val="002806B5"/>
    <w:rsid w:val="00281BC2"/>
    <w:rsid w:val="00282A4B"/>
    <w:rsid w:val="002A6BB3"/>
    <w:rsid w:val="002B0A92"/>
    <w:rsid w:val="002C3B75"/>
    <w:rsid w:val="002E6F83"/>
    <w:rsid w:val="002F5653"/>
    <w:rsid w:val="00301B0B"/>
    <w:rsid w:val="00303707"/>
    <w:rsid w:val="00307468"/>
    <w:rsid w:val="00312C23"/>
    <w:rsid w:val="00317E4F"/>
    <w:rsid w:val="00322B12"/>
    <w:rsid w:val="00367746"/>
    <w:rsid w:val="00372CCA"/>
    <w:rsid w:val="00397223"/>
    <w:rsid w:val="00397DC0"/>
    <w:rsid w:val="003B2FCF"/>
    <w:rsid w:val="003B7389"/>
    <w:rsid w:val="003C2932"/>
    <w:rsid w:val="003D23DD"/>
    <w:rsid w:val="003D420B"/>
    <w:rsid w:val="003E1544"/>
    <w:rsid w:val="003F1371"/>
    <w:rsid w:val="003F6555"/>
    <w:rsid w:val="00432E8C"/>
    <w:rsid w:val="0043635E"/>
    <w:rsid w:val="00450C15"/>
    <w:rsid w:val="00462A9F"/>
    <w:rsid w:val="00466E63"/>
    <w:rsid w:val="00477A07"/>
    <w:rsid w:val="00495357"/>
    <w:rsid w:val="004A75CD"/>
    <w:rsid w:val="004B0FB7"/>
    <w:rsid w:val="004D2266"/>
    <w:rsid w:val="004D5433"/>
    <w:rsid w:val="004D72E6"/>
    <w:rsid w:val="004F1887"/>
    <w:rsid w:val="00501E73"/>
    <w:rsid w:val="00507922"/>
    <w:rsid w:val="00523041"/>
    <w:rsid w:val="00524D14"/>
    <w:rsid w:val="0052627D"/>
    <w:rsid w:val="005657BE"/>
    <w:rsid w:val="00572E49"/>
    <w:rsid w:val="0058509C"/>
    <w:rsid w:val="00590D01"/>
    <w:rsid w:val="00595FAA"/>
    <w:rsid w:val="00596C1F"/>
    <w:rsid w:val="005A1688"/>
    <w:rsid w:val="005A4722"/>
    <w:rsid w:val="005B27D1"/>
    <w:rsid w:val="005C158D"/>
    <w:rsid w:val="005C7876"/>
    <w:rsid w:val="005D645E"/>
    <w:rsid w:val="005E253D"/>
    <w:rsid w:val="005E39E0"/>
    <w:rsid w:val="005F14C2"/>
    <w:rsid w:val="005F2682"/>
    <w:rsid w:val="005F5723"/>
    <w:rsid w:val="00601EBD"/>
    <w:rsid w:val="00613023"/>
    <w:rsid w:val="00620269"/>
    <w:rsid w:val="00627CEC"/>
    <w:rsid w:val="00630CC3"/>
    <w:rsid w:val="006313F9"/>
    <w:rsid w:val="00657CFA"/>
    <w:rsid w:val="006740FD"/>
    <w:rsid w:val="0068053D"/>
    <w:rsid w:val="00694CCE"/>
    <w:rsid w:val="00695DC1"/>
    <w:rsid w:val="006A5C00"/>
    <w:rsid w:val="006B4089"/>
    <w:rsid w:val="006C4B2C"/>
    <w:rsid w:val="006E49B6"/>
    <w:rsid w:val="006F66D9"/>
    <w:rsid w:val="007018DC"/>
    <w:rsid w:val="00703641"/>
    <w:rsid w:val="00707650"/>
    <w:rsid w:val="00713986"/>
    <w:rsid w:val="00715CB8"/>
    <w:rsid w:val="00717D53"/>
    <w:rsid w:val="00717ECE"/>
    <w:rsid w:val="00723BF4"/>
    <w:rsid w:val="00725F94"/>
    <w:rsid w:val="00736B51"/>
    <w:rsid w:val="00755B60"/>
    <w:rsid w:val="00765337"/>
    <w:rsid w:val="007A0184"/>
    <w:rsid w:val="007A2FC8"/>
    <w:rsid w:val="007A7C15"/>
    <w:rsid w:val="007E021F"/>
    <w:rsid w:val="007F718C"/>
    <w:rsid w:val="00841961"/>
    <w:rsid w:val="00846ECF"/>
    <w:rsid w:val="00860BE4"/>
    <w:rsid w:val="00874DA5"/>
    <w:rsid w:val="00876264"/>
    <w:rsid w:val="008807CB"/>
    <w:rsid w:val="00880C84"/>
    <w:rsid w:val="0089053D"/>
    <w:rsid w:val="008A0CA6"/>
    <w:rsid w:val="008F584E"/>
    <w:rsid w:val="00902077"/>
    <w:rsid w:val="0091362E"/>
    <w:rsid w:val="00914ECD"/>
    <w:rsid w:val="009230B1"/>
    <w:rsid w:val="009250C3"/>
    <w:rsid w:val="00926FA5"/>
    <w:rsid w:val="00930511"/>
    <w:rsid w:val="00940B37"/>
    <w:rsid w:val="0094136A"/>
    <w:rsid w:val="00946A59"/>
    <w:rsid w:val="00950BF1"/>
    <w:rsid w:val="00952AB3"/>
    <w:rsid w:val="009870A2"/>
    <w:rsid w:val="009C2298"/>
    <w:rsid w:val="009D118F"/>
    <w:rsid w:val="009E7A30"/>
    <w:rsid w:val="009F432D"/>
    <w:rsid w:val="00A04C02"/>
    <w:rsid w:val="00A059C3"/>
    <w:rsid w:val="00A05D29"/>
    <w:rsid w:val="00A22DAB"/>
    <w:rsid w:val="00A335F3"/>
    <w:rsid w:val="00A738BB"/>
    <w:rsid w:val="00A7426B"/>
    <w:rsid w:val="00AB15BA"/>
    <w:rsid w:val="00AB219B"/>
    <w:rsid w:val="00AC0395"/>
    <w:rsid w:val="00AD25E2"/>
    <w:rsid w:val="00AE3575"/>
    <w:rsid w:val="00AE6C16"/>
    <w:rsid w:val="00AF684C"/>
    <w:rsid w:val="00B00BC0"/>
    <w:rsid w:val="00B01194"/>
    <w:rsid w:val="00B03C78"/>
    <w:rsid w:val="00B0661D"/>
    <w:rsid w:val="00B101DA"/>
    <w:rsid w:val="00B218B6"/>
    <w:rsid w:val="00B27DB0"/>
    <w:rsid w:val="00B37A0F"/>
    <w:rsid w:val="00B45ADA"/>
    <w:rsid w:val="00B5599F"/>
    <w:rsid w:val="00B67655"/>
    <w:rsid w:val="00B81E2C"/>
    <w:rsid w:val="00B86478"/>
    <w:rsid w:val="00B91326"/>
    <w:rsid w:val="00BA65A3"/>
    <w:rsid w:val="00BB4253"/>
    <w:rsid w:val="00BB7455"/>
    <w:rsid w:val="00BC1CA5"/>
    <w:rsid w:val="00BC2189"/>
    <w:rsid w:val="00BC4ED0"/>
    <w:rsid w:val="00BD1540"/>
    <w:rsid w:val="00BD4703"/>
    <w:rsid w:val="00C05E1F"/>
    <w:rsid w:val="00C3053E"/>
    <w:rsid w:val="00C32370"/>
    <w:rsid w:val="00C36925"/>
    <w:rsid w:val="00C45DB6"/>
    <w:rsid w:val="00C5683C"/>
    <w:rsid w:val="00C56A61"/>
    <w:rsid w:val="00C64781"/>
    <w:rsid w:val="00C81832"/>
    <w:rsid w:val="00C91195"/>
    <w:rsid w:val="00C95F76"/>
    <w:rsid w:val="00C9794C"/>
    <w:rsid w:val="00C97ECA"/>
    <w:rsid w:val="00CB13EF"/>
    <w:rsid w:val="00CB23F0"/>
    <w:rsid w:val="00CB2953"/>
    <w:rsid w:val="00CB4EAE"/>
    <w:rsid w:val="00CC4EEB"/>
    <w:rsid w:val="00CC6012"/>
    <w:rsid w:val="00CD2F82"/>
    <w:rsid w:val="00CF70BF"/>
    <w:rsid w:val="00CF75D1"/>
    <w:rsid w:val="00D050B2"/>
    <w:rsid w:val="00D05C5A"/>
    <w:rsid w:val="00D234C3"/>
    <w:rsid w:val="00D24D59"/>
    <w:rsid w:val="00D329A6"/>
    <w:rsid w:val="00D32E0F"/>
    <w:rsid w:val="00D3675B"/>
    <w:rsid w:val="00D3702B"/>
    <w:rsid w:val="00D46A9F"/>
    <w:rsid w:val="00D55E75"/>
    <w:rsid w:val="00D6716C"/>
    <w:rsid w:val="00D8372C"/>
    <w:rsid w:val="00D90763"/>
    <w:rsid w:val="00DC24E3"/>
    <w:rsid w:val="00DC4D71"/>
    <w:rsid w:val="00DC6943"/>
    <w:rsid w:val="00DD3A36"/>
    <w:rsid w:val="00DD3BBE"/>
    <w:rsid w:val="00DE5172"/>
    <w:rsid w:val="00E02355"/>
    <w:rsid w:val="00E028C0"/>
    <w:rsid w:val="00E04BF6"/>
    <w:rsid w:val="00E237D7"/>
    <w:rsid w:val="00E43D44"/>
    <w:rsid w:val="00E4518A"/>
    <w:rsid w:val="00E510C9"/>
    <w:rsid w:val="00E56F8D"/>
    <w:rsid w:val="00E57F3D"/>
    <w:rsid w:val="00E62C85"/>
    <w:rsid w:val="00E63936"/>
    <w:rsid w:val="00E70278"/>
    <w:rsid w:val="00E73EDD"/>
    <w:rsid w:val="00E94132"/>
    <w:rsid w:val="00EB0084"/>
    <w:rsid w:val="00EB6556"/>
    <w:rsid w:val="00EC036C"/>
    <w:rsid w:val="00EC1E52"/>
    <w:rsid w:val="00EC47BD"/>
    <w:rsid w:val="00EC7267"/>
    <w:rsid w:val="00ED701D"/>
    <w:rsid w:val="00ED756C"/>
    <w:rsid w:val="00EE490E"/>
    <w:rsid w:val="00F032E1"/>
    <w:rsid w:val="00F10D4F"/>
    <w:rsid w:val="00F14768"/>
    <w:rsid w:val="00F15B50"/>
    <w:rsid w:val="00F31126"/>
    <w:rsid w:val="00F36C78"/>
    <w:rsid w:val="00F60070"/>
    <w:rsid w:val="00F65D6D"/>
    <w:rsid w:val="00F81FBE"/>
    <w:rsid w:val="00FA3AB9"/>
    <w:rsid w:val="00FA74A7"/>
    <w:rsid w:val="00FE0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86"/>
    <w:rPr>
      <w:sz w:val="24"/>
    </w:rPr>
  </w:style>
  <w:style w:type="paragraph" w:styleId="Heading1">
    <w:name w:val="heading 1"/>
    <w:basedOn w:val="Normal"/>
    <w:next w:val="Normal"/>
    <w:qFormat/>
    <w:rsid w:val="00CB13EF"/>
    <w:pPr>
      <w:keepNext/>
      <w:numPr>
        <w:numId w:val="1"/>
      </w:numPr>
      <w:outlineLvl w:val="0"/>
    </w:pPr>
    <w:rPr>
      <w:b/>
      <w:caps/>
    </w:rPr>
  </w:style>
  <w:style w:type="paragraph" w:styleId="Heading2">
    <w:name w:val="heading 2"/>
    <w:basedOn w:val="Normal"/>
    <w:next w:val="Normal"/>
    <w:qFormat/>
    <w:rsid w:val="00CB13EF"/>
    <w:pPr>
      <w:keepNext/>
      <w:numPr>
        <w:ilvl w:val="1"/>
        <w:numId w:val="1"/>
      </w:numPr>
      <w:spacing w:before="360" w:after="60"/>
      <w:outlineLvl w:val="1"/>
    </w:pPr>
    <w:rPr>
      <w:b/>
    </w:rPr>
  </w:style>
  <w:style w:type="paragraph" w:styleId="Heading6">
    <w:name w:val="heading 6"/>
    <w:basedOn w:val="Normal"/>
    <w:next w:val="Normal"/>
    <w:qFormat/>
    <w:rsid w:val="00CB13EF"/>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1362E"/>
    <w:pPr>
      <w:tabs>
        <w:tab w:val="left" w:pos="7938"/>
      </w:tabs>
      <w:spacing w:line="240" w:lineRule="exact"/>
      <w:ind w:right="91"/>
    </w:pPr>
    <w:rPr>
      <w:i/>
    </w:rPr>
  </w:style>
  <w:style w:type="paragraph" w:styleId="BalloonText">
    <w:name w:val="Balloon Text"/>
    <w:basedOn w:val="Normal"/>
    <w:semiHidden/>
    <w:rsid w:val="0091362E"/>
    <w:rPr>
      <w:rFonts w:ascii="Tahoma" w:hAnsi="Tahoma" w:cs="Tahoma"/>
      <w:sz w:val="16"/>
      <w:szCs w:val="16"/>
    </w:rPr>
  </w:style>
  <w:style w:type="table" w:styleId="TableGrid">
    <w:name w:val="Table Grid"/>
    <w:basedOn w:val="TableNormal"/>
    <w:rsid w:val="00913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362E"/>
    <w:pPr>
      <w:tabs>
        <w:tab w:val="center" w:pos="4320"/>
        <w:tab w:val="right" w:pos="8640"/>
      </w:tabs>
    </w:pPr>
  </w:style>
  <w:style w:type="character" w:styleId="PageNumber">
    <w:name w:val="page number"/>
    <w:basedOn w:val="DefaultParagraphFont"/>
    <w:rsid w:val="0091362E"/>
  </w:style>
  <w:style w:type="paragraph" w:styleId="Footer">
    <w:name w:val="footer"/>
    <w:basedOn w:val="Normal"/>
    <w:rsid w:val="00CB13EF"/>
    <w:pPr>
      <w:tabs>
        <w:tab w:val="center" w:pos="4153"/>
        <w:tab w:val="right" w:pos="8306"/>
      </w:tabs>
      <w:spacing w:before="240"/>
    </w:pPr>
  </w:style>
  <w:style w:type="paragraph" w:customStyle="1" w:styleId="HB-Paragraph">
    <w:name w:val="HB - Paragraph"/>
    <w:basedOn w:val="Normal"/>
    <w:rsid w:val="00CB13EF"/>
    <w:pPr>
      <w:numPr>
        <w:ilvl w:val="2"/>
        <w:numId w:val="1"/>
      </w:numPr>
      <w:spacing w:before="120" w:after="120"/>
    </w:pPr>
  </w:style>
  <w:style w:type="paragraph" w:customStyle="1" w:styleId="A2">
    <w:name w:val="A2"/>
    <w:aliases w:val="1.1 amendment,Instruction amendment"/>
    <w:basedOn w:val="Normal"/>
    <w:next w:val="Normal"/>
    <w:rsid w:val="00AC0395"/>
    <w:pPr>
      <w:tabs>
        <w:tab w:val="right" w:pos="794"/>
      </w:tabs>
      <w:spacing w:before="120" w:line="260" w:lineRule="exact"/>
      <w:ind w:left="964" w:hanging="964"/>
      <w:jc w:val="both"/>
    </w:pPr>
    <w:rPr>
      <w:szCs w:val="24"/>
      <w:lang w:eastAsia="en-US"/>
    </w:rPr>
  </w:style>
  <w:style w:type="character" w:styleId="CommentReference">
    <w:name w:val="annotation reference"/>
    <w:semiHidden/>
    <w:rsid w:val="00CB4EAE"/>
    <w:rPr>
      <w:sz w:val="16"/>
      <w:szCs w:val="16"/>
    </w:rPr>
  </w:style>
  <w:style w:type="paragraph" w:styleId="CommentText">
    <w:name w:val="annotation text"/>
    <w:basedOn w:val="Normal"/>
    <w:semiHidden/>
    <w:rsid w:val="00CB4EAE"/>
    <w:rPr>
      <w:sz w:val="20"/>
    </w:rPr>
  </w:style>
  <w:style w:type="paragraph" w:styleId="CommentSubject">
    <w:name w:val="annotation subject"/>
    <w:basedOn w:val="CommentText"/>
    <w:next w:val="CommentText"/>
    <w:semiHidden/>
    <w:rsid w:val="00CB4EAE"/>
    <w:rPr>
      <w:b/>
      <w:bCs/>
    </w:rPr>
  </w:style>
  <w:style w:type="paragraph" w:customStyle="1" w:styleId="ShortT">
    <w:name w:val="ShortT"/>
    <w:basedOn w:val="Normal"/>
    <w:next w:val="Normal"/>
    <w:qFormat/>
    <w:rsid w:val="00914ECD"/>
    <w:rPr>
      <w:b/>
      <w:sz w:val="40"/>
    </w:rPr>
  </w:style>
  <w:style w:type="character" w:styleId="Emphasis">
    <w:name w:val="Emphasis"/>
    <w:uiPriority w:val="20"/>
    <w:qFormat/>
    <w:rsid w:val="00914ECD"/>
    <w:rPr>
      <w:i/>
      <w:iCs/>
    </w:rPr>
  </w:style>
  <w:style w:type="paragraph" w:styleId="Revision">
    <w:name w:val="Revision"/>
    <w:hidden/>
    <w:uiPriority w:val="99"/>
    <w:semiHidden/>
    <w:rsid w:val="00301B0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86"/>
    <w:rPr>
      <w:sz w:val="24"/>
    </w:rPr>
  </w:style>
  <w:style w:type="paragraph" w:styleId="Heading1">
    <w:name w:val="heading 1"/>
    <w:basedOn w:val="Normal"/>
    <w:next w:val="Normal"/>
    <w:qFormat/>
    <w:rsid w:val="00CB13EF"/>
    <w:pPr>
      <w:keepNext/>
      <w:numPr>
        <w:numId w:val="1"/>
      </w:numPr>
      <w:outlineLvl w:val="0"/>
    </w:pPr>
    <w:rPr>
      <w:b/>
      <w:caps/>
    </w:rPr>
  </w:style>
  <w:style w:type="paragraph" w:styleId="Heading2">
    <w:name w:val="heading 2"/>
    <w:basedOn w:val="Normal"/>
    <w:next w:val="Normal"/>
    <w:qFormat/>
    <w:rsid w:val="00CB13EF"/>
    <w:pPr>
      <w:keepNext/>
      <w:numPr>
        <w:ilvl w:val="1"/>
        <w:numId w:val="1"/>
      </w:numPr>
      <w:spacing w:before="360" w:after="60"/>
      <w:outlineLvl w:val="1"/>
    </w:pPr>
    <w:rPr>
      <w:b/>
    </w:rPr>
  </w:style>
  <w:style w:type="paragraph" w:styleId="Heading6">
    <w:name w:val="heading 6"/>
    <w:basedOn w:val="Normal"/>
    <w:next w:val="Normal"/>
    <w:qFormat/>
    <w:rsid w:val="00CB13EF"/>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1362E"/>
    <w:pPr>
      <w:tabs>
        <w:tab w:val="left" w:pos="7938"/>
      </w:tabs>
      <w:spacing w:line="240" w:lineRule="exact"/>
      <w:ind w:right="91"/>
    </w:pPr>
    <w:rPr>
      <w:i/>
    </w:rPr>
  </w:style>
  <w:style w:type="paragraph" w:styleId="BalloonText">
    <w:name w:val="Balloon Text"/>
    <w:basedOn w:val="Normal"/>
    <w:semiHidden/>
    <w:rsid w:val="0091362E"/>
    <w:rPr>
      <w:rFonts w:ascii="Tahoma" w:hAnsi="Tahoma" w:cs="Tahoma"/>
      <w:sz w:val="16"/>
      <w:szCs w:val="16"/>
    </w:rPr>
  </w:style>
  <w:style w:type="table" w:styleId="TableGrid">
    <w:name w:val="Table Grid"/>
    <w:basedOn w:val="TableNormal"/>
    <w:rsid w:val="00913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362E"/>
    <w:pPr>
      <w:tabs>
        <w:tab w:val="center" w:pos="4320"/>
        <w:tab w:val="right" w:pos="8640"/>
      </w:tabs>
    </w:pPr>
  </w:style>
  <w:style w:type="character" w:styleId="PageNumber">
    <w:name w:val="page number"/>
    <w:basedOn w:val="DefaultParagraphFont"/>
    <w:rsid w:val="0091362E"/>
  </w:style>
  <w:style w:type="paragraph" w:styleId="Footer">
    <w:name w:val="footer"/>
    <w:basedOn w:val="Normal"/>
    <w:rsid w:val="00CB13EF"/>
    <w:pPr>
      <w:tabs>
        <w:tab w:val="center" w:pos="4153"/>
        <w:tab w:val="right" w:pos="8306"/>
      </w:tabs>
      <w:spacing w:before="240"/>
    </w:pPr>
  </w:style>
  <w:style w:type="paragraph" w:customStyle="1" w:styleId="HB-Paragraph">
    <w:name w:val="HB - Paragraph"/>
    <w:basedOn w:val="Normal"/>
    <w:rsid w:val="00CB13EF"/>
    <w:pPr>
      <w:numPr>
        <w:ilvl w:val="2"/>
        <w:numId w:val="1"/>
      </w:numPr>
      <w:spacing w:before="120" w:after="120"/>
    </w:pPr>
  </w:style>
  <w:style w:type="paragraph" w:customStyle="1" w:styleId="A2">
    <w:name w:val="A2"/>
    <w:aliases w:val="1.1 amendment,Instruction amendment"/>
    <w:basedOn w:val="Normal"/>
    <w:next w:val="Normal"/>
    <w:rsid w:val="00AC0395"/>
    <w:pPr>
      <w:tabs>
        <w:tab w:val="right" w:pos="794"/>
      </w:tabs>
      <w:spacing w:before="120" w:line="260" w:lineRule="exact"/>
      <w:ind w:left="964" w:hanging="964"/>
      <w:jc w:val="both"/>
    </w:pPr>
    <w:rPr>
      <w:szCs w:val="24"/>
      <w:lang w:eastAsia="en-US"/>
    </w:rPr>
  </w:style>
  <w:style w:type="character" w:styleId="CommentReference">
    <w:name w:val="annotation reference"/>
    <w:semiHidden/>
    <w:rsid w:val="00CB4EAE"/>
    <w:rPr>
      <w:sz w:val="16"/>
      <w:szCs w:val="16"/>
    </w:rPr>
  </w:style>
  <w:style w:type="paragraph" w:styleId="CommentText">
    <w:name w:val="annotation text"/>
    <w:basedOn w:val="Normal"/>
    <w:semiHidden/>
    <w:rsid w:val="00CB4EAE"/>
    <w:rPr>
      <w:sz w:val="20"/>
    </w:rPr>
  </w:style>
  <w:style w:type="paragraph" w:styleId="CommentSubject">
    <w:name w:val="annotation subject"/>
    <w:basedOn w:val="CommentText"/>
    <w:next w:val="CommentText"/>
    <w:semiHidden/>
    <w:rsid w:val="00CB4EAE"/>
    <w:rPr>
      <w:b/>
      <w:bCs/>
    </w:rPr>
  </w:style>
  <w:style w:type="paragraph" w:customStyle="1" w:styleId="ShortT">
    <w:name w:val="ShortT"/>
    <w:basedOn w:val="Normal"/>
    <w:next w:val="Normal"/>
    <w:qFormat/>
    <w:rsid w:val="00914ECD"/>
    <w:rPr>
      <w:b/>
      <w:sz w:val="40"/>
    </w:rPr>
  </w:style>
  <w:style w:type="character" w:styleId="Emphasis">
    <w:name w:val="Emphasis"/>
    <w:uiPriority w:val="20"/>
    <w:qFormat/>
    <w:rsid w:val="00914ECD"/>
    <w:rPr>
      <w:i/>
      <w:iCs/>
    </w:rPr>
  </w:style>
  <w:style w:type="paragraph" w:styleId="Revision">
    <w:name w:val="Revision"/>
    <w:hidden/>
    <w:uiPriority w:val="99"/>
    <w:semiHidden/>
    <w:rsid w:val="00301B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AB872229E4CCBB4B84F7C903DB30D3E7" ma:contentTypeVersion="4" ma:contentTypeDescription="Create a new Word Document" ma:contentTypeScope="" ma:versionID="1d3035792e8595df7240c16f266678e9">
  <xsd:schema xmlns:xsd="http://www.w3.org/2001/XMLSchema" xmlns:p="http://schemas.microsoft.com/office/2006/metadata/properties" xmlns:ns2="7d1753f3-b6db-484b-93d6-b74f5ca30d2d" targetNamespace="http://schemas.microsoft.com/office/2006/metadata/properties" ma:root="true" ma:fieldsID="7cc1cab08beaf2d4c69429211bb3b9f2" ns2:_="">
    <xsd:import namespace="7d1753f3-b6db-484b-93d6-b74f5ca30d2d"/>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Function xmlns="7d1753f3-b6db-484b-93d6-b74f5ca30d2d">Administration</Function>
    <DocumentDescription xmlns="7d1753f3-b6db-484b-93d6-b74f5ca30d2d" xsi:nil="true"/>
    <RecordNumber xmlns="7d1753f3-b6db-484b-93d6-b74f5ca30d2d">000224450</RecordNumber>
    <Approval xmlns="7d1753f3-b6db-484b-93d6-b74f5ca30d2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F2D7B-B664-411D-9317-0A095D81539A}">
  <ds:schemaRefs>
    <ds:schemaRef ds:uri="http://schemas.microsoft.com/office/2006/metadata/customXsn"/>
  </ds:schemaRefs>
</ds:datastoreItem>
</file>

<file path=customXml/itemProps2.xml><?xml version="1.0" encoding="utf-8"?>
<ds:datastoreItem xmlns:ds="http://schemas.openxmlformats.org/officeDocument/2006/customXml" ds:itemID="{F14A3C0D-2E31-4CC2-9403-91E1C4D5CE0D}">
  <ds:schemaRefs>
    <ds:schemaRef ds:uri="http://schemas.microsoft.com/sharepoint/events"/>
  </ds:schemaRefs>
</ds:datastoreItem>
</file>

<file path=customXml/itemProps3.xml><?xml version="1.0" encoding="utf-8"?>
<ds:datastoreItem xmlns:ds="http://schemas.openxmlformats.org/officeDocument/2006/customXml" ds:itemID="{52C449EE-9520-4BD9-A8C1-510371730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795695-8ED4-4025-82F3-C40AD3B61013}">
  <ds:schemaRefs>
    <ds:schemaRef ds:uri="http://schemas.microsoft.com/office/2006/metadata/properties"/>
    <ds:schemaRef ds:uri="7d1753f3-b6db-484b-93d6-b74f5ca30d2d"/>
  </ds:schemaRefs>
</ds:datastoreItem>
</file>

<file path=customXml/itemProps5.xml><?xml version="1.0" encoding="utf-8"?>
<ds:datastoreItem xmlns:ds="http://schemas.openxmlformats.org/officeDocument/2006/customXml" ds:itemID="{90D9D744-A9D3-4216-856B-228636948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1729</Words>
  <Characters>9420</Characters>
  <Application>Microsoft Office Word</Application>
  <DocSecurity>0</DocSecurity>
  <Lines>324</Lines>
  <Paragraphs>168</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Lloyd</dc:creator>
  <cp:lastModifiedBy>Gibson, Vikki</cp:lastModifiedBy>
  <cp:revision>3</cp:revision>
  <dcterms:created xsi:type="dcterms:W3CDTF">2014-12-09T22:41:00Z</dcterms:created>
  <dcterms:modified xsi:type="dcterms:W3CDTF">2014-12-09T22:42:00Z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0x010100BB2CA5D4910ACE4AADB481B488BD14740100AB872229E4CCBB4B84F7C903DB30D3E7</vt:lpwstr>
  </property>
  <property fmtid="{D5CDD505-2E9C-101B-9397-08002B2CF9AE}" pid="3" name="RecordPoint_SubmissionDate">
    <vt:lpwstr/>
  </property>
  <property fmtid="{D5CDD505-2E9C-101B-9397-08002B2CF9AE}" pid="4" name="RecordPoint_RecordNumberSubmitted">
    <vt:lpwstr>000224450</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RecordFormat">
    <vt:lpwstr/>
  </property>
  <property fmtid="{D5CDD505-2E9C-101B-9397-08002B2CF9AE}" pid="8" name="RecordPoint_SubmissionCompleted">
    <vt:lpwstr>2014-12-09T14:51:40.3082898+11:00</vt:lpwstr>
  </property>
  <property fmtid="{D5CDD505-2E9C-101B-9397-08002B2CF9AE}" pid="9" name="RecordPoint_ActiveItemMoved">
    <vt:lpwstr/>
  </property>
  <property fmtid="{D5CDD505-2E9C-101B-9397-08002B2CF9AE}" pid="10" name="RecordPoint_ActiveItemUniqueId">
    <vt:lpwstr>{b10fe73a-e174-4cca-a530-96fce9364344}</vt:lpwstr>
  </property>
  <property fmtid="{D5CDD505-2E9C-101B-9397-08002B2CF9AE}" pid="11" name="RecordPoint_ActiveItemWebId">
    <vt:lpwstr>{7d1753f3-b6db-484b-93d6-b74f5ca30d2d}</vt:lpwstr>
  </property>
  <property fmtid="{D5CDD505-2E9C-101B-9397-08002B2CF9AE}" pid="12" name="RecordPoint_WorkflowType">
    <vt:lpwstr>ActiveSubmitStub</vt:lpwstr>
  </property>
  <property fmtid="{D5CDD505-2E9C-101B-9397-08002B2CF9AE}" pid="13" name="IconOverlay">
    <vt:lpwstr/>
  </property>
</Properties>
</file>