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B31" w:rsidRPr="008F072C" w:rsidRDefault="00AF0B31" w:rsidP="00AF0B31">
      <w:pPr>
        <w:pStyle w:val="Heading1"/>
        <w:jc w:val="center"/>
        <w:rPr>
          <w:color w:val="000000" w:themeColor="text1"/>
          <w:sz w:val="22"/>
          <w:szCs w:val="22"/>
        </w:rPr>
      </w:pPr>
      <w:r w:rsidRPr="008F072C">
        <w:rPr>
          <w:color w:val="000000" w:themeColor="text1"/>
          <w:sz w:val="22"/>
          <w:szCs w:val="22"/>
        </w:rPr>
        <w:t>EXPLANATORY STATEMENT</w:t>
      </w:r>
    </w:p>
    <w:p w:rsidR="00AF0B31" w:rsidRPr="008F072C" w:rsidRDefault="00AF0B31" w:rsidP="00AC690A">
      <w:pPr>
        <w:pStyle w:val="Heading1"/>
        <w:spacing w:after="120"/>
        <w:jc w:val="center"/>
        <w:rPr>
          <w:b w:val="0"/>
          <w:color w:val="000000" w:themeColor="text1"/>
          <w:sz w:val="22"/>
          <w:szCs w:val="22"/>
        </w:rPr>
      </w:pPr>
      <w:r w:rsidRPr="008F072C">
        <w:rPr>
          <w:b w:val="0"/>
          <w:color w:val="000000" w:themeColor="text1"/>
          <w:sz w:val="22"/>
          <w:szCs w:val="22"/>
        </w:rPr>
        <w:t>Issued by the Authority of the Australian Communications and Media Authority</w:t>
      </w:r>
    </w:p>
    <w:p w:rsidR="00AF2F92" w:rsidRPr="008F072C" w:rsidRDefault="00AF2F92" w:rsidP="00AF2F92">
      <w:pPr>
        <w:spacing w:after="120"/>
        <w:jc w:val="center"/>
        <w:rPr>
          <w:b/>
          <w:bCs/>
          <w:i/>
          <w:color w:val="000000" w:themeColor="text1"/>
          <w:sz w:val="22"/>
          <w:szCs w:val="22"/>
        </w:rPr>
      </w:pPr>
      <w:bookmarkStart w:id="0" w:name="Citation"/>
      <w:r w:rsidRPr="008F072C">
        <w:rPr>
          <w:b/>
          <w:bCs/>
          <w:i/>
          <w:iCs/>
          <w:color w:val="000000" w:themeColor="text1"/>
          <w:sz w:val="22"/>
          <w:szCs w:val="22"/>
        </w:rPr>
        <w:t>Telecommunications (Collection of Numbering Charges) Determination 201</w:t>
      </w:r>
      <w:bookmarkEnd w:id="0"/>
      <w:r w:rsidRPr="008F072C">
        <w:rPr>
          <w:b/>
          <w:bCs/>
          <w:i/>
          <w:iCs/>
          <w:color w:val="000000" w:themeColor="text1"/>
          <w:sz w:val="22"/>
          <w:szCs w:val="22"/>
        </w:rPr>
        <w:t>4</w:t>
      </w:r>
    </w:p>
    <w:p w:rsidR="00AF0B31" w:rsidRPr="008F072C" w:rsidRDefault="00AF0B31" w:rsidP="00AC690A">
      <w:pPr>
        <w:spacing w:after="120"/>
        <w:jc w:val="center"/>
        <w:rPr>
          <w:i/>
          <w:color w:val="000000" w:themeColor="text1"/>
          <w:sz w:val="22"/>
          <w:szCs w:val="22"/>
        </w:rPr>
      </w:pPr>
      <w:r w:rsidRPr="008F072C">
        <w:rPr>
          <w:i/>
          <w:color w:val="000000" w:themeColor="text1"/>
          <w:sz w:val="22"/>
          <w:szCs w:val="22"/>
        </w:rPr>
        <w:t>Telecommunications Act 1997</w:t>
      </w:r>
    </w:p>
    <w:p w:rsidR="00013601" w:rsidRDefault="00C467FD" w:rsidP="00BF391D">
      <w:pPr>
        <w:pStyle w:val="Heading1"/>
        <w:rPr>
          <w:color w:val="000000" w:themeColor="text1"/>
          <w:sz w:val="20"/>
          <w:szCs w:val="20"/>
        </w:rPr>
      </w:pPr>
      <w:r w:rsidRPr="00013601">
        <w:rPr>
          <w:b w:val="0"/>
          <w:color w:val="000000" w:themeColor="text1"/>
          <w:sz w:val="20"/>
          <w:szCs w:val="20"/>
        </w:rPr>
        <w:t>The</w:t>
      </w:r>
      <w:r w:rsidR="00AF0B31" w:rsidRPr="00013601">
        <w:rPr>
          <w:b w:val="0"/>
          <w:color w:val="000000" w:themeColor="text1"/>
          <w:sz w:val="20"/>
          <w:szCs w:val="20"/>
        </w:rPr>
        <w:t xml:space="preserve"> </w:t>
      </w:r>
      <w:r w:rsidR="009B21DB" w:rsidRPr="00013601">
        <w:rPr>
          <w:b w:val="0"/>
          <w:bCs/>
          <w:i/>
          <w:iCs/>
          <w:color w:val="000000" w:themeColor="text1"/>
          <w:sz w:val="20"/>
          <w:szCs w:val="20"/>
        </w:rPr>
        <w:t>Telecommunications (Collection of Numbering Charges) Determination 2014</w:t>
      </w:r>
      <w:r w:rsidR="009B21DB" w:rsidRPr="00013601">
        <w:rPr>
          <w:b w:val="0"/>
          <w:i/>
          <w:color w:val="000000" w:themeColor="text1"/>
          <w:sz w:val="20"/>
          <w:szCs w:val="20"/>
        </w:rPr>
        <w:t xml:space="preserve"> </w:t>
      </w:r>
      <w:r w:rsidR="00AF0B31" w:rsidRPr="00013601">
        <w:rPr>
          <w:b w:val="0"/>
          <w:color w:val="000000" w:themeColor="text1"/>
          <w:sz w:val="20"/>
          <w:szCs w:val="20"/>
        </w:rPr>
        <w:t>(</w:t>
      </w:r>
      <w:r w:rsidR="00AF0B31" w:rsidRPr="00013601">
        <w:rPr>
          <w:color w:val="000000" w:themeColor="text1"/>
          <w:sz w:val="20"/>
          <w:szCs w:val="20"/>
        </w:rPr>
        <w:t xml:space="preserve">the </w:t>
      </w:r>
      <w:r w:rsidR="00E13ED2" w:rsidRPr="00013601">
        <w:rPr>
          <w:color w:val="000000" w:themeColor="text1"/>
          <w:sz w:val="20"/>
          <w:szCs w:val="20"/>
        </w:rPr>
        <w:t>Determination</w:t>
      </w:r>
      <w:r w:rsidR="00AF0B31" w:rsidRPr="00013601">
        <w:rPr>
          <w:b w:val="0"/>
          <w:color w:val="000000" w:themeColor="text1"/>
          <w:sz w:val="20"/>
          <w:szCs w:val="20"/>
        </w:rPr>
        <w:t>)</w:t>
      </w:r>
      <w:r w:rsidR="00C977B5" w:rsidRPr="00013601">
        <w:rPr>
          <w:b w:val="0"/>
          <w:color w:val="000000" w:themeColor="text1"/>
          <w:sz w:val="20"/>
          <w:szCs w:val="20"/>
        </w:rPr>
        <w:t>,</w:t>
      </w:r>
      <w:r w:rsidR="0056310C" w:rsidRPr="00013601">
        <w:rPr>
          <w:b w:val="0"/>
          <w:color w:val="000000" w:themeColor="text1"/>
          <w:sz w:val="20"/>
          <w:szCs w:val="20"/>
        </w:rPr>
        <w:t xml:space="preserve"> </w:t>
      </w:r>
      <w:r w:rsidR="00013601" w:rsidRPr="002D24B7">
        <w:rPr>
          <w:b w:val="0"/>
          <w:color w:val="000000" w:themeColor="text1"/>
          <w:sz w:val="20"/>
          <w:szCs w:val="20"/>
        </w:rPr>
        <w:t>is made by the Australian Communications and Media Authority (</w:t>
      </w:r>
      <w:r w:rsidR="00013601" w:rsidRPr="0069214F">
        <w:rPr>
          <w:color w:val="000000" w:themeColor="text1"/>
          <w:sz w:val="20"/>
          <w:szCs w:val="20"/>
        </w:rPr>
        <w:t>the ACMA</w:t>
      </w:r>
      <w:r w:rsidR="00013601" w:rsidRPr="002D24B7">
        <w:rPr>
          <w:b w:val="0"/>
          <w:color w:val="000000" w:themeColor="text1"/>
          <w:sz w:val="20"/>
          <w:szCs w:val="20"/>
        </w:rPr>
        <w:t>) under subsection</w:t>
      </w:r>
      <w:r w:rsidR="00013601">
        <w:rPr>
          <w:b w:val="0"/>
          <w:color w:val="000000" w:themeColor="text1"/>
          <w:sz w:val="20"/>
          <w:szCs w:val="20"/>
        </w:rPr>
        <w:t>s</w:t>
      </w:r>
      <w:r w:rsidR="00013601" w:rsidRPr="00013601">
        <w:rPr>
          <w:b w:val="0"/>
          <w:color w:val="000000" w:themeColor="text1"/>
          <w:sz w:val="20"/>
          <w:szCs w:val="20"/>
        </w:rPr>
        <w:t xml:space="preserve"> </w:t>
      </w:r>
      <w:r w:rsidR="00013601">
        <w:rPr>
          <w:b w:val="0"/>
          <w:color w:val="000000" w:themeColor="text1"/>
          <w:sz w:val="20"/>
          <w:szCs w:val="20"/>
        </w:rPr>
        <w:t>468(3) and (4) of</w:t>
      </w:r>
      <w:r w:rsidR="0056310C" w:rsidRPr="00013601">
        <w:rPr>
          <w:b w:val="0"/>
          <w:color w:val="000000" w:themeColor="text1"/>
          <w:sz w:val="20"/>
          <w:szCs w:val="20"/>
        </w:rPr>
        <w:t xml:space="preserve"> the </w:t>
      </w:r>
      <w:r w:rsidR="0056310C" w:rsidRPr="00013601">
        <w:rPr>
          <w:b w:val="0"/>
          <w:i/>
          <w:color w:val="000000" w:themeColor="text1"/>
          <w:sz w:val="20"/>
          <w:szCs w:val="20"/>
        </w:rPr>
        <w:t>Telecommunications Act 1997</w:t>
      </w:r>
      <w:r w:rsidR="0056310C" w:rsidRPr="00013601">
        <w:rPr>
          <w:b w:val="0"/>
          <w:color w:val="000000" w:themeColor="text1"/>
          <w:sz w:val="20"/>
          <w:szCs w:val="20"/>
        </w:rPr>
        <w:t xml:space="preserve"> (</w:t>
      </w:r>
      <w:r w:rsidR="0056310C" w:rsidRPr="00013601">
        <w:rPr>
          <w:color w:val="000000" w:themeColor="text1"/>
          <w:sz w:val="20"/>
          <w:szCs w:val="20"/>
        </w:rPr>
        <w:t>the Act</w:t>
      </w:r>
      <w:r w:rsidR="0056310C" w:rsidRPr="00013601">
        <w:rPr>
          <w:b w:val="0"/>
          <w:color w:val="000000" w:themeColor="text1"/>
          <w:sz w:val="20"/>
          <w:szCs w:val="20"/>
        </w:rPr>
        <w:t>)</w:t>
      </w:r>
      <w:r w:rsidR="00013601">
        <w:rPr>
          <w:b w:val="0"/>
          <w:color w:val="000000" w:themeColor="text1"/>
          <w:sz w:val="20"/>
          <w:szCs w:val="20"/>
        </w:rPr>
        <w:t>.</w:t>
      </w:r>
    </w:p>
    <w:p w:rsidR="00CC6C56" w:rsidRPr="007D2794" w:rsidRDefault="00CC6C56" w:rsidP="00CC6C56">
      <w:pPr>
        <w:pStyle w:val="Heading1"/>
        <w:keepNext/>
        <w:rPr>
          <w:color w:val="000000" w:themeColor="text1"/>
          <w:sz w:val="20"/>
          <w:szCs w:val="20"/>
        </w:rPr>
      </w:pPr>
      <w:r w:rsidRPr="007D2794">
        <w:rPr>
          <w:color w:val="000000" w:themeColor="text1"/>
          <w:sz w:val="20"/>
          <w:szCs w:val="20"/>
        </w:rPr>
        <w:t>Background</w:t>
      </w:r>
    </w:p>
    <w:p w:rsidR="00CC6C56" w:rsidRPr="007D2794" w:rsidRDefault="00CC6C56" w:rsidP="00CC6C56">
      <w:pPr>
        <w:pStyle w:val="ACMABodyText"/>
        <w:rPr>
          <w:color w:val="000000" w:themeColor="text1"/>
        </w:rPr>
      </w:pPr>
      <w:r w:rsidRPr="007D2794">
        <w:rPr>
          <w:color w:val="000000" w:themeColor="text1"/>
        </w:rPr>
        <w:t xml:space="preserve">The annual </w:t>
      </w:r>
      <w:r>
        <w:rPr>
          <w:color w:val="000000" w:themeColor="text1"/>
        </w:rPr>
        <w:t xml:space="preserve">numbering </w:t>
      </w:r>
      <w:r w:rsidRPr="007D2794">
        <w:rPr>
          <w:color w:val="000000" w:themeColor="text1"/>
        </w:rPr>
        <w:t xml:space="preserve">charge </w:t>
      </w:r>
      <w:r>
        <w:rPr>
          <w:color w:val="000000" w:themeColor="text1"/>
        </w:rPr>
        <w:t>(</w:t>
      </w:r>
      <w:r w:rsidRPr="0069214F">
        <w:rPr>
          <w:b/>
          <w:color w:val="000000" w:themeColor="text1"/>
        </w:rPr>
        <w:t>ANC</w:t>
      </w:r>
      <w:r>
        <w:rPr>
          <w:color w:val="000000" w:themeColor="text1"/>
        </w:rPr>
        <w:t xml:space="preserve">) </w:t>
      </w:r>
      <w:r w:rsidRPr="007D2794">
        <w:rPr>
          <w:color w:val="000000" w:themeColor="text1"/>
        </w:rPr>
        <w:t xml:space="preserve">is a charge that is </w:t>
      </w:r>
      <w:r w:rsidR="003335EB">
        <w:rPr>
          <w:color w:val="000000" w:themeColor="text1"/>
        </w:rPr>
        <w:t>payable by</w:t>
      </w:r>
      <w:r w:rsidRPr="007D2794">
        <w:rPr>
          <w:color w:val="000000" w:themeColor="text1"/>
        </w:rPr>
        <w:t xml:space="preserve"> carriage service providers (</w:t>
      </w:r>
      <w:r w:rsidRPr="0069214F">
        <w:rPr>
          <w:b/>
          <w:color w:val="000000" w:themeColor="text1"/>
        </w:rPr>
        <w:t>CSPs</w:t>
      </w:r>
      <w:r w:rsidRPr="007D2794">
        <w:rPr>
          <w:color w:val="000000" w:themeColor="text1"/>
        </w:rPr>
        <w:t xml:space="preserve">) on telephone numbers they hold on a specified census date under Part 3 of the </w:t>
      </w:r>
      <w:r w:rsidRPr="007D2794">
        <w:rPr>
          <w:i/>
          <w:color w:val="000000" w:themeColor="text1"/>
        </w:rPr>
        <w:t xml:space="preserve">Telecommunications (Numbering Charges) Act 1997 </w:t>
      </w:r>
      <w:r w:rsidRPr="0069214F">
        <w:rPr>
          <w:color w:val="000000" w:themeColor="text1"/>
        </w:rPr>
        <w:t>(</w:t>
      </w:r>
      <w:r w:rsidRPr="0069214F">
        <w:rPr>
          <w:b/>
          <w:color w:val="000000" w:themeColor="text1"/>
        </w:rPr>
        <w:t>the</w:t>
      </w:r>
      <w:r>
        <w:rPr>
          <w:i/>
          <w:color w:val="000000" w:themeColor="text1"/>
        </w:rPr>
        <w:t xml:space="preserve"> </w:t>
      </w:r>
      <w:r w:rsidRPr="0069214F">
        <w:rPr>
          <w:b/>
          <w:color w:val="000000" w:themeColor="text1"/>
        </w:rPr>
        <w:t>Numbering Charges Act</w:t>
      </w:r>
      <w:r w:rsidRPr="0069214F">
        <w:rPr>
          <w:color w:val="000000" w:themeColor="text1"/>
        </w:rPr>
        <w:t>).</w:t>
      </w:r>
      <w:r w:rsidRPr="007D2794">
        <w:rPr>
          <w:color w:val="000000" w:themeColor="text1"/>
        </w:rPr>
        <w:t xml:space="preserve"> </w:t>
      </w:r>
    </w:p>
    <w:p w:rsidR="00CC6C56" w:rsidRDefault="00CC6C56" w:rsidP="00CC6C56">
      <w:pPr>
        <w:pStyle w:val="ACMABodyText"/>
        <w:rPr>
          <w:color w:val="000000" w:themeColor="text1"/>
        </w:rPr>
      </w:pPr>
      <w:r w:rsidRPr="007D2794">
        <w:rPr>
          <w:color w:val="000000" w:themeColor="text1"/>
        </w:rPr>
        <w:t xml:space="preserve">The purpose of the </w:t>
      </w:r>
      <w:r>
        <w:rPr>
          <w:color w:val="000000" w:themeColor="text1"/>
        </w:rPr>
        <w:t>ANC</w:t>
      </w:r>
      <w:r w:rsidRPr="007D2794">
        <w:rPr>
          <w:color w:val="000000" w:themeColor="text1"/>
        </w:rPr>
        <w:t xml:space="preserve"> is to derive payment to the Commonwealth from CSPs for the use, by them, of telephone numbers (which are regarded as a public resource) to provide commercial services.</w:t>
      </w:r>
      <w:r w:rsidR="00322646">
        <w:rPr>
          <w:color w:val="000000" w:themeColor="text1"/>
        </w:rPr>
        <w:t xml:space="preserve"> The </w:t>
      </w:r>
      <w:r w:rsidR="00322646" w:rsidRPr="0069214F">
        <w:rPr>
          <w:color w:val="000000" w:themeColor="text1"/>
        </w:rPr>
        <w:t>Act sets out the</w:t>
      </w:r>
      <w:r w:rsidR="00322646">
        <w:rPr>
          <w:color w:val="000000" w:themeColor="text1"/>
        </w:rPr>
        <w:t xml:space="preserve"> following payment requirements with respect to the ANC:</w:t>
      </w:r>
    </w:p>
    <w:p w:rsidR="00322646" w:rsidRDefault="00322646" w:rsidP="00BF391D">
      <w:pPr>
        <w:pStyle w:val="ListParagraph"/>
        <w:numPr>
          <w:ilvl w:val="0"/>
          <w:numId w:val="8"/>
        </w:numPr>
        <w:rPr>
          <w:rFonts w:eastAsia="Times New Roman"/>
          <w:color w:val="000000" w:themeColor="text1"/>
          <w:sz w:val="20"/>
          <w:szCs w:val="20"/>
          <w:lang w:eastAsia="en-AU"/>
        </w:rPr>
      </w:pPr>
      <w:r w:rsidRPr="00BF391D">
        <w:rPr>
          <w:rFonts w:eastAsia="Times New Roman"/>
          <w:color w:val="000000" w:themeColor="text1"/>
          <w:sz w:val="20"/>
          <w:szCs w:val="20"/>
          <w:lang w:eastAsia="en-AU"/>
        </w:rPr>
        <w:t>Subsection 468(3) of the Act provides that the annual charge is due and payable at the time ascertained in accordance with a written determination made by the ACMA.</w:t>
      </w:r>
    </w:p>
    <w:p w:rsidR="00322646" w:rsidRDefault="00322646" w:rsidP="00BF391D">
      <w:pPr>
        <w:pStyle w:val="ListParagraph"/>
        <w:numPr>
          <w:ilvl w:val="0"/>
          <w:numId w:val="8"/>
        </w:numPr>
        <w:rPr>
          <w:rFonts w:eastAsia="Times New Roman"/>
          <w:color w:val="000000" w:themeColor="text1"/>
          <w:sz w:val="20"/>
          <w:szCs w:val="20"/>
          <w:lang w:eastAsia="en-AU"/>
        </w:rPr>
      </w:pPr>
      <w:r w:rsidRPr="00BF391D">
        <w:rPr>
          <w:rFonts w:eastAsia="Times New Roman"/>
          <w:color w:val="000000" w:themeColor="text1"/>
          <w:sz w:val="20"/>
          <w:szCs w:val="20"/>
          <w:lang w:eastAsia="en-AU"/>
        </w:rPr>
        <w:t>Subsection 468(4) of the Act provides that the ACMA may by written instrument, determine that if any annual charge payable by a person remains unpaid after the due date, the person is liable to pay a penalty to the Commonwealth.</w:t>
      </w:r>
    </w:p>
    <w:p w:rsidR="00322646" w:rsidRPr="00BF391D" w:rsidRDefault="00322646" w:rsidP="00BF391D">
      <w:pPr>
        <w:pStyle w:val="ListParagraph"/>
        <w:numPr>
          <w:ilvl w:val="0"/>
          <w:numId w:val="8"/>
        </w:numPr>
        <w:rPr>
          <w:color w:val="000000" w:themeColor="text1"/>
          <w:lang w:eastAsia="en-AU"/>
        </w:rPr>
      </w:pPr>
      <w:r w:rsidRPr="00BF391D">
        <w:rPr>
          <w:rFonts w:eastAsia="Times New Roman"/>
          <w:color w:val="000000" w:themeColor="text1"/>
          <w:sz w:val="20"/>
          <w:szCs w:val="20"/>
          <w:lang w:eastAsia="en-AU"/>
        </w:rPr>
        <w:t>Subsection 468(6) provides that a determination may authorise the ACMA to make decisions regarding the remission of the whole or a part of an amount of late payment penalty.</w:t>
      </w:r>
    </w:p>
    <w:p w:rsidR="00CC6C56" w:rsidRDefault="00CC6C56" w:rsidP="00CC6C56">
      <w:pPr>
        <w:rPr>
          <w:rFonts w:eastAsia="Times New Roman"/>
          <w:color w:val="000000" w:themeColor="text1"/>
          <w:sz w:val="20"/>
          <w:szCs w:val="20"/>
          <w:lang w:eastAsia="en-AU"/>
        </w:rPr>
      </w:pPr>
      <w:r w:rsidRPr="007D2794">
        <w:rPr>
          <w:rFonts w:eastAsia="Times New Roman"/>
          <w:color w:val="000000" w:themeColor="text1"/>
          <w:sz w:val="20"/>
          <w:szCs w:val="20"/>
          <w:lang w:eastAsia="en-AU"/>
        </w:rPr>
        <w:t xml:space="preserve">The </w:t>
      </w:r>
      <w:r w:rsidRPr="007D2794">
        <w:rPr>
          <w:rFonts w:eastAsia="Times New Roman"/>
          <w:bCs/>
          <w:i/>
          <w:iCs/>
          <w:color w:val="000000" w:themeColor="text1"/>
          <w:sz w:val="20"/>
          <w:szCs w:val="20"/>
          <w:lang w:val="en-US" w:eastAsia="en-AU"/>
        </w:rPr>
        <w:t xml:space="preserve">Telecommunications (Due Date for Annual Charge) Determination 1999 </w:t>
      </w:r>
      <w:r w:rsidRPr="007D2794">
        <w:rPr>
          <w:rFonts w:eastAsia="Times New Roman"/>
          <w:bCs/>
          <w:color w:val="000000" w:themeColor="text1"/>
          <w:sz w:val="20"/>
          <w:szCs w:val="20"/>
          <w:lang w:eastAsia="en-AU"/>
        </w:rPr>
        <w:t>(</w:t>
      </w:r>
      <w:r w:rsidRPr="007D2794">
        <w:rPr>
          <w:rFonts w:eastAsia="Times New Roman"/>
          <w:b/>
          <w:bCs/>
          <w:color w:val="000000" w:themeColor="text1"/>
          <w:sz w:val="20"/>
          <w:szCs w:val="20"/>
          <w:lang w:eastAsia="en-AU"/>
        </w:rPr>
        <w:t>Due Date Instrument</w:t>
      </w:r>
      <w:r w:rsidRPr="007D2794">
        <w:rPr>
          <w:rFonts w:eastAsia="Times New Roman"/>
          <w:bCs/>
          <w:color w:val="000000" w:themeColor="text1"/>
          <w:sz w:val="20"/>
          <w:szCs w:val="20"/>
          <w:lang w:eastAsia="en-AU"/>
        </w:rPr>
        <w:t>)</w:t>
      </w:r>
      <w:r w:rsidRPr="007D2794">
        <w:rPr>
          <w:rFonts w:eastAsia="Times New Roman"/>
          <w:color w:val="000000" w:themeColor="text1"/>
          <w:sz w:val="20"/>
          <w:szCs w:val="20"/>
          <w:lang w:eastAsia="en-AU"/>
        </w:rPr>
        <w:t xml:space="preserve"> and </w:t>
      </w:r>
      <w:r w:rsidRPr="007D2794">
        <w:rPr>
          <w:rFonts w:eastAsia="Times New Roman"/>
          <w:bCs/>
          <w:i/>
          <w:color w:val="000000" w:themeColor="text1"/>
          <w:sz w:val="20"/>
          <w:szCs w:val="20"/>
          <w:lang w:eastAsia="en-AU"/>
        </w:rPr>
        <w:t xml:space="preserve">Telecommunications (Annual Numbering Charge - Late Payment Penalty) Determination 2000 </w:t>
      </w:r>
      <w:r w:rsidRPr="007D2794">
        <w:rPr>
          <w:rFonts w:eastAsia="Times New Roman"/>
          <w:bCs/>
          <w:color w:val="000000" w:themeColor="text1"/>
          <w:sz w:val="20"/>
          <w:szCs w:val="20"/>
          <w:lang w:eastAsia="en-AU"/>
        </w:rPr>
        <w:t>(</w:t>
      </w:r>
      <w:r w:rsidRPr="007D2794">
        <w:rPr>
          <w:rFonts w:eastAsia="Times New Roman"/>
          <w:b/>
          <w:bCs/>
          <w:color w:val="000000" w:themeColor="text1"/>
          <w:sz w:val="20"/>
          <w:szCs w:val="20"/>
          <w:lang w:eastAsia="en-AU"/>
        </w:rPr>
        <w:t>Late Payment Penalty Instrument</w:t>
      </w:r>
      <w:r w:rsidRPr="007D2794">
        <w:rPr>
          <w:rFonts w:eastAsia="Times New Roman"/>
          <w:bCs/>
          <w:color w:val="000000" w:themeColor="text1"/>
          <w:sz w:val="20"/>
          <w:szCs w:val="20"/>
          <w:lang w:eastAsia="en-AU"/>
        </w:rPr>
        <w:t xml:space="preserve">) (together the </w:t>
      </w:r>
      <w:r w:rsidRPr="007D2794">
        <w:rPr>
          <w:rFonts w:eastAsia="Times New Roman"/>
          <w:b/>
          <w:bCs/>
          <w:color w:val="000000" w:themeColor="text1"/>
          <w:sz w:val="20"/>
          <w:szCs w:val="20"/>
          <w:lang w:eastAsia="en-AU"/>
        </w:rPr>
        <w:t>old instruments</w:t>
      </w:r>
      <w:r w:rsidRPr="007D2794">
        <w:rPr>
          <w:rFonts w:eastAsia="Times New Roman"/>
          <w:bCs/>
          <w:color w:val="000000" w:themeColor="text1"/>
          <w:sz w:val="20"/>
          <w:szCs w:val="20"/>
          <w:lang w:eastAsia="en-AU"/>
        </w:rPr>
        <w:t xml:space="preserve">) </w:t>
      </w:r>
      <w:r w:rsidRPr="007D2794">
        <w:rPr>
          <w:rFonts w:eastAsia="Times New Roman"/>
          <w:color w:val="000000" w:themeColor="text1"/>
          <w:sz w:val="20"/>
          <w:szCs w:val="20"/>
          <w:lang w:eastAsia="en-AU"/>
        </w:rPr>
        <w:t xml:space="preserve">are due to “sunset” (i.e. be automatically repealed) on 1 April 2015 and 1 October 2015 respectively, in accordance with Part 6 of the </w:t>
      </w:r>
      <w:r w:rsidRPr="007D2794">
        <w:rPr>
          <w:rFonts w:eastAsia="Times New Roman"/>
          <w:i/>
          <w:iCs/>
          <w:color w:val="000000" w:themeColor="text1"/>
          <w:sz w:val="20"/>
          <w:szCs w:val="20"/>
          <w:lang w:eastAsia="en-AU"/>
        </w:rPr>
        <w:t>Legislative Instruments Act 2003</w:t>
      </w:r>
      <w:r w:rsidRPr="007D2794">
        <w:rPr>
          <w:rFonts w:eastAsia="Times New Roman"/>
          <w:color w:val="000000" w:themeColor="text1"/>
          <w:sz w:val="20"/>
          <w:szCs w:val="20"/>
          <w:lang w:eastAsia="en-AU"/>
        </w:rPr>
        <w:t xml:space="preserve"> (the </w:t>
      </w:r>
      <w:r w:rsidRPr="007D2794">
        <w:rPr>
          <w:rFonts w:eastAsia="Times New Roman"/>
          <w:b/>
          <w:bCs/>
          <w:color w:val="000000" w:themeColor="text1"/>
          <w:sz w:val="20"/>
          <w:szCs w:val="20"/>
          <w:lang w:eastAsia="en-AU"/>
        </w:rPr>
        <w:t>LIA</w:t>
      </w:r>
      <w:r w:rsidRPr="007D2794">
        <w:rPr>
          <w:rFonts w:eastAsia="Times New Roman"/>
          <w:color w:val="000000" w:themeColor="text1"/>
          <w:sz w:val="20"/>
          <w:szCs w:val="20"/>
          <w:lang w:eastAsia="en-AU"/>
        </w:rPr>
        <w:t>).</w:t>
      </w:r>
    </w:p>
    <w:p w:rsidR="00CC6C56" w:rsidRPr="007D2794" w:rsidRDefault="00CC6C56" w:rsidP="00CC6C56">
      <w:pPr>
        <w:rPr>
          <w:rFonts w:eastAsia="Times New Roman"/>
          <w:i/>
          <w:iCs/>
          <w:color w:val="000000" w:themeColor="text1"/>
          <w:sz w:val="20"/>
          <w:szCs w:val="20"/>
          <w:lang w:eastAsia="en-AU"/>
        </w:rPr>
      </w:pPr>
      <w:r w:rsidRPr="00B37845">
        <w:rPr>
          <w:color w:val="000000" w:themeColor="text1"/>
          <w:sz w:val="20"/>
          <w:szCs w:val="20"/>
        </w:rPr>
        <w:t xml:space="preserve">Subsection 33(3) of the </w:t>
      </w:r>
      <w:r w:rsidRPr="00B37845">
        <w:rPr>
          <w:i/>
          <w:color w:val="000000" w:themeColor="text1"/>
          <w:sz w:val="20"/>
          <w:szCs w:val="20"/>
        </w:rPr>
        <w:t>Acts Interpretation Act 1901</w:t>
      </w:r>
      <w:r w:rsidRPr="00B37845">
        <w:rPr>
          <w:color w:val="000000" w:themeColor="text1"/>
          <w:sz w:val="20"/>
          <w:szCs w:val="20"/>
        </w:rPr>
        <w:t xml:space="preserve"> (the </w:t>
      </w:r>
      <w:r w:rsidRPr="00B37845">
        <w:rPr>
          <w:b/>
          <w:color w:val="000000" w:themeColor="text1"/>
          <w:sz w:val="20"/>
          <w:szCs w:val="20"/>
        </w:rPr>
        <w:t>AIA</w:t>
      </w:r>
      <w:r w:rsidRPr="00B37845">
        <w:rPr>
          <w:color w:val="000000" w:themeColor="text1"/>
          <w:sz w:val="20"/>
          <w:szCs w:val="20"/>
        </w:rPr>
        <w:t xml:space="preserve">) provides that where an Act confers a power to make a legislative instrument, </w:t>
      </w:r>
      <w:r>
        <w:rPr>
          <w:color w:val="000000" w:themeColor="text1"/>
          <w:sz w:val="20"/>
          <w:szCs w:val="20"/>
        </w:rPr>
        <w:t xml:space="preserve">as the Act does in this instance, </w:t>
      </w:r>
      <w:r w:rsidRPr="00B37845">
        <w:rPr>
          <w:color w:val="000000" w:themeColor="text1"/>
          <w:sz w:val="20"/>
          <w:szCs w:val="20"/>
        </w:rPr>
        <w:t>the power shall be construed to include a power exercisable in the like manner and subject to the like conditions (if any) to repeal, rescind, revoke, amend or vary any such instrument. The power to make a written determination under subsection</w:t>
      </w:r>
      <w:r>
        <w:rPr>
          <w:color w:val="000000" w:themeColor="text1"/>
          <w:sz w:val="20"/>
          <w:szCs w:val="20"/>
        </w:rPr>
        <w:t xml:space="preserve">s </w:t>
      </w:r>
      <w:r w:rsidRPr="0069214F">
        <w:rPr>
          <w:color w:val="000000" w:themeColor="text1"/>
          <w:sz w:val="20"/>
          <w:szCs w:val="20"/>
        </w:rPr>
        <w:t>468(3) and (4)</w:t>
      </w:r>
      <w:r w:rsidRPr="00CC6C56">
        <w:rPr>
          <w:b/>
          <w:color w:val="000000" w:themeColor="text1"/>
          <w:sz w:val="20"/>
          <w:szCs w:val="20"/>
        </w:rPr>
        <w:t xml:space="preserve"> </w:t>
      </w:r>
      <w:r w:rsidRPr="00B37845">
        <w:rPr>
          <w:color w:val="000000" w:themeColor="text1"/>
          <w:sz w:val="20"/>
          <w:szCs w:val="20"/>
        </w:rPr>
        <w:t>also includes the power to revoke the old</w:t>
      </w:r>
      <w:r w:rsidRPr="00B37845">
        <w:rPr>
          <w:bCs/>
          <w:color w:val="000000" w:themeColor="text1"/>
          <w:sz w:val="20"/>
          <w:szCs w:val="20"/>
        </w:rPr>
        <w:t xml:space="preserve"> </w:t>
      </w:r>
      <w:r>
        <w:rPr>
          <w:bCs/>
          <w:color w:val="000000" w:themeColor="text1"/>
          <w:sz w:val="20"/>
          <w:szCs w:val="20"/>
        </w:rPr>
        <w:t>i</w:t>
      </w:r>
      <w:r w:rsidRPr="00B37845">
        <w:rPr>
          <w:bCs/>
          <w:color w:val="000000" w:themeColor="text1"/>
          <w:sz w:val="20"/>
          <w:szCs w:val="20"/>
        </w:rPr>
        <w:t>nstrument</w:t>
      </w:r>
      <w:r w:rsidR="003335EB">
        <w:rPr>
          <w:bCs/>
          <w:color w:val="000000" w:themeColor="text1"/>
          <w:sz w:val="20"/>
          <w:szCs w:val="20"/>
        </w:rPr>
        <w:t>s</w:t>
      </w:r>
      <w:r w:rsidRPr="00B37845">
        <w:rPr>
          <w:color w:val="000000" w:themeColor="text1"/>
          <w:sz w:val="20"/>
          <w:szCs w:val="20"/>
        </w:rPr>
        <w:t xml:space="preserve"> on the basis of subsection 33(3) of the AIA.</w:t>
      </w:r>
      <w:r>
        <w:rPr>
          <w:color w:val="000000" w:themeColor="text1"/>
          <w:sz w:val="20"/>
          <w:szCs w:val="20"/>
        </w:rPr>
        <w:t xml:space="preserve"> </w:t>
      </w:r>
      <w:r w:rsidRPr="00B37845">
        <w:rPr>
          <w:rFonts w:eastAsia="Times New Roman"/>
          <w:color w:val="000000" w:themeColor="text1"/>
          <w:sz w:val="20"/>
          <w:szCs w:val="20"/>
          <w:lang w:eastAsia="en-AU"/>
        </w:rPr>
        <w:t>The Determination is a legislative instrument for the purposes of the LIA.</w:t>
      </w:r>
      <w:r w:rsidRPr="007D2794">
        <w:rPr>
          <w:rFonts w:eastAsia="Times New Roman"/>
          <w:iCs/>
          <w:color w:val="000000" w:themeColor="text1"/>
          <w:sz w:val="20"/>
          <w:szCs w:val="20"/>
          <w:lang w:eastAsia="en-AU"/>
        </w:rPr>
        <w:t xml:space="preserve">  </w:t>
      </w:r>
      <w:r>
        <w:rPr>
          <w:rFonts w:eastAsia="Times New Roman"/>
          <w:iCs/>
          <w:color w:val="000000" w:themeColor="text1"/>
          <w:sz w:val="20"/>
          <w:szCs w:val="20"/>
          <w:lang w:eastAsia="en-AU"/>
        </w:rPr>
        <w:t xml:space="preserve"> </w:t>
      </w:r>
    </w:p>
    <w:p w:rsidR="00CC6C56" w:rsidRPr="007D2794" w:rsidRDefault="00CC6C56" w:rsidP="00CC6C56">
      <w:pPr>
        <w:pStyle w:val="ACMABodyText"/>
        <w:rPr>
          <w:color w:val="000000" w:themeColor="text1"/>
        </w:rPr>
      </w:pPr>
      <w:r w:rsidRPr="007D2794">
        <w:rPr>
          <w:color w:val="000000" w:themeColor="text1"/>
        </w:rPr>
        <w:t xml:space="preserve">The Determination </w:t>
      </w:r>
      <w:r w:rsidRPr="007D2794">
        <w:rPr>
          <w:color w:val="000000" w:themeColor="text1"/>
          <w:lang w:val="en-US"/>
        </w:rPr>
        <w:t xml:space="preserve">largely replicates the old </w:t>
      </w:r>
      <w:r w:rsidRPr="007D2794">
        <w:rPr>
          <w:bCs/>
          <w:color w:val="000000" w:themeColor="text1"/>
          <w:lang w:eastAsia="en-AU"/>
        </w:rPr>
        <w:t>instruments</w:t>
      </w:r>
      <w:r w:rsidRPr="007D2794">
        <w:rPr>
          <w:color w:val="000000" w:themeColor="text1"/>
          <w:lang w:val="en-US"/>
        </w:rPr>
        <w:t xml:space="preserve">, with only </w:t>
      </w:r>
      <w:r w:rsidRPr="007D2794">
        <w:rPr>
          <w:color w:val="000000" w:themeColor="text1"/>
        </w:rPr>
        <w:t>minor stylistic and drafting changes that are administrative in nature, including the removal of redundant information.</w:t>
      </w:r>
    </w:p>
    <w:p w:rsidR="00CC6C56" w:rsidRPr="007D2794" w:rsidRDefault="00CC6C56" w:rsidP="00CC6C56">
      <w:pPr>
        <w:pStyle w:val="ACMABodyText"/>
        <w:rPr>
          <w:color w:val="000000" w:themeColor="text1"/>
          <w:lang w:val="en-US"/>
        </w:rPr>
      </w:pPr>
      <w:r w:rsidRPr="007D2794">
        <w:rPr>
          <w:color w:val="000000" w:themeColor="text1"/>
        </w:rPr>
        <w:t xml:space="preserve">Details pertaining to the Determination are set out in </w:t>
      </w:r>
      <w:r w:rsidRPr="007D2794">
        <w:rPr>
          <w:b/>
          <w:bCs/>
          <w:color w:val="000000" w:themeColor="text1"/>
        </w:rPr>
        <w:t>Attachment A.</w:t>
      </w:r>
    </w:p>
    <w:p w:rsidR="00CC6C56" w:rsidRPr="00CC6C56" w:rsidRDefault="00CC6C56" w:rsidP="00BF391D">
      <w:pPr>
        <w:pStyle w:val="Heading1"/>
        <w:spacing w:before="240" w:after="120"/>
        <w:rPr>
          <w:color w:val="000000" w:themeColor="text1"/>
          <w:sz w:val="20"/>
          <w:szCs w:val="20"/>
        </w:rPr>
      </w:pPr>
      <w:r w:rsidRPr="00CC6C56">
        <w:rPr>
          <w:color w:val="000000" w:themeColor="text1"/>
          <w:sz w:val="20"/>
          <w:szCs w:val="20"/>
        </w:rPr>
        <w:t>Purpose</w:t>
      </w:r>
    </w:p>
    <w:p w:rsidR="0056310C" w:rsidRPr="007D2794" w:rsidRDefault="00CC6C56" w:rsidP="00BF391D">
      <w:pPr>
        <w:pStyle w:val="Heading1"/>
        <w:rPr>
          <w:color w:val="000000" w:themeColor="text1"/>
          <w:sz w:val="20"/>
          <w:szCs w:val="20"/>
        </w:rPr>
      </w:pPr>
      <w:r>
        <w:rPr>
          <w:b w:val="0"/>
          <w:color w:val="000000" w:themeColor="text1"/>
          <w:sz w:val="20"/>
          <w:szCs w:val="20"/>
        </w:rPr>
        <w:t>The Determination made under the Act:</w:t>
      </w:r>
    </w:p>
    <w:p w:rsidR="0056310C" w:rsidRPr="007D2794" w:rsidRDefault="00515E1D" w:rsidP="0056310C">
      <w:pPr>
        <w:pStyle w:val="ListParagraph"/>
        <w:numPr>
          <w:ilvl w:val="0"/>
          <w:numId w:val="5"/>
        </w:numPr>
        <w:rPr>
          <w:color w:val="000000" w:themeColor="text1"/>
          <w:sz w:val="20"/>
          <w:szCs w:val="20"/>
        </w:rPr>
      </w:pPr>
      <w:r>
        <w:rPr>
          <w:color w:val="000000" w:themeColor="text1"/>
          <w:sz w:val="20"/>
          <w:szCs w:val="20"/>
        </w:rPr>
        <w:t>d</w:t>
      </w:r>
      <w:r w:rsidRPr="007D2794">
        <w:rPr>
          <w:color w:val="000000" w:themeColor="text1"/>
          <w:sz w:val="20"/>
          <w:szCs w:val="20"/>
        </w:rPr>
        <w:t xml:space="preserve">etermines </w:t>
      </w:r>
      <w:r w:rsidR="0056310C" w:rsidRPr="007D2794">
        <w:rPr>
          <w:color w:val="000000" w:themeColor="text1"/>
          <w:sz w:val="20"/>
          <w:szCs w:val="20"/>
        </w:rPr>
        <w:t xml:space="preserve">the due date for the </w:t>
      </w:r>
      <w:r w:rsidR="00CC6C56">
        <w:rPr>
          <w:color w:val="000000" w:themeColor="text1"/>
          <w:sz w:val="20"/>
          <w:szCs w:val="20"/>
        </w:rPr>
        <w:t xml:space="preserve">ANC </w:t>
      </w:r>
      <w:r w:rsidR="0056310C" w:rsidRPr="007D2794">
        <w:rPr>
          <w:color w:val="000000" w:themeColor="text1"/>
          <w:sz w:val="20"/>
          <w:szCs w:val="20"/>
        </w:rPr>
        <w:t xml:space="preserve">under subsection </w:t>
      </w:r>
      <w:r w:rsidR="009B21DB" w:rsidRPr="007D2794">
        <w:rPr>
          <w:color w:val="000000" w:themeColor="text1"/>
          <w:sz w:val="20"/>
          <w:szCs w:val="20"/>
        </w:rPr>
        <w:t>468</w:t>
      </w:r>
      <w:r w:rsidR="0056310C" w:rsidRPr="007D2794">
        <w:rPr>
          <w:color w:val="000000" w:themeColor="text1"/>
          <w:sz w:val="20"/>
          <w:szCs w:val="20"/>
        </w:rPr>
        <w:t>(3) of the Act</w:t>
      </w:r>
      <w:r w:rsidR="00243F0E" w:rsidRPr="007D2794">
        <w:rPr>
          <w:color w:val="000000" w:themeColor="text1"/>
          <w:sz w:val="20"/>
          <w:szCs w:val="20"/>
        </w:rPr>
        <w:t>;</w:t>
      </w:r>
    </w:p>
    <w:p w:rsidR="00243F0E" w:rsidRPr="007D2794" w:rsidRDefault="00515E1D" w:rsidP="0056310C">
      <w:pPr>
        <w:pStyle w:val="ListParagraph"/>
        <w:numPr>
          <w:ilvl w:val="0"/>
          <w:numId w:val="5"/>
        </w:numPr>
        <w:rPr>
          <w:color w:val="000000" w:themeColor="text1"/>
          <w:sz w:val="20"/>
          <w:szCs w:val="20"/>
        </w:rPr>
      </w:pPr>
      <w:r>
        <w:rPr>
          <w:bCs/>
          <w:color w:val="000000" w:themeColor="text1"/>
          <w:sz w:val="20"/>
          <w:szCs w:val="20"/>
        </w:rPr>
        <w:t>s</w:t>
      </w:r>
      <w:r w:rsidRPr="007D2794">
        <w:rPr>
          <w:bCs/>
          <w:color w:val="000000" w:themeColor="text1"/>
          <w:sz w:val="20"/>
          <w:szCs w:val="20"/>
        </w:rPr>
        <w:t xml:space="preserve">pecifies </w:t>
      </w:r>
      <w:r w:rsidR="0056310C" w:rsidRPr="007D2794">
        <w:rPr>
          <w:bCs/>
          <w:color w:val="000000" w:themeColor="text1"/>
          <w:sz w:val="20"/>
          <w:szCs w:val="20"/>
        </w:rPr>
        <w:t xml:space="preserve">the </w:t>
      </w:r>
      <w:r w:rsidR="00CC6C56">
        <w:rPr>
          <w:bCs/>
          <w:color w:val="000000" w:themeColor="text1"/>
          <w:sz w:val="20"/>
          <w:szCs w:val="20"/>
        </w:rPr>
        <w:t>ANC</w:t>
      </w:r>
      <w:r w:rsidR="0056310C" w:rsidRPr="007D2794">
        <w:rPr>
          <w:bCs/>
          <w:color w:val="000000" w:themeColor="text1"/>
          <w:sz w:val="20"/>
          <w:szCs w:val="20"/>
        </w:rPr>
        <w:t xml:space="preserve"> late payment penalty rate under subsection </w:t>
      </w:r>
      <w:r w:rsidR="009B21DB" w:rsidRPr="007D2794">
        <w:rPr>
          <w:bCs/>
          <w:color w:val="000000" w:themeColor="text1"/>
          <w:sz w:val="20"/>
          <w:szCs w:val="20"/>
        </w:rPr>
        <w:t>468</w:t>
      </w:r>
      <w:r w:rsidR="0056310C" w:rsidRPr="007D2794">
        <w:rPr>
          <w:bCs/>
          <w:color w:val="000000" w:themeColor="text1"/>
          <w:sz w:val="20"/>
          <w:szCs w:val="20"/>
        </w:rPr>
        <w:t>(4) of the Act</w:t>
      </w:r>
      <w:r w:rsidR="00243F0E" w:rsidRPr="007D2794">
        <w:rPr>
          <w:bCs/>
          <w:color w:val="000000" w:themeColor="text1"/>
          <w:sz w:val="20"/>
          <w:szCs w:val="20"/>
        </w:rPr>
        <w:t>;</w:t>
      </w:r>
    </w:p>
    <w:p w:rsidR="0056310C" w:rsidRPr="003335EB" w:rsidRDefault="00515E1D" w:rsidP="0056310C">
      <w:pPr>
        <w:pStyle w:val="ListParagraph"/>
        <w:numPr>
          <w:ilvl w:val="0"/>
          <w:numId w:val="5"/>
        </w:numPr>
        <w:rPr>
          <w:color w:val="000000" w:themeColor="text1"/>
          <w:sz w:val="20"/>
          <w:szCs w:val="20"/>
        </w:rPr>
      </w:pPr>
      <w:r>
        <w:rPr>
          <w:bCs/>
          <w:color w:val="000000" w:themeColor="text1"/>
          <w:sz w:val="20"/>
          <w:szCs w:val="20"/>
        </w:rPr>
        <w:t>a</w:t>
      </w:r>
      <w:r w:rsidRPr="007D2794">
        <w:rPr>
          <w:bCs/>
          <w:color w:val="000000" w:themeColor="text1"/>
          <w:sz w:val="20"/>
          <w:szCs w:val="20"/>
        </w:rPr>
        <w:t xml:space="preserve">uthorises </w:t>
      </w:r>
      <w:r w:rsidR="0056310C" w:rsidRPr="007D2794">
        <w:rPr>
          <w:bCs/>
          <w:color w:val="000000" w:themeColor="text1"/>
          <w:sz w:val="20"/>
          <w:szCs w:val="20"/>
        </w:rPr>
        <w:t xml:space="preserve">the ACMA to make decisions about remission of a </w:t>
      </w:r>
      <w:r w:rsidR="008341D5" w:rsidRPr="007D2794">
        <w:rPr>
          <w:bCs/>
          <w:color w:val="000000" w:themeColor="text1"/>
          <w:sz w:val="20"/>
          <w:szCs w:val="20"/>
        </w:rPr>
        <w:t xml:space="preserve">late payment </w:t>
      </w:r>
      <w:r w:rsidR="0056310C" w:rsidRPr="007D2794">
        <w:rPr>
          <w:bCs/>
          <w:color w:val="000000" w:themeColor="text1"/>
          <w:sz w:val="20"/>
          <w:szCs w:val="20"/>
        </w:rPr>
        <w:t xml:space="preserve">penalty </w:t>
      </w:r>
      <w:r w:rsidR="00793CD4">
        <w:rPr>
          <w:bCs/>
          <w:color w:val="000000" w:themeColor="text1"/>
          <w:sz w:val="20"/>
          <w:szCs w:val="20"/>
        </w:rPr>
        <w:t>as mentioned in</w:t>
      </w:r>
      <w:r w:rsidR="00793CD4" w:rsidRPr="007D2794">
        <w:rPr>
          <w:bCs/>
          <w:color w:val="000000" w:themeColor="text1"/>
          <w:sz w:val="20"/>
          <w:szCs w:val="20"/>
        </w:rPr>
        <w:t xml:space="preserve"> </w:t>
      </w:r>
      <w:r w:rsidR="00992607" w:rsidRPr="007D2794">
        <w:rPr>
          <w:bCs/>
          <w:color w:val="000000" w:themeColor="text1"/>
          <w:sz w:val="20"/>
          <w:szCs w:val="20"/>
        </w:rPr>
        <w:t>sub</w:t>
      </w:r>
      <w:r w:rsidR="0056310C" w:rsidRPr="007D2794">
        <w:rPr>
          <w:bCs/>
          <w:color w:val="000000" w:themeColor="text1"/>
          <w:sz w:val="20"/>
          <w:szCs w:val="20"/>
        </w:rPr>
        <w:t xml:space="preserve">section </w:t>
      </w:r>
      <w:r w:rsidR="009B21DB" w:rsidRPr="007D2794">
        <w:rPr>
          <w:bCs/>
          <w:color w:val="000000" w:themeColor="text1"/>
          <w:sz w:val="20"/>
          <w:szCs w:val="20"/>
        </w:rPr>
        <w:t>468</w:t>
      </w:r>
      <w:r w:rsidR="0056310C" w:rsidRPr="007D2794">
        <w:rPr>
          <w:bCs/>
          <w:color w:val="000000" w:themeColor="text1"/>
          <w:sz w:val="20"/>
          <w:szCs w:val="20"/>
        </w:rPr>
        <w:t>(6) of the Act</w:t>
      </w:r>
      <w:r w:rsidR="00C977B5" w:rsidRPr="007D2794">
        <w:rPr>
          <w:bCs/>
          <w:color w:val="000000" w:themeColor="text1"/>
          <w:sz w:val="20"/>
          <w:szCs w:val="20"/>
        </w:rPr>
        <w:t>; and</w:t>
      </w:r>
    </w:p>
    <w:p w:rsidR="003335EB" w:rsidRPr="003335EB" w:rsidRDefault="00515E1D" w:rsidP="00283BE8">
      <w:pPr>
        <w:pStyle w:val="ListParagraph"/>
        <w:numPr>
          <w:ilvl w:val="0"/>
          <w:numId w:val="5"/>
        </w:numPr>
        <w:rPr>
          <w:color w:val="000000" w:themeColor="text1"/>
          <w:sz w:val="20"/>
          <w:szCs w:val="20"/>
        </w:rPr>
      </w:pPr>
      <w:proofErr w:type="gramStart"/>
      <w:r w:rsidRPr="00283BE8">
        <w:rPr>
          <w:bCs/>
          <w:color w:val="000000" w:themeColor="text1"/>
          <w:sz w:val="20"/>
          <w:szCs w:val="20"/>
        </w:rPr>
        <w:lastRenderedPageBreak/>
        <w:t>establishes</w:t>
      </w:r>
      <w:proofErr w:type="gramEnd"/>
      <w:r w:rsidRPr="00283BE8">
        <w:rPr>
          <w:bCs/>
          <w:color w:val="000000" w:themeColor="text1"/>
          <w:sz w:val="20"/>
          <w:szCs w:val="20"/>
        </w:rPr>
        <w:t xml:space="preserve"> </w:t>
      </w:r>
      <w:r w:rsidR="00C977B5" w:rsidRPr="00283BE8">
        <w:rPr>
          <w:bCs/>
          <w:color w:val="000000" w:themeColor="text1"/>
          <w:sz w:val="20"/>
          <w:szCs w:val="20"/>
        </w:rPr>
        <w:t xml:space="preserve">transitional arrangements </w:t>
      </w:r>
      <w:r w:rsidR="001D5F4A" w:rsidRPr="00283BE8">
        <w:rPr>
          <w:bCs/>
          <w:color w:val="000000" w:themeColor="text1"/>
          <w:sz w:val="20"/>
          <w:szCs w:val="20"/>
        </w:rPr>
        <w:t xml:space="preserve">for </w:t>
      </w:r>
      <w:r w:rsidR="00D43521" w:rsidRPr="00283BE8">
        <w:rPr>
          <w:bCs/>
          <w:color w:val="000000" w:themeColor="text1"/>
          <w:sz w:val="20"/>
          <w:szCs w:val="20"/>
        </w:rPr>
        <w:t xml:space="preserve">any annual charges that remain wholly or partly unpaid </w:t>
      </w:r>
      <w:r w:rsidR="003335EB">
        <w:rPr>
          <w:bCs/>
          <w:color w:val="000000" w:themeColor="text1"/>
          <w:sz w:val="20"/>
          <w:szCs w:val="20"/>
        </w:rPr>
        <w:t>on</w:t>
      </w:r>
      <w:r w:rsidR="00D43521" w:rsidRPr="00283BE8">
        <w:rPr>
          <w:bCs/>
          <w:color w:val="000000" w:themeColor="text1"/>
          <w:sz w:val="20"/>
          <w:szCs w:val="20"/>
        </w:rPr>
        <w:t xml:space="preserve"> the commencement day</w:t>
      </w:r>
      <w:r w:rsidR="00116515" w:rsidRPr="00283BE8">
        <w:rPr>
          <w:bCs/>
          <w:color w:val="000000" w:themeColor="text1"/>
          <w:sz w:val="20"/>
          <w:szCs w:val="20"/>
        </w:rPr>
        <w:t>,</w:t>
      </w:r>
      <w:r w:rsidR="001D5F4A" w:rsidRPr="00283BE8">
        <w:rPr>
          <w:bCs/>
          <w:color w:val="000000" w:themeColor="text1"/>
          <w:sz w:val="20"/>
          <w:szCs w:val="20"/>
        </w:rPr>
        <w:t xml:space="preserve"> and for decisions about applications for remission of a late payment penalty</w:t>
      </w:r>
      <w:r w:rsidR="00C903A7" w:rsidRPr="00283BE8">
        <w:rPr>
          <w:bCs/>
          <w:color w:val="000000" w:themeColor="text1"/>
          <w:sz w:val="20"/>
          <w:szCs w:val="20"/>
        </w:rPr>
        <w:t>,</w:t>
      </w:r>
      <w:r w:rsidR="001D5F4A" w:rsidRPr="00283BE8">
        <w:rPr>
          <w:bCs/>
          <w:color w:val="000000" w:themeColor="text1"/>
          <w:sz w:val="20"/>
          <w:szCs w:val="20"/>
        </w:rPr>
        <w:t xml:space="preserve"> </w:t>
      </w:r>
      <w:r w:rsidR="001433DE" w:rsidRPr="00283BE8">
        <w:rPr>
          <w:bCs/>
          <w:color w:val="000000" w:themeColor="text1"/>
          <w:sz w:val="20"/>
          <w:szCs w:val="20"/>
        </w:rPr>
        <w:t xml:space="preserve">where the application was made </w:t>
      </w:r>
      <w:r w:rsidR="001D5F4A" w:rsidRPr="00283BE8">
        <w:rPr>
          <w:bCs/>
          <w:color w:val="000000" w:themeColor="text1"/>
          <w:sz w:val="20"/>
          <w:szCs w:val="20"/>
        </w:rPr>
        <w:t>before the commencement day</w:t>
      </w:r>
      <w:r w:rsidR="00C977B5" w:rsidRPr="00283BE8">
        <w:rPr>
          <w:bCs/>
          <w:color w:val="000000" w:themeColor="text1"/>
          <w:sz w:val="20"/>
          <w:szCs w:val="20"/>
        </w:rPr>
        <w:t xml:space="preserve">. </w:t>
      </w:r>
    </w:p>
    <w:p w:rsidR="00D51A3E" w:rsidRPr="00283BE8" w:rsidRDefault="00D51A3E" w:rsidP="00283BE8">
      <w:pPr>
        <w:ind w:left="360"/>
        <w:rPr>
          <w:color w:val="000000" w:themeColor="text1"/>
          <w:sz w:val="20"/>
          <w:szCs w:val="20"/>
        </w:rPr>
      </w:pPr>
      <w:r w:rsidRPr="00283BE8">
        <w:rPr>
          <w:rFonts w:eastAsia="Times New Roman"/>
          <w:color w:val="000000" w:themeColor="text1"/>
          <w:sz w:val="20"/>
          <w:szCs w:val="20"/>
          <w:lang w:eastAsia="en-AU"/>
        </w:rPr>
        <w:t xml:space="preserve">Following review, and consultation </w:t>
      </w:r>
      <w:r w:rsidR="00CC6C56" w:rsidRPr="00283BE8">
        <w:rPr>
          <w:rFonts w:eastAsia="Times New Roman"/>
          <w:color w:val="000000" w:themeColor="text1"/>
          <w:sz w:val="20"/>
          <w:szCs w:val="20"/>
          <w:lang w:eastAsia="en-AU"/>
        </w:rPr>
        <w:t>with external stakeholders</w:t>
      </w:r>
      <w:r w:rsidRPr="00283BE8">
        <w:rPr>
          <w:rFonts w:eastAsia="Times New Roman"/>
          <w:color w:val="000000" w:themeColor="text1"/>
          <w:sz w:val="20"/>
          <w:szCs w:val="20"/>
          <w:lang w:eastAsia="en-AU"/>
        </w:rPr>
        <w:t xml:space="preserve">, the ACMA formed the view that the </w:t>
      </w:r>
      <w:r w:rsidR="00013601" w:rsidRPr="00283BE8">
        <w:rPr>
          <w:rFonts w:eastAsia="Times New Roman"/>
          <w:color w:val="000000" w:themeColor="text1"/>
          <w:sz w:val="20"/>
          <w:szCs w:val="20"/>
          <w:lang w:eastAsia="en-AU"/>
        </w:rPr>
        <w:t xml:space="preserve">old </w:t>
      </w:r>
      <w:r w:rsidR="0056310C" w:rsidRPr="00283BE8">
        <w:rPr>
          <w:rFonts w:eastAsia="Times New Roman"/>
          <w:bCs/>
          <w:color w:val="000000" w:themeColor="text1"/>
          <w:sz w:val="20"/>
          <w:szCs w:val="20"/>
          <w:lang w:eastAsia="en-AU"/>
        </w:rPr>
        <w:t>instruments</w:t>
      </w:r>
      <w:r w:rsidR="0056310C" w:rsidRPr="00283BE8">
        <w:rPr>
          <w:rFonts w:eastAsia="Times New Roman"/>
          <w:color w:val="000000" w:themeColor="text1"/>
          <w:sz w:val="20"/>
          <w:szCs w:val="20"/>
          <w:lang w:eastAsia="en-AU"/>
        </w:rPr>
        <w:t xml:space="preserve"> were</w:t>
      </w:r>
      <w:r w:rsidRPr="00283BE8">
        <w:rPr>
          <w:rFonts w:eastAsia="Times New Roman"/>
          <w:color w:val="000000" w:themeColor="text1"/>
          <w:sz w:val="20"/>
          <w:szCs w:val="20"/>
          <w:lang w:eastAsia="en-AU"/>
        </w:rPr>
        <w:t xml:space="preserve"> operating effectively and efficiently, and continue to form a necessary and useful part of the legislative framework.  Accordingly, the ACMA has remade the </w:t>
      </w:r>
      <w:r w:rsidR="00CC6C56" w:rsidRPr="00283BE8">
        <w:rPr>
          <w:rFonts w:eastAsia="Times New Roman"/>
          <w:color w:val="000000" w:themeColor="text1"/>
          <w:sz w:val="20"/>
          <w:szCs w:val="20"/>
          <w:lang w:eastAsia="en-AU"/>
        </w:rPr>
        <w:t xml:space="preserve">old </w:t>
      </w:r>
      <w:r w:rsidR="0056310C" w:rsidRPr="00283BE8">
        <w:rPr>
          <w:rFonts w:eastAsia="Times New Roman"/>
          <w:bCs/>
          <w:color w:val="000000" w:themeColor="text1"/>
          <w:sz w:val="20"/>
          <w:szCs w:val="20"/>
          <w:lang w:eastAsia="en-AU"/>
        </w:rPr>
        <w:t>instruments</w:t>
      </w:r>
      <w:r w:rsidRPr="00283BE8">
        <w:rPr>
          <w:rFonts w:eastAsia="Times New Roman"/>
          <w:color w:val="000000" w:themeColor="text1"/>
          <w:sz w:val="20"/>
          <w:szCs w:val="20"/>
          <w:lang w:eastAsia="en-AU"/>
        </w:rPr>
        <w:t xml:space="preserve"> by making </w:t>
      </w:r>
      <w:r w:rsidR="008341D5" w:rsidRPr="00283BE8">
        <w:rPr>
          <w:rFonts w:eastAsia="Times New Roman"/>
          <w:color w:val="000000" w:themeColor="text1"/>
          <w:sz w:val="20"/>
          <w:szCs w:val="20"/>
          <w:lang w:eastAsia="en-AU"/>
        </w:rPr>
        <w:t xml:space="preserve">a consolidated </w:t>
      </w:r>
      <w:r w:rsidRPr="00283BE8">
        <w:rPr>
          <w:rFonts w:eastAsia="Times New Roman"/>
          <w:color w:val="000000" w:themeColor="text1"/>
          <w:sz w:val="20"/>
          <w:szCs w:val="20"/>
          <w:lang w:eastAsia="en-AU"/>
        </w:rPr>
        <w:t xml:space="preserve">Determination, without any significant changes, </w:t>
      </w:r>
      <w:r w:rsidR="00E24618" w:rsidRPr="00283BE8">
        <w:rPr>
          <w:rFonts w:eastAsia="Times New Roman"/>
          <w:color w:val="000000" w:themeColor="text1"/>
          <w:sz w:val="20"/>
          <w:szCs w:val="20"/>
          <w:lang w:eastAsia="en-AU"/>
        </w:rPr>
        <w:t>in order to preserve</w:t>
      </w:r>
      <w:r w:rsidRPr="00283BE8">
        <w:rPr>
          <w:rFonts w:eastAsia="Times New Roman"/>
          <w:color w:val="000000" w:themeColor="text1"/>
          <w:sz w:val="20"/>
          <w:szCs w:val="20"/>
          <w:lang w:eastAsia="en-AU"/>
        </w:rPr>
        <w:t xml:space="preserve"> </w:t>
      </w:r>
      <w:r w:rsidR="008341D5" w:rsidRPr="00283BE8">
        <w:rPr>
          <w:rFonts w:eastAsia="Times New Roman"/>
          <w:color w:val="000000" w:themeColor="text1"/>
          <w:sz w:val="20"/>
          <w:szCs w:val="20"/>
          <w:lang w:eastAsia="en-AU"/>
        </w:rPr>
        <w:t>the</w:t>
      </w:r>
      <w:r w:rsidRPr="00283BE8">
        <w:rPr>
          <w:rFonts w:eastAsia="Times New Roman"/>
          <w:color w:val="000000" w:themeColor="text1"/>
          <w:sz w:val="20"/>
          <w:szCs w:val="20"/>
          <w:lang w:eastAsia="en-AU"/>
        </w:rPr>
        <w:t xml:space="preserve"> ongoing effect </w:t>
      </w:r>
      <w:r w:rsidR="001D5F4A" w:rsidRPr="00283BE8">
        <w:rPr>
          <w:rFonts w:eastAsia="Times New Roman"/>
          <w:color w:val="000000" w:themeColor="text1"/>
          <w:sz w:val="20"/>
          <w:szCs w:val="20"/>
          <w:lang w:eastAsia="en-AU"/>
        </w:rPr>
        <w:t>of the old instruments</w:t>
      </w:r>
      <w:r w:rsidR="00E24618" w:rsidRPr="00283BE8">
        <w:rPr>
          <w:rFonts w:eastAsia="Times New Roman"/>
          <w:color w:val="000000" w:themeColor="text1"/>
          <w:sz w:val="20"/>
          <w:szCs w:val="20"/>
          <w:lang w:eastAsia="en-AU"/>
        </w:rPr>
        <w:t>.</w:t>
      </w:r>
    </w:p>
    <w:p w:rsidR="00AF0B31" w:rsidRPr="007D2794" w:rsidRDefault="00B22FB1" w:rsidP="006C5DAC">
      <w:pPr>
        <w:pStyle w:val="Heading1"/>
        <w:spacing w:before="240"/>
        <w:rPr>
          <w:color w:val="000000" w:themeColor="text1"/>
          <w:sz w:val="20"/>
          <w:szCs w:val="20"/>
        </w:rPr>
      </w:pPr>
      <w:r w:rsidRPr="007D2794">
        <w:rPr>
          <w:color w:val="000000" w:themeColor="text1"/>
          <w:sz w:val="20"/>
          <w:szCs w:val="20"/>
        </w:rPr>
        <w:t xml:space="preserve">Public </w:t>
      </w:r>
      <w:r w:rsidR="00AF0B31" w:rsidRPr="007D2794">
        <w:rPr>
          <w:color w:val="000000" w:themeColor="text1"/>
          <w:sz w:val="20"/>
          <w:szCs w:val="20"/>
        </w:rPr>
        <w:t xml:space="preserve">Consultation </w:t>
      </w:r>
    </w:p>
    <w:p w:rsidR="00D32F03" w:rsidRPr="007D2794" w:rsidRDefault="00D32F03" w:rsidP="00B22FB1">
      <w:pPr>
        <w:spacing w:before="80" w:after="120" w:line="280" w:lineRule="atLeast"/>
        <w:rPr>
          <w:rFonts w:eastAsia="Times New Roman"/>
          <w:color w:val="000000" w:themeColor="text1"/>
          <w:sz w:val="20"/>
          <w:szCs w:val="20"/>
          <w:lang w:eastAsia="en-AU"/>
        </w:rPr>
      </w:pPr>
      <w:r w:rsidRPr="007D2794">
        <w:rPr>
          <w:rFonts w:eastAsia="Times New Roman"/>
          <w:snapToGrid w:val="0"/>
          <w:color w:val="000000" w:themeColor="text1"/>
          <w:sz w:val="20"/>
          <w:szCs w:val="20"/>
          <w:lang w:eastAsia="en-AU"/>
        </w:rPr>
        <w:t xml:space="preserve">Subsection 17(1) of the LIA requires that, before the ACMA makes a legislative instrument, it must be satisfied that </w:t>
      </w:r>
      <w:r w:rsidR="00515E1D" w:rsidRPr="00515E1D">
        <w:rPr>
          <w:rFonts w:eastAsia="Times New Roman"/>
          <w:snapToGrid w:val="0"/>
          <w:color w:val="000000" w:themeColor="text1"/>
          <w:sz w:val="20"/>
          <w:szCs w:val="20"/>
          <w:lang w:eastAsia="en-AU"/>
        </w:rPr>
        <w:t>any consultation that the ACMA considers is appropriate and reasonably practicable to undertake, has been undertaken</w:t>
      </w:r>
      <w:r w:rsidRPr="007D2794">
        <w:rPr>
          <w:rFonts w:eastAsia="Times New Roman"/>
          <w:snapToGrid w:val="0"/>
          <w:color w:val="000000" w:themeColor="text1"/>
          <w:sz w:val="20"/>
          <w:szCs w:val="20"/>
          <w:lang w:eastAsia="en-AU"/>
        </w:rPr>
        <w:t>.</w:t>
      </w:r>
    </w:p>
    <w:p w:rsidR="00D372E8" w:rsidRPr="007D2794" w:rsidRDefault="00D32F03" w:rsidP="005E470C">
      <w:pPr>
        <w:pStyle w:val="ACMABodyText"/>
        <w:rPr>
          <w:snapToGrid w:val="0"/>
          <w:color w:val="000000" w:themeColor="text1"/>
          <w:lang w:eastAsia="en-AU"/>
        </w:rPr>
      </w:pPr>
      <w:r w:rsidRPr="007D2794">
        <w:rPr>
          <w:snapToGrid w:val="0"/>
          <w:color w:val="000000" w:themeColor="text1"/>
          <w:lang w:eastAsia="en-AU"/>
        </w:rPr>
        <w:t xml:space="preserve">In this case, the ACMA consulted publicly between </w:t>
      </w:r>
      <w:r w:rsidR="00360276" w:rsidRPr="007D2794">
        <w:rPr>
          <w:snapToGrid w:val="0"/>
          <w:color w:val="000000" w:themeColor="text1"/>
          <w:lang w:eastAsia="en-AU"/>
        </w:rPr>
        <w:t>20</w:t>
      </w:r>
      <w:r w:rsidR="007F30C1" w:rsidRPr="007D2794">
        <w:rPr>
          <w:snapToGrid w:val="0"/>
          <w:color w:val="000000" w:themeColor="text1"/>
          <w:lang w:eastAsia="en-AU"/>
        </w:rPr>
        <w:t xml:space="preserve"> May</w:t>
      </w:r>
      <w:r w:rsidR="000C4BD9" w:rsidRPr="007D2794">
        <w:rPr>
          <w:snapToGrid w:val="0"/>
          <w:color w:val="000000" w:themeColor="text1"/>
          <w:lang w:eastAsia="en-AU"/>
        </w:rPr>
        <w:t xml:space="preserve"> 2014 </w:t>
      </w:r>
      <w:r w:rsidRPr="007D2794">
        <w:rPr>
          <w:snapToGrid w:val="0"/>
          <w:color w:val="000000" w:themeColor="text1"/>
          <w:lang w:eastAsia="en-AU"/>
        </w:rPr>
        <w:t xml:space="preserve">and </w:t>
      </w:r>
      <w:r w:rsidR="007F30C1" w:rsidRPr="007D2794">
        <w:rPr>
          <w:snapToGrid w:val="0"/>
          <w:color w:val="000000" w:themeColor="text1"/>
          <w:lang w:eastAsia="en-AU"/>
        </w:rPr>
        <w:t xml:space="preserve">2 July </w:t>
      </w:r>
      <w:r w:rsidR="000C4BD9" w:rsidRPr="007D2794">
        <w:rPr>
          <w:snapToGrid w:val="0"/>
          <w:color w:val="000000" w:themeColor="text1"/>
          <w:lang w:eastAsia="en-AU"/>
        </w:rPr>
        <w:t>2014</w:t>
      </w:r>
      <w:r w:rsidRPr="007D2794">
        <w:rPr>
          <w:snapToGrid w:val="0"/>
          <w:color w:val="000000" w:themeColor="text1"/>
          <w:lang w:eastAsia="en-AU"/>
        </w:rPr>
        <w:t xml:space="preserve"> by means of a consultation paper published on its website. The ACMA also contacted affected stakeholders by email about the proposal on </w:t>
      </w:r>
      <w:r w:rsidR="00B85EAB" w:rsidRPr="007D2794">
        <w:rPr>
          <w:snapToGrid w:val="0"/>
          <w:color w:val="000000" w:themeColor="text1"/>
          <w:lang w:eastAsia="en-AU"/>
        </w:rPr>
        <w:t>20</w:t>
      </w:r>
      <w:r w:rsidR="007F30C1" w:rsidRPr="007D2794">
        <w:rPr>
          <w:snapToGrid w:val="0"/>
          <w:color w:val="000000" w:themeColor="text1"/>
          <w:lang w:eastAsia="en-AU"/>
        </w:rPr>
        <w:t xml:space="preserve"> May </w:t>
      </w:r>
      <w:r w:rsidRPr="007D2794">
        <w:rPr>
          <w:snapToGrid w:val="0"/>
          <w:color w:val="000000" w:themeColor="text1"/>
          <w:lang w:eastAsia="en-AU"/>
        </w:rPr>
        <w:t>2014. Th</w:t>
      </w:r>
      <w:r w:rsidR="000C4BD9" w:rsidRPr="007D2794">
        <w:rPr>
          <w:snapToGrid w:val="0"/>
          <w:color w:val="000000" w:themeColor="text1"/>
          <w:lang w:eastAsia="en-AU"/>
        </w:rPr>
        <w:t xml:space="preserve">e consultation </w:t>
      </w:r>
      <w:r w:rsidRPr="007D2794">
        <w:rPr>
          <w:snapToGrid w:val="0"/>
          <w:color w:val="000000" w:themeColor="text1"/>
          <w:lang w:eastAsia="en-AU"/>
        </w:rPr>
        <w:t xml:space="preserve">paper explained the </w:t>
      </w:r>
      <w:proofErr w:type="spellStart"/>
      <w:r w:rsidRPr="007D2794">
        <w:rPr>
          <w:snapToGrid w:val="0"/>
          <w:color w:val="000000" w:themeColor="text1"/>
          <w:lang w:eastAsia="en-AU"/>
        </w:rPr>
        <w:t>sunsetting</w:t>
      </w:r>
      <w:proofErr w:type="spellEnd"/>
      <w:r w:rsidRPr="007D2794">
        <w:rPr>
          <w:snapToGrid w:val="0"/>
          <w:color w:val="000000" w:themeColor="text1"/>
          <w:lang w:eastAsia="en-AU"/>
        </w:rPr>
        <w:t xml:space="preserve"> process and the ACMA’s preliminary view that the existing arrangements </w:t>
      </w:r>
      <w:r w:rsidR="00E24618" w:rsidRPr="007D2794">
        <w:rPr>
          <w:snapToGrid w:val="0"/>
          <w:color w:val="000000" w:themeColor="text1"/>
          <w:lang w:eastAsia="en-AU"/>
        </w:rPr>
        <w:t>remain relevant</w:t>
      </w:r>
      <w:r w:rsidRPr="007D2794">
        <w:rPr>
          <w:snapToGrid w:val="0"/>
          <w:color w:val="000000" w:themeColor="text1"/>
          <w:lang w:eastAsia="en-AU"/>
        </w:rPr>
        <w:t xml:space="preserve">. Interested parties were invited to comment. </w:t>
      </w:r>
    </w:p>
    <w:p w:rsidR="005E470C" w:rsidRPr="007D2794" w:rsidRDefault="005E470C" w:rsidP="005E470C">
      <w:pPr>
        <w:pStyle w:val="ACMABodyText"/>
        <w:rPr>
          <w:color w:val="000000" w:themeColor="text1"/>
          <w:lang w:val="en-US"/>
        </w:rPr>
      </w:pPr>
      <w:r w:rsidRPr="007D2794">
        <w:rPr>
          <w:color w:val="000000" w:themeColor="text1"/>
          <w:lang w:val="en-US"/>
        </w:rPr>
        <w:t xml:space="preserve">The ACMA received </w:t>
      </w:r>
      <w:r w:rsidR="00DA2B4C" w:rsidRPr="007D2794">
        <w:rPr>
          <w:color w:val="000000" w:themeColor="text1"/>
          <w:lang w:val="en-US"/>
        </w:rPr>
        <w:t>one</w:t>
      </w:r>
      <w:r w:rsidRPr="007D2794">
        <w:rPr>
          <w:color w:val="000000" w:themeColor="text1"/>
          <w:lang w:val="en-US"/>
        </w:rPr>
        <w:t xml:space="preserve"> submission </w:t>
      </w:r>
      <w:r w:rsidR="00AB53E5" w:rsidRPr="007D2794">
        <w:rPr>
          <w:color w:val="000000" w:themeColor="text1"/>
          <w:lang w:val="en-US"/>
        </w:rPr>
        <w:t xml:space="preserve">from Telstra supporting the remaking of the instruments, </w:t>
      </w:r>
      <w:r w:rsidRPr="007D2794">
        <w:rPr>
          <w:color w:val="000000" w:themeColor="text1"/>
          <w:lang w:val="en-US"/>
        </w:rPr>
        <w:t xml:space="preserve">in response to the consultation paper.  </w:t>
      </w:r>
    </w:p>
    <w:p w:rsidR="00AF0B31" w:rsidRPr="007D2794" w:rsidRDefault="00AF0B31" w:rsidP="006C5DAC">
      <w:pPr>
        <w:pStyle w:val="Heading1"/>
        <w:spacing w:before="240"/>
        <w:rPr>
          <w:color w:val="000000" w:themeColor="text1"/>
          <w:sz w:val="20"/>
          <w:szCs w:val="20"/>
        </w:rPr>
      </w:pPr>
      <w:r w:rsidRPr="007D2794">
        <w:rPr>
          <w:color w:val="000000" w:themeColor="text1"/>
          <w:sz w:val="20"/>
          <w:szCs w:val="20"/>
        </w:rPr>
        <w:t>Regulatory Impact</w:t>
      </w:r>
      <w:r w:rsidR="00C05A05" w:rsidRPr="007D2794">
        <w:rPr>
          <w:color w:val="000000" w:themeColor="text1"/>
          <w:sz w:val="20"/>
          <w:szCs w:val="20"/>
        </w:rPr>
        <w:t xml:space="preserve"> Statement</w:t>
      </w:r>
    </w:p>
    <w:p w:rsidR="00AF0B31" w:rsidRPr="007D2794" w:rsidRDefault="003B249A" w:rsidP="00AF0B31">
      <w:pPr>
        <w:rPr>
          <w:snapToGrid w:val="0"/>
          <w:color w:val="000000" w:themeColor="text1"/>
          <w:sz w:val="20"/>
          <w:szCs w:val="20"/>
        </w:rPr>
      </w:pPr>
      <w:r w:rsidRPr="007D2794">
        <w:rPr>
          <w:snapToGrid w:val="0"/>
          <w:color w:val="000000" w:themeColor="text1"/>
          <w:sz w:val="20"/>
          <w:szCs w:val="20"/>
        </w:rPr>
        <w:t>The</w:t>
      </w:r>
      <w:r w:rsidR="00D51A3E" w:rsidRPr="007D2794">
        <w:rPr>
          <w:snapToGrid w:val="0"/>
          <w:color w:val="000000" w:themeColor="text1"/>
          <w:sz w:val="20"/>
          <w:szCs w:val="20"/>
        </w:rPr>
        <w:t xml:space="preserve"> ACMA determined that the </w:t>
      </w:r>
      <w:r w:rsidR="00E24618" w:rsidRPr="007D2794">
        <w:rPr>
          <w:color w:val="000000" w:themeColor="text1"/>
          <w:sz w:val="20"/>
          <w:szCs w:val="20"/>
        </w:rPr>
        <w:t xml:space="preserve">existing </w:t>
      </w:r>
      <w:r w:rsidR="005E2D70" w:rsidRPr="007D2794">
        <w:rPr>
          <w:rFonts w:eastAsia="Times New Roman"/>
          <w:bCs/>
          <w:color w:val="000000" w:themeColor="text1"/>
          <w:sz w:val="20"/>
          <w:szCs w:val="20"/>
          <w:lang w:eastAsia="en-AU"/>
        </w:rPr>
        <w:t>instruments</w:t>
      </w:r>
      <w:r w:rsidR="005E2D70" w:rsidRPr="007D2794">
        <w:rPr>
          <w:bCs/>
          <w:color w:val="000000" w:themeColor="text1"/>
          <w:sz w:val="20"/>
          <w:szCs w:val="20"/>
          <w:lang w:eastAsia="en-AU"/>
        </w:rPr>
        <w:t xml:space="preserve"> were</w:t>
      </w:r>
      <w:r w:rsidR="00D51A3E" w:rsidRPr="007D2794">
        <w:rPr>
          <w:snapToGrid w:val="0"/>
          <w:color w:val="000000" w:themeColor="text1"/>
          <w:sz w:val="20"/>
          <w:szCs w:val="20"/>
        </w:rPr>
        <w:t xml:space="preserve"> </w:t>
      </w:r>
      <w:r w:rsidR="00515E1D">
        <w:rPr>
          <w:snapToGrid w:val="0"/>
          <w:color w:val="000000" w:themeColor="text1"/>
          <w:sz w:val="20"/>
          <w:szCs w:val="20"/>
        </w:rPr>
        <w:t>operating efficiently and effectively</w:t>
      </w:r>
      <w:r w:rsidR="00D51A3E" w:rsidRPr="007D2794">
        <w:rPr>
          <w:snapToGrid w:val="0"/>
          <w:color w:val="000000" w:themeColor="text1"/>
          <w:sz w:val="20"/>
          <w:szCs w:val="20"/>
        </w:rPr>
        <w:t>, and should be remade without any significant changes</w:t>
      </w:r>
      <w:r w:rsidR="000127C4" w:rsidRPr="007D2794">
        <w:rPr>
          <w:snapToGrid w:val="0"/>
          <w:color w:val="000000" w:themeColor="text1"/>
          <w:sz w:val="20"/>
          <w:szCs w:val="20"/>
        </w:rPr>
        <w:t>.</w:t>
      </w:r>
      <w:r w:rsidRPr="007D2794">
        <w:rPr>
          <w:snapToGrid w:val="0"/>
          <w:color w:val="000000" w:themeColor="text1"/>
          <w:sz w:val="20"/>
          <w:szCs w:val="20"/>
        </w:rPr>
        <w:t xml:space="preserve"> Accordingly, the ACMA</w:t>
      </w:r>
      <w:r w:rsidR="00D51A3E" w:rsidRPr="007D2794">
        <w:rPr>
          <w:snapToGrid w:val="0"/>
          <w:color w:val="000000" w:themeColor="text1"/>
          <w:sz w:val="20"/>
          <w:szCs w:val="20"/>
        </w:rPr>
        <w:t xml:space="preserve"> has certified those matters to </w:t>
      </w:r>
      <w:r w:rsidR="008D7D40" w:rsidRPr="007D2794">
        <w:rPr>
          <w:snapToGrid w:val="0"/>
          <w:color w:val="000000" w:themeColor="text1"/>
          <w:sz w:val="20"/>
          <w:szCs w:val="20"/>
        </w:rPr>
        <w:t>the Office of Best Practice Regulation (</w:t>
      </w:r>
      <w:r w:rsidR="008D7D40" w:rsidRPr="007D2794">
        <w:rPr>
          <w:b/>
          <w:snapToGrid w:val="0"/>
          <w:color w:val="000000" w:themeColor="text1"/>
          <w:sz w:val="20"/>
          <w:szCs w:val="20"/>
        </w:rPr>
        <w:t>OBPR</w:t>
      </w:r>
      <w:r w:rsidR="008D7D40" w:rsidRPr="007D2794">
        <w:rPr>
          <w:snapToGrid w:val="0"/>
          <w:color w:val="000000" w:themeColor="text1"/>
          <w:sz w:val="20"/>
          <w:szCs w:val="20"/>
        </w:rPr>
        <w:t>)</w:t>
      </w:r>
      <w:r w:rsidR="00D51A3E" w:rsidRPr="007D2794">
        <w:rPr>
          <w:snapToGrid w:val="0"/>
          <w:color w:val="000000" w:themeColor="text1"/>
          <w:sz w:val="20"/>
          <w:szCs w:val="20"/>
        </w:rPr>
        <w:t xml:space="preserve">, </w:t>
      </w:r>
      <w:r w:rsidRPr="007D2794">
        <w:rPr>
          <w:snapToGrid w:val="0"/>
          <w:color w:val="000000" w:themeColor="text1"/>
          <w:sz w:val="20"/>
          <w:szCs w:val="20"/>
        </w:rPr>
        <w:t xml:space="preserve">and </w:t>
      </w:r>
      <w:r w:rsidR="00D51A3E" w:rsidRPr="007D2794">
        <w:rPr>
          <w:snapToGrid w:val="0"/>
          <w:color w:val="000000" w:themeColor="text1"/>
          <w:sz w:val="20"/>
          <w:szCs w:val="20"/>
        </w:rPr>
        <w:t>no Regulation Impact Statement (</w:t>
      </w:r>
      <w:r w:rsidR="00D51A3E" w:rsidRPr="007D2794">
        <w:rPr>
          <w:b/>
          <w:snapToGrid w:val="0"/>
          <w:color w:val="000000" w:themeColor="text1"/>
          <w:sz w:val="20"/>
          <w:szCs w:val="20"/>
        </w:rPr>
        <w:t>RIS</w:t>
      </w:r>
      <w:r w:rsidR="00D51A3E" w:rsidRPr="007D2794">
        <w:rPr>
          <w:snapToGrid w:val="0"/>
          <w:color w:val="000000" w:themeColor="text1"/>
          <w:sz w:val="20"/>
          <w:szCs w:val="20"/>
        </w:rPr>
        <w:t>) is required</w:t>
      </w:r>
      <w:r w:rsidRPr="007D2794">
        <w:rPr>
          <w:snapToGrid w:val="0"/>
          <w:color w:val="000000" w:themeColor="text1"/>
          <w:sz w:val="20"/>
          <w:szCs w:val="20"/>
        </w:rPr>
        <w:t>.</w:t>
      </w:r>
      <w:r w:rsidR="00D51A3E" w:rsidRPr="007D2794">
        <w:rPr>
          <w:snapToGrid w:val="0"/>
          <w:color w:val="000000" w:themeColor="text1"/>
          <w:sz w:val="20"/>
          <w:szCs w:val="20"/>
        </w:rPr>
        <w:t xml:space="preserve"> </w:t>
      </w:r>
      <w:r w:rsidR="00B22FB1" w:rsidRPr="007D2794">
        <w:rPr>
          <w:snapToGrid w:val="0"/>
          <w:color w:val="000000" w:themeColor="text1"/>
          <w:sz w:val="20"/>
          <w:szCs w:val="20"/>
        </w:rPr>
        <w:t>The</w:t>
      </w:r>
      <w:r w:rsidR="00D51A3E" w:rsidRPr="007D2794">
        <w:rPr>
          <w:snapToGrid w:val="0"/>
          <w:color w:val="000000" w:themeColor="text1"/>
          <w:sz w:val="20"/>
          <w:szCs w:val="20"/>
        </w:rPr>
        <w:t xml:space="preserve"> OBPR </w:t>
      </w:r>
      <w:r w:rsidR="00B22FB1" w:rsidRPr="007D2794">
        <w:rPr>
          <w:snapToGrid w:val="0"/>
          <w:color w:val="000000" w:themeColor="text1"/>
          <w:sz w:val="20"/>
          <w:szCs w:val="20"/>
        </w:rPr>
        <w:t>r</w:t>
      </w:r>
      <w:r w:rsidR="00D51A3E" w:rsidRPr="007D2794">
        <w:rPr>
          <w:snapToGrid w:val="0"/>
          <w:color w:val="000000" w:themeColor="text1"/>
          <w:sz w:val="20"/>
          <w:szCs w:val="20"/>
        </w:rPr>
        <w:t>eference</w:t>
      </w:r>
      <w:r w:rsidR="00B22FB1" w:rsidRPr="007D2794">
        <w:rPr>
          <w:snapToGrid w:val="0"/>
          <w:color w:val="000000" w:themeColor="text1"/>
          <w:sz w:val="20"/>
          <w:szCs w:val="20"/>
        </w:rPr>
        <w:t xml:space="preserve"> number is </w:t>
      </w:r>
      <w:r w:rsidR="001F05ED" w:rsidRPr="007D2794">
        <w:rPr>
          <w:snapToGrid w:val="0"/>
          <w:color w:val="000000" w:themeColor="text1"/>
          <w:sz w:val="20"/>
          <w:szCs w:val="20"/>
        </w:rPr>
        <w:t>16688</w:t>
      </w:r>
      <w:r w:rsidR="00D51A3E" w:rsidRPr="007D2794">
        <w:rPr>
          <w:snapToGrid w:val="0"/>
          <w:color w:val="000000" w:themeColor="text1"/>
          <w:sz w:val="20"/>
          <w:szCs w:val="20"/>
        </w:rPr>
        <w:t>.</w:t>
      </w:r>
    </w:p>
    <w:p w:rsidR="00222FEF" w:rsidRPr="007D2794" w:rsidRDefault="00222FEF" w:rsidP="006C5DAC">
      <w:pPr>
        <w:pStyle w:val="Heading1"/>
        <w:spacing w:before="240"/>
        <w:rPr>
          <w:color w:val="000000" w:themeColor="text1"/>
          <w:sz w:val="20"/>
          <w:szCs w:val="20"/>
        </w:rPr>
      </w:pPr>
      <w:r w:rsidRPr="007D2794">
        <w:rPr>
          <w:color w:val="000000" w:themeColor="text1"/>
          <w:sz w:val="20"/>
          <w:szCs w:val="20"/>
        </w:rPr>
        <w:t>Statement of Compatibility with Human Rights</w:t>
      </w:r>
    </w:p>
    <w:p w:rsidR="00A01F1E" w:rsidRPr="00BF391D" w:rsidRDefault="00A01F1E" w:rsidP="00A01F1E">
      <w:pPr>
        <w:pStyle w:val="Heading1"/>
        <w:spacing w:before="240"/>
        <w:rPr>
          <w:rFonts w:eastAsia="Times New Roman"/>
          <w:b w:val="0"/>
          <w:color w:val="000000" w:themeColor="text1"/>
          <w:sz w:val="20"/>
          <w:szCs w:val="20"/>
          <w:lang w:eastAsia="en-AU"/>
        </w:rPr>
      </w:pPr>
      <w:r w:rsidRPr="00BF391D">
        <w:rPr>
          <w:rFonts w:eastAsia="Times New Roman"/>
          <w:b w:val="0"/>
          <w:color w:val="000000" w:themeColor="text1"/>
          <w:sz w:val="20"/>
          <w:szCs w:val="20"/>
          <w:lang w:eastAsia="en-AU"/>
        </w:rPr>
        <w:t xml:space="preserve">Subsection 9(1) of the </w:t>
      </w:r>
      <w:r w:rsidRPr="00BF391D">
        <w:rPr>
          <w:rFonts w:eastAsia="Times New Roman"/>
          <w:b w:val="0"/>
          <w:i/>
          <w:iCs/>
          <w:color w:val="000000" w:themeColor="text1"/>
          <w:sz w:val="20"/>
          <w:szCs w:val="20"/>
          <w:lang w:eastAsia="en-AU"/>
        </w:rPr>
        <w:t>Human Rights (Parliamentary Scrutiny) Act 2011</w:t>
      </w:r>
      <w:r w:rsidRPr="00BF391D">
        <w:rPr>
          <w:rFonts w:eastAsia="Times New Roman"/>
          <w:b w:val="0"/>
          <w:color w:val="000000" w:themeColor="text1"/>
          <w:sz w:val="20"/>
          <w:szCs w:val="20"/>
          <w:lang w:eastAsia="en-AU"/>
        </w:rPr>
        <w:t xml:space="preserve"> requires the rule maker in relation to a legislative instrument to which section 42 (disallowance) of the LIA</w:t>
      </w:r>
      <w:r w:rsidRPr="00BF391D">
        <w:rPr>
          <w:rFonts w:eastAsia="Times New Roman"/>
          <w:b w:val="0"/>
          <w:i/>
          <w:iCs/>
          <w:color w:val="000000" w:themeColor="text1"/>
          <w:sz w:val="20"/>
          <w:szCs w:val="20"/>
          <w:lang w:eastAsia="en-AU"/>
        </w:rPr>
        <w:t xml:space="preserve"> </w:t>
      </w:r>
      <w:r w:rsidRPr="00BF391D">
        <w:rPr>
          <w:rFonts w:eastAsia="Times New Roman"/>
          <w:b w:val="0"/>
          <w:color w:val="000000" w:themeColor="text1"/>
          <w:sz w:val="20"/>
          <w:szCs w:val="20"/>
          <w:lang w:eastAsia="en-AU"/>
        </w:rPr>
        <w:t xml:space="preserve">applies to cause a statement of compatibility to be prepared in respect of that legislative instrument. </w:t>
      </w:r>
    </w:p>
    <w:p w:rsidR="00A01F1E" w:rsidRDefault="00A01F1E" w:rsidP="00A01F1E">
      <w:pPr>
        <w:pStyle w:val="Heading1"/>
        <w:spacing w:before="240"/>
        <w:rPr>
          <w:rFonts w:eastAsia="Times New Roman"/>
          <w:b w:val="0"/>
          <w:color w:val="000000" w:themeColor="text1"/>
          <w:sz w:val="20"/>
          <w:szCs w:val="20"/>
          <w:lang w:eastAsia="en-AU"/>
        </w:rPr>
      </w:pPr>
      <w:r w:rsidRPr="00BF391D">
        <w:rPr>
          <w:rFonts w:eastAsia="Times New Roman"/>
          <w:b w:val="0"/>
          <w:color w:val="000000" w:themeColor="text1"/>
          <w:sz w:val="20"/>
          <w:szCs w:val="20"/>
          <w:lang w:eastAsia="en-AU"/>
        </w:rPr>
        <w:t xml:space="preserve">This statement has been prepared in accordance with Part 3 of the </w:t>
      </w:r>
      <w:r w:rsidRPr="00BF391D">
        <w:rPr>
          <w:rFonts w:eastAsia="Times New Roman"/>
          <w:b w:val="0"/>
          <w:i/>
          <w:iCs/>
          <w:color w:val="000000" w:themeColor="text1"/>
          <w:sz w:val="20"/>
          <w:szCs w:val="20"/>
          <w:lang w:eastAsia="en-AU"/>
        </w:rPr>
        <w:t>Human Rights (Parliamentary Scrutiny) Act 2011</w:t>
      </w:r>
      <w:r w:rsidRPr="00BF391D">
        <w:rPr>
          <w:rFonts w:eastAsia="Times New Roman"/>
          <w:b w:val="0"/>
          <w:color w:val="000000" w:themeColor="text1"/>
          <w:sz w:val="20"/>
          <w:szCs w:val="20"/>
          <w:lang w:eastAsia="en-AU"/>
        </w:rPr>
        <w:t>.</w:t>
      </w:r>
    </w:p>
    <w:p w:rsidR="00A01F1E" w:rsidRDefault="00AD0E19" w:rsidP="00A01F1E">
      <w:pPr>
        <w:pStyle w:val="ListParagraph"/>
        <w:ind w:left="0"/>
        <w:rPr>
          <w:rFonts w:eastAsia="Times New Roman"/>
          <w:color w:val="000000" w:themeColor="text1"/>
          <w:sz w:val="20"/>
          <w:szCs w:val="20"/>
          <w:lang w:eastAsia="en-AU"/>
        </w:rPr>
      </w:pPr>
      <w:r>
        <w:rPr>
          <w:rFonts w:eastAsia="Times New Roman"/>
          <w:color w:val="000000" w:themeColor="text1"/>
          <w:sz w:val="20"/>
          <w:szCs w:val="20"/>
          <w:lang w:eastAsia="en-AU"/>
        </w:rPr>
        <w:t xml:space="preserve">The Determination sets a due date for payment of the ANC; specifies the rate of late payment penalty applicable in relation to the ANC; and authorises the ACMA to make decisions about the remission of late penalty.  </w:t>
      </w:r>
      <w:r w:rsidR="00A01F1E" w:rsidRPr="008F072C">
        <w:rPr>
          <w:rFonts w:eastAsia="Times New Roman"/>
          <w:color w:val="000000" w:themeColor="text1"/>
          <w:sz w:val="20"/>
          <w:szCs w:val="20"/>
          <w:lang w:eastAsia="en-AU"/>
        </w:rPr>
        <w:t>The Determination replace</w:t>
      </w:r>
      <w:r>
        <w:rPr>
          <w:rFonts w:eastAsia="Times New Roman"/>
          <w:color w:val="000000" w:themeColor="text1"/>
          <w:sz w:val="20"/>
          <w:szCs w:val="20"/>
          <w:lang w:eastAsia="en-AU"/>
        </w:rPr>
        <w:t>s</w:t>
      </w:r>
      <w:r w:rsidR="00A01F1E" w:rsidRPr="008F072C">
        <w:rPr>
          <w:rFonts w:eastAsia="Times New Roman"/>
          <w:color w:val="000000" w:themeColor="text1"/>
          <w:sz w:val="20"/>
          <w:szCs w:val="20"/>
          <w:lang w:eastAsia="en-AU"/>
        </w:rPr>
        <w:t xml:space="preserve"> the </w:t>
      </w:r>
      <w:r w:rsidR="00A01F1E" w:rsidRPr="008F072C">
        <w:rPr>
          <w:rFonts w:eastAsia="Times New Roman"/>
          <w:bCs/>
          <w:i/>
          <w:iCs/>
          <w:color w:val="000000" w:themeColor="text1"/>
          <w:sz w:val="20"/>
          <w:szCs w:val="20"/>
          <w:lang w:val="en-US" w:eastAsia="en-AU"/>
        </w:rPr>
        <w:t>Telecommunications (Due Date for Annual Charge) Determination 1999</w:t>
      </w:r>
      <w:r w:rsidR="00A01F1E" w:rsidRPr="008F072C">
        <w:rPr>
          <w:rFonts w:eastAsia="Times New Roman"/>
          <w:color w:val="000000" w:themeColor="text1"/>
          <w:sz w:val="20"/>
          <w:szCs w:val="20"/>
          <w:lang w:eastAsia="en-AU"/>
        </w:rPr>
        <w:t xml:space="preserve"> and the </w:t>
      </w:r>
      <w:r w:rsidR="00A01F1E" w:rsidRPr="008F072C">
        <w:rPr>
          <w:rFonts w:eastAsia="Times New Roman"/>
          <w:bCs/>
          <w:i/>
          <w:color w:val="000000" w:themeColor="text1"/>
          <w:sz w:val="20"/>
          <w:szCs w:val="20"/>
          <w:lang w:eastAsia="en-AU"/>
        </w:rPr>
        <w:t>Telecommunications (Annual Numbering Charge - Late Payment Penalty) Determination 2000</w:t>
      </w:r>
      <w:r w:rsidR="00A01F1E" w:rsidRPr="008F072C">
        <w:rPr>
          <w:rFonts w:eastAsia="Times New Roman"/>
          <w:bCs/>
          <w:color w:val="000000" w:themeColor="text1"/>
          <w:sz w:val="20"/>
          <w:szCs w:val="20"/>
          <w:lang w:eastAsia="en-AU"/>
        </w:rPr>
        <w:t xml:space="preserve">, which </w:t>
      </w:r>
      <w:r w:rsidR="00A01F1E" w:rsidRPr="008F072C">
        <w:rPr>
          <w:rFonts w:eastAsia="Times New Roman"/>
          <w:color w:val="000000" w:themeColor="text1"/>
          <w:sz w:val="20"/>
          <w:szCs w:val="20"/>
          <w:lang w:eastAsia="en-AU"/>
        </w:rPr>
        <w:t>are due to be automatically repealed on 1 April 2015 and 1 October 2015 respectively.</w:t>
      </w:r>
      <w:r>
        <w:rPr>
          <w:rFonts w:eastAsia="Times New Roman"/>
          <w:color w:val="000000" w:themeColor="text1"/>
          <w:sz w:val="20"/>
          <w:szCs w:val="20"/>
          <w:lang w:eastAsia="en-AU"/>
        </w:rPr>
        <w:t xml:space="preserve">  The Determination includes transitional arrangements in recognition of the fact that these old instruments are being replaced.</w:t>
      </w:r>
      <w:r w:rsidR="00A01F1E">
        <w:rPr>
          <w:rFonts w:eastAsia="Times New Roman"/>
          <w:color w:val="000000" w:themeColor="text1"/>
          <w:sz w:val="20"/>
          <w:szCs w:val="20"/>
          <w:lang w:eastAsia="en-AU"/>
        </w:rPr>
        <w:t xml:space="preserve">  </w:t>
      </w:r>
    </w:p>
    <w:p w:rsidR="00A01F1E" w:rsidRPr="00BF391D" w:rsidRDefault="00A01F1E" w:rsidP="00BF391D">
      <w:pPr>
        <w:pStyle w:val="Heading1"/>
        <w:spacing w:before="240"/>
        <w:rPr>
          <w:rFonts w:eastAsia="Times New Roman"/>
          <w:b w:val="0"/>
          <w:color w:val="000000" w:themeColor="text1"/>
          <w:sz w:val="20"/>
          <w:szCs w:val="20"/>
          <w:lang w:eastAsia="en-AU"/>
        </w:rPr>
      </w:pPr>
      <w:r w:rsidRPr="00BF391D">
        <w:rPr>
          <w:rFonts w:eastAsia="Times New Roman"/>
          <w:b w:val="0"/>
          <w:color w:val="000000" w:themeColor="text1"/>
          <w:sz w:val="20"/>
          <w:szCs w:val="20"/>
          <w:lang w:eastAsia="en-AU"/>
        </w:rPr>
        <w:t xml:space="preserve">The ACMA has considered whether the </w:t>
      </w:r>
      <w:r>
        <w:rPr>
          <w:rFonts w:eastAsia="Times New Roman"/>
          <w:b w:val="0"/>
          <w:color w:val="000000" w:themeColor="text1"/>
          <w:sz w:val="20"/>
          <w:szCs w:val="20"/>
          <w:lang w:eastAsia="en-AU"/>
        </w:rPr>
        <w:t>Determination</w:t>
      </w:r>
      <w:r w:rsidRPr="00BF391D">
        <w:rPr>
          <w:rFonts w:eastAsia="Times New Roman"/>
          <w:b w:val="0"/>
          <w:color w:val="000000" w:themeColor="text1"/>
          <w:sz w:val="20"/>
          <w:szCs w:val="20"/>
          <w:lang w:eastAsia="en-AU"/>
        </w:rPr>
        <w:t xml:space="preserve"> engage</w:t>
      </w:r>
      <w:r>
        <w:rPr>
          <w:rFonts w:eastAsia="Times New Roman"/>
          <w:b w:val="0"/>
          <w:color w:val="000000" w:themeColor="text1"/>
          <w:sz w:val="20"/>
          <w:szCs w:val="20"/>
          <w:lang w:eastAsia="en-AU"/>
        </w:rPr>
        <w:t xml:space="preserve">s </w:t>
      </w:r>
      <w:r w:rsidRPr="00BF391D">
        <w:rPr>
          <w:rFonts w:eastAsia="Times New Roman"/>
          <w:b w:val="0"/>
          <w:color w:val="000000" w:themeColor="text1"/>
          <w:sz w:val="20"/>
          <w:szCs w:val="20"/>
          <w:lang w:eastAsia="en-AU"/>
        </w:rPr>
        <w:t xml:space="preserve">any applicable human rights or freedoms and has formed the view that </w:t>
      </w:r>
      <w:r>
        <w:rPr>
          <w:rFonts w:eastAsia="Times New Roman"/>
          <w:b w:val="0"/>
          <w:color w:val="000000" w:themeColor="text1"/>
          <w:sz w:val="20"/>
          <w:szCs w:val="20"/>
          <w:lang w:eastAsia="en-AU"/>
        </w:rPr>
        <w:t>it</w:t>
      </w:r>
      <w:r w:rsidRPr="00BF391D">
        <w:rPr>
          <w:rFonts w:eastAsia="Times New Roman"/>
          <w:b w:val="0"/>
          <w:color w:val="000000" w:themeColor="text1"/>
          <w:sz w:val="20"/>
          <w:szCs w:val="20"/>
          <w:lang w:eastAsia="en-AU"/>
        </w:rPr>
        <w:t xml:space="preserve"> do</w:t>
      </w:r>
      <w:r>
        <w:rPr>
          <w:rFonts w:eastAsia="Times New Roman"/>
          <w:b w:val="0"/>
          <w:color w:val="000000" w:themeColor="text1"/>
          <w:sz w:val="20"/>
          <w:szCs w:val="20"/>
          <w:lang w:eastAsia="en-AU"/>
        </w:rPr>
        <w:t>es</w:t>
      </w:r>
      <w:r w:rsidRPr="00BF391D">
        <w:rPr>
          <w:rFonts w:eastAsia="Times New Roman"/>
          <w:b w:val="0"/>
          <w:color w:val="000000" w:themeColor="text1"/>
          <w:sz w:val="20"/>
          <w:szCs w:val="20"/>
          <w:lang w:eastAsia="en-AU"/>
        </w:rPr>
        <w:t xml:space="preserve"> not. The </w:t>
      </w:r>
      <w:r>
        <w:rPr>
          <w:rFonts w:eastAsia="Times New Roman"/>
          <w:b w:val="0"/>
          <w:color w:val="000000" w:themeColor="text1"/>
          <w:sz w:val="20"/>
          <w:szCs w:val="20"/>
          <w:lang w:eastAsia="en-AU"/>
        </w:rPr>
        <w:t xml:space="preserve">Determination </w:t>
      </w:r>
      <w:r w:rsidRPr="00BF391D">
        <w:rPr>
          <w:rFonts w:eastAsia="Times New Roman"/>
          <w:b w:val="0"/>
          <w:color w:val="000000" w:themeColor="text1"/>
          <w:sz w:val="20"/>
          <w:szCs w:val="20"/>
          <w:lang w:eastAsia="en-AU"/>
        </w:rPr>
        <w:t>do</w:t>
      </w:r>
      <w:r>
        <w:rPr>
          <w:rFonts w:eastAsia="Times New Roman"/>
          <w:b w:val="0"/>
          <w:color w:val="000000" w:themeColor="text1"/>
          <w:sz w:val="20"/>
          <w:szCs w:val="20"/>
          <w:lang w:eastAsia="en-AU"/>
        </w:rPr>
        <w:t>es</w:t>
      </w:r>
      <w:r w:rsidRPr="00BF391D">
        <w:rPr>
          <w:rFonts w:eastAsia="Times New Roman"/>
          <w:b w:val="0"/>
          <w:color w:val="000000" w:themeColor="text1"/>
          <w:sz w:val="20"/>
          <w:szCs w:val="20"/>
          <w:lang w:eastAsia="en-AU"/>
        </w:rPr>
        <w:t xml:space="preserve"> not raise any human rights issues</w:t>
      </w:r>
      <w:r w:rsidR="00AD0E19">
        <w:rPr>
          <w:rFonts w:eastAsia="Times New Roman"/>
          <w:b w:val="0"/>
          <w:color w:val="000000" w:themeColor="text1"/>
          <w:sz w:val="20"/>
          <w:szCs w:val="20"/>
          <w:lang w:eastAsia="en-AU"/>
        </w:rPr>
        <w:t xml:space="preserve"> and</w:t>
      </w:r>
      <w:r w:rsidR="00AD0E19" w:rsidRPr="00AD0E19">
        <w:rPr>
          <w:rFonts w:eastAsia="Times New Roman"/>
          <w:b w:val="0"/>
          <w:color w:val="000000" w:themeColor="text1"/>
          <w:sz w:val="20"/>
          <w:szCs w:val="20"/>
          <w:lang w:eastAsia="en-AU"/>
        </w:rPr>
        <w:t xml:space="preserve"> is compatible with the human rights and freedoms recognised or declared in the international instruments listed in section 3 of the </w:t>
      </w:r>
      <w:r w:rsidR="00AD0E19" w:rsidRPr="00AD0E19">
        <w:rPr>
          <w:rFonts w:eastAsia="Times New Roman"/>
          <w:b w:val="0"/>
          <w:i/>
          <w:iCs/>
          <w:color w:val="000000" w:themeColor="text1"/>
          <w:sz w:val="20"/>
          <w:szCs w:val="20"/>
          <w:lang w:eastAsia="en-AU"/>
        </w:rPr>
        <w:t>Human Rights (Parliamentary Scrutiny) Act 2011</w:t>
      </w:r>
      <w:r w:rsidR="00AD0E19" w:rsidRPr="00AD0E19">
        <w:rPr>
          <w:rFonts w:eastAsia="Times New Roman"/>
          <w:b w:val="0"/>
          <w:color w:val="000000" w:themeColor="text1"/>
          <w:sz w:val="20"/>
          <w:szCs w:val="20"/>
          <w:lang w:eastAsia="en-AU"/>
        </w:rPr>
        <w:t>.</w:t>
      </w:r>
    </w:p>
    <w:p w:rsidR="00B22FB1" w:rsidRPr="007D2794" w:rsidRDefault="00B22FB1">
      <w:pPr>
        <w:rPr>
          <w:rFonts w:eastAsia="Times New Roman"/>
          <w:color w:val="000000" w:themeColor="text1"/>
          <w:sz w:val="20"/>
          <w:szCs w:val="20"/>
          <w:lang w:eastAsia="en-AU"/>
        </w:rPr>
      </w:pPr>
      <w:r w:rsidRPr="007D2794">
        <w:rPr>
          <w:rFonts w:eastAsia="Times New Roman"/>
          <w:color w:val="000000" w:themeColor="text1"/>
          <w:sz w:val="20"/>
          <w:szCs w:val="20"/>
          <w:lang w:eastAsia="en-AU"/>
        </w:rPr>
        <w:br w:type="page"/>
      </w:r>
    </w:p>
    <w:p w:rsidR="00D73B55" w:rsidRPr="007D2794" w:rsidRDefault="00D73B55" w:rsidP="00E455B8">
      <w:pPr>
        <w:pStyle w:val="ACMABodyText"/>
        <w:ind w:left="720"/>
        <w:jc w:val="right"/>
        <w:rPr>
          <w:caps/>
          <w:color w:val="000000" w:themeColor="text1"/>
          <w:lang w:val="en-US"/>
        </w:rPr>
      </w:pPr>
      <w:r w:rsidRPr="007D2794">
        <w:rPr>
          <w:b/>
          <w:bCs/>
          <w:caps/>
          <w:color w:val="000000" w:themeColor="text1"/>
        </w:rPr>
        <w:lastRenderedPageBreak/>
        <w:t>Attachment A</w:t>
      </w:r>
    </w:p>
    <w:p w:rsidR="001E2F33" w:rsidRPr="007D2794" w:rsidRDefault="00D51A3E" w:rsidP="001E2F33">
      <w:pPr>
        <w:pStyle w:val="ACMAHeading3"/>
        <w:rPr>
          <w:bCs/>
          <w:i/>
          <w:caps/>
          <w:color w:val="000000" w:themeColor="text1"/>
        </w:rPr>
      </w:pPr>
      <w:r w:rsidRPr="007D2794">
        <w:rPr>
          <w:bCs/>
          <w:color w:val="000000" w:themeColor="text1"/>
          <w:lang w:val="en-AU" w:eastAsia="en-AU"/>
        </w:rPr>
        <w:t xml:space="preserve">DETAILS OF </w:t>
      </w:r>
      <w:r w:rsidRPr="007D2794">
        <w:rPr>
          <w:bCs/>
          <w:caps/>
          <w:color w:val="000000" w:themeColor="text1"/>
          <w:lang w:val="en-AU" w:eastAsia="en-AU"/>
        </w:rPr>
        <w:t xml:space="preserve">THE </w:t>
      </w:r>
      <w:r w:rsidR="001E2F33" w:rsidRPr="007D2794">
        <w:rPr>
          <w:bCs/>
          <w:i/>
          <w:iCs/>
          <w:caps/>
          <w:color w:val="000000" w:themeColor="text1"/>
        </w:rPr>
        <w:t>Telecommunications (Collection of Numbering Charges) Determination 2014</w:t>
      </w:r>
    </w:p>
    <w:p w:rsidR="001E2F33" w:rsidRPr="007D2794" w:rsidRDefault="001E2F33" w:rsidP="001E2F33">
      <w:pPr>
        <w:pStyle w:val="ACMAHeading3"/>
        <w:spacing w:before="360"/>
        <w:rPr>
          <w:caps/>
          <w:color w:val="000000" w:themeColor="text1"/>
        </w:rPr>
      </w:pPr>
      <w:r w:rsidRPr="007D2794">
        <w:rPr>
          <w:caps/>
          <w:color w:val="000000" w:themeColor="text1"/>
        </w:rPr>
        <w:t>PART 1</w:t>
      </w:r>
      <w:r w:rsidRPr="007D2794">
        <w:rPr>
          <w:caps/>
          <w:color w:val="000000" w:themeColor="text1"/>
        </w:rPr>
        <w:tab/>
      </w:r>
      <w:r w:rsidRPr="007D2794">
        <w:rPr>
          <w:caps/>
          <w:color w:val="000000" w:themeColor="text1"/>
          <w:lang w:val="en-AU"/>
        </w:rPr>
        <w:t>Introduction</w:t>
      </w:r>
    </w:p>
    <w:p w:rsidR="00B06955" w:rsidRPr="007D2794" w:rsidRDefault="00B06955" w:rsidP="00B06955">
      <w:pPr>
        <w:spacing w:before="240"/>
        <w:rPr>
          <w:color w:val="000000" w:themeColor="text1"/>
          <w:sz w:val="20"/>
          <w:szCs w:val="20"/>
        </w:rPr>
      </w:pPr>
      <w:r w:rsidRPr="007D2794">
        <w:rPr>
          <w:color w:val="000000" w:themeColor="text1"/>
          <w:sz w:val="20"/>
          <w:szCs w:val="20"/>
        </w:rPr>
        <w:t>Part 1 sets out introductory information about the Determination.</w:t>
      </w:r>
    </w:p>
    <w:p w:rsidR="00AF0B31" w:rsidRPr="007D2794" w:rsidRDefault="00AF0B31" w:rsidP="007B1A34">
      <w:pPr>
        <w:pStyle w:val="Heading1"/>
        <w:spacing w:before="240"/>
        <w:rPr>
          <w:b w:val="0"/>
          <w:color w:val="000000" w:themeColor="text1"/>
          <w:sz w:val="20"/>
          <w:szCs w:val="20"/>
        </w:rPr>
      </w:pPr>
      <w:r w:rsidRPr="007D2794">
        <w:rPr>
          <w:color w:val="000000" w:themeColor="text1"/>
          <w:sz w:val="20"/>
          <w:szCs w:val="20"/>
        </w:rPr>
        <w:t xml:space="preserve">Section 1 – Name of </w:t>
      </w:r>
      <w:r w:rsidR="007C4CFD" w:rsidRPr="007D2794">
        <w:rPr>
          <w:bCs/>
          <w:color w:val="000000" w:themeColor="text1"/>
          <w:sz w:val="20"/>
          <w:szCs w:val="20"/>
        </w:rPr>
        <w:t>Determination</w:t>
      </w:r>
    </w:p>
    <w:p w:rsidR="007C4CFD" w:rsidRPr="007D2794" w:rsidRDefault="00D51A3E" w:rsidP="007C4CFD">
      <w:pPr>
        <w:rPr>
          <w:bCs/>
          <w:i/>
          <w:color w:val="000000" w:themeColor="text1"/>
          <w:sz w:val="20"/>
          <w:szCs w:val="20"/>
        </w:rPr>
      </w:pPr>
      <w:r w:rsidRPr="007D2794">
        <w:rPr>
          <w:color w:val="000000" w:themeColor="text1"/>
          <w:sz w:val="20"/>
          <w:szCs w:val="20"/>
        </w:rPr>
        <w:t>Section 1 provides that the</w:t>
      </w:r>
      <w:r w:rsidR="00A3307E" w:rsidRPr="007D2794">
        <w:rPr>
          <w:color w:val="000000" w:themeColor="text1"/>
          <w:sz w:val="20"/>
          <w:szCs w:val="20"/>
        </w:rPr>
        <w:t xml:space="preserve"> name of the </w:t>
      </w:r>
      <w:r w:rsidRPr="007D2794">
        <w:rPr>
          <w:color w:val="000000" w:themeColor="text1"/>
          <w:sz w:val="20"/>
          <w:szCs w:val="20"/>
        </w:rPr>
        <w:t xml:space="preserve">Determination is the </w:t>
      </w:r>
      <w:r w:rsidR="00EA2124" w:rsidRPr="007D2794">
        <w:rPr>
          <w:bCs/>
          <w:i/>
          <w:iCs/>
          <w:color w:val="000000" w:themeColor="text1"/>
          <w:sz w:val="20"/>
          <w:szCs w:val="20"/>
        </w:rPr>
        <w:t>Telecommunications (Collection of Numbering Charges) Determination 2014</w:t>
      </w:r>
      <w:r w:rsidR="007C4CFD" w:rsidRPr="007D2794">
        <w:rPr>
          <w:bCs/>
          <w:i/>
          <w:color w:val="000000" w:themeColor="text1"/>
          <w:sz w:val="20"/>
          <w:szCs w:val="20"/>
        </w:rPr>
        <w:t>.</w:t>
      </w:r>
    </w:p>
    <w:p w:rsidR="00AF0B31" w:rsidRPr="007D2794" w:rsidRDefault="00AF0B31" w:rsidP="00AF0B31">
      <w:pPr>
        <w:rPr>
          <w:b/>
          <w:color w:val="000000" w:themeColor="text1"/>
          <w:sz w:val="20"/>
          <w:szCs w:val="20"/>
        </w:rPr>
      </w:pPr>
      <w:r w:rsidRPr="007D2794">
        <w:rPr>
          <w:b/>
          <w:color w:val="000000" w:themeColor="text1"/>
          <w:sz w:val="20"/>
          <w:szCs w:val="20"/>
        </w:rPr>
        <w:t>Section 2 – Commencement</w:t>
      </w:r>
    </w:p>
    <w:p w:rsidR="007C4CFD" w:rsidRPr="007D2794" w:rsidRDefault="00D51A3E" w:rsidP="00AF0B31">
      <w:pPr>
        <w:rPr>
          <w:color w:val="000000" w:themeColor="text1"/>
          <w:sz w:val="20"/>
          <w:szCs w:val="20"/>
        </w:rPr>
      </w:pPr>
      <w:r w:rsidRPr="007D2794">
        <w:rPr>
          <w:color w:val="000000" w:themeColor="text1"/>
          <w:sz w:val="20"/>
          <w:szCs w:val="20"/>
        </w:rPr>
        <w:t xml:space="preserve">Section </w:t>
      </w:r>
      <w:r w:rsidR="00E455B8" w:rsidRPr="007D2794">
        <w:rPr>
          <w:color w:val="000000" w:themeColor="text1"/>
          <w:sz w:val="20"/>
          <w:szCs w:val="20"/>
        </w:rPr>
        <w:t>2</w:t>
      </w:r>
      <w:r w:rsidRPr="007D2794">
        <w:rPr>
          <w:color w:val="000000" w:themeColor="text1"/>
          <w:sz w:val="20"/>
          <w:szCs w:val="20"/>
        </w:rPr>
        <w:t xml:space="preserve"> provides that the </w:t>
      </w:r>
      <w:r w:rsidR="007C4CFD" w:rsidRPr="007D2794">
        <w:rPr>
          <w:bCs/>
          <w:color w:val="000000" w:themeColor="text1"/>
          <w:sz w:val="20"/>
          <w:szCs w:val="20"/>
        </w:rPr>
        <w:t>Determination</w:t>
      </w:r>
      <w:r w:rsidR="007C4CFD" w:rsidRPr="007D2794">
        <w:rPr>
          <w:bCs/>
          <w:i/>
          <w:color w:val="000000" w:themeColor="text1"/>
          <w:sz w:val="20"/>
          <w:szCs w:val="20"/>
        </w:rPr>
        <w:t xml:space="preserve"> </w:t>
      </w:r>
      <w:r w:rsidR="00AF0B31" w:rsidRPr="007D2794">
        <w:rPr>
          <w:color w:val="000000" w:themeColor="text1"/>
          <w:sz w:val="20"/>
          <w:szCs w:val="20"/>
        </w:rPr>
        <w:t xml:space="preserve">commences on </w:t>
      </w:r>
      <w:r w:rsidR="007C4CFD" w:rsidRPr="007D2794">
        <w:rPr>
          <w:color w:val="000000" w:themeColor="text1"/>
          <w:sz w:val="20"/>
          <w:szCs w:val="20"/>
        </w:rPr>
        <w:t>1 April 2015.</w:t>
      </w:r>
    </w:p>
    <w:p w:rsidR="00AF0B31" w:rsidRPr="007D2794" w:rsidRDefault="00AF0B31" w:rsidP="00AF0B31">
      <w:pPr>
        <w:rPr>
          <w:b/>
          <w:color w:val="000000" w:themeColor="text1"/>
          <w:sz w:val="20"/>
          <w:szCs w:val="20"/>
        </w:rPr>
      </w:pPr>
      <w:r w:rsidRPr="007D2794">
        <w:rPr>
          <w:b/>
          <w:color w:val="000000" w:themeColor="text1"/>
          <w:sz w:val="20"/>
          <w:szCs w:val="20"/>
        </w:rPr>
        <w:t xml:space="preserve">Section 3 – </w:t>
      </w:r>
      <w:r w:rsidR="00E455B8" w:rsidRPr="007D2794">
        <w:rPr>
          <w:b/>
          <w:color w:val="000000" w:themeColor="text1"/>
          <w:sz w:val="20"/>
          <w:szCs w:val="20"/>
        </w:rPr>
        <w:t xml:space="preserve">Revocation </w:t>
      </w:r>
      <w:r w:rsidR="006964DA" w:rsidRPr="007D2794">
        <w:rPr>
          <w:b/>
          <w:color w:val="000000" w:themeColor="text1"/>
          <w:sz w:val="20"/>
          <w:szCs w:val="20"/>
        </w:rPr>
        <w:t>of determination specifying late payment penalty for unpaid annual charge</w:t>
      </w:r>
    </w:p>
    <w:p w:rsidR="00D51A3E" w:rsidRPr="007D2794" w:rsidRDefault="00D51A3E" w:rsidP="00AF0B31">
      <w:pPr>
        <w:rPr>
          <w:color w:val="000000" w:themeColor="text1"/>
          <w:sz w:val="20"/>
          <w:szCs w:val="20"/>
        </w:rPr>
      </w:pPr>
      <w:r w:rsidRPr="007D2794">
        <w:rPr>
          <w:color w:val="000000" w:themeColor="text1"/>
          <w:sz w:val="20"/>
          <w:szCs w:val="20"/>
        </w:rPr>
        <w:t xml:space="preserve">Section 3 provides that the </w:t>
      </w:r>
      <w:r w:rsidR="006964DA" w:rsidRPr="007D2794">
        <w:rPr>
          <w:i/>
          <w:color w:val="000000" w:themeColor="text1"/>
          <w:sz w:val="20"/>
          <w:szCs w:val="20"/>
        </w:rPr>
        <w:t xml:space="preserve">Telecommunications (Annual Numbering Charge - Late Payment Penalty) Determination 2000 </w:t>
      </w:r>
      <w:r w:rsidRPr="007D2794">
        <w:rPr>
          <w:color w:val="000000" w:themeColor="text1"/>
          <w:sz w:val="20"/>
          <w:szCs w:val="20"/>
        </w:rPr>
        <w:t xml:space="preserve">is revoked. </w:t>
      </w:r>
    </w:p>
    <w:p w:rsidR="007B1A34" w:rsidRPr="007D2794" w:rsidRDefault="007B1A34" w:rsidP="00AF0B31">
      <w:pPr>
        <w:rPr>
          <w:b/>
          <w:color w:val="000000" w:themeColor="text1"/>
          <w:sz w:val="20"/>
          <w:szCs w:val="20"/>
        </w:rPr>
      </w:pPr>
      <w:r w:rsidRPr="007D2794">
        <w:rPr>
          <w:b/>
          <w:color w:val="000000" w:themeColor="text1"/>
          <w:sz w:val="20"/>
          <w:szCs w:val="20"/>
        </w:rPr>
        <w:t>Section 4 – Definitions</w:t>
      </w:r>
    </w:p>
    <w:p w:rsidR="007B1A34" w:rsidRPr="007D2794" w:rsidRDefault="00D51A3E" w:rsidP="007B1A34">
      <w:pPr>
        <w:pStyle w:val="ACMABodyText"/>
        <w:rPr>
          <w:color w:val="000000" w:themeColor="text1"/>
        </w:rPr>
      </w:pPr>
      <w:r w:rsidRPr="007D2794">
        <w:rPr>
          <w:color w:val="000000" w:themeColor="text1"/>
        </w:rPr>
        <w:t>Section 4 defines various terms used in the Determination.</w:t>
      </w:r>
    </w:p>
    <w:p w:rsidR="007B1A34" w:rsidRPr="007D2794" w:rsidRDefault="007B1A34" w:rsidP="007B1A34">
      <w:pPr>
        <w:pStyle w:val="ACMAHeading3"/>
        <w:spacing w:before="360"/>
        <w:rPr>
          <w:caps/>
          <w:color w:val="000000" w:themeColor="text1"/>
        </w:rPr>
      </w:pPr>
      <w:r w:rsidRPr="007D2794">
        <w:rPr>
          <w:caps/>
          <w:color w:val="000000" w:themeColor="text1"/>
        </w:rPr>
        <w:t xml:space="preserve">PART </w:t>
      </w:r>
      <w:r w:rsidR="0042021D" w:rsidRPr="007D2794">
        <w:rPr>
          <w:caps/>
          <w:color w:val="000000" w:themeColor="text1"/>
        </w:rPr>
        <w:t>2</w:t>
      </w:r>
      <w:r w:rsidRPr="007D2794">
        <w:rPr>
          <w:caps/>
          <w:color w:val="000000" w:themeColor="text1"/>
        </w:rPr>
        <w:tab/>
      </w:r>
      <w:r w:rsidR="00D8457C" w:rsidRPr="007D2794">
        <w:rPr>
          <w:caps/>
          <w:color w:val="000000" w:themeColor="text1"/>
        </w:rPr>
        <w:t>Due date for annual charge</w:t>
      </w:r>
    </w:p>
    <w:p w:rsidR="00D647C4" w:rsidRPr="007D2794" w:rsidRDefault="007B1A34" w:rsidP="00D647C4">
      <w:pPr>
        <w:spacing w:before="240"/>
        <w:rPr>
          <w:color w:val="000000" w:themeColor="text1"/>
          <w:sz w:val="20"/>
          <w:szCs w:val="20"/>
        </w:rPr>
      </w:pPr>
      <w:r w:rsidRPr="007D2794">
        <w:rPr>
          <w:color w:val="000000" w:themeColor="text1"/>
          <w:sz w:val="20"/>
          <w:szCs w:val="20"/>
        </w:rPr>
        <w:t xml:space="preserve">Part </w:t>
      </w:r>
      <w:r w:rsidR="0042021D" w:rsidRPr="007D2794">
        <w:rPr>
          <w:color w:val="000000" w:themeColor="text1"/>
          <w:sz w:val="20"/>
          <w:szCs w:val="20"/>
        </w:rPr>
        <w:t>2</w:t>
      </w:r>
      <w:r w:rsidR="003B249A" w:rsidRPr="007D2794">
        <w:rPr>
          <w:color w:val="000000" w:themeColor="text1"/>
          <w:sz w:val="20"/>
          <w:szCs w:val="20"/>
        </w:rPr>
        <w:t xml:space="preserve"> </w:t>
      </w:r>
      <w:r w:rsidR="00D647C4" w:rsidRPr="007D2794">
        <w:rPr>
          <w:color w:val="000000" w:themeColor="text1"/>
          <w:sz w:val="20"/>
          <w:szCs w:val="20"/>
        </w:rPr>
        <w:t xml:space="preserve">sets out when </w:t>
      </w:r>
      <w:r w:rsidR="00775628" w:rsidRPr="007D2794">
        <w:rPr>
          <w:color w:val="000000" w:themeColor="text1"/>
          <w:sz w:val="20"/>
          <w:szCs w:val="20"/>
        </w:rPr>
        <w:t xml:space="preserve">the </w:t>
      </w:r>
      <w:r w:rsidR="00D647C4" w:rsidRPr="007D2794">
        <w:rPr>
          <w:color w:val="000000" w:themeColor="text1"/>
          <w:sz w:val="20"/>
          <w:szCs w:val="20"/>
        </w:rPr>
        <w:t>annual charge is due and payable.</w:t>
      </w:r>
    </w:p>
    <w:p w:rsidR="00E455B8" w:rsidRPr="007D2794" w:rsidRDefault="007B1A34" w:rsidP="00E455B8">
      <w:pPr>
        <w:rPr>
          <w:b/>
          <w:color w:val="000000" w:themeColor="text1"/>
          <w:sz w:val="20"/>
          <w:szCs w:val="20"/>
        </w:rPr>
      </w:pPr>
      <w:r w:rsidRPr="007D2794">
        <w:rPr>
          <w:b/>
          <w:color w:val="000000" w:themeColor="text1"/>
          <w:sz w:val="20"/>
          <w:szCs w:val="20"/>
        </w:rPr>
        <w:t>Section 5 –</w:t>
      </w:r>
      <w:r w:rsidR="00D8457C" w:rsidRPr="007D2794">
        <w:rPr>
          <w:b/>
          <w:color w:val="000000" w:themeColor="text1"/>
          <w:sz w:val="20"/>
          <w:szCs w:val="20"/>
        </w:rPr>
        <w:t xml:space="preserve"> </w:t>
      </w:r>
      <w:bookmarkStart w:id="1" w:name="_Toc102789552"/>
      <w:r w:rsidR="00E455B8" w:rsidRPr="007D2794">
        <w:rPr>
          <w:b/>
          <w:color w:val="000000" w:themeColor="text1"/>
          <w:sz w:val="20"/>
          <w:szCs w:val="20"/>
        </w:rPr>
        <w:t>When annual charge is due and payable</w:t>
      </w:r>
      <w:bookmarkEnd w:id="1"/>
    </w:p>
    <w:p w:rsidR="00B44F54" w:rsidRPr="007D2794" w:rsidRDefault="0083543D" w:rsidP="00B44F54">
      <w:pPr>
        <w:rPr>
          <w:iCs/>
          <w:color w:val="000000" w:themeColor="text1"/>
          <w:sz w:val="20"/>
          <w:szCs w:val="20"/>
        </w:rPr>
      </w:pPr>
      <w:r w:rsidRPr="007D2794">
        <w:rPr>
          <w:color w:val="000000" w:themeColor="text1"/>
          <w:sz w:val="20"/>
          <w:szCs w:val="20"/>
        </w:rPr>
        <w:t>Section 5 s</w:t>
      </w:r>
      <w:r w:rsidR="00EC42D7" w:rsidRPr="007D2794">
        <w:rPr>
          <w:color w:val="000000" w:themeColor="text1"/>
          <w:sz w:val="20"/>
          <w:szCs w:val="20"/>
        </w:rPr>
        <w:t xml:space="preserve">pecifies that </w:t>
      </w:r>
      <w:r w:rsidRPr="007D2794">
        <w:rPr>
          <w:color w:val="000000" w:themeColor="text1"/>
          <w:sz w:val="20"/>
          <w:szCs w:val="20"/>
        </w:rPr>
        <w:t xml:space="preserve">the </w:t>
      </w:r>
      <w:r w:rsidR="00E455B8" w:rsidRPr="007D2794">
        <w:rPr>
          <w:color w:val="000000" w:themeColor="text1"/>
          <w:sz w:val="20"/>
          <w:szCs w:val="20"/>
        </w:rPr>
        <w:t>annual charge is due and payable</w:t>
      </w:r>
      <w:r w:rsidR="00EC42D7" w:rsidRPr="007D2794">
        <w:rPr>
          <w:color w:val="000000" w:themeColor="text1"/>
          <w:sz w:val="20"/>
          <w:szCs w:val="20"/>
        </w:rPr>
        <w:t xml:space="preserve"> by a person </w:t>
      </w:r>
      <w:r w:rsidR="00B44F54" w:rsidRPr="007D2794">
        <w:rPr>
          <w:color w:val="000000" w:themeColor="text1"/>
          <w:sz w:val="20"/>
          <w:szCs w:val="20"/>
        </w:rPr>
        <w:t xml:space="preserve">on the later of 15 June of the year in which the charge is imposed, or </w:t>
      </w:r>
      <w:r w:rsidR="00B44F54" w:rsidRPr="007D2794">
        <w:rPr>
          <w:iCs/>
          <w:color w:val="000000" w:themeColor="text1"/>
          <w:sz w:val="20"/>
          <w:szCs w:val="20"/>
        </w:rPr>
        <w:t xml:space="preserve">30 calendar days from the date </w:t>
      </w:r>
      <w:r w:rsidR="003335EB">
        <w:rPr>
          <w:iCs/>
          <w:color w:val="000000" w:themeColor="text1"/>
          <w:sz w:val="20"/>
          <w:szCs w:val="20"/>
        </w:rPr>
        <w:t>of the</w:t>
      </w:r>
      <w:r w:rsidR="00B44F54" w:rsidRPr="007D2794">
        <w:rPr>
          <w:iCs/>
          <w:color w:val="000000" w:themeColor="text1"/>
          <w:sz w:val="20"/>
          <w:szCs w:val="20"/>
        </w:rPr>
        <w:t xml:space="preserve"> invoice issued to the person by the ACMA.</w:t>
      </w:r>
    </w:p>
    <w:p w:rsidR="00E455B8" w:rsidRPr="007D2794" w:rsidRDefault="00E455B8" w:rsidP="00047DB5">
      <w:pPr>
        <w:pStyle w:val="ACMAHeading3"/>
        <w:spacing w:before="360"/>
        <w:rPr>
          <w:caps/>
          <w:color w:val="000000" w:themeColor="text1"/>
        </w:rPr>
      </w:pPr>
      <w:bookmarkStart w:id="2" w:name="_Toc102789553"/>
      <w:r w:rsidRPr="007D2794">
        <w:rPr>
          <w:caps/>
          <w:color w:val="000000" w:themeColor="text1"/>
        </w:rPr>
        <w:t xml:space="preserve">Part </w:t>
      </w:r>
      <w:r w:rsidR="008A4804" w:rsidRPr="007D2794">
        <w:rPr>
          <w:caps/>
          <w:color w:val="000000" w:themeColor="text1"/>
        </w:rPr>
        <w:t>3</w:t>
      </w:r>
      <w:r w:rsidRPr="007D2794">
        <w:rPr>
          <w:caps/>
          <w:color w:val="000000" w:themeColor="text1"/>
        </w:rPr>
        <w:t xml:space="preserve"> </w:t>
      </w:r>
      <w:r w:rsidRPr="007D2794">
        <w:rPr>
          <w:caps/>
          <w:color w:val="000000" w:themeColor="text1"/>
        </w:rPr>
        <w:tab/>
      </w:r>
      <w:r w:rsidR="008A4804" w:rsidRPr="007D2794">
        <w:rPr>
          <w:caps/>
          <w:color w:val="000000" w:themeColor="text1"/>
          <w:lang w:val="en-AU"/>
        </w:rPr>
        <w:t xml:space="preserve">Late payment penalty for unpaid annual charge </w:t>
      </w:r>
      <w:bookmarkEnd w:id="2"/>
    </w:p>
    <w:p w:rsidR="00D647C4" w:rsidRPr="007D2794" w:rsidRDefault="00D647C4" w:rsidP="00D647C4">
      <w:pPr>
        <w:spacing w:before="240"/>
        <w:rPr>
          <w:color w:val="000000" w:themeColor="text1"/>
          <w:sz w:val="20"/>
          <w:szCs w:val="20"/>
        </w:rPr>
      </w:pPr>
      <w:r w:rsidRPr="007D2794">
        <w:rPr>
          <w:color w:val="000000" w:themeColor="text1"/>
          <w:sz w:val="20"/>
          <w:szCs w:val="20"/>
        </w:rPr>
        <w:t xml:space="preserve">Part </w:t>
      </w:r>
      <w:r w:rsidR="008A4804" w:rsidRPr="007D2794">
        <w:rPr>
          <w:color w:val="000000" w:themeColor="text1"/>
          <w:sz w:val="20"/>
          <w:szCs w:val="20"/>
        </w:rPr>
        <w:t>3</w:t>
      </w:r>
      <w:r w:rsidRPr="007D2794">
        <w:rPr>
          <w:color w:val="000000" w:themeColor="text1"/>
          <w:sz w:val="20"/>
          <w:szCs w:val="20"/>
        </w:rPr>
        <w:t xml:space="preserve"> sets out when </w:t>
      </w:r>
      <w:r w:rsidR="00992607" w:rsidRPr="007D2794">
        <w:rPr>
          <w:color w:val="000000" w:themeColor="text1"/>
          <w:sz w:val="20"/>
          <w:szCs w:val="20"/>
        </w:rPr>
        <w:t>a</w:t>
      </w:r>
      <w:r w:rsidRPr="007D2794">
        <w:rPr>
          <w:color w:val="000000" w:themeColor="text1"/>
          <w:sz w:val="20"/>
          <w:szCs w:val="20"/>
        </w:rPr>
        <w:t xml:space="preserve"> late payment penalty is payable and how it is calculated.</w:t>
      </w:r>
    </w:p>
    <w:p w:rsidR="00E455B8" w:rsidRPr="007D2794" w:rsidRDefault="00047DB5" w:rsidP="00E455B8">
      <w:pPr>
        <w:rPr>
          <w:b/>
          <w:color w:val="000000" w:themeColor="text1"/>
          <w:sz w:val="20"/>
          <w:szCs w:val="20"/>
        </w:rPr>
      </w:pPr>
      <w:bookmarkStart w:id="3" w:name="_Toc102789554"/>
      <w:r w:rsidRPr="007D2794">
        <w:rPr>
          <w:b/>
          <w:color w:val="000000" w:themeColor="text1"/>
          <w:sz w:val="20"/>
          <w:szCs w:val="20"/>
        </w:rPr>
        <w:t xml:space="preserve">Section </w:t>
      </w:r>
      <w:r w:rsidR="00E455B8" w:rsidRPr="007D2794">
        <w:rPr>
          <w:b/>
          <w:color w:val="000000" w:themeColor="text1"/>
          <w:sz w:val="20"/>
          <w:szCs w:val="20"/>
        </w:rPr>
        <w:t>6</w:t>
      </w:r>
      <w:r w:rsidRPr="007D2794">
        <w:rPr>
          <w:b/>
          <w:color w:val="000000" w:themeColor="text1"/>
          <w:sz w:val="20"/>
          <w:szCs w:val="20"/>
        </w:rPr>
        <w:t xml:space="preserve"> - </w:t>
      </w:r>
      <w:r w:rsidR="00E455B8" w:rsidRPr="007D2794">
        <w:rPr>
          <w:b/>
          <w:color w:val="000000" w:themeColor="text1"/>
          <w:sz w:val="20"/>
          <w:szCs w:val="20"/>
        </w:rPr>
        <w:t>Late payment penalty payable</w:t>
      </w:r>
      <w:bookmarkEnd w:id="3"/>
    </w:p>
    <w:p w:rsidR="00B91BAD" w:rsidRPr="007D2794" w:rsidRDefault="00CC6247" w:rsidP="00E455B8">
      <w:pPr>
        <w:rPr>
          <w:color w:val="000000" w:themeColor="text1"/>
          <w:sz w:val="20"/>
          <w:szCs w:val="20"/>
        </w:rPr>
      </w:pPr>
      <w:r w:rsidRPr="007D2794">
        <w:rPr>
          <w:color w:val="000000" w:themeColor="text1"/>
          <w:sz w:val="20"/>
          <w:szCs w:val="20"/>
        </w:rPr>
        <w:t xml:space="preserve">Section 6 sets out </w:t>
      </w:r>
      <w:r w:rsidR="00AF6560" w:rsidRPr="007D2794">
        <w:rPr>
          <w:color w:val="000000" w:themeColor="text1"/>
          <w:sz w:val="20"/>
          <w:szCs w:val="20"/>
        </w:rPr>
        <w:t>when a person is liable to pay the pe</w:t>
      </w:r>
      <w:r w:rsidR="00B91BAD" w:rsidRPr="007D2794">
        <w:rPr>
          <w:color w:val="000000" w:themeColor="text1"/>
          <w:sz w:val="20"/>
          <w:szCs w:val="20"/>
        </w:rPr>
        <w:t xml:space="preserve">nalty </w:t>
      </w:r>
      <w:r w:rsidR="00AF6560" w:rsidRPr="007D2794">
        <w:rPr>
          <w:color w:val="000000" w:themeColor="text1"/>
          <w:sz w:val="20"/>
          <w:szCs w:val="20"/>
        </w:rPr>
        <w:t xml:space="preserve">and how it </w:t>
      </w:r>
      <w:r w:rsidR="00E455B8" w:rsidRPr="007D2794">
        <w:rPr>
          <w:color w:val="000000" w:themeColor="text1"/>
          <w:sz w:val="20"/>
          <w:szCs w:val="20"/>
        </w:rPr>
        <w:t>is calculated</w:t>
      </w:r>
      <w:r w:rsidR="00B91BAD" w:rsidRPr="007D2794">
        <w:rPr>
          <w:color w:val="000000" w:themeColor="text1"/>
          <w:sz w:val="20"/>
          <w:szCs w:val="20"/>
        </w:rPr>
        <w:t>.</w:t>
      </w:r>
    </w:p>
    <w:p w:rsidR="00B91BAD" w:rsidRPr="007D2794" w:rsidRDefault="00B91BAD" w:rsidP="00B91BAD">
      <w:pPr>
        <w:rPr>
          <w:b/>
          <w:color w:val="000000" w:themeColor="text1"/>
          <w:sz w:val="20"/>
          <w:szCs w:val="20"/>
        </w:rPr>
      </w:pPr>
      <w:bookmarkStart w:id="4" w:name="_Toc102789555"/>
      <w:r w:rsidRPr="007D2794">
        <w:rPr>
          <w:b/>
          <w:color w:val="000000" w:themeColor="text1"/>
          <w:sz w:val="20"/>
          <w:szCs w:val="20"/>
        </w:rPr>
        <w:t xml:space="preserve">Section 7 - Rate of late payment penalty </w:t>
      </w:r>
    </w:p>
    <w:p w:rsidR="00692A74" w:rsidRDefault="00B91BAD" w:rsidP="00692A74">
      <w:pPr>
        <w:rPr>
          <w:color w:val="000000" w:themeColor="text1"/>
          <w:sz w:val="20"/>
          <w:szCs w:val="20"/>
        </w:rPr>
      </w:pPr>
      <w:r w:rsidRPr="007D2794">
        <w:rPr>
          <w:color w:val="000000" w:themeColor="text1"/>
          <w:sz w:val="20"/>
          <w:szCs w:val="20"/>
        </w:rPr>
        <w:t xml:space="preserve">Section 7 specifies the </w:t>
      </w:r>
      <w:r w:rsidR="00775628" w:rsidRPr="007D2794">
        <w:rPr>
          <w:color w:val="000000" w:themeColor="text1"/>
          <w:sz w:val="20"/>
          <w:szCs w:val="20"/>
        </w:rPr>
        <w:t>annual charge</w:t>
      </w:r>
      <w:r w:rsidRPr="007D2794">
        <w:rPr>
          <w:color w:val="000000" w:themeColor="text1"/>
          <w:sz w:val="20"/>
          <w:szCs w:val="20"/>
        </w:rPr>
        <w:t xml:space="preserve"> late payment penalty </w:t>
      </w:r>
      <w:r w:rsidR="00692A74" w:rsidRPr="007D2794">
        <w:rPr>
          <w:color w:val="000000" w:themeColor="text1"/>
          <w:sz w:val="20"/>
          <w:szCs w:val="20"/>
        </w:rPr>
        <w:t xml:space="preserve">daily </w:t>
      </w:r>
      <w:r w:rsidRPr="007D2794">
        <w:rPr>
          <w:color w:val="000000" w:themeColor="text1"/>
          <w:sz w:val="20"/>
          <w:szCs w:val="20"/>
        </w:rPr>
        <w:t>rate</w:t>
      </w:r>
      <w:r w:rsidR="00692A74" w:rsidRPr="007D2794">
        <w:rPr>
          <w:color w:val="000000" w:themeColor="text1"/>
          <w:sz w:val="20"/>
          <w:szCs w:val="20"/>
        </w:rPr>
        <w:t xml:space="preserve"> as: 20% per annum; or if, for any day, the previous financial year average GIC rate is less than 20% per annum – the previous financial year average GIC rate.</w:t>
      </w:r>
    </w:p>
    <w:p w:rsidR="001F6957" w:rsidRPr="007D2794" w:rsidRDefault="001F6957" w:rsidP="00692A74">
      <w:pPr>
        <w:rPr>
          <w:color w:val="000000" w:themeColor="text1"/>
          <w:sz w:val="20"/>
          <w:szCs w:val="20"/>
        </w:rPr>
      </w:pPr>
      <w:r>
        <w:rPr>
          <w:color w:val="000000" w:themeColor="text1"/>
          <w:sz w:val="20"/>
          <w:szCs w:val="20"/>
        </w:rPr>
        <w:t>T</w:t>
      </w:r>
      <w:r w:rsidRPr="007D2794">
        <w:rPr>
          <w:color w:val="000000" w:themeColor="text1"/>
          <w:sz w:val="20"/>
          <w:szCs w:val="20"/>
        </w:rPr>
        <w:t>he previous financial year average GIC rate</w:t>
      </w:r>
      <w:r>
        <w:rPr>
          <w:color w:val="000000" w:themeColor="text1"/>
          <w:sz w:val="20"/>
          <w:szCs w:val="20"/>
        </w:rPr>
        <w:t xml:space="preserve"> is worked out in accordance with Schedule 1 to the Determination.</w:t>
      </w:r>
    </w:p>
    <w:p w:rsidR="007D2794" w:rsidRDefault="007D2794">
      <w:pPr>
        <w:rPr>
          <w:b/>
          <w:color w:val="000000" w:themeColor="text1"/>
          <w:sz w:val="20"/>
          <w:szCs w:val="20"/>
        </w:rPr>
      </w:pPr>
      <w:r>
        <w:rPr>
          <w:b/>
          <w:color w:val="000000" w:themeColor="text1"/>
          <w:sz w:val="20"/>
          <w:szCs w:val="20"/>
        </w:rPr>
        <w:br w:type="page"/>
      </w:r>
    </w:p>
    <w:p w:rsidR="00766587" w:rsidRPr="007D2794" w:rsidRDefault="00766587" w:rsidP="00766587">
      <w:pPr>
        <w:rPr>
          <w:b/>
          <w:color w:val="000000" w:themeColor="text1"/>
          <w:sz w:val="20"/>
          <w:szCs w:val="20"/>
        </w:rPr>
      </w:pPr>
      <w:r w:rsidRPr="007D2794">
        <w:rPr>
          <w:b/>
          <w:color w:val="000000" w:themeColor="text1"/>
          <w:sz w:val="20"/>
          <w:szCs w:val="20"/>
        </w:rPr>
        <w:lastRenderedPageBreak/>
        <w:t>Section 8 - Attribution of payments made to the ACMA</w:t>
      </w:r>
    </w:p>
    <w:p w:rsidR="00766587" w:rsidRPr="007D2794" w:rsidRDefault="00766587" w:rsidP="00766587">
      <w:pPr>
        <w:rPr>
          <w:color w:val="000000" w:themeColor="text1"/>
          <w:sz w:val="20"/>
          <w:szCs w:val="20"/>
        </w:rPr>
      </w:pPr>
      <w:r w:rsidRPr="007D2794">
        <w:rPr>
          <w:color w:val="000000" w:themeColor="text1"/>
          <w:sz w:val="20"/>
          <w:szCs w:val="20"/>
        </w:rPr>
        <w:t xml:space="preserve">Section 8 sets out the order in which a payment should be </w:t>
      </w:r>
      <w:r w:rsidR="000579BA" w:rsidRPr="007D2794">
        <w:rPr>
          <w:color w:val="000000" w:themeColor="text1"/>
          <w:sz w:val="20"/>
          <w:szCs w:val="20"/>
        </w:rPr>
        <w:t xml:space="preserve">attributed against </w:t>
      </w:r>
      <w:r w:rsidRPr="007D2794">
        <w:rPr>
          <w:color w:val="000000" w:themeColor="text1"/>
          <w:sz w:val="20"/>
          <w:szCs w:val="20"/>
        </w:rPr>
        <w:t>an amount of annual charge and late payment penalty on the annual charge</w:t>
      </w:r>
      <w:bookmarkStart w:id="5" w:name="_GoBack"/>
      <w:bookmarkEnd w:id="5"/>
      <w:r w:rsidRPr="007D2794">
        <w:rPr>
          <w:color w:val="000000" w:themeColor="text1"/>
          <w:sz w:val="20"/>
          <w:szCs w:val="20"/>
        </w:rPr>
        <w:t xml:space="preserve"> </w:t>
      </w:r>
      <w:r w:rsidR="00111589">
        <w:rPr>
          <w:color w:val="000000" w:themeColor="text1"/>
          <w:sz w:val="20"/>
          <w:szCs w:val="20"/>
        </w:rPr>
        <w:t xml:space="preserve">when a person pays an amount of money to the ACMA </w:t>
      </w:r>
      <w:r w:rsidRPr="007D2794">
        <w:rPr>
          <w:color w:val="000000" w:themeColor="text1"/>
          <w:sz w:val="20"/>
          <w:szCs w:val="20"/>
        </w:rPr>
        <w:t>without any attribution by the person or the ACMA as to the annual charge and the late payment penalty.</w:t>
      </w:r>
    </w:p>
    <w:p w:rsidR="00E455B8" w:rsidRPr="007D2794" w:rsidRDefault="00E455B8" w:rsidP="003C68EB">
      <w:pPr>
        <w:pStyle w:val="ACMAHeading3"/>
        <w:spacing w:before="360"/>
        <w:rPr>
          <w:caps/>
          <w:color w:val="000000" w:themeColor="text1"/>
        </w:rPr>
      </w:pPr>
      <w:bookmarkStart w:id="6" w:name="_Toc102789556"/>
      <w:bookmarkEnd w:id="4"/>
      <w:r w:rsidRPr="007D2794">
        <w:rPr>
          <w:caps/>
          <w:color w:val="000000" w:themeColor="text1"/>
        </w:rPr>
        <w:t xml:space="preserve">Part </w:t>
      </w:r>
      <w:r w:rsidR="0042021D" w:rsidRPr="007D2794">
        <w:rPr>
          <w:caps/>
          <w:color w:val="000000" w:themeColor="text1"/>
        </w:rPr>
        <w:t>4</w:t>
      </w:r>
      <w:r w:rsidRPr="007D2794">
        <w:rPr>
          <w:caps/>
          <w:color w:val="000000" w:themeColor="text1"/>
        </w:rPr>
        <w:tab/>
        <w:t>Decisions about remission of late payment</w:t>
      </w:r>
      <w:bookmarkEnd w:id="6"/>
      <w:r w:rsidRPr="007D2794">
        <w:rPr>
          <w:caps/>
          <w:color w:val="000000" w:themeColor="text1"/>
        </w:rPr>
        <w:t xml:space="preserve"> penalty</w:t>
      </w:r>
    </w:p>
    <w:p w:rsidR="00D647C4" w:rsidRPr="007D2794" w:rsidRDefault="00D647C4" w:rsidP="007B6B6C">
      <w:pPr>
        <w:spacing w:before="240"/>
        <w:rPr>
          <w:color w:val="000000" w:themeColor="text1"/>
          <w:sz w:val="20"/>
          <w:szCs w:val="20"/>
        </w:rPr>
      </w:pPr>
      <w:r w:rsidRPr="007D2794">
        <w:rPr>
          <w:color w:val="000000" w:themeColor="text1"/>
          <w:sz w:val="20"/>
          <w:szCs w:val="20"/>
        </w:rPr>
        <w:t xml:space="preserve">Part </w:t>
      </w:r>
      <w:r w:rsidR="0042021D" w:rsidRPr="007D2794">
        <w:rPr>
          <w:color w:val="000000" w:themeColor="text1"/>
          <w:sz w:val="20"/>
          <w:szCs w:val="20"/>
        </w:rPr>
        <w:t>4</w:t>
      </w:r>
      <w:r w:rsidRPr="007D2794">
        <w:rPr>
          <w:color w:val="000000" w:themeColor="text1"/>
          <w:sz w:val="20"/>
          <w:szCs w:val="20"/>
        </w:rPr>
        <w:t xml:space="preserve"> </w:t>
      </w:r>
      <w:r w:rsidR="00F652C6" w:rsidRPr="007D2794">
        <w:rPr>
          <w:color w:val="000000" w:themeColor="text1"/>
          <w:sz w:val="20"/>
          <w:szCs w:val="20"/>
        </w:rPr>
        <w:t xml:space="preserve">allows the ACMA to remit the </w:t>
      </w:r>
      <w:r w:rsidR="00EE2F56" w:rsidRPr="007D2794">
        <w:rPr>
          <w:color w:val="000000" w:themeColor="text1"/>
          <w:sz w:val="20"/>
          <w:szCs w:val="20"/>
        </w:rPr>
        <w:t>whole</w:t>
      </w:r>
      <w:r w:rsidR="003B249A" w:rsidRPr="007D2794">
        <w:rPr>
          <w:color w:val="000000" w:themeColor="text1"/>
          <w:sz w:val="20"/>
          <w:szCs w:val="20"/>
        </w:rPr>
        <w:t xml:space="preserve"> </w:t>
      </w:r>
      <w:r w:rsidR="00F652C6" w:rsidRPr="007D2794">
        <w:rPr>
          <w:color w:val="000000" w:themeColor="text1"/>
          <w:sz w:val="20"/>
          <w:szCs w:val="20"/>
        </w:rPr>
        <w:t xml:space="preserve">or a part of </w:t>
      </w:r>
      <w:r w:rsidR="00992607" w:rsidRPr="007D2794">
        <w:rPr>
          <w:color w:val="000000" w:themeColor="text1"/>
          <w:sz w:val="20"/>
          <w:szCs w:val="20"/>
        </w:rPr>
        <w:t xml:space="preserve">a </w:t>
      </w:r>
      <w:r w:rsidR="00F652C6" w:rsidRPr="007D2794">
        <w:rPr>
          <w:color w:val="000000" w:themeColor="text1"/>
          <w:sz w:val="20"/>
          <w:szCs w:val="20"/>
        </w:rPr>
        <w:t xml:space="preserve">late payment penalty, and </w:t>
      </w:r>
      <w:r w:rsidRPr="007D2794">
        <w:rPr>
          <w:color w:val="000000" w:themeColor="text1"/>
          <w:sz w:val="20"/>
          <w:szCs w:val="20"/>
        </w:rPr>
        <w:t xml:space="preserve">sets out what the ACMA </w:t>
      </w:r>
      <w:r w:rsidR="00F652C6" w:rsidRPr="007D2794">
        <w:rPr>
          <w:color w:val="000000" w:themeColor="text1"/>
          <w:sz w:val="20"/>
          <w:szCs w:val="20"/>
        </w:rPr>
        <w:t xml:space="preserve">may </w:t>
      </w:r>
      <w:r w:rsidRPr="007D2794">
        <w:rPr>
          <w:color w:val="000000" w:themeColor="text1"/>
          <w:sz w:val="20"/>
          <w:szCs w:val="20"/>
        </w:rPr>
        <w:t xml:space="preserve">consider in </w:t>
      </w:r>
      <w:r w:rsidR="008975C6" w:rsidRPr="007D2794">
        <w:rPr>
          <w:color w:val="000000" w:themeColor="text1"/>
          <w:sz w:val="20"/>
          <w:szCs w:val="20"/>
        </w:rPr>
        <w:t xml:space="preserve">its </w:t>
      </w:r>
      <w:r w:rsidRPr="007D2794">
        <w:rPr>
          <w:color w:val="000000" w:themeColor="text1"/>
          <w:sz w:val="20"/>
          <w:szCs w:val="20"/>
        </w:rPr>
        <w:t xml:space="preserve">decision to remit </w:t>
      </w:r>
      <w:r w:rsidR="00F652C6" w:rsidRPr="007D2794">
        <w:rPr>
          <w:color w:val="000000" w:themeColor="text1"/>
          <w:sz w:val="20"/>
          <w:szCs w:val="20"/>
        </w:rPr>
        <w:t xml:space="preserve">the </w:t>
      </w:r>
      <w:r w:rsidRPr="007D2794">
        <w:rPr>
          <w:color w:val="000000" w:themeColor="text1"/>
          <w:sz w:val="20"/>
          <w:szCs w:val="20"/>
        </w:rPr>
        <w:t>late payment penalty.</w:t>
      </w:r>
    </w:p>
    <w:p w:rsidR="00E455B8" w:rsidRPr="007D2794" w:rsidRDefault="003C68EB" w:rsidP="00E455B8">
      <w:pPr>
        <w:rPr>
          <w:b/>
          <w:color w:val="000000" w:themeColor="text1"/>
          <w:sz w:val="20"/>
          <w:szCs w:val="20"/>
        </w:rPr>
      </w:pPr>
      <w:bookmarkStart w:id="7" w:name="_Toc102789557"/>
      <w:r w:rsidRPr="007D2794">
        <w:rPr>
          <w:b/>
          <w:color w:val="000000" w:themeColor="text1"/>
          <w:sz w:val="20"/>
          <w:szCs w:val="20"/>
        </w:rPr>
        <w:t xml:space="preserve">Section </w:t>
      </w:r>
      <w:r w:rsidR="001B42B2" w:rsidRPr="007D2794">
        <w:rPr>
          <w:b/>
          <w:color w:val="000000" w:themeColor="text1"/>
          <w:sz w:val="20"/>
          <w:szCs w:val="20"/>
        </w:rPr>
        <w:t>9</w:t>
      </w:r>
      <w:r w:rsidRPr="007D2794">
        <w:rPr>
          <w:b/>
          <w:color w:val="000000" w:themeColor="text1"/>
          <w:sz w:val="20"/>
          <w:szCs w:val="20"/>
        </w:rPr>
        <w:t xml:space="preserve"> - </w:t>
      </w:r>
      <w:bookmarkEnd w:id="7"/>
      <w:r w:rsidR="001B42B2" w:rsidRPr="007D2794">
        <w:rPr>
          <w:b/>
          <w:color w:val="000000" w:themeColor="text1"/>
          <w:sz w:val="20"/>
          <w:szCs w:val="20"/>
        </w:rPr>
        <w:t>Remission of late payment penalty: general</w:t>
      </w:r>
    </w:p>
    <w:p w:rsidR="009176B5" w:rsidRPr="007D2794" w:rsidRDefault="001A0645" w:rsidP="009176B5">
      <w:pPr>
        <w:pStyle w:val="ACMABodyText"/>
        <w:rPr>
          <w:color w:val="000000" w:themeColor="text1"/>
        </w:rPr>
      </w:pPr>
      <w:r w:rsidRPr="007D2794">
        <w:rPr>
          <w:color w:val="000000" w:themeColor="text1"/>
        </w:rPr>
        <w:t xml:space="preserve">Section </w:t>
      </w:r>
      <w:r w:rsidR="001B42B2" w:rsidRPr="007D2794">
        <w:rPr>
          <w:color w:val="000000" w:themeColor="text1"/>
        </w:rPr>
        <w:t>9</w:t>
      </w:r>
      <w:r w:rsidRPr="007D2794">
        <w:rPr>
          <w:color w:val="000000" w:themeColor="text1"/>
        </w:rPr>
        <w:t xml:space="preserve"> </w:t>
      </w:r>
      <w:r w:rsidR="009176B5" w:rsidRPr="007D2794">
        <w:rPr>
          <w:color w:val="000000" w:themeColor="text1"/>
        </w:rPr>
        <w:t xml:space="preserve">provides that the ACMA may remit the </w:t>
      </w:r>
      <w:r w:rsidR="00EE2F56" w:rsidRPr="007D2794">
        <w:rPr>
          <w:color w:val="000000" w:themeColor="text1"/>
        </w:rPr>
        <w:t>whole</w:t>
      </w:r>
      <w:r w:rsidR="003B249A" w:rsidRPr="007D2794">
        <w:rPr>
          <w:color w:val="000000" w:themeColor="text1"/>
        </w:rPr>
        <w:t xml:space="preserve"> </w:t>
      </w:r>
      <w:r w:rsidR="009176B5" w:rsidRPr="007D2794">
        <w:rPr>
          <w:color w:val="000000" w:themeColor="text1"/>
        </w:rPr>
        <w:t xml:space="preserve">or a part of an amount of late payment penalty payable by a person, whether or not the person has applied to the ACMA for the remission. </w:t>
      </w:r>
      <w:r w:rsidR="00F652C6" w:rsidRPr="007D2794">
        <w:rPr>
          <w:color w:val="000000" w:themeColor="text1"/>
        </w:rPr>
        <w:t xml:space="preserve">Section </w:t>
      </w:r>
      <w:r w:rsidR="001B42B2" w:rsidRPr="007D2794">
        <w:rPr>
          <w:color w:val="000000" w:themeColor="text1"/>
        </w:rPr>
        <w:t>9</w:t>
      </w:r>
      <w:r w:rsidR="00F652C6" w:rsidRPr="007D2794">
        <w:rPr>
          <w:color w:val="000000" w:themeColor="text1"/>
        </w:rPr>
        <w:t xml:space="preserve"> also sets out the conditions for applying for a remission of late payment penalty.</w:t>
      </w:r>
    </w:p>
    <w:p w:rsidR="001B42B2" w:rsidRPr="007D2794" w:rsidRDefault="003C68EB" w:rsidP="001B42B2">
      <w:pPr>
        <w:rPr>
          <w:b/>
          <w:color w:val="000000" w:themeColor="text1"/>
          <w:sz w:val="20"/>
          <w:szCs w:val="20"/>
        </w:rPr>
      </w:pPr>
      <w:bookmarkStart w:id="8" w:name="_Toc102789558"/>
      <w:r w:rsidRPr="007D2794">
        <w:rPr>
          <w:b/>
          <w:color w:val="000000" w:themeColor="text1"/>
          <w:sz w:val="20"/>
          <w:szCs w:val="20"/>
        </w:rPr>
        <w:t xml:space="preserve">Section </w:t>
      </w:r>
      <w:r w:rsidR="001B42B2" w:rsidRPr="007D2794">
        <w:rPr>
          <w:b/>
          <w:color w:val="000000" w:themeColor="text1"/>
          <w:sz w:val="20"/>
          <w:szCs w:val="20"/>
        </w:rPr>
        <w:t>10</w:t>
      </w:r>
      <w:r w:rsidRPr="007D2794">
        <w:rPr>
          <w:b/>
          <w:color w:val="000000" w:themeColor="text1"/>
          <w:sz w:val="20"/>
          <w:szCs w:val="20"/>
        </w:rPr>
        <w:t xml:space="preserve"> - </w:t>
      </w:r>
      <w:bookmarkEnd w:id="8"/>
      <w:r w:rsidR="001B42B2" w:rsidRPr="007D2794">
        <w:rPr>
          <w:b/>
          <w:color w:val="000000" w:themeColor="text1"/>
          <w:sz w:val="20"/>
          <w:szCs w:val="20"/>
        </w:rPr>
        <w:t>Remission of late payment penalty</w:t>
      </w:r>
      <w:r w:rsidR="00A83AEB" w:rsidRPr="007D2794">
        <w:rPr>
          <w:b/>
          <w:color w:val="000000" w:themeColor="text1"/>
          <w:sz w:val="20"/>
          <w:szCs w:val="20"/>
        </w:rPr>
        <w:t>:</w:t>
      </w:r>
      <w:r w:rsidR="00A83AEB">
        <w:rPr>
          <w:b/>
          <w:color w:val="000000" w:themeColor="text1"/>
          <w:sz w:val="20"/>
          <w:szCs w:val="20"/>
        </w:rPr>
        <w:t xml:space="preserve"> </w:t>
      </w:r>
      <w:r w:rsidR="001B42B2" w:rsidRPr="007D2794">
        <w:rPr>
          <w:b/>
          <w:color w:val="000000" w:themeColor="text1"/>
          <w:sz w:val="20"/>
          <w:szCs w:val="20"/>
        </w:rPr>
        <w:t>reasons</w:t>
      </w:r>
    </w:p>
    <w:p w:rsidR="005E3166" w:rsidRPr="007D2794" w:rsidRDefault="005D58F8" w:rsidP="00E455B8">
      <w:pPr>
        <w:rPr>
          <w:color w:val="000000" w:themeColor="text1"/>
          <w:sz w:val="20"/>
          <w:szCs w:val="20"/>
        </w:rPr>
      </w:pPr>
      <w:r w:rsidRPr="007D2794">
        <w:rPr>
          <w:color w:val="000000" w:themeColor="text1"/>
          <w:sz w:val="20"/>
          <w:szCs w:val="20"/>
        </w:rPr>
        <w:t xml:space="preserve">Section 10 </w:t>
      </w:r>
      <w:r w:rsidR="001B42B2" w:rsidRPr="007D2794">
        <w:rPr>
          <w:color w:val="000000" w:themeColor="text1"/>
          <w:sz w:val="20"/>
          <w:szCs w:val="20"/>
        </w:rPr>
        <w:t xml:space="preserve">sets out the reasons </w:t>
      </w:r>
      <w:r w:rsidR="005B321B">
        <w:rPr>
          <w:color w:val="000000" w:themeColor="text1"/>
          <w:sz w:val="20"/>
          <w:szCs w:val="20"/>
        </w:rPr>
        <w:t xml:space="preserve">for which </w:t>
      </w:r>
      <w:r w:rsidRPr="007D2794">
        <w:rPr>
          <w:color w:val="000000" w:themeColor="text1"/>
          <w:sz w:val="20"/>
          <w:szCs w:val="20"/>
        </w:rPr>
        <w:t>t</w:t>
      </w:r>
      <w:r w:rsidR="00E455B8" w:rsidRPr="007D2794">
        <w:rPr>
          <w:color w:val="000000" w:themeColor="text1"/>
          <w:sz w:val="20"/>
          <w:szCs w:val="20"/>
        </w:rPr>
        <w:t xml:space="preserve">he ACMA </w:t>
      </w:r>
      <w:r w:rsidR="005B321B">
        <w:rPr>
          <w:color w:val="000000" w:themeColor="text1"/>
          <w:sz w:val="20"/>
          <w:szCs w:val="20"/>
        </w:rPr>
        <w:t>may decide to</w:t>
      </w:r>
      <w:r w:rsidR="001B42B2" w:rsidRPr="007D2794">
        <w:rPr>
          <w:color w:val="000000" w:themeColor="text1"/>
          <w:sz w:val="20"/>
          <w:szCs w:val="20"/>
        </w:rPr>
        <w:t xml:space="preserve"> </w:t>
      </w:r>
      <w:r w:rsidR="00E455B8" w:rsidRPr="007D2794">
        <w:rPr>
          <w:color w:val="000000" w:themeColor="text1"/>
          <w:sz w:val="20"/>
          <w:szCs w:val="20"/>
        </w:rPr>
        <w:t xml:space="preserve">remit the </w:t>
      </w:r>
      <w:r w:rsidR="00EE2F56" w:rsidRPr="007D2794">
        <w:rPr>
          <w:color w:val="000000" w:themeColor="text1"/>
          <w:sz w:val="20"/>
          <w:szCs w:val="20"/>
        </w:rPr>
        <w:t>whole</w:t>
      </w:r>
      <w:r w:rsidR="003B249A" w:rsidRPr="007D2794">
        <w:rPr>
          <w:color w:val="000000" w:themeColor="text1"/>
          <w:sz w:val="20"/>
          <w:szCs w:val="20"/>
        </w:rPr>
        <w:t xml:space="preserve"> </w:t>
      </w:r>
      <w:r w:rsidR="00E455B8" w:rsidRPr="007D2794">
        <w:rPr>
          <w:color w:val="000000" w:themeColor="text1"/>
          <w:sz w:val="20"/>
          <w:szCs w:val="20"/>
        </w:rPr>
        <w:t>or a part of the amount of late payment penalty</w:t>
      </w:r>
      <w:r w:rsidRPr="007D2794">
        <w:rPr>
          <w:color w:val="000000" w:themeColor="text1"/>
          <w:sz w:val="20"/>
          <w:szCs w:val="20"/>
        </w:rPr>
        <w:t xml:space="preserve">. </w:t>
      </w:r>
    </w:p>
    <w:p w:rsidR="00E455B8" w:rsidRPr="007D2794" w:rsidRDefault="003C68EB" w:rsidP="00E455B8">
      <w:pPr>
        <w:rPr>
          <w:b/>
          <w:color w:val="000000" w:themeColor="text1"/>
          <w:sz w:val="20"/>
          <w:szCs w:val="20"/>
        </w:rPr>
      </w:pPr>
      <w:bookmarkStart w:id="9" w:name="_Toc102789560"/>
      <w:r w:rsidRPr="007D2794">
        <w:rPr>
          <w:b/>
          <w:color w:val="000000" w:themeColor="text1"/>
          <w:sz w:val="20"/>
          <w:szCs w:val="20"/>
        </w:rPr>
        <w:t xml:space="preserve">Section </w:t>
      </w:r>
      <w:r w:rsidR="00E455B8" w:rsidRPr="007D2794">
        <w:rPr>
          <w:b/>
          <w:color w:val="000000" w:themeColor="text1"/>
          <w:sz w:val="20"/>
          <w:szCs w:val="20"/>
        </w:rPr>
        <w:t>11</w:t>
      </w:r>
      <w:r w:rsidRPr="007D2794">
        <w:rPr>
          <w:b/>
          <w:color w:val="000000" w:themeColor="text1"/>
          <w:sz w:val="20"/>
          <w:szCs w:val="20"/>
        </w:rPr>
        <w:t xml:space="preserve"> - </w:t>
      </w:r>
      <w:r w:rsidR="00E455B8" w:rsidRPr="007D2794">
        <w:rPr>
          <w:b/>
          <w:color w:val="000000" w:themeColor="text1"/>
          <w:sz w:val="20"/>
          <w:szCs w:val="20"/>
        </w:rPr>
        <w:t>Notification of decision</w:t>
      </w:r>
      <w:bookmarkEnd w:id="9"/>
    </w:p>
    <w:p w:rsidR="00E455B8" w:rsidRPr="007D2794" w:rsidRDefault="00AF7BCC" w:rsidP="00E455B8">
      <w:pPr>
        <w:rPr>
          <w:color w:val="000000" w:themeColor="text1"/>
          <w:sz w:val="20"/>
          <w:szCs w:val="20"/>
        </w:rPr>
      </w:pPr>
      <w:r w:rsidRPr="007D2794">
        <w:rPr>
          <w:color w:val="000000" w:themeColor="text1"/>
          <w:sz w:val="20"/>
          <w:szCs w:val="20"/>
        </w:rPr>
        <w:t>Section 11 provides that i</w:t>
      </w:r>
      <w:r w:rsidR="00E455B8" w:rsidRPr="007D2794">
        <w:rPr>
          <w:color w:val="000000" w:themeColor="text1"/>
          <w:sz w:val="20"/>
          <w:szCs w:val="20"/>
        </w:rPr>
        <w:t xml:space="preserve">f the ACMA makes a decision about an application for a remission, it must give the applicant a written statement </w:t>
      </w:r>
      <w:r w:rsidR="003B249A" w:rsidRPr="007D2794">
        <w:rPr>
          <w:color w:val="000000" w:themeColor="text1"/>
          <w:sz w:val="20"/>
          <w:szCs w:val="20"/>
        </w:rPr>
        <w:t>setting out</w:t>
      </w:r>
      <w:r w:rsidR="000127C4" w:rsidRPr="007D2794">
        <w:rPr>
          <w:color w:val="000000" w:themeColor="text1"/>
          <w:sz w:val="20"/>
          <w:szCs w:val="20"/>
        </w:rPr>
        <w:t xml:space="preserve"> </w:t>
      </w:r>
      <w:r w:rsidR="00E455B8" w:rsidRPr="007D2794">
        <w:rPr>
          <w:color w:val="000000" w:themeColor="text1"/>
          <w:sz w:val="20"/>
          <w:szCs w:val="20"/>
        </w:rPr>
        <w:t>the reasons for the decision and</w:t>
      </w:r>
      <w:r w:rsidR="000127C4" w:rsidRPr="007D2794">
        <w:rPr>
          <w:color w:val="000000" w:themeColor="text1"/>
          <w:sz w:val="20"/>
          <w:szCs w:val="20"/>
        </w:rPr>
        <w:t xml:space="preserve"> </w:t>
      </w:r>
      <w:r w:rsidR="00E455B8" w:rsidRPr="007D2794">
        <w:rPr>
          <w:color w:val="000000" w:themeColor="text1"/>
          <w:sz w:val="20"/>
          <w:szCs w:val="20"/>
        </w:rPr>
        <w:t>the arrangements under the Act for reviewing the decision</w:t>
      </w:r>
      <w:r w:rsidR="00E272E8" w:rsidRPr="007D2794">
        <w:rPr>
          <w:color w:val="000000" w:themeColor="text1"/>
          <w:sz w:val="20"/>
          <w:szCs w:val="20"/>
        </w:rPr>
        <w:t>, if the application is refused</w:t>
      </w:r>
      <w:r w:rsidR="00E455B8" w:rsidRPr="007D2794">
        <w:rPr>
          <w:color w:val="000000" w:themeColor="text1"/>
          <w:sz w:val="20"/>
          <w:szCs w:val="20"/>
        </w:rPr>
        <w:t>.</w:t>
      </w:r>
    </w:p>
    <w:p w:rsidR="00E455B8" w:rsidRPr="007D2794" w:rsidRDefault="00D55271" w:rsidP="00E455B8">
      <w:pPr>
        <w:rPr>
          <w:color w:val="000000" w:themeColor="text1"/>
          <w:sz w:val="20"/>
          <w:szCs w:val="20"/>
        </w:rPr>
      </w:pPr>
      <w:r w:rsidRPr="007D2794">
        <w:rPr>
          <w:color w:val="000000" w:themeColor="text1"/>
          <w:sz w:val="20"/>
          <w:szCs w:val="20"/>
        </w:rPr>
        <w:t xml:space="preserve">The </w:t>
      </w:r>
      <w:r w:rsidR="008975C6" w:rsidRPr="007D2794">
        <w:rPr>
          <w:color w:val="000000" w:themeColor="text1"/>
          <w:sz w:val="20"/>
          <w:szCs w:val="20"/>
        </w:rPr>
        <w:t>s</w:t>
      </w:r>
      <w:r w:rsidRPr="007D2794">
        <w:rPr>
          <w:color w:val="000000" w:themeColor="text1"/>
          <w:sz w:val="20"/>
          <w:szCs w:val="20"/>
        </w:rPr>
        <w:t xml:space="preserve">ection </w:t>
      </w:r>
      <w:r w:rsidR="00916884" w:rsidRPr="007D2794">
        <w:rPr>
          <w:color w:val="000000" w:themeColor="text1"/>
          <w:sz w:val="20"/>
          <w:szCs w:val="20"/>
        </w:rPr>
        <w:t>also n</w:t>
      </w:r>
      <w:r w:rsidR="00E455B8" w:rsidRPr="007D2794">
        <w:rPr>
          <w:color w:val="000000" w:themeColor="text1"/>
          <w:sz w:val="20"/>
          <w:szCs w:val="20"/>
        </w:rPr>
        <w:t>ote</w:t>
      </w:r>
      <w:r w:rsidR="00916884" w:rsidRPr="007D2794">
        <w:rPr>
          <w:color w:val="000000" w:themeColor="text1"/>
          <w:sz w:val="20"/>
          <w:szCs w:val="20"/>
        </w:rPr>
        <w:t>s that a</w:t>
      </w:r>
      <w:r w:rsidR="00E455B8" w:rsidRPr="007D2794">
        <w:rPr>
          <w:color w:val="000000" w:themeColor="text1"/>
          <w:sz w:val="20"/>
          <w:szCs w:val="20"/>
        </w:rPr>
        <w:t xml:space="preserve">n application may be made to the ACMA for reconsideration of a decision about the remission of the </w:t>
      </w:r>
      <w:r w:rsidR="00EE2F56" w:rsidRPr="007D2794">
        <w:rPr>
          <w:color w:val="000000" w:themeColor="text1"/>
          <w:sz w:val="20"/>
          <w:szCs w:val="20"/>
        </w:rPr>
        <w:t xml:space="preserve">whole </w:t>
      </w:r>
      <w:r w:rsidR="00E455B8" w:rsidRPr="007D2794">
        <w:rPr>
          <w:color w:val="000000" w:themeColor="text1"/>
          <w:sz w:val="20"/>
          <w:szCs w:val="20"/>
        </w:rPr>
        <w:t>or a part of an amount of late payment penalty. If the ACMA affirms or varies the original decision under section 559 of the Act, an application may be made to the Administrative Appeals Tribunal for review of the decision.</w:t>
      </w:r>
    </w:p>
    <w:p w:rsidR="00E272E8" w:rsidRPr="007D2794" w:rsidRDefault="00E272E8" w:rsidP="00E272E8">
      <w:pPr>
        <w:pStyle w:val="ACMAHeading3"/>
        <w:spacing w:before="360"/>
        <w:rPr>
          <w:caps/>
          <w:color w:val="000000" w:themeColor="text1"/>
        </w:rPr>
      </w:pPr>
      <w:r w:rsidRPr="007D2794">
        <w:rPr>
          <w:caps/>
          <w:color w:val="000000" w:themeColor="text1"/>
        </w:rPr>
        <w:t>Part 5</w:t>
      </w:r>
      <w:r w:rsidRPr="007D2794">
        <w:rPr>
          <w:caps/>
          <w:color w:val="000000" w:themeColor="text1"/>
        </w:rPr>
        <w:tab/>
      </w:r>
      <w:r w:rsidRPr="007D2794">
        <w:rPr>
          <w:caps/>
          <w:color w:val="000000" w:themeColor="text1"/>
          <w:lang w:val="en-AU"/>
        </w:rPr>
        <w:t>Miscellaneous</w:t>
      </w:r>
    </w:p>
    <w:p w:rsidR="0098330D" w:rsidRPr="007D2794" w:rsidRDefault="00E272E8" w:rsidP="0098330D">
      <w:pPr>
        <w:tabs>
          <w:tab w:val="left" w:pos="6073"/>
        </w:tabs>
        <w:spacing w:before="240"/>
        <w:rPr>
          <w:color w:val="000000" w:themeColor="text1"/>
          <w:sz w:val="20"/>
          <w:szCs w:val="20"/>
        </w:rPr>
      </w:pPr>
      <w:r w:rsidRPr="007D2794">
        <w:rPr>
          <w:color w:val="000000" w:themeColor="text1"/>
          <w:sz w:val="20"/>
          <w:szCs w:val="20"/>
        </w:rPr>
        <w:t>Part 5</w:t>
      </w:r>
      <w:r w:rsidR="00175FD8">
        <w:rPr>
          <w:color w:val="000000" w:themeColor="text1"/>
          <w:sz w:val="20"/>
          <w:szCs w:val="20"/>
        </w:rPr>
        <w:t xml:space="preserve"> </w:t>
      </w:r>
      <w:r w:rsidR="003335EB">
        <w:rPr>
          <w:color w:val="000000" w:themeColor="text1"/>
          <w:sz w:val="20"/>
          <w:szCs w:val="20"/>
        </w:rPr>
        <w:t>deals with miscellaneous matters</w:t>
      </w:r>
      <w:r w:rsidR="0098330D" w:rsidRPr="007D2794">
        <w:rPr>
          <w:color w:val="000000" w:themeColor="text1"/>
          <w:sz w:val="20"/>
          <w:szCs w:val="20"/>
        </w:rPr>
        <w:t>.</w:t>
      </w:r>
      <w:r w:rsidR="0098330D" w:rsidRPr="007D2794">
        <w:rPr>
          <w:color w:val="000000" w:themeColor="text1"/>
          <w:sz w:val="20"/>
          <w:szCs w:val="20"/>
        </w:rPr>
        <w:tab/>
      </w:r>
    </w:p>
    <w:p w:rsidR="0098330D" w:rsidRPr="007D2794" w:rsidRDefault="0098330D" w:rsidP="0098330D">
      <w:pPr>
        <w:rPr>
          <w:b/>
          <w:color w:val="000000" w:themeColor="text1"/>
          <w:sz w:val="20"/>
          <w:szCs w:val="20"/>
        </w:rPr>
      </w:pPr>
      <w:r w:rsidRPr="007D2794">
        <w:rPr>
          <w:b/>
          <w:color w:val="000000" w:themeColor="text1"/>
          <w:sz w:val="20"/>
          <w:szCs w:val="20"/>
        </w:rPr>
        <w:t>Section 12 - Judgment for payment of annual charge and interest only</w:t>
      </w:r>
    </w:p>
    <w:p w:rsidR="00DE749B" w:rsidRPr="007D2794" w:rsidRDefault="0098330D" w:rsidP="0098330D">
      <w:pPr>
        <w:rPr>
          <w:color w:val="000000" w:themeColor="text1"/>
          <w:sz w:val="20"/>
          <w:szCs w:val="20"/>
        </w:rPr>
      </w:pPr>
      <w:r w:rsidRPr="007D2794">
        <w:rPr>
          <w:color w:val="000000" w:themeColor="text1"/>
          <w:sz w:val="20"/>
          <w:szCs w:val="20"/>
        </w:rPr>
        <w:t xml:space="preserve">Section 12 </w:t>
      </w:r>
      <w:r w:rsidR="00F957C5" w:rsidRPr="007D2794">
        <w:rPr>
          <w:color w:val="000000" w:themeColor="text1"/>
          <w:sz w:val="20"/>
          <w:szCs w:val="20"/>
        </w:rPr>
        <w:t xml:space="preserve">sets out </w:t>
      </w:r>
      <w:r w:rsidR="007C5EB0" w:rsidRPr="007D2794">
        <w:rPr>
          <w:color w:val="000000" w:themeColor="text1"/>
          <w:sz w:val="20"/>
          <w:szCs w:val="20"/>
        </w:rPr>
        <w:t xml:space="preserve">the treatment of </w:t>
      </w:r>
      <w:r w:rsidR="00DE749B" w:rsidRPr="007D2794">
        <w:rPr>
          <w:color w:val="000000" w:themeColor="text1"/>
          <w:sz w:val="20"/>
          <w:szCs w:val="20"/>
        </w:rPr>
        <w:t xml:space="preserve">late payment penalty </w:t>
      </w:r>
      <w:r w:rsidRPr="007D2794">
        <w:rPr>
          <w:color w:val="000000" w:themeColor="text1"/>
          <w:sz w:val="20"/>
          <w:szCs w:val="20"/>
        </w:rPr>
        <w:t>if judgment is given by, or entered in, a court for the payment of an annual charge</w:t>
      </w:r>
      <w:r w:rsidR="007C5EB0" w:rsidRPr="007D2794">
        <w:rPr>
          <w:color w:val="000000" w:themeColor="text1"/>
          <w:sz w:val="20"/>
          <w:szCs w:val="20"/>
        </w:rPr>
        <w:t>,</w:t>
      </w:r>
      <w:r w:rsidRPr="007D2794">
        <w:rPr>
          <w:color w:val="000000" w:themeColor="text1"/>
          <w:sz w:val="20"/>
          <w:szCs w:val="20"/>
        </w:rPr>
        <w:t xml:space="preserve"> and the judgment carries interest</w:t>
      </w:r>
      <w:r w:rsidR="00BE3D72" w:rsidRPr="007D2794">
        <w:rPr>
          <w:color w:val="000000" w:themeColor="text1"/>
          <w:sz w:val="20"/>
          <w:szCs w:val="20"/>
        </w:rPr>
        <w:t>. This section does not apply if section 13 applies</w:t>
      </w:r>
      <w:r w:rsidR="00DE749B" w:rsidRPr="007D2794">
        <w:rPr>
          <w:color w:val="000000" w:themeColor="text1"/>
          <w:sz w:val="20"/>
          <w:szCs w:val="20"/>
        </w:rPr>
        <w:t>.</w:t>
      </w:r>
    </w:p>
    <w:p w:rsidR="00E272E8" w:rsidRPr="007D2794" w:rsidRDefault="00E272E8" w:rsidP="00E272E8">
      <w:pPr>
        <w:rPr>
          <w:b/>
          <w:color w:val="000000" w:themeColor="text1"/>
          <w:sz w:val="20"/>
          <w:szCs w:val="20"/>
        </w:rPr>
      </w:pPr>
      <w:r w:rsidRPr="007D2794">
        <w:rPr>
          <w:b/>
          <w:color w:val="000000" w:themeColor="text1"/>
          <w:sz w:val="20"/>
          <w:szCs w:val="20"/>
        </w:rPr>
        <w:t xml:space="preserve">Section </w:t>
      </w:r>
      <w:r w:rsidR="007C5EB0" w:rsidRPr="007D2794">
        <w:rPr>
          <w:b/>
          <w:color w:val="000000" w:themeColor="text1"/>
          <w:sz w:val="20"/>
          <w:szCs w:val="20"/>
        </w:rPr>
        <w:t>13</w:t>
      </w:r>
      <w:r w:rsidRPr="007D2794">
        <w:rPr>
          <w:b/>
          <w:color w:val="000000" w:themeColor="text1"/>
          <w:sz w:val="20"/>
          <w:szCs w:val="20"/>
        </w:rPr>
        <w:t xml:space="preserve"> - </w:t>
      </w:r>
      <w:r w:rsidR="007C5EB0" w:rsidRPr="007D2794">
        <w:rPr>
          <w:b/>
          <w:color w:val="000000" w:themeColor="text1"/>
          <w:sz w:val="20"/>
          <w:szCs w:val="20"/>
        </w:rPr>
        <w:t>Judgment for payment of annual charge, interest and other amounts</w:t>
      </w:r>
    </w:p>
    <w:p w:rsidR="007C5EB0" w:rsidRPr="007D2794" w:rsidRDefault="007C5EB0" w:rsidP="007C5EB0">
      <w:pPr>
        <w:rPr>
          <w:color w:val="000000" w:themeColor="text1"/>
          <w:sz w:val="20"/>
          <w:szCs w:val="20"/>
        </w:rPr>
      </w:pPr>
      <w:r w:rsidRPr="007D2794">
        <w:rPr>
          <w:color w:val="000000" w:themeColor="text1"/>
          <w:sz w:val="20"/>
          <w:szCs w:val="20"/>
        </w:rPr>
        <w:t>Section 1</w:t>
      </w:r>
      <w:r w:rsidR="00853805" w:rsidRPr="007D2794">
        <w:rPr>
          <w:color w:val="000000" w:themeColor="text1"/>
          <w:sz w:val="20"/>
          <w:szCs w:val="20"/>
        </w:rPr>
        <w:t>3</w:t>
      </w:r>
      <w:r w:rsidRPr="007D2794">
        <w:rPr>
          <w:color w:val="000000" w:themeColor="text1"/>
          <w:sz w:val="20"/>
          <w:szCs w:val="20"/>
        </w:rPr>
        <w:t xml:space="preserve"> sets out the treatment of late payment penalty if judgment is given by, or entered in, a court for the payment of an annual charge, and the judgment carries interest</w:t>
      </w:r>
      <w:r w:rsidR="00853805" w:rsidRPr="007D2794">
        <w:rPr>
          <w:color w:val="000000" w:themeColor="text1"/>
          <w:sz w:val="20"/>
          <w:szCs w:val="20"/>
        </w:rPr>
        <w:t xml:space="preserve"> and other amounts</w:t>
      </w:r>
      <w:r w:rsidRPr="007D2794">
        <w:rPr>
          <w:color w:val="000000" w:themeColor="text1"/>
          <w:sz w:val="20"/>
          <w:szCs w:val="20"/>
        </w:rPr>
        <w:t>.</w:t>
      </w:r>
    </w:p>
    <w:p w:rsidR="00853805" w:rsidRPr="007D2794" w:rsidRDefault="00853805" w:rsidP="00853805">
      <w:pPr>
        <w:rPr>
          <w:b/>
          <w:color w:val="000000" w:themeColor="text1"/>
          <w:sz w:val="20"/>
          <w:szCs w:val="20"/>
        </w:rPr>
      </w:pPr>
      <w:bookmarkStart w:id="10" w:name="_Toc373843395"/>
      <w:r w:rsidRPr="007D2794">
        <w:rPr>
          <w:b/>
          <w:color w:val="000000" w:themeColor="text1"/>
          <w:sz w:val="20"/>
          <w:szCs w:val="20"/>
        </w:rPr>
        <w:t>Section 14 - Rounding of amount of late payment penalty</w:t>
      </w:r>
      <w:bookmarkEnd w:id="10"/>
    </w:p>
    <w:p w:rsidR="00853805" w:rsidRPr="007D2794" w:rsidRDefault="00853805" w:rsidP="00853805">
      <w:pPr>
        <w:rPr>
          <w:color w:val="000000" w:themeColor="text1"/>
          <w:sz w:val="20"/>
          <w:szCs w:val="20"/>
        </w:rPr>
      </w:pPr>
      <w:r w:rsidRPr="007D2794">
        <w:rPr>
          <w:color w:val="000000" w:themeColor="text1"/>
          <w:sz w:val="20"/>
          <w:szCs w:val="20"/>
        </w:rPr>
        <w:t xml:space="preserve">Section 14 sets out how a late payment penalty amount ending in a part of a whole cent should </w:t>
      </w:r>
      <w:r w:rsidR="003335EB">
        <w:rPr>
          <w:color w:val="000000" w:themeColor="text1"/>
          <w:sz w:val="20"/>
          <w:szCs w:val="20"/>
        </w:rPr>
        <w:t xml:space="preserve">be </w:t>
      </w:r>
      <w:r w:rsidRPr="007D2794">
        <w:rPr>
          <w:color w:val="000000" w:themeColor="text1"/>
          <w:sz w:val="20"/>
          <w:szCs w:val="20"/>
        </w:rPr>
        <w:t>treated.</w:t>
      </w:r>
    </w:p>
    <w:p w:rsidR="00E455B8" w:rsidRPr="007D2794" w:rsidRDefault="00E455B8" w:rsidP="003C68EB">
      <w:pPr>
        <w:pStyle w:val="ACMAHeading3"/>
        <w:spacing w:before="360"/>
        <w:rPr>
          <w:caps/>
          <w:color w:val="000000" w:themeColor="text1"/>
        </w:rPr>
      </w:pPr>
      <w:r w:rsidRPr="007D2794">
        <w:rPr>
          <w:caps/>
          <w:color w:val="000000" w:themeColor="text1"/>
        </w:rPr>
        <w:lastRenderedPageBreak/>
        <w:t xml:space="preserve">Part </w:t>
      </w:r>
      <w:r w:rsidR="00542029" w:rsidRPr="007D2794">
        <w:rPr>
          <w:caps/>
          <w:color w:val="000000" w:themeColor="text1"/>
        </w:rPr>
        <w:t>6</w:t>
      </w:r>
      <w:r w:rsidRPr="007D2794">
        <w:rPr>
          <w:caps/>
          <w:color w:val="000000" w:themeColor="text1"/>
        </w:rPr>
        <w:tab/>
        <w:t xml:space="preserve">Transitional arrangements </w:t>
      </w:r>
    </w:p>
    <w:p w:rsidR="00D647C4" w:rsidRPr="007D2794" w:rsidRDefault="00D647C4" w:rsidP="00D647C4">
      <w:pPr>
        <w:pStyle w:val="ACMABodyText"/>
        <w:rPr>
          <w:color w:val="000000" w:themeColor="text1"/>
        </w:rPr>
      </w:pPr>
      <w:r w:rsidRPr="007D2794">
        <w:rPr>
          <w:color w:val="000000" w:themeColor="text1"/>
        </w:rPr>
        <w:t xml:space="preserve">Part </w:t>
      </w:r>
      <w:r w:rsidR="00542029" w:rsidRPr="007D2794">
        <w:rPr>
          <w:color w:val="000000" w:themeColor="text1"/>
        </w:rPr>
        <w:t>6</w:t>
      </w:r>
      <w:r w:rsidRPr="007D2794">
        <w:rPr>
          <w:color w:val="000000" w:themeColor="text1"/>
        </w:rPr>
        <w:t xml:space="preserve"> sets out </w:t>
      </w:r>
      <w:r w:rsidR="00185FF8" w:rsidRPr="007D2794">
        <w:rPr>
          <w:color w:val="000000" w:themeColor="text1"/>
        </w:rPr>
        <w:t xml:space="preserve">the </w:t>
      </w:r>
      <w:r w:rsidRPr="007D2794">
        <w:rPr>
          <w:color w:val="000000" w:themeColor="text1"/>
        </w:rPr>
        <w:t xml:space="preserve">transitional arrangements </w:t>
      </w:r>
      <w:r w:rsidR="00185FF8" w:rsidRPr="007D2794">
        <w:rPr>
          <w:color w:val="000000" w:themeColor="text1"/>
        </w:rPr>
        <w:t xml:space="preserve">that apply </w:t>
      </w:r>
      <w:r w:rsidR="00C363B0" w:rsidRPr="007D2794">
        <w:rPr>
          <w:color w:val="000000" w:themeColor="text1"/>
        </w:rPr>
        <w:t>as a result of</w:t>
      </w:r>
      <w:r w:rsidR="00185FF8" w:rsidRPr="007D2794">
        <w:rPr>
          <w:color w:val="000000" w:themeColor="text1"/>
        </w:rPr>
        <w:t xml:space="preserve"> moving </w:t>
      </w:r>
      <w:r w:rsidRPr="007D2794">
        <w:rPr>
          <w:color w:val="000000" w:themeColor="text1"/>
        </w:rPr>
        <w:t xml:space="preserve">from the </w:t>
      </w:r>
      <w:r w:rsidR="00185FF8" w:rsidRPr="007D2794">
        <w:rPr>
          <w:color w:val="000000" w:themeColor="text1"/>
        </w:rPr>
        <w:t xml:space="preserve">old instruments </w:t>
      </w:r>
      <w:r w:rsidRPr="007D2794">
        <w:rPr>
          <w:color w:val="000000" w:themeColor="text1"/>
        </w:rPr>
        <w:t>to the new Determination.</w:t>
      </w:r>
    </w:p>
    <w:p w:rsidR="00E455B8" w:rsidRPr="007D2794" w:rsidRDefault="003C68EB" w:rsidP="00E455B8">
      <w:pPr>
        <w:rPr>
          <w:b/>
          <w:color w:val="000000" w:themeColor="text1"/>
          <w:sz w:val="20"/>
          <w:szCs w:val="20"/>
        </w:rPr>
      </w:pPr>
      <w:r w:rsidRPr="007D2794">
        <w:rPr>
          <w:b/>
          <w:color w:val="000000" w:themeColor="text1"/>
          <w:sz w:val="20"/>
          <w:szCs w:val="20"/>
        </w:rPr>
        <w:t xml:space="preserve">Section </w:t>
      </w:r>
      <w:r w:rsidR="00E455B8" w:rsidRPr="007D2794">
        <w:rPr>
          <w:b/>
          <w:color w:val="000000" w:themeColor="text1"/>
          <w:sz w:val="20"/>
          <w:szCs w:val="20"/>
        </w:rPr>
        <w:t>1</w:t>
      </w:r>
      <w:r w:rsidR="00542029" w:rsidRPr="007D2794">
        <w:rPr>
          <w:b/>
          <w:color w:val="000000" w:themeColor="text1"/>
          <w:sz w:val="20"/>
          <w:szCs w:val="20"/>
        </w:rPr>
        <w:t>5</w:t>
      </w:r>
      <w:r w:rsidRPr="007D2794">
        <w:rPr>
          <w:b/>
          <w:color w:val="000000" w:themeColor="text1"/>
          <w:sz w:val="20"/>
          <w:szCs w:val="20"/>
        </w:rPr>
        <w:t xml:space="preserve"> - </w:t>
      </w:r>
      <w:r w:rsidR="00E455B8" w:rsidRPr="007D2794">
        <w:rPr>
          <w:b/>
          <w:color w:val="000000" w:themeColor="text1"/>
          <w:sz w:val="20"/>
          <w:szCs w:val="20"/>
        </w:rPr>
        <w:t>Annual charge unpaid as at the commencement day</w:t>
      </w:r>
    </w:p>
    <w:p w:rsidR="00185FF8" w:rsidRPr="007D2794" w:rsidRDefault="00185FF8" w:rsidP="00185FF8">
      <w:pPr>
        <w:pStyle w:val="ACMABodyText"/>
        <w:rPr>
          <w:color w:val="000000" w:themeColor="text1"/>
        </w:rPr>
      </w:pPr>
      <w:r w:rsidRPr="007D2794">
        <w:rPr>
          <w:color w:val="000000" w:themeColor="text1"/>
        </w:rPr>
        <w:t>Section 1</w:t>
      </w:r>
      <w:r w:rsidR="00542029" w:rsidRPr="007D2794">
        <w:rPr>
          <w:color w:val="000000" w:themeColor="text1"/>
        </w:rPr>
        <w:t>5</w:t>
      </w:r>
      <w:r w:rsidRPr="007D2794">
        <w:rPr>
          <w:color w:val="000000" w:themeColor="text1"/>
        </w:rPr>
        <w:t xml:space="preserve"> sets out transitional arrangements for any </w:t>
      </w:r>
      <w:r w:rsidR="00775628" w:rsidRPr="007D2794">
        <w:rPr>
          <w:color w:val="000000" w:themeColor="text1"/>
        </w:rPr>
        <w:t>annual charge</w:t>
      </w:r>
      <w:r w:rsidR="001D5F4A" w:rsidRPr="007D2794">
        <w:rPr>
          <w:color w:val="000000" w:themeColor="text1"/>
        </w:rPr>
        <w:t>s</w:t>
      </w:r>
      <w:r w:rsidRPr="007D2794">
        <w:rPr>
          <w:color w:val="000000" w:themeColor="text1"/>
        </w:rPr>
        <w:t xml:space="preserve"> that </w:t>
      </w:r>
      <w:r w:rsidR="001D5F4A" w:rsidRPr="007D2794">
        <w:rPr>
          <w:color w:val="000000" w:themeColor="text1"/>
        </w:rPr>
        <w:t xml:space="preserve">remain wholly or partly unpaid </w:t>
      </w:r>
      <w:r w:rsidR="003335EB">
        <w:rPr>
          <w:color w:val="000000" w:themeColor="text1"/>
        </w:rPr>
        <w:t>on</w:t>
      </w:r>
      <w:r w:rsidR="001D5F4A" w:rsidRPr="007D2794">
        <w:rPr>
          <w:color w:val="000000" w:themeColor="text1"/>
        </w:rPr>
        <w:t xml:space="preserve"> the commencement day</w:t>
      </w:r>
      <w:r w:rsidRPr="007D2794">
        <w:rPr>
          <w:color w:val="000000" w:themeColor="text1"/>
        </w:rPr>
        <w:t>.</w:t>
      </w:r>
    </w:p>
    <w:p w:rsidR="00E455B8" w:rsidRPr="00AF43D3" w:rsidRDefault="003C68EB" w:rsidP="00E455B8">
      <w:pPr>
        <w:rPr>
          <w:b/>
          <w:color w:val="000000" w:themeColor="text1"/>
          <w:sz w:val="20"/>
          <w:szCs w:val="20"/>
        </w:rPr>
      </w:pPr>
      <w:r w:rsidRPr="00AF43D3">
        <w:rPr>
          <w:b/>
          <w:color w:val="000000" w:themeColor="text1"/>
          <w:sz w:val="20"/>
          <w:szCs w:val="20"/>
        </w:rPr>
        <w:t xml:space="preserve">Section </w:t>
      </w:r>
      <w:r w:rsidR="00E455B8" w:rsidRPr="00AF43D3">
        <w:rPr>
          <w:b/>
          <w:color w:val="000000" w:themeColor="text1"/>
          <w:sz w:val="20"/>
          <w:szCs w:val="20"/>
        </w:rPr>
        <w:t>1</w:t>
      </w:r>
      <w:r w:rsidR="00BF7653" w:rsidRPr="00AF43D3">
        <w:rPr>
          <w:b/>
          <w:color w:val="000000" w:themeColor="text1"/>
          <w:sz w:val="20"/>
          <w:szCs w:val="20"/>
        </w:rPr>
        <w:t>6</w:t>
      </w:r>
      <w:r w:rsidRPr="00AF43D3">
        <w:rPr>
          <w:b/>
          <w:color w:val="000000" w:themeColor="text1"/>
          <w:sz w:val="20"/>
          <w:szCs w:val="20"/>
        </w:rPr>
        <w:t xml:space="preserve"> - </w:t>
      </w:r>
      <w:r w:rsidR="00E455B8" w:rsidRPr="00AF43D3">
        <w:rPr>
          <w:b/>
          <w:color w:val="000000" w:themeColor="text1"/>
          <w:sz w:val="20"/>
          <w:szCs w:val="20"/>
        </w:rPr>
        <w:t xml:space="preserve">Application for remission </w:t>
      </w:r>
      <w:r w:rsidR="003335EB" w:rsidRPr="00283BE8">
        <w:rPr>
          <w:b/>
          <w:bCs/>
          <w:sz w:val="20"/>
          <w:szCs w:val="20"/>
        </w:rPr>
        <w:t xml:space="preserve">under the </w:t>
      </w:r>
      <w:r w:rsidR="003335EB" w:rsidRPr="00283BE8">
        <w:rPr>
          <w:b/>
          <w:bCs/>
          <w:i/>
          <w:sz w:val="20"/>
          <w:szCs w:val="20"/>
        </w:rPr>
        <w:t>Telecommunications (Annual Numbering Charge — Late Payment Penalty) Determination 2000</w:t>
      </w:r>
    </w:p>
    <w:p w:rsidR="00997ACE" w:rsidRPr="007D2794" w:rsidRDefault="00997ACE" w:rsidP="00E455B8">
      <w:pPr>
        <w:rPr>
          <w:color w:val="000000" w:themeColor="text1"/>
          <w:sz w:val="20"/>
          <w:szCs w:val="20"/>
        </w:rPr>
      </w:pPr>
      <w:r w:rsidRPr="007D2794">
        <w:rPr>
          <w:color w:val="000000" w:themeColor="text1"/>
          <w:sz w:val="20"/>
          <w:szCs w:val="20"/>
        </w:rPr>
        <w:t>Section 1</w:t>
      </w:r>
      <w:r w:rsidR="00BF7653" w:rsidRPr="007D2794">
        <w:rPr>
          <w:color w:val="000000" w:themeColor="text1"/>
          <w:sz w:val="20"/>
          <w:szCs w:val="20"/>
        </w:rPr>
        <w:t>6</w:t>
      </w:r>
      <w:r w:rsidRPr="007D2794">
        <w:rPr>
          <w:color w:val="000000" w:themeColor="text1"/>
          <w:sz w:val="20"/>
          <w:szCs w:val="20"/>
        </w:rPr>
        <w:t xml:space="preserve"> sets out transitional arrangements that apply to </w:t>
      </w:r>
      <w:r w:rsidR="00E455B8" w:rsidRPr="007D2794">
        <w:rPr>
          <w:color w:val="000000" w:themeColor="text1"/>
          <w:sz w:val="20"/>
          <w:szCs w:val="20"/>
        </w:rPr>
        <w:t xml:space="preserve">an application for a remission of a late payment penalty </w:t>
      </w:r>
      <w:r w:rsidRPr="007D2794">
        <w:rPr>
          <w:color w:val="000000" w:themeColor="text1"/>
          <w:sz w:val="20"/>
          <w:szCs w:val="20"/>
        </w:rPr>
        <w:t xml:space="preserve">that </w:t>
      </w:r>
      <w:r w:rsidR="00E455B8" w:rsidRPr="007D2794">
        <w:rPr>
          <w:color w:val="000000" w:themeColor="text1"/>
          <w:sz w:val="20"/>
          <w:szCs w:val="20"/>
        </w:rPr>
        <w:t xml:space="preserve">was </w:t>
      </w:r>
      <w:r w:rsidR="003335EB">
        <w:rPr>
          <w:color w:val="000000" w:themeColor="text1"/>
          <w:sz w:val="20"/>
          <w:szCs w:val="20"/>
        </w:rPr>
        <w:t xml:space="preserve">or is </w:t>
      </w:r>
      <w:r w:rsidR="00E455B8" w:rsidRPr="007D2794">
        <w:rPr>
          <w:color w:val="000000" w:themeColor="text1"/>
          <w:sz w:val="20"/>
          <w:szCs w:val="20"/>
        </w:rPr>
        <w:t xml:space="preserve">made in accordance with </w:t>
      </w:r>
      <w:r w:rsidR="009C7445" w:rsidRPr="007D2794">
        <w:rPr>
          <w:color w:val="000000" w:themeColor="text1"/>
          <w:sz w:val="20"/>
          <w:szCs w:val="20"/>
        </w:rPr>
        <w:t xml:space="preserve">the </w:t>
      </w:r>
      <w:r w:rsidRPr="007D2794">
        <w:rPr>
          <w:color w:val="000000" w:themeColor="text1"/>
          <w:sz w:val="20"/>
          <w:szCs w:val="20"/>
        </w:rPr>
        <w:t>Late Payment Penalty Instrument</w:t>
      </w:r>
      <w:r w:rsidR="00E455B8" w:rsidRPr="007D2794">
        <w:rPr>
          <w:color w:val="000000" w:themeColor="text1"/>
          <w:sz w:val="20"/>
          <w:szCs w:val="20"/>
        </w:rPr>
        <w:t xml:space="preserve"> </w:t>
      </w:r>
      <w:r w:rsidR="00992607" w:rsidRPr="007D2794">
        <w:rPr>
          <w:color w:val="000000" w:themeColor="text1"/>
          <w:sz w:val="20"/>
          <w:szCs w:val="20"/>
        </w:rPr>
        <w:t xml:space="preserve">but not decided </w:t>
      </w:r>
      <w:r w:rsidR="00E455B8" w:rsidRPr="007D2794">
        <w:rPr>
          <w:color w:val="000000" w:themeColor="text1"/>
          <w:sz w:val="20"/>
          <w:szCs w:val="20"/>
        </w:rPr>
        <w:t>before the commencement day</w:t>
      </w:r>
      <w:r w:rsidRPr="007D2794">
        <w:rPr>
          <w:color w:val="000000" w:themeColor="text1"/>
          <w:sz w:val="20"/>
          <w:szCs w:val="20"/>
        </w:rPr>
        <w:t xml:space="preserve">. In </w:t>
      </w:r>
      <w:r w:rsidR="003335EB">
        <w:rPr>
          <w:color w:val="000000" w:themeColor="text1"/>
          <w:sz w:val="20"/>
          <w:szCs w:val="20"/>
        </w:rPr>
        <w:t>such a</w:t>
      </w:r>
      <w:r w:rsidRPr="007D2794">
        <w:rPr>
          <w:color w:val="000000" w:themeColor="text1"/>
          <w:sz w:val="20"/>
          <w:szCs w:val="20"/>
        </w:rPr>
        <w:t xml:space="preserve"> case</w:t>
      </w:r>
      <w:r w:rsidR="003B249A" w:rsidRPr="007D2794">
        <w:rPr>
          <w:color w:val="000000" w:themeColor="text1"/>
          <w:sz w:val="20"/>
          <w:szCs w:val="20"/>
        </w:rPr>
        <w:t>,</w:t>
      </w:r>
      <w:r w:rsidRPr="007D2794">
        <w:rPr>
          <w:color w:val="000000" w:themeColor="text1"/>
          <w:sz w:val="20"/>
          <w:szCs w:val="20"/>
        </w:rPr>
        <w:t xml:space="preserve"> </w:t>
      </w:r>
      <w:r w:rsidR="00E455B8" w:rsidRPr="007D2794">
        <w:rPr>
          <w:color w:val="000000" w:themeColor="text1"/>
          <w:sz w:val="20"/>
          <w:szCs w:val="20"/>
        </w:rPr>
        <w:t xml:space="preserve">the application is to be dealt with in accordance with the </w:t>
      </w:r>
      <w:bookmarkStart w:id="11" w:name="_Toc102789561"/>
      <w:r w:rsidRPr="007D2794">
        <w:rPr>
          <w:color w:val="000000" w:themeColor="text1"/>
          <w:sz w:val="20"/>
          <w:szCs w:val="20"/>
        </w:rPr>
        <w:t>Late Payment Penalty Instrument.</w:t>
      </w:r>
    </w:p>
    <w:p w:rsidR="00E455B8" w:rsidRPr="007D2794" w:rsidRDefault="00E455B8" w:rsidP="00E455B8">
      <w:pPr>
        <w:rPr>
          <w:b/>
          <w:color w:val="000000" w:themeColor="text1"/>
          <w:sz w:val="20"/>
          <w:szCs w:val="20"/>
        </w:rPr>
      </w:pPr>
      <w:r w:rsidRPr="007D2794">
        <w:rPr>
          <w:b/>
          <w:color w:val="000000" w:themeColor="text1"/>
          <w:sz w:val="20"/>
          <w:szCs w:val="20"/>
        </w:rPr>
        <w:t>Schedule 1</w:t>
      </w:r>
      <w:r w:rsidR="003C68EB" w:rsidRPr="007D2794">
        <w:rPr>
          <w:b/>
          <w:color w:val="000000" w:themeColor="text1"/>
          <w:sz w:val="20"/>
          <w:szCs w:val="20"/>
        </w:rPr>
        <w:t xml:space="preserve"> - </w:t>
      </w:r>
      <w:r w:rsidRPr="007D2794">
        <w:rPr>
          <w:b/>
          <w:color w:val="000000" w:themeColor="text1"/>
          <w:sz w:val="20"/>
          <w:szCs w:val="20"/>
        </w:rPr>
        <w:t>Calculation of previous financial year average GIC rate</w:t>
      </w:r>
      <w:bookmarkEnd w:id="11"/>
    </w:p>
    <w:p w:rsidR="00945A8B" w:rsidRPr="007D2794" w:rsidRDefault="00997ACE" w:rsidP="00997ACE">
      <w:pPr>
        <w:rPr>
          <w:color w:val="000000" w:themeColor="text1"/>
          <w:sz w:val="20"/>
          <w:szCs w:val="20"/>
        </w:rPr>
      </w:pPr>
      <w:r w:rsidRPr="007D2794">
        <w:rPr>
          <w:color w:val="000000" w:themeColor="text1"/>
          <w:sz w:val="20"/>
          <w:szCs w:val="20"/>
        </w:rPr>
        <w:t xml:space="preserve">Schedule 1 sets out how the </w:t>
      </w:r>
      <w:r w:rsidR="00945A8B" w:rsidRPr="007D2794">
        <w:rPr>
          <w:color w:val="000000" w:themeColor="text1"/>
          <w:sz w:val="20"/>
          <w:szCs w:val="20"/>
        </w:rPr>
        <w:t>previous financial year average GIC (general interest charge) rate</w:t>
      </w:r>
      <w:r w:rsidR="00C363B0" w:rsidRPr="007D2794">
        <w:rPr>
          <w:color w:val="000000" w:themeColor="text1"/>
          <w:sz w:val="20"/>
          <w:szCs w:val="20"/>
        </w:rPr>
        <w:t>,</w:t>
      </w:r>
      <w:r w:rsidR="00945A8B" w:rsidRPr="007D2794">
        <w:rPr>
          <w:color w:val="000000" w:themeColor="text1"/>
          <w:sz w:val="20"/>
          <w:szCs w:val="20"/>
        </w:rPr>
        <w:t xml:space="preserve"> referred to in </w:t>
      </w:r>
      <w:r w:rsidR="00992607" w:rsidRPr="007D2794">
        <w:rPr>
          <w:color w:val="000000" w:themeColor="text1"/>
          <w:sz w:val="20"/>
          <w:szCs w:val="20"/>
        </w:rPr>
        <w:t>s</w:t>
      </w:r>
      <w:r w:rsidR="00945A8B" w:rsidRPr="007D2794">
        <w:rPr>
          <w:color w:val="000000" w:themeColor="text1"/>
          <w:sz w:val="20"/>
          <w:szCs w:val="20"/>
        </w:rPr>
        <w:t xml:space="preserve">ection </w:t>
      </w:r>
      <w:r w:rsidR="00BF7653" w:rsidRPr="007D2794">
        <w:rPr>
          <w:color w:val="000000" w:themeColor="text1"/>
          <w:sz w:val="20"/>
          <w:szCs w:val="20"/>
        </w:rPr>
        <w:t>4</w:t>
      </w:r>
      <w:r w:rsidR="00945A8B" w:rsidRPr="007D2794">
        <w:rPr>
          <w:color w:val="000000" w:themeColor="text1"/>
          <w:sz w:val="20"/>
          <w:szCs w:val="20"/>
        </w:rPr>
        <w:t xml:space="preserve"> of the Determination is calculated.</w:t>
      </w:r>
    </w:p>
    <w:p w:rsidR="00C05A05" w:rsidRPr="008F072C" w:rsidRDefault="00945A8B">
      <w:pPr>
        <w:rPr>
          <w:color w:val="000000" w:themeColor="text1"/>
          <w:sz w:val="20"/>
          <w:szCs w:val="20"/>
        </w:rPr>
      </w:pPr>
      <w:r w:rsidRPr="007D2794">
        <w:rPr>
          <w:color w:val="000000" w:themeColor="text1"/>
          <w:sz w:val="20"/>
          <w:szCs w:val="20"/>
        </w:rPr>
        <w:t xml:space="preserve">It specifies the formula to be used, the </w:t>
      </w:r>
      <w:r w:rsidR="00992607" w:rsidRPr="007D2794">
        <w:rPr>
          <w:color w:val="000000" w:themeColor="text1"/>
          <w:sz w:val="20"/>
          <w:szCs w:val="20"/>
        </w:rPr>
        <w:t xml:space="preserve">means by which the </w:t>
      </w:r>
      <w:r w:rsidR="00E455B8" w:rsidRPr="007D2794">
        <w:rPr>
          <w:color w:val="000000" w:themeColor="text1"/>
          <w:sz w:val="20"/>
          <w:szCs w:val="20"/>
        </w:rPr>
        <w:t xml:space="preserve">general interest charge rates </w:t>
      </w:r>
      <w:r w:rsidRPr="007D2794">
        <w:rPr>
          <w:color w:val="000000" w:themeColor="text1"/>
          <w:sz w:val="20"/>
          <w:szCs w:val="20"/>
        </w:rPr>
        <w:t xml:space="preserve">are </w:t>
      </w:r>
      <w:r w:rsidR="00E455B8" w:rsidRPr="007D2794">
        <w:rPr>
          <w:color w:val="000000" w:themeColor="text1"/>
          <w:sz w:val="20"/>
          <w:szCs w:val="20"/>
        </w:rPr>
        <w:t>determined</w:t>
      </w:r>
      <w:r w:rsidR="00992607" w:rsidRPr="007D2794">
        <w:rPr>
          <w:color w:val="000000" w:themeColor="text1"/>
          <w:sz w:val="20"/>
          <w:szCs w:val="20"/>
        </w:rPr>
        <w:t>,</w:t>
      </w:r>
      <w:r w:rsidRPr="007D2794">
        <w:rPr>
          <w:color w:val="000000" w:themeColor="text1"/>
          <w:sz w:val="20"/>
          <w:szCs w:val="20"/>
        </w:rPr>
        <w:t xml:space="preserve"> and the rounding to apply.</w:t>
      </w:r>
    </w:p>
    <w:sectPr w:rsidR="00C05A05" w:rsidRPr="008F072C" w:rsidSect="00BA369D">
      <w:footerReference w:type="default" r:id="rId13"/>
      <w:footerReference w:type="first" r:id="rId14"/>
      <w:pgSz w:w="11906" w:h="16838"/>
      <w:pgMar w:top="1134"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584" w:rsidRDefault="00294584" w:rsidP="0023578E">
      <w:pPr>
        <w:spacing w:after="0" w:line="240" w:lineRule="auto"/>
      </w:pPr>
      <w:r>
        <w:separator/>
      </w:r>
    </w:p>
  </w:endnote>
  <w:endnote w:type="continuationSeparator" w:id="0">
    <w:p w:rsidR="00294584" w:rsidRDefault="00294584" w:rsidP="00235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083790"/>
      <w:docPartObj>
        <w:docPartGallery w:val="Page Numbers (Bottom of Page)"/>
        <w:docPartUnique/>
      </w:docPartObj>
    </w:sdtPr>
    <w:sdtEndPr>
      <w:rPr>
        <w:noProof/>
      </w:rPr>
    </w:sdtEndPr>
    <w:sdtContent>
      <w:p w:rsidR="00B74915" w:rsidRDefault="00B74915">
        <w:pPr>
          <w:pStyle w:val="Footer"/>
          <w:jc w:val="right"/>
        </w:pPr>
        <w:r>
          <w:fldChar w:fldCharType="begin"/>
        </w:r>
        <w:r>
          <w:instrText xml:space="preserve"> PAGE   \* MERGEFORMAT </w:instrText>
        </w:r>
        <w:r>
          <w:fldChar w:fldCharType="separate"/>
        </w:r>
        <w:r w:rsidR="00D365C0">
          <w:rPr>
            <w:noProof/>
          </w:rPr>
          <w:t>5</w:t>
        </w:r>
        <w:r>
          <w:rPr>
            <w:noProof/>
          </w:rPr>
          <w:fldChar w:fldCharType="end"/>
        </w:r>
      </w:p>
    </w:sdtContent>
  </w:sdt>
  <w:p w:rsidR="00B74915" w:rsidRDefault="00B749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1626064"/>
      <w:docPartObj>
        <w:docPartGallery w:val="Page Numbers (Bottom of Page)"/>
        <w:docPartUnique/>
      </w:docPartObj>
    </w:sdtPr>
    <w:sdtEndPr>
      <w:rPr>
        <w:noProof/>
      </w:rPr>
    </w:sdtEndPr>
    <w:sdtContent>
      <w:p w:rsidR="00B74915" w:rsidRDefault="00B74915">
        <w:pPr>
          <w:pStyle w:val="Footer"/>
          <w:jc w:val="right"/>
        </w:pPr>
        <w:r>
          <w:fldChar w:fldCharType="begin"/>
        </w:r>
        <w:r>
          <w:instrText xml:space="preserve"> PAGE   \* MERGEFORMAT </w:instrText>
        </w:r>
        <w:r>
          <w:fldChar w:fldCharType="separate"/>
        </w:r>
        <w:r w:rsidR="00D365C0">
          <w:rPr>
            <w:noProof/>
          </w:rPr>
          <w:t>1</w:t>
        </w:r>
        <w:r>
          <w:rPr>
            <w:noProof/>
          </w:rPr>
          <w:fldChar w:fldCharType="end"/>
        </w:r>
      </w:p>
    </w:sdtContent>
  </w:sdt>
  <w:p w:rsidR="00D1291B" w:rsidRDefault="00D129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584" w:rsidRDefault="00294584" w:rsidP="0023578E">
      <w:pPr>
        <w:spacing w:after="0" w:line="240" w:lineRule="auto"/>
      </w:pPr>
      <w:r>
        <w:separator/>
      </w:r>
    </w:p>
  </w:footnote>
  <w:footnote w:type="continuationSeparator" w:id="0">
    <w:p w:rsidR="00294584" w:rsidRDefault="00294584" w:rsidP="002357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A04CB7"/>
    <w:multiLevelType w:val="hybridMultilevel"/>
    <w:tmpl w:val="96908BCA"/>
    <w:lvl w:ilvl="0" w:tplc="22569604">
      <w:start w:val="1"/>
      <w:numFmt w:val="lowerLetter"/>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1">
    <w:nsid w:val="306D07A7"/>
    <w:multiLevelType w:val="hybridMultilevel"/>
    <w:tmpl w:val="A5F2B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B026F54"/>
    <w:multiLevelType w:val="hybridMultilevel"/>
    <w:tmpl w:val="E8466210"/>
    <w:lvl w:ilvl="0" w:tplc="C3AE62EC">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nsid w:val="3C3F0DAF"/>
    <w:multiLevelType w:val="hybridMultilevel"/>
    <w:tmpl w:val="299C8AC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63656C0"/>
    <w:multiLevelType w:val="hybridMultilevel"/>
    <w:tmpl w:val="08CE2000"/>
    <w:lvl w:ilvl="0" w:tplc="C68EB09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89F3809"/>
    <w:multiLevelType w:val="hybridMultilevel"/>
    <w:tmpl w:val="C066828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6">
    <w:nsid w:val="655257C9"/>
    <w:multiLevelType w:val="hybridMultilevel"/>
    <w:tmpl w:val="C6F8BC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FFB2083"/>
    <w:multiLevelType w:val="hybridMultilevel"/>
    <w:tmpl w:val="253860F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5"/>
  </w:num>
  <w:num w:numId="5">
    <w:abstractNumId w:val="1"/>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9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B31"/>
    <w:rsid w:val="00004130"/>
    <w:rsid w:val="000127C4"/>
    <w:rsid w:val="00013601"/>
    <w:rsid w:val="00044423"/>
    <w:rsid w:val="00047DB5"/>
    <w:rsid w:val="0005501D"/>
    <w:rsid w:val="00056ACD"/>
    <w:rsid w:val="000579BA"/>
    <w:rsid w:val="00061B9B"/>
    <w:rsid w:val="00091636"/>
    <w:rsid w:val="00097EE3"/>
    <w:rsid w:val="000A2480"/>
    <w:rsid w:val="000A3D97"/>
    <w:rsid w:val="000C4BD9"/>
    <w:rsid w:val="000E0665"/>
    <w:rsid w:val="000E5075"/>
    <w:rsid w:val="000F68E5"/>
    <w:rsid w:val="00106229"/>
    <w:rsid w:val="00111589"/>
    <w:rsid w:val="00116515"/>
    <w:rsid w:val="00120FBF"/>
    <w:rsid w:val="00132226"/>
    <w:rsid w:val="001433DE"/>
    <w:rsid w:val="001538D4"/>
    <w:rsid w:val="001559F8"/>
    <w:rsid w:val="00175FD8"/>
    <w:rsid w:val="00185FF8"/>
    <w:rsid w:val="001A0645"/>
    <w:rsid w:val="001B42B2"/>
    <w:rsid w:val="001D5F4A"/>
    <w:rsid w:val="001E2F33"/>
    <w:rsid w:val="001F05ED"/>
    <w:rsid w:val="001F6957"/>
    <w:rsid w:val="00207D50"/>
    <w:rsid w:val="00222FEF"/>
    <w:rsid w:val="0022688F"/>
    <w:rsid w:val="0023578E"/>
    <w:rsid w:val="00243F0E"/>
    <w:rsid w:val="0024498E"/>
    <w:rsid w:val="002625A0"/>
    <w:rsid w:val="002767AF"/>
    <w:rsid w:val="00283BE8"/>
    <w:rsid w:val="00294584"/>
    <w:rsid w:val="002B2DD0"/>
    <w:rsid w:val="002B3205"/>
    <w:rsid w:val="002F4DF4"/>
    <w:rsid w:val="0030386A"/>
    <w:rsid w:val="00322646"/>
    <w:rsid w:val="003335EB"/>
    <w:rsid w:val="00335241"/>
    <w:rsid w:val="0035390F"/>
    <w:rsid w:val="00360276"/>
    <w:rsid w:val="00392DB0"/>
    <w:rsid w:val="003B249A"/>
    <w:rsid w:val="003C2AB1"/>
    <w:rsid w:val="003C68EB"/>
    <w:rsid w:val="003E5536"/>
    <w:rsid w:val="004054A9"/>
    <w:rsid w:val="004058CB"/>
    <w:rsid w:val="0042021D"/>
    <w:rsid w:val="00454569"/>
    <w:rsid w:val="00456520"/>
    <w:rsid w:val="004A20D0"/>
    <w:rsid w:val="004B508A"/>
    <w:rsid w:val="005058E0"/>
    <w:rsid w:val="0051107A"/>
    <w:rsid w:val="00515E1D"/>
    <w:rsid w:val="00542029"/>
    <w:rsid w:val="005515AB"/>
    <w:rsid w:val="0056310C"/>
    <w:rsid w:val="00571E0E"/>
    <w:rsid w:val="00591183"/>
    <w:rsid w:val="005B321B"/>
    <w:rsid w:val="005D17AB"/>
    <w:rsid w:val="005D58F8"/>
    <w:rsid w:val="005E2D70"/>
    <w:rsid w:val="005E3166"/>
    <w:rsid w:val="005E470C"/>
    <w:rsid w:val="005F5F3D"/>
    <w:rsid w:val="00600EA5"/>
    <w:rsid w:val="00604BE5"/>
    <w:rsid w:val="006117E5"/>
    <w:rsid w:val="0068309E"/>
    <w:rsid w:val="00687092"/>
    <w:rsid w:val="00691C4C"/>
    <w:rsid w:val="00692A74"/>
    <w:rsid w:val="006964DA"/>
    <w:rsid w:val="006B420D"/>
    <w:rsid w:val="006C3FAC"/>
    <w:rsid w:val="006C5DAC"/>
    <w:rsid w:val="006C6EE9"/>
    <w:rsid w:val="006C76D9"/>
    <w:rsid w:val="006D0172"/>
    <w:rsid w:val="006E0211"/>
    <w:rsid w:val="006E613C"/>
    <w:rsid w:val="00700185"/>
    <w:rsid w:val="0072111A"/>
    <w:rsid w:val="007434CB"/>
    <w:rsid w:val="00752A93"/>
    <w:rsid w:val="00766587"/>
    <w:rsid w:val="00775628"/>
    <w:rsid w:val="0077597D"/>
    <w:rsid w:val="00793CD4"/>
    <w:rsid w:val="0079453E"/>
    <w:rsid w:val="007B1A34"/>
    <w:rsid w:val="007B6B6C"/>
    <w:rsid w:val="007C4CFD"/>
    <w:rsid w:val="007C5EB0"/>
    <w:rsid w:val="007D019C"/>
    <w:rsid w:val="007D2794"/>
    <w:rsid w:val="007E19F0"/>
    <w:rsid w:val="007F1201"/>
    <w:rsid w:val="007F30C1"/>
    <w:rsid w:val="007F42BF"/>
    <w:rsid w:val="008071D4"/>
    <w:rsid w:val="008341D5"/>
    <w:rsid w:val="0083543D"/>
    <w:rsid w:val="00853805"/>
    <w:rsid w:val="00856498"/>
    <w:rsid w:val="008975C6"/>
    <w:rsid w:val="008A4804"/>
    <w:rsid w:val="008A5A13"/>
    <w:rsid w:val="008B4016"/>
    <w:rsid w:val="008C431C"/>
    <w:rsid w:val="008D7D40"/>
    <w:rsid w:val="008F072C"/>
    <w:rsid w:val="008F22C0"/>
    <w:rsid w:val="009143E2"/>
    <w:rsid w:val="00916884"/>
    <w:rsid w:val="009176B5"/>
    <w:rsid w:val="00923382"/>
    <w:rsid w:val="009245BD"/>
    <w:rsid w:val="009311D3"/>
    <w:rsid w:val="00941FA8"/>
    <w:rsid w:val="00945A8B"/>
    <w:rsid w:val="00956ADB"/>
    <w:rsid w:val="0098227D"/>
    <w:rsid w:val="0098330D"/>
    <w:rsid w:val="00992607"/>
    <w:rsid w:val="00997ACE"/>
    <w:rsid w:val="009B21DB"/>
    <w:rsid w:val="009C7445"/>
    <w:rsid w:val="009E1FC8"/>
    <w:rsid w:val="009F0D02"/>
    <w:rsid w:val="009F16D1"/>
    <w:rsid w:val="009F3E5C"/>
    <w:rsid w:val="00A0180A"/>
    <w:rsid w:val="00A01F1E"/>
    <w:rsid w:val="00A03244"/>
    <w:rsid w:val="00A12661"/>
    <w:rsid w:val="00A27B49"/>
    <w:rsid w:val="00A3307E"/>
    <w:rsid w:val="00A37E2F"/>
    <w:rsid w:val="00A66323"/>
    <w:rsid w:val="00A72BC1"/>
    <w:rsid w:val="00A83951"/>
    <w:rsid w:val="00A83AEB"/>
    <w:rsid w:val="00AA7CA1"/>
    <w:rsid w:val="00AB05F2"/>
    <w:rsid w:val="00AB53E5"/>
    <w:rsid w:val="00AC690A"/>
    <w:rsid w:val="00AD0E19"/>
    <w:rsid w:val="00AD6F8B"/>
    <w:rsid w:val="00AF0B31"/>
    <w:rsid w:val="00AF2F92"/>
    <w:rsid w:val="00AF43D3"/>
    <w:rsid w:val="00AF6560"/>
    <w:rsid w:val="00AF7BCC"/>
    <w:rsid w:val="00B06955"/>
    <w:rsid w:val="00B137DC"/>
    <w:rsid w:val="00B22FB1"/>
    <w:rsid w:val="00B260D3"/>
    <w:rsid w:val="00B40A6D"/>
    <w:rsid w:val="00B44F54"/>
    <w:rsid w:val="00B65199"/>
    <w:rsid w:val="00B74915"/>
    <w:rsid w:val="00B77E9D"/>
    <w:rsid w:val="00B85EAB"/>
    <w:rsid w:val="00B91BAD"/>
    <w:rsid w:val="00B97A76"/>
    <w:rsid w:val="00BA369D"/>
    <w:rsid w:val="00BE3967"/>
    <w:rsid w:val="00BE3D72"/>
    <w:rsid w:val="00BE7C26"/>
    <w:rsid w:val="00BF391D"/>
    <w:rsid w:val="00BF7653"/>
    <w:rsid w:val="00C05A05"/>
    <w:rsid w:val="00C233F7"/>
    <w:rsid w:val="00C363B0"/>
    <w:rsid w:val="00C467FD"/>
    <w:rsid w:val="00C903A7"/>
    <w:rsid w:val="00C977B5"/>
    <w:rsid w:val="00CA3F55"/>
    <w:rsid w:val="00CB7DD6"/>
    <w:rsid w:val="00CC6247"/>
    <w:rsid w:val="00CC6C56"/>
    <w:rsid w:val="00CD28E2"/>
    <w:rsid w:val="00CF2CFF"/>
    <w:rsid w:val="00D1291B"/>
    <w:rsid w:val="00D32F03"/>
    <w:rsid w:val="00D365C0"/>
    <w:rsid w:val="00D372E8"/>
    <w:rsid w:val="00D43521"/>
    <w:rsid w:val="00D478E5"/>
    <w:rsid w:val="00D51A3E"/>
    <w:rsid w:val="00D55271"/>
    <w:rsid w:val="00D576C4"/>
    <w:rsid w:val="00D647C4"/>
    <w:rsid w:val="00D67B34"/>
    <w:rsid w:val="00D73B55"/>
    <w:rsid w:val="00D77AE7"/>
    <w:rsid w:val="00D80FEC"/>
    <w:rsid w:val="00D8457C"/>
    <w:rsid w:val="00DA2B4C"/>
    <w:rsid w:val="00DC332F"/>
    <w:rsid w:val="00DC40DD"/>
    <w:rsid w:val="00DE749B"/>
    <w:rsid w:val="00DF1DB4"/>
    <w:rsid w:val="00DF43DE"/>
    <w:rsid w:val="00E001D3"/>
    <w:rsid w:val="00E13ED2"/>
    <w:rsid w:val="00E24618"/>
    <w:rsid w:val="00E272E8"/>
    <w:rsid w:val="00E276EB"/>
    <w:rsid w:val="00E455B8"/>
    <w:rsid w:val="00E50799"/>
    <w:rsid w:val="00E64710"/>
    <w:rsid w:val="00E6792C"/>
    <w:rsid w:val="00E721D2"/>
    <w:rsid w:val="00EA2124"/>
    <w:rsid w:val="00EC2184"/>
    <w:rsid w:val="00EC42D7"/>
    <w:rsid w:val="00ED4BB3"/>
    <w:rsid w:val="00EE2F56"/>
    <w:rsid w:val="00EF2FA4"/>
    <w:rsid w:val="00F255FD"/>
    <w:rsid w:val="00F4376D"/>
    <w:rsid w:val="00F64AFB"/>
    <w:rsid w:val="00F652C6"/>
    <w:rsid w:val="00F71DF9"/>
    <w:rsid w:val="00F957C5"/>
    <w:rsid w:val="00F965A4"/>
    <w:rsid w:val="00FB653E"/>
    <w:rsid w:val="00FB7069"/>
    <w:rsid w:val="00FC7C1C"/>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D4526AB-F738-4E80-8F1B-2196B4B7A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B31"/>
    <w:rPr>
      <w:rFonts w:ascii="Arial" w:hAnsi="Arial" w:cs="Arial"/>
      <w:sz w:val="19"/>
      <w:szCs w:val="19"/>
    </w:rPr>
  </w:style>
  <w:style w:type="paragraph" w:styleId="Heading1">
    <w:name w:val="heading 1"/>
    <w:basedOn w:val="Normal"/>
    <w:next w:val="Normal"/>
    <w:link w:val="Heading1Char"/>
    <w:uiPriority w:val="9"/>
    <w:qFormat/>
    <w:rsid w:val="00AF0B31"/>
    <w:pPr>
      <w:outlineLvl w:val="0"/>
    </w:pPr>
    <w:rPr>
      <w:b/>
    </w:rPr>
  </w:style>
  <w:style w:type="paragraph" w:styleId="Heading2">
    <w:name w:val="heading 2"/>
    <w:basedOn w:val="Normal"/>
    <w:next w:val="Normal"/>
    <w:link w:val="Heading2Char"/>
    <w:uiPriority w:val="9"/>
    <w:unhideWhenUsed/>
    <w:qFormat/>
    <w:rsid w:val="00AF0B31"/>
    <w:pPr>
      <w:outlineLvl w:val="1"/>
    </w:pPr>
    <w:rPr>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B31"/>
    <w:rPr>
      <w:rFonts w:ascii="Arial" w:hAnsi="Arial" w:cs="Arial"/>
      <w:b/>
      <w:sz w:val="19"/>
      <w:szCs w:val="19"/>
    </w:rPr>
  </w:style>
  <w:style w:type="character" w:customStyle="1" w:styleId="Heading2Char">
    <w:name w:val="Heading 2 Char"/>
    <w:basedOn w:val="DefaultParagraphFont"/>
    <w:link w:val="Heading2"/>
    <w:uiPriority w:val="9"/>
    <w:rsid w:val="00AF0B31"/>
    <w:rPr>
      <w:rFonts w:ascii="Arial" w:hAnsi="Arial" w:cs="Arial"/>
      <w:i/>
      <w:sz w:val="19"/>
      <w:szCs w:val="19"/>
      <w:u w:val="single"/>
    </w:rPr>
  </w:style>
  <w:style w:type="paragraph" w:styleId="Footer">
    <w:name w:val="footer"/>
    <w:basedOn w:val="Normal"/>
    <w:link w:val="FooterChar"/>
    <w:uiPriority w:val="99"/>
    <w:unhideWhenUsed/>
    <w:rsid w:val="00AF0B31"/>
    <w:pPr>
      <w:tabs>
        <w:tab w:val="center" w:pos="4513"/>
        <w:tab w:val="right" w:pos="9026"/>
      </w:tabs>
      <w:spacing w:after="0"/>
    </w:pPr>
  </w:style>
  <w:style w:type="character" w:customStyle="1" w:styleId="FooterChar">
    <w:name w:val="Footer Char"/>
    <w:basedOn w:val="DefaultParagraphFont"/>
    <w:link w:val="Footer"/>
    <w:uiPriority w:val="99"/>
    <w:rsid w:val="00AF0B31"/>
    <w:rPr>
      <w:rFonts w:ascii="Arial" w:hAnsi="Arial" w:cs="Arial"/>
      <w:sz w:val="19"/>
      <w:szCs w:val="19"/>
    </w:rPr>
  </w:style>
  <w:style w:type="paragraph" w:styleId="ListParagraph">
    <w:name w:val="List Paragraph"/>
    <w:basedOn w:val="Normal"/>
    <w:uiPriority w:val="34"/>
    <w:qFormat/>
    <w:rsid w:val="00AF0B31"/>
    <w:pPr>
      <w:ind w:left="720"/>
      <w:contextualSpacing/>
    </w:pPr>
  </w:style>
  <w:style w:type="character" w:styleId="FootnoteReference">
    <w:name w:val="footnote reference"/>
    <w:aliases w:val="(NECG) Footnote Reference,(NECG) Footnote Reference1,(NECG) Footnote Reference2,o,Footnote Reference 1"/>
    <w:basedOn w:val="DefaultParagraphFont"/>
    <w:uiPriority w:val="99"/>
    <w:unhideWhenUsed/>
    <w:rsid w:val="00AF0B31"/>
    <w:rPr>
      <w:vertAlign w:val="superscript"/>
    </w:rPr>
  </w:style>
  <w:style w:type="paragraph" w:styleId="BalloonText">
    <w:name w:val="Balloon Text"/>
    <w:basedOn w:val="Normal"/>
    <w:link w:val="BalloonTextChar"/>
    <w:uiPriority w:val="99"/>
    <w:semiHidden/>
    <w:unhideWhenUsed/>
    <w:rsid w:val="008C4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31C"/>
    <w:rPr>
      <w:rFonts w:ascii="Tahoma" w:hAnsi="Tahoma" w:cs="Tahoma"/>
      <w:sz w:val="16"/>
      <w:szCs w:val="16"/>
    </w:rPr>
  </w:style>
  <w:style w:type="paragraph" w:styleId="Header">
    <w:name w:val="header"/>
    <w:basedOn w:val="Normal"/>
    <w:link w:val="HeaderChar"/>
    <w:uiPriority w:val="99"/>
    <w:unhideWhenUsed/>
    <w:rsid w:val="006870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092"/>
    <w:rPr>
      <w:rFonts w:ascii="Arial" w:hAnsi="Arial" w:cs="Arial"/>
      <w:sz w:val="19"/>
      <w:szCs w:val="19"/>
    </w:rPr>
  </w:style>
  <w:style w:type="character" w:styleId="CommentReference">
    <w:name w:val="annotation reference"/>
    <w:basedOn w:val="DefaultParagraphFont"/>
    <w:uiPriority w:val="99"/>
    <w:semiHidden/>
    <w:unhideWhenUsed/>
    <w:rsid w:val="0077597D"/>
    <w:rPr>
      <w:sz w:val="16"/>
      <w:szCs w:val="16"/>
    </w:rPr>
  </w:style>
  <w:style w:type="paragraph" w:styleId="CommentText">
    <w:name w:val="annotation text"/>
    <w:basedOn w:val="Normal"/>
    <w:link w:val="CommentTextChar"/>
    <w:uiPriority w:val="99"/>
    <w:semiHidden/>
    <w:unhideWhenUsed/>
    <w:rsid w:val="0077597D"/>
    <w:pPr>
      <w:spacing w:line="240" w:lineRule="auto"/>
    </w:pPr>
    <w:rPr>
      <w:sz w:val="20"/>
      <w:szCs w:val="20"/>
    </w:rPr>
  </w:style>
  <w:style w:type="character" w:customStyle="1" w:styleId="CommentTextChar">
    <w:name w:val="Comment Text Char"/>
    <w:basedOn w:val="DefaultParagraphFont"/>
    <w:link w:val="CommentText"/>
    <w:uiPriority w:val="99"/>
    <w:semiHidden/>
    <w:rsid w:val="0077597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77597D"/>
    <w:rPr>
      <w:b/>
      <w:bCs/>
    </w:rPr>
  </w:style>
  <w:style w:type="character" w:customStyle="1" w:styleId="CommentSubjectChar">
    <w:name w:val="Comment Subject Char"/>
    <w:basedOn w:val="CommentTextChar"/>
    <w:link w:val="CommentSubject"/>
    <w:uiPriority w:val="99"/>
    <w:semiHidden/>
    <w:rsid w:val="0077597D"/>
    <w:rPr>
      <w:rFonts w:ascii="Arial" w:hAnsi="Arial" w:cs="Arial"/>
      <w:b/>
      <w:bCs/>
      <w:sz w:val="20"/>
      <w:szCs w:val="20"/>
    </w:rPr>
  </w:style>
  <w:style w:type="paragraph" w:customStyle="1" w:styleId="indenta">
    <w:name w:val="indent(a)"/>
    <w:aliases w:val="a,paragraph"/>
    <w:basedOn w:val="Normal"/>
    <w:rsid w:val="00D80FEC"/>
    <w:pPr>
      <w:tabs>
        <w:tab w:val="right" w:pos="1531"/>
      </w:tabs>
      <w:spacing w:before="40" w:after="0" w:line="260" w:lineRule="atLeast"/>
      <w:ind w:left="1644" w:hanging="1644"/>
    </w:pPr>
    <w:rPr>
      <w:rFonts w:ascii="Times" w:eastAsia="Times New Roman" w:hAnsi="Times" w:cs="Times New Roman"/>
      <w:sz w:val="22"/>
      <w:szCs w:val="20"/>
    </w:rPr>
  </w:style>
  <w:style w:type="paragraph" w:customStyle="1" w:styleId="ACMABodyText">
    <w:name w:val="ACMA Body Text"/>
    <w:link w:val="ACMABodyTextChar1"/>
    <w:rsid w:val="00B40A6D"/>
    <w:pPr>
      <w:suppressAutoHyphens/>
      <w:spacing w:before="80" w:after="120" w:line="280" w:lineRule="atLeast"/>
    </w:pPr>
    <w:rPr>
      <w:rFonts w:ascii="Arial" w:eastAsia="Times New Roman" w:hAnsi="Arial" w:cs="Arial"/>
      <w:sz w:val="20"/>
      <w:szCs w:val="20"/>
    </w:rPr>
  </w:style>
  <w:style w:type="paragraph" w:customStyle="1" w:styleId="ACMAHeading3">
    <w:name w:val="ACMA Heading 3"/>
    <w:next w:val="ACMABodyText"/>
    <w:uiPriority w:val="99"/>
    <w:rsid w:val="005E470C"/>
    <w:pPr>
      <w:keepNext/>
      <w:tabs>
        <w:tab w:val="left" w:pos="1701"/>
      </w:tabs>
      <w:suppressAutoHyphens/>
      <w:spacing w:before="240" w:after="0" w:line="240" w:lineRule="auto"/>
      <w:outlineLvl w:val="3"/>
    </w:pPr>
    <w:rPr>
      <w:rFonts w:ascii="Arial" w:eastAsia="Times New Roman" w:hAnsi="Arial" w:cs="Arial"/>
      <w:b/>
      <w:sz w:val="20"/>
      <w:szCs w:val="20"/>
      <w:lang w:val="en-US"/>
    </w:rPr>
  </w:style>
  <w:style w:type="character" w:customStyle="1" w:styleId="charsectno">
    <w:name w:val="charsectno"/>
    <w:basedOn w:val="DefaultParagraphFont"/>
    <w:rsid w:val="00D51A3E"/>
  </w:style>
  <w:style w:type="paragraph" w:customStyle="1" w:styleId="indenta0">
    <w:name w:val="indenta"/>
    <w:basedOn w:val="Normal"/>
    <w:rsid w:val="00D51A3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D51A3E"/>
  </w:style>
  <w:style w:type="paragraph" w:styleId="BodyText">
    <w:name w:val="Body Text"/>
    <w:basedOn w:val="Normal"/>
    <w:link w:val="BodyTextChar"/>
    <w:uiPriority w:val="99"/>
    <w:semiHidden/>
    <w:unhideWhenUsed/>
    <w:rsid w:val="00D51A3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uiPriority w:val="99"/>
    <w:semiHidden/>
    <w:rsid w:val="00D51A3E"/>
    <w:rPr>
      <w:rFonts w:ascii="Times New Roman" w:eastAsia="Times New Roman" w:hAnsi="Times New Roman" w:cs="Times New Roman"/>
      <w:sz w:val="24"/>
      <w:szCs w:val="24"/>
      <w:lang w:eastAsia="en-AU"/>
    </w:rPr>
  </w:style>
  <w:style w:type="paragraph" w:styleId="ListBullet">
    <w:name w:val="List Bullet"/>
    <w:basedOn w:val="Normal"/>
    <w:uiPriority w:val="99"/>
    <w:semiHidden/>
    <w:unhideWhenUsed/>
    <w:rsid w:val="00D51A3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CMABodyTextChar1">
    <w:name w:val="ACMA Body Text Char1"/>
    <w:basedOn w:val="DefaultParagraphFont"/>
    <w:link w:val="ACMABodyText"/>
    <w:uiPriority w:val="99"/>
    <w:rsid w:val="00D51A3E"/>
    <w:rPr>
      <w:rFonts w:ascii="Arial" w:eastAsia="Times New Roman" w:hAnsi="Arial" w:cs="Arial"/>
      <w:sz w:val="20"/>
      <w:szCs w:val="20"/>
    </w:rPr>
  </w:style>
  <w:style w:type="paragraph" w:customStyle="1" w:styleId="default">
    <w:name w:val="default"/>
    <w:basedOn w:val="Normal"/>
    <w:rsid w:val="00D73B5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CMABodyTextChar">
    <w:name w:val="ACMA Body Text Char"/>
    <w:basedOn w:val="DefaultParagraphFont"/>
    <w:locked/>
    <w:rsid w:val="009245BD"/>
    <w:rPr>
      <w:rFonts w:ascii="Arial" w:hAnsi="Arial" w:cs="Arial"/>
      <w:sz w:val="24"/>
      <w:szCs w:val="24"/>
      <w:lang w:eastAsia="en-US"/>
    </w:rPr>
  </w:style>
  <w:style w:type="paragraph" w:styleId="Title">
    <w:name w:val="Title"/>
    <w:basedOn w:val="Normal"/>
    <w:next w:val="Normal"/>
    <w:link w:val="TitleChar"/>
    <w:uiPriority w:val="10"/>
    <w:qFormat/>
    <w:rsid w:val="00E455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55B8"/>
    <w:rPr>
      <w:rFonts w:asciiTheme="majorHAnsi" w:eastAsiaTheme="majorEastAsia" w:hAnsiTheme="majorHAnsi" w:cstheme="majorBidi"/>
      <w:spacing w:val="-10"/>
      <w:kern w:val="28"/>
      <w:sz w:val="56"/>
      <w:szCs w:val="56"/>
    </w:rPr>
  </w:style>
  <w:style w:type="character" w:styleId="PageNumber">
    <w:name w:val="page number"/>
    <w:rsid w:val="00E455B8"/>
    <w:rPr>
      <w:rFonts w:ascii="Arial" w:hAnsi="Arial"/>
      <w:sz w:val="22"/>
    </w:rPr>
  </w:style>
  <w:style w:type="character" w:styleId="Hyperlink">
    <w:name w:val="Hyperlink"/>
    <w:basedOn w:val="DefaultParagraphFont"/>
    <w:uiPriority w:val="99"/>
    <w:unhideWhenUsed/>
    <w:rsid w:val="00E455B8"/>
    <w:rPr>
      <w:color w:val="0000FF" w:themeColor="hyperlink"/>
      <w:u w:val="single"/>
    </w:rPr>
  </w:style>
  <w:style w:type="paragraph" w:customStyle="1" w:styleId="R1">
    <w:name w:val="R1"/>
    <w:aliases w:val="1. or 1.(1)"/>
    <w:basedOn w:val="Normal"/>
    <w:next w:val="Normal"/>
    <w:rsid w:val="00EC42D7"/>
    <w:pPr>
      <w:tabs>
        <w:tab w:val="right" w:pos="794"/>
      </w:tabs>
      <w:spacing w:before="120" w:after="0" w:line="260" w:lineRule="exact"/>
      <w:ind w:left="964" w:hanging="964"/>
      <w:jc w:val="both"/>
    </w:pPr>
    <w:rPr>
      <w:rFonts w:ascii="Times New Roman" w:eastAsia="Times New Roman" w:hAnsi="Times New Roman" w:cs="Times New Roman"/>
      <w:sz w:val="24"/>
      <w:szCs w:val="24"/>
    </w:rPr>
  </w:style>
  <w:style w:type="paragraph" w:customStyle="1" w:styleId="P1">
    <w:name w:val="P1"/>
    <w:aliases w:val="(a)"/>
    <w:basedOn w:val="Normal"/>
    <w:rsid w:val="009176B5"/>
    <w:pPr>
      <w:tabs>
        <w:tab w:val="right" w:pos="1191"/>
      </w:tabs>
      <w:spacing w:before="60" w:after="0" w:line="260" w:lineRule="exact"/>
      <w:ind w:left="1418" w:hanging="1418"/>
      <w:jc w:val="both"/>
    </w:pPr>
    <w:rPr>
      <w:rFonts w:ascii="Times New Roman" w:eastAsia="Times New Roman" w:hAnsi="Times New Roman" w:cs="Times New Roman"/>
      <w:sz w:val="24"/>
      <w:szCs w:val="24"/>
    </w:rPr>
  </w:style>
  <w:style w:type="paragraph" w:customStyle="1" w:styleId="R2">
    <w:name w:val="R2"/>
    <w:aliases w:val="(2)"/>
    <w:basedOn w:val="Normal"/>
    <w:rsid w:val="009176B5"/>
    <w:pPr>
      <w:tabs>
        <w:tab w:val="right" w:pos="794"/>
      </w:tabs>
      <w:spacing w:before="180" w:after="0" w:line="260" w:lineRule="exact"/>
      <w:ind w:left="964" w:hanging="964"/>
      <w:jc w:val="both"/>
    </w:pPr>
    <w:rPr>
      <w:rFonts w:ascii="Times New Roman" w:eastAsia="Times New Roman" w:hAnsi="Times New Roman" w:cs="Times New Roman"/>
      <w:sz w:val="24"/>
      <w:szCs w:val="24"/>
    </w:rPr>
  </w:style>
  <w:style w:type="character" w:customStyle="1" w:styleId="CharPartText">
    <w:name w:val="CharPartText"/>
    <w:basedOn w:val="DefaultParagraphFont"/>
    <w:rsid w:val="00D647C4"/>
  </w:style>
  <w:style w:type="paragraph" w:customStyle="1" w:styleId="HP">
    <w:name w:val="HP"/>
    <w:aliases w:val="Part Heading"/>
    <w:basedOn w:val="Normal"/>
    <w:next w:val="Normal"/>
    <w:link w:val="HPChar"/>
    <w:rsid w:val="00D647C4"/>
    <w:pPr>
      <w:keepNext/>
      <w:spacing w:before="360" w:after="0" w:line="240" w:lineRule="auto"/>
      <w:ind w:left="2410" w:hanging="2410"/>
    </w:pPr>
    <w:rPr>
      <w:rFonts w:eastAsia="Times New Roman" w:cs="Times New Roman"/>
      <w:b/>
      <w:sz w:val="32"/>
      <w:szCs w:val="24"/>
    </w:rPr>
  </w:style>
  <w:style w:type="character" w:customStyle="1" w:styleId="HPChar">
    <w:name w:val="HP Char"/>
    <w:aliases w:val="Part Heading Char"/>
    <w:link w:val="HP"/>
    <w:rsid w:val="00D647C4"/>
    <w:rPr>
      <w:rFonts w:ascii="Arial" w:eastAsia="Times New Roman" w:hAnsi="Arial" w:cs="Times New Roman"/>
      <w:b/>
      <w:sz w:val="32"/>
      <w:szCs w:val="24"/>
    </w:rPr>
  </w:style>
  <w:style w:type="paragraph" w:customStyle="1" w:styleId="hr">
    <w:name w:val="hr"/>
    <w:basedOn w:val="Normal"/>
    <w:rsid w:val="00D647C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B22FB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209478">
      <w:bodyDiv w:val="1"/>
      <w:marLeft w:val="0"/>
      <w:marRight w:val="0"/>
      <w:marTop w:val="0"/>
      <w:marBottom w:val="0"/>
      <w:divBdr>
        <w:top w:val="none" w:sz="0" w:space="0" w:color="auto"/>
        <w:left w:val="none" w:sz="0" w:space="0" w:color="auto"/>
        <w:bottom w:val="none" w:sz="0" w:space="0" w:color="auto"/>
        <w:right w:val="none" w:sz="0" w:space="0" w:color="auto"/>
      </w:divBdr>
      <w:divsChild>
        <w:div w:id="704407577">
          <w:marLeft w:val="0"/>
          <w:marRight w:val="0"/>
          <w:marTop w:val="0"/>
          <w:marBottom w:val="0"/>
          <w:divBdr>
            <w:top w:val="none" w:sz="0" w:space="0" w:color="auto"/>
            <w:left w:val="none" w:sz="0" w:space="0" w:color="auto"/>
            <w:bottom w:val="none" w:sz="0" w:space="0" w:color="auto"/>
            <w:right w:val="none" w:sz="0" w:space="0" w:color="auto"/>
          </w:divBdr>
          <w:divsChild>
            <w:div w:id="191964797">
              <w:marLeft w:val="0"/>
              <w:marRight w:val="0"/>
              <w:marTop w:val="0"/>
              <w:marBottom w:val="0"/>
              <w:divBdr>
                <w:top w:val="none" w:sz="0" w:space="0" w:color="auto"/>
                <w:left w:val="none" w:sz="0" w:space="0" w:color="auto"/>
                <w:bottom w:val="none" w:sz="0" w:space="0" w:color="auto"/>
                <w:right w:val="none" w:sz="0" w:space="0" w:color="auto"/>
              </w:divBdr>
              <w:divsChild>
                <w:div w:id="1305621508">
                  <w:marLeft w:val="0"/>
                  <w:marRight w:val="0"/>
                  <w:marTop w:val="0"/>
                  <w:marBottom w:val="0"/>
                  <w:divBdr>
                    <w:top w:val="none" w:sz="0" w:space="0" w:color="auto"/>
                    <w:left w:val="none" w:sz="0" w:space="0" w:color="auto"/>
                    <w:bottom w:val="none" w:sz="0" w:space="0" w:color="auto"/>
                    <w:right w:val="none" w:sz="0" w:space="0" w:color="auto"/>
                  </w:divBdr>
                  <w:divsChild>
                    <w:div w:id="388655500">
                      <w:marLeft w:val="0"/>
                      <w:marRight w:val="0"/>
                      <w:marTop w:val="0"/>
                      <w:marBottom w:val="0"/>
                      <w:divBdr>
                        <w:top w:val="none" w:sz="0" w:space="0" w:color="auto"/>
                        <w:left w:val="none" w:sz="0" w:space="0" w:color="auto"/>
                        <w:bottom w:val="none" w:sz="0" w:space="0" w:color="auto"/>
                        <w:right w:val="none" w:sz="0" w:space="0" w:color="auto"/>
                      </w:divBdr>
                      <w:divsChild>
                        <w:div w:id="554001245">
                          <w:marLeft w:val="0"/>
                          <w:marRight w:val="0"/>
                          <w:marTop w:val="0"/>
                          <w:marBottom w:val="0"/>
                          <w:divBdr>
                            <w:top w:val="single" w:sz="6" w:space="0" w:color="828282"/>
                            <w:left w:val="single" w:sz="6" w:space="0" w:color="828282"/>
                            <w:bottom w:val="single" w:sz="6" w:space="0" w:color="828282"/>
                            <w:right w:val="single" w:sz="6" w:space="0" w:color="828282"/>
                          </w:divBdr>
                          <w:divsChild>
                            <w:div w:id="417210838">
                              <w:marLeft w:val="0"/>
                              <w:marRight w:val="0"/>
                              <w:marTop w:val="0"/>
                              <w:marBottom w:val="0"/>
                              <w:divBdr>
                                <w:top w:val="none" w:sz="0" w:space="0" w:color="auto"/>
                                <w:left w:val="none" w:sz="0" w:space="0" w:color="auto"/>
                                <w:bottom w:val="none" w:sz="0" w:space="0" w:color="auto"/>
                                <w:right w:val="none" w:sz="0" w:space="0" w:color="auto"/>
                              </w:divBdr>
                              <w:divsChild>
                                <w:div w:id="699665172">
                                  <w:marLeft w:val="0"/>
                                  <w:marRight w:val="0"/>
                                  <w:marTop w:val="0"/>
                                  <w:marBottom w:val="0"/>
                                  <w:divBdr>
                                    <w:top w:val="none" w:sz="0" w:space="0" w:color="auto"/>
                                    <w:left w:val="none" w:sz="0" w:space="0" w:color="auto"/>
                                    <w:bottom w:val="none" w:sz="0" w:space="0" w:color="auto"/>
                                    <w:right w:val="none" w:sz="0" w:space="0" w:color="auto"/>
                                  </w:divBdr>
                                  <w:divsChild>
                                    <w:div w:id="1753309344">
                                      <w:marLeft w:val="0"/>
                                      <w:marRight w:val="0"/>
                                      <w:marTop w:val="0"/>
                                      <w:marBottom w:val="0"/>
                                      <w:divBdr>
                                        <w:top w:val="none" w:sz="0" w:space="0" w:color="auto"/>
                                        <w:left w:val="none" w:sz="0" w:space="0" w:color="auto"/>
                                        <w:bottom w:val="none" w:sz="0" w:space="0" w:color="auto"/>
                                        <w:right w:val="none" w:sz="0" w:space="0" w:color="auto"/>
                                      </w:divBdr>
                                      <w:divsChild>
                                        <w:div w:id="1805925970">
                                          <w:marLeft w:val="0"/>
                                          <w:marRight w:val="0"/>
                                          <w:marTop w:val="0"/>
                                          <w:marBottom w:val="0"/>
                                          <w:divBdr>
                                            <w:top w:val="none" w:sz="0" w:space="0" w:color="auto"/>
                                            <w:left w:val="none" w:sz="0" w:space="0" w:color="auto"/>
                                            <w:bottom w:val="none" w:sz="0" w:space="0" w:color="auto"/>
                                            <w:right w:val="none" w:sz="0" w:space="0" w:color="auto"/>
                                          </w:divBdr>
                                          <w:divsChild>
                                            <w:div w:id="873924935">
                                              <w:marLeft w:val="0"/>
                                              <w:marRight w:val="0"/>
                                              <w:marTop w:val="0"/>
                                              <w:marBottom w:val="0"/>
                                              <w:divBdr>
                                                <w:top w:val="none" w:sz="0" w:space="0" w:color="auto"/>
                                                <w:left w:val="none" w:sz="0" w:space="0" w:color="auto"/>
                                                <w:bottom w:val="none" w:sz="0" w:space="0" w:color="auto"/>
                                                <w:right w:val="none" w:sz="0" w:space="0" w:color="auto"/>
                                              </w:divBdr>
                                              <w:divsChild>
                                                <w:div w:id="4288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730116">
      <w:bodyDiv w:val="1"/>
      <w:marLeft w:val="0"/>
      <w:marRight w:val="0"/>
      <w:marTop w:val="0"/>
      <w:marBottom w:val="0"/>
      <w:divBdr>
        <w:top w:val="none" w:sz="0" w:space="0" w:color="auto"/>
        <w:left w:val="none" w:sz="0" w:space="0" w:color="auto"/>
        <w:bottom w:val="none" w:sz="0" w:space="0" w:color="auto"/>
        <w:right w:val="none" w:sz="0" w:space="0" w:color="auto"/>
      </w:divBdr>
      <w:divsChild>
        <w:div w:id="1823543125">
          <w:marLeft w:val="0"/>
          <w:marRight w:val="0"/>
          <w:marTop w:val="0"/>
          <w:marBottom w:val="0"/>
          <w:divBdr>
            <w:top w:val="none" w:sz="0" w:space="0" w:color="auto"/>
            <w:left w:val="none" w:sz="0" w:space="0" w:color="auto"/>
            <w:bottom w:val="none" w:sz="0" w:space="0" w:color="auto"/>
            <w:right w:val="none" w:sz="0" w:space="0" w:color="auto"/>
          </w:divBdr>
          <w:divsChild>
            <w:div w:id="1267543379">
              <w:marLeft w:val="0"/>
              <w:marRight w:val="0"/>
              <w:marTop w:val="0"/>
              <w:marBottom w:val="0"/>
              <w:divBdr>
                <w:top w:val="none" w:sz="0" w:space="0" w:color="auto"/>
                <w:left w:val="none" w:sz="0" w:space="0" w:color="auto"/>
                <w:bottom w:val="none" w:sz="0" w:space="0" w:color="auto"/>
                <w:right w:val="none" w:sz="0" w:space="0" w:color="auto"/>
              </w:divBdr>
              <w:divsChild>
                <w:div w:id="1648246373">
                  <w:marLeft w:val="0"/>
                  <w:marRight w:val="0"/>
                  <w:marTop w:val="0"/>
                  <w:marBottom w:val="0"/>
                  <w:divBdr>
                    <w:top w:val="none" w:sz="0" w:space="0" w:color="auto"/>
                    <w:left w:val="none" w:sz="0" w:space="0" w:color="auto"/>
                    <w:bottom w:val="none" w:sz="0" w:space="0" w:color="auto"/>
                    <w:right w:val="none" w:sz="0" w:space="0" w:color="auto"/>
                  </w:divBdr>
                  <w:divsChild>
                    <w:div w:id="1457597275">
                      <w:marLeft w:val="0"/>
                      <w:marRight w:val="0"/>
                      <w:marTop w:val="0"/>
                      <w:marBottom w:val="0"/>
                      <w:divBdr>
                        <w:top w:val="none" w:sz="0" w:space="0" w:color="auto"/>
                        <w:left w:val="none" w:sz="0" w:space="0" w:color="auto"/>
                        <w:bottom w:val="none" w:sz="0" w:space="0" w:color="auto"/>
                        <w:right w:val="none" w:sz="0" w:space="0" w:color="auto"/>
                      </w:divBdr>
                      <w:divsChild>
                        <w:div w:id="461265064">
                          <w:marLeft w:val="0"/>
                          <w:marRight w:val="0"/>
                          <w:marTop w:val="0"/>
                          <w:marBottom w:val="0"/>
                          <w:divBdr>
                            <w:top w:val="single" w:sz="6" w:space="0" w:color="828282"/>
                            <w:left w:val="single" w:sz="6" w:space="0" w:color="828282"/>
                            <w:bottom w:val="single" w:sz="6" w:space="0" w:color="828282"/>
                            <w:right w:val="single" w:sz="6" w:space="0" w:color="828282"/>
                          </w:divBdr>
                          <w:divsChild>
                            <w:div w:id="891964602">
                              <w:marLeft w:val="0"/>
                              <w:marRight w:val="0"/>
                              <w:marTop w:val="0"/>
                              <w:marBottom w:val="0"/>
                              <w:divBdr>
                                <w:top w:val="none" w:sz="0" w:space="0" w:color="auto"/>
                                <w:left w:val="none" w:sz="0" w:space="0" w:color="auto"/>
                                <w:bottom w:val="none" w:sz="0" w:space="0" w:color="auto"/>
                                <w:right w:val="none" w:sz="0" w:space="0" w:color="auto"/>
                              </w:divBdr>
                              <w:divsChild>
                                <w:div w:id="1541362842">
                                  <w:marLeft w:val="0"/>
                                  <w:marRight w:val="0"/>
                                  <w:marTop w:val="0"/>
                                  <w:marBottom w:val="0"/>
                                  <w:divBdr>
                                    <w:top w:val="none" w:sz="0" w:space="0" w:color="auto"/>
                                    <w:left w:val="none" w:sz="0" w:space="0" w:color="auto"/>
                                    <w:bottom w:val="none" w:sz="0" w:space="0" w:color="auto"/>
                                    <w:right w:val="none" w:sz="0" w:space="0" w:color="auto"/>
                                  </w:divBdr>
                                  <w:divsChild>
                                    <w:div w:id="5251531">
                                      <w:marLeft w:val="0"/>
                                      <w:marRight w:val="0"/>
                                      <w:marTop w:val="0"/>
                                      <w:marBottom w:val="0"/>
                                      <w:divBdr>
                                        <w:top w:val="none" w:sz="0" w:space="0" w:color="auto"/>
                                        <w:left w:val="none" w:sz="0" w:space="0" w:color="auto"/>
                                        <w:bottom w:val="none" w:sz="0" w:space="0" w:color="auto"/>
                                        <w:right w:val="none" w:sz="0" w:space="0" w:color="auto"/>
                                      </w:divBdr>
                                      <w:divsChild>
                                        <w:div w:id="22633318">
                                          <w:marLeft w:val="0"/>
                                          <w:marRight w:val="0"/>
                                          <w:marTop w:val="0"/>
                                          <w:marBottom w:val="0"/>
                                          <w:divBdr>
                                            <w:top w:val="none" w:sz="0" w:space="0" w:color="auto"/>
                                            <w:left w:val="none" w:sz="0" w:space="0" w:color="auto"/>
                                            <w:bottom w:val="none" w:sz="0" w:space="0" w:color="auto"/>
                                            <w:right w:val="none" w:sz="0" w:space="0" w:color="auto"/>
                                          </w:divBdr>
                                          <w:divsChild>
                                            <w:div w:id="387609978">
                                              <w:marLeft w:val="0"/>
                                              <w:marRight w:val="0"/>
                                              <w:marTop w:val="0"/>
                                              <w:marBottom w:val="0"/>
                                              <w:divBdr>
                                                <w:top w:val="none" w:sz="0" w:space="0" w:color="auto"/>
                                                <w:left w:val="none" w:sz="0" w:space="0" w:color="auto"/>
                                                <w:bottom w:val="none" w:sz="0" w:space="0" w:color="auto"/>
                                                <w:right w:val="none" w:sz="0" w:space="0" w:color="auto"/>
                                              </w:divBdr>
                                              <w:divsChild>
                                                <w:div w:id="141427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997509">
      <w:bodyDiv w:val="1"/>
      <w:marLeft w:val="0"/>
      <w:marRight w:val="0"/>
      <w:marTop w:val="0"/>
      <w:marBottom w:val="0"/>
      <w:divBdr>
        <w:top w:val="none" w:sz="0" w:space="0" w:color="auto"/>
        <w:left w:val="none" w:sz="0" w:space="0" w:color="auto"/>
        <w:bottom w:val="none" w:sz="0" w:space="0" w:color="auto"/>
        <w:right w:val="none" w:sz="0" w:space="0" w:color="auto"/>
      </w:divBdr>
      <w:divsChild>
        <w:div w:id="1075080778">
          <w:marLeft w:val="0"/>
          <w:marRight w:val="0"/>
          <w:marTop w:val="0"/>
          <w:marBottom w:val="0"/>
          <w:divBdr>
            <w:top w:val="none" w:sz="0" w:space="0" w:color="auto"/>
            <w:left w:val="none" w:sz="0" w:space="0" w:color="auto"/>
            <w:bottom w:val="none" w:sz="0" w:space="0" w:color="auto"/>
            <w:right w:val="none" w:sz="0" w:space="0" w:color="auto"/>
          </w:divBdr>
          <w:divsChild>
            <w:div w:id="2005670618">
              <w:marLeft w:val="0"/>
              <w:marRight w:val="0"/>
              <w:marTop w:val="0"/>
              <w:marBottom w:val="0"/>
              <w:divBdr>
                <w:top w:val="none" w:sz="0" w:space="0" w:color="auto"/>
                <w:left w:val="none" w:sz="0" w:space="0" w:color="auto"/>
                <w:bottom w:val="none" w:sz="0" w:space="0" w:color="auto"/>
                <w:right w:val="none" w:sz="0" w:space="0" w:color="auto"/>
              </w:divBdr>
              <w:divsChild>
                <w:div w:id="1654412303">
                  <w:marLeft w:val="0"/>
                  <w:marRight w:val="0"/>
                  <w:marTop w:val="0"/>
                  <w:marBottom w:val="0"/>
                  <w:divBdr>
                    <w:top w:val="none" w:sz="0" w:space="0" w:color="auto"/>
                    <w:left w:val="none" w:sz="0" w:space="0" w:color="auto"/>
                    <w:bottom w:val="none" w:sz="0" w:space="0" w:color="auto"/>
                    <w:right w:val="none" w:sz="0" w:space="0" w:color="auto"/>
                  </w:divBdr>
                  <w:divsChild>
                    <w:div w:id="1765958862">
                      <w:marLeft w:val="0"/>
                      <w:marRight w:val="0"/>
                      <w:marTop w:val="0"/>
                      <w:marBottom w:val="0"/>
                      <w:divBdr>
                        <w:top w:val="none" w:sz="0" w:space="0" w:color="auto"/>
                        <w:left w:val="none" w:sz="0" w:space="0" w:color="auto"/>
                        <w:bottom w:val="none" w:sz="0" w:space="0" w:color="auto"/>
                        <w:right w:val="none" w:sz="0" w:space="0" w:color="auto"/>
                      </w:divBdr>
                      <w:divsChild>
                        <w:div w:id="1806503589">
                          <w:marLeft w:val="0"/>
                          <w:marRight w:val="0"/>
                          <w:marTop w:val="0"/>
                          <w:marBottom w:val="0"/>
                          <w:divBdr>
                            <w:top w:val="single" w:sz="6" w:space="0" w:color="828282"/>
                            <w:left w:val="single" w:sz="6" w:space="0" w:color="828282"/>
                            <w:bottom w:val="single" w:sz="6" w:space="0" w:color="828282"/>
                            <w:right w:val="single" w:sz="6" w:space="0" w:color="828282"/>
                          </w:divBdr>
                          <w:divsChild>
                            <w:div w:id="731779069">
                              <w:marLeft w:val="0"/>
                              <w:marRight w:val="0"/>
                              <w:marTop w:val="0"/>
                              <w:marBottom w:val="0"/>
                              <w:divBdr>
                                <w:top w:val="none" w:sz="0" w:space="0" w:color="auto"/>
                                <w:left w:val="none" w:sz="0" w:space="0" w:color="auto"/>
                                <w:bottom w:val="none" w:sz="0" w:space="0" w:color="auto"/>
                                <w:right w:val="none" w:sz="0" w:space="0" w:color="auto"/>
                              </w:divBdr>
                              <w:divsChild>
                                <w:div w:id="741830872">
                                  <w:marLeft w:val="0"/>
                                  <w:marRight w:val="0"/>
                                  <w:marTop w:val="0"/>
                                  <w:marBottom w:val="0"/>
                                  <w:divBdr>
                                    <w:top w:val="none" w:sz="0" w:space="0" w:color="auto"/>
                                    <w:left w:val="none" w:sz="0" w:space="0" w:color="auto"/>
                                    <w:bottom w:val="none" w:sz="0" w:space="0" w:color="auto"/>
                                    <w:right w:val="none" w:sz="0" w:space="0" w:color="auto"/>
                                  </w:divBdr>
                                  <w:divsChild>
                                    <w:div w:id="622150542">
                                      <w:marLeft w:val="0"/>
                                      <w:marRight w:val="0"/>
                                      <w:marTop w:val="0"/>
                                      <w:marBottom w:val="0"/>
                                      <w:divBdr>
                                        <w:top w:val="none" w:sz="0" w:space="0" w:color="auto"/>
                                        <w:left w:val="none" w:sz="0" w:space="0" w:color="auto"/>
                                        <w:bottom w:val="none" w:sz="0" w:space="0" w:color="auto"/>
                                        <w:right w:val="none" w:sz="0" w:space="0" w:color="auto"/>
                                      </w:divBdr>
                                      <w:divsChild>
                                        <w:div w:id="891774177">
                                          <w:marLeft w:val="0"/>
                                          <w:marRight w:val="0"/>
                                          <w:marTop w:val="0"/>
                                          <w:marBottom w:val="0"/>
                                          <w:divBdr>
                                            <w:top w:val="none" w:sz="0" w:space="0" w:color="auto"/>
                                            <w:left w:val="none" w:sz="0" w:space="0" w:color="auto"/>
                                            <w:bottom w:val="none" w:sz="0" w:space="0" w:color="auto"/>
                                            <w:right w:val="none" w:sz="0" w:space="0" w:color="auto"/>
                                          </w:divBdr>
                                          <w:divsChild>
                                            <w:div w:id="1590851700">
                                              <w:marLeft w:val="0"/>
                                              <w:marRight w:val="0"/>
                                              <w:marTop w:val="0"/>
                                              <w:marBottom w:val="0"/>
                                              <w:divBdr>
                                                <w:top w:val="none" w:sz="0" w:space="0" w:color="auto"/>
                                                <w:left w:val="none" w:sz="0" w:space="0" w:color="auto"/>
                                                <w:bottom w:val="none" w:sz="0" w:space="0" w:color="auto"/>
                                                <w:right w:val="none" w:sz="0" w:space="0" w:color="auto"/>
                                              </w:divBdr>
                                              <w:divsChild>
                                                <w:div w:id="12946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4426764">
      <w:bodyDiv w:val="1"/>
      <w:marLeft w:val="0"/>
      <w:marRight w:val="0"/>
      <w:marTop w:val="0"/>
      <w:marBottom w:val="0"/>
      <w:divBdr>
        <w:top w:val="none" w:sz="0" w:space="0" w:color="auto"/>
        <w:left w:val="none" w:sz="0" w:space="0" w:color="auto"/>
        <w:bottom w:val="none" w:sz="0" w:space="0" w:color="auto"/>
        <w:right w:val="none" w:sz="0" w:space="0" w:color="auto"/>
      </w:divBdr>
      <w:divsChild>
        <w:div w:id="1101099568">
          <w:marLeft w:val="0"/>
          <w:marRight w:val="0"/>
          <w:marTop w:val="0"/>
          <w:marBottom w:val="0"/>
          <w:divBdr>
            <w:top w:val="none" w:sz="0" w:space="0" w:color="auto"/>
            <w:left w:val="none" w:sz="0" w:space="0" w:color="auto"/>
            <w:bottom w:val="none" w:sz="0" w:space="0" w:color="auto"/>
            <w:right w:val="none" w:sz="0" w:space="0" w:color="auto"/>
          </w:divBdr>
          <w:divsChild>
            <w:div w:id="1239562769">
              <w:marLeft w:val="0"/>
              <w:marRight w:val="0"/>
              <w:marTop w:val="0"/>
              <w:marBottom w:val="0"/>
              <w:divBdr>
                <w:top w:val="none" w:sz="0" w:space="0" w:color="auto"/>
                <w:left w:val="none" w:sz="0" w:space="0" w:color="auto"/>
                <w:bottom w:val="none" w:sz="0" w:space="0" w:color="auto"/>
                <w:right w:val="none" w:sz="0" w:space="0" w:color="auto"/>
              </w:divBdr>
              <w:divsChild>
                <w:div w:id="882667616">
                  <w:marLeft w:val="0"/>
                  <w:marRight w:val="0"/>
                  <w:marTop w:val="0"/>
                  <w:marBottom w:val="0"/>
                  <w:divBdr>
                    <w:top w:val="none" w:sz="0" w:space="0" w:color="auto"/>
                    <w:left w:val="none" w:sz="0" w:space="0" w:color="auto"/>
                    <w:bottom w:val="none" w:sz="0" w:space="0" w:color="auto"/>
                    <w:right w:val="none" w:sz="0" w:space="0" w:color="auto"/>
                  </w:divBdr>
                  <w:divsChild>
                    <w:div w:id="1734813900">
                      <w:marLeft w:val="0"/>
                      <w:marRight w:val="0"/>
                      <w:marTop w:val="0"/>
                      <w:marBottom w:val="0"/>
                      <w:divBdr>
                        <w:top w:val="none" w:sz="0" w:space="0" w:color="auto"/>
                        <w:left w:val="none" w:sz="0" w:space="0" w:color="auto"/>
                        <w:bottom w:val="none" w:sz="0" w:space="0" w:color="auto"/>
                        <w:right w:val="none" w:sz="0" w:space="0" w:color="auto"/>
                      </w:divBdr>
                      <w:divsChild>
                        <w:div w:id="332728196">
                          <w:marLeft w:val="0"/>
                          <w:marRight w:val="0"/>
                          <w:marTop w:val="0"/>
                          <w:marBottom w:val="0"/>
                          <w:divBdr>
                            <w:top w:val="single" w:sz="6" w:space="0" w:color="828282"/>
                            <w:left w:val="single" w:sz="6" w:space="0" w:color="828282"/>
                            <w:bottom w:val="single" w:sz="6" w:space="0" w:color="828282"/>
                            <w:right w:val="single" w:sz="6" w:space="0" w:color="828282"/>
                          </w:divBdr>
                          <w:divsChild>
                            <w:div w:id="1038049441">
                              <w:marLeft w:val="0"/>
                              <w:marRight w:val="0"/>
                              <w:marTop w:val="0"/>
                              <w:marBottom w:val="0"/>
                              <w:divBdr>
                                <w:top w:val="none" w:sz="0" w:space="0" w:color="auto"/>
                                <w:left w:val="none" w:sz="0" w:space="0" w:color="auto"/>
                                <w:bottom w:val="none" w:sz="0" w:space="0" w:color="auto"/>
                                <w:right w:val="none" w:sz="0" w:space="0" w:color="auto"/>
                              </w:divBdr>
                              <w:divsChild>
                                <w:div w:id="182525048">
                                  <w:marLeft w:val="0"/>
                                  <w:marRight w:val="0"/>
                                  <w:marTop w:val="0"/>
                                  <w:marBottom w:val="0"/>
                                  <w:divBdr>
                                    <w:top w:val="none" w:sz="0" w:space="0" w:color="auto"/>
                                    <w:left w:val="none" w:sz="0" w:space="0" w:color="auto"/>
                                    <w:bottom w:val="none" w:sz="0" w:space="0" w:color="auto"/>
                                    <w:right w:val="none" w:sz="0" w:space="0" w:color="auto"/>
                                  </w:divBdr>
                                  <w:divsChild>
                                    <w:div w:id="334265313">
                                      <w:marLeft w:val="0"/>
                                      <w:marRight w:val="0"/>
                                      <w:marTop w:val="0"/>
                                      <w:marBottom w:val="0"/>
                                      <w:divBdr>
                                        <w:top w:val="none" w:sz="0" w:space="0" w:color="auto"/>
                                        <w:left w:val="none" w:sz="0" w:space="0" w:color="auto"/>
                                        <w:bottom w:val="none" w:sz="0" w:space="0" w:color="auto"/>
                                        <w:right w:val="none" w:sz="0" w:space="0" w:color="auto"/>
                                      </w:divBdr>
                                      <w:divsChild>
                                        <w:div w:id="507452335">
                                          <w:marLeft w:val="0"/>
                                          <w:marRight w:val="0"/>
                                          <w:marTop w:val="0"/>
                                          <w:marBottom w:val="0"/>
                                          <w:divBdr>
                                            <w:top w:val="none" w:sz="0" w:space="0" w:color="auto"/>
                                            <w:left w:val="none" w:sz="0" w:space="0" w:color="auto"/>
                                            <w:bottom w:val="none" w:sz="0" w:space="0" w:color="auto"/>
                                            <w:right w:val="none" w:sz="0" w:space="0" w:color="auto"/>
                                          </w:divBdr>
                                          <w:divsChild>
                                            <w:div w:id="1865292062">
                                              <w:marLeft w:val="0"/>
                                              <w:marRight w:val="0"/>
                                              <w:marTop w:val="0"/>
                                              <w:marBottom w:val="0"/>
                                              <w:divBdr>
                                                <w:top w:val="none" w:sz="0" w:space="0" w:color="auto"/>
                                                <w:left w:val="none" w:sz="0" w:space="0" w:color="auto"/>
                                                <w:bottom w:val="none" w:sz="0" w:space="0" w:color="auto"/>
                                                <w:right w:val="none" w:sz="0" w:space="0" w:color="auto"/>
                                              </w:divBdr>
                                              <w:divsChild>
                                                <w:div w:id="17781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9577752">
      <w:bodyDiv w:val="1"/>
      <w:marLeft w:val="0"/>
      <w:marRight w:val="0"/>
      <w:marTop w:val="0"/>
      <w:marBottom w:val="0"/>
      <w:divBdr>
        <w:top w:val="none" w:sz="0" w:space="0" w:color="auto"/>
        <w:left w:val="none" w:sz="0" w:space="0" w:color="auto"/>
        <w:bottom w:val="none" w:sz="0" w:space="0" w:color="auto"/>
        <w:right w:val="none" w:sz="0" w:space="0" w:color="auto"/>
      </w:divBdr>
      <w:divsChild>
        <w:div w:id="1592735089">
          <w:marLeft w:val="0"/>
          <w:marRight w:val="0"/>
          <w:marTop w:val="0"/>
          <w:marBottom w:val="0"/>
          <w:divBdr>
            <w:top w:val="none" w:sz="0" w:space="0" w:color="auto"/>
            <w:left w:val="none" w:sz="0" w:space="0" w:color="auto"/>
            <w:bottom w:val="none" w:sz="0" w:space="0" w:color="auto"/>
            <w:right w:val="none" w:sz="0" w:space="0" w:color="auto"/>
          </w:divBdr>
          <w:divsChild>
            <w:div w:id="1572689341">
              <w:marLeft w:val="0"/>
              <w:marRight w:val="0"/>
              <w:marTop w:val="0"/>
              <w:marBottom w:val="0"/>
              <w:divBdr>
                <w:top w:val="none" w:sz="0" w:space="0" w:color="auto"/>
                <w:left w:val="none" w:sz="0" w:space="0" w:color="auto"/>
                <w:bottom w:val="none" w:sz="0" w:space="0" w:color="auto"/>
                <w:right w:val="none" w:sz="0" w:space="0" w:color="auto"/>
              </w:divBdr>
              <w:divsChild>
                <w:div w:id="2052875540">
                  <w:marLeft w:val="0"/>
                  <w:marRight w:val="0"/>
                  <w:marTop w:val="0"/>
                  <w:marBottom w:val="0"/>
                  <w:divBdr>
                    <w:top w:val="none" w:sz="0" w:space="0" w:color="auto"/>
                    <w:left w:val="none" w:sz="0" w:space="0" w:color="auto"/>
                    <w:bottom w:val="none" w:sz="0" w:space="0" w:color="auto"/>
                    <w:right w:val="none" w:sz="0" w:space="0" w:color="auto"/>
                  </w:divBdr>
                  <w:divsChild>
                    <w:div w:id="1662468978">
                      <w:marLeft w:val="0"/>
                      <w:marRight w:val="0"/>
                      <w:marTop w:val="0"/>
                      <w:marBottom w:val="0"/>
                      <w:divBdr>
                        <w:top w:val="none" w:sz="0" w:space="0" w:color="auto"/>
                        <w:left w:val="none" w:sz="0" w:space="0" w:color="auto"/>
                        <w:bottom w:val="none" w:sz="0" w:space="0" w:color="auto"/>
                        <w:right w:val="none" w:sz="0" w:space="0" w:color="auto"/>
                      </w:divBdr>
                      <w:divsChild>
                        <w:div w:id="2108768743">
                          <w:marLeft w:val="0"/>
                          <w:marRight w:val="0"/>
                          <w:marTop w:val="0"/>
                          <w:marBottom w:val="0"/>
                          <w:divBdr>
                            <w:top w:val="single" w:sz="6" w:space="0" w:color="828282"/>
                            <w:left w:val="single" w:sz="6" w:space="0" w:color="828282"/>
                            <w:bottom w:val="single" w:sz="6" w:space="0" w:color="828282"/>
                            <w:right w:val="single" w:sz="6" w:space="0" w:color="828282"/>
                          </w:divBdr>
                          <w:divsChild>
                            <w:div w:id="665479906">
                              <w:marLeft w:val="0"/>
                              <w:marRight w:val="0"/>
                              <w:marTop w:val="0"/>
                              <w:marBottom w:val="0"/>
                              <w:divBdr>
                                <w:top w:val="none" w:sz="0" w:space="0" w:color="auto"/>
                                <w:left w:val="none" w:sz="0" w:space="0" w:color="auto"/>
                                <w:bottom w:val="none" w:sz="0" w:space="0" w:color="auto"/>
                                <w:right w:val="none" w:sz="0" w:space="0" w:color="auto"/>
                              </w:divBdr>
                              <w:divsChild>
                                <w:div w:id="1442455528">
                                  <w:marLeft w:val="0"/>
                                  <w:marRight w:val="0"/>
                                  <w:marTop w:val="0"/>
                                  <w:marBottom w:val="0"/>
                                  <w:divBdr>
                                    <w:top w:val="none" w:sz="0" w:space="0" w:color="auto"/>
                                    <w:left w:val="none" w:sz="0" w:space="0" w:color="auto"/>
                                    <w:bottom w:val="none" w:sz="0" w:space="0" w:color="auto"/>
                                    <w:right w:val="none" w:sz="0" w:space="0" w:color="auto"/>
                                  </w:divBdr>
                                  <w:divsChild>
                                    <w:div w:id="1375226596">
                                      <w:marLeft w:val="0"/>
                                      <w:marRight w:val="0"/>
                                      <w:marTop w:val="0"/>
                                      <w:marBottom w:val="0"/>
                                      <w:divBdr>
                                        <w:top w:val="none" w:sz="0" w:space="0" w:color="auto"/>
                                        <w:left w:val="none" w:sz="0" w:space="0" w:color="auto"/>
                                        <w:bottom w:val="none" w:sz="0" w:space="0" w:color="auto"/>
                                        <w:right w:val="none" w:sz="0" w:space="0" w:color="auto"/>
                                      </w:divBdr>
                                      <w:divsChild>
                                        <w:div w:id="45691309">
                                          <w:marLeft w:val="0"/>
                                          <w:marRight w:val="0"/>
                                          <w:marTop w:val="0"/>
                                          <w:marBottom w:val="0"/>
                                          <w:divBdr>
                                            <w:top w:val="none" w:sz="0" w:space="0" w:color="auto"/>
                                            <w:left w:val="none" w:sz="0" w:space="0" w:color="auto"/>
                                            <w:bottom w:val="none" w:sz="0" w:space="0" w:color="auto"/>
                                            <w:right w:val="none" w:sz="0" w:space="0" w:color="auto"/>
                                          </w:divBdr>
                                          <w:divsChild>
                                            <w:div w:id="2066247224">
                                              <w:marLeft w:val="0"/>
                                              <w:marRight w:val="0"/>
                                              <w:marTop w:val="0"/>
                                              <w:marBottom w:val="0"/>
                                              <w:divBdr>
                                                <w:top w:val="none" w:sz="0" w:space="0" w:color="auto"/>
                                                <w:left w:val="none" w:sz="0" w:space="0" w:color="auto"/>
                                                <w:bottom w:val="none" w:sz="0" w:space="0" w:color="auto"/>
                                                <w:right w:val="none" w:sz="0" w:space="0" w:color="auto"/>
                                              </w:divBdr>
                                              <w:divsChild>
                                                <w:div w:id="6987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441704">
      <w:bodyDiv w:val="1"/>
      <w:marLeft w:val="0"/>
      <w:marRight w:val="0"/>
      <w:marTop w:val="0"/>
      <w:marBottom w:val="0"/>
      <w:divBdr>
        <w:top w:val="none" w:sz="0" w:space="0" w:color="auto"/>
        <w:left w:val="none" w:sz="0" w:space="0" w:color="auto"/>
        <w:bottom w:val="none" w:sz="0" w:space="0" w:color="auto"/>
        <w:right w:val="none" w:sz="0" w:space="0" w:color="auto"/>
      </w:divBdr>
      <w:divsChild>
        <w:div w:id="1340036798">
          <w:marLeft w:val="0"/>
          <w:marRight w:val="0"/>
          <w:marTop w:val="0"/>
          <w:marBottom w:val="0"/>
          <w:divBdr>
            <w:top w:val="none" w:sz="0" w:space="0" w:color="auto"/>
            <w:left w:val="none" w:sz="0" w:space="0" w:color="auto"/>
            <w:bottom w:val="none" w:sz="0" w:space="0" w:color="auto"/>
            <w:right w:val="none" w:sz="0" w:space="0" w:color="auto"/>
          </w:divBdr>
          <w:divsChild>
            <w:div w:id="1517767007">
              <w:marLeft w:val="0"/>
              <w:marRight w:val="0"/>
              <w:marTop w:val="0"/>
              <w:marBottom w:val="0"/>
              <w:divBdr>
                <w:top w:val="none" w:sz="0" w:space="0" w:color="auto"/>
                <w:left w:val="none" w:sz="0" w:space="0" w:color="auto"/>
                <w:bottom w:val="none" w:sz="0" w:space="0" w:color="auto"/>
                <w:right w:val="none" w:sz="0" w:space="0" w:color="auto"/>
              </w:divBdr>
              <w:divsChild>
                <w:div w:id="1648624716">
                  <w:marLeft w:val="0"/>
                  <w:marRight w:val="0"/>
                  <w:marTop w:val="0"/>
                  <w:marBottom w:val="0"/>
                  <w:divBdr>
                    <w:top w:val="none" w:sz="0" w:space="0" w:color="auto"/>
                    <w:left w:val="none" w:sz="0" w:space="0" w:color="auto"/>
                    <w:bottom w:val="none" w:sz="0" w:space="0" w:color="auto"/>
                    <w:right w:val="none" w:sz="0" w:space="0" w:color="auto"/>
                  </w:divBdr>
                  <w:divsChild>
                    <w:div w:id="2014455933">
                      <w:marLeft w:val="0"/>
                      <w:marRight w:val="0"/>
                      <w:marTop w:val="0"/>
                      <w:marBottom w:val="0"/>
                      <w:divBdr>
                        <w:top w:val="none" w:sz="0" w:space="0" w:color="auto"/>
                        <w:left w:val="none" w:sz="0" w:space="0" w:color="auto"/>
                        <w:bottom w:val="none" w:sz="0" w:space="0" w:color="auto"/>
                        <w:right w:val="none" w:sz="0" w:space="0" w:color="auto"/>
                      </w:divBdr>
                      <w:divsChild>
                        <w:div w:id="525368111">
                          <w:marLeft w:val="0"/>
                          <w:marRight w:val="0"/>
                          <w:marTop w:val="0"/>
                          <w:marBottom w:val="0"/>
                          <w:divBdr>
                            <w:top w:val="single" w:sz="6" w:space="0" w:color="828282"/>
                            <w:left w:val="single" w:sz="6" w:space="0" w:color="828282"/>
                            <w:bottom w:val="single" w:sz="6" w:space="0" w:color="828282"/>
                            <w:right w:val="single" w:sz="6" w:space="0" w:color="828282"/>
                          </w:divBdr>
                          <w:divsChild>
                            <w:div w:id="1607151713">
                              <w:marLeft w:val="0"/>
                              <w:marRight w:val="0"/>
                              <w:marTop w:val="0"/>
                              <w:marBottom w:val="0"/>
                              <w:divBdr>
                                <w:top w:val="none" w:sz="0" w:space="0" w:color="auto"/>
                                <w:left w:val="none" w:sz="0" w:space="0" w:color="auto"/>
                                <w:bottom w:val="none" w:sz="0" w:space="0" w:color="auto"/>
                                <w:right w:val="none" w:sz="0" w:space="0" w:color="auto"/>
                              </w:divBdr>
                              <w:divsChild>
                                <w:div w:id="156385827">
                                  <w:marLeft w:val="0"/>
                                  <w:marRight w:val="0"/>
                                  <w:marTop w:val="0"/>
                                  <w:marBottom w:val="0"/>
                                  <w:divBdr>
                                    <w:top w:val="none" w:sz="0" w:space="0" w:color="auto"/>
                                    <w:left w:val="none" w:sz="0" w:space="0" w:color="auto"/>
                                    <w:bottom w:val="none" w:sz="0" w:space="0" w:color="auto"/>
                                    <w:right w:val="none" w:sz="0" w:space="0" w:color="auto"/>
                                  </w:divBdr>
                                  <w:divsChild>
                                    <w:div w:id="969360067">
                                      <w:marLeft w:val="0"/>
                                      <w:marRight w:val="0"/>
                                      <w:marTop w:val="0"/>
                                      <w:marBottom w:val="0"/>
                                      <w:divBdr>
                                        <w:top w:val="none" w:sz="0" w:space="0" w:color="auto"/>
                                        <w:left w:val="none" w:sz="0" w:space="0" w:color="auto"/>
                                        <w:bottom w:val="none" w:sz="0" w:space="0" w:color="auto"/>
                                        <w:right w:val="none" w:sz="0" w:space="0" w:color="auto"/>
                                      </w:divBdr>
                                      <w:divsChild>
                                        <w:div w:id="1617173564">
                                          <w:marLeft w:val="0"/>
                                          <w:marRight w:val="0"/>
                                          <w:marTop w:val="0"/>
                                          <w:marBottom w:val="0"/>
                                          <w:divBdr>
                                            <w:top w:val="none" w:sz="0" w:space="0" w:color="auto"/>
                                            <w:left w:val="none" w:sz="0" w:space="0" w:color="auto"/>
                                            <w:bottom w:val="none" w:sz="0" w:space="0" w:color="auto"/>
                                            <w:right w:val="none" w:sz="0" w:space="0" w:color="auto"/>
                                          </w:divBdr>
                                          <w:divsChild>
                                            <w:div w:id="240720503">
                                              <w:marLeft w:val="0"/>
                                              <w:marRight w:val="0"/>
                                              <w:marTop w:val="0"/>
                                              <w:marBottom w:val="0"/>
                                              <w:divBdr>
                                                <w:top w:val="none" w:sz="0" w:space="0" w:color="auto"/>
                                                <w:left w:val="none" w:sz="0" w:space="0" w:color="auto"/>
                                                <w:bottom w:val="none" w:sz="0" w:space="0" w:color="auto"/>
                                                <w:right w:val="none" w:sz="0" w:space="0" w:color="auto"/>
                                              </w:divBdr>
                                              <w:divsChild>
                                                <w:div w:id="16199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1288423">
      <w:bodyDiv w:val="1"/>
      <w:marLeft w:val="0"/>
      <w:marRight w:val="0"/>
      <w:marTop w:val="0"/>
      <w:marBottom w:val="0"/>
      <w:divBdr>
        <w:top w:val="none" w:sz="0" w:space="0" w:color="auto"/>
        <w:left w:val="none" w:sz="0" w:space="0" w:color="auto"/>
        <w:bottom w:val="none" w:sz="0" w:space="0" w:color="auto"/>
        <w:right w:val="none" w:sz="0" w:space="0" w:color="auto"/>
      </w:divBdr>
      <w:divsChild>
        <w:div w:id="1031805603">
          <w:marLeft w:val="0"/>
          <w:marRight w:val="0"/>
          <w:marTop w:val="0"/>
          <w:marBottom w:val="0"/>
          <w:divBdr>
            <w:top w:val="none" w:sz="0" w:space="0" w:color="auto"/>
            <w:left w:val="none" w:sz="0" w:space="0" w:color="auto"/>
            <w:bottom w:val="none" w:sz="0" w:space="0" w:color="auto"/>
            <w:right w:val="none" w:sz="0" w:space="0" w:color="auto"/>
          </w:divBdr>
          <w:divsChild>
            <w:div w:id="1845974597">
              <w:marLeft w:val="0"/>
              <w:marRight w:val="0"/>
              <w:marTop w:val="0"/>
              <w:marBottom w:val="0"/>
              <w:divBdr>
                <w:top w:val="none" w:sz="0" w:space="0" w:color="auto"/>
                <w:left w:val="none" w:sz="0" w:space="0" w:color="auto"/>
                <w:bottom w:val="none" w:sz="0" w:space="0" w:color="auto"/>
                <w:right w:val="none" w:sz="0" w:space="0" w:color="auto"/>
              </w:divBdr>
              <w:divsChild>
                <w:div w:id="1508211059">
                  <w:marLeft w:val="0"/>
                  <w:marRight w:val="0"/>
                  <w:marTop w:val="0"/>
                  <w:marBottom w:val="0"/>
                  <w:divBdr>
                    <w:top w:val="none" w:sz="0" w:space="0" w:color="auto"/>
                    <w:left w:val="none" w:sz="0" w:space="0" w:color="auto"/>
                    <w:bottom w:val="none" w:sz="0" w:space="0" w:color="auto"/>
                    <w:right w:val="none" w:sz="0" w:space="0" w:color="auto"/>
                  </w:divBdr>
                  <w:divsChild>
                    <w:div w:id="305859227">
                      <w:marLeft w:val="0"/>
                      <w:marRight w:val="0"/>
                      <w:marTop w:val="0"/>
                      <w:marBottom w:val="0"/>
                      <w:divBdr>
                        <w:top w:val="none" w:sz="0" w:space="0" w:color="auto"/>
                        <w:left w:val="none" w:sz="0" w:space="0" w:color="auto"/>
                        <w:bottom w:val="none" w:sz="0" w:space="0" w:color="auto"/>
                        <w:right w:val="none" w:sz="0" w:space="0" w:color="auto"/>
                      </w:divBdr>
                      <w:divsChild>
                        <w:div w:id="1081638261">
                          <w:marLeft w:val="0"/>
                          <w:marRight w:val="0"/>
                          <w:marTop w:val="0"/>
                          <w:marBottom w:val="0"/>
                          <w:divBdr>
                            <w:top w:val="single" w:sz="6" w:space="0" w:color="828282"/>
                            <w:left w:val="single" w:sz="6" w:space="0" w:color="828282"/>
                            <w:bottom w:val="single" w:sz="6" w:space="0" w:color="828282"/>
                            <w:right w:val="single" w:sz="6" w:space="0" w:color="828282"/>
                          </w:divBdr>
                          <w:divsChild>
                            <w:div w:id="461005038">
                              <w:marLeft w:val="0"/>
                              <w:marRight w:val="0"/>
                              <w:marTop w:val="0"/>
                              <w:marBottom w:val="0"/>
                              <w:divBdr>
                                <w:top w:val="none" w:sz="0" w:space="0" w:color="auto"/>
                                <w:left w:val="none" w:sz="0" w:space="0" w:color="auto"/>
                                <w:bottom w:val="none" w:sz="0" w:space="0" w:color="auto"/>
                                <w:right w:val="none" w:sz="0" w:space="0" w:color="auto"/>
                              </w:divBdr>
                              <w:divsChild>
                                <w:div w:id="708652466">
                                  <w:marLeft w:val="0"/>
                                  <w:marRight w:val="0"/>
                                  <w:marTop w:val="0"/>
                                  <w:marBottom w:val="0"/>
                                  <w:divBdr>
                                    <w:top w:val="none" w:sz="0" w:space="0" w:color="auto"/>
                                    <w:left w:val="none" w:sz="0" w:space="0" w:color="auto"/>
                                    <w:bottom w:val="none" w:sz="0" w:space="0" w:color="auto"/>
                                    <w:right w:val="none" w:sz="0" w:space="0" w:color="auto"/>
                                  </w:divBdr>
                                  <w:divsChild>
                                    <w:div w:id="1921285872">
                                      <w:marLeft w:val="0"/>
                                      <w:marRight w:val="0"/>
                                      <w:marTop w:val="0"/>
                                      <w:marBottom w:val="0"/>
                                      <w:divBdr>
                                        <w:top w:val="none" w:sz="0" w:space="0" w:color="auto"/>
                                        <w:left w:val="none" w:sz="0" w:space="0" w:color="auto"/>
                                        <w:bottom w:val="none" w:sz="0" w:space="0" w:color="auto"/>
                                        <w:right w:val="none" w:sz="0" w:space="0" w:color="auto"/>
                                      </w:divBdr>
                                      <w:divsChild>
                                        <w:div w:id="306593285">
                                          <w:marLeft w:val="0"/>
                                          <w:marRight w:val="0"/>
                                          <w:marTop w:val="0"/>
                                          <w:marBottom w:val="0"/>
                                          <w:divBdr>
                                            <w:top w:val="none" w:sz="0" w:space="0" w:color="auto"/>
                                            <w:left w:val="none" w:sz="0" w:space="0" w:color="auto"/>
                                            <w:bottom w:val="none" w:sz="0" w:space="0" w:color="auto"/>
                                            <w:right w:val="none" w:sz="0" w:space="0" w:color="auto"/>
                                          </w:divBdr>
                                          <w:divsChild>
                                            <w:div w:id="177349068">
                                              <w:marLeft w:val="0"/>
                                              <w:marRight w:val="0"/>
                                              <w:marTop w:val="0"/>
                                              <w:marBottom w:val="0"/>
                                              <w:divBdr>
                                                <w:top w:val="none" w:sz="0" w:space="0" w:color="auto"/>
                                                <w:left w:val="none" w:sz="0" w:space="0" w:color="auto"/>
                                                <w:bottom w:val="none" w:sz="0" w:space="0" w:color="auto"/>
                                                <w:right w:val="none" w:sz="0" w:space="0" w:color="auto"/>
                                              </w:divBdr>
                                              <w:divsChild>
                                                <w:div w:id="4090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621232">
      <w:bodyDiv w:val="1"/>
      <w:marLeft w:val="0"/>
      <w:marRight w:val="0"/>
      <w:marTop w:val="0"/>
      <w:marBottom w:val="0"/>
      <w:divBdr>
        <w:top w:val="none" w:sz="0" w:space="0" w:color="auto"/>
        <w:left w:val="none" w:sz="0" w:space="0" w:color="auto"/>
        <w:bottom w:val="none" w:sz="0" w:space="0" w:color="auto"/>
        <w:right w:val="none" w:sz="0" w:space="0" w:color="auto"/>
      </w:divBdr>
      <w:divsChild>
        <w:div w:id="1897935078">
          <w:marLeft w:val="0"/>
          <w:marRight w:val="0"/>
          <w:marTop w:val="0"/>
          <w:marBottom w:val="0"/>
          <w:divBdr>
            <w:top w:val="none" w:sz="0" w:space="0" w:color="auto"/>
            <w:left w:val="none" w:sz="0" w:space="0" w:color="auto"/>
            <w:bottom w:val="none" w:sz="0" w:space="0" w:color="auto"/>
            <w:right w:val="none" w:sz="0" w:space="0" w:color="auto"/>
          </w:divBdr>
          <w:divsChild>
            <w:div w:id="98643153">
              <w:marLeft w:val="0"/>
              <w:marRight w:val="0"/>
              <w:marTop w:val="0"/>
              <w:marBottom w:val="0"/>
              <w:divBdr>
                <w:top w:val="none" w:sz="0" w:space="0" w:color="auto"/>
                <w:left w:val="none" w:sz="0" w:space="0" w:color="auto"/>
                <w:bottom w:val="none" w:sz="0" w:space="0" w:color="auto"/>
                <w:right w:val="none" w:sz="0" w:space="0" w:color="auto"/>
              </w:divBdr>
              <w:divsChild>
                <w:div w:id="555048646">
                  <w:marLeft w:val="0"/>
                  <w:marRight w:val="0"/>
                  <w:marTop w:val="0"/>
                  <w:marBottom w:val="0"/>
                  <w:divBdr>
                    <w:top w:val="none" w:sz="0" w:space="0" w:color="auto"/>
                    <w:left w:val="none" w:sz="0" w:space="0" w:color="auto"/>
                    <w:bottom w:val="none" w:sz="0" w:space="0" w:color="auto"/>
                    <w:right w:val="none" w:sz="0" w:space="0" w:color="auto"/>
                  </w:divBdr>
                  <w:divsChild>
                    <w:div w:id="217712865">
                      <w:marLeft w:val="0"/>
                      <w:marRight w:val="0"/>
                      <w:marTop w:val="0"/>
                      <w:marBottom w:val="0"/>
                      <w:divBdr>
                        <w:top w:val="none" w:sz="0" w:space="0" w:color="auto"/>
                        <w:left w:val="none" w:sz="0" w:space="0" w:color="auto"/>
                        <w:bottom w:val="none" w:sz="0" w:space="0" w:color="auto"/>
                        <w:right w:val="none" w:sz="0" w:space="0" w:color="auto"/>
                      </w:divBdr>
                      <w:divsChild>
                        <w:div w:id="2048215135">
                          <w:marLeft w:val="0"/>
                          <w:marRight w:val="0"/>
                          <w:marTop w:val="0"/>
                          <w:marBottom w:val="0"/>
                          <w:divBdr>
                            <w:top w:val="single" w:sz="6" w:space="0" w:color="828282"/>
                            <w:left w:val="single" w:sz="6" w:space="0" w:color="828282"/>
                            <w:bottom w:val="single" w:sz="6" w:space="0" w:color="828282"/>
                            <w:right w:val="single" w:sz="6" w:space="0" w:color="828282"/>
                          </w:divBdr>
                          <w:divsChild>
                            <w:div w:id="233398242">
                              <w:marLeft w:val="0"/>
                              <w:marRight w:val="0"/>
                              <w:marTop w:val="0"/>
                              <w:marBottom w:val="0"/>
                              <w:divBdr>
                                <w:top w:val="none" w:sz="0" w:space="0" w:color="auto"/>
                                <w:left w:val="none" w:sz="0" w:space="0" w:color="auto"/>
                                <w:bottom w:val="none" w:sz="0" w:space="0" w:color="auto"/>
                                <w:right w:val="none" w:sz="0" w:space="0" w:color="auto"/>
                              </w:divBdr>
                              <w:divsChild>
                                <w:div w:id="245697370">
                                  <w:marLeft w:val="0"/>
                                  <w:marRight w:val="0"/>
                                  <w:marTop w:val="0"/>
                                  <w:marBottom w:val="0"/>
                                  <w:divBdr>
                                    <w:top w:val="none" w:sz="0" w:space="0" w:color="auto"/>
                                    <w:left w:val="none" w:sz="0" w:space="0" w:color="auto"/>
                                    <w:bottom w:val="none" w:sz="0" w:space="0" w:color="auto"/>
                                    <w:right w:val="none" w:sz="0" w:space="0" w:color="auto"/>
                                  </w:divBdr>
                                  <w:divsChild>
                                    <w:div w:id="1497961935">
                                      <w:marLeft w:val="0"/>
                                      <w:marRight w:val="0"/>
                                      <w:marTop w:val="0"/>
                                      <w:marBottom w:val="0"/>
                                      <w:divBdr>
                                        <w:top w:val="none" w:sz="0" w:space="0" w:color="auto"/>
                                        <w:left w:val="none" w:sz="0" w:space="0" w:color="auto"/>
                                        <w:bottom w:val="none" w:sz="0" w:space="0" w:color="auto"/>
                                        <w:right w:val="none" w:sz="0" w:space="0" w:color="auto"/>
                                      </w:divBdr>
                                      <w:divsChild>
                                        <w:div w:id="2059159189">
                                          <w:marLeft w:val="0"/>
                                          <w:marRight w:val="0"/>
                                          <w:marTop w:val="0"/>
                                          <w:marBottom w:val="0"/>
                                          <w:divBdr>
                                            <w:top w:val="none" w:sz="0" w:space="0" w:color="auto"/>
                                            <w:left w:val="none" w:sz="0" w:space="0" w:color="auto"/>
                                            <w:bottom w:val="none" w:sz="0" w:space="0" w:color="auto"/>
                                            <w:right w:val="none" w:sz="0" w:space="0" w:color="auto"/>
                                          </w:divBdr>
                                          <w:divsChild>
                                            <w:div w:id="195118925">
                                              <w:marLeft w:val="0"/>
                                              <w:marRight w:val="0"/>
                                              <w:marTop w:val="0"/>
                                              <w:marBottom w:val="0"/>
                                              <w:divBdr>
                                                <w:top w:val="none" w:sz="0" w:space="0" w:color="auto"/>
                                                <w:left w:val="none" w:sz="0" w:space="0" w:color="auto"/>
                                                <w:bottom w:val="none" w:sz="0" w:space="0" w:color="auto"/>
                                                <w:right w:val="none" w:sz="0" w:space="0" w:color="auto"/>
                                              </w:divBdr>
                                              <w:divsChild>
                                                <w:div w:id="6226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cord_x0020_Number xmlns="83630db1-6fc2-4dfd-b3fe-d61d34e1440c">ER2013/016396</Record_x0020_Number>
    <Legacy_x0020_Record_x0020_Number xmlns="83630db1-6fc2-4dfd-b3fe-d61d34e1440c" xsi:nil="true"/>
    <IconOverlay xmlns="http://schemas.microsoft.com/sharepoint/v4" xsi:nil="true"/>
    <Category xmlns="5e268b55-9e20-462b-aba6-694451a37717">(none)</Category>
    <_dlc_DocId xmlns="6db8f3c6-01a1-4322-b043-a3b2a190f7a8">KNAH4PPFC442-1945-127</_dlc_DocId>
    <_dlc_DocIdUrl xmlns="6db8f3c6-01a1-4322-b043-a3b2a190f7a8">
      <Url>http://collaboration/organisation/Auth/Chair/Auth/_layouts/DocIdRedir.aspx?ID=KNAH4PPFC442-1945-127</Url>
      <Description>KNAH4PPFC442-1945-127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Record" ma:contentTypeID="0x01010070E27D6A746B5B48ADF22C2128054D5500020C07817F1F68498B2166EE12B17A57" ma:contentTypeVersion="35" ma:contentTypeDescription="A document enhanced so that it is automatically captured by RecordPoint." ma:contentTypeScope="" ma:versionID="e7e4629d89fad1c8ff1348d29791285f">
  <xsd:schema xmlns:xsd="http://www.w3.org/2001/XMLSchema" xmlns:xs="http://www.w3.org/2001/XMLSchema" xmlns:p="http://schemas.microsoft.com/office/2006/metadata/properties" xmlns:ns2="83630db1-6fc2-4dfd-b3fe-d61d34e1440c" xmlns:ns3="6db8f3c6-01a1-4322-b043-a3b2a190f7a8" xmlns:ns4="5e268b55-9e20-462b-aba6-694451a37717" xmlns:ns5="http://schemas.microsoft.com/sharepoint/v4" targetNamespace="http://schemas.microsoft.com/office/2006/metadata/properties" ma:root="true" ma:fieldsID="d30610679a7f49b9b50f4c260411420f" ns2:_="" ns3:_="" ns4:_="" ns5:_="">
    <xsd:import namespace="83630db1-6fc2-4dfd-b3fe-d61d34e1440c"/>
    <xsd:import namespace="6db8f3c6-01a1-4322-b043-a3b2a190f7a8"/>
    <xsd:import namespace="5e268b55-9e20-462b-aba6-694451a37717"/>
    <xsd:import namespace="http://schemas.microsoft.com/sharepoint/v4"/>
    <xsd:element name="properties">
      <xsd:complexType>
        <xsd:sequence>
          <xsd:element name="documentManagement">
            <xsd:complexType>
              <xsd:all>
                <xsd:element ref="ns2:Legacy_x0020_Record_x0020_Number" minOccurs="0"/>
                <xsd:element ref="ns2:Record_x0020_Number" minOccurs="0"/>
                <xsd:element ref="ns3:_dlc_DocId" minOccurs="0"/>
                <xsd:element ref="ns3:_dlc_DocIdUrl" minOccurs="0"/>
                <xsd:element ref="ns3:_dlc_DocIdPersistId" minOccurs="0"/>
                <xsd:element ref="ns4:Category"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8" nillable="true" ma:displayName="Legacy Record Number" ma:description="Captures legacy record numbers, eg from TRIM." ma:internalName="Legacy_x0020_Record_x0020_Number">
      <xsd:simpleType>
        <xsd:restriction base="dms:Text">
          <xsd:maxLength value="40"/>
        </xsd:restriction>
      </xsd:simpleType>
    </xsd:element>
    <xsd:element name="Record_x0020_Number" ma:index="9" nillable="true" ma:displayName="Record Number" ma:internalName="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268b55-9e20-462b-aba6-694451a37717" elementFormDefault="qualified">
    <xsd:import namespace="http://schemas.microsoft.com/office/2006/documentManagement/types"/>
    <xsd:import namespace="http://schemas.microsoft.com/office/infopath/2007/PartnerControls"/>
    <xsd:element name="Category" ma:index="13"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033047a-93aa-421b-8aef-52cbfb63cf36" ContentTypeId="0x01010070E27D6A746B5B48ADF22C2128054D55"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E3C81-4F41-4988-B03C-BED93190B5F9}">
  <ds:schemaRefs>
    <ds:schemaRef ds:uri="http://schemas.microsoft.com/sharepoint/v3/contenttype/forms"/>
  </ds:schemaRefs>
</ds:datastoreItem>
</file>

<file path=customXml/itemProps2.xml><?xml version="1.0" encoding="utf-8"?>
<ds:datastoreItem xmlns:ds="http://schemas.openxmlformats.org/officeDocument/2006/customXml" ds:itemID="{2B57F4D3-6094-429D-928A-2CA5AC421078}">
  <ds:schemaRefs>
    <ds:schemaRef ds:uri="http://schemas.microsoft.com/office/2006/metadata/properties"/>
    <ds:schemaRef ds:uri="http://schemas.microsoft.com/office/infopath/2007/PartnerControls"/>
    <ds:schemaRef ds:uri="83630db1-6fc2-4dfd-b3fe-d61d34e1440c"/>
    <ds:schemaRef ds:uri="http://schemas.microsoft.com/sharepoint/v4"/>
    <ds:schemaRef ds:uri="5e268b55-9e20-462b-aba6-694451a37717"/>
    <ds:schemaRef ds:uri="6db8f3c6-01a1-4322-b043-a3b2a190f7a8"/>
  </ds:schemaRefs>
</ds:datastoreItem>
</file>

<file path=customXml/itemProps3.xml><?xml version="1.0" encoding="utf-8"?>
<ds:datastoreItem xmlns:ds="http://schemas.openxmlformats.org/officeDocument/2006/customXml" ds:itemID="{4C6B5567-2139-4E4E-86EB-602D403E2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30db1-6fc2-4dfd-b3fe-d61d34e1440c"/>
    <ds:schemaRef ds:uri="6db8f3c6-01a1-4322-b043-a3b2a190f7a8"/>
    <ds:schemaRef ds:uri="5e268b55-9e20-462b-aba6-694451a3771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9A3DD3-EB72-4431-BE50-CD3FC5EE3BB0}">
  <ds:schemaRefs>
    <ds:schemaRef ds:uri="Microsoft.SharePoint.Taxonomy.ContentTypeSync"/>
  </ds:schemaRefs>
</ds:datastoreItem>
</file>

<file path=customXml/itemProps5.xml><?xml version="1.0" encoding="utf-8"?>
<ds:datastoreItem xmlns:ds="http://schemas.openxmlformats.org/officeDocument/2006/customXml" ds:itemID="{E2C78297-2F7E-4865-880B-6282E874A5CD}">
  <ds:schemaRefs>
    <ds:schemaRef ds:uri="http://schemas.microsoft.com/sharepoint/events"/>
  </ds:schemaRefs>
</ds:datastoreItem>
</file>

<file path=customXml/itemProps6.xml><?xml version="1.0" encoding="utf-8"?>
<ds:datastoreItem xmlns:ds="http://schemas.openxmlformats.org/officeDocument/2006/customXml" ds:itemID="{0D59461B-EAC0-4E45-80FD-E1794224C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1795</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jchua</dc:creator>
  <cp:lastModifiedBy>Paul Miszalski</cp:lastModifiedBy>
  <cp:revision>3</cp:revision>
  <cp:lastPrinted>2014-05-19T00:55:00Z</cp:lastPrinted>
  <dcterms:created xsi:type="dcterms:W3CDTF">2014-12-11T22:35:00Z</dcterms:created>
  <dcterms:modified xsi:type="dcterms:W3CDTF">2014-12-11T22:36:00Z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0x01010070E27D6A746B5B48ADF22C2128054D5500020C07817F1F68498B2166EE12B17A57</vt:lpwstr>
  </property>
  <property fmtid="{D5CDD505-2E9C-101B-9397-08002B2CF9AE}" pid="3" name="_dlc_DocIdItemGuid">
    <vt:lpwstr>e5a3f335-45e2-4c55-a83c-d78876b6e75b</vt:lpwstr>
  </property>
  <property fmtid="{D5CDD505-2E9C-101B-9397-08002B2CF9AE}" pid="4" name="RecordPoint_SubmissionDate">
    <vt:lpwstr/>
  </property>
  <property fmtid="{D5CDD505-2E9C-101B-9397-08002B2CF9AE}" pid="5" name="RecordPoint_ActiveItemSiteId">
    <vt:lpwstr>{7ba5f3c1-1ab9-4cc3-a7c0-334d2b0aec73}</vt:lpwstr>
  </property>
  <property fmtid="{D5CDD505-2E9C-101B-9397-08002B2CF9AE}" pid="6" name="RecordPoint_ActiveItemListId">
    <vt:lpwstr>{12ea2e24-8e38-48f0-8667-2a35c1c96989}</vt:lpwstr>
  </property>
  <property fmtid="{D5CDD505-2E9C-101B-9397-08002B2CF9AE}" pid="7" name="RecordPoint_ActiveItemMoved">
    <vt:lpwstr/>
  </property>
  <property fmtid="{D5CDD505-2E9C-101B-9397-08002B2CF9AE}" pid="8" name="RecordPoint_SubmissionCompleted">
    <vt:lpwstr>2013-02-13T14:09:10.6509204+11:00</vt:lpwstr>
  </property>
  <property fmtid="{D5CDD505-2E9C-101B-9397-08002B2CF9AE}" pid="9" name="RecordPoint_ActiveItemUniqueId">
    <vt:lpwstr>{e5a3f335-45e2-4c55-a83c-d78876b6e75b}</vt:lpwstr>
  </property>
  <property fmtid="{D5CDD505-2E9C-101B-9397-08002B2CF9AE}" pid="10" name="RecordPoint_RecordFormat">
    <vt:lpwstr/>
  </property>
  <property fmtid="{D5CDD505-2E9C-101B-9397-08002B2CF9AE}" pid="11" name="RecordPoint_ActiveItemWebId">
    <vt:lpwstr>{e61cc4da-a431-400f-9f48-bf2ba12a7e9a}</vt:lpwstr>
  </property>
  <property fmtid="{D5CDD505-2E9C-101B-9397-08002B2CF9AE}" pid="12" name="RecordPoint_WorkflowType">
    <vt:lpwstr>ActiveSubmitStub</vt:lpwstr>
  </property>
</Properties>
</file>