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A534" w14:textId="77777777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bookmarkStart w:id="0" w:name="_GoBack"/>
      <w:bookmarkEnd w:id="0"/>
      <w:r w:rsidRPr="005A5476">
        <w:rPr>
          <w:rFonts w:ascii="Arial" w:hAnsi="Arial" w:cs="Arial"/>
          <w:b/>
          <w:sz w:val="22"/>
          <w:szCs w:val="22"/>
          <w:lang w:val="en-AU"/>
        </w:rPr>
        <w:t>EXPLANATORY STATEMENT</w:t>
      </w:r>
    </w:p>
    <w:p w14:paraId="4BDA985A" w14:textId="77777777" w:rsidR="00914D5C" w:rsidRPr="005A5476" w:rsidRDefault="00914D5C" w:rsidP="00914D5C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14:paraId="1C139415" w14:textId="77777777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  <w:r w:rsidRPr="005A5476">
        <w:rPr>
          <w:rFonts w:ascii="Arial" w:hAnsi="Arial" w:cs="Arial"/>
          <w:sz w:val="22"/>
          <w:szCs w:val="22"/>
          <w:lang w:val="en-AU"/>
        </w:rPr>
        <w:t>Issued by the Australian Communications and Media Authority</w:t>
      </w:r>
    </w:p>
    <w:p w14:paraId="3624A5DF" w14:textId="77777777" w:rsidR="00914D5C" w:rsidRPr="005A5476" w:rsidRDefault="00914D5C" w:rsidP="00914D5C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14:paraId="36FC375A" w14:textId="041D62D2" w:rsidR="00914D5C" w:rsidRDefault="00914D5C" w:rsidP="00914D5C">
      <w:pPr>
        <w:spacing w:line="360" w:lineRule="auto"/>
        <w:jc w:val="center"/>
        <w:outlineLvl w:val="0"/>
        <w:rPr>
          <w:rFonts w:ascii="Arial" w:hAnsi="Arial" w:cs="Arial"/>
          <w:i/>
          <w:sz w:val="22"/>
          <w:szCs w:val="22"/>
          <w:lang w:val="en-AU"/>
        </w:rPr>
      </w:pPr>
      <w:proofErr w:type="spellStart"/>
      <w:r w:rsidRPr="00B658AE">
        <w:rPr>
          <w:rFonts w:ascii="Arial" w:hAnsi="Arial" w:cs="Arial"/>
          <w:i/>
          <w:sz w:val="22"/>
          <w:szCs w:val="22"/>
          <w:lang w:val="en-AU"/>
        </w:rPr>
        <w:t>Radiocommunications</w:t>
      </w:r>
      <w:proofErr w:type="spellEnd"/>
      <w:r w:rsidRPr="00B658AE">
        <w:rPr>
          <w:rFonts w:ascii="Arial" w:hAnsi="Arial" w:cs="Arial"/>
          <w:i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>(</w:t>
      </w:r>
      <w:r w:rsidR="00527598">
        <w:rPr>
          <w:rFonts w:ascii="Arial" w:hAnsi="Arial" w:cs="Arial"/>
          <w:i/>
          <w:sz w:val="22"/>
          <w:szCs w:val="22"/>
          <w:lang w:val="en-AU"/>
        </w:rPr>
        <w:t xml:space="preserve">Specified </w:t>
      </w:r>
      <w:proofErr w:type="spellStart"/>
      <w:r w:rsidR="00527598">
        <w:rPr>
          <w:rFonts w:ascii="Arial" w:hAnsi="Arial" w:cs="Arial"/>
          <w:i/>
          <w:sz w:val="22"/>
          <w:szCs w:val="22"/>
          <w:lang w:val="en-AU"/>
        </w:rPr>
        <w:t>Radiocommunications</w:t>
      </w:r>
      <w:proofErr w:type="spellEnd"/>
      <w:r w:rsidR="00527598">
        <w:rPr>
          <w:rFonts w:ascii="Arial" w:hAnsi="Arial" w:cs="Arial"/>
          <w:i/>
          <w:sz w:val="22"/>
          <w:szCs w:val="22"/>
          <w:lang w:val="en-AU"/>
        </w:rPr>
        <w:t xml:space="preserve"> Receivers and Types of Transmitter Licences and Receiver Licences</w:t>
      </w:r>
      <w:r>
        <w:rPr>
          <w:rFonts w:ascii="Arial" w:hAnsi="Arial" w:cs="Arial"/>
          <w:i/>
          <w:sz w:val="22"/>
          <w:szCs w:val="22"/>
          <w:lang w:val="en-AU"/>
        </w:rPr>
        <w:t>) Determination 2014</w:t>
      </w:r>
    </w:p>
    <w:p w14:paraId="38369819" w14:textId="77777777" w:rsidR="00DE6ECF" w:rsidRPr="000E05C6" w:rsidRDefault="00DE6ECF" w:rsidP="00DE6ECF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  <w:proofErr w:type="spellStart"/>
      <w:r w:rsidRPr="000E05C6">
        <w:rPr>
          <w:rFonts w:ascii="Arial" w:hAnsi="Arial" w:cs="Arial"/>
          <w:i/>
          <w:sz w:val="22"/>
          <w:szCs w:val="22"/>
          <w:lang w:val="en-AU"/>
        </w:rPr>
        <w:t>Radiocommunications</w:t>
      </w:r>
      <w:proofErr w:type="spellEnd"/>
      <w:r w:rsidRPr="000E05C6">
        <w:rPr>
          <w:rFonts w:ascii="Arial" w:hAnsi="Arial" w:cs="Arial"/>
          <w:i/>
          <w:sz w:val="22"/>
          <w:szCs w:val="22"/>
          <w:lang w:val="en-AU"/>
        </w:rPr>
        <w:t xml:space="preserve"> Act 1992</w:t>
      </w:r>
    </w:p>
    <w:p w14:paraId="6BAF1E9F" w14:textId="77777777" w:rsidR="00DE6ECF" w:rsidRPr="005A5476" w:rsidRDefault="00DE6ECF" w:rsidP="00914D5C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</w:p>
    <w:p w14:paraId="04E43B49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Purpose</w:t>
      </w:r>
    </w:p>
    <w:p w14:paraId="42C30CDA" w14:textId="346E4D9E" w:rsidR="00914D5C" w:rsidRDefault="008060B1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914D5C">
        <w:rPr>
          <w:rFonts w:ascii="Arial" w:hAnsi="Arial" w:cs="Arial"/>
          <w:sz w:val="20"/>
        </w:rPr>
        <w:t xml:space="preserve">he Australian Communications and Media Authority (the ACMA) </w:t>
      </w:r>
      <w:r>
        <w:rPr>
          <w:rFonts w:ascii="Arial" w:hAnsi="Arial" w:cs="Arial"/>
          <w:sz w:val="20"/>
        </w:rPr>
        <w:t xml:space="preserve">has </w:t>
      </w:r>
      <w:r w:rsidR="00914D5C">
        <w:rPr>
          <w:rFonts w:ascii="Arial" w:hAnsi="Arial" w:cs="Arial"/>
          <w:sz w:val="20"/>
        </w:rPr>
        <w:t xml:space="preserve">made the </w:t>
      </w:r>
      <w:proofErr w:type="spellStart"/>
      <w:r w:rsidR="00527598" w:rsidRPr="00527598">
        <w:rPr>
          <w:rFonts w:ascii="Arial" w:hAnsi="Arial" w:cs="Arial"/>
          <w:i/>
          <w:sz w:val="20"/>
        </w:rPr>
        <w:t>Radiocommunications</w:t>
      </w:r>
      <w:proofErr w:type="spellEnd"/>
      <w:r w:rsidR="00527598" w:rsidRPr="00527598">
        <w:rPr>
          <w:rFonts w:ascii="Arial" w:hAnsi="Arial" w:cs="Arial"/>
          <w:i/>
          <w:sz w:val="20"/>
        </w:rPr>
        <w:t xml:space="preserve"> (Specified </w:t>
      </w:r>
      <w:proofErr w:type="spellStart"/>
      <w:r w:rsidR="00527598" w:rsidRPr="00527598">
        <w:rPr>
          <w:rFonts w:ascii="Arial" w:hAnsi="Arial" w:cs="Arial"/>
          <w:i/>
          <w:sz w:val="20"/>
        </w:rPr>
        <w:t>Radiocommunications</w:t>
      </w:r>
      <w:proofErr w:type="spellEnd"/>
      <w:r w:rsidR="00527598" w:rsidRPr="00527598">
        <w:rPr>
          <w:rFonts w:ascii="Arial" w:hAnsi="Arial" w:cs="Arial"/>
          <w:i/>
          <w:sz w:val="20"/>
        </w:rPr>
        <w:t xml:space="preserve"> Receivers and Types of Transmitter Licences and Receiver Licences) Determination 2014</w:t>
      </w:r>
      <w:r w:rsidR="00527598">
        <w:rPr>
          <w:rFonts w:ascii="Arial" w:hAnsi="Arial" w:cs="Arial"/>
          <w:sz w:val="20"/>
        </w:rPr>
        <w:t xml:space="preserve"> (the Determination)</w:t>
      </w:r>
      <w:r w:rsidR="00527598">
        <w:rPr>
          <w:rFonts w:ascii="Arial" w:hAnsi="Arial" w:cs="Arial"/>
          <w:i/>
          <w:sz w:val="20"/>
        </w:rPr>
        <w:t>.</w:t>
      </w:r>
    </w:p>
    <w:p w14:paraId="4FD0DCEA" w14:textId="77777777" w:rsidR="00914D5C" w:rsidRDefault="00914D5C" w:rsidP="00914D5C">
      <w:pPr>
        <w:rPr>
          <w:rFonts w:ascii="Arial" w:hAnsi="Arial" w:cs="Arial"/>
          <w:sz w:val="20"/>
        </w:rPr>
      </w:pPr>
    </w:p>
    <w:p w14:paraId="1AB7CF0F" w14:textId="102312B7" w:rsidR="00914D5C" w:rsidRDefault="00914D5C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Determination revokes and replaces the </w:t>
      </w:r>
      <w:proofErr w:type="spellStart"/>
      <w:r w:rsidRPr="009731AD">
        <w:rPr>
          <w:rFonts w:ascii="Arial" w:hAnsi="Arial" w:cs="Arial"/>
          <w:i/>
          <w:sz w:val="20"/>
        </w:rPr>
        <w:t>Radiocommunications</w:t>
      </w:r>
      <w:proofErr w:type="spellEnd"/>
      <w:r w:rsidRPr="009731A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</w:t>
      </w:r>
      <w:proofErr w:type="spellStart"/>
      <w:r w:rsidR="00527598">
        <w:rPr>
          <w:rFonts w:ascii="Arial" w:hAnsi="Arial" w:cs="Arial"/>
          <w:i/>
          <w:sz w:val="20"/>
        </w:rPr>
        <w:t>Radiocommunications</w:t>
      </w:r>
      <w:proofErr w:type="spellEnd"/>
      <w:r w:rsidR="00527598">
        <w:rPr>
          <w:rFonts w:ascii="Arial" w:hAnsi="Arial" w:cs="Arial"/>
          <w:i/>
          <w:sz w:val="20"/>
        </w:rPr>
        <w:t xml:space="preserve"> Receivers</w:t>
      </w:r>
      <w:r>
        <w:rPr>
          <w:rFonts w:ascii="Arial" w:hAnsi="Arial" w:cs="Arial"/>
          <w:i/>
          <w:sz w:val="20"/>
        </w:rPr>
        <w:t xml:space="preserve">) Determination </w:t>
      </w:r>
      <w:r w:rsidR="00527598">
        <w:rPr>
          <w:rFonts w:ascii="Arial" w:hAnsi="Arial" w:cs="Arial"/>
          <w:i/>
          <w:sz w:val="20"/>
        </w:rPr>
        <w:t>2000 (No. 2)</w:t>
      </w:r>
      <w:r w:rsidRPr="005029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(the </w:t>
      </w:r>
      <w:r w:rsidR="00527598">
        <w:rPr>
          <w:rFonts w:ascii="Arial" w:hAnsi="Arial" w:cs="Arial"/>
          <w:sz w:val="20"/>
        </w:rPr>
        <w:t>Receivers</w:t>
      </w:r>
      <w:r>
        <w:rPr>
          <w:rFonts w:ascii="Arial" w:hAnsi="Arial" w:cs="Arial"/>
          <w:sz w:val="20"/>
        </w:rPr>
        <w:t xml:space="preserve"> </w:t>
      </w:r>
      <w:r w:rsidR="009D358F">
        <w:rPr>
          <w:rFonts w:ascii="Arial" w:hAnsi="Arial" w:cs="Arial"/>
          <w:sz w:val="20"/>
        </w:rPr>
        <w:t>Determination</w:t>
      </w:r>
      <w:r>
        <w:rPr>
          <w:rFonts w:ascii="Arial" w:hAnsi="Arial" w:cs="Arial"/>
          <w:sz w:val="20"/>
        </w:rPr>
        <w:t xml:space="preserve">) </w:t>
      </w:r>
      <w:r w:rsidR="00527598">
        <w:rPr>
          <w:rFonts w:ascii="Arial" w:hAnsi="Arial" w:cs="Arial"/>
          <w:sz w:val="20"/>
        </w:rPr>
        <w:t xml:space="preserve">and the </w:t>
      </w:r>
      <w:proofErr w:type="spellStart"/>
      <w:r w:rsidR="00527598" w:rsidRPr="009731AD">
        <w:rPr>
          <w:rFonts w:ascii="Arial" w:hAnsi="Arial" w:cs="Arial"/>
          <w:i/>
          <w:sz w:val="20"/>
        </w:rPr>
        <w:t>Radiocommunications</w:t>
      </w:r>
      <w:proofErr w:type="spellEnd"/>
      <w:r w:rsidR="00527598" w:rsidRPr="009731AD">
        <w:rPr>
          <w:rFonts w:ascii="Arial" w:hAnsi="Arial" w:cs="Arial"/>
          <w:i/>
          <w:sz w:val="20"/>
        </w:rPr>
        <w:t xml:space="preserve"> </w:t>
      </w:r>
      <w:r w:rsidR="00527598">
        <w:rPr>
          <w:rFonts w:ascii="Arial" w:hAnsi="Arial" w:cs="Arial"/>
          <w:i/>
          <w:sz w:val="20"/>
        </w:rPr>
        <w:t xml:space="preserve">(Transmitter and Receiver Licences) Determination </w:t>
      </w:r>
      <w:r w:rsidR="00527598">
        <w:rPr>
          <w:rFonts w:ascii="Arial" w:hAnsi="Arial" w:cs="Arial"/>
          <w:sz w:val="20"/>
        </w:rPr>
        <w:t xml:space="preserve">(the Transmitter and Receiver Determination) </w:t>
      </w:r>
      <w:r>
        <w:rPr>
          <w:rFonts w:ascii="Arial" w:hAnsi="Arial" w:cs="Arial"/>
          <w:sz w:val="20"/>
        </w:rPr>
        <w:t>without making any significant changes to the regulatory arrangements created by th</w:t>
      </w:r>
      <w:r w:rsidR="00D738D8">
        <w:rPr>
          <w:rFonts w:ascii="Arial" w:hAnsi="Arial" w:cs="Arial"/>
          <w:sz w:val="20"/>
        </w:rPr>
        <w:t>ose</w:t>
      </w:r>
      <w:r>
        <w:rPr>
          <w:rFonts w:ascii="Arial" w:hAnsi="Arial" w:cs="Arial"/>
          <w:sz w:val="20"/>
        </w:rPr>
        <w:t xml:space="preserve"> </w:t>
      </w:r>
      <w:r w:rsidR="00DC2924">
        <w:rPr>
          <w:rFonts w:ascii="Arial" w:hAnsi="Arial" w:cs="Arial"/>
          <w:sz w:val="20"/>
        </w:rPr>
        <w:t>instruments</w:t>
      </w:r>
      <w:r>
        <w:rPr>
          <w:rFonts w:ascii="Arial" w:hAnsi="Arial" w:cs="Arial"/>
          <w:sz w:val="20"/>
        </w:rPr>
        <w:t>.</w:t>
      </w:r>
    </w:p>
    <w:p w14:paraId="188F21F5" w14:textId="77777777" w:rsidR="00914D5C" w:rsidRDefault="00914D5C" w:rsidP="00914D5C">
      <w:pPr>
        <w:rPr>
          <w:rFonts w:ascii="Arial" w:hAnsi="Arial" w:cs="Arial"/>
          <w:sz w:val="20"/>
        </w:rPr>
      </w:pPr>
    </w:p>
    <w:p w14:paraId="469EC67D" w14:textId="6A052826" w:rsidR="00B040C6" w:rsidRDefault="00914D5C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ACMA has made the Determination because the </w:t>
      </w:r>
      <w:r w:rsidR="00527598" w:rsidRPr="00527598">
        <w:rPr>
          <w:rFonts w:ascii="Arial" w:hAnsi="Arial" w:cs="Arial"/>
          <w:sz w:val="20"/>
        </w:rPr>
        <w:t xml:space="preserve">Receivers Determination and the Transmitter and Receiver Determination </w:t>
      </w:r>
      <w:r>
        <w:rPr>
          <w:rFonts w:ascii="Arial" w:hAnsi="Arial" w:cs="Arial"/>
          <w:sz w:val="20"/>
        </w:rPr>
        <w:t>w</w:t>
      </w:r>
      <w:r w:rsidR="00527598">
        <w:rPr>
          <w:rFonts w:ascii="Arial" w:hAnsi="Arial" w:cs="Arial"/>
          <w:sz w:val="20"/>
        </w:rPr>
        <w:t>ere each</w:t>
      </w:r>
      <w:r>
        <w:rPr>
          <w:rFonts w:ascii="Arial" w:hAnsi="Arial" w:cs="Arial"/>
          <w:sz w:val="20"/>
        </w:rPr>
        <w:t xml:space="preserve"> due to ‘sunset’ (i.e. be automatically repealed) on 1 </w:t>
      </w:r>
      <w:r w:rsidR="00527598">
        <w:rPr>
          <w:rFonts w:ascii="Arial" w:hAnsi="Arial" w:cs="Arial"/>
          <w:sz w:val="20"/>
        </w:rPr>
        <w:t>April</w:t>
      </w:r>
      <w:r>
        <w:rPr>
          <w:rFonts w:ascii="Arial" w:hAnsi="Arial" w:cs="Arial"/>
          <w:sz w:val="20"/>
        </w:rPr>
        <w:t xml:space="preserve"> 2015</w:t>
      </w:r>
      <w:r w:rsidR="00527598">
        <w:rPr>
          <w:rFonts w:ascii="Arial" w:hAnsi="Arial" w:cs="Arial"/>
          <w:sz w:val="20"/>
        </w:rPr>
        <w:t xml:space="preserve"> and 1 October 2015, respectively</w:t>
      </w:r>
      <w:r>
        <w:rPr>
          <w:rFonts w:ascii="Arial" w:hAnsi="Arial" w:cs="Arial"/>
          <w:sz w:val="20"/>
        </w:rPr>
        <w:t xml:space="preserve">, by operation of Part 6 of the </w:t>
      </w:r>
      <w:r w:rsidRPr="00BD05EE">
        <w:rPr>
          <w:rFonts w:ascii="Arial" w:hAnsi="Arial" w:cs="Arial"/>
          <w:i/>
          <w:sz w:val="20"/>
        </w:rPr>
        <w:t>Legislative Instruments Act 2003</w:t>
      </w:r>
      <w:r>
        <w:rPr>
          <w:rFonts w:ascii="Arial" w:hAnsi="Arial" w:cs="Arial"/>
          <w:i/>
          <w:sz w:val="20"/>
        </w:rPr>
        <w:t xml:space="preserve"> </w:t>
      </w:r>
      <w:r w:rsidRPr="0005604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the </w:t>
      </w:r>
      <w:r w:rsidRPr="0005604B">
        <w:rPr>
          <w:rFonts w:ascii="Arial" w:hAnsi="Arial" w:cs="Arial"/>
          <w:sz w:val="20"/>
        </w:rPr>
        <w:t>LIA</w:t>
      </w:r>
      <w:r>
        <w:rPr>
          <w:rFonts w:ascii="Arial" w:hAnsi="Arial" w:cs="Arial"/>
          <w:sz w:val="20"/>
        </w:rPr>
        <w:t>).</w:t>
      </w:r>
    </w:p>
    <w:p w14:paraId="79AA5DB1" w14:textId="77777777" w:rsidR="00B040C6" w:rsidRDefault="00B040C6" w:rsidP="00914D5C">
      <w:pPr>
        <w:rPr>
          <w:rFonts w:ascii="Arial" w:hAnsi="Arial" w:cs="Arial"/>
          <w:sz w:val="20"/>
        </w:rPr>
      </w:pPr>
    </w:p>
    <w:p w14:paraId="5624867B" w14:textId="31EC1475" w:rsidR="00914D5C" w:rsidRDefault="00914D5C" w:rsidP="00914D5C">
      <w:pPr>
        <w:rPr>
          <w:rFonts w:ascii="Arial" w:hAnsi="Arial" w:cs="Arial"/>
          <w:sz w:val="22"/>
          <w:szCs w:val="22"/>
        </w:rPr>
      </w:pPr>
      <w:r w:rsidRPr="00C117CF">
        <w:rPr>
          <w:rFonts w:ascii="Arial" w:hAnsi="Arial" w:cs="Arial"/>
          <w:sz w:val="20"/>
        </w:rPr>
        <w:t>Following</w:t>
      </w:r>
      <w:r>
        <w:rPr>
          <w:rFonts w:ascii="Arial" w:hAnsi="Arial" w:cs="Arial"/>
          <w:sz w:val="20"/>
        </w:rPr>
        <w:t xml:space="preserve"> </w:t>
      </w:r>
      <w:r w:rsidRPr="00C117CF">
        <w:rPr>
          <w:rFonts w:ascii="Arial" w:hAnsi="Arial" w:cs="Arial"/>
          <w:sz w:val="20"/>
        </w:rPr>
        <w:t xml:space="preserve">review, and consultation as described below, the ACMA formed the view that </w:t>
      </w:r>
      <w:r w:rsidR="00527598" w:rsidRPr="00527598">
        <w:rPr>
          <w:rFonts w:ascii="Arial" w:hAnsi="Arial" w:cs="Arial"/>
          <w:sz w:val="20"/>
        </w:rPr>
        <w:t xml:space="preserve">the Receivers Determination and the Transmitter and Receiver Determination </w:t>
      </w:r>
      <w:r w:rsidRPr="00C117CF">
        <w:rPr>
          <w:rFonts w:ascii="Arial" w:hAnsi="Arial" w:cs="Arial"/>
          <w:sz w:val="20"/>
        </w:rPr>
        <w:t>w</w:t>
      </w:r>
      <w:r w:rsidR="00527598">
        <w:rPr>
          <w:rFonts w:ascii="Arial" w:hAnsi="Arial" w:cs="Arial"/>
          <w:sz w:val="20"/>
        </w:rPr>
        <w:t>ere</w:t>
      </w:r>
      <w:r w:rsidRPr="00C117CF">
        <w:rPr>
          <w:rFonts w:ascii="Arial" w:hAnsi="Arial" w:cs="Arial"/>
          <w:sz w:val="20"/>
        </w:rPr>
        <w:t xml:space="preserve"> </w:t>
      </w:r>
      <w:r w:rsidR="006B294F">
        <w:rPr>
          <w:rFonts w:ascii="Arial" w:hAnsi="Arial" w:cs="Arial"/>
          <w:sz w:val="20"/>
        </w:rPr>
        <w:t xml:space="preserve">each </w:t>
      </w:r>
      <w:r w:rsidRPr="00C117CF">
        <w:rPr>
          <w:rFonts w:ascii="Arial" w:hAnsi="Arial" w:cs="Arial"/>
          <w:sz w:val="20"/>
        </w:rPr>
        <w:t>operating effectively and efficiently</w:t>
      </w:r>
      <w:r>
        <w:rPr>
          <w:rFonts w:ascii="Arial" w:hAnsi="Arial" w:cs="Arial"/>
          <w:sz w:val="20"/>
        </w:rPr>
        <w:t>,</w:t>
      </w:r>
      <w:r w:rsidRPr="00C117CF">
        <w:rPr>
          <w:rFonts w:ascii="Arial" w:hAnsi="Arial" w:cs="Arial"/>
          <w:sz w:val="20"/>
        </w:rPr>
        <w:t xml:space="preserve"> and continued to form a necessary and useful part of the legislative framework</w:t>
      </w:r>
      <w:r>
        <w:rPr>
          <w:rFonts w:ascii="Arial" w:hAnsi="Arial" w:cs="Arial"/>
          <w:sz w:val="20"/>
        </w:rPr>
        <w:t xml:space="preserve">. </w:t>
      </w:r>
      <w:r w:rsidR="00D013B2" w:rsidRPr="0071474A">
        <w:rPr>
          <w:rFonts w:ascii="Arial" w:hAnsi="Arial" w:cs="Arial"/>
          <w:sz w:val="20"/>
        </w:rPr>
        <w:t>The ACMA consider</w:t>
      </w:r>
      <w:r w:rsidR="00D013B2">
        <w:rPr>
          <w:rFonts w:ascii="Arial" w:hAnsi="Arial" w:cs="Arial"/>
          <w:sz w:val="20"/>
        </w:rPr>
        <w:t>ed</w:t>
      </w:r>
      <w:r w:rsidR="00D013B2" w:rsidRPr="0071474A">
        <w:rPr>
          <w:rFonts w:ascii="Arial" w:hAnsi="Arial" w:cs="Arial"/>
          <w:sz w:val="20"/>
        </w:rPr>
        <w:t xml:space="preserve"> that the instruments </w:t>
      </w:r>
      <w:r w:rsidR="00D013B2">
        <w:rPr>
          <w:rFonts w:ascii="Arial" w:hAnsi="Arial" w:cs="Arial"/>
          <w:sz w:val="20"/>
        </w:rPr>
        <w:t>were</w:t>
      </w:r>
      <w:r w:rsidR="00D013B2" w:rsidRPr="0071474A">
        <w:rPr>
          <w:rFonts w:ascii="Arial" w:hAnsi="Arial" w:cs="Arial"/>
          <w:sz w:val="20"/>
        </w:rPr>
        <w:t xml:space="preserve"> complementary in their purpose and that combining </w:t>
      </w:r>
      <w:r w:rsidR="00D013B2">
        <w:rPr>
          <w:rFonts w:ascii="Arial" w:hAnsi="Arial" w:cs="Arial"/>
          <w:sz w:val="20"/>
        </w:rPr>
        <w:t>their contents</w:t>
      </w:r>
      <w:r w:rsidR="00D013B2" w:rsidRPr="0071474A">
        <w:rPr>
          <w:rFonts w:ascii="Arial" w:hAnsi="Arial" w:cs="Arial"/>
          <w:sz w:val="20"/>
        </w:rPr>
        <w:t xml:space="preserve"> into one, consolidated instrument </w:t>
      </w:r>
      <w:r w:rsidR="00D013B2">
        <w:rPr>
          <w:rFonts w:ascii="Arial" w:hAnsi="Arial" w:cs="Arial"/>
          <w:sz w:val="20"/>
        </w:rPr>
        <w:t>would</w:t>
      </w:r>
      <w:r w:rsidR="00D013B2" w:rsidRPr="0071474A">
        <w:rPr>
          <w:rFonts w:ascii="Arial" w:hAnsi="Arial" w:cs="Arial"/>
          <w:sz w:val="20"/>
        </w:rPr>
        <w:t xml:space="preserve"> benefit stakeholders</w:t>
      </w:r>
      <w:r w:rsidR="00D013B2">
        <w:rPr>
          <w:rFonts w:ascii="Arial" w:hAnsi="Arial" w:cs="Arial"/>
          <w:sz w:val="20"/>
        </w:rPr>
        <w:t>. T</w:t>
      </w:r>
      <w:r>
        <w:rPr>
          <w:rFonts w:ascii="Arial" w:hAnsi="Arial" w:cs="Arial"/>
          <w:sz w:val="20"/>
        </w:rPr>
        <w:t xml:space="preserve">he ACMA has </w:t>
      </w:r>
      <w:r w:rsidR="00D013B2">
        <w:rPr>
          <w:rFonts w:ascii="Arial" w:hAnsi="Arial" w:cs="Arial"/>
          <w:sz w:val="20"/>
        </w:rPr>
        <w:t xml:space="preserve">therefore </w:t>
      </w:r>
      <w:r>
        <w:rPr>
          <w:rFonts w:ascii="Arial" w:hAnsi="Arial" w:cs="Arial"/>
          <w:sz w:val="20"/>
        </w:rPr>
        <w:t xml:space="preserve">revoked the </w:t>
      </w:r>
      <w:r w:rsidR="0071474A">
        <w:rPr>
          <w:rFonts w:ascii="Arial" w:hAnsi="Arial" w:cs="Arial"/>
          <w:sz w:val="20"/>
        </w:rPr>
        <w:t xml:space="preserve">instruments </w:t>
      </w:r>
      <w:r>
        <w:rPr>
          <w:rFonts w:ascii="Arial" w:hAnsi="Arial" w:cs="Arial"/>
          <w:sz w:val="20"/>
        </w:rPr>
        <w:t xml:space="preserve">before </w:t>
      </w:r>
      <w:r w:rsidR="0071474A">
        <w:rPr>
          <w:rFonts w:ascii="Arial" w:hAnsi="Arial" w:cs="Arial"/>
          <w:sz w:val="20"/>
        </w:rPr>
        <w:t xml:space="preserve">their </w:t>
      </w:r>
      <w:r>
        <w:rPr>
          <w:rFonts w:ascii="Arial" w:hAnsi="Arial" w:cs="Arial"/>
          <w:sz w:val="20"/>
        </w:rPr>
        <w:t>sunset</w:t>
      </w:r>
      <w:r w:rsidR="0071474A">
        <w:rPr>
          <w:rFonts w:ascii="Arial" w:hAnsi="Arial" w:cs="Arial"/>
          <w:sz w:val="20"/>
        </w:rPr>
        <w:t xml:space="preserve"> dates, </w:t>
      </w:r>
      <w:r>
        <w:rPr>
          <w:rFonts w:ascii="Arial" w:hAnsi="Arial" w:cs="Arial"/>
          <w:sz w:val="20"/>
        </w:rPr>
        <w:t xml:space="preserve">and remade </w:t>
      </w:r>
      <w:r w:rsidR="0071474A">
        <w:rPr>
          <w:rFonts w:ascii="Arial" w:hAnsi="Arial" w:cs="Arial"/>
          <w:sz w:val="20"/>
        </w:rPr>
        <w:t xml:space="preserve">them </w:t>
      </w:r>
      <w:r w:rsidR="006B294F">
        <w:rPr>
          <w:rFonts w:ascii="Arial" w:hAnsi="Arial" w:cs="Arial"/>
          <w:sz w:val="20"/>
        </w:rPr>
        <w:t xml:space="preserve">into a consolidated single instrument </w:t>
      </w:r>
      <w:r>
        <w:rPr>
          <w:rFonts w:ascii="Arial" w:hAnsi="Arial" w:cs="Arial"/>
          <w:sz w:val="20"/>
        </w:rPr>
        <w:t xml:space="preserve">with </w:t>
      </w:r>
      <w:r w:rsidR="00B040C6">
        <w:rPr>
          <w:rFonts w:ascii="Arial" w:hAnsi="Arial" w:cs="Arial"/>
          <w:sz w:val="20"/>
        </w:rPr>
        <w:t xml:space="preserve">only </w:t>
      </w:r>
      <w:r w:rsidR="007B0B61">
        <w:rPr>
          <w:rFonts w:ascii="Arial" w:hAnsi="Arial" w:cs="Arial"/>
          <w:sz w:val="20"/>
        </w:rPr>
        <w:t>min</w:t>
      </w:r>
      <w:r w:rsidR="0071474A" w:rsidRPr="0071474A">
        <w:rPr>
          <w:rFonts w:ascii="Arial" w:hAnsi="Arial" w:cs="Arial"/>
          <w:sz w:val="20"/>
        </w:rPr>
        <w:t xml:space="preserve">or and machinery </w:t>
      </w:r>
      <w:r w:rsidR="007B0B61">
        <w:rPr>
          <w:rFonts w:ascii="Arial" w:hAnsi="Arial" w:cs="Arial"/>
          <w:sz w:val="20"/>
        </w:rPr>
        <w:t>changes</w:t>
      </w:r>
      <w:r w:rsidR="0071474A" w:rsidRPr="0071474A">
        <w:rPr>
          <w:rFonts w:ascii="Arial" w:hAnsi="Arial" w:cs="Arial"/>
          <w:sz w:val="20"/>
        </w:rPr>
        <w:t>.</w:t>
      </w:r>
    </w:p>
    <w:p w14:paraId="524809A1" w14:textId="77777777" w:rsidR="00914D5C" w:rsidRPr="000C097F" w:rsidRDefault="00914D5C" w:rsidP="000C097F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30A64360" w14:textId="77777777" w:rsidR="00914D5C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Legislative Provisions</w:t>
      </w:r>
    </w:p>
    <w:p w14:paraId="02229632" w14:textId="6E44CEBD" w:rsidR="00EE159D" w:rsidRDefault="00D013B2" w:rsidP="00184C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B0B61" w:rsidRPr="007B0B61">
        <w:rPr>
          <w:rFonts w:ascii="Arial" w:hAnsi="Arial" w:cs="Arial"/>
          <w:sz w:val="20"/>
        </w:rPr>
        <w:t xml:space="preserve">aragraph 7(1)(b) of the </w:t>
      </w:r>
      <w:proofErr w:type="spellStart"/>
      <w:r w:rsidR="007E2252" w:rsidRPr="00D013B2">
        <w:rPr>
          <w:rFonts w:ascii="Arial" w:hAnsi="Arial" w:cs="Arial"/>
          <w:i/>
          <w:sz w:val="20"/>
        </w:rPr>
        <w:t>Radiocommunications</w:t>
      </w:r>
      <w:proofErr w:type="spellEnd"/>
      <w:r w:rsidR="007E2252" w:rsidRPr="00D013B2">
        <w:rPr>
          <w:rFonts w:ascii="Arial" w:hAnsi="Arial" w:cs="Arial"/>
          <w:i/>
          <w:sz w:val="20"/>
        </w:rPr>
        <w:t xml:space="preserve"> Act 1992</w:t>
      </w:r>
      <w:r w:rsidR="007E2252">
        <w:rPr>
          <w:rFonts w:ascii="Arial" w:hAnsi="Arial" w:cs="Arial"/>
          <w:sz w:val="20"/>
        </w:rPr>
        <w:t xml:space="preserve"> (the Act),</w:t>
      </w:r>
      <w:r w:rsidR="007B0B61" w:rsidRPr="007B0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provides that </w:t>
      </w:r>
      <w:r w:rsidR="00EE159D">
        <w:rPr>
          <w:rFonts w:ascii="Arial" w:hAnsi="Arial" w:cs="Arial"/>
          <w:sz w:val="20"/>
        </w:rPr>
        <w:t xml:space="preserve">for the purposes of the </w:t>
      </w:r>
      <w:r w:rsidR="007E2252" w:rsidRPr="007B0B61">
        <w:rPr>
          <w:rFonts w:ascii="Arial" w:hAnsi="Arial" w:cs="Arial"/>
          <w:sz w:val="20"/>
        </w:rPr>
        <w:t xml:space="preserve">Act </w:t>
      </w:r>
      <w:r>
        <w:rPr>
          <w:rFonts w:ascii="Arial" w:hAnsi="Arial" w:cs="Arial"/>
          <w:sz w:val="20"/>
        </w:rPr>
        <w:t xml:space="preserve">a </w:t>
      </w:r>
      <w:proofErr w:type="spellStart"/>
      <w:r w:rsidR="001F4C47">
        <w:rPr>
          <w:rFonts w:ascii="Arial" w:hAnsi="Arial" w:cs="Arial"/>
          <w:sz w:val="20"/>
        </w:rPr>
        <w:t>radiocommunications</w:t>
      </w:r>
      <w:proofErr w:type="spellEnd"/>
      <w:r w:rsidR="001F4C47">
        <w:rPr>
          <w:rFonts w:ascii="Arial" w:hAnsi="Arial" w:cs="Arial"/>
          <w:sz w:val="20"/>
        </w:rPr>
        <w:t xml:space="preserve"> receiver </w:t>
      </w:r>
      <w:r w:rsidR="00C95F7D">
        <w:rPr>
          <w:rFonts w:ascii="Arial" w:hAnsi="Arial" w:cs="Arial"/>
          <w:sz w:val="20"/>
        </w:rPr>
        <w:t>of a kind specified in a written determination made by the ACMA for the purposes of that paragraph</w:t>
      </w:r>
      <w:r w:rsidR="001F4C47">
        <w:rPr>
          <w:rFonts w:ascii="Arial" w:hAnsi="Arial" w:cs="Arial"/>
          <w:sz w:val="20"/>
        </w:rPr>
        <w:t xml:space="preserve"> is a </w:t>
      </w:r>
      <w:proofErr w:type="spellStart"/>
      <w:r w:rsidR="001F4C47">
        <w:rPr>
          <w:rFonts w:ascii="Arial" w:hAnsi="Arial" w:cs="Arial"/>
          <w:sz w:val="20"/>
        </w:rPr>
        <w:t>radiocommunications</w:t>
      </w:r>
      <w:proofErr w:type="spellEnd"/>
      <w:r w:rsidR="001F4C47">
        <w:rPr>
          <w:rFonts w:ascii="Arial" w:hAnsi="Arial" w:cs="Arial"/>
          <w:sz w:val="20"/>
        </w:rPr>
        <w:t xml:space="preserve"> device</w:t>
      </w:r>
      <w:r w:rsidR="00C95F7D">
        <w:rPr>
          <w:rFonts w:ascii="Arial" w:hAnsi="Arial" w:cs="Arial"/>
          <w:sz w:val="20"/>
        </w:rPr>
        <w:t>.</w:t>
      </w:r>
      <w:r w:rsidR="001F4C47">
        <w:rPr>
          <w:rFonts w:ascii="Arial" w:hAnsi="Arial" w:cs="Arial"/>
          <w:sz w:val="20"/>
        </w:rPr>
        <w:t xml:space="preserve"> </w:t>
      </w:r>
    </w:p>
    <w:p w14:paraId="10E63569" w14:textId="77777777" w:rsidR="00EE159D" w:rsidRDefault="00EE159D" w:rsidP="00184CFB">
      <w:pPr>
        <w:rPr>
          <w:rFonts w:ascii="Arial" w:hAnsi="Arial" w:cs="Arial"/>
          <w:sz w:val="20"/>
        </w:rPr>
      </w:pPr>
    </w:p>
    <w:p w14:paraId="740E1B0A" w14:textId="60BC18E7" w:rsidR="00184CFB" w:rsidRDefault="007B0B61" w:rsidP="00184CFB">
      <w:pPr>
        <w:rPr>
          <w:rFonts w:ascii="Arial" w:hAnsi="Arial" w:cs="Arial"/>
          <w:sz w:val="20"/>
        </w:rPr>
      </w:pPr>
      <w:r w:rsidRPr="007B0B61">
        <w:rPr>
          <w:rFonts w:ascii="Arial" w:hAnsi="Arial" w:cs="Arial"/>
          <w:sz w:val="20"/>
        </w:rPr>
        <w:t xml:space="preserve">Under subsection 98(1) of the Act, the ACMA may determine, by </w:t>
      </w:r>
      <w:r w:rsidR="008645A1">
        <w:rPr>
          <w:rFonts w:ascii="Arial" w:hAnsi="Arial" w:cs="Arial"/>
          <w:sz w:val="20"/>
        </w:rPr>
        <w:t>legislative instrument</w:t>
      </w:r>
      <w:r w:rsidRPr="007B0B61">
        <w:rPr>
          <w:rFonts w:ascii="Arial" w:hAnsi="Arial" w:cs="Arial"/>
          <w:sz w:val="20"/>
        </w:rPr>
        <w:t xml:space="preserve">, the </w:t>
      </w:r>
    </w:p>
    <w:p w14:paraId="180B0FB3" w14:textId="5C30391B" w:rsidR="007B0B61" w:rsidRDefault="007B0B61" w:rsidP="00184CFB">
      <w:pPr>
        <w:rPr>
          <w:rFonts w:ascii="Arial" w:hAnsi="Arial" w:cs="Arial"/>
          <w:sz w:val="20"/>
        </w:rPr>
      </w:pPr>
      <w:proofErr w:type="gramStart"/>
      <w:r w:rsidRPr="007B0B61">
        <w:rPr>
          <w:rFonts w:ascii="Arial" w:hAnsi="Arial" w:cs="Arial"/>
          <w:sz w:val="20"/>
        </w:rPr>
        <w:t>types</w:t>
      </w:r>
      <w:proofErr w:type="gramEnd"/>
      <w:r w:rsidRPr="007B0B61">
        <w:rPr>
          <w:rFonts w:ascii="Arial" w:hAnsi="Arial" w:cs="Arial"/>
          <w:sz w:val="20"/>
        </w:rPr>
        <w:t xml:space="preserve"> of transmitter licences and the types of receiver licences that it may issue.</w:t>
      </w:r>
    </w:p>
    <w:p w14:paraId="7A59CEA6" w14:textId="14A9E328" w:rsidR="003C38F4" w:rsidRDefault="003C38F4" w:rsidP="00184CFB">
      <w:pPr>
        <w:rPr>
          <w:rFonts w:ascii="Arial" w:hAnsi="Arial" w:cs="Arial"/>
          <w:sz w:val="20"/>
        </w:rPr>
      </w:pPr>
    </w:p>
    <w:p w14:paraId="67B48D9E" w14:textId="08DD3C13" w:rsidR="003C38F4" w:rsidRDefault="003C38F4" w:rsidP="00184C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</w:t>
      </w:r>
      <w:r w:rsidR="00C9296E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section 98(2) of the Act provides that the ACMA must not i</w:t>
      </w:r>
      <w:r w:rsidR="00C9296E">
        <w:rPr>
          <w:rFonts w:ascii="Arial" w:hAnsi="Arial" w:cs="Arial"/>
          <w:sz w:val="20"/>
        </w:rPr>
        <w:t>ssue an apparatus licence that is not a transmitter licence or a receiver licence of a type so determined (under subsection 98(1) of the Act).</w:t>
      </w:r>
    </w:p>
    <w:p w14:paraId="3E10D419" w14:textId="77777777" w:rsidR="00DE6ECF" w:rsidRDefault="00DE6ECF" w:rsidP="00184CFB">
      <w:pPr>
        <w:rPr>
          <w:rFonts w:ascii="Arial" w:hAnsi="Arial" w:cs="Arial"/>
          <w:sz w:val="20"/>
        </w:rPr>
      </w:pPr>
    </w:p>
    <w:p w14:paraId="26A5A3AB" w14:textId="5A850902" w:rsidR="00DE6ECF" w:rsidRPr="007B0B61" w:rsidRDefault="00DE6ECF" w:rsidP="00184CFB">
      <w:pPr>
        <w:rPr>
          <w:rFonts w:ascii="Arial" w:hAnsi="Arial" w:cs="Arial"/>
          <w:sz w:val="20"/>
        </w:rPr>
      </w:pPr>
      <w:r w:rsidRPr="00246649">
        <w:rPr>
          <w:rFonts w:ascii="Arial" w:hAnsi="Arial" w:cs="Arial"/>
          <w:sz w:val="20"/>
        </w:rPr>
        <w:t xml:space="preserve">Subsection 33(3) of the </w:t>
      </w:r>
      <w:r w:rsidRPr="00D73636">
        <w:rPr>
          <w:rFonts w:ascii="Arial" w:hAnsi="Arial" w:cs="Arial"/>
          <w:i/>
          <w:sz w:val="20"/>
        </w:rPr>
        <w:t>Acts Interpretation Act 1901</w:t>
      </w:r>
      <w:r w:rsidRPr="00246649">
        <w:rPr>
          <w:rFonts w:ascii="Arial" w:hAnsi="Arial" w:cs="Arial"/>
          <w:sz w:val="20"/>
        </w:rPr>
        <w:t xml:space="preserve"> provides that where an Act confers a power to make a legislative instrument, the power shall be construed to include a power exercisable in the like manner and subject to the like conditions (if any) to repeal, rescind, revoke, amend or vary any such instrument</w:t>
      </w:r>
      <w:r w:rsidR="004428C6">
        <w:rPr>
          <w:rFonts w:ascii="Arial" w:hAnsi="Arial" w:cs="Arial"/>
          <w:sz w:val="20"/>
        </w:rPr>
        <w:t>.</w:t>
      </w:r>
    </w:p>
    <w:p w14:paraId="36312FFF" w14:textId="77777777" w:rsidR="007B0B61" w:rsidRPr="007B0B61" w:rsidRDefault="007B0B61" w:rsidP="007B0B61">
      <w:pPr>
        <w:pStyle w:val="R1"/>
        <w:tabs>
          <w:tab w:val="clear" w:pos="794"/>
        </w:tabs>
        <w:spacing w:before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BA39FEC" w14:textId="77777777" w:rsidR="00914D5C" w:rsidRPr="009D358F" w:rsidRDefault="00914D5C" w:rsidP="009D35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Determination is a legislative instrument and may be subject to disallowance in accordance with section 42 of the LIA.</w:t>
      </w:r>
    </w:p>
    <w:p w14:paraId="2CC3EB2C" w14:textId="77777777" w:rsidR="009D358F" w:rsidRPr="009D358F" w:rsidRDefault="009D358F" w:rsidP="009D358F">
      <w:pPr>
        <w:rPr>
          <w:rFonts w:ascii="Arial" w:hAnsi="Arial" w:cs="Arial"/>
          <w:sz w:val="22"/>
          <w:szCs w:val="22"/>
          <w:lang w:val="en-AU"/>
        </w:rPr>
      </w:pPr>
    </w:p>
    <w:p w14:paraId="15F91C26" w14:textId="77777777" w:rsidR="00914D5C" w:rsidRDefault="00914D5C" w:rsidP="00914D5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861440">
        <w:rPr>
          <w:rFonts w:ascii="Arial" w:hAnsi="Arial" w:cs="Arial"/>
          <w:b/>
          <w:sz w:val="22"/>
          <w:szCs w:val="22"/>
          <w:lang w:val="en-AU"/>
        </w:rPr>
        <w:lastRenderedPageBreak/>
        <w:t>Background</w:t>
      </w:r>
    </w:p>
    <w:p w14:paraId="529DC24C" w14:textId="1C550713" w:rsidR="003C38F4" w:rsidRPr="0030168C" w:rsidRDefault="003C38F4" w:rsidP="003C38F4">
      <w:pPr>
        <w:rPr>
          <w:rFonts w:ascii="Arial" w:hAnsi="Arial" w:cs="Arial"/>
          <w:sz w:val="20"/>
        </w:rPr>
      </w:pPr>
      <w:r w:rsidRPr="0030168C">
        <w:rPr>
          <w:rFonts w:ascii="Arial" w:hAnsi="Arial" w:cs="Arial"/>
          <w:sz w:val="20"/>
        </w:rPr>
        <w:t xml:space="preserve">By specifying </w:t>
      </w:r>
      <w:r w:rsidR="00646EC5">
        <w:rPr>
          <w:rFonts w:ascii="Arial" w:hAnsi="Arial" w:cs="Arial"/>
          <w:sz w:val="20"/>
        </w:rPr>
        <w:t xml:space="preserve">that a </w:t>
      </w:r>
      <w:proofErr w:type="spellStart"/>
      <w:r w:rsidR="00646EC5">
        <w:rPr>
          <w:rFonts w:ascii="Arial" w:hAnsi="Arial" w:cs="Arial"/>
          <w:sz w:val="20"/>
        </w:rPr>
        <w:t>radiocommunications</w:t>
      </w:r>
      <w:proofErr w:type="spellEnd"/>
      <w:r w:rsidR="00646EC5">
        <w:rPr>
          <w:rFonts w:ascii="Arial" w:hAnsi="Arial" w:cs="Arial"/>
          <w:sz w:val="20"/>
        </w:rPr>
        <w:t xml:space="preserve"> receiver of a certain kind is </w:t>
      </w:r>
      <w:r>
        <w:rPr>
          <w:rFonts w:ascii="Arial" w:hAnsi="Arial" w:cs="Arial"/>
          <w:sz w:val="20"/>
        </w:rPr>
        <w:t xml:space="preserve">a </w:t>
      </w:r>
      <w:proofErr w:type="spellStart"/>
      <w:r w:rsidR="00646EC5">
        <w:rPr>
          <w:rFonts w:ascii="Arial" w:hAnsi="Arial" w:cs="Arial"/>
          <w:sz w:val="20"/>
        </w:rPr>
        <w:t>radiocommunications</w:t>
      </w:r>
      <w:proofErr w:type="spellEnd"/>
      <w:r w:rsidR="00646E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device</w:t>
      </w:r>
      <w:r w:rsidRPr="0030168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 the purposes of the Act</w:t>
      </w:r>
      <w:r w:rsidRPr="0030168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determination made under paragraph 7(1)(b) of the Act</w:t>
      </w:r>
      <w:r w:rsidRPr="0030168C">
        <w:rPr>
          <w:rFonts w:ascii="Arial" w:hAnsi="Arial" w:cs="Arial"/>
          <w:sz w:val="20"/>
        </w:rPr>
        <w:t xml:space="preserve"> brings </w:t>
      </w:r>
      <w:r w:rsidR="00AD5E92">
        <w:rPr>
          <w:rFonts w:ascii="Arial" w:hAnsi="Arial" w:cs="Arial"/>
          <w:sz w:val="20"/>
        </w:rPr>
        <w:t>those receivers</w:t>
      </w:r>
      <w:r w:rsidR="00AD5E92" w:rsidRPr="007B0519">
        <w:rPr>
          <w:rFonts w:ascii="Arial" w:hAnsi="Arial" w:cs="Arial"/>
          <w:sz w:val="22"/>
          <w:szCs w:val="22"/>
        </w:rPr>
        <w:t xml:space="preserve"> </w:t>
      </w:r>
      <w:r w:rsidR="00AD5E92" w:rsidRPr="00AD5E92">
        <w:rPr>
          <w:rFonts w:ascii="Arial" w:hAnsi="Arial" w:cs="Arial"/>
          <w:sz w:val="20"/>
        </w:rPr>
        <w:t xml:space="preserve">within the scope of provisions in the Act </w:t>
      </w:r>
      <w:r w:rsidR="00AD5E92">
        <w:rPr>
          <w:rFonts w:ascii="Arial" w:hAnsi="Arial" w:cs="Arial"/>
          <w:sz w:val="20"/>
        </w:rPr>
        <w:t xml:space="preserve">that </w:t>
      </w:r>
      <w:r w:rsidR="00AD5E92" w:rsidRPr="00AD5E92">
        <w:rPr>
          <w:rFonts w:ascii="Arial" w:hAnsi="Arial" w:cs="Arial"/>
          <w:sz w:val="20"/>
        </w:rPr>
        <w:t xml:space="preserve">regulate the possession, operation and supply of </w:t>
      </w:r>
      <w:proofErr w:type="spellStart"/>
      <w:r w:rsidR="00AD5E92" w:rsidRPr="00AD5E92">
        <w:rPr>
          <w:rFonts w:ascii="Arial" w:hAnsi="Arial" w:cs="Arial"/>
          <w:sz w:val="20"/>
        </w:rPr>
        <w:t>radiocommunication</w:t>
      </w:r>
      <w:proofErr w:type="spellEnd"/>
      <w:r w:rsidR="00AD5E92" w:rsidRPr="00AD5E92">
        <w:rPr>
          <w:rFonts w:ascii="Arial" w:hAnsi="Arial" w:cs="Arial"/>
          <w:sz w:val="20"/>
        </w:rPr>
        <w:t xml:space="preserve"> devices.</w:t>
      </w:r>
    </w:p>
    <w:p w14:paraId="0933BC66" w14:textId="77777777" w:rsidR="003C38F4" w:rsidRDefault="003C38F4" w:rsidP="003C38F4">
      <w:pPr>
        <w:jc w:val="center"/>
        <w:outlineLvl w:val="0"/>
        <w:rPr>
          <w:rFonts w:ascii="Arial" w:hAnsi="Arial" w:cs="Arial"/>
          <w:sz w:val="20"/>
          <w:lang w:val="en-AU"/>
        </w:rPr>
      </w:pPr>
    </w:p>
    <w:p w14:paraId="20CF3FEA" w14:textId="74099613" w:rsidR="003C38F4" w:rsidRDefault="003C38F4" w:rsidP="003C38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determination made under subsection 98(1) of the Act specifies the kinds of receiver or transmitter licences that the ACMA may issue for the purposes of section 97 of the Act.</w:t>
      </w:r>
    </w:p>
    <w:p w14:paraId="001538E4" w14:textId="42054D8E" w:rsidR="00112D80" w:rsidRPr="000C097F" w:rsidRDefault="00112D80" w:rsidP="000C097F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6AFA1CCB" w14:textId="77777777" w:rsidR="00914D5C" w:rsidRPr="0084501C" w:rsidRDefault="00914D5C" w:rsidP="0084501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84501C">
        <w:rPr>
          <w:rFonts w:ascii="Arial" w:hAnsi="Arial" w:cs="Arial"/>
          <w:b/>
          <w:sz w:val="22"/>
          <w:szCs w:val="22"/>
          <w:lang w:val="en-AU"/>
        </w:rPr>
        <w:t>Operation</w:t>
      </w:r>
    </w:p>
    <w:p w14:paraId="77EA80D3" w14:textId="5F2A5AD0" w:rsidR="003C38F4" w:rsidRDefault="003C38F4" w:rsidP="003C38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Determination specifies the </w:t>
      </w:r>
      <w:proofErr w:type="spellStart"/>
      <w:r>
        <w:rPr>
          <w:rFonts w:ascii="Arial" w:hAnsi="Arial" w:cs="Arial"/>
          <w:sz w:val="20"/>
        </w:rPr>
        <w:t>radiocommunications</w:t>
      </w:r>
      <w:proofErr w:type="spellEnd"/>
      <w:r>
        <w:rPr>
          <w:rFonts w:ascii="Arial" w:hAnsi="Arial" w:cs="Arial"/>
          <w:sz w:val="20"/>
        </w:rPr>
        <w:t xml:space="preserve"> receivers that are </w:t>
      </w:r>
      <w:proofErr w:type="spellStart"/>
      <w:r>
        <w:rPr>
          <w:rFonts w:ascii="Arial" w:hAnsi="Arial" w:cs="Arial"/>
          <w:sz w:val="20"/>
        </w:rPr>
        <w:t>radiocommunications</w:t>
      </w:r>
      <w:proofErr w:type="spellEnd"/>
      <w:r>
        <w:rPr>
          <w:rFonts w:ascii="Arial" w:hAnsi="Arial" w:cs="Arial"/>
          <w:sz w:val="20"/>
        </w:rPr>
        <w:t xml:space="preserve"> devices for the purposes of the Act.</w:t>
      </w:r>
    </w:p>
    <w:p w14:paraId="7A5D0EE4" w14:textId="77777777" w:rsidR="003C38F4" w:rsidRDefault="003C38F4" w:rsidP="003C38F4">
      <w:pPr>
        <w:rPr>
          <w:rFonts w:ascii="Arial" w:hAnsi="Arial" w:cs="Arial"/>
          <w:sz w:val="20"/>
        </w:rPr>
      </w:pPr>
    </w:p>
    <w:p w14:paraId="5F1144ED" w14:textId="4F841665" w:rsidR="003C38F4" w:rsidRDefault="003C38F4" w:rsidP="003C38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Determination also sets out the 21 types of </w:t>
      </w:r>
      <w:proofErr w:type="spellStart"/>
      <w:r>
        <w:rPr>
          <w:rFonts w:ascii="Arial" w:hAnsi="Arial" w:cs="Arial"/>
          <w:sz w:val="20"/>
        </w:rPr>
        <w:t>radiocommunications</w:t>
      </w:r>
      <w:proofErr w:type="spellEnd"/>
      <w:r>
        <w:rPr>
          <w:rFonts w:ascii="Arial" w:hAnsi="Arial" w:cs="Arial"/>
          <w:sz w:val="20"/>
        </w:rPr>
        <w:t xml:space="preserve"> receiver and transmitter licence</w:t>
      </w:r>
      <w:r w:rsidR="00C9296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that the ACMA may issue. </w:t>
      </w:r>
    </w:p>
    <w:p w14:paraId="18CD9A59" w14:textId="12519FAD" w:rsidR="00267612" w:rsidRDefault="00267612" w:rsidP="00B173DB">
      <w:pPr>
        <w:rPr>
          <w:rFonts w:ascii="Arial" w:hAnsi="Arial" w:cs="Arial"/>
          <w:sz w:val="20"/>
        </w:rPr>
      </w:pPr>
    </w:p>
    <w:p w14:paraId="498EA932" w14:textId="77777777" w:rsidR="00914D5C" w:rsidRPr="00C205B9" w:rsidRDefault="00914D5C" w:rsidP="00914D5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205B9">
        <w:rPr>
          <w:rFonts w:ascii="Arial" w:hAnsi="Arial" w:cs="Arial"/>
          <w:b/>
          <w:sz w:val="22"/>
          <w:szCs w:val="22"/>
          <w:lang w:val="en-AU"/>
        </w:rPr>
        <w:t>Consultation</w:t>
      </w:r>
    </w:p>
    <w:p w14:paraId="00FDB5AA" w14:textId="77777777" w:rsidR="00914D5C" w:rsidRDefault="00914D5C" w:rsidP="00914D5C">
      <w:pPr>
        <w:rPr>
          <w:rFonts w:ascii="Arial" w:hAnsi="Arial" w:cs="Arial"/>
          <w:snapToGrid w:val="0"/>
          <w:sz w:val="20"/>
        </w:rPr>
      </w:pPr>
      <w:r w:rsidRPr="00C117CF">
        <w:rPr>
          <w:rFonts w:ascii="Arial" w:hAnsi="Arial" w:cs="Arial"/>
          <w:snapToGrid w:val="0"/>
          <w:sz w:val="20"/>
        </w:rPr>
        <w:t>Subsection 17(1) of the LIA requires that, before the ACMA makes a legislative instrument, it must be satisfied that any consultation that the ACMA considers is appropriate and reasonably practicable to undertake has been undertaken.</w:t>
      </w:r>
    </w:p>
    <w:p w14:paraId="202EEDB6" w14:textId="77777777" w:rsidR="00914D5C" w:rsidRPr="00C117CF" w:rsidRDefault="00914D5C" w:rsidP="00914D5C">
      <w:pPr>
        <w:rPr>
          <w:rFonts w:ascii="Arial" w:hAnsi="Arial" w:cs="Arial"/>
          <w:snapToGrid w:val="0"/>
          <w:sz w:val="20"/>
        </w:rPr>
      </w:pPr>
    </w:p>
    <w:p w14:paraId="43622660" w14:textId="3157F69B" w:rsidR="00914D5C" w:rsidRDefault="00914D5C" w:rsidP="00914D5C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The</w:t>
      </w:r>
      <w:r w:rsidRPr="00C117CF">
        <w:rPr>
          <w:rFonts w:ascii="Arial" w:hAnsi="Arial" w:cs="Arial"/>
          <w:snapToGrid w:val="0"/>
          <w:sz w:val="20"/>
        </w:rPr>
        <w:t xml:space="preserve"> ACMA </w:t>
      </w:r>
      <w:r>
        <w:rPr>
          <w:rFonts w:ascii="Arial" w:hAnsi="Arial" w:cs="Arial"/>
          <w:snapToGrid w:val="0"/>
          <w:sz w:val="20"/>
        </w:rPr>
        <w:t xml:space="preserve">published a consultation paper and draft instrument on its website </w:t>
      </w:r>
      <w:r w:rsidRPr="00251BF2">
        <w:rPr>
          <w:rFonts w:ascii="Arial" w:hAnsi="Arial" w:cs="Arial"/>
          <w:snapToGrid w:val="0"/>
          <w:sz w:val="20"/>
        </w:rPr>
        <w:t>between</w:t>
      </w:r>
      <w:r w:rsidR="009D358F">
        <w:rPr>
          <w:rFonts w:ascii="Arial" w:hAnsi="Arial" w:cs="Arial"/>
          <w:snapToGrid w:val="0"/>
          <w:sz w:val="20"/>
        </w:rPr>
        <w:t xml:space="preserve"> </w:t>
      </w:r>
      <w:r w:rsidR="00DC2924">
        <w:rPr>
          <w:rFonts w:ascii="Arial" w:hAnsi="Arial" w:cs="Arial"/>
          <w:snapToGrid w:val="0"/>
          <w:sz w:val="20"/>
        </w:rPr>
        <w:t>28</w:t>
      </w:r>
      <w:r w:rsidR="009D358F">
        <w:rPr>
          <w:rFonts w:ascii="Arial" w:hAnsi="Arial" w:cs="Arial"/>
          <w:snapToGrid w:val="0"/>
          <w:sz w:val="20"/>
        </w:rPr>
        <w:t xml:space="preserve"> </w:t>
      </w:r>
      <w:r w:rsidR="00DC2924">
        <w:rPr>
          <w:rFonts w:ascii="Arial" w:hAnsi="Arial" w:cs="Arial"/>
          <w:snapToGrid w:val="0"/>
          <w:sz w:val="20"/>
        </w:rPr>
        <w:t>April</w:t>
      </w:r>
      <w:r w:rsidR="009D358F">
        <w:rPr>
          <w:rFonts w:ascii="Arial" w:hAnsi="Arial" w:cs="Arial"/>
          <w:snapToGrid w:val="0"/>
          <w:sz w:val="20"/>
        </w:rPr>
        <w:t xml:space="preserve"> 2014 </w:t>
      </w:r>
      <w:r w:rsidRPr="002A154D">
        <w:rPr>
          <w:rFonts w:ascii="Arial" w:hAnsi="Arial" w:cs="Arial"/>
          <w:snapToGrid w:val="0"/>
          <w:sz w:val="20"/>
        </w:rPr>
        <w:t xml:space="preserve">and </w:t>
      </w:r>
      <w:r w:rsidR="00DC2924">
        <w:rPr>
          <w:rFonts w:ascii="Arial" w:hAnsi="Arial" w:cs="Arial"/>
          <w:snapToGrid w:val="0"/>
          <w:sz w:val="20"/>
        </w:rPr>
        <w:t>11 June</w:t>
      </w:r>
      <w:r w:rsidR="004B2CE1">
        <w:rPr>
          <w:rFonts w:ascii="Arial" w:hAnsi="Arial" w:cs="Arial"/>
          <w:snapToGrid w:val="0"/>
          <w:sz w:val="20"/>
        </w:rPr>
        <w:t xml:space="preserve"> 2</w:t>
      </w:r>
      <w:r w:rsidRPr="00251BF2">
        <w:rPr>
          <w:rFonts w:ascii="Arial" w:hAnsi="Arial" w:cs="Arial"/>
          <w:snapToGrid w:val="0"/>
          <w:sz w:val="20"/>
        </w:rPr>
        <w:t>014</w:t>
      </w:r>
      <w:r w:rsidRPr="00C117CF">
        <w:rPr>
          <w:rFonts w:ascii="Arial" w:hAnsi="Arial" w:cs="Arial"/>
          <w:snapToGrid w:val="0"/>
          <w:sz w:val="20"/>
        </w:rPr>
        <w:t>. Th</w:t>
      </w:r>
      <w:r>
        <w:rPr>
          <w:rFonts w:ascii="Arial" w:hAnsi="Arial" w:cs="Arial"/>
          <w:snapToGrid w:val="0"/>
          <w:sz w:val="20"/>
        </w:rPr>
        <w:t xml:space="preserve">e consultation </w:t>
      </w:r>
      <w:r w:rsidRPr="00C117CF">
        <w:rPr>
          <w:rFonts w:ascii="Arial" w:hAnsi="Arial" w:cs="Arial"/>
          <w:snapToGrid w:val="0"/>
          <w:sz w:val="20"/>
        </w:rPr>
        <w:t xml:space="preserve">paper explained the </w:t>
      </w:r>
      <w:proofErr w:type="spellStart"/>
      <w:r w:rsidRPr="00C117CF">
        <w:rPr>
          <w:rFonts w:ascii="Arial" w:hAnsi="Arial" w:cs="Arial"/>
          <w:snapToGrid w:val="0"/>
          <w:sz w:val="20"/>
        </w:rPr>
        <w:t>sunsetting</w:t>
      </w:r>
      <w:proofErr w:type="spellEnd"/>
      <w:r w:rsidRPr="00C117CF">
        <w:rPr>
          <w:rFonts w:ascii="Arial" w:hAnsi="Arial" w:cs="Arial"/>
          <w:snapToGrid w:val="0"/>
          <w:sz w:val="20"/>
        </w:rPr>
        <w:t xml:space="preserve"> process and the ACMA’s preliminary view that the existing arrangements </w:t>
      </w:r>
      <w:r>
        <w:rPr>
          <w:rFonts w:ascii="Arial" w:hAnsi="Arial" w:cs="Arial"/>
          <w:snapToGrid w:val="0"/>
          <w:sz w:val="20"/>
        </w:rPr>
        <w:t xml:space="preserve">under the </w:t>
      </w:r>
      <w:proofErr w:type="spellStart"/>
      <w:r w:rsidR="006971C9">
        <w:rPr>
          <w:rFonts w:ascii="Arial" w:hAnsi="Arial" w:cs="Arial"/>
          <w:sz w:val="20"/>
        </w:rPr>
        <w:t>the</w:t>
      </w:r>
      <w:proofErr w:type="spellEnd"/>
      <w:r w:rsidR="006971C9">
        <w:rPr>
          <w:rFonts w:ascii="Arial" w:hAnsi="Arial" w:cs="Arial"/>
          <w:sz w:val="20"/>
        </w:rPr>
        <w:t xml:space="preserve"> Receivers Determination and the Transmitter and Receiver Determination </w:t>
      </w:r>
      <w:r w:rsidRPr="00C117CF">
        <w:rPr>
          <w:rFonts w:ascii="Arial" w:hAnsi="Arial" w:cs="Arial"/>
          <w:snapToGrid w:val="0"/>
          <w:sz w:val="20"/>
        </w:rPr>
        <w:t xml:space="preserve">should be saved from automatic repeal and remade </w:t>
      </w:r>
      <w:r w:rsidR="006971C9">
        <w:rPr>
          <w:rFonts w:ascii="Arial" w:hAnsi="Arial" w:cs="Arial"/>
          <w:snapToGrid w:val="0"/>
          <w:sz w:val="20"/>
        </w:rPr>
        <w:t xml:space="preserve">in a single, consolidated instrument, and </w:t>
      </w:r>
      <w:r w:rsidRPr="00C117CF">
        <w:rPr>
          <w:rFonts w:ascii="Arial" w:hAnsi="Arial" w:cs="Arial"/>
          <w:snapToGrid w:val="0"/>
          <w:sz w:val="20"/>
        </w:rPr>
        <w:t>without any significant changes</w:t>
      </w:r>
      <w:r w:rsidR="006971C9">
        <w:rPr>
          <w:rFonts w:ascii="Arial" w:hAnsi="Arial" w:cs="Arial"/>
          <w:snapToGrid w:val="0"/>
          <w:sz w:val="20"/>
        </w:rPr>
        <w:t xml:space="preserve"> to the operative provisions</w:t>
      </w:r>
      <w:r w:rsidRPr="00C117CF">
        <w:rPr>
          <w:rFonts w:ascii="Arial" w:hAnsi="Arial" w:cs="Arial"/>
          <w:snapToGrid w:val="0"/>
          <w:sz w:val="20"/>
        </w:rPr>
        <w:t>. Interested parties were invited to comment.</w:t>
      </w:r>
    </w:p>
    <w:p w14:paraId="27670C40" w14:textId="77777777" w:rsidR="00914D5C" w:rsidRDefault="00914D5C" w:rsidP="00914D5C">
      <w:pPr>
        <w:rPr>
          <w:rFonts w:ascii="Arial" w:hAnsi="Arial" w:cs="Arial"/>
          <w:snapToGrid w:val="0"/>
          <w:sz w:val="20"/>
        </w:rPr>
      </w:pPr>
    </w:p>
    <w:p w14:paraId="50DDA063" w14:textId="63826928" w:rsidR="00914D5C" w:rsidRPr="00C117CF" w:rsidRDefault="00914D5C" w:rsidP="00914D5C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</w:t>
      </w:r>
      <w:r w:rsidRPr="00C117CF">
        <w:rPr>
          <w:rFonts w:ascii="Arial" w:hAnsi="Arial" w:cs="Arial"/>
          <w:snapToGrid w:val="0"/>
          <w:sz w:val="20"/>
        </w:rPr>
        <w:t xml:space="preserve">he ACMA received </w:t>
      </w:r>
      <w:r w:rsidR="00167B74">
        <w:rPr>
          <w:rFonts w:ascii="Arial" w:hAnsi="Arial" w:cs="Arial"/>
          <w:snapToGrid w:val="0"/>
          <w:sz w:val="20"/>
        </w:rPr>
        <w:t>no</w:t>
      </w:r>
      <w:r w:rsidR="00D112D1">
        <w:rPr>
          <w:rFonts w:ascii="Arial" w:hAnsi="Arial" w:cs="Arial"/>
          <w:snapToGrid w:val="0"/>
          <w:sz w:val="20"/>
        </w:rPr>
        <w:t xml:space="preserve"> </w:t>
      </w:r>
      <w:r w:rsidRPr="00C117CF">
        <w:rPr>
          <w:rFonts w:ascii="Arial" w:hAnsi="Arial" w:cs="Arial"/>
          <w:snapToGrid w:val="0"/>
          <w:sz w:val="20"/>
        </w:rPr>
        <w:t>submission</w:t>
      </w:r>
      <w:r>
        <w:rPr>
          <w:rFonts w:ascii="Arial" w:hAnsi="Arial" w:cs="Arial"/>
          <w:snapToGrid w:val="0"/>
          <w:sz w:val="20"/>
        </w:rPr>
        <w:t>s</w:t>
      </w:r>
      <w:r w:rsidRPr="00C117CF">
        <w:rPr>
          <w:rFonts w:ascii="Arial" w:hAnsi="Arial" w:cs="Arial"/>
          <w:snapToGrid w:val="0"/>
          <w:sz w:val="20"/>
        </w:rPr>
        <w:t xml:space="preserve"> to t</w:t>
      </w:r>
      <w:r>
        <w:rPr>
          <w:rFonts w:ascii="Arial" w:hAnsi="Arial" w:cs="Arial"/>
          <w:snapToGrid w:val="0"/>
          <w:sz w:val="20"/>
        </w:rPr>
        <w:t>he consultation paper</w:t>
      </w:r>
      <w:r w:rsidR="00167B74">
        <w:rPr>
          <w:rFonts w:ascii="Arial" w:hAnsi="Arial" w:cs="Arial"/>
          <w:snapToGrid w:val="0"/>
          <w:sz w:val="20"/>
        </w:rPr>
        <w:t>.</w:t>
      </w:r>
      <w:r>
        <w:rPr>
          <w:rFonts w:ascii="Arial" w:hAnsi="Arial" w:cs="Arial"/>
          <w:snapToGrid w:val="0"/>
          <w:sz w:val="20"/>
        </w:rPr>
        <w:t xml:space="preserve"> </w:t>
      </w:r>
    </w:p>
    <w:p w14:paraId="615EC610" w14:textId="77777777" w:rsidR="00914D5C" w:rsidRPr="006773A9" w:rsidRDefault="00914D5C" w:rsidP="00914D5C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0BE13453" w14:textId="77777777" w:rsidR="00914D5C" w:rsidRPr="001211CC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6773A9">
        <w:rPr>
          <w:rFonts w:ascii="Arial" w:hAnsi="Arial" w:cs="Arial"/>
          <w:b/>
          <w:sz w:val="22"/>
          <w:szCs w:val="22"/>
          <w:lang w:val="en-AU"/>
        </w:rPr>
        <w:t>R</w:t>
      </w:r>
      <w:proofErr w:type="spellStart"/>
      <w:r w:rsidRPr="001211CC">
        <w:rPr>
          <w:rFonts w:ascii="Arial" w:hAnsi="Arial" w:cs="Arial"/>
          <w:b/>
          <w:sz w:val="22"/>
          <w:szCs w:val="22"/>
        </w:rPr>
        <w:t>egulatory</w:t>
      </w:r>
      <w:proofErr w:type="spellEnd"/>
      <w:r w:rsidRPr="001211CC">
        <w:rPr>
          <w:rFonts w:ascii="Arial" w:hAnsi="Arial" w:cs="Arial"/>
          <w:b/>
          <w:sz w:val="22"/>
          <w:szCs w:val="22"/>
        </w:rPr>
        <w:t xml:space="preserve"> Impact </w:t>
      </w:r>
    </w:p>
    <w:p w14:paraId="59A105D4" w14:textId="3929DD15" w:rsidR="00914D5C" w:rsidRPr="000B28B2" w:rsidRDefault="009D358F" w:rsidP="00914D5C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</w:t>
      </w:r>
      <w:r w:rsidR="00914D5C" w:rsidRPr="00C117CF">
        <w:rPr>
          <w:rFonts w:ascii="Arial" w:hAnsi="Arial" w:cs="Arial"/>
          <w:snapToGrid w:val="0"/>
          <w:sz w:val="20"/>
        </w:rPr>
        <w:t xml:space="preserve">he Office of Best Practice Regulation (OBPR) </w:t>
      </w:r>
      <w:r>
        <w:rPr>
          <w:rFonts w:ascii="Arial" w:hAnsi="Arial" w:cs="Arial"/>
          <w:snapToGrid w:val="0"/>
          <w:sz w:val="20"/>
        </w:rPr>
        <w:t xml:space="preserve">applies </w:t>
      </w:r>
      <w:r w:rsidR="00914D5C" w:rsidRPr="00C117CF">
        <w:rPr>
          <w:rFonts w:ascii="Arial" w:hAnsi="Arial" w:cs="Arial"/>
          <w:snapToGrid w:val="0"/>
          <w:sz w:val="20"/>
        </w:rPr>
        <w:t xml:space="preserve">streamlined administrative processes to </w:t>
      </w:r>
      <w:proofErr w:type="spellStart"/>
      <w:r w:rsidR="00914D5C" w:rsidRPr="00C117CF">
        <w:rPr>
          <w:rFonts w:ascii="Arial" w:hAnsi="Arial" w:cs="Arial"/>
          <w:snapToGrid w:val="0"/>
          <w:sz w:val="20"/>
        </w:rPr>
        <w:t>sunsetting</w:t>
      </w:r>
      <w:proofErr w:type="spellEnd"/>
      <w:r w:rsidR="00914D5C" w:rsidRPr="00C117CF">
        <w:rPr>
          <w:rFonts w:ascii="Arial" w:hAnsi="Arial" w:cs="Arial"/>
          <w:snapToGrid w:val="0"/>
          <w:sz w:val="20"/>
        </w:rPr>
        <w:t xml:space="preserve"> legislative instruments. As the ACMA has determined that the </w:t>
      </w:r>
      <w:r w:rsidR="006971C9" w:rsidRPr="000B28B2">
        <w:rPr>
          <w:rFonts w:ascii="Arial" w:hAnsi="Arial" w:cs="Arial"/>
          <w:snapToGrid w:val="0"/>
          <w:sz w:val="20"/>
        </w:rPr>
        <w:t xml:space="preserve">Receivers Determination and the Transmitter and Receiver Determination </w:t>
      </w:r>
      <w:r w:rsidR="00914D5C" w:rsidRPr="00C117CF">
        <w:rPr>
          <w:rFonts w:ascii="Arial" w:hAnsi="Arial" w:cs="Arial"/>
          <w:snapToGrid w:val="0"/>
          <w:sz w:val="20"/>
        </w:rPr>
        <w:t>w</w:t>
      </w:r>
      <w:r w:rsidR="006971C9">
        <w:rPr>
          <w:rFonts w:ascii="Arial" w:hAnsi="Arial" w:cs="Arial"/>
          <w:snapToGrid w:val="0"/>
          <w:sz w:val="20"/>
        </w:rPr>
        <w:t>ere</w:t>
      </w:r>
      <w:r w:rsidR="00914D5C" w:rsidRPr="00C117CF">
        <w:rPr>
          <w:rFonts w:ascii="Arial" w:hAnsi="Arial" w:cs="Arial"/>
          <w:snapToGrid w:val="0"/>
          <w:sz w:val="20"/>
        </w:rPr>
        <w:t xml:space="preserve"> fit for purpose</w:t>
      </w:r>
      <w:r w:rsidR="006971C9">
        <w:rPr>
          <w:rFonts w:ascii="Arial" w:hAnsi="Arial" w:cs="Arial"/>
          <w:snapToGrid w:val="0"/>
          <w:sz w:val="20"/>
        </w:rPr>
        <w:t>,</w:t>
      </w:r>
      <w:r w:rsidR="00914D5C" w:rsidRPr="00C117CF">
        <w:rPr>
          <w:rFonts w:ascii="Arial" w:hAnsi="Arial" w:cs="Arial"/>
          <w:snapToGrid w:val="0"/>
          <w:sz w:val="20"/>
        </w:rPr>
        <w:t xml:space="preserve"> and should be remade without any significant changes, and has certified those matters to OBPR, no Regulation Impact Statement</w:t>
      </w:r>
      <w:r w:rsidR="00914D5C">
        <w:rPr>
          <w:rFonts w:ascii="Arial" w:hAnsi="Arial" w:cs="Arial"/>
          <w:snapToGrid w:val="0"/>
          <w:sz w:val="20"/>
        </w:rPr>
        <w:t xml:space="preserve"> (RIS)</w:t>
      </w:r>
      <w:r w:rsidR="00914D5C" w:rsidRPr="00C117CF">
        <w:rPr>
          <w:rFonts w:ascii="Arial" w:hAnsi="Arial" w:cs="Arial"/>
          <w:snapToGrid w:val="0"/>
          <w:sz w:val="20"/>
        </w:rPr>
        <w:t xml:space="preserve"> is required</w:t>
      </w:r>
      <w:r w:rsidR="00914D5C">
        <w:rPr>
          <w:rFonts w:ascii="Arial" w:hAnsi="Arial" w:cs="Arial"/>
          <w:snapToGrid w:val="0"/>
          <w:sz w:val="20"/>
        </w:rPr>
        <w:t xml:space="preserve"> in relation to the making of the Determination</w:t>
      </w:r>
      <w:r w:rsidR="00914D5C" w:rsidRPr="000B28B2">
        <w:rPr>
          <w:rFonts w:ascii="Arial" w:hAnsi="Arial" w:cs="Arial"/>
          <w:snapToGrid w:val="0"/>
          <w:sz w:val="20"/>
        </w:rPr>
        <w:t xml:space="preserve">. (OBPR reference ID </w:t>
      </w:r>
      <w:r w:rsidR="00D112D1" w:rsidRPr="000B28B2">
        <w:rPr>
          <w:rFonts w:ascii="Arial" w:hAnsi="Arial" w:cs="Arial"/>
          <w:snapToGrid w:val="0"/>
          <w:sz w:val="20"/>
        </w:rPr>
        <w:t>16603 and 16604</w:t>
      </w:r>
      <w:r w:rsidR="00914D5C" w:rsidRPr="000B28B2">
        <w:rPr>
          <w:rFonts w:ascii="Arial" w:hAnsi="Arial" w:cs="Arial"/>
          <w:snapToGrid w:val="0"/>
          <w:sz w:val="20"/>
        </w:rPr>
        <w:t>).</w:t>
      </w:r>
    </w:p>
    <w:p w14:paraId="11698044" w14:textId="77777777" w:rsidR="00914D5C" w:rsidRDefault="00914D5C" w:rsidP="00914D5C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176A79E9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Detailed Description of the Instrument</w:t>
      </w:r>
    </w:p>
    <w:p w14:paraId="6AD3A4E0" w14:textId="77777777" w:rsidR="00914D5C" w:rsidRDefault="00914D5C" w:rsidP="00914D5C">
      <w:pPr>
        <w:outlineLvl w:val="0"/>
        <w:rPr>
          <w:rFonts w:ascii="Arial" w:hAnsi="Arial" w:cs="Arial"/>
          <w:sz w:val="20"/>
          <w:lang w:val="en-AU"/>
        </w:rPr>
      </w:pPr>
      <w:r w:rsidRPr="005029D3">
        <w:rPr>
          <w:rFonts w:ascii="Arial" w:hAnsi="Arial" w:cs="Arial"/>
          <w:sz w:val="20"/>
          <w:lang w:val="en-AU"/>
        </w:rPr>
        <w:t xml:space="preserve">Details of the </w:t>
      </w:r>
      <w:r>
        <w:rPr>
          <w:rFonts w:ascii="Arial" w:hAnsi="Arial" w:cs="Arial"/>
          <w:sz w:val="20"/>
          <w:lang w:val="en-AU"/>
        </w:rPr>
        <w:t>Determination</w:t>
      </w:r>
      <w:r w:rsidRPr="005029D3">
        <w:rPr>
          <w:rFonts w:ascii="Arial" w:hAnsi="Arial" w:cs="Arial"/>
          <w:sz w:val="20"/>
          <w:lang w:val="en-AU"/>
        </w:rPr>
        <w:t xml:space="preserve"> are set out in </w:t>
      </w:r>
      <w:r w:rsidRPr="005029D3">
        <w:rPr>
          <w:rFonts w:ascii="Arial" w:hAnsi="Arial" w:cs="Arial"/>
          <w:b/>
          <w:sz w:val="20"/>
          <w:lang w:val="en-AU"/>
        </w:rPr>
        <w:t>Attachment A</w:t>
      </w:r>
      <w:r w:rsidRPr="005029D3">
        <w:rPr>
          <w:rFonts w:ascii="Arial" w:hAnsi="Arial" w:cs="Arial"/>
          <w:sz w:val="20"/>
          <w:lang w:val="en-AU"/>
        </w:rPr>
        <w:t>.</w:t>
      </w:r>
    </w:p>
    <w:p w14:paraId="35CA90AE" w14:textId="77777777" w:rsidR="008060B1" w:rsidRDefault="008060B1" w:rsidP="00914D5C">
      <w:pPr>
        <w:outlineLvl w:val="0"/>
        <w:rPr>
          <w:rFonts w:ascii="Arial" w:hAnsi="Arial" w:cs="Arial"/>
          <w:sz w:val="20"/>
          <w:lang w:val="en-AU"/>
        </w:rPr>
      </w:pPr>
    </w:p>
    <w:p w14:paraId="371D3C27" w14:textId="4EC0DC89" w:rsidR="008060B1" w:rsidRDefault="008060B1" w:rsidP="00914D5C">
      <w:pPr>
        <w:outlineLvl w:val="0"/>
        <w:rPr>
          <w:rFonts w:ascii="Arial" w:hAnsi="Arial" w:cs="Arial"/>
          <w:b/>
          <w:sz w:val="20"/>
          <w:lang w:val="en-AU"/>
        </w:rPr>
      </w:pPr>
      <w:r w:rsidRPr="00FE191F">
        <w:rPr>
          <w:rFonts w:ascii="Arial" w:hAnsi="Arial" w:cs="Arial"/>
          <w:b/>
          <w:sz w:val="20"/>
          <w:lang w:val="en-AU"/>
        </w:rPr>
        <w:t xml:space="preserve">Documents </w:t>
      </w:r>
      <w:r w:rsidR="00FE191F">
        <w:rPr>
          <w:rFonts w:ascii="Arial" w:hAnsi="Arial" w:cs="Arial"/>
          <w:b/>
          <w:sz w:val="20"/>
          <w:lang w:val="en-AU"/>
        </w:rPr>
        <w:t>referred to in the Instrument</w:t>
      </w:r>
    </w:p>
    <w:p w14:paraId="54421E64" w14:textId="77777777" w:rsidR="008060B1" w:rsidRDefault="008060B1" w:rsidP="00914D5C">
      <w:pPr>
        <w:outlineLvl w:val="0"/>
        <w:rPr>
          <w:rFonts w:ascii="Arial" w:hAnsi="Arial" w:cs="Arial"/>
          <w:b/>
          <w:sz w:val="20"/>
          <w:lang w:val="en-AU"/>
        </w:rPr>
      </w:pPr>
    </w:p>
    <w:p w14:paraId="0794D280" w14:textId="7F22C079" w:rsidR="008060B1" w:rsidRDefault="008060B1" w:rsidP="00914D5C">
      <w:pPr>
        <w:outlineLvl w:val="0"/>
        <w:rPr>
          <w:rFonts w:ascii="Arial" w:hAnsi="Arial" w:cs="Arial"/>
          <w:sz w:val="20"/>
          <w:lang w:val="en-AU"/>
        </w:rPr>
      </w:pPr>
      <w:r w:rsidRPr="00FE191F">
        <w:rPr>
          <w:rFonts w:ascii="Arial" w:hAnsi="Arial" w:cs="Arial"/>
          <w:sz w:val="20"/>
          <w:lang w:val="en-AU"/>
        </w:rPr>
        <w:t xml:space="preserve">The Determination </w:t>
      </w:r>
      <w:r>
        <w:rPr>
          <w:rFonts w:ascii="Arial" w:hAnsi="Arial" w:cs="Arial"/>
          <w:sz w:val="20"/>
          <w:lang w:val="en-AU"/>
        </w:rPr>
        <w:t xml:space="preserve">refers to </w:t>
      </w:r>
      <w:r w:rsidRPr="00FE191F">
        <w:rPr>
          <w:rFonts w:ascii="Arial" w:hAnsi="Arial" w:cs="Arial"/>
          <w:sz w:val="20"/>
          <w:lang w:val="en-AU"/>
        </w:rPr>
        <w:t xml:space="preserve">the </w:t>
      </w:r>
      <w:proofErr w:type="spellStart"/>
      <w:r w:rsidRPr="00FE191F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Pr="00FE191F">
        <w:rPr>
          <w:rFonts w:ascii="Arial" w:hAnsi="Arial" w:cs="Arial"/>
          <w:i/>
          <w:sz w:val="20"/>
          <w:lang w:val="en-AU"/>
        </w:rPr>
        <w:t xml:space="preserve"> (Interpretation) Determination 2000</w:t>
      </w:r>
      <w:r>
        <w:rPr>
          <w:rFonts w:ascii="Arial" w:hAnsi="Arial" w:cs="Arial"/>
          <w:sz w:val="20"/>
          <w:lang w:val="en-AU"/>
        </w:rPr>
        <w:t xml:space="preserve"> as in force from time to time.</w:t>
      </w:r>
    </w:p>
    <w:p w14:paraId="29E4D336" w14:textId="77777777" w:rsidR="00197389" w:rsidRDefault="00197389" w:rsidP="00914D5C">
      <w:pPr>
        <w:outlineLvl w:val="0"/>
        <w:rPr>
          <w:rFonts w:ascii="Arial" w:hAnsi="Arial" w:cs="Arial"/>
          <w:sz w:val="20"/>
          <w:lang w:val="en-AU"/>
        </w:rPr>
      </w:pPr>
    </w:p>
    <w:p w14:paraId="4A878A12" w14:textId="1A40F44A" w:rsidR="00197389" w:rsidRPr="00AF7E2A" w:rsidRDefault="00197389" w:rsidP="00914D5C">
      <w:pPr>
        <w:outlineLvl w:val="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The </w:t>
      </w:r>
      <w:proofErr w:type="spellStart"/>
      <w:r w:rsidRPr="00FE191F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Pr="00FE191F">
        <w:rPr>
          <w:rFonts w:ascii="Arial" w:hAnsi="Arial" w:cs="Arial"/>
          <w:i/>
          <w:sz w:val="20"/>
          <w:lang w:val="en-AU"/>
        </w:rPr>
        <w:t xml:space="preserve"> (Interpretation) Determination 2000</w:t>
      </w:r>
      <w:r>
        <w:rPr>
          <w:rFonts w:ascii="Arial" w:hAnsi="Arial" w:cs="Arial"/>
          <w:sz w:val="20"/>
          <w:lang w:val="en-AU"/>
        </w:rPr>
        <w:t xml:space="preserve"> can be found on the Australian Government’s </w:t>
      </w:r>
      <w:proofErr w:type="spellStart"/>
      <w:r>
        <w:rPr>
          <w:rFonts w:ascii="Arial" w:hAnsi="Arial" w:cs="Arial"/>
          <w:sz w:val="20"/>
          <w:lang w:val="en-AU"/>
        </w:rPr>
        <w:t>ComLaw</w:t>
      </w:r>
      <w:proofErr w:type="spellEnd"/>
      <w:r>
        <w:rPr>
          <w:rFonts w:ascii="Arial" w:hAnsi="Arial" w:cs="Arial"/>
          <w:sz w:val="20"/>
          <w:lang w:val="en-AU"/>
        </w:rPr>
        <w:t xml:space="preserve"> website (</w:t>
      </w:r>
      <w:hyperlink r:id="rId13" w:history="1">
        <w:r w:rsidRPr="00197389">
          <w:rPr>
            <w:rFonts w:ascii="Arial" w:hAnsi="Arial" w:cs="Arial"/>
            <w:snapToGrid w:val="0"/>
            <w:color w:val="0000FF" w:themeColor="hyperlink"/>
            <w:sz w:val="20"/>
            <w:u w:val="single"/>
            <w:lang w:val="en-US" w:eastAsia="en-US"/>
          </w:rPr>
          <w:t>http://www.comlaw.gov.au/</w:t>
        </w:r>
      </w:hyperlink>
      <w:r w:rsidRPr="00197389">
        <w:rPr>
          <w:rFonts w:ascii="Arial" w:hAnsi="Arial" w:cs="Arial"/>
          <w:snapToGrid w:val="0"/>
          <w:sz w:val="20"/>
          <w:lang w:val="en-US" w:eastAsia="en-US"/>
        </w:rPr>
        <w:t>).</w:t>
      </w:r>
    </w:p>
    <w:p w14:paraId="54691F48" w14:textId="77777777" w:rsidR="00914D5C" w:rsidRDefault="00914D5C" w:rsidP="00914D5C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5FE1FB60" w14:textId="77777777" w:rsidR="00914D5C" w:rsidRPr="005A5476" w:rsidRDefault="00914D5C" w:rsidP="00914D5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Statement of </w:t>
      </w:r>
      <w:r>
        <w:rPr>
          <w:rFonts w:ascii="Arial" w:hAnsi="Arial" w:cs="Arial"/>
          <w:b/>
          <w:sz w:val="22"/>
          <w:szCs w:val="22"/>
          <w:lang w:val="en-AU"/>
        </w:rPr>
        <w:t>C</w:t>
      </w: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ompatibility with </w:t>
      </w:r>
      <w:r>
        <w:rPr>
          <w:rFonts w:ascii="Arial" w:hAnsi="Arial" w:cs="Arial"/>
          <w:b/>
          <w:sz w:val="22"/>
          <w:szCs w:val="22"/>
          <w:lang w:val="en-AU"/>
        </w:rPr>
        <w:t>H</w:t>
      </w: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uman </w:t>
      </w:r>
      <w:r>
        <w:rPr>
          <w:rFonts w:ascii="Arial" w:hAnsi="Arial" w:cs="Arial"/>
          <w:b/>
          <w:sz w:val="22"/>
          <w:szCs w:val="22"/>
          <w:lang w:val="en-AU"/>
        </w:rPr>
        <w:t>R</w:t>
      </w:r>
      <w:r w:rsidRPr="005A5476">
        <w:rPr>
          <w:rFonts w:ascii="Arial" w:hAnsi="Arial" w:cs="Arial"/>
          <w:b/>
          <w:sz w:val="22"/>
          <w:szCs w:val="22"/>
          <w:lang w:val="en-AU"/>
        </w:rPr>
        <w:t>ights</w:t>
      </w:r>
    </w:p>
    <w:p w14:paraId="7B757321" w14:textId="77777777" w:rsidR="00914D5C" w:rsidRDefault="00914D5C" w:rsidP="00914D5C">
      <w:pPr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</w:rPr>
        <w:t>As required by s</w:t>
      </w:r>
      <w:r w:rsidRPr="005029D3">
        <w:rPr>
          <w:rFonts w:ascii="Arial" w:hAnsi="Arial" w:cs="Arial"/>
          <w:sz w:val="20"/>
        </w:rPr>
        <w:t xml:space="preserve">ubsection 9(1) of the </w:t>
      </w:r>
      <w:r w:rsidRPr="00BD05EE">
        <w:rPr>
          <w:rFonts w:ascii="Arial" w:hAnsi="Arial" w:cs="Arial"/>
          <w:i/>
          <w:sz w:val="20"/>
        </w:rPr>
        <w:t>Human Rights (Parliamentary Scrutiny) Act 2011</w:t>
      </w:r>
      <w:r w:rsidRPr="005029D3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S</w:t>
      </w:r>
      <w:r w:rsidRPr="005029D3">
        <w:rPr>
          <w:rFonts w:ascii="Arial" w:hAnsi="Arial" w:cs="Arial"/>
          <w:sz w:val="20"/>
        </w:rPr>
        <w:t xml:space="preserve">tatement of </w:t>
      </w:r>
      <w:r>
        <w:rPr>
          <w:rFonts w:ascii="Arial" w:hAnsi="Arial" w:cs="Arial"/>
          <w:sz w:val="20"/>
        </w:rPr>
        <w:t>C</w:t>
      </w:r>
      <w:r w:rsidRPr="005029D3">
        <w:rPr>
          <w:rFonts w:ascii="Arial" w:hAnsi="Arial" w:cs="Arial"/>
          <w:sz w:val="20"/>
        </w:rPr>
        <w:t xml:space="preserve">ompatibility </w:t>
      </w:r>
      <w:r>
        <w:rPr>
          <w:rFonts w:ascii="Arial" w:hAnsi="Arial" w:cs="Arial"/>
          <w:sz w:val="20"/>
        </w:rPr>
        <w:t xml:space="preserve">with Human Rights has been prepared by the ACMA and </w:t>
      </w:r>
      <w:r w:rsidRPr="005029D3">
        <w:rPr>
          <w:rFonts w:ascii="Arial" w:hAnsi="Arial" w:cs="Arial"/>
          <w:sz w:val="20"/>
        </w:rPr>
        <w:t>is</w:t>
      </w:r>
      <w:r w:rsidRPr="005029D3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  <w:lang w:val="en-AU"/>
        </w:rPr>
        <w:t xml:space="preserve">at </w:t>
      </w:r>
      <w:r w:rsidRPr="005029D3">
        <w:rPr>
          <w:rFonts w:ascii="Arial" w:hAnsi="Arial" w:cs="Arial"/>
          <w:b/>
          <w:sz w:val="20"/>
          <w:lang w:val="en-AU"/>
        </w:rPr>
        <w:t>Attachment B</w:t>
      </w:r>
      <w:r w:rsidRPr="005029D3">
        <w:rPr>
          <w:rFonts w:ascii="Arial" w:hAnsi="Arial" w:cs="Arial"/>
          <w:sz w:val="20"/>
          <w:lang w:val="en-AU"/>
        </w:rPr>
        <w:t>.</w:t>
      </w:r>
    </w:p>
    <w:p w14:paraId="63CEB059" w14:textId="77777777" w:rsidR="00914D5C" w:rsidRPr="005A5476" w:rsidRDefault="00914D5C" w:rsidP="00ED3E49">
      <w:pPr>
        <w:jc w:val="right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  <w:r w:rsidRPr="005A5476">
        <w:rPr>
          <w:rFonts w:ascii="Arial" w:hAnsi="Arial" w:cs="Arial"/>
          <w:b/>
          <w:sz w:val="22"/>
          <w:szCs w:val="22"/>
          <w:lang w:val="en-AU"/>
        </w:rPr>
        <w:lastRenderedPageBreak/>
        <w:t>ATTACHMENT A</w:t>
      </w:r>
    </w:p>
    <w:p w14:paraId="0B502DD0" w14:textId="77777777" w:rsidR="00914D5C" w:rsidRPr="005A5476" w:rsidRDefault="00914D5C" w:rsidP="00914D5C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1DFA321F" w14:textId="0EC456A7" w:rsidR="00914D5C" w:rsidRDefault="00914D5C" w:rsidP="00914D5C">
      <w:pPr>
        <w:spacing w:line="360" w:lineRule="auto"/>
        <w:rPr>
          <w:rFonts w:ascii="Arial" w:hAnsi="Arial" w:cs="Arial"/>
          <w:b/>
          <w:i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DETAILS OF THE </w:t>
      </w:r>
      <w:r w:rsidR="00DC2924" w:rsidRPr="00DC2924">
        <w:rPr>
          <w:rFonts w:ascii="Arial" w:hAnsi="Arial" w:cs="Arial"/>
          <w:b/>
          <w:i/>
          <w:sz w:val="22"/>
          <w:szCs w:val="22"/>
          <w:lang w:val="en-AU"/>
        </w:rPr>
        <w:t>RADIOCOMMUNICATIONS (SPECIFIED RADIOCOMMUNICATIONS RECEIVERS AND TYPES OF TRANSMITTER LICENCES AND RECEIVER LICENCES) DETERMINATION 2014</w:t>
      </w:r>
    </w:p>
    <w:p w14:paraId="22619386" w14:textId="77777777" w:rsidR="00914D5C" w:rsidRDefault="00914D5C" w:rsidP="00914D5C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1465415E" w14:textId="7CE79CF6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F257DA">
        <w:rPr>
          <w:rFonts w:ascii="Arial" w:hAnsi="Arial" w:cs="Arial"/>
          <w:b/>
          <w:color w:val="262626" w:themeColor="text1" w:themeTint="D9"/>
          <w:sz w:val="20"/>
        </w:rPr>
        <w:t>Section 1</w:t>
      </w:r>
      <w:r w:rsidRPr="00F257DA">
        <w:rPr>
          <w:rFonts w:ascii="Arial" w:hAnsi="Arial" w:cs="Arial"/>
          <w:b/>
          <w:color w:val="262626" w:themeColor="text1" w:themeTint="D9"/>
          <w:sz w:val="20"/>
        </w:rPr>
        <w:tab/>
        <w:t xml:space="preserve">Name of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Determination</w:t>
      </w:r>
    </w:p>
    <w:p w14:paraId="0B8963C8" w14:textId="677805EE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Section 1</w:t>
      </w:r>
      <w:r w:rsidRPr="00987C42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  <w:lang w:val="en-AU"/>
        </w:rPr>
        <w:t xml:space="preserve">provides that the Determination is the </w:t>
      </w:r>
      <w:proofErr w:type="spellStart"/>
      <w:r w:rsidR="00DC2924" w:rsidRPr="00DC292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="00DC2924" w:rsidRPr="00DC2924">
        <w:rPr>
          <w:rFonts w:ascii="Arial" w:hAnsi="Arial" w:cs="Arial"/>
          <w:i/>
          <w:sz w:val="20"/>
          <w:lang w:val="en-AU"/>
        </w:rPr>
        <w:t xml:space="preserve"> (Specified </w:t>
      </w:r>
      <w:proofErr w:type="spellStart"/>
      <w:r w:rsidR="00DC2924" w:rsidRPr="00DC292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="00DC2924" w:rsidRPr="00DC2924">
        <w:rPr>
          <w:rFonts w:ascii="Arial" w:hAnsi="Arial" w:cs="Arial"/>
          <w:i/>
          <w:sz w:val="20"/>
          <w:lang w:val="en-AU"/>
        </w:rPr>
        <w:t xml:space="preserve"> Receivers and Types of Transmitter Licences and Receiver Licences) Determination 2014</w:t>
      </w:r>
      <w:r w:rsidR="00DC2924">
        <w:rPr>
          <w:rFonts w:ascii="Arial" w:hAnsi="Arial" w:cs="Arial"/>
          <w:sz w:val="20"/>
          <w:lang w:val="en-AU"/>
        </w:rPr>
        <w:t>.</w:t>
      </w:r>
    </w:p>
    <w:p w14:paraId="30C59EB6" w14:textId="456523D0" w:rsidR="00914D5C" w:rsidRPr="00EC4D12" w:rsidRDefault="00914D5C" w:rsidP="00914D5C">
      <w:pPr>
        <w:spacing w:line="276" w:lineRule="auto"/>
        <w:outlineLvl w:val="0"/>
        <w:rPr>
          <w:rFonts w:ascii="Arial" w:hAnsi="Arial" w:cs="Arial"/>
          <w:b/>
          <w:sz w:val="20"/>
          <w:lang w:val="en-AU"/>
        </w:rPr>
      </w:pPr>
      <w:r w:rsidRPr="00EC4D12">
        <w:rPr>
          <w:rFonts w:ascii="Arial" w:hAnsi="Arial" w:cs="Arial"/>
          <w:b/>
          <w:sz w:val="20"/>
          <w:lang w:val="en-AU"/>
        </w:rPr>
        <w:t xml:space="preserve">Section </w:t>
      </w:r>
      <w:r w:rsidR="00DC2924">
        <w:rPr>
          <w:rFonts w:ascii="Arial" w:hAnsi="Arial" w:cs="Arial"/>
          <w:b/>
          <w:sz w:val="20"/>
          <w:lang w:val="en-AU"/>
        </w:rPr>
        <w:t>2</w:t>
      </w:r>
      <w:r w:rsidRPr="00EC4D12">
        <w:rPr>
          <w:rFonts w:ascii="Arial" w:hAnsi="Arial" w:cs="Arial"/>
          <w:b/>
          <w:sz w:val="20"/>
          <w:lang w:val="en-AU"/>
        </w:rPr>
        <w:t xml:space="preserve"> - Commencement </w:t>
      </w:r>
    </w:p>
    <w:p w14:paraId="286688A8" w14:textId="70A4079C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Pr="00EC4D12">
        <w:rPr>
          <w:rFonts w:ascii="Arial" w:hAnsi="Arial" w:cs="Arial"/>
          <w:sz w:val="20"/>
          <w:lang w:val="en-AU"/>
        </w:rPr>
        <w:t xml:space="preserve">ection </w:t>
      </w:r>
      <w:r w:rsidR="00DC2924">
        <w:rPr>
          <w:rFonts w:ascii="Arial" w:hAnsi="Arial" w:cs="Arial"/>
          <w:sz w:val="20"/>
          <w:lang w:val="en-AU"/>
        </w:rPr>
        <w:t>2</w:t>
      </w:r>
      <w:r>
        <w:rPr>
          <w:rFonts w:ascii="Arial" w:hAnsi="Arial" w:cs="Arial"/>
          <w:sz w:val="20"/>
          <w:lang w:val="en-AU"/>
        </w:rPr>
        <w:t xml:space="preserve"> provides th</w:t>
      </w:r>
      <w:r w:rsidR="00963C37">
        <w:rPr>
          <w:rFonts w:ascii="Arial" w:hAnsi="Arial" w:cs="Arial"/>
          <w:sz w:val="20"/>
          <w:lang w:val="en-AU"/>
        </w:rPr>
        <w:t>at the Determination commences on the day after it is registered</w:t>
      </w:r>
      <w:r w:rsidR="00903193" w:rsidRPr="00903193">
        <w:t xml:space="preserve"> </w:t>
      </w:r>
      <w:r w:rsidR="00903193" w:rsidRPr="00903193">
        <w:rPr>
          <w:rFonts w:ascii="Arial" w:hAnsi="Arial" w:cs="Arial"/>
          <w:sz w:val="20"/>
          <w:lang w:val="en-AU"/>
        </w:rPr>
        <w:t>on the Federal Register of</w:t>
      </w:r>
      <w:r w:rsidR="00903193">
        <w:rPr>
          <w:rFonts w:ascii="Arial" w:hAnsi="Arial" w:cs="Arial"/>
          <w:sz w:val="20"/>
          <w:lang w:val="en-AU"/>
        </w:rPr>
        <w:t xml:space="preserve"> Legislative Instruments (FRLI)</w:t>
      </w:r>
      <w:r>
        <w:rPr>
          <w:rFonts w:ascii="Arial" w:hAnsi="Arial" w:cs="Arial"/>
          <w:sz w:val="20"/>
          <w:lang w:val="en-AU"/>
        </w:rPr>
        <w:t>.</w:t>
      </w:r>
    </w:p>
    <w:p w14:paraId="00955506" w14:textId="218738AC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7D0875"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DC2924">
        <w:rPr>
          <w:rFonts w:ascii="Arial" w:hAnsi="Arial" w:cs="Arial"/>
          <w:b/>
          <w:color w:val="262626" w:themeColor="text1" w:themeTint="D9"/>
          <w:sz w:val="20"/>
        </w:rPr>
        <w:t>3</w:t>
      </w:r>
      <w:r w:rsidRPr="007D0875">
        <w:rPr>
          <w:rFonts w:ascii="Arial" w:hAnsi="Arial" w:cs="Arial"/>
          <w:b/>
          <w:color w:val="262626" w:themeColor="text1" w:themeTint="D9"/>
          <w:sz w:val="20"/>
        </w:rPr>
        <w:t xml:space="preserve"> – </w:t>
      </w:r>
      <w:r>
        <w:rPr>
          <w:rFonts w:ascii="Arial" w:hAnsi="Arial" w:cs="Arial"/>
          <w:b/>
          <w:color w:val="262626" w:themeColor="text1" w:themeTint="D9"/>
          <w:sz w:val="20"/>
        </w:rPr>
        <w:t>Revocation</w:t>
      </w:r>
      <w:r w:rsidR="00DC2924">
        <w:rPr>
          <w:rFonts w:ascii="Arial" w:hAnsi="Arial" w:cs="Arial"/>
          <w:b/>
          <w:color w:val="262626" w:themeColor="text1" w:themeTint="D9"/>
          <w:sz w:val="20"/>
        </w:rPr>
        <w:t xml:space="preserve"> of previous determinations</w:t>
      </w:r>
    </w:p>
    <w:p w14:paraId="7BEB7F4C" w14:textId="7F656B89" w:rsidR="00914D5C" w:rsidRPr="00DC2924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Pr="0090366E">
        <w:rPr>
          <w:rFonts w:ascii="Arial" w:hAnsi="Arial" w:cs="Arial"/>
          <w:sz w:val="20"/>
          <w:lang w:val="en-AU"/>
        </w:rPr>
        <w:t xml:space="preserve">ection </w:t>
      </w:r>
      <w:r w:rsidR="00DC2924">
        <w:rPr>
          <w:rFonts w:ascii="Arial" w:hAnsi="Arial" w:cs="Arial"/>
          <w:sz w:val="20"/>
          <w:lang w:val="en-AU"/>
        </w:rPr>
        <w:t>3</w:t>
      </w:r>
      <w:r>
        <w:rPr>
          <w:rFonts w:ascii="Arial" w:hAnsi="Arial" w:cs="Arial"/>
          <w:sz w:val="20"/>
          <w:lang w:val="en-AU"/>
        </w:rPr>
        <w:t xml:space="preserve"> </w:t>
      </w:r>
      <w:r w:rsidRPr="0090366E">
        <w:rPr>
          <w:rFonts w:ascii="Arial" w:hAnsi="Arial" w:cs="Arial"/>
          <w:sz w:val="20"/>
          <w:lang w:val="en-AU"/>
        </w:rPr>
        <w:t xml:space="preserve">provides </w:t>
      </w:r>
      <w:r>
        <w:rPr>
          <w:rFonts w:ascii="Arial" w:hAnsi="Arial" w:cs="Arial"/>
          <w:sz w:val="20"/>
          <w:lang w:val="en-AU"/>
        </w:rPr>
        <w:t xml:space="preserve">that the </w:t>
      </w:r>
      <w:proofErr w:type="spellStart"/>
      <w:r w:rsidR="00DC2924" w:rsidRPr="00DC292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="00DC2924" w:rsidRPr="00DC2924">
        <w:rPr>
          <w:rFonts w:ascii="Arial" w:hAnsi="Arial" w:cs="Arial"/>
          <w:i/>
          <w:sz w:val="20"/>
          <w:lang w:val="en-AU"/>
        </w:rPr>
        <w:t xml:space="preserve"> (</w:t>
      </w:r>
      <w:proofErr w:type="spellStart"/>
      <w:r w:rsidR="00DC2924" w:rsidRPr="00DC292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="00DC2924" w:rsidRPr="00DC2924">
        <w:rPr>
          <w:rFonts w:ascii="Arial" w:hAnsi="Arial" w:cs="Arial"/>
          <w:i/>
          <w:sz w:val="20"/>
          <w:lang w:val="en-AU"/>
        </w:rPr>
        <w:t xml:space="preserve"> Receivers) Determination 2000 (No. 2) and the </w:t>
      </w:r>
      <w:proofErr w:type="spellStart"/>
      <w:r w:rsidR="00DC2924" w:rsidRPr="00DC292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="00DC2924" w:rsidRPr="00DC2924">
        <w:rPr>
          <w:rFonts w:ascii="Arial" w:hAnsi="Arial" w:cs="Arial"/>
          <w:i/>
          <w:sz w:val="20"/>
          <w:lang w:val="en-AU"/>
        </w:rPr>
        <w:t xml:space="preserve"> (Transmitter and Receiver Licences) Determination</w:t>
      </w:r>
      <w:r w:rsidR="00DC2924">
        <w:rPr>
          <w:rFonts w:ascii="Arial" w:hAnsi="Arial" w:cs="Arial"/>
          <w:sz w:val="20"/>
          <w:lang w:val="en-AU"/>
        </w:rPr>
        <w:t xml:space="preserve"> are revoked.</w:t>
      </w:r>
    </w:p>
    <w:p w14:paraId="147F88B0" w14:textId="0466F67D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DC2924">
        <w:rPr>
          <w:rFonts w:ascii="Arial" w:hAnsi="Arial" w:cs="Arial"/>
          <w:b/>
          <w:color w:val="262626" w:themeColor="text1" w:themeTint="D9"/>
          <w:sz w:val="20"/>
        </w:rPr>
        <w:t>4</w:t>
      </w:r>
      <w:r w:rsidRPr="007D0875">
        <w:rPr>
          <w:rFonts w:ascii="Arial" w:hAnsi="Arial" w:cs="Arial"/>
          <w:b/>
          <w:color w:val="262626" w:themeColor="text1" w:themeTint="D9"/>
          <w:sz w:val="20"/>
        </w:rPr>
        <w:t xml:space="preserve"> – </w:t>
      </w:r>
      <w:proofErr w:type="spellStart"/>
      <w:r w:rsidR="00DC2924">
        <w:rPr>
          <w:rFonts w:ascii="Arial" w:hAnsi="Arial" w:cs="Arial"/>
          <w:b/>
          <w:color w:val="262626" w:themeColor="text1" w:themeTint="D9"/>
          <w:sz w:val="20"/>
        </w:rPr>
        <w:t>Radiocommunications</w:t>
      </w:r>
      <w:proofErr w:type="spellEnd"/>
      <w:r w:rsidR="00DC2924">
        <w:rPr>
          <w:rFonts w:ascii="Arial" w:hAnsi="Arial" w:cs="Arial"/>
          <w:b/>
          <w:color w:val="262626" w:themeColor="text1" w:themeTint="D9"/>
          <w:sz w:val="20"/>
        </w:rPr>
        <w:t xml:space="preserve"> receivers</w:t>
      </w:r>
    </w:p>
    <w:p w14:paraId="4F344C1B" w14:textId="4994DE8B" w:rsidR="006B294F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Pr="0090366E">
        <w:rPr>
          <w:rFonts w:ascii="Arial" w:hAnsi="Arial" w:cs="Arial"/>
          <w:sz w:val="20"/>
          <w:lang w:val="en-AU"/>
        </w:rPr>
        <w:t xml:space="preserve">ection </w:t>
      </w:r>
      <w:r w:rsidR="00DC2924">
        <w:rPr>
          <w:rFonts w:ascii="Arial" w:hAnsi="Arial" w:cs="Arial"/>
          <w:sz w:val="20"/>
          <w:lang w:val="en-AU"/>
        </w:rPr>
        <w:t>4</w:t>
      </w:r>
      <w:r>
        <w:rPr>
          <w:rFonts w:ascii="Arial" w:hAnsi="Arial" w:cs="Arial"/>
          <w:sz w:val="20"/>
          <w:lang w:val="en-AU"/>
        </w:rPr>
        <w:t xml:space="preserve"> </w:t>
      </w:r>
      <w:r w:rsidR="00903193">
        <w:rPr>
          <w:rFonts w:ascii="Arial" w:hAnsi="Arial" w:cs="Arial"/>
          <w:sz w:val="20"/>
          <w:lang w:val="en-AU"/>
        </w:rPr>
        <w:t>specifies, for the purposes of paragraph 7(1</w:t>
      </w:r>
      <w:proofErr w:type="gramStart"/>
      <w:r w:rsidR="00903193">
        <w:rPr>
          <w:rFonts w:ascii="Arial" w:hAnsi="Arial" w:cs="Arial"/>
          <w:sz w:val="20"/>
          <w:lang w:val="en-AU"/>
        </w:rPr>
        <w:t>)(</w:t>
      </w:r>
      <w:proofErr w:type="gramEnd"/>
      <w:r w:rsidR="00903193">
        <w:rPr>
          <w:rFonts w:ascii="Arial" w:hAnsi="Arial" w:cs="Arial"/>
          <w:sz w:val="20"/>
          <w:lang w:val="en-AU"/>
        </w:rPr>
        <w:t xml:space="preserve">b) of the Act, </w:t>
      </w:r>
      <w:r w:rsidR="00903193">
        <w:rPr>
          <w:rFonts w:ascii="Arial" w:hAnsi="Arial" w:cs="Arial"/>
          <w:sz w:val="20"/>
        </w:rPr>
        <w:t>t</w:t>
      </w:r>
      <w:r w:rsidR="00903193" w:rsidRPr="00184CFB">
        <w:rPr>
          <w:rFonts w:ascii="Arial" w:hAnsi="Arial" w:cs="Arial"/>
          <w:sz w:val="20"/>
        </w:rPr>
        <w:t xml:space="preserve">he kinds of </w:t>
      </w:r>
      <w:proofErr w:type="spellStart"/>
      <w:r w:rsidR="00903193" w:rsidRPr="00184CFB">
        <w:rPr>
          <w:rFonts w:ascii="Arial" w:hAnsi="Arial" w:cs="Arial"/>
          <w:sz w:val="20"/>
        </w:rPr>
        <w:t>radiocommunications</w:t>
      </w:r>
      <w:proofErr w:type="spellEnd"/>
      <w:r w:rsidR="00903193" w:rsidRPr="00184CFB">
        <w:rPr>
          <w:rFonts w:ascii="Arial" w:hAnsi="Arial" w:cs="Arial"/>
          <w:sz w:val="20"/>
        </w:rPr>
        <w:t xml:space="preserve"> </w:t>
      </w:r>
      <w:r w:rsidR="008000D8">
        <w:rPr>
          <w:rFonts w:ascii="Arial" w:hAnsi="Arial" w:cs="Arial"/>
          <w:sz w:val="20"/>
        </w:rPr>
        <w:t xml:space="preserve">receivers </w:t>
      </w:r>
      <w:r w:rsidR="00903193" w:rsidRPr="00184CFB">
        <w:rPr>
          <w:rFonts w:ascii="Arial" w:hAnsi="Arial" w:cs="Arial"/>
          <w:sz w:val="20"/>
        </w:rPr>
        <w:t xml:space="preserve">that are </w:t>
      </w:r>
      <w:r w:rsidR="008000D8">
        <w:rPr>
          <w:rFonts w:ascii="Arial" w:hAnsi="Arial" w:cs="Arial"/>
          <w:sz w:val="20"/>
        </w:rPr>
        <w:t xml:space="preserve">taken to be </w:t>
      </w:r>
      <w:proofErr w:type="spellStart"/>
      <w:r w:rsidR="00903193" w:rsidRPr="00184CFB">
        <w:rPr>
          <w:rFonts w:ascii="Arial" w:hAnsi="Arial" w:cs="Arial"/>
          <w:sz w:val="20"/>
        </w:rPr>
        <w:t>radiocommunications</w:t>
      </w:r>
      <w:proofErr w:type="spellEnd"/>
      <w:r w:rsidR="00903193" w:rsidRPr="00184CFB">
        <w:rPr>
          <w:rFonts w:ascii="Arial" w:hAnsi="Arial" w:cs="Arial"/>
          <w:sz w:val="20"/>
        </w:rPr>
        <w:t xml:space="preserve"> </w:t>
      </w:r>
      <w:r w:rsidR="008000D8">
        <w:rPr>
          <w:rFonts w:ascii="Arial" w:hAnsi="Arial" w:cs="Arial"/>
          <w:sz w:val="20"/>
        </w:rPr>
        <w:t>devices</w:t>
      </w:r>
      <w:r w:rsidR="00903193">
        <w:rPr>
          <w:rFonts w:ascii="Arial" w:hAnsi="Arial" w:cs="Arial"/>
          <w:sz w:val="20"/>
          <w:lang w:val="en-AU"/>
        </w:rPr>
        <w:t>.</w:t>
      </w:r>
      <w:r w:rsidR="00167B74">
        <w:rPr>
          <w:rFonts w:ascii="Arial" w:hAnsi="Arial" w:cs="Arial"/>
          <w:sz w:val="20"/>
          <w:lang w:val="en-AU"/>
        </w:rPr>
        <w:t xml:space="preserve"> A </w:t>
      </w:r>
      <w:proofErr w:type="spellStart"/>
      <w:r w:rsidR="00167B74">
        <w:rPr>
          <w:rFonts w:ascii="Arial" w:hAnsi="Arial" w:cs="Arial"/>
          <w:sz w:val="20"/>
          <w:lang w:val="en-AU"/>
        </w:rPr>
        <w:t>radiocommunications</w:t>
      </w:r>
      <w:proofErr w:type="spellEnd"/>
      <w:r w:rsidR="00167B74">
        <w:rPr>
          <w:rFonts w:ascii="Arial" w:hAnsi="Arial" w:cs="Arial"/>
          <w:sz w:val="20"/>
          <w:lang w:val="en-AU"/>
        </w:rPr>
        <w:t xml:space="preserve"> receiver is specified if it is</w:t>
      </w:r>
      <w:r w:rsidR="008000D8">
        <w:rPr>
          <w:rFonts w:ascii="Arial" w:hAnsi="Arial" w:cs="Arial"/>
          <w:sz w:val="20"/>
          <w:lang w:val="en-AU"/>
        </w:rPr>
        <w:t>,</w:t>
      </w:r>
      <w:r w:rsidR="00167B74">
        <w:rPr>
          <w:rFonts w:ascii="Arial" w:hAnsi="Arial" w:cs="Arial"/>
          <w:sz w:val="20"/>
          <w:lang w:val="en-AU"/>
        </w:rPr>
        <w:t xml:space="preserve"> or forms part of</w:t>
      </w:r>
      <w:r w:rsidR="008000D8">
        <w:rPr>
          <w:rFonts w:ascii="Arial" w:hAnsi="Arial" w:cs="Arial"/>
          <w:sz w:val="20"/>
          <w:lang w:val="en-AU"/>
        </w:rPr>
        <w:t>,</w:t>
      </w:r>
      <w:r w:rsidR="00167B74">
        <w:rPr>
          <w:rFonts w:ascii="Arial" w:hAnsi="Arial" w:cs="Arial"/>
          <w:sz w:val="20"/>
          <w:lang w:val="en-AU"/>
        </w:rPr>
        <w:t xml:space="preserve"> the </w:t>
      </w:r>
      <w:r w:rsidR="008000D8">
        <w:rPr>
          <w:rFonts w:ascii="Arial" w:hAnsi="Arial" w:cs="Arial"/>
          <w:sz w:val="20"/>
          <w:lang w:val="en-AU"/>
        </w:rPr>
        <w:t xml:space="preserve">types </w:t>
      </w:r>
      <w:r w:rsidR="001125DE">
        <w:rPr>
          <w:rFonts w:ascii="Arial" w:hAnsi="Arial" w:cs="Arial"/>
          <w:sz w:val="20"/>
          <w:lang w:val="en-AU"/>
        </w:rPr>
        <w:t xml:space="preserve">of stations </w:t>
      </w:r>
      <w:r w:rsidR="008000D8">
        <w:rPr>
          <w:rFonts w:ascii="Arial" w:hAnsi="Arial" w:cs="Arial"/>
          <w:sz w:val="20"/>
          <w:lang w:val="en-AU"/>
        </w:rPr>
        <w:t xml:space="preserve">listed at </w:t>
      </w:r>
      <w:r w:rsidR="00167B74">
        <w:rPr>
          <w:rFonts w:ascii="Arial" w:hAnsi="Arial" w:cs="Arial"/>
          <w:sz w:val="20"/>
          <w:lang w:val="en-AU"/>
        </w:rPr>
        <w:t>paragraphs 4(a) to (e).</w:t>
      </w:r>
      <w:r w:rsidR="006B294F">
        <w:rPr>
          <w:rFonts w:ascii="Arial" w:hAnsi="Arial" w:cs="Arial"/>
          <w:sz w:val="20"/>
          <w:lang w:val="en-AU"/>
        </w:rPr>
        <w:t xml:space="preserve"> </w:t>
      </w:r>
    </w:p>
    <w:p w14:paraId="74D3C507" w14:textId="45348173" w:rsidR="00903193" w:rsidRDefault="006B294F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The note to section 4 explains that </w:t>
      </w:r>
      <w:r w:rsidR="001125DE">
        <w:rPr>
          <w:rFonts w:ascii="Arial" w:hAnsi="Arial" w:cs="Arial"/>
          <w:sz w:val="20"/>
          <w:lang w:val="en-AU"/>
        </w:rPr>
        <w:t xml:space="preserve">descriptions of the types of </w:t>
      </w:r>
      <w:r>
        <w:rPr>
          <w:rFonts w:ascii="Arial" w:hAnsi="Arial" w:cs="Arial"/>
          <w:sz w:val="20"/>
          <w:lang w:val="en-AU"/>
        </w:rPr>
        <w:t xml:space="preserve">stations specified in section 4 are </w:t>
      </w:r>
      <w:r w:rsidR="001125DE">
        <w:rPr>
          <w:rFonts w:ascii="Arial" w:hAnsi="Arial" w:cs="Arial"/>
          <w:sz w:val="20"/>
          <w:lang w:val="en-AU"/>
        </w:rPr>
        <w:t xml:space="preserve">set out </w:t>
      </w:r>
      <w:r>
        <w:rPr>
          <w:rFonts w:ascii="Arial" w:hAnsi="Arial" w:cs="Arial"/>
          <w:sz w:val="20"/>
          <w:lang w:val="en-AU"/>
        </w:rPr>
        <w:t xml:space="preserve">in the </w:t>
      </w:r>
      <w:proofErr w:type="spellStart"/>
      <w:r w:rsidRPr="003C38F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Pr="003C38F4">
        <w:rPr>
          <w:rFonts w:ascii="Arial" w:hAnsi="Arial" w:cs="Arial"/>
          <w:i/>
          <w:sz w:val="20"/>
          <w:lang w:val="en-AU"/>
        </w:rPr>
        <w:t xml:space="preserve"> (Interpretation) Determination 2014</w:t>
      </w:r>
      <w:r w:rsidR="003C38F4">
        <w:rPr>
          <w:rFonts w:ascii="Arial" w:hAnsi="Arial" w:cs="Arial"/>
          <w:sz w:val="20"/>
          <w:lang w:val="en-AU"/>
        </w:rPr>
        <w:t>.</w:t>
      </w:r>
    </w:p>
    <w:p w14:paraId="2ED35257" w14:textId="066B9EB7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5</w:t>
      </w:r>
      <w:r>
        <w:rPr>
          <w:rFonts w:ascii="Arial" w:hAnsi="Arial" w:cs="Arial"/>
          <w:b/>
          <w:color w:val="262626" w:themeColor="text1" w:themeTint="D9"/>
          <w:sz w:val="20"/>
        </w:rPr>
        <w:t xml:space="preserve"> – </w:t>
      </w:r>
      <w:r w:rsidR="003B6A75">
        <w:rPr>
          <w:rFonts w:ascii="Arial" w:hAnsi="Arial" w:cs="Arial"/>
          <w:b/>
          <w:color w:val="262626" w:themeColor="text1" w:themeTint="D9"/>
          <w:sz w:val="20"/>
        </w:rPr>
        <w:t>Transmitter licences</w:t>
      </w:r>
    </w:p>
    <w:p w14:paraId="481DD310" w14:textId="31D45150" w:rsidR="00596F53" w:rsidRDefault="009A144B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Section 5 </w:t>
      </w:r>
      <w:r w:rsidR="00903193">
        <w:rPr>
          <w:rFonts w:ascii="Arial" w:hAnsi="Arial" w:cs="Arial"/>
          <w:sz w:val="20"/>
          <w:lang w:val="en-AU"/>
        </w:rPr>
        <w:t>specifies, for the purposes of s</w:t>
      </w:r>
      <w:r w:rsidR="000B28B2">
        <w:rPr>
          <w:rFonts w:ascii="Arial" w:hAnsi="Arial" w:cs="Arial"/>
          <w:sz w:val="20"/>
          <w:lang w:val="en-AU"/>
        </w:rPr>
        <w:t>ubs</w:t>
      </w:r>
      <w:r w:rsidR="00903193">
        <w:rPr>
          <w:rFonts w:ascii="Arial" w:hAnsi="Arial" w:cs="Arial"/>
          <w:sz w:val="20"/>
          <w:lang w:val="en-AU"/>
        </w:rPr>
        <w:t xml:space="preserve">ection 98(1) of the </w:t>
      </w:r>
      <w:proofErr w:type="gramStart"/>
      <w:r w:rsidR="00903193">
        <w:rPr>
          <w:rFonts w:ascii="Arial" w:hAnsi="Arial" w:cs="Arial"/>
          <w:sz w:val="20"/>
          <w:lang w:val="en-AU"/>
        </w:rPr>
        <w:t xml:space="preserve">Act, </w:t>
      </w:r>
      <w:r w:rsidR="001125DE">
        <w:rPr>
          <w:rFonts w:ascii="Arial" w:hAnsi="Arial" w:cs="Arial"/>
          <w:sz w:val="20"/>
          <w:lang w:val="en-AU"/>
        </w:rPr>
        <w:t>that</w:t>
      </w:r>
      <w:proofErr w:type="gramEnd"/>
      <w:r w:rsidR="001125DE">
        <w:rPr>
          <w:rFonts w:ascii="Arial" w:hAnsi="Arial" w:cs="Arial"/>
          <w:sz w:val="20"/>
          <w:lang w:val="en-AU"/>
        </w:rPr>
        <w:t xml:space="preserve"> </w:t>
      </w:r>
      <w:r w:rsidR="00CF4A1A">
        <w:rPr>
          <w:rFonts w:ascii="Arial" w:hAnsi="Arial" w:cs="Arial"/>
          <w:sz w:val="20"/>
          <w:lang w:val="en-AU"/>
        </w:rPr>
        <w:t xml:space="preserve">the ACMA may issue a </w:t>
      </w:r>
      <w:r>
        <w:rPr>
          <w:rFonts w:ascii="Arial" w:hAnsi="Arial" w:cs="Arial"/>
          <w:sz w:val="20"/>
          <w:lang w:val="en-AU"/>
        </w:rPr>
        <w:t xml:space="preserve">transmitter licence </w:t>
      </w:r>
      <w:r w:rsidR="00CF4A1A">
        <w:rPr>
          <w:rFonts w:ascii="Arial" w:hAnsi="Arial" w:cs="Arial"/>
          <w:sz w:val="20"/>
          <w:lang w:val="en-AU"/>
        </w:rPr>
        <w:t>of a</w:t>
      </w:r>
      <w:r w:rsidR="00903193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  <w:lang w:val="en-AU"/>
        </w:rPr>
        <w:t>type</w:t>
      </w:r>
      <w:r w:rsidR="000B28B2">
        <w:rPr>
          <w:rFonts w:ascii="Arial" w:hAnsi="Arial" w:cs="Arial"/>
          <w:sz w:val="20"/>
          <w:lang w:val="en-AU"/>
        </w:rPr>
        <w:t xml:space="preserve"> listed in column two of S</w:t>
      </w:r>
      <w:r>
        <w:rPr>
          <w:rFonts w:ascii="Arial" w:hAnsi="Arial" w:cs="Arial"/>
          <w:sz w:val="20"/>
          <w:lang w:val="en-AU"/>
        </w:rPr>
        <w:t>chedule 1.</w:t>
      </w:r>
    </w:p>
    <w:p w14:paraId="26F70647" w14:textId="451963E6" w:rsidR="006B294F" w:rsidRPr="00596F53" w:rsidRDefault="006B294F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The note to section 5 explains that the licence</w:t>
      </w:r>
      <w:r w:rsidR="001125DE">
        <w:rPr>
          <w:rFonts w:ascii="Arial" w:hAnsi="Arial" w:cs="Arial"/>
          <w:sz w:val="20"/>
          <w:lang w:val="en-AU"/>
        </w:rPr>
        <w:t xml:space="preserve"> types </w:t>
      </w:r>
      <w:r>
        <w:rPr>
          <w:rFonts w:ascii="Arial" w:hAnsi="Arial" w:cs="Arial"/>
          <w:sz w:val="20"/>
          <w:lang w:val="en-AU"/>
        </w:rPr>
        <w:t xml:space="preserve">specified in </w:t>
      </w:r>
      <w:r w:rsidR="001125DE">
        <w:rPr>
          <w:rFonts w:ascii="Arial" w:hAnsi="Arial" w:cs="Arial"/>
          <w:sz w:val="20"/>
          <w:lang w:val="en-AU"/>
        </w:rPr>
        <w:t>Schedule 1</w:t>
      </w:r>
      <w:r>
        <w:rPr>
          <w:rFonts w:ascii="Arial" w:hAnsi="Arial" w:cs="Arial"/>
          <w:sz w:val="20"/>
          <w:lang w:val="en-AU"/>
        </w:rPr>
        <w:t xml:space="preserve"> are described in the </w:t>
      </w:r>
      <w:proofErr w:type="spellStart"/>
      <w:r w:rsidRPr="003C38F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Pr="003C38F4">
        <w:rPr>
          <w:rFonts w:ascii="Arial" w:hAnsi="Arial" w:cs="Arial"/>
          <w:i/>
          <w:sz w:val="20"/>
          <w:lang w:val="en-AU"/>
        </w:rPr>
        <w:t xml:space="preserve"> (Interpretation) Determination 2014</w:t>
      </w:r>
      <w:r w:rsidR="003C38F4">
        <w:rPr>
          <w:rFonts w:ascii="Arial" w:hAnsi="Arial" w:cs="Arial"/>
          <w:sz w:val="20"/>
          <w:lang w:val="en-AU"/>
        </w:rPr>
        <w:t>.</w:t>
      </w:r>
    </w:p>
    <w:p w14:paraId="114509D5" w14:textId="58A5F3BA" w:rsidR="00596F53" w:rsidRDefault="00596F53" w:rsidP="00596F53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 xml:space="preserve">Section 6 – </w:t>
      </w:r>
      <w:r w:rsidR="003B6A75">
        <w:rPr>
          <w:rFonts w:ascii="Arial" w:hAnsi="Arial" w:cs="Arial"/>
          <w:b/>
          <w:color w:val="262626" w:themeColor="text1" w:themeTint="D9"/>
          <w:sz w:val="20"/>
        </w:rPr>
        <w:t>Receiver licences</w:t>
      </w:r>
    </w:p>
    <w:p w14:paraId="3B0E6A25" w14:textId="797AA240" w:rsidR="009A144B" w:rsidRDefault="009A144B" w:rsidP="009A144B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Section 6 </w:t>
      </w:r>
      <w:r w:rsidR="000B28B2">
        <w:rPr>
          <w:rFonts w:ascii="Arial" w:hAnsi="Arial" w:cs="Arial"/>
          <w:sz w:val="20"/>
          <w:lang w:val="en-AU"/>
        </w:rPr>
        <w:t xml:space="preserve">specifies, </w:t>
      </w:r>
      <w:r w:rsidR="001F3599">
        <w:rPr>
          <w:rFonts w:ascii="Arial" w:hAnsi="Arial" w:cs="Arial"/>
          <w:sz w:val="20"/>
          <w:lang w:val="en-AU"/>
        </w:rPr>
        <w:t xml:space="preserve">for the purposes of subsection 98(1) of the </w:t>
      </w:r>
      <w:proofErr w:type="gramStart"/>
      <w:r w:rsidR="001F3599">
        <w:rPr>
          <w:rFonts w:ascii="Arial" w:hAnsi="Arial" w:cs="Arial"/>
          <w:sz w:val="20"/>
          <w:lang w:val="en-AU"/>
        </w:rPr>
        <w:t>Act,</w:t>
      </w:r>
      <w:r>
        <w:rPr>
          <w:rFonts w:ascii="Arial" w:hAnsi="Arial" w:cs="Arial"/>
          <w:sz w:val="20"/>
          <w:lang w:val="en-AU"/>
        </w:rPr>
        <w:t xml:space="preserve"> </w:t>
      </w:r>
      <w:r w:rsidR="001125DE">
        <w:rPr>
          <w:rFonts w:ascii="Arial" w:hAnsi="Arial" w:cs="Arial"/>
          <w:sz w:val="20"/>
          <w:lang w:val="en-AU"/>
        </w:rPr>
        <w:t>that</w:t>
      </w:r>
      <w:proofErr w:type="gramEnd"/>
      <w:r w:rsidR="001125DE">
        <w:rPr>
          <w:rFonts w:ascii="Arial" w:hAnsi="Arial" w:cs="Arial"/>
          <w:sz w:val="20"/>
          <w:lang w:val="en-AU"/>
        </w:rPr>
        <w:t xml:space="preserve"> </w:t>
      </w:r>
      <w:r w:rsidR="00CF4A1A">
        <w:rPr>
          <w:rFonts w:ascii="Arial" w:hAnsi="Arial" w:cs="Arial"/>
          <w:sz w:val="20"/>
          <w:lang w:val="en-AU"/>
        </w:rPr>
        <w:t>the ACMA may issu</w:t>
      </w:r>
      <w:r>
        <w:rPr>
          <w:rFonts w:ascii="Arial" w:hAnsi="Arial" w:cs="Arial"/>
          <w:sz w:val="20"/>
          <w:lang w:val="en-AU"/>
        </w:rPr>
        <w:t xml:space="preserve">e </w:t>
      </w:r>
      <w:r w:rsidR="00CF4A1A">
        <w:rPr>
          <w:rFonts w:ascii="Arial" w:hAnsi="Arial" w:cs="Arial"/>
          <w:sz w:val="20"/>
          <w:lang w:val="en-AU"/>
        </w:rPr>
        <w:t>a</w:t>
      </w:r>
      <w:r w:rsidR="000B28B2">
        <w:rPr>
          <w:rFonts w:ascii="Arial" w:hAnsi="Arial" w:cs="Arial"/>
          <w:sz w:val="20"/>
          <w:lang w:val="en-AU"/>
        </w:rPr>
        <w:t xml:space="preserve"> receiver licence</w:t>
      </w:r>
      <w:r w:rsidR="00CF4A1A">
        <w:rPr>
          <w:rFonts w:ascii="Arial" w:hAnsi="Arial" w:cs="Arial"/>
          <w:sz w:val="20"/>
          <w:lang w:val="en-AU"/>
        </w:rPr>
        <w:t xml:space="preserve"> of a </w:t>
      </w:r>
      <w:r>
        <w:rPr>
          <w:rFonts w:ascii="Arial" w:hAnsi="Arial" w:cs="Arial"/>
          <w:sz w:val="20"/>
          <w:lang w:val="en-AU"/>
        </w:rPr>
        <w:t>type</w:t>
      </w:r>
      <w:r w:rsidR="000B28B2">
        <w:rPr>
          <w:rFonts w:ascii="Arial" w:hAnsi="Arial" w:cs="Arial"/>
          <w:sz w:val="20"/>
          <w:lang w:val="en-AU"/>
        </w:rPr>
        <w:t xml:space="preserve"> listed </w:t>
      </w:r>
      <w:r>
        <w:rPr>
          <w:rFonts w:ascii="Arial" w:hAnsi="Arial" w:cs="Arial"/>
          <w:sz w:val="20"/>
          <w:lang w:val="en-AU"/>
        </w:rPr>
        <w:t xml:space="preserve">in </w:t>
      </w:r>
      <w:r w:rsidR="000B28B2">
        <w:rPr>
          <w:rFonts w:ascii="Arial" w:hAnsi="Arial" w:cs="Arial"/>
          <w:sz w:val="20"/>
          <w:lang w:val="en-AU"/>
        </w:rPr>
        <w:t xml:space="preserve">column two of </w:t>
      </w:r>
      <w:r>
        <w:rPr>
          <w:rFonts w:ascii="Arial" w:hAnsi="Arial" w:cs="Arial"/>
          <w:sz w:val="20"/>
          <w:lang w:val="en-AU"/>
        </w:rPr>
        <w:t>Schedule 2.</w:t>
      </w:r>
    </w:p>
    <w:p w14:paraId="52A3BE43" w14:textId="7A1A3C8D" w:rsidR="006B294F" w:rsidRPr="00596F53" w:rsidRDefault="006B294F" w:rsidP="006B294F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The note to section 6 explains that the licences specified in </w:t>
      </w:r>
      <w:r w:rsidR="001125DE">
        <w:rPr>
          <w:rFonts w:ascii="Arial" w:hAnsi="Arial" w:cs="Arial"/>
          <w:sz w:val="20"/>
          <w:lang w:val="en-AU"/>
        </w:rPr>
        <w:t>Schedule 2</w:t>
      </w:r>
      <w:r>
        <w:rPr>
          <w:rFonts w:ascii="Arial" w:hAnsi="Arial" w:cs="Arial"/>
          <w:sz w:val="20"/>
          <w:lang w:val="en-AU"/>
        </w:rPr>
        <w:t xml:space="preserve"> are described in the </w:t>
      </w:r>
      <w:proofErr w:type="spellStart"/>
      <w:r w:rsidRPr="003C38F4">
        <w:rPr>
          <w:rFonts w:ascii="Arial" w:hAnsi="Arial" w:cs="Arial"/>
          <w:i/>
          <w:sz w:val="20"/>
          <w:lang w:val="en-AU"/>
        </w:rPr>
        <w:t>Radiocommunications</w:t>
      </w:r>
      <w:proofErr w:type="spellEnd"/>
      <w:r w:rsidRPr="003C38F4">
        <w:rPr>
          <w:rFonts w:ascii="Arial" w:hAnsi="Arial" w:cs="Arial"/>
          <w:i/>
          <w:sz w:val="20"/>
          <w:lang w:val="en-AU"/>
        </w:rPr>
        <w:t xml:space="preserve"> (Interpretation) Determination 2014</w:t>
      </w:r>
      <w:r w:rsidR="003C38F4">
        <w:rPr>
          <w:rFonts w:ascii="Arial" w:hAnsi="Arial" w:cs="Arial"/>
          <w:sz w:val="20"/>
          <w:lang w:val="en-AU"/>
        </w:rPr>
        <w:t>.</w:t>
      </w:r>
    </w:p>
    <w:p w14:paraId="0C33A6C7" w14:textId="77777777" w:rsidR="00F038B8" w:rsidRPr="006773A9" w:rsidRDefault="00F038B8" w:rsidP="00F038B8">
      <w:pPr>
        <w:spacing w:before="80" w:after="120" w:line="360" w:lineRule="auto"/>
        <w:rPr>
          <w:rFonts w:ascii="Arial" w:hAnsi="Arial" w:cs="Arial"/>
          <w:b/>
          <w:color w:val="262626" w:themeColor="text1" w:themeTint="D9"/>
        </w:rPr>
      </w:pPr>
      <w:r w:rsidRPr="006773A9">
        <w:rPr>
          <w:rFonts w:ascii="Arial" w:hAnsi="Arial" w:cs="Arial"/>
          <w:b/>
          <w:color w:val="262626" w:themeColor="text1" w:themeTint="D9"/>
        </w:rPr>
        <w:t xml:space="preserve">Schedules of the </w:t>
      </w:r>
      <w:r>
        <w:rPr>
          <w:rFonts w:ascii="Arial" w:hAnsi="Arial" w:cs="Arial"/>
          <w:b/>
          <w:color w:val="262626" w:themeColor="text1" w:themeTint="D9"/>
        </w:rPr>
        <w:t>Determination</w:t>
      </w:r>
    </w:p>
    <w:p w14:paraId="3491D45F" w14:textId="17649B41" w:rsidR="00F038B8" w:rsidRDefault="00F038B8" w:rsidP="00F038B8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492327">
        <w:rPr>
          <w:rFonts w:ascii="Arial" w:hAnsi="Arial" w:cs="Arial"/>
          <w:b/>
          <w:color w:val="262626" w:themeColor="text1" w:themeTint="D9"/>
          <w:sz w:val="20"/>
        </w:rPr>
        <w:t>Schedule 1</w:t>
      </w:r>
      <w:r w:rsidR="004E6BDC">
        <w:rPr>
          <w:rFonts w:ascii="Arial" w:hAnsi="Arial" w:cs="Arial"/>
          <w:b/>
          <w:color w:val="262626" w:themeColor="text1" w:themeTint="D9"/>
          <w:sz w:val="20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0"/>
        </w:rPr>
        <w:t xml:space="preserve">– </w:t>
      </w:r>
      <w:r w:rsidR="003B6A75">
        <w:rPr>
          <w:rFonts w:ascii="Arial" w:hAnsi="Arial" w:cs="Arial"/>
          <w:b/>
          <w:color w:val="262626" w:themeColor="text1" w:themeTint="D9"/>
          <w:sz w:val="20"/>
        </w:rPr>
        <w:t>Transmitter licences</w:t>
      </w:r>
    </w:p>
    <w:p w14:paraId="2D613025" w14:textId="1E929355" w:rsidR="00F038B8" w:rsidRDefault="004E6BDC" w:rsidP="00F038B8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Schedule 1 lists the types of transmitter licence the ACMA may issue.</w:t>
      </w:r>
    </w:p>
    <w:p w14:paraId="57F9C5A2" w14:textId="09A4C1E4" w:rsidR="00F038B8" w:rsidRDefault="00F038B8" w:rsidP="00F038B8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492327">
        <w:rPr>
          <w:rFonts w:ascii="Arial" w:hAnsi="Arial" w:cs="Arial"/>
          <w:b/>
          <w:color w:val="262626" w:themeColor="text1" w:themeTint="D9"/>
          <w:sz w:val="20"/>
        </w:rPr>
        <w:t xml:space="preserve">Schedule </w:t>
      </w:r>
      <w:r>
        <w:rPr>
          <w:rFonts w:ascii="Arial" w:hAnsi="Arial" w:cs="Arial"/>
          <w:b/>
          <w:color w:val="262626" w:themeColor="text1" w:themeTint="D9"/>
          <w:sz w:val="20"/>
        </w:rPr>
        <w:t>2</w:t>
      </w:r>
      <w:r w:rsidR="004E6BDC">
        <w:rPr>
          <w:rFonts w:ascii="Arial" w:hAnsi="Arial" w:cs="Arial"/>
          <w:b/>
          <w:color w:val="262626" w:themeColor="text1" w:themeTint="D9"/>
          <w:sz w:val="20"/>
        </w:rPr>
        <w:t xml:space="preserve"> </w:t>
      </w:r>
      <w:r>
        <w:rPr>
          <w:rFonts w:ascii="Arial" w:hAnsi="Arial" w:cs="Arial"/>
          <w:b/>
          <w:color w:val="262626" w:themeColor="text1" w:themeTint="D9"/>
          <w:sz w:val="20"/>
        </w:rPr>
        <w:t xml:space="preserve">– </w:t>
      </w:r>
      <w:r w:rsidR="003B6A75">
        <w:rPr>
          <w:rFonts w:ascii="Arial" w:hAnsi="Arial" w:cs="Arial"/>
          <w:b/>
          <w:color w:val="262626" w:themeColor="text1" w:themeTint="D9"/>
          <w:sz w:val="20"/>
        </w:rPr>
        <w:t>Receiver licences</w:t>
      </w:r>
    </w:p>
    <w:p w14:paraId="0480CEB1" w14:textId="673AFE0A" w:rsidR="00F038B8" w:rsidRDefault="004E6BDC" w:rsidP="004E6BD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Schedule 2 lists the types of receiver licence the ACMA may issue.</w:t>
      </w:r>
    </w:p>
    <w:p w14:paraId="59ACF06F" w14:textId="77777777" w:rsidR="00914D5C" w:rsidRDefault="00914D5C" w:rsidP="00914D5C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5A5476">
        <w:rPr>
          <w:rFonts w:ascii="Arial" w:hAnsi="Arial" w:cs="Arial"/>
          <w:b/>
          <w:sz w:val="22"/>
          <w:szCs w:val="22"/>
          <w:lang w:val="en-AU"/>
        </w:rPr>
        <w:lastRenderedPageBreak/>
        <w:t>ATTACHMENT B</w:t>
      </w:r>
    </w:p>
    <w:p w14:paraId="5A90A56B" w14:textId="77777777" w:rsidR="00914D5C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7A26E491" w14:textId="77777777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Statement of Compatibility with Human Rights</w:t>
      </w:r>
    </w:p>
    <w:p w14:paraId="411B81B1" w14:textId="77777777" w:rsidR="00914D5C" w:rsidRPr="009E6BC6" w:rsidRDefault="00914D5C" w:rsidP="00914D5C">
      <w:pPr>
        <w:spacing w:line="360" w:lineRule="auto"/>
        <w:jc w:val="center"/>
        <w:rPr>
          <w:rFonts w:ascii="Arial" w:hAnsi="Arial" w:cs="Arial"/>
          <w:sz w:val="20"/>
          <w:lang w:val="en-AU"/>
        </w:rPr>
      </w:pPr>
      <w:r w:rsidRPr="009E6BC6">
        <w:rPr>
          <w:rFonts w:ascii="Arial" w:hAnsi="Arial" w:cs="Arial"/>
          <w:sz w:val="20"/>
          <w:lang w:val="en-AU"/>
        </w:rPr>
        <w:t xml:space="preserve">Prepared in accordance with Part 3 of the </w:t>
      </w:r>
      <w:r w:rsidRPr="009E6BC6">
        <w:rPr>
          <w:rFonts w:ascii="Arial" w:hAnsi="Arial" w:cs="Arial"/>
          <w:i/>
          <w:sz w:val="20"/>
          <w:lang w:val="en-AU"/>
        </w:rPr>
        <w:t>Human Rights (Parliamentary Scrutiny) Act 2011</w:t>
      </w:r>
    </w:p>
    <w:p w14:paraId="574B363F" w14:textId="77777777" w:rsidR="00914D5C" w:rsidRPr="005A5476" w:rsidRDefault="00914D5C" w:rsidP="00914D5C">
      <w:pPr>
        <w:rPr>
          <w:rFonts w:ascii="Arial" w:hAnsi="Arial" w:cs="Arial"/>
          <w:i/>
          <w:sz w:val="22"/>
          <w:szCs w:val="22"/>
        </w:rPr>
      </w:pPr>
    </w:p>
    <w:p w14:paraId="7B6CEBA5" w14:textId="77777777" w:rsidR="00914D5C" w:rsidRPr="00113113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1C991433" w14:textId="12319A18" w:rsidR="00914D5C" w:rsidRPr="00211E35" w:rsidRDefault="003913E5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proofErr w:type="spellStart"/>
      <w:r w:rsidRPr="003913E5">
        <w:rPr>
          <w:rFonts w:ascii="Arial" w:hAnsi="Arial" w:cs="Arial"/>
          <w:b/>
          <w:sz w:val="22"/>
          <w:szCs w:val="22"/>
          <w:lang w:val="en-AU"/>
        </w:rPr>
        <w:t>Radiocommunications</w:t>
      </w:r>
      <w:proofErr w:type="spellEnd"/>
      <w:r w:rsidRPr="003913E5">
        <w:rPr>
          <w:rFonts w:ascii="Arial" w:hAnsi="Arial" w:cs="Arial"/>
          <w:b/>
          <w:sz w:val="22"/>
          <w:szCs w:val="22"/>
          <w:lang w:val="en-AU"/>
        </w:rPr>
        <w:t xml:space="preserve"> (Specified </w:t>
      </w:r>
      <w:proofErr w:type="spellStart"/>
      <w:r w:rsidRPr="003913E5">
        <w:rPr>
          <w:rFonts w:ascii="Arial" w:hAnsi="Arial" w:cs="Arial"/>
          <w:b/>
          <w:sz w:val="22"/>
          <w:szCs w:val="22"/>
          <w:lang w:val="en-AU"/>
        </w:rPr>
        <w:t>Radiocommunications</w:t>
      </w:r>
      <w:proofErr w:type="spellEnd"/>
      <w:r w:rsidRPr="003913E5">
        <w:rPr>
          <w:rFonts w:ascii="Arial" w:hAnsi="Arial" w:cs="Arial"/>
          <w:b/>
          <w:sz w:val="22"/>
          <w:szCs w:val="22"/>
          <w:lang w:val="en-AU"/>
        </w:rPr>
        <w:t xml:space="preserve"> Receivers </w:t>
      </w:r>
      <w:r>
        <w:rPr>
          <w:rFonts w:ascii="Arial" w:hAnsi="Arial" w:cs="Arial"/>
          <w:b/>
          <w:sz w:val="22"/>
          <w:szCs w:val="22"/>
          <w:lang w:val="en-AU"/>
        </w:rPr>
        <w:t>a</w:t>
      </w:r>
      <w:r w:rsidRPr="003913E5">
        <w:rPr>
          <w:rFonts w:ascii="Arial" w:hAnsi="Arial" w:cs="Arial"/>
          <w:b/>
          <w:sz w:val="22"/>
          <w:szCs w:val="22"/>
          <w:lang w:val="en-AU"/>
        </w:rPr>
        <w:t xml:space="preserve">nd Types </w:t>
      </w:r>
      <w:r>
        <w:rPr>
          <w:rFonts w:ascii="Arial" w:hAnsi="Arial" w:cs="Arial"/>
          <w:b/>
          <w:sz w:val="22"/>
          <w:szCs w:val="22"/>
          <w:lang w:val="en-AU"/>
        </w:rPr>
        <w:t>o</w:t>
      </w:r>
      <w:r w:rsidRPr="003913E5">
        <w:rPr>
          <w:rFonts w:ascii="Arial" w:hAnsi="Arial" w:cs="Arial"/>
          <w:b/>
          <w:sz w:val="22"/>
          <w:szCs w:val="22"/>
          <w:lang w:val="en-AU"/>
        </w:rPr>
        <w:t xml:space="preserve">f Transmitter Licences </w:t>
      </w:r>
      <w:r>
        <w:rPr>
          <w:rFonts w:ascii="Arial" w:hAnsi="Arial" w:cs="Arial"/>
          <w:b/>
          <w:sz w:val="22"/>
          <w:szCs w:val="22"/>
          <w:lang w:val="en-AU"/>
        </w:rPr>
        <w:t>a</w:t>
      </w:r>
      <w:r w:rsidRPr="003913E5">
        <w:rPr>
          <w:rFonts w:ascii="Arial" w:hAnsi="Arial" w:cs="Arial"/>
          <w:b/>
          <w:sz w:val="22"/>
          <w:szCs w:val="22"/>
          <w:lang w:val="en-AU"/>
        </w:rPr>
        <w:t>nd Receiver Licences) Determination 2014</w:t>
      </w:r>
    </w:p>
    <w:p w14:paraId="37A8BAB9" w14:textId="77777777" w:rsidR="00914D5C" w:rsidRPr="00113113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5F102F03" w14:textId="77777777" w:rsidR="00914D5C" w:rsidRPr="005A5476" w:rsidRDefault="00914D5C" w:rsidP="00914D5C">
      <w:pPr>
        <w:rPr>
          <w:rFonts w:ascii="Arial" w:hAnsi="Arial" w:cs="Arial"/>
          <w:b/>
          <w:sz w:val="22"/>
          <w:szCs w:val="22"/>
        </w:rPr>
      </w:pPr>
    </w:p>
    <w:p w14:paraId="0AE85DD6" w14:textId="77777777" w:rsidR="00914D5C" w:rsidRPr="009E6BC6" w:rsidRDefault="00914D5C" w:rsidP="00914D5C">
      <w:pPr>
        <w:spacing w:line="360" w:lineRule="auto"/>
        <w:rPr>
          <w:rFonts w:ascii="Arial" w:hAnsi="Arial" w:cs="Arial"/>
          <w:sz w:val="20"/>
        </w:rPr>
      </w:pPr>
      <w:r w:rsidRPr="009E6BC6">
        <w:rPr>
          <w:rFonts w:ascii="Arial" w:hAnsi="Arial" w:cs="Arial"/>
          <w:sz w:val="20"/>
        </w:rPr>
        <w:t xml:space="preserve">This legislative instrument is compatible with the human rights and freedoms recognised or declared in the international instruments listed in section 3 of the </w:t>
      </w:r>
      <w:r w:rsidRPr="009E6BC6">
        <w:rPr>
          <w:rFonts w:ascii="Arial" w:hAnsi="Arial" w:cs="Arial"/>
          <w:i/>
          <w:sz w:val="20"/>
        </w:rPr>
        <w:t>Human Rights (Parliamentary Scrutiny) Act 2011</w:t>
      </w:r>
      <w:r w:rsidRPr="009E6BC6">
        <w:rPr>
          <w:rFonts w:ascii="Arial" w:hAnsi="Arial" w:cs="Arial"/>
          <w:sz w:val="20"/>
        </w:rPr>
        <w:t>.</w:t>
      </w:r>
    </w:p>
    <w:p w14:paraId="0F6482C2" w14:textId="77777777" w:rsidR="00914D5C" w:rsidRPr="005A5476" w:rsidRDefault="00914D5C" w:rsidP="00914D5C">
      <w:pPr>
        <w:spacing w:line="360" w:lineRule="auto"/>
        <w:rPr>
          <w:rFonts w:ascii="Arial" w:hAnsi="Arial" w:cs="Arial"/>
          <w:sz w:val="22"/>
          <w:szCs w:val="22"/>
        </w:rPr>
      </w:pPr>
    </w:p>
    <w:p w14:paraId="1DF8FFCE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Overview of the Legislative Instrument</w:t>
      </w:r>
    </w:p>
    <w:p w14:paraId="747A4591" w14:textId="678C3854" w:rsidR="00914D5C" w:rsidRDefault="00914D5C" w:rsidP="00914D5C">
      <w:pPr>
        <w:spacing w:line="360" w:lineRule="auto"/>
        <w:outlineLvl w:val="0"/>
        <w:rPr>
          <w:rFonts w:ascii="Arial" w:hAnsi="Arial" w:cs="Arial"/>
          <w:sz w:val="22"/>
          <w:szCs w:val="22"/>
          <w:lang w:val="en-AU"/>
        </w:rPr>
      </w:pPr>
      <w:r w:rsidRPr="008E6EB9">
        <w:rPr>
          <w:rFonts w:ascii="Arial" w:hAnsi="Arial" w:cs="Arial"/>
          <w:sz w:val="20"/>
        </w:rPr>
        <w:t>The</w:t>
      </w:r>
      <w:r w:rsidR="003913E5" w:rsidRPr="003913E5">
        <w:t xml:space="preserve"> </w:t>
      </w:r>
      <w:proofErr w:type="spellStart"/>
      <w:r w:rsidR="003913E5" w:rsidRPr="003913E5">
        <w:rPr>
          <w:rFonts w:ascii="Arial" w:hAnsi="Arial" w:cs="Arial"/>
          <w:i/>
          <w:sz w:val="20"/>
        </w:rPr>
        <w:t>Radiocommunications</w:t>
      </w:r>
      <w:proofErr w:type="spellEnd"/>
      <w:r w:rsidR="003913E5" w:rsidRPr="003913E5">
        <w:rPr>
          <w:rFonts w:ascii="Arial" w:hAnsi="Arial" w:cs="Arial"/>
          <w:i/>
          <w:sz w:val="20"/>
        </w:rPr>
        <w:t xml:space="preserve"> (Specified </w:t>
      </w:r>
      <w:proofErr w:type="spellStart"/>
      <w:r w:rsidR="003913E5" w:rsidRPr="003913E5">
        <w:rPr>
          <w:rFonts w:ascii="Arial" w:hAnsi="Arial" w:cs="Arial"/>
          <w:i/>
          <w:sz w:val="20"/>
        </w:rPr>
        <w:t>Radiocommunications</w:t>
      </w:r>
      <w:proofErr w:type="spellEnd"/>
      <w:r w:rsidR="003913E5" w:rsidRPr="003913E5">
        <w:rPr>
          <w:rFonts w:ascii="Arial" w:hAnsi="Arial" w:cs="Arial"/>
          <w:i/>
          <w:sz w:val="20"/>
        </w:rPr>
        <w:t xml:space="preserve"> Receivers and Types of Transmitter Licences and Receiver Licences) Determination 2014</w:t>
      </w:r>
      <w:r w:rsidRPr="008E6EB9">
        <w:rPr>
          <w:rFonts w:ascii="Arial" w:hAnsi="Arial" w:cs="Arial"/>
          <w:sz w:val="20"/>
        </w:rPr>
        <w:t xml:space="preserve"> (the </w:t>
      </w:r>
      <w:r>
        <w:rPr>
          <w:rFonts w:ascii="Arial" w:hAnsi="Arial" w:cs="Arial"/>
          <w:sz w:val="20"/>
        </w:rPr>
        <w:t>Determination</w:t>
      </w:r>
      <w:r w:rsidRPr="008E6EB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revokes</w:t>
      </w:r>
      <w:r w:rsidRPr="008E6E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replaces </w:t>
      </w:r>
      <w:r w:rsidR="006971C9" w:rsidRPr="006B294F">
        <w:rPr>
          <w:rFonts w:ascii="Arial" w:hAnsi="Arial" w:cs="Arial"/>
          <w:i/>
          <w:sz w:val="20"/>
        </w:rPr>
        <w:t xml:space="preserve">the </w:t>
      </w:r>
      <w:proofErr w:type="spellStart"/>
      <w:r w:rsidR="006971C9" w:rsidRPr="006B294F">
        <w:rPr>
          <w:rFonts w:ascii="Arial" w:hAnsi="Arial" w:cs="Arial"/>
          <w:i/>
          <w:sz w:val="20"/>
        </w:rPr>
        <w:t>Radiocommunications</w:t>
      </w:r>
      <w:proofErr w:type="spellEnd"/>
      <w:r w:rsidR="006971C9" w:rsidRPr="006B294F">
        <w:rPr>
          <w:rFonts w:ascii="Arial" w:hAnsi="Arial" w:cs="Arial"/>
          <w:i/>
          <w:sz w:val="20"/>
        </w:rPr>
        <w:t xml:space="preserve"> (</w:t>
      </w:r>
      <w:proofErr w:type="spellStart"/>
      <w:r w:rsidR="006971C9" w:rsidRPr="006B294F">
        <w:rPr>
          <w:rFonts w:ascii="Arial" w:hAnsi="Arial" w:cs="Arial"/>
          <w:i/>
          <w:sz w:val="20"/>
        </w:rPr>
        <w:t>Radiocommunications</w:t>
      </w:r>
      <w:proofErr w:type="spellEnd"/>
      <w:r w:rsidR="006971C9" w:rsidRPr="006B294F">
        <w:rPr>
          <w:rFonts w:ascii="Arial" w:hAnsi="Arial" w:cs="Arial"/>
          <w:i/>
          <w:sz w:val="20"/>
        </w:rPr>
        <w:t xml:space="preserve"> Receivers) Determination 2000 (No. 2) </w:t>
      </w:r>
      <w:r w:rsidR="006971C9" w:rsidRPr="006971C9">
        <w:rPr>
          <w:rFonts w:ascii="Arial" w:hAnsi="Arial" w:cs="Arial"/>
          <w:sz w:val="20"/>
        </w:rPr>
        <w:t xml:space="preserve">and the </w:t>
      </w:r>
      <w:proofErr w:type="spellStart"/>
      <w:r w:rsidR="006971C9" w:rsidRPr="006B294F">
        <w:rPr>
          <w:rFonts w:ascii="Arial" w:hAnsi="Arial" w:cs="Arial"/>
          <w:i/>
          <w:sz w:val="20"/>
        </w:rPr>
        <w:t>Radiocommunications</w:t>
      </w:r>
      <w:proofErr w:type="spellEnd"/>
      <w:r w:rsidR="006971C9" w:rsidRPr="006B294F">
        <w:rPr>
          <w:rFonts w:ascii="Arial" w:hAnsi="Arial" w:cs="Arial"/>
          <w:i/>
          <w:sz w:val="20"/>
        </w:rPr>
        <w:t xml:space="preserve"> (Transmitter and Receiver Licences) Determination</w:t>
      </w:r>
      <w:r w:rsidR="006971C9" w:rsidRPr="006971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without making any significant changes to the regulatory arrangements created by </w:t>
      </w:r>
      <w:r w:rsidR="00FE3B83">
        <w:rPr>
          <w:rFonts w:ascii="Arial" w:hAnsi="Arial" w:cs="Arial"/>
          <w:sz w:val="20"/>
        </w:rPr>
        <w:t>those</w:t>
      </w:r>
      <w:r>
        <w:rPr>
          <w:rFonts w:ascii="Arial" w:hAnsi="Arial" w:cs="Arial"/>
          <w:sz w:val="20"/>
        </w:rPr>
        <w:t xml:space="preserve"> instrument</w:t>
      </w:r>
      <w:r w:rsidR="00DE6EC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14:paraId="11CBD3AC" w14:textId="77777777" w:rsidR="00914D5C" w:rsidRDefault="00914D5C" w:rsidP="00914D5C">
      <w:pPr>
        <w:spacing w:line="360" w:lineRule="auto"/>
        <w:rPr>
          <w:rFonts w:ascii="Arial" w:hAnsi="Arial" w:cs="Arial"/>
          <w:sz w:val="20"/>
        </w:rPr>
      </w:pPr>
    </w:p>
    <w:p w14:paraId="53843B09" w14:textId="1F650D8A" w:rsidR="00914D5C" w:rsidRPr="00FE3B83" w:rsidRDefault="00914D5C" w:rsidP="00FE3B83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 w:rsidRPr="00B2688C">
        <w:rPr>
          <w:rFonts w:ascii="Arial" w:hAnsi="Arial" w:cs="Arial"/>
          <w:sz w:val="20"/>
        </w:rPr>
        <w:t xml:space="preserve">The Determination </w:t>
      </w:r>
      <w:r w:rsidR="00FE3B83">
        <w:rPr>
          <w:rFonts w:ascii="Arial" w:hAnsi="Arial" w:cs="Arial"/>
          <w:sz w:val="20"/>
        </w:rPr>
        <w:t xml:space="preserve">specifies the </w:t>
      </w:r>
      <w:r w:rsidR="00FE3B83" w:rsidRPr="00184CFB">
        <w:rPr>
          <w:rFonts w:ascii="Arial" w:hAnsi="Arial" w:cs="Arial"/>
          <w:sz w:val="20"/>
        </w:rPr>
        <w:t xml:space="preserve">kinds of </w:t>
      </w:r>
      <w:proofErr w:type="spellStart"/>
      <w:r w:rsidR="00FE3B83" w:rsidRPr="00184CFB">
        <w:rPr>
          <w:rFonts w:ascii="Arial" w:hAnsi="Arial" w:cs="Arial"/>
          <w:sz w:val="20"/>
        </w:rPr>
        <w:t>radiocommunications</w:t>
      </w:r>
      <w:proofErr w:type="spellEnd"/>
      <w:r w:rsidR="00FE3B83" w:rsidRPr="00184CFB">
        <w:rPr>
          <w:rFonts w:ascii="Arial" w:hAnsi="Arial" w:cs="Arial"/>
          <w:sz w:val="20"/>
        </w:rPr>
        <w:t xml:space="preserve"> receiv</w:t>
      </w:r>
      <w:r w:rsidR="00FE3B83">
        <w:rPr>
          <w:rFonts w:ascii="Arial" w:hAnsi="Arial" w:cs="Arial"/>
          <w:sz w:val="20"/>
        </w:rPr>
        <w:t>ers</w:t>
      </w:r>
      <w:r w:rsidR="001125DE">
        <w:rPr>
          <w:rFonts w:ascii="Arial" w:hAnsi="Arial" w:cs="Arial"/>
          <w:sz w:val="20"/>
        </w:rPr>
        <w:t xml:space="preserve"> that are </w:t>
      </w:r>
      <w:proofErr w:type="spellStart"/>
      <w:r w:rsidR="001125DE">
        <w:rPr>
          <w:rFonts w:ascii="Arial" w:hAnsi="Arial" w:cs="Arial"/>
          <w:sz w:val="20"/>
        </w:rPr>
        <w:t>radiocommunications</w:t>
      </w:r>
      <w:proofErr w:type="spellEnd"/>
      <w:r w:rsidR="001125DE">
        <w:rPr>
          <w:rFonts w:ascii="Arial" w:hAnsi="Arial" w:cs="Arial"/>
          <w:sz w:val="20"/>
        </w:rPr>
        <w:t xml:space="preserve"> devices for the purposes of the application of the </w:t>
      </w:r>
      <w:proofErr w:type="spellStart"/>
      <w:r w:rsidR="001125DE">
        <w:rPr>
          <w:rFonts w:ascii="Arial" w:hAnsi="Arial" w:cs="Arial"/>
          <w:i/>
          <w:sz w:val="20"/>
        </w:rPr>
        <w:t>Radiocommunications</w:t>
      </w:r>
      <w:proofErr w:type="spellEnd"/>
      <w:r w:rsidR="001125DE">
        <w:rPr>
          <w:rFonts w:ascii="Arial" w:hAnsi="Arial" w:cs="Arial"/>
          <w:i/>
          <w:sz w:val="20"/>
        </w:rPr>
        <w:t xml:space="preserve"> Act 1992 </w:t>
      </w:r>
      <w:r w:rsidR="001125DE">
        <w:rPr>
          <w:rFonts w:ascii="Arial" w:hAnsi="Arial" w:cs="Arial"/>
          <w:sz w:val="20"/>
        </w:rPr>
        <w:t>(the Act)</w:t>
      </w:r>
      <w:r w:rsidR="00FE3B83">
        <w:rPr>
          <w:rFonts w:ascii="Arial" w:hAnsi="Arial" w:cs="Arial"/>
          <w:sz w:val="20"/>
        </w:rPr>
        <w:t>. It also specifies the</w:t>
      </w:r>
      <w:r w:rsidR="00FE3B83">
        <w:rPr>
          <w:rFonts w:ascii="Arial" w:hAnsi="Arial" w:cs="Arial"/>
          <w:sz w:val="20"/>
          <w:lang w:val="en-AU"/>
        </w:rPr>
        <w:t xml:space="preserve"> types of receiver or transmitter licence the ACMA may issue</w:t>
      </w:r>
      <w:r w:rsidR="001125DE">
        <w:rPr>
          <w:rFonts w:ascii="Arial" w:hAnsi="Arial" w:cs="Arial"/>
          <w:sz w:val="20"/>
          <w:lang w:val="en-AU"/>
        </w:rPr>
        <w:t xml:space="preserve"> under the Act</w:t>
      </w:r>
      <w:r w:rsidR="00FE3B83">
        <w:rPr>
          <w:rFonts w:ascii="Arial" w:hAnsi="Arial" w:cs="Arial"/>
          <w:sz w:val="20"/>
          <w:lang w:val="en-AU"/>
        </w:rPr>
        <w:t>.</w:t>
      </w:r>
    </w:p>
    <w:p w14:paraId="12D9A209" w14:textId="77777777" w:rsidR="00914D5C" w:rsidRPr="008E6EB9" w:rsidRDefault="00914D5C" w:rsidP="00914D5C">
      <w:pPr>
        <w:spacing w:line="360" w:lineRule="auto"/>
        <w:rPr>
          <w:rFonts w:ascii="Arial" w:hAnsi="Arial" w:cs="Arial"/>
          <w:sz w:val="20"/>
        </w:rPr>
      </w:pPr>
    </w:p>
    <w:p w14:paraId="4229FDF9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Human Rights Implications</w:t>
      </w:r>
    </w:p>
    <w:p w14:paraId="600116F7" w14:textId="77777777" w:rsidR="00914D5C" w:rsidRPr="009E6BC6" w:rsidRDefault="00914D5C" w:rsidP="00914D5C">
      <w:pPr>
        <w:spacing w:line="360" w:lineRule="auto"/>
        <w:outlineLvl w:val="0"/>
        <w:rPr>
          <w:rFonts w:ascii="Arial" w:hAnsi="Arial" w:cs="Arial"/>
          <w:sz w:val="20"/>
        </w:rPr>
      </w:pPr>
      <w:r w:rsidRPr="009E6BC6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Determination </w:t>
      </w:r>
      <w:r w:rsidRPr="009E6BC6">
        <w:rPr>
          <w:rFonts w:ascii="Arial" w:hAnsi="Arial" w:cs="Arial"/>
          <w:sz w:val="20"/>
        </w:rPr>
        <w:t>does not engage any of the applicable rights or freedoms.</w:t>
      </w:r>
    </w:p>
    <w:p w14:paraId="24DAF5F2" w14:textId="77777777" w:rsidR="00914D5C" w:rsidRPr="005A5476" w:rsidRDefault="00914D5C" w:rsidP="00914D5C">
      <w:pPr>
        <w:spacing w:line="360" w:lineRule="auto"/>
        <w:rPr>
          <w:rFonts w:ascii="Arial" w:hAnsi="Arial" w:cs="Arial"/>
          <w:sz w:val="22"/>
          <w:szCs w:val="22"/>
        </w:rPr>
      </w:pPr>
    </w:p>
    <w:p w14:paraId="7F1A142F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Conclusion</w:t>
      </w:r>
    </w:p>
    <w:p w14:paraId="26855606" w14:textId="77777777" w:rsidR="00914D5C" w:rsidRPr="009E6BC6" w:rsidRDefault="00914D5C" w:rsidP="00914D5C">
      <w:pPr>
        <w:spacing w:line="360" w:lineRule="auto"/>
        <w:outlineLvl w:val="0"/>
        <w:rPr>
          <w:rFonts w:ascii="Arial" w:hAnsi="Arial" w:cs="Arial"/>
          <w:b/>
          <w:sz w:val="20"/>
        </w:rPr>
      </w:pPr>
      <w:r w:rsidRPr="009E6BC6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Determination</w:t>
      </w:r>
      <w:r w:rsidRPr="009E6BC6">
        <w:rPr>
          <w:rFonts w:ascii="Arial" w:hAnsi="Arial" w:cs="Arial"/>
          <w:sz w:val="20"/>
        </w:rPr>
        <w:t xml:space="preserve"> is compatible with human rights as it does not raise any human rights issues.</w:t>
      </w:r>
    </w:p>
    <w:p w14:paraId="6441DCE6" w14:textId="77777777" w:rsidR="00914D5C" w:rsidRPr="005A5476" w:rsidRDefault="00914D5C" w:rsidP="00914D5C">
      <w:pPr>
        <w:spacing w:line="360" w:lineRule="auto"/>
        <w:rPr>
          <w:rFonts w:ascii="Arial" w:hAnsi="Arial" w:cs="Arial"/>
          <w:sz w:val="22"/>
          <w:szCs w:val="22"/>
        </w:rPr>
      </w:pPr>
    </w:p>
    <w:p w14:paraId="4DC450A6" w14:textId="77777777" w:rsidR="00914D5C" w:rsidRPr="008E6EB9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8E6EB9">
        <w:rPr>
          <w:rFonts w:ascii="Arial" w:hAnsi="Arial" w:cs="Arial"/>
          <w:b/>
          <w:sz w:val="22"/>
          <w:szCs w:val="22"/>
        </w:rPr>
        <w:t>Australian Communications and Media Authority</w:t>
      </w:r>
    </w:p>
    <w:p w14:paraId="7F56DC1F" w14:textId="77777777" w:rsidR="00A61538" w:rsidRPr="00914D5C" w:rsidRDefault="00A61538" w:rsidP="00914D5C"/>
    <w:sectPr w:rsidR="00A61538" w:rsidRPr="00914D5C" w:rsidSect="008C193D">
      <w:footerReference w:type="default" r:id="rId14"/>
      <w:pgSz w:w="11907" w:h="16840" w:code="9"/>
      <w:pgMar w:top="1440" w:right="164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A2DA5" w14:textId="77777777" w:rsidR="00696174" w:rsidRDefault="00696174">
      <w:r>
        <w:separator/>
      </w:r>
    </w:p>
  </w:endnote>
  <w:endnote w:type="continuationSeparator" w:id="0">
    <w:p w14:paraId="68FF7194" w14:textId="77777777" w:rsidR="00696174" w:rsidRDefault="006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29015" w14:textId="77777777" w:rsidR="001F061F" w:rsidRDefault="001F061F">
    <w:pPr>
      <w:pStyle w:val="Footer"/>
      <w:rPr>
        <w:rStyle w:val="PageNumber"/>
        <w:sz w:val="16"/>
        <w:szCs w:val="16"/>
      </w:rPr>
    </w:pPr>
    <w:r w:rsidRPr="00E363A4">
      <w:rPr>
        <w:sz w:val="16"/>
        <w:szCs w:val="16"/>
        <w:lang w:val="en-AU"/>
      </w:rPr>
      <w:tab/>
    </w:r>
    <w:r w:rsidRPr="00E363A4">
      <w:rPr>
        <w:sz w:val="16"/>
        <w:szCs w:val="16"/>
        <w:lang w:val="en-AU"/>
      </w:rPr>
      <w:tab/>
      <w:t xml:space="preserve">Page </w:t>
    </w:r>
    <w:r w:rsidRPr="00E363A4">
      <w:rPr>
        <w:rStyle w:val="PageNumber"/>
        <w:sz w:val="16"/>
        <w:szCs w:val="16"/>
      </w:rPr>
      <w:fldChar w:fldCharType="begin"/>
    </w:r>
    <w:r w:rsidRPr="00E363A4">
      <w:rPr>
        <w:rStyle w:val="PageNumber"/>
        <w:sz w:val="16"/>
        <w:szCs w:val="16"/>
      </w:rPr>
      <w:instrText xml:space="preserve"> PAGE </w:instrText>
    </w:r>
    <w:r w:rsidRPr="00E363A4">
      <w:rPr>
        <w:rStyle w:val="PageNumber"/>
        <w:sz w:val="16"/>
        <w:szCs w:val="16"/>
      </w:rPr>
      <w:fldChar w:fldCharType="separate"/>
    </w:r>
    <w:r w:rsidR="00685DCF">
      <w:rPr>
        <w:rStyle w:val="PageNumber"/>
        <w:noProof/>
        <w:sz w:val="16"/>
        <w:szCs w:val="16"/>
      </w:rPr>
      <w:t>4</w:t>
    </w:r>
    <w:r w:rsidRPr="00E363A4">
      <w:rPr>
        <w:rStyle w:val="PageNumber"/>
        <w:sz w:val="16"/>
        <w:szCs w:val="16"/>
      </w:rPr>
      <w:fldChar w:fldCharType="end"/>
    </w:r>
    <w:r w:rsidRPr="00E363A4">
      <w:rPr>
        <w:rStyle w:val="PageNumber"/>
        <w:sz w:val="16"/>
        <w:szCs w:val="16"/>
      </w:rPr>
      <w:t xml:space="preserve"> of </w:t>
    </w:r>
    <w:r w:rsidRPr="00E363A4">
      <w:rPr>
        <w:rStyle w:val="PageNumber"/>
        <w:sz w:val="16"/>
        <w:szCs w:val="16"/>
      </w:rPr>
      <w:fldChar w:fldCharType="begin"/>
    </w:r>
    <w:r w:rsidRPr="00E363A4">
      <w:rPr>
        <w:rStyle w:val="PageNumber"/>
        <w:sz w:val="16"/>
        <w:szCs w:val="16"/>
      </w:rPr>
      <w:instrText xml:space="preserve"> NUMPAGES </w:instrText>
    </w:r>
    <w:r w:rsidRPr="00E363A4">
      <w:rPr>
        <w:rStyle w:val="PageNumber"/>
        <w:sz w:val="16"/>
        <w:szCs w:val="16"/>
      </w:rPr>
      <w:fldChar w:fldCharType="separate"/>
    </w:r>
    <w:r w:rsidR="00685DCF">
      <w:rPr>
        <w:rStyle w:val="PageNumber"/>
        <w:noProof/>
        <w:sz w:val="16"/>
        <w:szCs w:val="16"/>
      </w:rPr>
      <w:t>4</w:t>
    </w:r>
    <w:r w:rsidRPr="00E363A4">
      <w:rPr>
        <w:rStyle w:val="PageNumber"/>
        <w:sz w:val="16"/>
        <w:szCs w:val="16"/>
      </w:rPr>
      <w:fldChar w:fldCharType="end"/>
    </w:r>
  </w:p>
  <w:p w14:paraId="0E8E4ECC" w14:textId="77777777" w:rsidR="001F061F" w:rsidRPr="00E363A4" w:rsidRDefault="001F061F" w:rsidP="00E37E46">
    <w:pPr>
      <w:pStyle w:val="Footer"/>
      <w:jc w:val="right"/>
      <w:rPr>
        <w:sz w:val="16"/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DFEFD" w14:textId="77777777" w:rsidR="00696174" w:rsidRDefault="00696174">
      <w:r>
        <w:separator/>
      </w:r>
    </w:p>
  </w:footnote>
  <w:footnote w:type="continuationSeparator" w:id="0">
    <w:p w14:paraId="3B222C85" w14:textId="77777777" w:rsidR="00696174" w:rsidRDefault="0069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6AF"/>
    <w:multiLevelType w:val="hybridMultilevel"/>
    <w:tmpl w:val="9424D25C"/>
    <w:lvl w:ilvl="0" w:tplc="01EE7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D264EA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529BC"/>
    <w:multiLevelType w:val="hybridMultilevel"/>
    <w:tmpl w:val="8EACE15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610C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B45DD"/>
    <w:multiLevelType w:val="hybridMultilevel"/>
    <w:tmpl w:val="FE92CE0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C610C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42B66"/>
    <w:multiLevelType w:val="hybridMultilevel"/>
    <w:tmpl w:val="B43E625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264EA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E23B7B"/>
    <w:multiLevelType w:val="hybridMultilevel"/>
    <w:tmpl w:val="5628B10A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340601E0"/>
    <w:multiLevelType w:val="singleLevel"/>
    <w:tmpl w:val="8D466266"/>
    <w:lvl w:ilvl="0">
      <w:start w:val="1"/>
      <w:numFmt w:val="lowerLetter"/>
      <w:lvlText w:val="(%1)"/>
      <w:legacy w:legacy="1" w:legacySpace="0" w:legacyIndent="990"/>
      <w:lvlJc w:val="left"/>
      <w:rPr>
        <w:rFonts w:ascii="Times New Roman" w:hAnsi="Times New Roman" w:cs="Times New Roman" w:hint="default"/>
      </w:rPr>
    </w:lvl>
  </w:abstractNum>
  <w:abstractNum w:abstractNumId="6">
    <w:nsid w:val="3BEE54DC"/>
    <w:multiLevelType w:val="hybridMultilevel"/>
    <w:tmpl w:val="93349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37469"/>
    <w:multiLevelType w:val="hybridMultilevel"/>
    <w:tmpl w:val="83084772"/>
    <w:lvl w:ilvl="0" w:tplc="C610C9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61922"/>
    <w:multiLevelType w:val="hybridMultilevel"/>
    <w:tmpl w:val="AFC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97E9B"/>
    <w:multiLevelType w:val="hybridMultilevel"/>
    <w:tmpl w:val="A74EF7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5F6731"/>
    <w:multiLevelType w:val="hybridMultilevel"/>
    <w:tmpl w:val="0728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47030"/>
    <w:multiLevelType w:val="hybridMultilevel"/>
    <w:tmpl w:val="5192C25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2"/>
    <w:rsid w:val="0007317D"/>
    <w:rsid w:val="000B28B2"/>
    <w:rsid w:val="000B560D"/>
    <w:rsid w:val="000C097F"/>
    <w:rsid w:val="000E4985"/>
    <w:rsid w:val="000F291E"/>
    <w:rsid w:val="000F5A87"/>
    <w:rsid w:val="0010535C"/>
    <w:rsid w:val="001119EE"/>
    <w:rsid w:val="001125DE"/>
    <w:rsid w:val="00112BA1"/>
    <w:rsid w:val="00112D80"/>
    <w:rsid w:val="00131A68"/>
    <w:rsid w:val="0014406F"/>
    <w:rsid w:val="00155F36"/>
    <w:rsid w:val="00163740"/>
    <w:rsid w:val="00167B74"/>
    <w:rsid w:val="00184CFB"/>
    <w:rsid w:val="00197389"/>
    <w:rsid w:val="001A3FB0"/>
    <w:rsid w:val="001C731C"/>
    <w:rsid w:val="001D1E80"/>
    <w:rsid w:val="001E7F8C"/>
    <w:rsid w:val="001F061F"/>
    <w:rsid w:val="001F3599"/>
    <w:rsid w:val="001F4C47"/>
    <w:rsid w:val="0020657B"/>
    <w:rsid w:val="002125B9"/>
    <w:rsid w:val="00217B93"/>
    <w:rsid w:val="00220217"/>
    <w:rsid w:val="0022162E"/>
    <w:rsid w:val="00226EFF"/>
    <w:rsid w:val="00242F83"/>
    <w:rsid w:val="00251BF2"/>
    <w:rsid w:val="00267612"/>
    <w:rsid w:val="00270C0F"/>
    <w:rsid w:val="00276C0D"/>
    <w:rsid w:val="002910E7"/>
    <w:rsid w:val="002A154D"/>
    <w:rsid w:val="002B5A57"/>
    <w:rsid w:val="002B74FC"/>
    <w:rsid w:val="002E21AD"/>
    <w:rsid w:val="0030168C"/>
    <w:rsid w:val="00326B31"/>
    <w:rsid w:val="00337151"/>
    <w:rsid w:val="003722AD"/>
    <w:rsid w:val="00373233"/>
    <w:rsid w:val="003750B2"/>
    <w:rsid w:val="003819AF"/>
    <w:rsid w:val="0038730F"/>
    <w:rsid w:val="003913E5"/>
    <w:rsid w:val="003B11AA"/>
    <w:rsid w:val="003B41A1"/>
    <w:rsid w:val="003B6A75"/>
    <w:rsid w:val="003C38F4"/>
    <w:rsid w:val="003E47A2"/>
    <w:rsid w:val="00404140"/>
    <w:rsid w:val="00404B5B"/>
    <w:rsid w:val="00410016"/>
    <w:rsid w:val="004428C6"/>
    <w:rsid w:val="00454076"/>
    <w:rsid w:val="00472A26"/>
    <w:rsid w:val="00472E31"/>
    <w:rsid w:val="004B2CE1"/>
    <w:rsid w:val="004B3833"/>
    <w:rsid w:val="004B7FCA"/>
    <w:rsid w:val="004C7CCD"/>
    <w:rsid w:val="004D63E8"/>
    <w:rsid w:val="004E2FFA"/>
    <w:rsid w:val="004E6BDC"/>
    <w:rsid w:val="00512CE7"/>
    <w:rsid w:val="00513056"/>
    <w:rsid w:val="00527598"/>
    <w:rsid w:val="00530C80"/>
    <w:rsid w:val="0056287A"/>
    <w:rsid w:val="00590864"/>
    <w:rsid w:val="00596F53"/>
    <w:rsid w:val="005C4BF3"/>
    <w:rsid w:val="00613C40"/>
    <w:rsid w:val="006432C7"/>
    <w:rsid w:val="00646EC5"/>
    <w:rsid w:val="00671769"/>
    <w:rsid w:val="00685DCF"/>
    <w:rsid w:val="00696174"/>
    <w:rsid w:val="006971C9"/>
    <w:rsid w:val="006B294F"/>
    <w:rsid w:val="006D2B2E"/>
    <w:rsid w:val="006E17C2"/>
    <w:rsid w:val="006E6564"/>
    <w:rsid w:val="0070164B"/>
    <w:rsid w:val="0071474A"/>
    <w:rsid w:val="007315CC"/>
    <w:rsid w:val="007413C3"/>
    <w:rsid w:val="00742803"/>
    <w:rsid w:val="00752B4E"/>
    <w:rsid w:val="007676F7"/>
    <w:rsid w:val="0077575E"/>
    <w:rsid w:val="007A728A"/>
    <w:rsid w:val="007B0B61"/>
    <w:rsid w:val="007B23EF"/>
    <w:rsid w:val="007D3EAE"/>
    <w:rsid w:val="007D6B11"/>
    <w:rsid w:val="007E2252"/>
    <w:rsid w:val="007E4039"/>
    <w:rsid w:val="008000D8"/>
    <w:rsid w:val="008057F4"/>
    <w:rsid w:val="008060B1"/>
    <w:rsid w:val="00831B5F"/>
    <w:rsid w:val="0084501C"/>
    <w:rsid w:val="0084752A"/>
    <w:rsid w:val="00856F16"/>
    <w:rsid w:val="00861440"/>
    <w:rsid w:val="008645A1"/>
    <w:rsid w:val="0089379B"/>
    <w:rsid w:val="008A6D0C"/>
    <w:rsid w:val="008C193D"/>
    <w:rsid w:val="008D7F5F"/>
    <w:rsid w:val="00903193"/>
    <w:rsid w:val="00914D5C"/>
    <w:rsid w:val="00924E03"/>
    <w:rsid w:val="00927987"/>
    <w:rsid w:val="0096200C"/>
    <w:rsid w:val="00963C37"/>
    <w:rsid w:val="0099045B"/>
    <w:rsid w:val="009A144B"/>
    <w:rsid w:val="009B2642"/>
    <w:rsid w:val="009D358F"/>
    <w:rsid w:val="009E4A20"/>
    <w:rsid w:val="009F38D2"/>
    <w:rsid w:val="009F4133"/>
    <w:rsid w:val="00A338A9"/>
    <w:rsid w:val="00A61538"/>
    <w:rsid w:val="00A82055"/>
    <w:rsid w:val="00AD5E92"/>
    <w:rsid w:val="00AE06A6"/>
    <w:rsid w:val="00AF7E2A"/>
    <w:rsid w:val="00B040C6"/>
    <w:rsid w:val="00B07193"/>
    <w:rsid w:val="00B173DB"/>
    <w:rsid w:val="00B30F15"/>
    <w:rsid w:val="00B41661"/>
    <w:rsid w:val="00B577F6"/>
    <w:rsid w:val="00B66A62"/>
    <w:rsid w:val="00B75E10"/>
    <w:rsid w:val="00B87B6E"/>
    <w:rsid w:val="00B9749E"/>
    <w:rsid w:val="00BA624A"/>
    <w:rsid w:val="00BE6492"/>
    <w:rsid w:val="00BF1E45"/>
    <w:rsid w:val="00BF4702"/>
    <w:rsid w:val="00BF4909"/>
    <w:rsid w:val="00C32EC3"/>
    <w:rsid w:val="00C36145"/>
    <w:rsid w:val="00C86B53"/>
    <w:rsid w:val="00C9119A"/>
    <w:rsid w:val="00C9296E"/>
    <w:rsid w:val="00C95F7D"/>
    <w:rsid w:val="00CD6F3C"/>
    <w:rsid w:val="00CD709E"/>
    <w:rsid w:val="00CD7BA8"/>
    <w:rsid w:val="00CF4A1A"/>
    <w:rsid w:val="00CF7386"/>
    <w:rsid w:val="00D013B2"/>
    <w:rsid w:val="00D054F8"/>
    <w:rsid w:val="00D112D1"/>
    <w:rsid w:val="00D63AC4"/>
    <w:rsid w:val="00D73897"/>
    <w:rsid w:val="00D738D8"/>
    <w:rsid w:val="00D84E66"/>
    <w:rsid w:val="00D943D4"/>
    <w:rsid w:val="00DC2924"/>
    <w:rsid w:val="00DE6ECF"/>
    <w:rsid w:val="00E025F4"/>
    <w:rsid w:val="00E069CE"/>
    <w:rsid w:val="00E100F6"/>
    <w:rsid w:val="00E132CB"/>
    <w:rsid w:val="00E226D5"/>
    <w:rsid w:val="00E37E46"/>
    <w:rsid w:val="00E60636"/>
    <w:rsid w:val="00E8455D"/>
    <w:rsid w:val="00EA27A1"/>
    <w:rsid w:val="00EA55A5"/>
    <w:rsid w:val="00EA5D84"/>
    <w:rsid w:val="00ED008A"/>
    <w:rsid w:val="00ED281F"/>
    <w:rsid w:val="00ED3E49"/>
    <w:rsid w:val="00ED7DBA"/>
    <w:rsid w:val="00EE159D"/>
    <w:rsid w:val="00F038B8"/>
    <w:rsid w:val="00F16127"/>
    <w:rsid w:val="00F279DD"/>
    <w:rsid w:val="00F741C4"/>
    <w:rsid w:val="00F74EFC"/>
    <w:rsid w:val="00F81F91"/>
    <w:rsid w:val="00FB42B4"/>
    <w:rsid w:val="00FC16D2"/>
    <w:rsid w:val="00FE191F"/>
    <w:rsid w:val="00FE3B83"/>
    <w:rsid w:val="00FF21E0"/>
    <w:rsid w:val="00FF2EE4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4E558"/>
  <w15:docId w15:val="{04832844-C2EC-4ED4-BAA5-2940A431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36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38D2"/>
    <w:pPr>
      <w:spacing w:after="120"/>
    </w:pPr>
    <w:rPr>
      <w:lang w:val="en-AU"/>
    </w:rPr>
  </w:style>
  <w:style w:type="paragraph" w:styleId="Footer">
    <w:name w:val="footer"/>
    <w:basedOn w:val="Normal"/>
    <w:rsid w:val="009F38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38D2"/>
  </w:style>
  <w:style w:type="paragraph" w:styleId="Header">
    <w:name w:val="header"/>
    <w:basedOn w:val="Normal"/>
    <w:rsid w:val="009F38D2"/>
    <w:pPr>
      <w:tabs>
        <w:tab w:val="center" w:pos="4153"/>
        <w:tab w:val="right" w:pos="8306"/>
      </w:tabs>
    </w:pPr>
    <w:rPr>
      <w:lang w:val="en-AU"/>
    </w:rPr>
  </w:style>
  <w:style w:type="paragraph" w:styleId="NormalWeb">
    <w:name w:val="Normal (Web)"/>
    <w:basedOn w:val="Normal"/>
    <w:rsid w:val="00613C40"/>
    <w:pPr>
      <w:spacing w:before="100" w:beforeAutospacing="1" w:after="100" w:afterAutospacing="1"/>
    </w:pPr>
    <w:rPr>
      <w:szCs w:val="24"/>
      <w:lang w:val="en-AU"/>
    </w:rPr>
  </w:style>
  <w:style w:type="paragraph" w:customStyle="1" w:styleId="P1">
    <w:name w:val="P1"/>
    <w:aliases w:val="(a)"/>
    <w:basedOn w:val="Normal"/>
    <w:rsid w:val="00D943D4"/>
    <w:pPr>
      <w:tabs>
        <w:tab w:val="right" w:pos="1191"/>
      </w:tabs>
      <w:spacing w:before="60" w:line="260" w:lineRule="exact"/>
      <w:ind w:left="1418" w:hanging="1418"/>
      <w:jc w:val="both"/>
    </w:pPr>
    <w:rPr>
      <w:noProof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914D5C"/>
    <w:pPr>
      <w:ind w:left="720"/>
    </w:pPr>
    <w:rPr>
      <w:szCs w:val="24"/>
      <w:lang w:val="en-US" w:eastAsia="en-US"/>
    </w:rPr>
  </w:style>
  <w:style w:type="paragraph" w:customStyle="1" w:styleId="indenta">
    <w:name w:val="indenta"/>
    <w:basedOn w:val="Normal"/>
    <w:rsid w:val="00914D5C"/>
    <w:pPr>
      <w:spacing w:before="100" w:beforeAutospacing="1" w:after="100" w:afterAutospacing="1"/>
    </w:pPr>
    <w:rPr>
      <w:szCs w:val="24"/>
      <w:lang w:val="en-AU"/>
    </w:rPr>
  </w:style>
  <w:style w:type="character" w:customStyle="1" w:styleId="charsectno">
    <w:name w:val="charsectno"/>
    <w:basedOn w:val="DefaultParagraphFont"/>
    <w:rsid w:val="00914D5C"/>
  </w:style>
  <w:style w:type="character" w:customStyle="1" w:styleId="apple-converted-space">
    <w:name w:val="apple-converted-space"/>
    <w:basedOn w:val="DefaultParagraphFont"/>
    <w:rsid w:val="00914D5C"/>
  </w:style>
  <w:style w:type="paragraph" w:customStyle="1" w:styleId="ACMABodyText">
    <w:name w:val="ACMA Body Text"/>
    <w:rsid w:val="002B5A57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R1">
    <w:name w:val="R1"/>
    <w:aliases w:val="1. or 1.(1)"/>
    <w:basedOn w:val="Normal"/>
    <w:next w:val="Normal"/>
    <w:rsid w:val="007B0B6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character" w:styleId="Emphasis">
    <w:name w:val="Emphasis"/>
    <w:basedOn w:val="DefaultParagraphFont"/>
    <w:uiPriority w:val="20"/>
    <w:qFormat/>
    <w:rsid w:val="00267612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7676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76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76F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F7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F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97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omlaw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700E72D8C244BB4A9479B32C0DD1" ma:contentTypeVersion="0" ma:contentTypeDescription="Create a new document." ma:contentTypeScope="" ma:versionID="9ec5da8a6c9a492cfcd5e85756ab22c7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KNAH4PPFC442-2596-209</_dlc_DocId>
    <_dlc_DocIdUrl xmlns="6db8f3c6-01a1-4322-b043-a3b2a190f7a8">
      <Url>http://collaboration/organisation/CID/RPB/RLPS/lib/_layouts/DocIdRedir.aspx?ID=KNAH4PPFC442-2596-209</Url>
      <Description>KNAH4PPFC442-2596-209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67156-2DE2-417E-BEFC-36F9A492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19E20-4D13-46BA-B1C0-DDA61295E4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4AA969-8DDF-423B-8B09-5C1C6D509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C6CFD-ED93-4EF5-8DF0-C4CBFAC73944}">
  <ds:schemaRefs>
    <ds:schemaRef ds:uri="http://schemas.microsoft.com/office/2006/metadata/properties"/>
    <ds:schemaRef ds:uri="6db8f3c6-01a1-4322-b043-a3b2a190f7a8"/>
  </ds:schemaRefs>
</ds:datastoreItem>
</file>

<file path=customXml/itemProps5.xml><?xml version="1.0" encoding="utf-8"?>
<ds:datastoreItem xmlns:ds="http://schemas.openxmlformats.org/officeDocument/2006/customXml" ds:itemID="{997806A4-9FEE-4F1B-B60E-753602FDEAC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E8594A-BC15-4DF5-A562-DF98AAFF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Communications Authority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CCecere</dc:creator>
  <cp:keywords/>
  <cp:lastModifiedBy>Sangeeta D'Souza</cp:lastModifiedBy>
  <cp:revision>4</cp:revision>
  <cp:lastPrinted>2014-11-24T00:09:00Z</cp:lastPrinted>
  <dcterms:created xsi:type="dcterms:W3CDTF">2014-12-08T05:29:00Z</dcterms:created>
  <dcterms:modified xsi:type="dcterms:W3CDTF">2014-12-08T05:46:00Z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KNAH4PPFC442-2596-74</vt:lpwstr>
  </property>
  <property fmtid="{D5CDD505-2E9C-101B-9397-08002B2CF9AE}" pid="3" name="_dlc_DocIdItemGuid">
    <vt:lpwstr>b3c1de81-d604-46a4-803d-1f5ec8544a98</vt:lpwstr>
  </property>
  <property fmtid="{D5CDD505-2E9C-101B-9397-08002B2CF9AE}" pid="4" name="_dlc_DocIdUrl">
    <vt:lpwstr>http://collaboration/organisation/CID/RPB/RLPS/lib/_layouts/DocIdRedir.aspx?ID=KNAH4PPFC442-2596-74, KNAH4PPFC442-2596-74</vt:lpwstr>
  </property>
  <property fmtid="{D5CDD505-2E9C-101B-9397-08002B2CF9AE}" pid="5" name="ContentTypeId">
    <vt:lpwstr>0x010100E7F6700E72D8C244BB4A9479B32C0DD1</vt:lpwstr>
  </property>
  <property fmtid="{D5CDD505-2E9C-101B-9397-08002B2CF9AE}" pid="6" name="_NewReviewCycle">
    <vt:lpwstr/>
  </property>
</Properties>
</file>