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4B" w:rsidRPr="00E61704" w:rsidRDefault="00031F4B" w:rsidP="00031F4B">
      <w:pPr>
        <w:ind w:left="284"/>
        <w:jc w:val="center"/>
        <w:rPr>
          <w:b/>
          <w:szCs w:val="24"/>
          <w:u w:val="single"/>
        </w:rPr>
      </w:pPr>
      <w:bookmarkStart w:id="0" w:name="_GoBack"/>
      <w:bookmarkEnd w:id="0"/>
      <w:r>
        <w:rPr>
          <w:b/>
          <w:szCs w:val="24"/>
          <w:u w:val="single"/>
        </w:rPr>
        <w:t>EXPLANATORY STATEMENT</w:t>
      </w:r>
    </w:p>
    <w:p w:rsidR="00031F4B" w:rsidRPr="00B03BE4" w:rsidRDefault="00031F4B" w:rsidP="00031F4B">
      <w:pPr>
        <w:jc w:val="center"/>
        <w:rPr>
          <w:b/>
        </w:rPr>
      </w:pPr>
    </w:p>
    <w:p w:rsidR="00031F4B" w:rsidRDefault="00031F4B" w:rsidP="00031F4B">
      <w:pPr>
        <w:spacing w:after="120"/>
        <w:rPr>
          <w:i/>
        </w:rPr>
      </w:pPr>
    </w:p>
    <w:p w:rsidR="00031F4B" w:rsidRPr="00B03BE4" w:rsidRDefault="00B57A04" w:rsidP="00031F4B">
      <w:pPr>
        <w:spacing w:after="120"/>
        <w:jc w:val="center"/>
        <w:rPr>
          <w:i/>
        </w:rPr>
      </w:pPr>
      <w:r>
        <w:rPr>
          <w:i/>
        </w:rPr>
        <w:t>National Health Security Act 2007</w:t>
      </w:r>
    </w:p>
    <w:p w:rsidR="00031F4B" w:rsidRDefault="00031F4B" w:rsidP="00031F4B">
      <w:pPr>
        <w:pStyle w:val="ShortT"/>
        <w:jc w:val="center"/>
        <w:rPr>
          <w:b w:val="0"/>
          <w:i/>
          <w:sz w:val="24"/>
          <w:szCs w:val="24"/>
        </w:rPr>
      </w:pPr>
    </w:p>
    <w:p w:rsidR="00B57A04" w:rsidRPr="00B57A04" w:rsidRDefault="00B57A04" w:rsidP="00B57A04">
      <w:pPr>
        <w:spacing w:after="120"/>
        <w:jc w:val="center"/>
        <w:rPr>
          <w:i/>
        </w:rPr>
      </w:pPr>
      <w:r w:rsidRPr="00B57A04">
        <w:rPr>
          <w:i/>
        </w:rPr>
        <w:t>National Health Security (National Notifiable Disease List) Amendment (Vectorborne Diseases) Instrument 2014</w:t>
      </w:r>
    </w:p>
    <w:p w:rsidR="006B70D4" w:rsidRPr="00155A04" w:rsidRDefault="006B70D4" w:rsidP="002F31CC">
      <w:pPr>
        <w:spacing w:before="100" w:beforeAutospacing="1" w:after="100" w:afterAutospacing="1"/>
        <w:rPr>
          <w:b/>
          <w:szCs w:val="24"/>
        </w:rPr>
      </w:pPr>
      <w:r>
        <w:rPr>
          <w:b/>
          <w:szCs w:val="24"/>
        </w:rPr>
        <w:t>Authority</w:t>
      </w:r>
    </w:p>
    <w:p w:rsidR="002F31CC" w:rsidRPr="00030FE0" w:rsidRDefault="000540E6" w:rsidP="00155A04">
      <w:pPr>
        <w:tabs>
          <w:tab w:val="right" w:pos="8080"/>
        </w:tabs>
        <w:rPr>
          <w:szCs w:val="24"/>
        </w:rPr>
      </w:pPr>
      <w:r w:rsidRPr="001353A1">
        <w:t>Section 11</w:t>
      </w:r>
      <w:r w:rsidR="006064CE">
        <w:t xml:space="preserve">(1) </w:t>
      </w:r>
      <w:r w:rsidRPr="001353A1">
        <w:t>of the</w:t>
      </w:r>
      <w:r>
        <w:t xml:space="preserve"> </w:t>
      </w:r>
      <w:r w:rsidRPr="001353A1">
        <w:rPr>
          <w:i/>
        </w:rPr>
        <w:t>National Health Security Act 2007</w:t>
      </w:r>
      <w:r w:rsidR="006064CE">
        <w:rPr>
          <w:i/>
        </w:rPr>
        <w:t xml:space="preserve"> </w:t>
      </w:r>
      <w:r w:rsidR="00475955">
        <w:t xml:space="preserve">(the Act) </w:t>
      </w:r>
      <w:r w:rsidR="006064CE">
        <w:t>provides that the Minister must establish, by legislative instrument, a list of diseases</w:t>
      </w:r>
      <w:r w:rsidR="00466C7E">
        <w:t>, to be called t</w:t>
      </w:r>
      <w:r w:rsidR="00466C7E" w:rsidRPr="00030FE0">
        <w:rPr>
          <w:szCs w:val="24"/>
        </w:rPr>
        <w:t xml:space="preserve">he </w:t>
      </w:r>
      <w:r w:rsidR="00466C7E">
        <w:rPr>
          <w:szCs w:val="24"/>
        </w:rPr>
        <w:t>National Notifiable Disease List (</w:t>
      </w:r>
      <w:r w:rsidR="00466C7E" w:rsidRPr="00030FE0">
        <w:rPr>
          <w:szCs w:val="24"/>
        </w:rPr>
        <w:t>NNDL</w:t>
      </w:r>
      <w:r w:rsidR="00466C7E">
        <w:rPr>
          <w:szCs w:val="24"/>
        </w:rPr>
        <w:t>).  Section 11(3) provides that the Minister may vary</w:t>
      </w:r>
      <w:r w:rsidR="002176BC">
        <w:rPr>
          <w:szCs w:val="24"/>
        </w:rPr>
        <w:t>, by</w:t>
      </w:r>
      <w:r w:rsidR="002176BC" w:rsidRPr="00030FE0">
        <w:rPr>
          <w:szCs w:val="24"/>
        </w:rPr>
        <w:t xml:space="preserve"> legislative instrument</w:t>
      </w:r>
      <w:r w:rsidR="002176BC">
        <w:rPr>
          <w:szCs w:val="24"/>
        </w:rPr>
        <w:t>,</w:t>
      </w:r>
      <w:r w:rsidR="00466C7E">
        <w:rPr>
          <w:szCs w:val="24"/>
        </w:rPr>
        <w:t xml:space="preserve"> the </w:t>
      </w:r>
      <w:r w:rsidR="002F31CC" w:rsidRPr="00030FE0">
        <w:rPr>
          <w:szCs w:val="24"/>
        </w:rPr>
        <w:t xml:space="preserve">NNDL by adding </w:t>
      </w:r>
      <w:r w:rsidR="00EA5B9F">
        <w:rPr>
          <w:szCs w:val="24"/>
        </w:rPr>
        <w:t>or removing a disease in certain circumstances</w:t>
      </w:r>
      <w:r w:rsidR="002F31CC" w:rsidRPr="00030FE0">
        <w:rPr>
          <w:szCs w:val="24"/>
        </w:rPr>
        <w:t xml:space="preserve">. </w:t>
      </w:r>
    </w:p>
    <w:p w:rsidR="00FB2F55" w:rsidRPr="00FB2F55" w:rsidRDefault="00FB2F55" w:rsidP="00FB2F55">
      <w:pPr>
        <w:spacing w:before="100" w:beforeAutospacing="1" w:after="100" w:afterAutospacing="1"/>
        <w:rPr>
          <w:szCs w:val="24"/>
          <w:u w:val="single"/>
        </w:rPr>
      </w:pPr>
      <w:r w:rsidRPr="00155A04">
        <w:rPr>
          <w:b/>
          <w:szCs w:val="24"/>
        </w:rPr>
        <w:t>Purpose</w:t>
      </w:r>
    </w:p>
    <w:p w:rsidR="00FB2F55" w:rsidRDefault="00FB2F55" w:rsidP="00FB2F55">
      <w:pPr>
        <w:spacing w:line="260" w:lineRule="exact"/>
        <w:rPr>
          <w:szCs w:val="24"/>
        </w:rPr>
      </w:pPr>
      <w:r>
        <w:rPr>
          <w:szCs w:val="24"/>
        </w:rPr>
        <w:t>T</w:t>
      </w:r>
      <w:r w:rsidRPr="00B73954">
        <w:rPr>
          <w:szCs w:val="24"/>
        </w:rPr>
        <w:t>his instrument seeks t</w:t>
      </w:r>
      <w:r>
        <w:rPr>
          <w:szCs w:val="24"/>
        </w:rPr>
        <w:t>wo</w:t>
      </w:r>
      <w:r w:rsidRPr="00B73954">
        <w:rPr>
          <w:szCs w:val="24"/>
        </w:rPr>
        <w:t xml:space="preserve"> var</w:t>
      </w:r>
      <w:r>
        <w:rPr>
          <w:szCs w:val="24"/>
        </w:rPr>
        <w:t>iations to</w:t>
      </w:r>
      <w:r w:rsidRPr="00B73954">
        <w:rPr>
          <w:szCs w:val="24"/>
        </w:rPr>
        <w:t xml:space="preserve"> the NNDL</w:t>
      </w:r>
      <w:r>
        <w:rPr>
          <w:szCs w:val="24"/>
        </w:rPr>
        <w:t>:</w:t>
      </w:r>
    </w:p>
    <w:p w:rsidR="00FB2F55" w:rsidRDefault="00FB2F55" w:rsidP="00FB2F55">
      <w:pPr>
        <w:spacing w:line="260" w:lineRule="exact"/>
        <w:rPr>
          <w:szCs w:val="24"/>
        </w:rPr>
      </w:pPr>
    </w:p>
    <w:p w:rsidR="00FB2F55" w:rsidRPr="00B73954" w:rsidRDefault="00FB2F55" w:rsidP="00FB2F55">
      <w:pPr>
        <w:pStyle w:val="ListParagraph"/>
        <w:numPr>
          <w:ilvl w:val="0"/>
          <w:numId w:val="3"/>
        </w:numPr>
        <w:spacing w:line="260" w:lineRule="exact"/>
        <w:ind w:left="709" w:hanging="709"/>
        <w:rPr>
          <w:u w:val="single"/>
        </w:rPr>
      </w:pPr>
      <w:r w:rsidRPr="00B73954">
        <w:rPr>
          <w:u w:val="single"/>
        </w:rPr>
        <w:t>Adding the disease chikungunya</w:t>
      </w:r>
    </w:p>
    <w:p w:rsidR="00FB2F55" w:rsidRPr="00BE1E24" w:rsidRDefault="00FB2F55" w:rsidP="00FB2F55">
      <w:pPr>
        <w:spacing w:before="100" w:beforeAutospacing="1" w:after="100" w:afterAutospacing="1"/>
        <w:rPr>
          <w:szCs w:val="24"/>
        </w:rPr>
      </w:pPr>
      <w:r w:rsidRPr="00BE1E24">
        <w:rPr>
          <w:szCs w:val="24"/>
        </w:rPr>
        <w:t xml:space="preserve">Chikungunya is a mosquito-borne alphavirus that has the potential to become established as an endemic disease in Australia.  Closely related to Ross River virus </w:t>
      </w:r>
      <w:r>
        <w:rPr>
          <w:szCs w:val="24"/>
        </w:rPr>
        <w:t xml:space="preserve">infection </w:t>
      </w:r>
      <w:r w:rsidRPr="00BE1E24">
        <w:rPr>
          <w:szCs w:val="24"/>
        </w:rPr>
        <w:t>and Barmah Forest virus infection, it has clinical similarities to dengue, including occasional cases with haemorrhagic manifestations. Treatment is symptomatic and there is no vaccine.</w:t>
      </w:r>
    </w:p>
    <w:p w:rsidR="000577B1" w:rsidRPr="00C95BC8" w:rsidRDefault="00FB2F55" w:rsidP="000577B1">
      <w:pPr>
        <w:spacing w:before="100" w:beforeAutospacing="1" w:after="100" w:afterAutospacing="1"/>
        <w:rPr>
          <w:szCs w:val="24"/>
        </w:rPr>
      </w:pPr>
      <w:r w:rsidRPr="00BE1E24">
        <w:rPr>
          <w:szCs w:val="24"/>
        </w:rPr>
        <w:t>Chikungunya is an emerging disease in many parts of South and South-East Asia including recent large-scale outbreak</w:t>
      </w:r>
      <w:r>
        <w:rPr>
          <w:szCs w:val="24"/>
        </w:rPr>
        <w:t>s</w:t>
      </w:r>
      <w:r w:rsidRPr="00BE1E24">
        <w:rPr>
          <w:szCs w:val="24"/>
        </w:rPr>
        <w:t xml:space="preserve"> in Papua New Guinea</w:t>
      </w:r>
      <w:r>
        <w:rPr>
          <w:szCs w:val="24"/>
        </w:rPr>
        <w:t xml:space="preserve"> and Tonga</w:t>
      </w:r>
      <w:r w:rsidRPr="00BE1E24">
        <w:rPr>
          <w:szCs w:val="24"/>
        </w:rPr>
        <w:t>. The vectors of chikungunya virus are known to occur in the Torres Strait (</w:t>
      </w:r>
      <w:r>
        <w:rPr>
          <w:szCs w:val="24"/>
        </w:rPr>
        <w:t xml:space="preserve">the mosquito species </w:t>
      </w:r>
      <w:r w:rsidRPr="00C95BC8">
        <w:rPr>
          <w:i/>
          <w:szCs w:val="24"/>
        </w:rPr>
        <w:t>Aedes albopictus</w:t>
      </w:r>
      <w:r w:rsidRPr="00C95BC8">
        <w:rPr>
          <w:szCs w:val="24"/>
        </w:rPr>
        <w:t xml:space="preserve">) and in northern coastal areas of Queensland (the mosquito species </w:t>
      </w:r>
      <w:r w:rsidRPr="00C95BC8">
        <w:rPr>
          <w:i/>
          <w:szCs w:val="24"/>
        </w:rPr>
        <w:t>Aedes aegypti</w:t>
      </w:r>
      <w:r w:rsidR="000577B1" w:rsidRPr="00C95BC8">
        <w:rPr>
          <w:szCs w:val="24"/>
        </w:rPr>
        <w:t>).  Laboratory studies show that other mosquito species present in Australia (</w:t>
      </w:r>
      <w:r w:rsidR="000577B1" w:rsidRPr="00C95BC8">
        <w:rPr>
          <w:i/>
          <w:szCs w:val="24"/>
        </w:rPr>
        <w:t>Coquillettidia linealis</w:t>
      </w:r>
      <w:r w:rsidR="000577B1" w:rsidRPr="00C95BC8">
        <w:rPr>
          <w:szCs w:val="24"/>
        </w:rPr>
        <w:t xml:space="preserve">, </w:t>
      </w:r>
      <w:r w:rsidR="000577B1" w:rsidRPr="00C95BC8">
        <w:rPr>
          <w:i/>
          <w:szCs w:val="24"/>
        </w:rPr>
        <w:t xml:space="preserve">Aedes vigilax </w:t>
      </w:r>
      <w:r w:rsidR="000577B1" w:rsidRPr="00C95BC8">
        <w:rPr>
          <w:szCs w:val="24"/>
        </w:rPr>
        <w:t xml:space="preserve">and </w:t>
      </w:r>
      <w:r w:rsidR="000577B1" w:rsidRPr="00C95BC8">
        <w:rPr>
          <w:i/>
          <w:szCs w:val="24"/>
        </w:rPr>
        <w:t>Aedes procax</w:t>
      </w:r>
      <w:r w:rsidR="000577B1" w:rsidRPr="00C95BC8">
        <w:rPr>
          <w:szCs w:val="24"/>
        </w:rPr>
        <w:t xml:space="preserve">) may also be competent vectors for chikungunya virus. </w:t>
      </w:r>
    </w:p>
    <w:p w:rsidR="000577B1" w:rsidRPr="00C95BC8" w:rsidRDefault="000577B1" w:rsidP="000577B1">
      <w:pPr>
        <w:jc w:val="both"/>
        <w:rPr>
          <w:szCs w:val="24"/>
        </w:rPr>
      </w:pPr>
      <w:r w:rsidRPr="00C95BC8">
        <w:rPr>
          <w:szCs w:val="24"/>
        </w:rPr>
        <w:t>To better monitor any local transmission of chikungunya in Australia national surveillance is essential, which requires the addition of chikungunya to the NNDL.</w:t>
      </w:r>
    </w:p>
    <w:p w:rsidR="000577B1" w:rsidRPr="00C95BC8" w:rsidRDefault="000577B1" w:rsidP="000577B1">
      <w:pPr>
        <w:jc w:val="both"/>
        <w:rPr>
          <w:szCs w:val="24"/>
        </w:rPr>
      </w:pPr>
    </w:p>
    <w:p w:rsidR="00FB2F55" w:rsidRPr="00C95BC8" w:rsidRDefault="00FB2F55" w:rsidP="00FB2F55">
      <w:pPr>
        <w:pStyle w:val="ListParagraph"/>
        <w:numPr>
          <w:ilvl w:val="0"/>
          <w:numId w:val="3"/>
        </w:numPr>
        <w:spacing w:line="260" w:lineRule="exact"/>
        <w:ind w:left="709" w:hanging="709"/>
        <w:rPr>
          <w:rFonts w:cs="Times New Roman"/>
          <w:szCs w:val="24"/>
          <w:u w:val="single"/>
        </w:rPr>
      </w:pPr>
      <w:r w:rsidRPr="00C95BC8">
        <w:rPr>
          <w:rFonts w:cs="Times New Roman"/>
          <w:szCs w:val="24"/>
          <w:u w:val="single"/>
        </w:rPr>
        <w:t xml:space="preserve">Changing the name </w:t>
      </w:r>
      <w:r w:rsidR="00F74D69">
        <w:rPr>
          <w:rFonts w:cs="Times New Roman"/>
          <w:szCs w:val="24"/>
          <w:u w:val="single"/>
        </w:rPr>
        <w:t>of</w:t>
      </w:r>
      <w:r w:rsidRPr="00C95BC8">
        <w:rPr>
          <w:rFonts w:cs="Times New Roman"/>
          <w:szCs w:val="24"/>
          <w:u w:val="single"/>
        </w:rPr>
        <w:t xml:space="preserve"> a disease currently on the NNDL from ‘Arbovirus (NEC)’ to ‘Flavivirus (unspecified)’</w:t>
      </w:r>
    </w:p>
    <w:p w:rsidR="00FB2F55" w:rsidRPr="00C95BC8" w:rsidRDefault="00FB2F55" w:rsidP="00FB2F55">
      <w:pPr>
        <w:spacing w:line="260" w:lineRule="exact"/>
        <w:jc w:val="both"/>
        <w:rPr>
          <w:szCs w:val="24"/>
        </w:rPr>
      </w:pPr>
      <w:r w:rsidRPr="00C95BC8">
        <w:rPr>
          <w:szCs w:val="24"/>
        </w:rPr>
        <w:t>National data for the Flavivirus family of diseases is currently captured through the case definition used for Arbovirus (NEC).  The Arbovirus (NEC) category comprises a taxonomically diverse range of viruses described solely by mode of transmission. However, one case definition cannot easily define the range of viruses and their diagnostic criteria, nor their clinical, public health and animal health significance. Consequently, an Arbovirus (NEC) case definition must be non-specific and is</w:t>
      </w:r>
      <w:r w:rsidR="00C95BC8" w:rsidRPr="00C95BC8">
        <w:rPr>
          <w:szCs w:val="24"/>
        </w:rPr>
        <w:t>, therefore</w:t>
      </w:r>
      <w:r w:rsidR="00F74D69">
        <w:rPr>
          <w:szCs w:val="24"/>
        </w:rPr>
        <w:t>,</w:t>
      </w:r>
      <w:r w:rsidR="00C95BC8" w:rsidRPr="00C95BC8">
        <w:rPr>
          <w:szCs w:val="24"/>
        </w:rPr>
        <w:t xml:space="preserve"> not effective</w:t>
      </w:r>
      <w:r w:rsidRPr="00C95BC8">
        <w:rPr>
          <w:szCs w:val="24"/>
        </w:rPr>
        <w:t xml:space="preserve"> for </w:t>
      </w:r>
      <w:r w:rsidR="00C95BC8" w:rsidRPr="00C95BC8">
        <w:rPr>
          <w:szCs w:val="24"/>
        </w:rPr>
        <w:t xml:space="preserve">national </w:t>
      </w:r>
      <w:r w:rsidRPr="00C95BC8">
        <w:rPr>
          <w:szCs w:val="24"/>
        </w:rPr>
        <w:t xml:space="preserve">surveillance purposes. </w:t>
      </w:r>
    </w:p>
    <w:p w:rsidR="00FB2F55" w:rsidRPr="00C95BC8" w:rsidRDefault="00C95BC8" w:rsidP="00FB2F55">
      <w:pPr>
        <w:spacing w:before="100" w:beforeAutospacing="1" w:after="100" w:afterAutospacing="1"/>
        <w:rPr>
          <w:szCs w:val="24"/>
        </w:rPr>
      </w:pPr>
      <w:r w:rsidRPr="00C95BC8">
        <w:rPr>
          <w:szCs w:val="24"/>
        </w:rPr>
        <w:lastRenderedPageBreak/>
        <w:t>Chang</w:t>
      </w:r>
      <w:r w:rsidR="00F74D69">
        <w:rPr>
          <w:szCs w:val="24"/>
        </w:rPr>
        <w:t>ing</w:t>
      </w:r>
      <w:r w:rsidRPr="00C95BC8">
        <w:rPr>
          <w:szCs w:val="24"/>
        </w:rPr>
        <w:t xml:space="preserve"> the disease name ‘Arbovirus (NEC)’ to ‘Flavivirus (unspecified)’ will provide a</w:t>
      </w:r>
      <w:r w:rsidR="00FB2F55" w:rsidRPr="00C95BC8">
        <w:rPr>
          <w:szCs w:val="24"/>
        </w:rPr>
        <w:t xml:space="preserve"> catch-all category for flaviviruses</w:t>
      </w:r>
      <w:r w:rsidRPr="00C95BC8">
        <w:rPr>
          <w:szCs w:val="24"/>
        </w:rPr>
        <w:t>.  This</w:t>
      </w:r>
      <w:r w:rsidR="00FB2F55" w:rsidRPr="00C95BC8">
        <w:rPr>
          <w:szCs w:val="24"/>
        </w:rPr>
        <w:t xml:space="preserve"> is particularly important because it is recognised that some infections cannot be attributed to a single flavivirus and these cases remain unspecified.  Flavivirus (unspecified)</w:t>
      </w:r>
      <w:r w:rsidRPr="00C95BC8">
        <w:rPr>
          <w:szCs w:val="24"/>
        </w:rPr>
        <w:t>,</w:t>
      </w:r>
      <w:r w:rsidR="00FB2F55" w:rsidRPr="00C95BC8">
        <w:rPr>
          <w:szCs w:val="24"/>
        </w:rPr>
        <w:t xml:space="preserve"> therefore</w:t>
      </w:r>
      <w:r w:rsidRPr="00C95BC8">
        <w:rPr>
          <w:szCs w:val="24"/>
        </w:rPr>
        <w:t>,</w:t>
      </w:r>
      <w:r w:rsidR="00FB2F55" w:rsidRPr="00C95BC8">
        <w:rPr>
          <w:szCs w:val="24"/>
        </w:rPr>
        <w:t xml:space="preserve"> is definable and </w:t>
      </w:r>
      <w:r w:rsidRPr="00C95BC8">
        <w:rPr>
          <w:szCs w:val="24"/>
        </w:rPr>
        <w:t xml:space="preserve">will allow more effective national </w:t>
      </w:r>
      <w:r w:rsidR="00FB2F55" w:rsidRPr="00C95BC8">
        <w:rPr>
          <w:szCs w:val="24"/>
        </w:rPr>
        <w:t>surveillance</w:t>
      </w:r>
      <w:r w:rsidRPr="00C95BC8">
        <w:rPr>
          <w:szCs w:val="24"/>
        </w:rPr>
        <w:t xml:space="preserve"> for this family of diseases.</w:t>
      </w:r>
    </w:p>
    <w:p w:rsidR="00C95BC8" w:rsidRDefault="00C95BC8" w:rsidP="00031F4B">
      <w:pPr>
        <w:autoSpaceDE w:val="0"/>
        <w:autoSpaceDN w:val="0"/>
        <w:adjustRightInd w:val="0"/>
        <w:rPr>
          <w:color w:val="000000"/>
          <w:szCs w:val="24"/>
          <w:highlight w:val="yellow"/>
          <w:u w:val="single"/>
        </w:rPr>
      </w:pPr>
    </w:p>
    <w:p w:rsidR="00031F4B" w:rsidRPr="00EC6536" w:rsidRDefault="00031F4B" w:rsidP="00031F4B">
      <w:pPr>
        <w:autoSpaceDE w:val="0"/>
        <w:autoSpaceDN w:val="0"/>
        <w:adjustRightInd w:val="0"/>
        <w:rPr>
          <w:color w:val="000000"/>
          <w:szCs w:val="24"/>
          <w:u w:val="single"/>
        </w:rPr>
      </w:pPr>
      <w:r w:rsidRPr="00EC6536">
        <w:rPr>
          <w:color w:val="000000"/>
          <w:szCs w:val="24"/>
          <w:u w:val="single"/>
        </w:rPr>
        <w:t xml:space="preserve">Consultation </w:t>
      </w:r>
    </w:p>
    <w:p w:rsidR="00EC6536" w:rsidRPr="00030FE0" w:rsidRDefault="00EC6536" w:rsidP="00EC6536">
      <w:pPr>
        <w:spacing w:before="100" w:beforeAutospacing="1" w:after="100" w:afterAutospacing="1"/>
        <w:rPr>
          <w:szCs w:val="24"/>
        </w:rPr>
      </w:pPr>
      <w:r w:rsidRPr="00030FE0">
        <w:rPr>
          <w:szCs w:val="24"/>
        </w:rPr>
        <w:t xml:space="preserve">Subsection 11(5) of the </w:t>
      </w:r>
      <w:r w:rsidR="00F74D69" w:rsidRPr="00F74D69">
        <w:rPr>
          <w:szCs w:val="24"/>
        </w:rPr>
        <w:t>Act</w:t>
      </w:r>
      <w:r w:rsidRPr="00030FE0">
        <w:rPr>
          <w:szCs w:val="24"/>
        </w:rPr>
        <w:t xml:space="preserve"> requires the Minister to consult with the Commonwealth Chief Medical Officer and each </w:t>
      </w:r>
      <w:r w:rsidR="00F74D69">
        <w:rPr>
          <w:szCs w:val="24"/>
        </w:rPr>
        <w:t>s</w:t>
      </w:r>
      <w:r w:rsidRPr="00030FE0">
        <w:rPr>
          <w:szCs w:val="24"/>
        </w:rPr>
        <w:t xml:space="preserve">tate and </w:t>
      </w:r>
      <w:r w:rsidR="00F74D69">
        <w:rPr>
          <w:szCs w:val="24"/>
        </w:rPr>
        <w:t>t</w:t>
      </w:r>
      <w:r w:rsidRPr="00030FE0">
        <w:rPr>
          <w:szCs w:val="24"/>
        </w:rPr>
        <w:t xml:space="preserve">erritory Health Minister in making or varying </w:t>
      </w:r>
      <w:r>
        <w:rPr>
          <w:szCs w:val="24"/>
        </w:rPr>
        <w:t>the NNDL</w:t>
      </w:r>
      <w:r w:rsidRPr="00030FE0">
        <w:rPr>
          <w:szCs w:val="24"/>
        </w:rPr>
        <w:t>.  Those consultations have been undertaken.</w:t>
      </w:r>
    </w:p>
    <w:p w:rsidR="00EC6536" w:rsidRPr="00030FE0" w:rsidRDefault="00EC6536" w:rsidP="00EC6536">
      <w:pPr>
        <w:spacing w:before="100" w:beforeAutospacing="1" w:after="100" w:afterAutospacing="1"/>
        <w:rPr>
          <w:szCs w:val="24"/>
        </w:rPr>
      </w:pPr>
      <w:r>
        <w:rPr>
          <w:szCs w:val="24"/>
        </w:rPr>
        <w:t>The former Standing Council on Health was consulted in January 2014 and unanimously endorsed the proposed variations to the NNDL in February 2014.</w:t>
      </w:r>
    </w:p>
    <w:p w:rsidR="003F72F7" w:rsidRDefault="005557CF" w:rsidP="005557CF">
      <w:pPr>
        <w:spacing w:before="100" w:beforeAutospacing="1" w:after="100" w:afterAutospacing="1"/>
        <w:rPr>
          <w:szCs w:val="24"/>
        </w:rPr>
      </w:pPr>
      <w:r>
        <w:rPr>
          <w:szCs w:val="24"/>
        </w:rPr>
        <w:t xml:space="preserve">This instrument is a legislative instrument for the purposes of </w:t>
      </w:r>
      <w:r w:rsidRPr="000E0869">
        <w:rPr>
          <w:szCs w:val="24"/>
        </w:rPr>
        <w:t>the</w:t>
      </w:r>
      <w:r w:rsidRPr="000E0869">
        <w:rPr>
          <w:i/>
          <w:szCs w:val="24"/>
        </w:rPr>
        <w:t xml:space="preserve"> Legislative Instruments Act 2003</w:t>
      </w:r>
      <w:r>
        <w:rPr>
          <w:szCs w:val="24"/>
        </w:rPr>
        <w:t xml:space="preserve">.  </w:t>
      </w:r>
    </w:p>
    <w:p w:rsidR="005557CF" w:rsidRPr="00C95BC8" w:rsidRDefault="005557CF" w:rsidP="005557CF">
      <w:pPr>
        <w:spacing w:before="100" w:beforeAutospacing="1" w:after="100" w:afterAutospacing="1"/>
        <w:rPr>
          <w:szCs w:val="24"/>
        </w:rPr>
      </w:pPr>
      <w:r>
        <w:rPr>
          <w:szCs w:val="24"/>
        </w:rPr>
        <w:t>The instrument will take effect on the day after it is registered on the Federal Register of Legislative Instruments.</w:t>
      </w:r>
    </w:p>
    <w:p w:rsidR="001353A1" w:rsidRDefault="001353A1" w:rsidP="001353A1">
      <w:pPr>
        <w:tabs>
          <w:tab w:val="right" w:pos="8080"/>
        </w:tabs>
        <w:jc w:val="center"/>
      </w:pPr>
      <w:r>
        <w:tab/>
      </w:r>
    </w:p>
    <w:p w:rsidR="001353A1" w:rsidRDefault="001353A1" w:rsidP="001353A1">
      <w:pPr>
        <w:tabs>
          <w:tab w:val="right" w:pos="8080"/>
        </w:tabs>
        <w:jc w:val="center"/>
      </w:pPr>
      <w:r>
        <w:tab/>
      </w:r>
      <w:r w:rsidR="00BA3CEA" w:rsidRPr="001353A1">
        <w:t xml:space="preserve">Authority: Section </w:t>
      </w:r>
      <w:r w:rsidRPr="001353A1">
        <w:t xml:space="preserve">11(3) of </w:t>
      </w:r>
      <w:r w:rsidR="00BA3CEA" w:rsidRPr="001353A1">
        <w:t>the</w:t>
      </w:r>
    </w:p>
    <w:p w:rsidR="00BA3CEA" w:rsidRPr="001353A1" w:rsidRDefault="001353A1" w:rsidP="001353A1">
      <w:pPr>
        <w:tabs>
          <w:tab w:val="right" w:pos="8080"/>
        </w:tabs>
        <w:jc w:val="center"/>
        <w:rPr>
          <w:i/>
        </w:rPr>
      </w:pPr>
      <w:r>
        <w:rPr>
          <w:i/>
        </w:rPr>
        <w:tab/>
      </w:r>
      <w:r w:rsidR="00BA3CEA" w:rsidRPr="001353A1">
        <w:rPr>
          <w:i/>
        </w:rPr>
        <w:t>National Health Security Act 2007</w:t>
      </w:r>
    </w:p>
    <w:p w:rsidR="00031F4B" w:rsidRPr="00FB2F55" w:rsidRDefault="00031F4B" w:rsidP="00031F4B">
      <w:pPr>
        <w:jc w:val="right"/>
        <w:rPr>
          <w:b/>
          <w:highlight w:val="yellow"/>
          <w:u w:val="single"/>
        </w:rPr>
      </w:pPr>
      <w:r w:rsidRPr="00FB2F55">
        <w:rPr>
          <w:b/>
          <w:highlight w:val="yellow"/>
          <w:u w:val="single"/>
        </w:rPr>
        <w:br w:type="page"/>
      </w:r>
      <w:r w:rsidRPr="005D4E3A">
        <w:rPr>
          <w:b/>
          <w:u w:val="single"/>
        </w:rPr>
        <w:lastRenderedPageBreak/>
        <w:t>ATTACHMENT</w:t>
      </w:r>
    </w:p>
    <w:p w:rsidR="00031F4B" w:rsidRPr="00FB2F55" w:rsidRDefault="00031F4B" w:rsidP="00031F4B">
      <w:pPr>
        <w:rPr>
          <w:b/>
          <w:highlight w:val="yellow"/>
        </w:rPr>
      </w:pPr>
    </w:p>
    <w:p w:rsidR="005D4E3A" w:rsidRPr="00030FE0" w:rsidRDefault="005D4E3A" w:rsidP="005D4E3A">
      <w:pPr>
        <w:spacing w:before="100" w:beforeAutospacing="1" w:after="100" w:afterAutospacing="1"/>
        <w:rPr>
          <w:szCs w:val="24"/>
        </w:rPr>
      </w:pPr>
      <w:r w:rsidRPr="00030FE0">
        <w:rPr>
          <w:b/>
          <w:bCs/>
          <w:sz w:val="28"/>
          <w:szCs w:val="28"/>
        </w:rPr>
        <w:t>De</w:t>
      </w:r>
      <w:r w:rsidR="00A570E6">
        <w:rPr>
          <w:b/>
          <w:bCs/>
          <w:sz w:val="28"/>
          <w:szCs w:val="28"/>
        </w:rPr>
        <w:t xml:space="preserve">tails </w:t>
      </w:r>
      <w:r w:rsidRPr="00030FE0">
        <w:rPr>
          <w:b/>
          <w:bCs/>
          <w:sz w:val="28"/>
          <w:szCs w:val="28"/>
        </w:rPr>
        <w:t>of the Instrument</w:t>
      </w:r>
    </w:p>
    <w:p w:rsidR="005D4E3A" w:rsidRPr="00030FE0" w:rsidRDefault="005D4E3A" w:rsidP="005D4E3A">
      <w:pPr>
        <w:spacing w:before="100" w:beforeAutospacing="1" w:after="100" w:afterAutospacing="1"/>
        <w:rPr>
          <w:szCs w:val="24"/>
        </w:rPr>
      </w:pPr>
      <w:r w:rsidRPr="00030FE0">
        <w:rPr>
          <w:szCs w:val="24"/>
        </w:rPr>
        <w:t> </w:t>
      </w:r>
    </w:p>
    <w:p w:rsidR="005D4E3A" w:rsidRPr="00030FE0" w:rsidRDefault="005D4E3A" w:rsidP="005D4E3A">
      <w:pPr>
        <w:spacing w:before="100" w:beforeAutospacing="1" w:after="100" w:afterAutospacing="1"/>
        <w:rPr>
          <w:szCs w:val="24"/>
        </w:rPr>
      </w:pPr>
      <w:r w:rsidRPr="00030FE0">
        <w:rPr>
          <w:b/>
          <w:bCs/>
          <w:szCs w:val="24"/>
        </w:rPr>
        <w:t>1    Name of Instrument</w:t>
      </w:r>
    </w:p>
    <w:p w:rsidR="005D4E3A" w:rsidRPr="00030FE0" w:rsidRDefault="004304C2" w:rsidP="005D4E3A">
      <w:pPr>
        <w:spacing w:before="100" w:beforeAutospacing="1" w:after="100" w:afterAutospacing="1"/>
        <w:rPr>
          <w:szCs w:val="24"/>
        </w:rPr>
      </w:pPr>
      <w:r>
        <w:rPr>
          <w:szCs w:val="24"/>
        </w:rPr>
        <w:t xml:space="preserve">Section 1 states that the name of the amending instrument is the </w:t>
      </w:r>
      <w:r w:rsidR="005D4E3A" w:rsidRPr="00155A04">
        <w:rPr>
          <w:i/>
          <w:szCs w:val="24"/>
        </w:rPr>
        <w:t>National Health Security (National Notifiable Disease List) Amendment (Vectorborne Diseases) Instrument 2014</w:t>
      </w:r>
      <w:r w:rsidR="005D4E3A">
        <w:rPr>
          <w:szCs w:val="24"/>
        </w:rPr>
        <w:t>.</w:t>
      </w:r>
    </w:p>
    <w:p w:rsidR="005D4E3A" w:rsidRPr="00030FE0" w:rsidRDefault="005D4E3A" w:rsidP="005D4E3A">
      <w:pPr>
        <w:spacing w:before="100" w:beforeAutospacing="1" w:after="100" w:afterAutospacing="1"/>
        <w:rPr>
          <w:szCs w:val="24"/>
        </w:rPr>
      </w:pPr>
      <w:r w:rsidRPr="00030FE0">
        <w:rPr>
          <w:szCs w:val="24"/>
        </w:rPr>
        <w:t> </w:t>
      </w:r>
    </w:p>
    <w:p w:rsidR="005D4E3A" w:rsidRPr="00030FE0" w:rsidRDefault="005D4E3A" w:rsidP="005D4E3A">
      <w:pPr>
        <w:spacing w:before="100" w:beforeAutospacing="1" w:after="100" w:afterAutospacing="1"/>
        <w:rPr>
          <w:szCs w:val="24"/>
        </w:rPr>
      </w:pPr>
      <w:r w:rsidRPr="00030FE0">
        <w:rPr>
          <w:b/>
          <w:bCs/>
          <w:szCs w:val="24"/>
        </w:rPr>
        <w:t>2    Commencement</w:t>
      </w:r>
    </w:p>
    <w:p w:rsidR="005D4E3A" w:rsidRPr="00030FE0" w:rsidRDefault="004304C2" w:rsidP="005D4E3A">
      <w:pPr>
        <w:spacing w:before="100" w:beforeAutospacing="1" w:after="100" w:afterAutospacing="1"/>
        <w:rPr>
          <w:szCs w:val="24"/>
        </w:rPr>
      </w:pPr>
      <w:r>
        <w:rPr>
          <w:szCs w:val="24"/>
        </w:rPr>
        <w:t xml:space="preserve">Section 2 states that the amendments </w:t>
      </w:r>
      <w:r w:rsidR="005D4E3A">
        <w:rPr>
          <w:szCs w:val="24"/>
        </w:rPr>
        <w:t xml:space="preserve">commence the day after </w:t>
      </w:r>
      <w:r w:rsidR="00A82603">
        <w:rPr>
          <w:szCs w:val="24"/>
        </w:rPr>
        <w:t>the instrument</w:t>
      </w:r>
      <w:r w:rsidR="005D4E3A">
        <w:rPr>
          <w:szCs w:val="24"/>
        </w:rPr>
        <w:t xml:space="preserve"> is registered.</w:t>
      </w:r>
    </w:p>
    <w:p w:rsidR="005D4E3A" w:rsidRDefault="005D4E3A" w:rsidP="005D4E3A">
      <w:pPr>
        <w:spacing w:before="100" w:beforeAutospacing="1" w:after="100" w:afterAutospacing="1"/>
        <w:rPr>
          <w:szCs w:val="24"/>
        </w:rPr>
      </w:pPr>
      <w:r w:rsidRPr="00030FE0">
        <w:rPr>
          <w:szCs w:val="24"/>
        </w:rPr>
        <w:t> </w:t>
      </w:r>
    </w:p>
    <w:p w:rsidR="005D4E3A" w:rsidRPr="00B75A73" w:rsidRDefault="005D4E3A" w:rsidP="00B54413">
      <w:pPr>
        <w:spacing w:before="100" w:beforeAutospacing="1" w:after="100" w:afterAutospacing="1"/>
        <w:rPr>
          <w:b/>
          <w:bCs/>
          <w:szCs w:val="24"/>
        </w:rPr>
      </w:pPr>
      <w:r w:rsidRPr="00B75A73">
        <w:rPr>
          <w:b/>
          <w:bCs/>
          <w:szCs w:val="24"/>
        </w:rPr>
        <w:t>3</w:t>
      </w:r>
      <w:r w:rsidR="00B54413" w:rsidRPr="00030FE0">
        <w:rPr>
          <w:b/>
          <w:bCs/>
          <w:szCs w:val="24"/>
        </w:rPr>
        <w:t xml:space="preserve">    </w:t>
      </w:r>
      <w:r w:rsidRPr="00B75A73">
        <w:rPr>
          <w:b/>
          <w:bCs/>
          <w:szCs w:val="24"/>
        </w:rPr>
        <w:t>Authority</w:t>
      </w:r>
    </w:p>
    <w:p w:rsidR="005D4E3A" w:rsidRDefault="005D4E3A" w:rsidP="005D4E3A">
      <w:pPr>
        <w:spacing w:before="100" w:beforeAutospacing="1" w:after="100" w:afterAutospacing="1"/>
        <w:rPr>
          <w:szCs w:val="24"/>
        </w:rPr>
      </w:pPr>
      <w:r>
        <w:rPr>
          <w:szCs w:val="24"/>
        </w:rPr>
        <w:t xml:space="preserve">This instrument is made under subsection 11(3) of the </w:t>
      </w:r>
      <w:r w:rsidRPr="00B75A73">
        <w:rPr>
          <w:i/>
          <w:szCs w:val="24"/>
        </w:rPr>
        <w:t>National Health Security Act 2007</w:t>
      </w:r>
      <w:r>
        <w:rPr>
          <w:szCs w:val="24"/>
        </w:rPr>
        <w:t>.</w:t>
      </w:r>
    </w:p>
    <w:p w:rsidR="005D4E3A" w:rsidRPr="00030FE0" w:rsidRDefault="005D4E3A" w:rsidP="005D4E3A">
      <w:pPr>
        <w:spacing w:before="100" w:beforeAutospacing="1" w:after="100" w:afterAutospacing="1"/>
        <w:rPr>
          <w:szCs w:val="24"/>
        </w:rPr>
      </w:pPr>
      <w:r w:rsidRPr="00030FE0">
        <w:rPr>
          <w:szCs w:val="24"/>
        </w:rPr>
        <w:t> </w:t>
      </w:r>
    </w:p>
    <w:p w:rsidR="005D4E3A" w:rsidRPr="00030FE0" w:rsidRDefault="005D4E3A" w:rsidP="005D4E3A">
      <w:pPr>
        <w:tabs>
          <w:tab w:val="left" w:pos="1134"/>
        </w:tabs>
        <w:spacing w:before="100" w:beforeAutospacing="1" w:after="100" w:afterAutospacing="1"/>
        <w:rPr>
          <w:szCs w:val="24"/>
        </w:rPr>
      </w:pPr>
      <w:r w:rsidRPr="00030FE0">
        <w:rPr>
          <w:b/>
          <w:bCs/>
          <w:szCs w:val="24"/>
        </w:rPr>
        <w:t>4</w:t>
      </w:r>
      <w:r w:rsidR="00B54413" w:rsidRPr="00030FE0">
        <w:rPr>
          <w:b/>
          <w:bCs/>
          <w:szCs w:val="24"/>
        </w:rPr>
        <w:t>   </w:t>
      </w:r>
      <w:r>
        <w:rPr>
          <w:b/>
          <w:bCs/>
          <w:szCs w:val="24"/>
        </w:rPr>
        <w:t>Schedule 1 - Amendments</w:t>
      </w:r>
    </w:p>
    <w:p w:rsidR="005D4E3A" w:rsidRPr="00030FE0" w:rsidRDefault="005D4E3A" w:rsidP="005D4E3A">
      <w:pPr>
        <w:spacing w:before="100" w:beforeAutospacing="1" w:after="100" w:afterAutospacing="1"/>
        <w:rPr>
          <w:szCs w:val="24"/>
        </w:rPr>
      </w:pPr>
      <w:r>
        <w:rPr>
          <w:szCs w:val="24"/>
        </w:rPr>
        <w:t xml:space="preserve">This section provides for the amendment of the instrument as set out in </w:t>
      </w:r>
      <w:r w:rsidR="00A82603">
        <w:rPr>
          <w:szCs w:val="24"/>
        </w:rPr>
        <w:t>S</w:t>
      </w:r>
      <w:r>
        <w:rPr>
          <w:szCs w:val="24"/>
        </w:rPr>
        <w:t>chedule</w:t>
      </w:r>
      <w:r w:rsidR="003F72E1">
        <w:rPr>
          <w:szCs w:val="24"/>
        </w:rPr>
        <w:t xml:space="preserve"> 1</w:t>
      </w:r>
      <w:r>
        <w:rPr>
          <w:szCs w:val="24"/>
        </w:rPr>
        <w:t>.</w:t>
      </w:r>
      <w:r w:rsidRPr="00030FE0">
        <w:rPr>
          <w:szCs w:val="24"/>
        </w:rPr>
        <w:t xml:space="preserve">  </w:t>
      </w:r>
    </w:p>
    <w:p w:rsidR="005D4E3A" w:rsidRDefault="005D4E3A" w:rsidP="005D4E3A">
      <w:pPr>
        <w:spacing w:before="100" w:beforeAutospacing="1" w:after="100" w:afterAutospacing="1"/>
        <w:rPr>
          <w:b/>
          <w:bCs/>
          <w:szCs w:val="24"/>
        </w:rPr>
      </w:pPr>
    </w:p>
    <w:p w:rsidR="005D4E3A" w:rsidRDefault="005D4E3A" w:rsidP="005D4E3A">
      <w:pPr>
        <w:spacing w:before="100" w:beforeAutospacing="1" w:after="100" w:afterAutospacing="1"/>
        <w:rPr>
          <w:b/>
          <w:bCs/>
          <w:szCs w:val="24"/>
        </w:rPr>
      </w:pPr>
      <w:r w:rsidRPr="00030FE0">
        <w:rPr>
          <w:b/>
          <w:bCs/>
          <w:szCs w:val="24"/>
        </w:rPr>
        <w:t>SCHEDULE 1</w:t>
      </w:r>
      <w:r>
        <w:rPr>
          <w:b/>
          <w:bCs/>
          <w:szCs w:val="24"/>
        </w:rPr>
        <w:t xml:space="preserve"> - AMENDMENTS</w:t>
      </w:r>
    </w:p>
    <w:p w:rsidR="005D4E3A" w:rsidRPr="002E40C3" w:rsidRDefault="005D4E3A" w:rsidP="005D4E3A">
      <w:pPr>
        <w:spacing w:line="260" w:lineRule="exact"/>
        <w:rPr>
          <w:u w:val="single"/>
        </w:rPr>
      </w:pPr>
      <w:r w:rsidRPr="002E40C3">
        <w:rPr>
          <w:szCs w:val="24"/>
        </w:rPr>
        <w:t xml:space="preserve">Schedule 1 substitutes Division 2.6 of Schedule 1 of the </w:t>
      </w:r>
      <w:r w:rsidR="00104F7D">
        <w:rPr>
          <w:i/>
          <w:szCs w:val="24"/>
        </w:rPr>
        <w:t>National Health Security (National</w:t>
      </w:r>
      <w:r w:rsidR="00155A04">
        <w:rPr>
          <w:i/>
          <w:szCs w:val="24"/>
        </w:rPr>
        <w:t xml:space="preserve"> </w:t>
      </w:r>
      <w:r w:rsidR="00104F7D">
        <w:rPr>
          <w:i/>
          <w:szCs w:val="24"/>
        </w:rPr>
        <w:t>Notifiable Disease List) I</w:t>
      </w:r>
      <w:r w:rsidRPr="00155A04">
        <w:rPr>
          <w:i/>
          <w:szCs w:val="24"/>
        </w:rPr>
        <w:t>nstrument</w:t>
      </w:r>
      <w:r w:rsidR="00104F7D">
        <w:rPr>
          <w:i/>
          <w:szCs w:val="24"/>
        </w:rPr>
        <w:t xml:space="preserve"> 2008</w:t>
      </w:r>
      <w:r w:rsidRPr="002E40C3">
        <w:rPr>
          <w:szCs w:val="24"/>
        </w:rPr>
        <w:t xml:space="preserve"> with the new Division 2.6</w:t>
      </w:r>
      <w:r w:rsidR="003B337F">
        <w:rPr>
          <w:szCs w:val="24"/>
        </w:rPr>
        <w:t xml:space="preserve"> – Vectorborne diseases.  The amendments</w:t>
      </w:r>
      <w:r w:rsidRPr="002E40C3">
        <w:rPr>
          <w:szCs w:val="24"/>
        </w:rPr>
        <w:t xml:space="preserve"> include the addition of </w:t>
      </w:r>
      <w:r>
        <w:rPr>
          <w:szCs w:val="24"/>
        </w:rPr>
        <w:t>c</w:t>
      </w:r>
      <w:r w:rsidRPr="002E40C3">
        <w:rPr>
          <w:szCs w:val="24"/>
        </w:rPr>
        <w:t xml:space="preserve">hikungunya and a name change of a disease from </w:t>
      </w:r>
      <w:r w:rsidRPr="002E40C3">
        <w:rPr>
          <w:u w:val="single"/>
        </w:rPr>
        <w:t>‘Arbovirus (NEC)’ to ‘Flavivirus (unspecified)’.</w:t>
      </w:r>
    </w:p>
    <w:p w:rsidR="005D4E3A" w:rsidRDefault="005D4E3A">
      <w:pPr>
        <w:spacing w:before="240" w:after="60"/>
      </w:pPr>
      <w:r>
        <w:br w:type="page"/>
      </w:r>
    </w:p>
    <w:p w:rsidR="005D4E3A" w:rsidRDefault="005D4E3A" w:rsidP="005D4E3A"/>
    <w:p w:rsidR="00031F4B" w:rsidRPr="000C5D27" w:rsidRDefault="00031F4B" w:rsidP="00031F4B">
      <w:pPr>
        <w:spacing w:before="360" w:after="120"/>
        <w:jc w:val="center"/>
        <w:rPr>
          <w:b/>
          <w:sz w:val="28"/>
          <w:szCs w:val="28"/>
        </w:rPr>
      </w:pPr>
      <w:r w:rsidRPr="000C5D27">
        <w:rPr>
          <w:b/>
          <w:sz w:val="28"/>
          <w:szCs w:val="28"/>
        </w:rPr>
        <w:t>Statement of Compatibility with Human Rights</w:t>
      </w:r>
    </w:p>
    <w:p w:rsidR="00031F4B" w:rsidRPr="000C5D27" w:rsidRDefault="00031F4B" w:rsidP="00031F4B">
      <w:pPr>
        <w:spacing w:before="120" w:after="120"/>
        <w:jc w:val="center"/>
      </w:pPr>
      <w:r w:rsidRPr="000C5D27">
        <w:rPr>
          <w:i/>
        </w:rPr>
        <w:t>Prepared in accordance with Part 3 of the Human Rights (Parliamentary Scrutiny) Act 2011</w:t>
      </w:r>
    </w:p>
    <w:p w:rsidR="005D4E3A" w:rsidRPr="000C5D27" w:rsidRDefault="005D4E3A" w:rsidP="005D4E3A">
      <w:pPr>
        <w:spacing w:after="120"/>
        <w:jc w:val="center"/>
        <w:rPr>
          <w:b/>
          <w:i/>
        </w:rPr>
      </w:pPr>
      <w:r w:rsidRPr="000C5D27">
        <w:rPr>
          <w:b/>
          <w:i/>
        </w:rPr>
        <w:t>National Health Security (National Notifiable Disease List) Amendment (Vectorborne Diseases) Instrument 2014</w:t>
      </w:r>
    </w:p>
    <w:p w:rsidR="005D4E3A" w:rsidRPr="000C5D27" w:rsidRDefault="005D4E3A" w:rsidP="00031F4B">
      <w:pPr>
        <w:spacing w:before="120" w:after="120"/>
        <w:jc w:val="center"/>
      </w:pPr>
    </w:p>
    <w:p w:rsidR="00031F4B" w:rsidRPr="000C5D27" w:rsidRDefault="00031F4B" w:rsidP="00031F4B">
      <w:pPr>
        <w:spacing w:before="120" w:after="120"/>
        <w:jc w:val="center"/>
      </w:pPr>
      <w:r w:rsidRPr="000C5D27">
        <w:t xml:space="preserve">This Legislative Instrument is compatible with the human rights and freedoms recognised or declared in the international instruments listed in section 3 of the </w:t>
      </w:r>
      <w:r w:rsidRPr="000C5D27">
        <w:rPr>
          <w:i/>
        </w:rPr>
        <w:t>Human Rights (Parliamentary Scrutiny) Act 2011</w:t>
      </w:r>
      <w:r w:rsidRPr="000C5D27">
        <w:t>.</w:t>
      </w:r>
    </w:p>
    <w:p w:rsidR="00B855F4" w:rsidRPr="000C5D27" w:rsidRDefault="00B855F4" w:rsidP="00031F4B">
      <w:pPr>
        <w:spacing w:before="120" w:after="120"/>
        <w:jc w:val="both"/>
        <w:rPr>
          <w:b/>
        </w:rPr>
      </w:pPr>
    </w:p>
    <w:p w:rsidR="00031F4B" w:rsidRPr="000C5D27" w:rsidRDefault="00031F4B" w:rsidP="00031F4B">
      <w:pPr>
        <w:spacing w:before="120" w:after="120"/>
        <w:jc w:val="both"/>
        <w:rPr>
          <w:b/>
        </w:rPr>
      </w:pPr>
      <w:r w:rsidRPr="000C5D27">
        <w:rPr>
          <w:b/>
        </w:rPr>
        <w:t>Overview of the Legislative Instrument</w:t>
      </w:r>
    </w:p>
    <w:p w:rsidR="00C72ABF" w:rsidRPr="000C5D27" w:rsidRDefault="00C72ABF" w:rsidP="00031F4B">
      <w:pPr>
        <w:spacing w:before="120" w:after="120"/>
      </w:pPr>
      <w:r w:rsidRPr="000C5D27">
        <w:t>This Legislative Instrument amends the National Notifiable Disease List (NNDL) to improve the national surveillance of two diseases.</w:t>
      </w:r>
    </w:p>
    <w:p w:rsidR="00C72ABF" w:rsidRPr="000C5D27" w:rsidRDefault="00C72ABF" w:rsidP="00F74D69">
      <w:pPr>
        <w:spacing w:before="120" w:after="120"/>
      </w:pPr>
      <w:r w:rsidRPr="000C5D27">
        <w:t xml:space="preserve">There are two amendments.  The first amendment adds the disease chikungunya to the NNDL, making this disease nationally notifiable.  </w:t>
      </w:r>
      <w:r w:rsidR="00B855F4" w:rsidRPr="000C5D27">
        <w:t>This will</w:t>
      </w:r>
      <w:r w:rsidRPr="000C5D27">
        <w:t xml:space="preserve"> improve the national surveillance of the transmission of chikungunya and increase confidence in the completeness of data received for this disease.</w:t>
      </w:r>
    </w:p>
    <w:p w:rsidR="00F74D69" w:rsidRPr="000C5D27" w:rsidRDefault="00C72ABF" w:rsidP="00031F4B">
      <w:pPr>
        <w:spacing w:before="120" w:after="120"/>
      </w:pPr>
      <w:r w:rsidRPr="000C5D27">
        <w:t xml:space="preserve">The second amendment changes the name of a disease currently listed on the NNDL from ‘Arbovirus (NEC)’ to ‘Flavivirus (unspecified)’.  </w:t>
      </w:r>
    </w:p>
    <w:p w:rsidR="0060537A" w:rsidRPr="000C5D27" w:rsidRDefault="0060537A" w:rsidP="00F74D69">
      <w:pPr>
        <w:spacing w:before="120" w:after="120"/>
      </w:pPr>
      <w:r w:rsidRPr="000C5D27">
        <w:t>Chang</w:t>
      </w:r>
      <w:r w:rsidR="0070011F" w:rsidRPr="000C5D27">
        <w:t>ing</w:t>
      </w:r>
      <w:r w:rsidRPr="000C5D27">
        <w:t xml:space="preserve"> the disease name ‘Arbovirus (NEC)’ to ‘Flavivirus (unspecified)’ will provide a catch-all category for flaviviruses</w:t>
      </w:r>
      <w:r w:rsidR="00B855F4" w:rsidRPr="000C5D27">
        <w:t xml:space="preserve"> </w:t>
      </w:r>
      <w:r w:rsidRPr="000C5D27">
        <w:t>and will allow more effective national surveillance for this family of diseases.</w:t>
      </w:r>
    </w:p>
    <w:p w:rsidR="00C72ABF" w:rsidRPr="000C5D27" w:rsidRDefault="00C63071" w:rsidP="00031F4B">
      <w:pPr>
        <w:spacing w:before="120" w:after="120"/>
      </w:pPr>
      <w:r w:rsidRPr="000C5D27">
        <w:t>These amendments do not make any substantive changes to the law.</w:t>
      </w:r>
    </w:p>
    <w:p w:rsidR="00C63071" w:rsidRPr="000C5D27" w:rsidRDefault="00C63071" w:rsidP="00031F4B">
      <w:pPr>
        <w:spacing w:before="120" w:after="120"/>
      </w:pPr>
    </w:p>
    <w:p w:rsidR="00031F4B" w:rsidRPr="000C5D27" w:rsidRDefault="00031F4B" w:rsidP="00031F4B">
      <w:pPr>
        <w:spacing w:before="120" w:after="120"/>
        <w:rPr>
          <w:b/>
        </w:rPr>
      </w:pPr>
      <w:r w:rsidRPr="000C5D27">
        <w:rPr>
          <w:b/>
        </w:rPr>
        <w:t>Human rights implications</w:t>
      </w:r>
    </w:p>
    <w:p w:rsidR="00031F4B" w:rsidRPr="000C5D27" w:rsidRDefault="00B855F4" w:rsidP="00031F4B">
      <w:pPr>
        <w:tabs>
          <w:tab w:val="num" w:pos="2289"/>
        </w:tabs>
        <w:rPr>
          <w:szCs w:val="24"/>
        </w:rPr>
      </w:pPr>
      <w:r w:rsidRPr="000C5D27">
        <w:rPr>
          <w:szCs w:val="24"/>
        </w:rPr>
        <w:t>This Legislative Instrument does not engage any of the applicable rights or freedoms.</w:t>
      </w:r>
    </w:p>
    <w:p w:rsidR="00B855F4" w:rsidRPr="000C5D27" w:rsidRDefault="00B855F4" w:rsidP="00031F4B">
      <w:pPr>
        <w:tabs>
          <w:tab w:val="num" w:pos="2289"/>
        </w:tabs>
        <w:rPr>
          <w:szCs w:val="24"/>
        </w:rPr>
      </w:pPr>
    </w:p>
    <w:p w:rsidR="00C63071" w:rsidRPr="000C5D27" w:rsidRDefault="00C63071" w:rsidP="00031F4B">
      <w:pPr>
        <w:tabs>
          <w:tab w:val="num" w:pos="2289"/>
        </w:tabs>
        <w:rPr>
          <w:b/>
          <w:szCs w:val="24"/>
        </w:rPr>
      </w:pPr>
    </w:p>
    <w:p w:rsidR="00B855F4" w:rsidRPr="000C5D27" w:rsidRDefault="00B855F4" w:rsidP="00031F4B">
      <w:pPr>
        <w:tabs>
          <w:tab w:val="num" w:pos="2289"/>
        </w:tabs>
        <w:rPr>
          <w:b/>
          <w:szCs w:val="24"/>
        </w:rPr>
      </w:pPr>
      <w:r w:rsidRPr="000C5D27">
        <w:rPr>
          <w:b/>
          <w:szCs w:val="24"/>
        </w:rPr>
        <w:t>Conclusion</w:t>
      </w:r>
    </w:p>
    <w:p w:rsidR="00B855F4" w:rsidRPr="000C5D27" w:rsidRDefault="00B855F4" w:rsidP="00031F4B">
      <w:pPr>
        <w:tabs>
          <w:tab w:val="num" w:pos="2289"/>
        </w:tabs>
        <w:rPr>
          <w:szCs w:val="24"/>
        </w:rPr>
      </w:pPr>
      <w:r w:rsidRPr="000C5D27">
        <w:rPr>
          <w:szCs w:val="24"/>
        </w:rPr>
        <w:t>This Legislative Instrument is compatible with human rights as it does not raise any human rights issues.</w:t>
      </w:r>
    </w:p>
    <w:p w:rsidR="00B855F4" w:rsidRPr="000C5D27" w:rsidRDefault="00B855F4" w:rsidP="00031F4B">
      <w:pPr>
        <w:tabs>
          <w:tab w:val="num" w:pos="2289"/>
        </w:tabs>
        <w:rPr>
          <w:szCs w:val="24"/>
        </w:rPr>
      </w:pPr>
    </w:p>
    <w:p w:rsidR="00B855F4" w:rsidRPr="000C5D27" w:rsidRDefault="00B855F4" w:rsidP="00031F4B">
      <w:pPr>
        <w:tabs>
          <w:tab w:val="num" w:pos="2289"/>
        </w:tabs>
        <w:rPr>
          <w:szCs w:val="24"/>
        </w:rPr>
      </w:pPr>
    </w:p>
    <w:p w:rsidR="00031F4B" w:rsidRPr="000C5D27" w:rsidRDefault="00031F4B" w:rsidP="00031F4B">
      <w:pPr>
        <w:jc w:val="center"/>
        <w:rPr>
          <w:b/>
        </w:rPr>
      </w:pPr>
      <w:r w:rsidRPr="000C5D27">
        <w:rPr>
          <w:b/>
        </w:rPr>
        <w:t xml:space="preserve">The Hon </w:t>
      </w:r>
      <w:r w:rsidR="00B855F4" w:rsidRPr="000C5D27">
        <w:rPr>
          <w:b/>
        </w:rPr>
        <w:t>Peter Dutton</w:t>
      </w:r>
      <w:r w:rsidRPr="000C5D27">
        <w:rPr>
          <w:b/>
        </w:rPr>
        <w:t xml:space="preserve"> MP</w:t>
      </w:r>
    </w:p>
    <w:p w:rsidR="00031F4B" w:rsidRPr="000C5D27" w:rsidRDefault="00031F4B" w:rsidP="00031F4B">
      <w:pPr>
        <w:jc w:val="center"/>
        <w:rPr>
          <w:b/>
        </w:rPr>
      </w:pPr>
    </w:p>
    <w:p w:rsidR="00031F4B" w:rsidRPr="002072F0" w:rsidRDefault="00B855F4" w:rsidP="00031F4B">
      <w:pPr>
        <w:jc w:val="center"/>
        <w:rPr>
          <w:b/>
        </w:rPr>
      </w:pPr>
      <w:r w:rsidRPr="000C5D27">
        <w:rPr>
          <w:b/>
        </w:rPr>
        <w:t>Minister for Health</w:t>
      </w:r>
    </w:p>
    <w:p w:rsidR="00B42851" w:rsidRPr="0030786C" w:rsidRDefault="00B42851" w:rsidP="00CB5B1A">
      <w:pPr>
        <w:pStyle w:val="Heading3"/>
      </w:pPr>
    </w:p>
    <w:sectPr w:rsidR="00B42851" w:rsidRPr="003078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628" w:rsidRDefault="00204628" w:rsidP="00EA49CD">
      <w:r>
        <w:separator/>
      </w:r>
    </w:p>
  </w:endnote>
  <w:endnote w:type="continuationSeparator" w:id="0">
    <w:p w:rsidR="00204628" w:rsidRDefault="00204628" w:rsidP="00EA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628" w:rsidRDefault="00204628" w:rsidP="00EA49CD">
      <w:r>
        <w:separator/>
      </w:r>
    </w:p>
  </w:footnote>
  <w:footnote w:type="continuationSeparator" w:id="0">
    <w:p w:rsidR="00204628" w:rsidRDefault="00204628" w:rsidP="00EA4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0BE5"/>
    <w:multiLevelType w:val="hybridMultilevel"/>
    <w:tmpl w:val="198EA58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nsid w:val="3E730E62"/>
    <w:multiLevelType w:val="hybridMultilevel"/>
    <w:tmpl w:val="E20E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71A7B40"/>
    <w:multiLevelType w:val="hybridMultilevel"/>
    <w:tmpl w:val="0DF8261C"/>
    <w:lvl w:ilvl="0" w:tplc="C6CAC3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4B"/>
    <w:rsid w:val="00007B7C"/>
    <w:rsid w:val="00021465"/>
    <w:rsid w:val="00031F4B"/>
    <w:rsid w:val="000540E6"/>
    <w:rsid w:val="000577B1"/>
    <w:rsid w:val="000C5D27"/>
    <w:rsid w:val="000D0680"/>
    <w:rsid w:val="000E0869"/>
    <w:rsid w:val="00104F7D"/>
    <w:rsid w:val="001142F5"/>
    <w:rsid w:val="001353A1"/>
    <w:rsid w:val="00155A04"/>
    <w:rsid w:val="00156DF2"/>
    <w:rsid w:val="0016477A"/>
    <w:rsid w:val="00165BFC"/>
    <w:rsid w:val="001B3443"/>
    <w:rsid w:val="00204628"/>
    <w:rsid w:val="00205028"/>
    <w:rsid w:val="002176BC"/>
    <w:rsid w:val="002B6757"/>
    <w:rsid w:val="002F1F4E"/>
    <w:rsid w:val="002F31CC"/>
    <w:rsid w:val="0030786C"/>
    <w:rsid w:val="00382773"/>
    <w:rsid w:val="003B337F"/>
    <w:rsid w:val="003F72E1"/>
    <w:rsid w:val="003F72F7"/>
    <w:rsid w:val="004304C2"/>
    <w:rsid w:val="00437F91"/>
    <w:rsid w:val="00441606"/>
    <w:rsid w:val="00451D80"/>
    <w:rsid w:val="00466C7E"/>
    <w:rsid w:val="00475955"/>
    <w:rsid w:val="004867E2"/>
    <w:rsid w:val="00517104"/>
    <w:rsid w:val="0054600A"/>
    <w:rsid w:val="00546C6E"/>
    <w:rsid w:val="005557CF"/>
    <w:rsid w:val="00590F61"/>
    <w:rsid w:val="005A1E07"/>
    <w:rsid w:val="005D4E3A"/>
    <w:rsid w:val="00604D8E"/>
    <w:rsid w:val="0060537A"/>
    <w:rsid w:val="006064CE"/>
    <w:rsid w:val="006B70D4"/>
    <w:rsid w:val="0070011F"/>
    <w:rsid w:val="0076412C"/>
    <w:rsid w:val="00815C80"/>
    <w:rsid w:val="008264EB"/>
    <w:rsid w:val="00867616"/>
    <w:rsid w:val="008B3C82"/>
    <w:rsid w:val="008C3721"/>
    <w:rsid w:val="008D24F4"/>
    <w:rsid w:val="008D3D3F"/>
    <w:rsid w:val="00913C6F"/>
    <w:rsid w:val="009C6C58"/>
    <w:rsid w:val="00A236B3"/>
    <w:rsid w:val="00A570E6"/>
    <w:rsid w:val="00A82603"/>
    <w:rsid w:val="00B15590"/>
    <w:rsid w:val="00B42851"/>
    <w:rsid w:val="00B54413"/>
    <w:rsid w:val="00B56D3C"/>
    <w:rsid w:val="00B57A04"/>
    <w:rsid w:val="00B855F4"/>
    <w:rsid w:val="00BA3CEA"/>
    <w:rsid w:val="00BA5ACA"/>
    <w:rsid w:val="00C63071"/>
    <w:rsid w:val="00C72ABF"/>
    <w:rsid w:val="00C95BC8"/>
    <w:rsid w:val="00CB5B1A"/>
    <w:rsid w:val="00D21E3D"/>
    <w:rsid w:val="00EA49CD"/>
    <w:rsid w:val="00EA5B9F"/>
    <w:rsid w:val="00EC6536"/>
    <w:rsid w:val="00F74D69"/>
    <w:rsid w:val="00FB2F55"/>
    <w:rsid w:val="00FD4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before="240"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F4B"/>
    <w:pPr>
      <w:spacing w:before="0" w:after="0"/>
    </w:pPr>
    <w:rPr>
      <w:sz w:val="24"/>
    </w:rPr>
  </w:style>
  <w:style w:type="paragraph" w:styleId="Heading1">
    <w:name w:val="heading 1"/>
    <w:basedOn w:val="Normal"/>
    <w:next w:val="Normal"/>
    <w:qFormat/>
    <w:rsid w:val="008264EB"/>
    <w:pPr>
      <w:keepNext/>
      <w:outlineLvl w:val="0"/>
    </w:pPr>
    <w:rPr>
      <w:rFonts w:cs="Arial"/>
      <w:b/>
      <w:bCs/>
      <w:kern w:val="32"/>
      <w:sz w:val="32"/>
      <w:szCs w:val="32"/>
    </w:rPr>
  </w:style>
  <w:style w:type="paragraph" w:styleId="Heading2">
    <w:name w:val="heading 2"/>
    <w:basedOn w:val="Normal"/>
    <w:next w:val="Normal"/>
    <w:qFormat/>
    <w:rsid w:val="008264EB"/>
    <w:pPr>
      <w:keepNext/>
      <w:outlineLvl w:val="1"/>
    </w:pPr>
    <w:rPr>
      <w:rFonts w:cs="Arial"/>
      <w:b/>
      <w:bCs/>
      <w:i/>
      <w:iCs/>
      <w:sz w:val="28"/>
      <w:szCs w:val="28"/>
    </w:rPr>
  </w:style>
  <w:style w:type="paragraph" w:styleId="Heading3">
    <w:name w:val="heading 3"/>
    <w:basedOn w:val="Normal"/>
    <w:next w:val="Normal"/>
    <w:qFormat/>
    <w:rsid w:val="008264EB"/>
    <w:pPr>
      <w:keepNext/>
      <w:outlineLvl w:val="2"/>
    </w:pPr>
    <w:rPr>
      <w:rFonts w:cs="Arial"/>
      <w:b/>
      <w:bCs/>
      <w:sz w:val="26"/>
      <w:szCs w:val="26"/>
    </w:rPr>
  </w:style>
  <w:style w:type="paragraph" w:styleId="Heading4">
    <w:name w:val="heading 4"/>
    <w:basedOn w:val="Normal"/>
    <w:next w:val="Normal"/>
    <w:qFormat/>
    <w:rsid w:val="00CB5B1A"/>
    <w:pPr>
      <w:keepNext/>
      <w:outlineLvl w:val="3"/>
    </w:pPr>
    <w:rPr>
      <w:b/>
      <w:bCs/>
      <w:i/>
      <w:sz w:val="26"/>
      <w:szCs w:val="28"/>
    </w:rPr>
  </w:style>
  <w:style w:type="paragraph" w:styleId="Heading5">
    <w:name w:val="heading 5"/>
    <w:basedOn w:val="Normal"/>
    <w:next w:val="Normal"/>
    <w:qFormat/>
    <w:rsid w:val="00CB5B1A"/>
    <w:pPr>
      <w:outlineLvl w:val="4"/>
    </w:pPr>
    <w:rPr>
      <w:b/>
      <w:bCs/>
      <w:iCs/>
      <w:sz w:val="26"/>
      <w:szCs w:val="26"/>
    </w:rPr>
  </w:style>
  <w:style w:type="paragraph" w:styleId="Heading6">
    <w:name w:val="heading 6"/>
    <w:basedOn w:val="Normal"/>
    <w:next w:val="Normal"/>
    <w:qFormat/>
    <w:rsid w:val="00CB5B1A"/>
    <w:pPr>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031F4B"/>
    <w:pPr>
      <w:jc w:val="right"/>
    </w:pPr>
    <w:rPr>
      <w:b/>
    </w:rPr>
  </w:style>
  <w:style w:type="character" w:customStyle="1" w:styleId="AppendixCharChar">
    <w:name w:val="Appendix Char Char"/>
    <w:link w:val="Appendix"/>
    <w:rsid w:val="00031F4B"/>
    <w:rPr>
      <w:b/>
      <w:sz w:val="24"/>
    </w:rPr>
  </w:style>
  <w:style w:type="paragraph" w:styleId="BodyText">
    <w:name w:val="Body Text"/>
    <w:basedOn w:val="Normal"/>
    <w:link w:val="BodyTextChar"/>
    <w:rsid w:val="00031F4B"/>
    <w:rPr>
      <w:b/>
    </w:rPr>
  </w:style>
  <w:style w:type="character" w:customStyle="1" w:styleId="BodyTextChar">
    <w:name w:val="Body Text Char"/>
    <w:basedOn w:val="DefaultParagraphFont"/>
    <w:link w:val="BodyText"/>
    <w:rsid w:val="00031F4B"/>
    <w:rPr>
      <w:b/>
      <w:sz w:val="24"/>
    </w:rPr>
  </w:style>
  <w:style w:type="paragraph" w:customStyle="1" w:styleId="ShortT">
    <w:name w:val="ShortT"/>
    <w:basedOn w:val="Normal"/>
    <w:next w:val="Normal"/>
    <w:qFormat/>
    <w:rsid w:val="00031F4B"/>
    <w:rPr>
      <w:b/>
      <w:sz w:val="40"/>
    </w:rPr>
  </w:style>
  <w:style w:type="paragraph" w:styleId="ListParagraph">
    <w:name w:val="List Paragraph"/>
    <w:basedOn w:val="Normal"/>
    <w:uiPriority w:val="34"/>
    <w:qFormat/>
    <w:rsid w:val="00FB2F55"/>
    <w:pPr>
      <w:spacing w:after="200" w:line="276" w:lineRule="auto"/>
      <w:ind w:left="720"/>
      <w:contextualSpacing/>
    </w:pPr>
    <w:rPr>
      <w:rFonts w:eastAsiaTheme="minorHAnsi" w:cstheme="minorBidi"/>
      <w:szCs w:val="22"/>
      <w:lang w:eastAsia="en-US"/>
    </w:rPr>
  </w:style>
  <w:style w:type="character" w:styleId="CommentReference">
    <w:name w:val="annotation reference"/>
    <w:basedOn w:val="DefaultParagraphFont"/>
    <w:rsid w:val="00205028"/>
    <w:rPr>
      <w:sz w:val="16"/>
      <w:szCs w:val="16"/>
    </w:rPr>
  </w:style>
  <w:style w:type="paragraph" w:styleId="CommentText">
    <w:name w:val="annotation text"/>
    <w:basedOn w:val="Normal"/>
    <w:link w:val="CommentTextChar"/>
    <w:rsid w:val="00205028"/>
    <w:rPr>
      <w:sz w:val="20"/>
    </w:rPr>
  </w:style>
  <w:style w:type="character" w:customStyle="1" w:styleId="CommentTextChar">
    <w:name w:val="Comment Text Char"/>
    <w:basedOn w:val="DefaultParagraphFont"/>
    <w:link w:val="CommentText"/>
    <w:rsid w:val="00205028"/>
  </w:style>
  <w:style w:type="paragraph" w:styleId="CommentSubject">
    <w:name w:val="annotation subject"/>
    <w:basedOn w:val="CommentText"/>
    <w:next w:val="CommentText"/>
    <w:link w:val="CommentSubjectChar"/>
    <w:rsid w:val="00205028"/>
    <w:rPr>
      <w:b/>
      <w:bCs/>
    </w:rPr>
  </w:style>
  <w:style w:type="character" w:customStyle="1" w:styleId="CommentSubjectChar">
    <w:name w:val="Comment Subject Char"/>
    <w:basedOn w:val="CommentTextChar"/>
    <w:link w:val="CommentSubject"/>
    <w:rsid w:val="00205028"/>
    <w:rPr>
      <w:b/>
      <w:bCs/>
    </w:rPr>
  </w:style>
  <w:style w:type="paragraph" w:styleId="BalloonText">
    <w:name w:val="Balloon Text"/>
    <w:basedOn w:val="Normal"/>
    <w:link w:val="BalloonTextChar"/>
    <w:rsid w:val="00205028"/>
    <w:rPr>
      <w:rFonts w:ascii="Tahoma" w:hAnsi="Tahoma" w:cs="Tahoma"/>
      <w:sz w:val="16"/>
      <w:szCs w:val="16"/>
    </w:rPr>
  </w:style>
  <w:style w:type="character" w:customStyle="1" w:styleId="BalloonTextChar">
    <w:name w:val="Balloon Text Char"/>
    <w:basedOn w:val="DefaultParagraphFont"/>
    <w:link w:val="BalloonText"/>
    <w:rsid w:val="00205028"/>
    <w:rPr>
      <w:rFonts w:ascii="Tahoma" w:hAnsi="Tahoma" w:cs="Tahoma"/>
      <w:sz w:val="16"/>
      <w:szCs w:val="16"/>
    </w:rPr>
  </w:style>
  <w:style w:type="paragraph" w:styleId="Header">
    <w:name w:val="header"/>
    <w:basedOn w:val="Normal"/>
    <w:link w:val="HeaderChar"/>
    <w:rsid w:val="00EA49CD"/>
    <w:pPr>
      <w:tabs>
        <w:tab w:val="center" w:pos="4513"/>
        <w:tab w:val="right" w:pos="9026"/>
      </w:tabs>
    </w:pPr>
  </w:style>
  <w:style w:type="character" w:customStyle="1" w:styleId="HeaderChar">
    <w:name w:val="Header Char"/>
    <w:basedOn w:val="DefaultParagraphFont"/>
    <w:link w:val="Header"/>
    <w:rsid w:val="00EA49CD"/>
    <w:rPr>
      <w:sz w:val="24"/>
    </w:rPr>
  </w:style>
  <w:style w:type="paragraph" w:styleId="Footer">
    <w:name w:val="footer"/>
    <w:basedOn w:val="Normal"/>
    <w:link w:val="FooterChar"/>
    <w:rsid w:val="00EA49CD"/>
    <w:pPr>
      <w:tabs>
        <w:tab w:val="center" w:pos="4513"/>
        <w:tab w:val="right" w:pos="9026"/>
      </w:tabs>
    </w:pPr>
  </w:style>
  <w:style w:type="character" w:customStyle="1" w:styleId="FooterChar">
    <w:name w:val="Footer Char"/>
    <w:basedOn w:val="DefaultParagraphFont"/>
    <w:link w:val="Footer"/>
    <w:rsid w:val="00EA49C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before="240"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F4B"/>
    <w:pPr>
      <w:spacing w:before="0" w:after="0"/>
    </w:pPr>
    <w:rPr>
      <w:sz w:val="24"/>
    </w:rPr>
  </w:style>
  <w:style w:type="paragraph" w:styleId="Heading1">
    <w:name w:val="heading 1"/>
    <w:basedOn w:val="Normal"/>
    <w:next w:val="Normal"/>
    <w:qFormat/>
    <w:rsid w:val="008264EB"/>
    <w:pPr>
      <w:keepNext/>
      <w:outlineLvl w:val="0"/>
    </w:pPr>
    <w:rPr>
      <w:rFonts w:cs="Arial"/>
      <w:b/>
      <w:bCs/>
      <w:kern w:val="32"/>
      <w:sz w:val="32"/>
      <w:szCs w:val="32"/>
    </w:rPr>
  </w:style>
  <w:style w:type="paragraph" w:styleId="Heading2">
    <w:name w:val="heading 2"/>
    <w:basedOn w:val="Normal"/>
    <w:next w:val="Normal"/>
    <w:qFormat/>
    <w:rsid w:val="008264EB"/>
    <w:pPr>
      <w:keepNext/>
      <w:outlineLvl w:val="1"/>
    </w:pPr>
    <w:rPr>
      <w:rFonts w:cs="Arial"/>
      <w:b/>
      <w:bCs/>
      <w:i/>
      <w:iCs/>
      <w:sz w:val="28"/>
      <w:szCs w:val="28"/>
    </w:rPr>
  </w:style>
  <w:style w:type="paragraph" w:styleId="Heading3">
    <w:name w:val="heading 3"/>
    <w:basedOn w:val="Normal"/>
    <w:next w:val="Normal"/>
    <w:qFormat/>
    <w:rsid w:val="008264EB"/>
    <w:pPr>
      <w:keepNext/>
      <w:outlineLvl w:val="2"/>
    </w:pPr>
    <w:rPr>
      <w:rFonts w:cs="Arial"/>
      <w:b/>
      <w:bCs/>
      <w:sz w:val="26"/>
      <w:szCs w:val="26"/>
    </w:rPr>
  </w:style>
  <w:style w:type="paragraph" w:styleId="Heading4">
    <w:name w:val="heading 4"/>
    <w:basedOn w:val="Normal"/>
    <w:next w:val="Normal"/>
    <w:qFormat/>
    <w:rsid w:val="00CB5B1A"/>
    <w:pPr>
      <w:keepNext/>
      <w:outlineLvl w:val="3"/>
    </w:pPr>
    <w:rPr>
      <w:b/>
      <w:bCs/>
      <w:i/>
      <w:sz w:val="26"/>
      <w:szCs w:val="28"/>
    </w:rPr>
  </w:style>
  <w:style w:type="paragraph" w:styleId="Heading5">
    <w:name w:val="heading 5"/>
    <w:basedOn w:val="Normal"/>
    <w:next w:val="Normal"/>
    <w:qFormat/>
    <w:rsid w:val="00CB5B1A"/>
    <w:pPr>
      <w:outlineLvl w:val="4"/>
    </w:pPr>
    <w:rPr>
      <w:b/>
      <w:bCs/>
      <w:iCs/>
      <w:sz w:val="26"/>
      <w:szCs w:val="26"/>
    </w:rPr>
  </w:style>
  <w:style w:type="paragraph" w:styleId="Heading6">
    <w:name w:val="heading 6"/>
    <w:basedOn w:val="Normal"/>
    <w:next w:val="Normal"/>
    <w:qFormat/>
    <w:rsid w:val="00CB5B1A"/>
    <w:pPr>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031F4B"/>
    <w:pPr>
      <w:jc w:val="right"/>
    </w:pPr>
    <w:rPr>
      <w:b/>
    </w:rPr>
  </w:style>
  <w:style w:type="character" w:customStyle="1" w:styleId="AppendixCharChar">
    <w:name w:val="Appendix Char Char"/>
    <w:link w:val="Appendix"/>
    <w:rsid w:val="00031F4B"/>
    <w:rPr>
      <w:b/>
      <w:sz w:val="24"/>
    </w:rPr>
  </w:style>
  <w:style w:type="paragraph" w:styleId="BodyText">
    <w:name w:val="Body Text"/>
    <w:basedOn w:val="Normal"/>
    <w:link w:val="BodyTextChar"/>
    <w:rsid w:val="00031F4B"/>
    <w:rPr>
      <w:b/>
    </w:rPr>
  </w:style>
  <w:style w:type="character" w:customStyle="1" w:styleId="BodyTextChar">
    <w:name w:val="Body Text Char"/>
    <w:basedOn w:val="DefaultParagraphFont"/>
    <w:link w:val="BodyText"/>
    <w:rsid w:val="00031F4B"/>
    <w:rPr>
      <w:b/>
      <w:sz w:val="24"/>
    </w:rPr>
  </w:style>
  <w:style w:type="paragraph" w:customStyle="1" w:styleId="ShortT">
    <w:name w:val="ShortT"/>
    <w:basedOn w:val="Normal"/>
    <w:next w:val="Normal"/>
    <w:qFormat/>
    <w:rsid w:val="00031F4B"/>
    <w:rPr>
      <w:b/>
      <w:sz w:val="40"/>
    </w:rPr>
  </w:style>
  <w:style w:type="paragraph" w:styleId="ListParagraph">
    <w:name w:val="List Paragraph"/>
    <w:basedOn w:val="Normal"/>
    <w:uiPriority w:val="34"/>
    <w:qFormat/>
    <w:rsid w:val="00FB2F55"/>
    <w:pPr>
      <w:spacing w:after="200" w:line="276" w:lineRule="auto"/>
      <w:ind w:left="720"/>
      <w:contextualSpacing/>
    </w:pPr>
    <w:rPr>
      <w:rFonts w:eastAsiaTheme="minorHAnsi" w:cstheme="minorBidi"/>
      <w:szCs w:val="22"/>
      <w:lang w:eastAsia="en-US"/>
    </w:rPr>
  </w:style>
  <w:style w:type="character" w:styleId="CommentReference">
    <w:name w:val="annotation reference"/>
    <w:basedOn w:val="DefaultParagraphFont"/>
    <w:rsid w:val="00205028"/>
    <w:rPr>
      <w:sz w:val="16"/>
      <w:szCs w:val="16"/>
    </w:rPr>
  </w:style>
  <w:style w:type="paragraph" w:styleId="CommentText">
    <w:name w:val="annotation text"/>
    <w:basedOn w:val="Normal"/>
    <w:link w:val="CommentTextChar"/>
    <w:rsid w:val="00205028"/>
    <w:rPr>
      <w:sz w:val="20"/>
    </w:rPr>
  </w:style>
  <w:style w:type="character" w:customStyle="1" w:styleId="CommentTextChar">
    <w:name w:val="Comment Text Char"/>
    <w:basedOn w:val="DefaultParagraphFont"/>
    <w:link w:val="CommentText"/>
    <w:rsid w:val="00205028"/>
  </w:style>
  <w:style w:type="paragraph" w:styleId="CommentSubject">
    <w:name w:val="annotation subject"/>
    <w:basedOn w:val="CommentText"/>
    <w:next w:val="CommentText"/>
    <w:link w:val="CommentSubjectChar"/>
    <w:rsid w:val="00205028"/>
    <w:rPr>
      <w:b/>
      <w:bCs/>
    </w:rPr>
  </w:style>
  <w:style w:type="character" w:customStyle="1" w:styleId="CommentSubjectChar">
    <w:name w:val="Comment Subject Char"/>
    <w:basedOn w:val="CommentTextChar"/>
    <w:link w:val="CommentSubject"/>
    <w:rsid w:val="00205028"/>
    <w:rPr>
      <w:b/>
      <w:bCs/>
    </w:rPr>
  </w:style>
  <w:style w:type="paragraph" w:styleId="BalloonText">
    <w:name w:val="Balloon Text"/>
    <w:basedOn w:val="Normal"/>
    <w:link w:val="BalloonTextChar"/>
    <w:rsid w:val="00205028"/>
    <w:rPr>
      <w:rFonts w:ascii="Tahoma" w:hAnsi="Tahoma" w:cs="Tahoma"/>
      <w:sz w:val="16"/>
      <w:szCs w:val="16"/>
    </w:rPr>
  </w:style>
  <w:style w:type="character" w:customStyle="1" w:styleId="BalloonTextChar">
    <w:name w:val="Balloon Text Char"/>
    <w:basedOn w:val="DefaultParagraphFont"/>
    <w:link w:val="BalloonText"/>
    <w:rsid w:val="00205028"/>
    <w:rPr>
      <w:rFonts w:ascii="Tahoma" w:hAnsi="Tahoma" w:cs="Tahoma"/>
      <w:sz w:val="16"/>
      <w:szCs w:val="16"/>
    </w:rPr>
  </w:style>
  <w:style w:type="paragraph" w:styleId="Header">
    <w:name w:val="header"/>
    <w:basedOn w:val="Normal"/>
    <w:link w:val="HeaderChar"/>
    <w:rsid w:val="00EA49CD"/>
    <w:pPr>
      <w:tabs>
        <w:tab w:val="center" w:pos="4513"/>
        <w:tab w:val="right" w:pos="9026"/>
      </w:tabs>
    </w:pPr>
  </w:style>
  <w:style w:type="character" w:customStyle="1" w:styleId="HeaderChar">
    <w:name w:val="Header Char"/>
    <w:basedOn w:val="DefaultParagraphFont"/>
    <w:link w:val="Header"/>
    <w:rsid w:val="00EA49CD"/>
    <w:rPr>
      <w:sz w:val="24"/>
    </w:rPr>
  </w:style>
  <w:style w:type="paragraph" w:styleId="Footer">
    <w:name w:val="footer"/>
    <w:basedOn w:val="Normal"/>
    <w:link w:val="FooterChar"/>
    <w:rsid w:val="00EA49CD"/>
    <w:pPr>
      <w:tabs>
        <w:tab w:val="center" w:pos="4513"/>
        <w:tab w:val="right" w:pos="9026"/>
      </w:tabs>
    </w:pPr>
  </w:style>
  <w:style w:type="character" w:customStyle="1" w:styleId="FooterChar">
    <w:name w:val="Footer Char"/>
    <w:basedOn w:val="DefaultParagraphFont"/>
    <w:link w:val="Footer"/>
    <w:rsid w:val="00EA49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Reason xmlns="C24EE59C-0C67-4756-BFD5-C34237F8D665" xsi:nil="true"/>
    <SecurityClassification xmlns="C24EE59C-0C67-4756-BFD5-C34237F8D665" xsi:nil="true"/>
    <pdms_DocumentType xmlns="C24EE59C-0C67-4756-BFD5-C34237F8D665" xsi:nil="true"/>
    <pdms_SecurityClassification xmlns="C24EE59C-0C67-4756-BFD5-C34237F8D665" xsi:nil="true"/>
    <pdms_AttachedBy xmlns="C24EE59C-0C67-4756-BFD5-C34237F8D6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9A1053DC2920640B715DE3CEE56BFF2" ma:contentTypeVersion="" ma:contentTypeDescription="PDMS Documentation Content Type" ma:contentTypeScope="" ma:versionID="95808fc39a4fd498d2ff226d0128213c">
  <xsd:schema xmlns:xsd="http://www.w3.org/2001/XMLSchema" xmlns:xs="http://www.w3.org/2001/XMLSchema" xmlns:p="http://schemas.microsoft.com/office/2006/metadata/properties" xmlns:ns2="C24EE59C-0C67-4756-BFD5-C34237F8D665" targetNamespace="http://schemas.microsoft.com/office/2006/metadata/properties" ma:root="true" ma:fieldsID="02fd61cc74855d5529c85bf83b442feb" ns2:_="">
    <xsd:import namespace="C24EE59C-0C67-4756-BFD5-C34237F8D665"/>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EE59C-0C67-4756-BFD5-C34237F8D66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EF0E3-31B5-48D3-B0DD-DE24A0E4CC4F}">
  <ds:schemaRefs>
    <ds:schemaRef ds:uri="http://purl.org/dc/dcmitype/"/>
    <ds:schemaRef ds:uri="http://schemas.openxmlformats.org/package/2006/metadata/core-properties"/>
    <ds:schemaRef ds:uri="http://schemas.microsoft.com/office/2006/documentManagement/types"/>
    <ds:schemaRef ds:uri="C24EE59C-0C67-4756-BFD5-C34237F8D665"/>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3A9EA95-E21E-41CE-B209-A65710A9C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EE59C-0C67-4756-BFD5-C34237F8D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8FC0A-9F35-49A3-92A2-952815072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5102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Eleanor</dc:creator>
  <cp:lastModifiedBy>Lewis Eleanor</cp:lastModifiedBy>
  <cp:revision>2</cp:revision>
  <cp:lastPrinted>2014-08-04T23:07:00Z</cp:lastPrinted>
  <dcterms:created xsi:type="dcterms:W3CDTF">2015-01-07T05:04:00Z</dcterms:created>
  <dcterms:modified xsi:type="dcterms:W3CDTF">2015-01-07T05:04:00Z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0x010100266966F133664895A6EE3632470D45F5010059A1053DC2920640B715DE3CEE56BFF2</vt:lpwstr>
  </property>
</Properties>
</file>