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C" w:rsidRDefault="00CB2DCF" w:rsidP="002E567D">
      <w:pPr>
        <w:pStyle w:val="Heading1"/>
        <w:ind w:left="284"/>
        <w:rPr>
          <w:szCs w:val="24"/>
        </w:rPr>
      </w:pPr>
      <w:r>
        <w:rPr>
          <w:szCs w:val="24"/>
        </w:rPr>
        <w:t>EXPLANATORY STATEMENT</w:t>
      </w:r>
    </w:p>
    <w:p w:rsidR="00E71CAA" w:rsidRPr="00E71CAA" w:rsidRDefault="00E71CAA" w:rsidP="00E71CAA"/>
    <w:p w:rsidR="00E71CAA" w:rsidRDefault="00E71CAA" w:rsidP="00E71CAA">
      <w:pPr>
        <w:ind w:left="284"/>
        <w:rPr>
          <w:szCs w:val="24"/>
          <w:u w:val="single"/>
        </w:rPr>
      </w:pPr>
    </w:p>
    <w:p w:rsidR="00CB2DCF" w:rsidRPr="00786693" w:rsidRDefault="00CB2DCF" w:rsidP="00CB2DCF">
      <w:pPr>
        <w:ind w:left="284"/>
        <w:jc w:val="center"/>
        <w:rPr>
          <w:b/>
          <w:szCs w:val="24"/>
          <w:u w:val="single"/>
        </w:rPr>
      </w:pPr>
      <w:r w:rsidRPr="00786693">
        <w:rPr>
          <w:b/>
          <w:szCs w:val="24"/>
          <w:u w:val="single"/>
        </w:rPr>
        <w:t>Se</w:t>
      </w:r>
      <w:r w:rsidR="00D24A59" w:rsidRPr="00786693">
        <w:rPr>
          <w:b/>
          <w:szCs w:val="24"/>
          <w:u w:val="single"/>
        </w:rPr>
        <w:t xml:space="preserve">lect Legislative Instrument </w:t>
      </w:r>
      <w:r w:rsidR="00786693">
        <w:rPr>
          <w:b/>
          <w:szCs w:val="24"/>
          <w:u w:val="single"/>
        </w:rPr>
        <w:t>No. 1, 2015</w:t>
      </w:r>
    </w:p>
    <w:p w:rsidR="002E5F5C" w:rsidRDefault="002E5F5C" w:rsidP="002E5F5C">
      <w:pPr>
        <w:rPr>
          <w:szCs w:val="24"/>
        </w:rPr>
      </w:pPr>
    </w:p>
    <w:p w:rsidR="002E5F5C" w:rsidRDefault="002E5F5C" w:rsidP="00CB2DCF">
      <w:pPr>
        <w:widowControl w:val="0"/>
        <w:tabs>
          <w:tab w:val="left" w:pos="1418"/>
        </w:tabs>
        <w:jc w:val="center"/>
        <w:rPr>
          <w:i/>
          <w:szCs w:val="24"/>
        </w:rPr>
      </w:pPr>
      <w:r>
        <w:rPr>
          <w:i/>
          <w:szCs w:val="24"/>
        </w:rPr>
        <w:t>Health Insurance Act 1973</w:t>
      </w:r>
    </w:p>
    <w:p w:rsidR="00C56251" w:rsidRPr="00414613" w:rsidRDefault="00C56251" w:rsidP="002E5F5C">
      <w:pPr>
        <w:tabs>
          <w:tab w:val="left" w:pos="1418"/>
        </w:tabs>
        <w:rPr>
          <w:i/>
          <w:szCs w:val="24"/>
        </w:rPr>
      </w:pPr>
    </w:p>
    <w:p w:rsidR="008611CE" w:rsidRDefault="00E30B19" w:rsidP="00E30B19">
      <w:pPr>
        <w:jc w:val="center"/>
        <w:rPr>
          <w:i/>
          <w:szCs w:val="24"/>
        </w:rPr>
      </w:pPr>
      <w:r w:rsidRPr="004C43F3">
        <w:rPr>
          <w:i/>
          <w:szCs w:val="24"/>
        </w:rPr>
        <w:t>Health Insurance (General M</w:t>
      </w:r>
      <w:r w:rsidR="00C7626E">
        <w:rPr>
          <w:i/>
          <w:szCs w:val="24"/>
        </w:rPr>
        <w:t>edical Services Table) Repeal</w:t>
      </w:r>
      <w:r w:rsidRPr="004C43F3">
        <w:rPr>
          <w:i/>
          <w:szCs w:val="24"/>
        </w:rPr>
        <w:t xml:space="preserve"> (Duration</w:t>
      </w:r>
      <w:r>
        <w:rPr>
          <w:i/>
          <w:szCs w:val="24"/>
        </w:rPr>
        <w:t xml:space="preserve"> of Attendance</w:t>
      </w:r>
      <w:r w:rsidR="00261C5D">
        <w:rPr>
          <w:i/>
          <w:szCs w:val="24"/>
        </w:rPr>
        <w:t xml:space="preserve">) </w:t>
      </w:r>
      <w:r w:rsidR="00201CCA">
        <w:rPr>
          <w:i/>
          <w:szCs w:val="24"/>
        </w:rPr>
        <w:t>Regulation 2015</w:t>
      </w:r>
    </w:p>
    <w:p w:rsidR="00E30B19" w:rsidRDefault="00E30B19" w:rsidP="008611CE">
      <w:pPr>
        <w:rPr>
          <w:szCs w:val="24"/>
        </w:rPr>
      </w:pPr>
    </w:p>
    <w:p w:rsidR="008611CE" w:rsidRPr="00A96CFE" w:rsidRDefault="008611CE" w:rsidP="008611CE">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8611CE" w:rsidRPr="00A96CFE" w:rsidRDefault="008611CE" w:rsidP="008611CE">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8611CE" w:rsidRPr="00A96CFE" w:rsidRDefault="008611CE" w:rsidP="008611CE">
      <w:pPr>
        <w:rPr>
          <w:sz w:val="16"/>
          <w:szCs w:val="16"/>
        </w:rPr>
      </w:pPr>
    </w:p>
    <w:p w:rsidR="008611CE" w:rsidRPr="00A96CFE" w:rsidRDefault="008611CE" w:rsidP="008611CE">
      <w:pPr>
        <w:rPr>
          <w:szCs w:val="24"/>
        </w:rPr>
      </w:pPr>
      <w:r w:rsidRPr="00A96CFE">
        <w:rPr>
          <w:szCs w:val="24"/>
        </w:rPr>
        <w:t>Part II of the Act provides for the payment of Medicare benefits for professional services</w:t>
      </w:r>
      <w:r>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8611CE" w:rsidRPr="00A96CFE" w:rsidRDefault="008611CE" w:rsidP="008611CE">
      <w:pPr>
        <w:rPr>
          <w:sz w:val="16"/>
          <w:szCs w:val="16"/>
        </w:rPr>
      </w:pPr>
    </w:p>
    <w:p w:rsidR="008611CE" w:rsidRDefault="008611CE" w:rsidP="008611CE">
      <w:pPr>
        <w:autoSpaceDE w:val="0"/>
        <w:autoSpaceDN w:val="0"/>
        <w:adjustRightInd w:val="0"/>
        <w:rPr>
          <w:szCs w:val="24"/>
        </w:rPr>
      </w:pPr>
      <w:r w:rsidRPr="00A96CFE">
        <w:rPr>
          <w:szCs w:val="24"/>
        </w:rPr>
        <w:t xml:space="preserve">Subsection </w:t>
      </w:r>
      <w:r>
        <w:rPr>
          <w:szCs w:val="24"/>
        </w:rPr>
        <w:t xml:space="preserve">4(1) </w:t>
      </w:r>
      <w:r w:rsidRPr="00A96CFE">
        <w:rPr>
          <w:szCs w:val="24"/>
        </w:rPr>
        <w:t xml:space="preserve">of the Act provides that the regulations </w:t>
      </w:r>
      <w:r>
        <w:rPr>
          <w:szCs w:val="24"/>
        </w:rPr>
        <w:t xml:space="preserve">may prescribe a table of medical </w:t>
      </w:r>
      <w:r w:rsidRPr="00A96CFE">
        <w:rPr>
          <w:szCs w:val="24"/>
        </w:rPr>
        <w:t xml:space="preserve">services </w:t>
      </w:r>
      <w:r>
        <w:rPr>
          <w:szCs w:val="24"/>
        </w:rPr>
        <w:t xml:space="preserve">which set out items of medical </w:t>
      </w:r>
      <w:r w:rsidRPr="00A96CFE">
        <w:rPr>
          <w:szCs w:val="24"/>
        </w:rPr>
        <w:t xml:space="preserve">services, the fees applicable for each item, and rules for interpreting the table.  The </w:t>
      </w:r>
      <w:r w:rsidRPr="00E34403">
        <w:rPr>
          <w:i/>
          <w:szCs w:val="24"/>
        </w:rPr>
        <w:t>Health Insurance (General Medical Services Table) Regulation 2014</w:t>
      </w:r>
      <w:r>
        <w:rPr>
          <w:i/>
          <w:szCs w:val="24"/>
        </w:rPr>
        <w:t xml:space="preserve"> </w:t>
      </w:r>
      <w:r>
        <w:rPr>
          <w:szCs w:val="24"/>
        </w:rPr>
        <w:t>(</w:t>
      </w:r>
      <w:r w:rsidRPr="001D005C">
        <w:rPr>
          <w:szCs w:val="24"/>
        </w:rPr>
        <w:t>GMST</w:t>
      </w:r>
      <w:r>
        <w:rPr>
          <w:szCs w:val="24"/>
        </w:rPr>
        <w:t xml:space="preserve">) </w:t>
      </w:r>
      <w:r w:rsidRPr="00A96CFE">
        <w:rPr>
          <w:szCs w:val="24"/>
        </w:rPr>
        <w:t>currently prescribe</w:t>
      </w:r>
      <w:r w:rsidR="00CC0238">
        <w:rPr>
          <w:szCs w:val="24"/>
        </w:rPr>
        <w:t>s</w:t>
      </w:r>
      <w:r>
        <w:rPr>
          <w:szCs w:val="24"/>
        </w:rPr>
        <w:t xml:space="preserve"> such </w:t>
      </w:r>
      <w:r w:rsidR="00CC0238">
        <w:rPr>
          <w:szCs w:val="24"/>
        </w:rPr>
        <w:t xml:space="preserve">a </w:t>
      </w:r>
      <w:r w:rsidRPr="00A96CFE">
        <w:rPr>
          <w:szCs w:val="24"/>
        </w:rPr>
        <w:t>table.</w:t>
      </w:r>
      <w:r>
        <w:rPr>
          <w:szCs w:val="24"/>
        </w:rPr>
        <w:t xml:space="preserve"> </w:t>
      </w:r>
    </w:p>
    <w:p w:rsidR="00E71CAA" w:rsidRDefault="00E71CAA" w:rsidP="0091346E">
      <w:bookmarkStart w:id="0" w:name="_GoBack"/>
      <w:bookmarkEnd w:id="0"/>
    </w:p>
    <w:p w:rsidR="00201CCA" w:rsidRPr="006F43F8" w:rsidRDefault="00201CCA" w:rsidP="00201CCA">
      <w:pPr>
        <w:tabs>
          <w:tab w:val="left" w:pos="1418"/>
        </w:tabs>
        <w:rPr>
          <w:i/>
          <w:szCs w:val="24"/>
        </w:rPr>
      </w:pPr>
      <w:r w:rsidRPr="003304DD">
        <w:t xml:space="preserve">The </w:t>
      </w:r>
      <w:r w:rsidRPr="003304DD">
        <w:rPr>
          <w:i/>
          <w:szCs w:val="24"/>
        </w:rPr>
        <w:t>Health Insurance (General M</w:t>
      </w:r>
      <w:r w:rsidR="00C7626E">
        <w:rPr>
          <w:i/>
          <w:szCs w:val="24"/>
        </w:rPr>
        <w:t>edical Services Table) Repeal</w:t>
      </w:r>
      <w:r w:rsidRPr="003304DD">
        <w:rPr>
          <w:i/>
          <w:szCs w:val="24"/>
        </w:rPr>
        <w:t xml:space="preserve"> (Duration of Attendance</w:t>
      </w:r>
      <w:r>
        <w:rPr>
          <w:i/>
          <w:szCs w:val="24"/>
        </w:rPr>
        <w:t xml:space="preserve">) Regulation 2015 </w:t>
      </w:r>
      <w:r w:rsidR="00193DF7">
        <w:t>(the Regulation) r</w:t>
      </w:r>
      <w:r w:rsidR="00D24A59">
        <w:t>epeals</w:t>
      </w:r>
      <w:r>
        <w:t xml:space="preserve"> the </w:t>
      </w:r>
      <w:r w:rsidRPr="003304DD">
        <w:rPr>
          <w:i/>
          <w:szCs w:val="24"/>
        </w:rPr>
        <w:t>Health Insurance (General Medical Services Table) Amendment (Duration of Attendance) Regulation 2014</w:t>
      </w:r>
      <w:r>
        <w:rPr>
          <w:i/>
          <w:szCs w:val="24"/>
        </w:rPr>
        <w:t xml:space="preserve"> </w:t>
      </w:r>
      <w:r>
        <w:rPr>
          <w:szCs w:val="24"/>
        </w:rPr>
        <w:t xml:space="preserve">and the </w:t>
      </w:r>
      <w:r w:rsidRPr="003304DD">
        <w:rPr>
          <w:i/>
          <w:szCs w:val="24"/>
        </w:rPr>
        <w:t>Health Insurance (General Medical Services Table) Amendment (Duration of Attendance) Regulation 2014</w:t>
      </w:r>
      <w:r>
        <w:rPr>
          <w:i/>
          <w:szCs w:val="24"/>
        </w:rPr>
        <w:t xml:space="preserve"> (No.2). </w:t>
      </w:r>
    </w:p>
    <w:p w:rsidR="007B5219" w:rsidRDefault="007B5219" w:rsidP="0091346E">
      <w:pPr>
        <w:rPr>
          <w:szCs w:val="24"/>
          <w:u w:val="single"/>
        </w:rPr>
      </w:pPr>
    </w:p>
    <w:p w:rsidR="00770A83" w:rsidRPr="00190450" w:rsidRDefault="00770A83" w:rsidP="00770A83">
      <w:pPr>
        <w:rPr>
          <w:szCs w:val="24"/>
          <w:u w:val="single"/>
        </w:rPr>
      </w:pPr>
      <w:r w:rsidRPr="00190450">
        <w:rPr>
          <w:szCs w:val="24"/>
          <w:u w:val="single"/>
        </w:rPr>
        <w:t>Consultation</w:t>
      </w:r>
    </w:p>
    <w:p w:rsidR="00770A83" w:rsidRPr="00190450" w:rsidRDefault="00770A83" w:rsidP="00770A83">
      <w:pPr>
        <w:rPr>
          <w:szCs w:val="24"/>
          <w:u w:val="single"/>
        </w:rPr>
      </w:pPr>
    </w:p>
    <w:p w:rsidR="00521EAD" w:rsidRPr="00844EBD" w:rsidRDefault="00521EAD" w:rsidP="00770A83">
      <w:r>
        <w:rPr>
          <w:szCs w:val="24"/>
        </w:rPr>
        <w:t xml:space="preserve">In accordance with </w:t>
      </w:r>
      <w:r w:rsidR="004E4651">
        <w:rPr>
          <w:szCs w:val="24"/>
        </w:rPr>
        <w:t xml:space="preserve">Section 18 of the </w:t>
      </w:r>
      <w:r w:rsidR="004E4651" w:rsidRPr="004E4651">
        <w:rPr>
          <w:i/>
          <w:szCs w:val="24"/>
        </w:rPr>
        <w:t>Legislative Instruments Act 2003</w:t>
      </w:r>
      <w:r>
        <w:rPr>
          <w:i/>
          <w:szCs w:val="24"/>
        </w:rPr>
        <w:t xml:space="preserve">, </w:t>
      </w:r>
      <w:r>
        <w:rPr>
          <w:szCs w:val="24"/>
        </w:rPr>
        <w:t xml:space="preserve">the nature of the Regulation is such that it was inappropriate to consult. </w:t>
      </w:r>
      <w:r w:rsidR="004A5FC0">
        <w:t>The original decision to alter entitlement to Medicare benefits was taken as part of Government’s Mid-Year Economic and Financial Outlook 2014-15.  The decisio</w:t>
      </w:r>
      <w:r w:rsidR="00D24A59">
        <w:t>n to repeal the</w:t>
      </w:r>
      <w:r w:rsidR="00D24A59" w:rsidRPr="00D24A59">
        <w:rPr>
          <w:i/>
          <w:szCs w:val="24"/>
        </w:rPr>
        <w:t xml:space="preserve"> </w:t>
      </w:r>
      <w:r w:rsidR="00D24A59" w:rsidRPr="003304DD">
        <w:rPr>
          <w:i/>
          <w:szCs w:val="24"/>
        </w:rPr>
        <w:t>Health Insurance (General Medical Services Table) Amendment (Duration of Attendance) Regulation 2014</w:t>
      </w:r>
      <w:r w:rsidR="00D24A59">
        <w:rPr>
          <w:i/>
          <w:szCs w:val="24"/>
        </w:rPr>
        <w:t xml:space="preserve"> </w:t>
      </w:r>
      <w:r w:rsidR="00D24A59">
        <w:rPr>
          <w:szCs w:val="24"/>
        </w:rPr>
        <w:t xml:space="preserve">and the </w:t>
      </w:r>
      <w:r w:rsidR="00D24A59" w:rsidRPr="003304DD">
        <w:rPr>
          <w:i/>
          <w:szCs w:val="24"/>
        </w:rPr>
        <w:t>Health Insurance (General Medical Services Table) Amendment (Duration of Attendance) Regulation 2014</w:t>
      </w:r>
      <w:r w:rsidR="00D24A59">
        <w:rPr>
          <w:i/>
          <w:szCs w:val="24"/>
        </w:rPr>
        <w:t xml:space="preserve"> (No.2)</w:t>
      </w:r>
      <w:r w:rsidR="004A5FC0">
        <w:t xml:space="preserve"> </w:t>
      </w:r>
      <w:r w:rsidR="001670AD">
        <w:t>ensures that the am</w:t>
      </w:r>
      <w:r w:rsidR="00D24A59">
        <w:t>endments provided for in those r</w:t>
      </w:r>
      <w:r w:rsidR="001670AD">
        <w:t>egulations do not take effect.</w:t>
      </w:r>
    </w:p>
    <w:p w:rsidR="00770A83" w:rsidRDefault="00770A83" w:rsidP="005F04DC">
      <w:pPr>
        <w:rPr>
          <w:szCs w:val="24"/>
        </w:rPr>
      </w:pPr>
    </w:p>
    <w:p w:rsidR="005F04DC" w:rsidRPr="00A96CFE" w:rsidRDefault="005F04DC" w:rsidP="005F04DC">
      <w:pPr>
        <w:rPr>
          <w:szCs w:val="24"/>
        </w:rPr>
      </w:pPr>
      <w:r w:rsidRPr="00A96CFE">
        <w:rPr>
          <w:szCs w:val="24"/>
        </w:rPr>
        <w:t xml:space="preserve">Details of the </w:t>
      </w:r>
      <w:r w:rsidR="00190450">
        <w:rPr>
          <w:szCs w:val="24"/>
        </w:rPr>
        <w:t>R</w:t>
      </w:r>
      <w:r>
        <w:rPr>
          <w:szCs w:val="24"/>
        </w:rPr>
        <w:t>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w:t>
      </w:r>
      <w:r w:rsidR="00770A83">
        <w:rPr>
          <w:szCs w:val="24"/>
        </w:rPr>
        <w:t>specifies</w:t>
      </w:r>
      <w:r w:rsidRPr="00A96CFE">
        <w:rPr>
          <w:szCs w:val="24"/>
        </w:rPr>
        <w:t xml:space="preserve"> no conditions which need to be met before the power to make the </w:t>
      </w:r>
      <w:r w:rsidR="00770A83">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190450" w:rsidRDefault="005F04DC" w:rsidP="005F04DC">
      <w:pPr>
        <w:rPr>
          <w:szCs w:val="24"/>
        </w:rPr>
      </w:pPr>
      <w:r w:rsidRPr="00A96CFE">
        <w:rPr>
          <w:szCs w:val="24"/>
        </w:rPr>
        <w:t xml:space="preserve">The </w:t>
      </w:r>
      <w:r w:rsidR="00190450">
        <w:rPr>
          <w:szCs w:val="24"/>
        </w:rPr>
        <w:t>R</w:t>
      </w:r>
      <w:r>
        <w:rPr>
          <w:szCs w:val="24"/>
        </w:rPr>
        <w:t>egulation</w:t>
      </w:r>
      <w:r w:rsidRPr="00A96CFE">
        <w:rPr>
          <w:szCs w:val="24"/>
        </w:rPr>
        <w:t xml:space="preserve"> </w:t>
      </w:r>
      <w:r w:rsidR="00770A83">
        <w:rPr>
          <w:szCs w:val="24"/>
        </w:rPr>
        <w:t xml:space="preserve">is </w:t>
      </w:r>
      <w:r>
        <w:rPr>
          <w:szCs w:val="24"/>
        </w:rPr>
        <w:t xml:space="preserve">a </w:t>
      </w:r>
      <w:r w:rsidRPr="00A96CFE">
        <w:rPr>
          <w:szCs w:val="24"/>
        </w:rPr>
        <w:t xml:space="preserve">legislative instrument for the purposes of the </w:t>
      </w:r>
      <w:r w:rsidRPr="00A96CFE">
        <w:rPr>
          <w:i/>
          <w:szCs w:val="24"/>
        </w:rPr>
        <w:t>Legislative Instruments Act 2003</w:t>
      </w:r>
      <w:r w:rsidR="00D24A59">
        <w:rPr>
          <w:szCs w:val="24"/>
        </w:rPr>
        <w:t>.</w:t>
      </w:r>
    </w:p>
    <w:p w:rsidR="00E71CAA" w:rsidRPr="00A96CFE" w:rsidRDefault="00E71CAA" w:rsidP="005F04DC">
      <w:pPr>
        <w:rPr>
          <w:szCs w:val="24"/>
        </w:rPr>
      </w:pPr>
    </w:p>
    <w:p w:rsidR="001519E4" w:rsidRDefault="005565EB" w:rsidP="002E567D">
      <w:pPr>
        <w:tabs>
          <w:tab w:val="left" w:pos="567"/>
        </w:tabs>
        <w:rPr>
          <w:szCs w:val="24"/>
        </w:rPr>
      </w:pPr>
      <w:r>
        <w:rPr>
          <w:szCs w:val="24"/>
        </w:rPr>
        <w:t>T</w:t>
      </w:r>
      <w:r w:rsidR="001F3358">
        <w:rPr>
          <w:szCs w:val="24"/>
        </w:rPr>
        <w:t xml:space="preserve">he </w:t>
      </w:r>
      <w:r w:rsidR="00243112">
        <w:rPr>
          <w:szCs w:val="24"/>
        </w:rPr>
        <w:t>R</w:t>
      </w:r>
      <w:r w:rsidR="001F3358">
        <w:rPr>
          <w:szCs w:val="24"/>
        </w:rPr>
        <w:t xml:space="preserve">egulation commences </w:t>
      </w:r>
      <w:r w:rsidR="00802A9C">
        <w:rPr>
          <w:szCs w:val="24"/>
        </w:rPr>
        <w:t xml:space="preserve">on </w:t>
      </w:r>
      <w:r w:rsidR="00F12BB5">
        <w:rPr>
          <w:szCs w:val="24"/>
        </w:rPr>
        <w:t>18</w:t>
      </w:r>
      <w:r w:rsidR="00C574D4">
        <w:rPr>
          <w:szCs w:val="24"/>
        </w:rPr>
        <w:t xml:space="preserve"> January 2015</w:t>
      </w:r>
      <w:r w:rsidR="005F04DC" w:rsidRPr="00A96CFE">
        <w:rPr>
          <w:szCs w:val="24"/>
        </w:rPr>
        <w:t>.</w:t>
      </w:r>
    </w:p>
    <w:p w:rsidR="0050042A" w:rsidRPr="00437B1B" w:rsidRDefault="0050042A" w:rsidP="002E567D">
      <w:pPr>
        <w:tabs>
          <w:tab w:val="left" w:pos="567"/>
        </w:tabs>
        <w:rPr>
          <w:szCs w:val="24"/>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445A6D" w:rsidRDefault="005F04DC" w:rsidP="00CF240F">
      <w:pPr>
        <w:tabs>
          <w:tab w:val="left" w:pos="4536"/>
        </w:tabs>
        <w:ind w:left="284"/>
        <w:jc w:val="center"/>
        <w:rPr>
          <w:szCs w:val="24"/>
        </w:rPr>
      </w:pPr>
      <w:r w:rsidRPr="00A96CFE">
        <w:rPr>
          <w:i/>
          <w:szCs w:val="24"/>
        </w:rPr>
        <w:t xml:space="preserve">                                                                                                Health Insurance Act 1973</w:t>
      </w:r>
      <w:r w:rsidRPr="00A96CFE">
        <w:rPr>
          <w:szCs w:val="24"/>
        </w:rPr>
        <w:t xml:space="preserve">  </w:t>
      </w:r>
    </w:p>
    <w:p w:rsidR="002C4F5B" w:rsidRDefault="002C4F5B" w:rsidP="00CF240F">
      <w:pPr>
        <w:tabs>
          <w:tab w:val="left" w:pos="4536"/>
        </w:tabs>
        <w:ind w:left="284"/>
        <w:jc w:val="center"/>
        <w:rPr>
          <w:szCs w:val="24"/>
        </w:rPr>
      </w:pPr>
    </w:p>
    <w:p w:rsidR="008611CE" w:rsidRPr="005B5062" w:rsidRDefault="008611CE" w:rsidP="008611CE">
      <w:pPr>
        <w:tabs>
          <w:tab w:val="left" w:pos="4536"/>
        </w:tabs>
        <w:jc w:val="right"/>
        <w:rPr>
          <w:b/>
          <w:szCs w:val="24"/>
        </w:rPr>
      </w:pPr>
      <w:r w:rsidRPr="005B5062">
        <w:rPr>
          <w:b/>
          <w:szCs w:val="24"/>
        </w:rPr>
        <w:t>ATTACHMENT</w:t>
      </w:r>
    </w:p>
    <w:p w:rsidR="008611CE" w:rsidRDefault="008611CE" w:rsidP="008611CE">
      <w:pPr>
        <w:tabs>
          <w:tab w:val="left" w:pos="1418"/>
        </w:tabs>
        <w:rPr>
          <w:b/>
          <w:szCs w:val="24"/>
          <w:u w:val="single"/>
        </w:rPr>
      </w:pPr>
    </w:p>
    <w:p w:rsidR="008611CE" w:rsidRPr="005B5062" w:rsidRDefault="008611CE" w:rsidP="008611CE">
      <w:pPr>
        <w:tabs>
          <w:tab w:val="left" w:pos="1418"/>
        </w:tabs>
        <w:rPr>
          <w:b/>
          <w:szCs w:val="24"/>
          <w:u w:val="single"/>
        </w:rPr>
      </w:pPr>
      <w:r w:rsidRPr="005B5062">
        <w:rPr>
          <w:b/>
          <w:szCs w:val="24"/>
          <w:u w:val="single"/>
        </w:rPr>
        <w:t xml:space="preserve">Details of the </w:t>
      </w:r>
      <w:r w:rsidR="00E30B19" w:rsidRPr="00E30B19">
        <w:rPr>
          <w:b/>
          <w:i/>
          <w:szCs w:val="24"/>
          <w:u w:val="single"/>
        </w:rPr>
        <w:t>Health Insurance (General M</w:t>
      </w:r>
      <w:r w:rsidR="00C7626E">
        <w:rPr>
          <w:b/>
          <w:i/>
          <w:szCs w:val="24"/>
          <w:u w:val="single"/>
        </w:rPr>
        <w:t>edical Services Table) Repeal</w:t>
      </w:r>
      <w:r w:rsidR="00E30B19" w:rsidRPr="00E30B19">
        <w:rPr>
          <w:b/>
          <w:i/>
          <w:szCs w:val="24"/>
          <w:u w:val="single"/>
        </w:rPr>
        <w:t xml:space="preserve"> (Duration of Attendance</w:t>
      </w:r>
      <w:r w:rsidR="00C7626E">
        <w:rPr>
          <w:b/>
          <w:i/>
          <w:szCs w:val="24"/>
          <w:u w:val="single"/>
        </w:rPr>
        <w:t xml:space="preserve">) </w:t>
      </w:r>
      <w:r w:rsidR="00723307">
        <w:rPr>
          <w:b/>
          <w:i/>
          <w:szCs w:val="24"/>
          <w:u w:val="single"/>
        </w:rPr>
        <w:t>Regulation 2015</w:t>
      </w:r>
      <w:r w:rsidR="00201CCA">
        <w:rPr>
          <w:b/>
          <w:i/>
          <w:szCs w:val="24"/>
          <w:u w:val="single"/>
        </w:rPr>
        <w:t xml:space="preserve"> </w:t>
      </w:r>
    </w:p>
    <w:p w:rsidR="008611CE" w:rsidRDefault="008611CE" w:rsidP="008611CE">
      <w:pPr>
        <w:tabs>
          <w:tab w:val="left" w:pos="4536"/>
        </w:tabs>
        <w:rPr>
          <w:szCs w:val="24"/>
          <w:u w:val="single"/>
        </w:rPr>
      </w:pPr>
    </w:p>
    <w:p w:rsidR="008611CE" w:rsidRPr="007A0403" w:rsidRDefault="00193DF7" w:rsidP="008611CE">
      <w:pPr>
        <w:tabs>
          <w:tab w:val="left" w:pos="4536"/>
        </w:tabs>
        <w:rPr>
          <w:szCs w:val="24"/>
          <w:u w:val="single"/>
        </w:rPr>
      </w:pPr>
      <w:r>
        <w:rPr>
          <w:szCs w:val="24"/>
          <w:u w:val="single"/>
        </w:rPr>
        <w:t>Regulation</w:t>
      </w:r>
      <w:r w:rsidR="008611CE" w:rsidRPr="007A0403">
        <w:rPr>
          <w:szCs w:val="24"/>
          <w:u w:val="single"/>
        </w:rPr>
        <w:t xml:space="preserve"> 1 – Name </w:t>
      </w:r>
    </w:p>
    <w:p w:rsidR="008611CE" w:rsidRDefault="008611CE" w:rsidP="008611CE">
      <w:pPr>
        <w:tabs>
          <w:tab w:val="left" w:pos="4536"/>
        </w:tabs>
        <w:rPr>
          <w:szCs w:val="24"/>
        </w:rPr>
      </w:pPr>
    </w:p>
    <w:p w:rsidR="008611CE" w:rsidRDefault="00193DF7" w:rsidP="008611CE">
      <w:pPr>
        <w:tabs>
          <w:tab w:val="left" w:pos="1418"/>
        </w:tabs>
        <w:rPr>
          <w:i/>
          <w:szCs w:val="24"/>
        </w:rPr>
      </w:pPr>
      <w:r>
        <w:rPr>
          <w:szCs w:val="24"/>
        </w:rPr>
        <w:t>This regulation</w:t>
      </w:r>
      <w:r w:rsidR="00753F79">
        <w:rPr>
          <w:szCs w:val="24"/>
        </w:rPr>
        <w:t xml:space="preserve"> provides for the R</w:t>
      </w:r>
      <w:r w:rsidR="008611CE">
        <w:rPr>
          <w:szCs w:val="24"/>
        </w:rPr>
        <w:t xml:space="preserve">egulation to be referred to as the </w:t>
      </w:r>
      <w:r w:rsidR="00E30B19" w:rsidRPr="004C43F3">
        <w:rPr>
          <w:i/>
          <w:szCs w:val="24"/>
        </w:rPr>
        <w:t>Health Insurance (General M</w:t>
      </w:r>
      <w:r w:rsidR="00C7626E">
        <w:rPr>
          <w:i/>
          <w:szCs w:val="24"/>
        </w:rPr>
        <w:t>edical Services Table) Repeal</w:t>
      </w:r>
      <w:r w:rsidR="00E30B19" w:rsidRPr="004C43F3">
        <w:rPr>
          <w:i/>
          <w:szCs w:val="24"/>
        </w:rPr>
        <w:t xml:space="preserve"> (Duration</w:t>
      </w:r>
      <w:r w:rsidR="00E30B19">
        <w:rPr>
          <w:i/>
          <w:szCs w:val="24"/>
        </w:rPr>
        <w:t xml:space="preserve"> of Attendance</w:t>
      </w:r>
      <w:r w:rsidR="00261C5D">
        <w:rPr>
          <w:i/>
          <w:szCs w:val="24"/>
        </w:rPr>
        <w:t>)</w:t>
      </w:r>
      <w:r w:rsidR="00E30B19">
        <w:rPr>
          <w:i/>
          <w:szCs w:val="24"/>
        </w:rPr>
        <w:t xml:space="preserve"> </w:t>
      </w:r>
      <w:r w:rsidR="00053164">
        <w:rPr>
          <w:i/>
          <w:szCs w:val="24"/>
        </w:rPr>
        <w:t>Regulation 2015</w:t>
      </w:r>
      <w:r w:rsidR="00261C5D">
        <w:rPr>
          <w:i/>
          <w:szCs w:val="24"/>
        </w:rPr>
        <w:t>.</w:t>
      </w:r>
    </w:p>
    <w:p w:rsidR="008611CE" w:rsidRDefault="008611CE" w:rsidP="008611CE">
      <w:pPr>
        <w:tabs>
          <w:tab w:val="left" w:pos="1418"/>
        </w:tabs>
        <w:rPr>
          <w:i/>
          <w:szCs w:val="24"/>
        </w:rPr>
      </w:pPr>
    </w:p>
    <w:p w:rsidR="008611CE" w:rsidRPr="007A0403" w:rsidRDefault="00193DF7" w:rsidP="008611CE">
      <w:pPr>
        <w:tabs>
          <w:tab w:val="left" w:pos="1418"/>
        </w:tabs>
        <w:rPr>
          <w:szCs w:val="24"/>
          <w:u w:val="single"/>
        </w:rPr>
      </w:pPr>
      <w:r>
        <w:rPr>
          <w:szCs w:val="24"/>
          <w:u w:val="single"/>
        </w:rPr>
        <w:t>Regulation</w:t>
      </w:r>
      <w:r w:rsidR="008611CE" w:rsidRPr="007A0403">
        <w:rPr>
          <w:szCs w:val="24"/>
          <w:u w:val="single"/>
        </w:rPr>
        <w:t xml:space="preserve"> 2 – Commencement </w:t>
      </w:r>
    </w:p>
    <w:p w:rsidR="008611CE" w:rsidRDefault="008611CE" w:rsidP="008611CE">
      <w:pPr>
        <w:tabs>
          <w:tab w:val="left" w:pos="1418"/>
        </w:tabs>
        <w:rPr>
          <w:szCs w:val="24"/>
        </w:rPr>
      </w:pPr>
    </w:p>
    <w:p w:rsidR="008611CE" w:rsidRDefault="00193DF7" w:rsidP="008611CE">
      <w:pPr>
        <w:tabs>
          <w:tab w:val="left" w:pos="1418"/>
        </w:tabs>
        <w:rPr>
          <w:szCs w:val="24"/>
        </w:rPr>
      </w:pPr>
      <w:r>
        <w:rPr>
          <w:szCs w:val="24"/>
        </w:rPr>
        <w:t>This regulation</w:t>
      </w:r>
      <w:r w:rsidR="00753F79">
        <w:rPr>
          <w:szCs w:val="24"/>
        </w:rPr>
        <w:t xml:space="preserve"> provides for the R</w:t>
      </w:r>
      <w:r w:rsidR="008611CE">
        <w:rPr>
          <w:szCs w:val="24"/>
        </w:rPr>
        <w:t>egulation</w:t>
      </w:r>
      <w:r w:rsidR="00A2767E">
        <w:rPr>
          <w:szCs w:val="24"/>
        </w:rPr>
        <w:t xml:space="preserve"> to commence o</w:t>
      </w:r>
      <w:r w:rsidR="00F12BB5">
        <w:rPr>
          <w:szCs w:val="24"/>
        </w:rPr>
        <w:t>n 18</w:t>
      </w:r>
      <w:r w:rsidR="00C574D4">
        <w:rPr>
          <w:szCs w:val="24"/>
        </w:rPr>
        <w:t xml:space="preserve"> January 2015</w:t>
      </w:r>
      <w:r w:rsidR="00A2767E">
        <w:rPr>
          <w:szCs w:val="24"/>
        </w:rPr>
        <w:t>.</w:t>
      </w:r>
    </w:p>
    <w:p w:rsidR="008611CE" w:rsidRDefault="008611CE" w:rsidP="008611CE">
      <w:pPr>
        <w:tabs>
          <w:tab w:val="left" w:pos="4536"/>
        </w:tabs>
        <w:rPr>
          <w:szCs w:val="24"/>
        </w:rPr>
      </w:pPr>
    </w:p>
    <w:p w:rsidR="008611CE" w:rsidRPr="007A0403" w:rsidRDefault="00193DF7" w:rsidP="008611CE">
      <w:pPr>
        <w:tabs>
          <w:tab w:val="left" w:pos="4536"/>
        </w:tabs>
        <w:rPr>
          <w:szCs w:val="24"/>
          <w:u w:val="single"/>
        </w:rPr>
      </w:pPr>
      <w:r>
        <w:rPr>
          <w:szCs w:val="24"/>
          <w:u w:val="single"/>
        </w:rPr>
        <w:t>Regulation</w:t>
      </w:r>
      <w:r w:rsidR="008611CE" w:rsidRPr="007A0403">
        <w:rPr>
          <w:szCs w:val="24"/>
          <w:u w:val="single"/>
        </w:rPr>
        <w:t xml:space="preserve"> 3 – Authority </w:t>
      </w:r>
    </w:p>
    <w:p w:rsidR="008611CE" w:rsidRDefault="008611CE" w:rsidP="008611CE">
      <w:pPr>
        <w:tabs>
          <w:tab w:val="left" w:pos="4536"/>
        </w:tabs>
        <w:rPr>
          <w:szCs w:val="24"/>
          <w:u w:val="single"/>
        </w:rPr>
      </w:pPr>
    </w:p>
    <w:p w:rsidR="008611CE" w:rsidRDefault="008611CE" w:rsidP="008611CE">
      <w:pPr>
        <w:tabs>
          <w:tab w:val="left" w:pos="4536"/>
        </w:tabs>
        <w:rPr>
          <w:szCs w:val="24"/>
        </w:rPr>
      </w:pPr>
      <w:r w:rsidRPr="002F3A26">
        <w:rPr>
          <w:szCs w:val="24"/>
        </w:rPr>
        <w:t xml:space="preserve">This </w:t>
      </w:r>
      <w:r w:rsidR="00193DF7">
        <w:rPr>
          <w:szCs w:val="24"/>
        </w:rPr>
        <w:t>regulation</w:t>
      </w:r>
      <w:r w:rsidR="00753F79">
        <w:rPr>
          <w:szCs w:val="24"/>
        </w:rPr>
        <w:t xml:space="preserve"> provides that the R</w:t>
      </w:r>
      <w:r>
        <w:rPr>
          <w:szCs w:val="24"/>
        </w:rPr>
        <w:t xml:space="preserve">egulation is made under the </w:t>
      </w:r>
      <w:r w:rsidRPr="002F3A26">
        <w:rPr>
          <w:i/>
          <w:szCs w:val="24"/>
        </w:rPr>
        <w:t>Health Insurance Act 1973</w:t>
      </w:r>
      <w:r>
        <w:rPr>
          <w:szCs w:val="24"/>
        </w:rPr>
        <w:t xml:space="preserve">. </w:t>
      </w:r>
    </w:p>
    <w:p w:rsidR="008611CE" w:rsidRDefault="008611CE" w:rsidP="008611CE">
      <w:pPr>
        <w:tabs>
          <w:tab w:val="left" w:pos="4536"/>
        </w:tabs>
        <w:rPr>
          <w:szCs w:val="24"/>
        </w:rPr>
      </w:pPr>
    </w:p>
    <w:p w:rsidR="008611CE" w:rsidRPr="007A0403" w:rsidRDefault="00193DF7" w:rsidP="008611CE">
      <w:pPr>
        <w:tabs>
          <w:tab w:val="left" w:pos="4536"/>
        </w:tabs>
        <w:rPr>
          <w:szCs w:val="24"/>
          <w:u w:val="single"/>
        </w:rPr>
      </w:pPr>
      <w:r>
        <w:rPr>
          <w:szCs w:val="24"/>
          <w:u w:val="single"/>
        </w:rPr>
        <w:t>Regulation</w:t>
      </w:r>
      <w:r w:rsidR="008611CE" w:rsidRPr="007A0403">
        <w:rPr>
          <w:szCs w:val="24"/>
          <w:u w:val="single"/>
        </w:rPr>
        <w:t xml:space="preserve"> 4 – Schedules </w:t>
      </w:r>
    </w:p>
    <w:p w:rsidR="008611CE" w:rsidRDefault="008611CE" w:rsidP="008611CE">
      <w:pPr>
        <w:tabs>
          <w:tab w:val="left" w:pos="4536"/>
        </w:tabs>
        <w:rPr>
          <w:szCs w:val="24"/>
        </w:rPr>
      </w:pPr>
    </w:p>
    <w:p w:rsidR="008611CE" w:rsidRDefault="00193DF7" w:rsidP="008611CE">
      <w:pPr>
        <w:tabs>
          <w:tab w:val="left" w:pos="4536"/>
        </w:tabs>
        <w:rPr>
          <w:szCs w:val="24"/>
        </w:rPr>
      </w:pPr>
      <w:r>
        <w:rPr>
          <w:szCs w:val="24"/>
        </w:rPr>
        <w:t>This regulation</w:t>
      </w:r>
      <w:r w:rsidR="008611CE">
        <w:rPr>
          <w:szCs w:val="24"/>
        </w:rPr>
        <w:t xml:space="preserve"> provides that each instrument specified in a Schedule to the instrument is amended or repealed as set out in the applicable items in the Schedule concerned. </w:t>
      </w:r>
    </w:p>
    <w:p w:rsidR="008611CE" w:rsidRDefault="008611CE" w:rsidP="008611CE">
      <w:pPr>
        <w:tabs>
          <w:tab w:val="left" w:pos="4536"/>
        </w:tabs>
        <w:rPr>
          <w:szCs w:val="24"/>
          <w:u w:val="single"/>
        </w:rPr>
      </w:pPr>
    </w:p>
    <w:p w:rsidR="00083274" w:rsidRDefault="00C7626E" w:rsidP="008D2D98">
      <w:pPr>
        <w:tabs>
          <w:tab w:val="left" w:pos="4536"/>
        </w:tabs>
        <w:rPr>
          <w:szCs w:val="24"/>
          <w:u w:val="single"/>
        </w:rPr>
      </w:pPr>
      <w:r>
        <w:rPr>
          <w:szCs w:val="24"/>
          <w:u w:val="single"/>
        </w:rPr>
        <w:t xml:space="preserve">Schedule 1 – Repeals </w:t>
      </w:r>
    </w:p>
    <w:p w:rsidR="00C7626E" w:rsidRDefault="00C7626E" w:rsidP="008D2D98">
      <w:pPr>
        <w:tabs>
          <w:tab w:val="left" w:pos="4536"/>
        </w:tabs>
        <w:rPr>
          <w:b/>
          <w:i/>
          <w:szCs w:val="24"/>
          <w:u w:val="single"/>
        </w:rPr>
      </w:pPr>
    </w:p>
    <w:p w:rsidR="00201CCA" w:rsidRDefault="00201CCA" w:rsidP="00201CCA">
      <w:pPr>
        <w:tabs>
          <w:tab w:val="left" w:pos="4536"/>
        </w:tabs>
        <w:rPr>
          <w:szCs w:val="24"/>
          <w:u w:val="single"/>
        </w:rPr>
      </w:pPr>
      <w:r>
        <w:rPr>
          <w:szCs w:val="24"/>
          <w:u w:val="single"/>
        </w:rPr>
        <w:t xml:space="preserve">Item [1] </w:t>
      </w:r>
      <w:r w:rsidR="00C7626E">
        <w:rPr>
          <w:szCs w:val="24"/>
          <w:u w:val="single"/>
        </w:rPr>
        <w:t>–</w:t>
      </w:r>
      <w:r>
        <w:rPr>
          <w:szCs w:val="24"/>
          <w:u w:val="single"/>
        </w:rPr>
        <w:t xml:space="preserve"> </w:t>
      </w:r>
      <w:r w:rsidR="00C7626E">
        <w:rPr>
          <w:szCs w:val="24"/>
          <w:u w:val="single"/>
        </w:rPr>
        <w:t xml:space="preserve">Repeal of Regulations </w:t>
      </w:r>
    </w:p>
    <w:p w:rsidR="00201CCA" w:rsidRDefault="00201CCA" w:rsidP="00201CCA">
      <w:pPr>
        <w:tabs>
          <w:tab w:val="left" w:pos="4536"/>
        </w:tabs>
        <w:rPr>
          <w:szCs w:val="24"/>
          <w:u w:val="single"/>
        </w:rPr>
      </w:pPr>
    </w:p>
    <w:p w:rsidR="00C7626E" w:rsidRDefault="00C7626E" w:rsidP="00201CCA">
      <w:pPr>
        <w:tabs>
          <w:tab w:val="left" w:pos="4536"/>
        </w:tabs>
        <w:rPr>
          <w:szCs w:val="24"/>
        </w:rPr>
      </w:pPr>
      <w:r>
        <w:rPr>
          <w:szCs w:val="24"/>
        </w:rPr>
        <w:t xml:space="preserve">This item repeals the following Regulations:  </w:t>
      </w:r>
    </w:p>
    <w:p w:rsidR="00C7626E" w:rsidRDefault="00C7626E" w:rsidP="00201CCA">
      <w:pPr>
        <w:tabs>
          <w:tab w:val="left" w:pos="4536"/>
        </w:tabs>
        <w:rPr>
          <w:szCs w:val="24"/>
        </w:rPr>
      </w:pPr>
    </w:p>
    <w:p w:rsidR="00201CCA" w:rsidRDefault="00201CCA" w:rsidP="00201CCA">
      <w:pPr>
        <w:tabs>
          <w:tab w:val="left" w:pos="4536"/>
        </w:tabs>
        <w:rPr>
          <w:i/>
          <w:szCs w:val="24"/>
        </w:rPr>
      </w:pPr>
      <w:r w:rsidRPr="003304DD">
        <w:rPr>
          <w:i/>
          <w:szCs w:val="24"/>
        </w:rPr>
        <w:t>Health Insurance (General Medical Services Table) Amendment (Duration of Attendance) Regulation 2014</w:t>
      </w:r>
    </w:p>
    <w:p w:rsidR="00201CCA" w:rsidRDefault="00201CCA" w:rsidP="00201CCA">
      <w:pPr>
        <w:tabs>
          <w:tab w:val="left" w:pos="4536"/>
        </w:tabs>
        <w:rPr>
          <w:szCs w:val="24"/>
          <w:u w:val="single"/>
        </w:rPr>
      </w:pPr>
    </w:p>
    <w:p w:rsidR="00201CCA" w:rsidRDefault="00201CCA" w:rsidP="00201CCA">
      <w:pPr>
        <w:tabs>
          <w:tab w:val="left" w:pos="4536"/>
        </w:tabs>
        <w:rPr>
          <w:i/>
          <w:szCs w:val="24"/>
        </w:rPr>
      </w:pPr>
      <w:r w:rsidRPr="003304DD">
        <w:rPr>
          <w:i/>
          <w:szCs w:val="24"/>
        </w:rPr>
        <w:t>Health Insurance (General Medical Services Table) Amendment (Duration of Attendance) Regulation 2014</w:t>
      </w:r>
      <w:r w:rsidR="00C7626E">
        <w:rPr>
          <w:i/>
          <w:szCs w:val="24"/>
        </w:rPr>
        <w:t xml:space="preserve"> (No. 2)</w:t>
      </w:r>
    </w:p>
    <w:p w:rsidR="00201CCA" w:rsidRDefault="00201CCA" w:rsidP="008D2D98">
      <w:pPr>
        <w:tabs>
          <w:tab w:val="left" w:pos="4536"/>
        </w:tabs>
        <w:rPr>
          <w:b/>
          <w:sz w:val="28"/>
          <w:szCs w:val="28"/>
        </w:rPr>
      </w:pPr>
    </w:p>
    <w:p w:rsidR="00C54B6F" w:rsidRDefault="00C54B6F">
      <w:pPr>
        <w:spacing w:after="200" w:line="276" w:lineRule="auto"/>
        <w:rPr>
          <w:b/>
          <w:sz w:val="28"/>
          <w:szCs w:val="28"/>
        </w:rPr>
      </w:pPr>
      <w:r>
        <w:rPr>
          <w:b/>
          <w:sz w:val="28"/>
          <w:szCs w:val="28"/>
        </w:rPr>
        <w:br w:type="page"/>
      </w:r>
    </w:p>
    <w:p w:rsidR="00083274" w:rsidRDefault="00201CCA" w:rsidP="008D2D98">
      <w:pPr>
        <w:tabs>
          <w:tab w:val="left" w:pos="4536"/>
        </w:tabs>
        <w:rPr>
          <w:b/>
          <w:sz w:val="28"/>
          <w:szCs w:val="28"/>
        </w:rPr>
      </w:pPr>
      <w:r>
        <w:rPr>
          <w:noProof/>
          <w:szCs w:val="24"/>
        </w:rPr>
        <w:lastRenderedPageBreak/>
        <mc:AlternateContent>
          <mc:Choice Requires="wps">
            <w:drawing>
              <wp:anchor distT="0" distB="0" distL="114300" distR="114300" simplePos="0" relativeHeight="251659264" behindDoc="0" locked="0" layoutInCell="1" allowOverlap="1" wp14:anchorId="0A10E81C" wp14:editId="45A52747">
                <wp:simplePos x="0" y="0"/>
                <wp:positionH relativeFrom="column">
                  <wp:posOffset>-202019</wp:posOffset>
                </wp:positionH>
                <wp:positionV relativeFrom="paragraph">
                  <wp:posOffset>86404</wp:posOffset>
                </wp:positionV>
                <wp:extent cx="6162675" cy="9090838"/>
                <wp:effectExtent l="38100" t="38100" r="47625" b="342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090838"/>
                        </a:xfrm>
                        <a:prstGeom prst="rect">
                          <a:avLst/>
                        </a:prstGeom>
                        <a:solidFill>
                          <a:srgbClr val="FFFFFF"/>
                        </a:solidFill>
                        <a:ln w="76200" cmpd="tri">
                          <a:solidFill>
                            <a:srgbClr val="000000"/>
                          </a:solidFill>
                          <a:miter lim="800000"/>
                          <a:headEnd/>
                          <a:tailEnd/>
                        </a:ln>
                      </wps:spPr>
                      <wps:txbx>
                        <w:txbxContent>
                          <w:p w:rsidR="00083274" w:rsidRPr="00D664E6" w:rsidRDefault="00083274" w:rsidP="005565EB">
                            <w:pPr>
                              <w:spacing w:before="360" w:after="120"/>
                              <w:rPr>
                                <w:b/>
                                <w:sz w:val="28"/>
                                <w:szCs w:val="28"/>
                              </w:rPr>
                            </w:pPr>
                            <w:r w:rsidRPr="007840F1">
                              <w:rPr>
                                <w:b/>
                                <w:sz w:val="28"/>
                                <w:szCs w:val="28"/>
                              </w:rPr>
                              <w:t>Statement of Compatibility with Human Rights</w:t>
                            </w:r>
                          </w:p>
                          <w:p w:rsidR="00083274" w:rsidRDefault="00083274" w:rsidP="005565EB">
                            <w:pPr>
                              <w:spacing w:before="120" w:after="120"/>
                              <w:rPr>
                                <w:szCs w:val="24"/>
                              </w:rPr>
                            </w:pPr>
                            <w:r w:rsidRPr="00D664E6">
                              <w:rPr>
                                <w:i/>
                                <w:szCs w:val="24"/>
                              </w:rPr>
                              <w:t>Prepared in accordance with Part 3 of the Human Rights (Parliamentary Scrutiny) Act 2011</w:t>
                            </w:r>
                          </w:p>
                          <w:p w:rsidR="00E30B19" w:rsidRPr="00D664E6" w:rsidRDefault="00E30B19" w:rsidP="005565EB">
                            <w:pPr>
                              <w:spacing w:before="120" w:after="120"/>
                              <w:rPr>
                                <w:szCs w:val="24"/>
                              </w:rPr>
                            </w:pPr>
                          </w:p>
                          <w:p w:rsidR="00201CCA" w:rsidRDefault="00E30B19" w:rsidP="005565EB">
                            <w:pPr>
                              <w:spacing w:before="120" w:after="120"/>
                              <w:rPr>
                                <w:b/>
                                <w:i/>
                                <w:szCs w:val="24"/>
                              </w:rPr>
                            </w:pPr>
                            <w:r w:rsidRPr="00E30B19">
                              <w:rPr>
                                <w:b/>
                                <w:i/>
                                <w:szCs w:val="24"/>
                              </w:rPr>
                              <w:t>Health Insurance (G</w:t>
                            </w:r>
                            <w:r w:rsidR="00C7626E">
                              <w:rPr>
                                <w:b/>
                                <w:i/>
                                <w:szCs w:val="24"/>
                              </w:rPr>
                              <w:t>eneral Medical Services Table) Repeal</w:t>
                            </w:r>
                            <w:r w:rsidR="00261C5D">
                              <w:rPr>
                                <w:b/>
                                <w:i/>
                                <w:szCs w:val="24"/>
                              </w:rPr>
                              <w:t xml:space="preserve"> (Duration of Attendance)</w:t>
                            </w:r>
                            <w:r w:rsidRPr="00E30B19">
                              <w:rPr>
                                <w:b/>
                                <w:i/>
                                <w:szCs w:val="24"/>
                              </w:rPr>
                              <w:t xml:space="preserve"> </w:t>
                            </w:r>
                            <w:r w:rsidR="008A41B8">
                              <w:rPr>
                                <w:b/>
                                <w:i/>
                                <w:szCs w:val="24"/>
                              </w:rPr>
                              <w:t>Regulation 2015</w:t>
                            </w:r>
                            <w:r w:rsidR="00201CCA">
                              <w:rPr>
                                <w:b/>
                                <w:i/>
                                <w:szCs w:val="24"/>
                              </w:rPr>
                              <w:t xml:space="preserve"> </w:t>
                            </w:r>
                          </w:p>
                          <w:p w:rsidR="00201CCA" w:rsidRPr="001833D7" w:rsidRDefault="00201CCA" w:rsidP="005565EB">
                            <w:pPr>
                              <w:spacing w:before="120" w:after="120"/>
                              <w:rPr>
                                <w:b/>
                                <w:i/>
                                <w:szCs w:val="24"/>
                              </w:rPr>
                            </w:pPr>
                          </w:p>
                          <w:p w:rsidR="00083274" w:rsidRDefault="00083274" w:rsidP="005565EB">
                            <w:pP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Pr="00201CCA" w:rsidRDefault="00083274" w:rsidP="00201CCA">
                            <w:pPr>
                              <w:spacing w:before="120" w:after="120"/>
                              <w:rPr>
                                <w:b/>
                                <w:szCs w:val="24"/>
                              </w:rPr>
                            </w:pPr>
                          </w:p>
                          <w:p w:rsidR="00201CCA" w:rsidRPr="00D664E6" w:rsidRDefault="00083274" w:rsidP="00201CCA">
                            <w:pPr>
                              <w:spacing w:before="120" w:after="120"/>
                              <w:rPr>
                                <w:b/>
                                <w:szCs w:val="24"/>
                              </w:rPr>
                            </w:pPr>
                            <w:r>
                              <w:rPr>
                                <w:b/>
                                <w:szCs w:val="24"/>
                              </w:rPr>
                              <w:t xml:space="preserve">Overview of the </w:t>
                            </w:r>
                            <w:r w:rsidRPr="00D664E6">
                              <w:rPr>
                                <w:b/>
                                <w:szCs w:val="24"/>
                              </w:rPr>
                              <w:t>Legislative Instrument</w:t>
                            </w:r>
                          </w:p>
                          <w:p w:rsidR="006F767E" w:rsidRDefault="004A5FC0" w:rsidP="004A5FC0">
                            <w:pPr>
                              <w:rPr>
                                <w:szCs w:val="24"/>
                              </w:rPr>
                            </w:pPr>
                            <w:r w:rsidRPr="00893F87">
                              <w:t>In accordance with s</w:t>
                            </w:r>
                            <w:r>
                              <w:t>ection</w:t>
                            </w:r>
                            <w:r w:rsidRPr="00893F87">
                              <w:t xml:space="preserve"> 4</w:t>
                            </w:r>
                            <w:r>
                              <w:t>(1)</w:t>
                            </w:r>
                            <w:r w:rsidRPr="00893F87">
                              <w:t xml:space="preserve"> of the </w:t>
                            </w:r>
                            <w:r w:rsidRPr="00893F87">
                              <w:rPr>
                                <w:i/>
                              </w:rPr>
                              <w:t>Health Insurance Act 1973</w:t>
                            </w:r>
                            <w:r>
                              <w:rPr>
                                <w:i/>
                              </w:rPr>
                              <w:t xml:space="preserve"> </w:t>
                            </w:r>
                            <w:r>
                              <w:t xml:space="preserve">(the Act), the </w:t>
                            </w:r>
                            <w:r w:rsidRPr="00E34403">
                              <w:rPr>
                                <w:i/>
                                <w:szCs w:val="24"/>
                              </w:rPr>
                              <w:t>Health Insurance (General Medical Services Table) Regulation 2014</w:t>
                            </w:r>
                            <w:r>
                              <w:rPr>
                                <w:i/>
                                <w:szCs w:val="24"/>
                              </w:rPr>
                              <w:t xml:space="preserve"> </w:t>
                            </w:r>
                            <w:r>
                              <w:rPr>
                                <w:szCs w:val="24"/>
                              </w:rPr>
                              <w:t>(</w:t>
                            </w:r>
                            <w:r w:rsidRPr="001D005C">
                              <w:rPr>
                                <w:szCs w:val="24"/>
                              </w:rPr>
                              <w:t>GMST</w:t>
                            </w:r>
                            <w:r>
                              <w:rPr>
                                <w:szCs w:val="24"/>
                              </w:rPr>
                              <w:t xml:space="preserve">) </w:t>
                            </w:r>
                            <w:r w:rsidRPr="00893F87">
                              <w:t>prescribe</w:t>
                            </w:r>
                            <w:r>
                              <w:t>s a table of medical services containing</w:t>
                            </w:r>
                            <w:r w:rsidRPr="00893F87">
                              <w:t xml:space="preserve"> items of </w:t>
                            </w:r>
                            <w:r>
                              <w:t xml:space="preserve">medical </w:t>
                            </w:r>
                            <w:r w:rsidRPr="00893F87">
                              <w:t>services, the amounts of fees applicable for each item, and rules for interpretation.</w:t>
                            </w:r>
                            <w:r>
                              <w:t xml:space="preserve"> </w:t>
                            </w:r>
                          </w:p>
                          <w:p w:rsidR="00844EBD" w:rsidRDefault="00083274" w:rsidP="00201CCA">
                            <w:pPr>
                              <w:spacing w:before="120" w:after="120"/>
                              <w:rPr>
                                <w:szCs w:val="24"/>
                              </w:rPr>
                            </w:pPr>
                            <w:r w:rsidRPr="00201CCA">
                              <w:rPr>
                                <w:szCs w:val="24"/>
                              </w:rPr>
                              <w:t xml:space="preserve">The </w:t>
                            </w:r>
                            <w:r w:rsidRPr="00201CCA">
                              <w:rPr>
                                <w:i/>
                                <w:szCs w:val="24"/>
                              </w:rPr>
                              <w:t>Health</w:t>
                            </w:r>
                            <w:r w:rsidRPr="00893F87">
                              <w:rPr>
                                <w:i/>
                                <w:szCs w:val="24"/>
                              </w:rPr>
                              <w:t xml:space="preserve"> Insurance </w:t>
                            </w:r>
                            <w:r w:rsidR="001C4B18">
                              <w:rPr>
                                <w:i/>
                                <w:szCs w:val="24"/>
                              </w:rPr>
                              <w:t>(</w:t>
                            </w:r>
                            <w:r w:rsidR="003A0F33">
                              <w:rPr>
                                <w:i/>
                                <w:szCs w:val="24"/>
                              </w:rPr>
                              <w:t>General Medical Services Table</w:t>
                            </w:r>
                            <w:r w:rsidRPr="00893F87">
                              <w:rPr>
                                <w:i/>
                                <w:szCs w:val="24"/>
                              </w:rPr>
                              <w:t>)</w:t>
                            </w:r>
                            <w:r w:rsidR="00C7626E">
                              <w:rPr>
                                <w:i/>
                                <w:szCs w:val="24"/>
                              </w:rPr>
                              <w:t xml:space="preserve"> Repeal</w:t>
                            </w:r>
                            <w:r w:rsidR="001C4B18">
                              <w:rPr>
                                <w:i/>
                                <w:szCs w:val="24"/>
                              </w:rPr>
                              <w:t xml:space="preserve"> (Duration of Attendance</w:t>
                            </w:r>
                            <w:r w:rsidR="00261C5D">
                              <w:rPr>
                                <w:i/>
                                <w:szCs w:val="24"/>
                              </w:rPr>
                              <w:t>)</w:t>
                            </w:r>
                            <w:r w:rsidR="001C4B18">
                              <w:rPr>
                                <w:i/>
                                <w:szCs w:val="24"/>
                              </w:rPr>
                              <w:t xml:space="preserve"> </w:t>
                            </w:r>
                            <w:r w:rsidR="008A41B8">
                              <w:rPr>
                                <w:i/>
                                <w:szCs w:val="24"/>
                              </w:rPr>
                              <w:t>Regulation 2015</w:t>
                            </w:r>
                            <w:r w:rsidRPr="00893F87">
                              <w:rPr>
                                <w:b/>
                                <w:i/>
                                <w:szCs w:val="24"/>
                              </w:rPr>
                              <w:t xml:space="preserve"> </w:t>
                            </w:r>
                            <w:r w:rsidRPr="00944DDF">
                              <w:rPr>
                                <w:szCs w:val="24"/>
                              </w:rPr>
                              <w:t>(the Regulation)</w:t>
                            </w:r>
                            <w:r>
                              <w:rPr>
                                <w:b/>
                                <w:i/>
                                <w:szCs w:val="24"/>
                              </w:rPr>
                              <w:t xml:space="preserve"> </w:t>
                            </w:r>
                            <w:r w:rsidR="00201CCA">
                              <w:t xml:space="preserve">revokes the </w:t>
                            </w:r>
                            <w:r w:rsidR="00201CCA" w:rsidRPr="003304DD">
                              <w:rPr>
                                <w:i/>
                                <w:szCs w:val="24"/>
                              </w:rPr>
                              <w:t>Health Insurance (General Medical Services Table) Amendment (Duration of Attendance) Regulation 2014</w:t>
                            </w:r>
                            <w:r w:rsidR="00201CCA">
                              <w:rPr>
                                <w:i/>
                                <w:szCs w:val="24"/>
                              </w:rPr>
                              <w:t xml:space="preserve"> </w:t>
                            </w:r>
                            <w:r w:rsidR="00201CCA">
                              <w:rPr>
                                <w:szCs w:val="24"/>
                              </w:rPr>
                              <w:t xml:space="preserve">and the </w:t>
                            </w:r>
                            <w:r w:rsidR="00201CCA" w:rsidRPr="003304DD">
                              <w:rPr>
                                <w:i/>
                                <w:szCs w:val="24"/>
                              </w:rPr>
                              <w:t>Health Insurance (General Medical Services Table) Amendment (Duration of Attendance) Regulation 2014</w:t>
                            </w:r>
                            <w:r w:rsidR="006F767E">
                              <w:rPr>
                                <w:i/>
                                <w:szCs w:val="24"/>
                              </w:rPr>
                              <w:t xml:space="preserve"> (No.2). </w:t>
                            </w:r>
                            <w:r w:rsidR="00D24A59">
                              <w:t>The decision to repeal the r</w:t>
                            </w:r>
                            <w:r w:rsidR="00844EBD">
                              <w:t>egulations ensures that the am</w:t>
                            </w:r>
                            <w:r w:rsidR="00D24A59">
                              <w:t>endments provided for in those r</w:t>
                            </w:r>
                            <w:r w:rsidR="00844EBD">
                              <w:t>egulations do not take effect</w:t>
                            </w:r>
                          </w:p>
                          <w:p w:rsidR="00201CCA" w:rsidRPr="000700D6" w:rsidRDefault="00201CCA" w:rsidP="00201CCA">
                            <w:pPr>
                              <w:autoSpaceDE w:val="0"/>
                              <w:autoSpaceDN w:val="0"/>
                              <w:adjustRightInd w:val="0"/>
                              <w:rPr>
                                <w:szCs w:val="24"/>
                              </w:rPr>
                            </w:pPr>
                          </w:p>
                          <w:p w:rsidR="00201CCA" w:rsidRDefault="00201CCA" w:rsidP="005565EB">
                            <w:pPr>
                              <w:spacing w:before="120" w:after="120"/>
                              <w:rPr>
                                <w:b/>
                                <w:szCs w:val="24"/>
                              </w:rPr>
                            </w:pPr>
                            <w:r>
                              <w:rPr>
                                <w:b/>
                                <w:szCs w:val="24"/>
                              </w:rPr>
                              <w:t>Human Rights I</w:t>
                            </w:r>
                            <w:r w:rsidR="005565EB" w:rsidRPr="00D664E6">
                              <w:rPr>
                                <w:b/>
                                <w:szCs w:val="24"/>
                              </w:rPr>
                              <w:t>mplications</w:t>
                            </w:r>
                          </w:p>
                          <w:p w:rsidR="00201CCA" w:rsidRDefault="002B3F55" w:rsidP="005565EB">
                            <w:pPr>
                              <w:spacing w:before="120" w:after="120"/>
                              <w:rPr>
                                <w:szCs w:val="24"/>
                              </w:rPr>
                            </w:pPr>
                            <w:r>
                              <w:rPr>
                                <w:szCs w:val="24"/>
                              </w:rPr>
                              <w:t>The R</w:t>
                            </w:r>
                            <w:r w:rsidR="005565EB" w:rsidRPr="00893F87">
                              <w:rPr>
                                <w:szCs w:val="24"/>
                              </w:rPr>
                              <w:t>egulations engage Articles 2, 9</w:t>
                            </w:r>
                            <w:r w:rsidR="005565EB">
                              <w:rPr>
                                <w:szCs w:val="24"/>
                              </w:rPr>
                              <w:t>,</w:t>
                            </w:r>
                            <w:r w:rsidR="005565EB" w:rsidRPr="00893F87">
                              <w:rPr>
                                <w:szCs w:val="24"/>
                              </w:rPr>
                              <w:t xml:space="preserve"> and 12 of the International Covenant on Economic Social and Cultural Rights (ICESCR), specifically the rights </w:t>
                            </w:r>
                            <w:r w:rsidR="005565EB">
                              <w:rPr>
                                <w:szCs w:val="24"/>
                              </w:rPr>
                              <w:t xml:space="preserve">to health and social security. </w:t>
                            </w:r>
                          </w:p>
                          <w:p w:rsidR="005565EB" w:rsidRPr="00893F87" w:rsidRDefault="005565EB" w:rsidP="005565EB">
                            <w:pPr>
                              <w:spacing w:before="120" w:after="120"/>
                              <w:rPr>
                                <w:i/>
                                <w:szCs w:val="24"/>
                              </w:rPr>
                            </w:pPr>
                            <w:r w:rsidRPr="00893F87">
                              <w:rPr>
                                <w:i/>
                                <w:szCs w:val="24"/>
                              </w:rPr>
                              <w:t>The Right to Health</w:t>
                            </w:r>
                          </w:p>
                          <w:p w:rsidR="005565EB" w:rsidRPr="00893F87" w:rsidRDefault="005565EB" w:rsidP="005565EB">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565EB" w:rsidRDefault="005565EB" w:rsidP="005565EB">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201CCA" w:rsidRPr="00893F87" w:rsidRDefault="00201CCA" w:rsidP="00201CCA">
                            <w:pPr>
                              <w:spacing w:before="120" w:after="120"/>
                              <w:rPr>
                                <w:i/>
                                <w:szCs w:val="24"/>
                              </w:rPr>
                            </w:pPr>
                            <w:r w:rsidRPr="00893F87">
                              <w:rPr>
                                <w:i/>
                                <w:szCs w:val="24"/>
                              </w:rPr>
                              <w:t xml:space="preserve">The Right to Social Security </w:t>
                            </w:r>
                          </w:p>
                          <w:p w:rsidR="00201CCA" w:rsidRDefault="00201CCA" w:rsidP="00201CCA">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201CCA" w:rsidRPr="00893F87" w:rsidRDefault="00201CCA" w:rsidP="00201CCA">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0601D6" w:rsidRPr="00165912" w:rsidRDefault="000601D6" w:rsidP="005565EB">
                            <w:pPr>
                              <w:spacing w:before="120" w:after="120"/>
                              <w:rPr>
                                <w:szCs w:val="24"/>
                              </w:rPr>
                            </w:pPr>
                          </w:p>
                          <w:p w:rsidR="005565EB" w:rsidRDefault="005565EB" w:rsidP="005565EB">
                            <w:pPr>
                              <w:pStyle w:val="ListParagraph"/>
                              <w:ind w:left="0"/>
                              <w:rPr>
                                <w:color w:val="FF0000"/>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9pt;margin-top:6.8pt;width:485.25pt;height:7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" strokeweight="6pt">
                <v:stroke linestyle="thickBetweenThin"/>
                <v:textbox inset="5mm,,5mm">
                  <w:txbxContent>
                    <w:p w:rsidR="00083274" w:rsidRPr="00D664E6" w:rsidRDefault="00083274" w:rsidP="005565EB">
                      <w:pPr>
                        <w:spacing w:before="360" w:after="120"/>
                        <w:rPr>
                          <w:b/>
                          <w:sz w:val="28"/>
                          <w:szCs w:val="28"/>
                        </w:rPr>
                      </w:pPr>
                      <w:r w:rsidRPr="007840F1">
                        <w:rPr>
                          <w:b/>
                          <w:sz w:val="28"/>
                          <w:szCs w:val="28"/>
                        </w:rPr>
                        <w:t>Statement of Compatibility with Human Rights</w:t>
                      </w:r>
                    </w:p>
                    <w:p w:rsidR="00083274" w:rsidRDefault="00083274" w:rsidP="005565EB">
                      <w:pPr>
                        <w:spacing w:before="120" w:after="120"/>
                        <w:rPr>
                          <w:szCs w:val="24"/>
                        </w:rPr>
                      </w:pPr>
                      <w:r w:rsidRPr="00D664E6">
                        <w:rPr>
                          <w:i/>
                          <w:szCs w:val="24"/>
                        </w:rPr>
                        <w:t>Prepared in accordance with Part 3 of the Human Rights (Parliamentary Scrutiny) Act 2011</w:t>
                      </w:r>
                    </w:p>
                    <w:p w:rsidR="00E30B19" w:rsidRPr="00D664E6" w:rsidRDefault="00E30B19" w:rsidP="005565EB">
                      <w:pPr>
                        <w:spacing w:before="120" w:after="120"/>
                        <w:rPr>
                          <w:szCs w:val="24"/>
                        </w:rPr>
                      </w:pPr>
                    </w:p>
                    <w:p w:rsidR="00201CCA" w:rsidRDefault="00E30B19" w:rsidP="005565EB">
                      <w:pPr>
                        <w:spacing w:before="120" w:after="120"/>
                        <w:rPr>
                          <w:b/>
                          <w:i/>
                          <w:szCs w:val="24"/>
                        </w:rPr>
                      </w:pPr>
                      <w:r w:rsidRPr="00E30B19">
                        <w:rPr>
                          <w:b/>
                          <w:i/>
                          <w:szCs w:val="24"/>
                        </w:rPr>
                        <w:t>Health Insurance (G</w:t>
                      </w:r>
                      <w:r w:rsidR="00C7626E">
                        <w:rPr>
                          <w:b/>
                          <w:i/>
                          <w:szCs w:val="24"/>
                        </w:rPr>
                        <w:t>eneral Medical Services Table) Repeal</w:t>
                      </w:r>
                      <w:r w:rsidR="00261C5D">
                        <w:rPr>
                          <w:b/>
                          <w:i/>
                          <w:szCs w:val="24"/>
                        </w:rPr>
                        <w:t xml:space="preserve"> (Duration of Attendance)</w:t>
                      </w:r>
                      <w:r w:rsidRPr="00E30B19">
                        <w:rPr>
                          <w:b/>
                          <w:i/>
                          <w:szCs w:val="24"/>
                        </w:rPr>
                        <w:t xml:space="preserve"> </w:t>
                      </w:r>
                      <w:r w:rsidR="008A41B8">
                        <w:rPr>
                          <w:b/>
                          <w:i/>
                          <w:szCs w:val="24"/>
                        </w:rPr>
                        <w:t>Regulation 2015</w:t>
                      </w:r>
                      <w:r w:rsidR="00201CCA">
                        <w:rPr>
                          <w:b/>
                          <w:i/>
                          <w:szCs w:val="24"/>
                        </w:rPr>
                        <w:t xml:space="preserve"> </w:t>
                      </w:r>
                    </w:p>
                    <w:p w:rsidR="00201CCA" w:rsidRPr="001833D7" w:rsidRDefault="00201CCA" w:rsidP="005565EB">
                      <w:pPr>
                        <w:spacing w:before="120" w:after="120"/>
                        <w:rPr>
                          <w:b/>
                          <w:i/>
                          <w:szCs w:val="24"/>
                        </w:rPr>
                      </w:pPr>
                    </w:p>
                    <w:p w:rsidR="00083274" w:rsidRDefault="00083274" w:rsidP="005565EB">
                      <w:pP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Pr="00201CCA" w:rsidRDefault="00083274" w:rsidP="00201CCA">
                      <w:pPr>
                        <w:spacing w:before="120" w:after="120"/>
                        <w:rPr>
                          <w:b/>
                          <w:szCs w:val="24"/>
                        </w:rPr>
                      </w:pPr>
                    </w:p>
                    <w:p w:rsidR="00201CCA" w:rsidRPr="00D664E6" w:rsidRDefault="00083274" w:rsidP="00201CCA">
                      <w:pPr>
                        <w:spacing w:before="120" w:after="120"/>
                        <w:rPr>
                          <w:b/>
                          <w:szCs w:val="24"/>
                        </w:rPr>
                      </w:pPr>
                      <w:r>
                        <w:rPr>
                          <w:b/>
                          <w:szCs w:val="24"/>
                        </w:rPr>
                        <w:t xml:space="preserve">Overview of the </w:t>
                      </w:r>
                      <w:r w:rsidRPr="00D664E6">
                        <w:rPr>
                          <w:b/>
                          <w:szCs w:val="24"/>
                        </w:rPr>
                        <w:t>Legislative Instrument</w:t>
                      </w:r>
                    </w:p>
                    <w:p w:rsidR="006F767E" w:rsidRDefault="004A5FC0" w:rsidP="004A5FC0">
                      <w:pPr>
                        <w:rPr>
                          <w:szCs w:val="24"/>
                        </w:rPr>
                      </w:pPr>
                      <w:r w:rsidRPr="00893F87">
                        <w:t>In accordance with s</w:t>
                      </w:r>
                      <w:r>
                        <w:t>ection</w:t>
                      </w:r>
                      <w:r w:rsidRPr="00893F87">
                        <w:t xml:space="preserve"> 4</w:t>
                      </w:r>
                      <w:r>
                        <w:t>(1)</w:t>
                      </w:r>
                      <w:r w:rsidRPr="00893F87">
                        <w:t xml:space="preserve"> of the </w:t>
                      </w:r>
                      <w:r w:rsidRPr="00893F87">
                        <w:rPr>
                          <w:i/>
                        </w:rPr>
                        <w:t>Health Insurance Act 1973</w:t>
                      </w:r>
                      <w:r>
                        <w:rPr>
                          <w:i/>
                        </w:rPr>
                        <w:t xml:space="preserve"> </w:t>
                      </w:r>
                      <w:r>
                        <w:t xml:space="preserve">(the Act), the </w:t>
                      </w:r>
                      <w:r w:rsidRPr="00E34403">
                        <w:rPr>
                          <w:i/>
                          <w:szCs w:val="24"/>
                        </w:rPr>
                        <w:t>Health Insurance (General Medical Services Table) Regulation 2014</w:t>
                      </w:r>
                      <w:r>
                        <w:rPr>
                          <w:i/>
                          <w:szCs w:val="24"/>
                        </w:rPr>
                        <w:t xml:space="preserve"> </w:t>
                      </w:r>
                      <w:r>
                        <w:rPr>
                          <w:szCs w:val="24"/>
                        </w:rPr>
                        <w:t>(</w:t>
                      </w:r>
                      <w:r w:rsidRPr="001D005C">
                        <w:rPr>
                          <w:szCs w:val="24"/>
                        </w:rPr>
                        <w:t>GMST</w:t>
                      </w:r>
                      <w:r>
                        <w:rPr>
                          <w:szCs w:val="24"/>
                        </w:rPr>
                        <w:t xml:space="preserve">) </w:t>
                      </w:r>
                      <w:r w:rsidRPr="00893F87">
                        <w:t>prescribe</w:t>
                      </w:r>
                      <w:r>
                        <w:t>s a table of medical services containing</w:t>
                      </w:r>
                      <w:r w:rsidRPr="00893F87">
                        <w:t xml:space="preserve"> items of </w:t>
                      </w:r>
                      <w:r>
                        <w:t xml:space="preserve">medical </w:t>
                      </w:r>
                      <w:r w:rsidRPr="00893F87">
                        <w:t>services, the amounts of fees applicable for each item, and rules for interpretation.</w:t>
                      </w:r>
                      <w:r>
                        <w:t xml:space="preserve"> </w:t>
                      </w:r>
                    </w:p>
                    <w:p w:rsidR="00844EBD" w:rsidRDefault="00083274" w:rsidP="00201CCA">
                      <w:pPr>
                        <w:spacing w:before="120" w:after="120"/>
                        <w:rPr>
                          <w:szCs w:val="24"/>
                        </w:rPr>
                      </w:pPr>
                      <w:r w:rsidRPr="00201CCA">
                        <w:rPr>
                          <w:szCs w:val="24"/>
                        </w:rPr>
                        <w:t xml:space="preserve">The </w:t>
                      </w:r>
                      <w:r w:rsidRPr="00201CCA">
                        <w:rPr>
                          <w:i/>
                          <w:szCs w:val="24"/>
                        </w:rPr>
                        <w:t>Health</w:t>
                      </w:r>
                      <w:r w:rsidRPr="00893F87">
                        <w:rPr>
                          <w:i/>
                          <w:szCs w:val="24"/>
                        </w:rPr>
                        <w:t xml:space="preserve"> Insurance </w:t>
                      </w:r>
                      <w:r w:rsidR="001C4B18">
                        <w:rPr>
                          <w:i/>
                          <w:szCs w:val="24"/>
                        </w:rPr>
                        <w:t>(</w:t>
                      </w:r>
                      <w:r w:rsidR="003A0F33">
                        <w:rPr>
                          <w:i/>
                          <w:szCs w:val="24"/>
                        </w:rPr>
                        <w:t>General Medical Services Table</w:t>
                      </w:r>
                      <w:r w:rsidRPr="00893F87">
                        <w:rPr>
                          <w:i/>
                          <w:szCs w:val="24"/>
                        </w:rPr>
                        <w:t>)</w:t>
                      </w:r>
                      <w:r w:rsidR="00C7626E">
                        <w:rPr>
                          <w:i/>
                          <w:szCs w:val="24"/>
                        </w:rPr>
                        <w:t xml:space="preserve"> Repeal</w:t>
                      </w:r>
                      <w:r w:rsidR="001C4B18">
                        <w:rPr>
                          <w:i/>
                          <w:szCs w:val="24"/>
                        </w:rPr>
                        <w:t xml:space="preserve"> (Duration of Attendance</w:t>
                      </w:r>
                      <w:r w:rsidR="00261C5D">
                        <w:rPr>
                          <w:i/>
                          <w:szCs w:val="24"/>
                        </w:rPr>
                        <w:t>)</w:t>
                      </w:r>
                      <w:r w:rsidR="001C4B18">
                        <w:rPr>
                          <w:i/>
                          <w:szCs w:val="24"/>
                        </w:rPr>
                        <w:t xml:space="preserve"> </w:t>
                      </w:r>
                      <w:r w:rsidR="008A41B8">
                        <w:rPr>
                          <w:i/>
                          <w:szCs w:val="24"/>
                        </w:rPr>
                        <w:t>Regulation 2015</w:t>
                      </w:r>
                      <w:r w:rsidRPr="00893F87">
                        <w:rPr>
                          <w:b/>
                          <w:i/>
                          <w:szCs w:val="24"/>
                        </w:rPr>
                        <w:t xml:space="preserve"> </w:t>
                      </w:r>
                      <w:r w:rsidRPr="00944DDF">
                        <w:rPr>
                          <w:szCs w:val="24"/>
                        </w:rPr>
                        <w:t>(the Regulation)</w:t>
                      </w:r>
                      <w:r>
                        <w:rPr>
                          <w:b/>
                          <w:i/>
                          <w:szCs w:val="24"/>
                        </w:rPr>
                        <w:t xml:space="preserve"> </w:t>
                      </w:r>
                      <w:r w:rsidR="00201CCA">
                        <w:t xml:space="preserve">revokes the </w:t>
                      </w:r>
                      <w:r w:rsidR="00201CCA" w:rsidRPr="003304DD">
                        <w:rPr>
                          <w:i/>
                          <w:szCs w:val="24"/>
                        </w:rPr>
                        <w:t>Health Insurance (General Medical Services Table) Amendment (Duration of Attendance) Regulation 2014</w:t>
                      </w:r>
                      <w:r w:rsidR="00201CCA">
                        <w:rPr>
                          <w:i/>
                          <w:szCs w:val="24"/>
                        </w:rPr>
                        <w:t xml:space="preserve"> </w:t>
                      </w:r>
                      <w:r w:rsidR="00201CCA">
                        <w:rPr>
                          <w:szCs w:val="24"/>
                        </w:rPr>
                        <w:t xml:space="preserve">and the </w:t>
                      </w:r>
                      <w:r w:rsidR="00201CCA" w:rsidRPr="003304DD">
                        <w:rPr>
                          <w:i/>
                          <w:szCs w:val="24"/>
                        </w:rPr>
                        <w:t>Health Insurance (General Medical Services Table) Amendment (Duration of Attendance) Regulation 2014</w:t>
                      </w:r>
                      <w:r w:rsidR="006F767E">
                        <w:rPr>
                          <w:i/>
                          <w:szCs w:val="24"/>
                        </w:rPr>
                        <w:t xml:space="preserve"> (No.2). </w:t>
                      </w:r>
                      <w:r w:rsidR="00D24A59">
                        <w:t>The decision to repeal the r</w:t>
                      </w:r>
                      <w:r w:rsidR="00844EBD">
                        <w:t>egulations ensures that the am</w:t>
                      </w:r>
                      <w:r w:rsidR="00D24A59">
                        <w:t>endments provided for in those r</w:t>
                      </w:r>
                      <w:r w:rsidR="00844EBD">
                        <w:t>egulations do not take effect</w:t>
                      </w:r>
                    </w:p>
                    <w:p w:rsidR="00201CCA" w:rsidRPr="000700D6" w:rsidRDefault="00201CCA" w:rsidP="00201CCA">
                      <w:pPr>
                        <w:autoSpaceDE w:val="0"/>
                        <w:autoSpaceDN w:val="0"/>
                        <w:adjustRightInd w:val="0"/>
                        <w:rPr>
                          <w:szCs w:val="24"/>
                        </w:rPr>
                      </w:pPr>
                    </w:p>
                    <w:p w:rsidR="00201CCA" w:rsidRDefault="00201CCA" w:rsidP="005565EB">
                      <w:pPr>
                        <w:spacing w:before="120" w:after="120"/>
                        <w:rPr>
                          <w:b/>
                          <w:szCs w:val="24"/>
                        </w:rPr>
                      </w:pPr>
                      <w:r>
                        <w:rPr>
                          <w:b/>
                          <w:szCs w:val="24"/>
                        </w:rPr>
                        <w:t>Human Rights I</w:t>
                      </w:r>
                      <w:r w:rsidR="005565EB" w:rsidRPr="00D664E6">
                        <w:rPr>
                          <w:b/>
                          <w:szCs w:val="24"/>
                        </w:rPr>
                        <w:t>mplications</w:t>
                      </w:r>
                    </w:p>
                    <w:p w:rsidR="00201CCA" w:rsidRDefault="002B3F55" w:rsidP="005565EB">
                      <w:pPr>
                        <w:spacing w:before="120" w:after="120"/>
                        <w:rPr>
                          <w:szCs w:val="24"/>
                        </w:rPr>
                      </w:pPr>
                      <w:r>
                        <w:rPr>
                          <w:szCs w:val="24"/>
                        </w:rPr>
                        <w:t>The R</w:t>
                      </w:r>
                      <w:r w:rsidR="005565EB" w:rsidRPr="00893F87">
                        <w:rPr>
                          <w:szCs w:val="24"/>
                        </w:rPr>
                        <w:t>egulations engage Articles 2, 9</w:t>
                      </w:r>
                      <w:r w:rsidR="005565EB">
                        <w:rPr>
                          <w:szCs w:val="24"/>
                        </w:rPr>
                        <w:t>,</w:t>
                      </w:r>
                      <w:r w:rsidR="005565EB" w:rsidRPr="00893F87">
                        <w:rPr>
                          <w:szCs w:val="24"/>
                        </w:rPr>
                        <w:t xml:space="preserve"> and 12 of the International Covenant on Economic Social and Cultural Rights (ICESCR), specifically the rights </w:t>
                      </w:r>
                      <w:r w:rsidR="005565EB">
                        <w:rPr>
                          <w:szCs w:val="24"/>
                        </w:rPr>
                        <w:t xml:space="preserve">to health and social security. </w:t>
                      </w:r>
                    </w:p>
                    <w:p w:rsidR="005565EB" w:rsidRPr="00893F87" w:rsidRDefault="005565EB" w:rsidP="005565EB">
                      <w:pPr>
                        <w:spacing w:before="120" w:after="120"/>
                        <w:rPr>
                          <w:i/>
                          <w:szCs w:val="24"/>
                        </w:rPr>
                      </w:pPr>
                      <w:r w:rsidRPr="00893F87">
                        <w:rPr>
                          <w:i/>
                          <w:szCs w:val="24"/>
                        </w:rPr>
                        <w:t>The Right to Health</w:t>
                      </w:r>
                    </w:p>
                    <w:p w:rsidR="005565EB" w:rsidRPr="00893F87" w:rsidRDefault="005565EB" w:rsidP="005565EB">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565EB" w:rsidRDefault="005565EB" w:rsidP="005565EB">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201CCA" w:rsidRPr="00893F87" w:rsidRDefault="00201CCA" w:rsidP="00201CCA">
                      <w:pPr>
                        <w:spacing w:before="120" w:after="120"/>
                        <w:rPr>
                          <w:i/>
                          <w:szCs w:val="24"/>
                        </w:rPr>
                      </w:pPr>
                      <w:r w:rsidRPr="00893F87">
                        <w:rPr>
                          <w:i/>
                          <w:szCs w:val="24"/>
                        </w:rPr>
                        <w:t xml:space="preserve">The Right to Social Security </w:t>
                      </w:r>
                    </w:p>
                    <w:p w:rsidR="00201CCA" w:rsidRDefault="00201CCA" w:rsidP="00201CCA">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201CCA" w:rsidRPr="00893F87" w:rsidRDefault="00201CCA" w:rsidP="00201CCA">
                      <w:pPr>
                        <w:rPr>
                          <w:szCs w:val="24"/>
                        </w:rPr>
                      </w:pPr>
                      <w:proofErr w:type="gramStart"/>
                      <w:r w:rsidRPr="00893F87">
                        <w:rPr>
                          <w:szCs w:val="24"/>
                        </w:rPr>
                        <w:t>provides</w:t>
                      </w:r>
                      <w:proofErr w:type="gramEnd"/>
                      <w:r w:rsidRPr="00893F87">
                        <w:rPr>
                          <w:szCs w:val="24"/>
                        </w:rPr>
                        <w:t xml:space="preserve">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0601D6" w:rsidRPr="00165912" w:rsidRDefault="000601D6" w:rsidP="005565EB">
                      <w:pPr>
                        <w:spacing w:before="120" w:after="120"/>
                        <w:rPr>
                          <w:szCs w:val="24"/>
                        </w:rPr>
                      </w:pPr>
                    </w:p>
                    <w:p w:rsidR="005565EB" w:rsidRDefault="005565EB" w:rsidP="005565EB">
                      <w:pPr>
                        <w:pStyle w:val="ListParagraph"/>
                        <w:ind w:left="0"/>
                        <w:rPr>
                          <w:color w:val="FF0000"/>
                        </w:rPr>
                      </w:pPr>
                    </w:p>
                  </w:txbxContent>
                </v:textbox>
              </v:rect>
            </w:pict>
          </mc:Fallback>
        </mc:AlternateContent>
      </w: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65FD7" w:rsidP="008D2D98">
      <w:pPr>
        <w:tabs>
          <w:tab w:val="left" w:pos="4536"/>
        </w:tabs>
        <w:rPr>
          <w:szCs w:val="24"/>
        </w:rPr>
      </w:pPr>
      <w:r>
        <w:rPr>
          <w:noProof/>
          <w:szCs w:val="24"/>
        </w:rPr>
        <mc:AlternateContent>
          <mc:Choice Requires="wps">
            <w:drawing>
              <wp:anchor distT="0" distB="0" distL="114300" distR="114300" simplePos="0" relativeHeight="251661312" behindDoc="0" locked="0" layoutInCell="1" allowOverlap="1" wp14:anchorId="70345237" wp14:editId="2242EBB6">
                <wp:simplePos x="0" y="0"/>
                <wp:positionH relativeFrom="column">
                  <wp:posOffset>-247650</wp:posOffset>
                </wp:positionH>
                <wp:positionV relativeFrom="paragraph">
                  <wp:posOffset>71755</wp:posOffset>
                </wp:positionV>
                <wp:extent cx="6203315" cy="9001125"/>
                <wp:effectExtent l="38100" t="38100" r="4508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9001125"/>
                        </a:xfrm>
                        <a:prstGeom prst="rect">
                          <a:avLst/>
                        </a:prstGeom>
                        <a:solidFill>
                          <a:srgbClr val="FFFFFF"/>
                        </a:solidFill>
                        <a:ln w="76200" cmpd="tri">
                          <a:solidFill>
                            <a:srgbClr val="000000"/>
                          </a:solidFill>
                          <a:miter lim="800000"/>
                          <a:headEnd/>
                          <a:tailEnd/>
                        </a:ln>
                      </wps:spPr>
                      <wps:txbx>
                        <w:txbxContent>
                          <w:p w:rsidR="00083274" w:rsidRDefault="00083274" w:rsidP="00083274"/>
                          <w:p w:rsidR="00AF2010" w:rsidRDefault="00AF2010" w:rsidP="00AF2010">
                            <w:pPr>
                              <w:rPr>
                                <w:szCs w:val="24"/>
                              </w:rPr>
                            </w:pPr>
                          </w:p>
                          <w:p w:rsidR="00201CCA" w:rsidRDefault="00201CCA" w:rsidP="00201CCA">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565EB" w:rsidRDefault="005565EB" w:rsidP="00AF2010">
                            <w:pPr>
                              <w:rPr>
                                <w:szCs w:val="24"/>
                              </w:rPr>
                            </w:pPr>
                          </w:p>
                          <w:p w:rsidR="005565EB" w:rsidRPr="00893F87" w:rsidRDefault="005565EB" w:rsidP="005565EB">
                            <w:pPr>
                              <w:spacing w:before="120" w:after="120"/>
                              <w:rPr>
                                <w:szCs w:val="24"/>
                                <w:u w:val="single"/>
                              </w:rPr>
                            </w:pPr>
                            <w:r w:rsidRPr="00893F87">
                              <w:rPr>
                                <w:szCs w:val="24"/>
                                <w:u w:val="single"/>
                              </w:rPr>
                              <w:t xml:space="preserve">Analysis </w:t>
                            </w:r>
                          </w:p>
                          <w:p w:rsidR="00844EBD" w:rsidRDefault="004A5FC0" w:rsidP="004A5FC0">
                            <w:r>
                              <w:t xml:space="preserve">The </w:t>
                            </w:r>
                            <w:r w:rsidR="00D24A59">
                              <w:t>revocation of these regulations do</w:t>
                            </w:r>
                            <w:r w:rsidR="004C2D12">
                              <w:t>es</w:t>
                            </w:r>
                            <w:r>
                              <w:t xml:space="preserve"> not raise any human rights issues as it </w:t>
                            </w:r>
                            <w:r w:rsidR="00844EBD">
                              <w:t xml:space="preserve">ensures the amendments which were to commence on 19 January 2014 do not take effect. </w:t>
                            </w:r>
                          </w:p>
                          <w:p w:rsidR="000601D6" w:rsidRDefault="000601D6" w:rsidP="005565EB">
                            <w:pPr>
                              <w:rPr>
                                <w:szCs w:val="24"/>
                              </w:rPr>
                            </w:pPr>
                          </w:p>
                          <w:p w:rsidR="005565EB" w:rsidRDefault="005565EB" w:rsidP="005565EB">
                            <w:pPr>
                              <w:spacing w:before="120" w:after="120"/>
                              <w:rPr>
                                <w:b/>
                                <w:szCs w:val="24"/>
                              </w:rPr>
                            </w:pPr>
                            <w:r>
                              <w:rPr>
                                <w:b/>
                                <w:szCs w:val="24"/>
                              </w:rPr>
                              <w:t xml:space="preserve">Conclusion </w:t>
                            </w:r>
                          </w:p>
                          <w:p w:rsidR="005565EB" w:rsidRDefault="005565EB" w:rsidP="004A5FC0">
                            <w:pPr>
                              <w:rPr>
                                <w:b/>
                                <w:bCs/>
                                <w:szCs w:val="24"/>
                              </w:rPr>
                            </w:pPr>
                            <w:r w:rsidRPr="00AA065D">
                              <w:rPr>
                                <w:szCs w:val="24"/>
                              </w:rPr>
                              <w:t>The Legislative Instrument is compatible with</w:t>
                            </w:r>
                            <w:r w:rsidR="001F0441">
                              <w:rPr>
                                <w:szCs w:val="24"/>
                              </w:rPr>
                              <w:t xml:space="preserve"> human rights because it maintains</w:t>
                            </w:r>
                            <w:r w:rsidRPr="00AA065D">
                              <w:rPr>
                                <w:szCs w:val="24"/>
                              </w:rPr>
                              <w:t xml:space="preserve"> the protection of human rights</w:t>
                            </w:r>
                            <w:r>
                              <w:rPr>
                                <w:b/>
                                <w:bCs/>
                                <w:szCs w:val="24"/>
                              </w:rPr>
                              <w:t xml:space="preserve"> </w:t>
                            </w:r>
                          </w:p>
                          <w:p w:rsidR="003E369F" w:rsidRPr="004A5FC0" w:rsidRDefault="003E369F" w:rsidP="004A5FC0">
                            <w:pPr>
                              <w:rPr>
                                <w:szCs w:val="24"/>
                              </w:rPr>
                            </w:pPr>
                          </w:p>
                          <w:p w:rsidR="003E369F" w:rsidRPr="003E369F" w:rsidRDefault="003E369F" w:rsidP="005565EB">
                            <w:pPr>
                              <w:spacing w:before="120" w:after="120"/>
                              <w:jc w:val="center"/>
                              <w:rPr>
                                <w:b/>
                                <w:bCs/>
                                <w:szCs w:val="24"/>
                              </w:rPr>
                            </w:pPr>
                            <w:proofErr w:type="spellStart"/>
                            <w:r w:rsidRPr="003E369F">
                              <w:rPr>
                                <w:b/>
                                <w:bCs/>
                                <w:szCs w:val="24"/>
                              </w:rPr>
                              <w:t>Sussan</w:t>
                            </w:r>
                            <w:proofErr w:type="spellEnd"/>
                            <w:r w:rsidRPr="003E369F">
                              <w:rPr>
                                <w:b/>
                                <w:bCs/>
                                <w:szCs w:val="24"/>
                              </w:rPr>
                              <w:t xml:space="preserve"> Ley</w:t>
                            </w:r>
                          </w:p>
                          <w:p w:rsidR="005565EB" w:rsidRPr="00C85894" w:rsidRDefault="005565EB" w:rsidP="005565EB">
                            <w:pPr>
                              <w:spacing w:before="120" w:after="120"/>
                              <w:jc w:val="center"/>
                              <w:rPr>
                                <w:szCs w:val="24"/>
                              </w:rPr>
                            </w:pPr>
                            <w:r w:rsidRPr="00893F87">
                              <w:rPr>
                                <w:b/>
                                <w:bCs/>
                                <w:szCs w:val="24"/>
                              </w:rPr>
                              <w:t>Minister for Health</w:t>
                            </w:r>
                          </w:p>
                          <w:p w:rsidR="005565EB" w:rsidRPr="00165912" w:rsidRDefault="005565EB" w:rsidP="00AF2010">
                            <w:pPr>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5pt;margin-top:5.65pt;width:488.45pt;height:7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" strokeweight="6pt">
                <v:stroke linestyle="thickBetweenThin"/>
                <v:textbox inset="5mm,,5mm">
                  <w:txbxContent>
                    <w:p w:rsidR="00083274" w:rsidRDefault="00083274" w:rsidP="00083274"/>
                    <w:p w:rsidR="00AF2010" w:rsidRDefault="00AF2010" w:rsidP="00AF2010">
                      <w:pPr>
                        <w:rPr>
                          <w:szCs w:val="24"/>
                        </w:rPr>
                      </w:pPr>
                    </w:p>
                    <w:p w:rsidR="00201CCA" w:rsidRDefault="00201CCA" w:rsidP="00201CCA">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565EB" w:rsidRDefault="005565EB" w:rsidP="00AF2010">
                      <w:pPr>
                        <w:rPr>
                          <w:szCs w:val="24"/>
                        </w:rPr>
                      </w:pPr>
                    </w:p>
                    <w:p w:rsidR="005565EB" w:rsidRPr="00893F87" w:rsidRDefault="005565EB" w:rsidP="005565EB">
                      <w:pPr>
                        <w:spacing w:before="120" w:after="120"/>
                        <w:rPr>
                          <w:szCs w:val="24"/>
                          <w:u w:val="single"/>
                        </w:rPr>
                      </w:pPr>
                      <w:r w:rsidRPr="00893F87">
                        <w:rPr>
                          <w:szCs w:val="24"/>
                          <w:u w:val="single"/>
                        </w:rPr>
                        <w:t xml:space="preserve">Analysis </w:t>
                      </w:r>
                    </w:p>
                    <w:p w:rsidR="00844EBD" w:rsidRDefault="004A5FC0" w:rsidP="004A5FC0">
                      <w:r>
                        <w:t xml:space="preserve">The </w:t>
                      </w:r>
                      <w:r w:rsidR="00D24A59">
                        <w:t xml:space="preserve">revocation of these regulations </w:t>
                      </w:r>
                      <w:r w:rsidR="00D24A59">
                        <w:t>do</w:t>
                      </w:r>
                      <w:r w:rsidR="004C2D12">
                        <w:t>es</w:t>
                      </w:r>
                      <w:bookmarkStart w:id="1" w:name="_GoBack"/>
                      <w:bookmarkEnd w:id="1"/>
                      <w:r>
                        <w:t xml:space="preserve"> not raise any human rights issues as it </w:t>
                      </w:r>
                      <w:r w:rsidR="00844EBD">
                        <w:t xml:space="preserve">ensures the amendments which were to commence on 19 January 2014 do not take effect. </w:t>
                      </w:r>
                    </w:p>
                    <w:p w:rsidR="000601D6" w:rsidRDefault="000601D6" w:rsidP="005565EB">
                      <w:pPr>
                        <w:rPr>
                          <w:szCs w:val="24"/>
                        </w:rPr>
                      </w:pPr>
                    </w:p>
                    <w:p w:rsidR="005565EB" w:rsidRDefault="005565EB" w:rsidP="005565EB">
                      <w:pPr>
                        <w:spacing w:before="120" w:after="120"/>
                        <w:rPr>
                          <w:b/>
                          <w:szCs w:val="24"/>
                        </w:rPr>
                      </w:pPr>
                      <w:r>
                        <w:rPr>
                          <w:b/>
                          <w:szCs w:val="24"/>
                        </w:rPr>
                        <w:t xml:space="preserve">Conclusion </w:t>
                      </w:r>
                    </w:p>
                    <w:p w:rsidR="005565EB" w:rsidRDefault="005565EB" w:rsidP="004A5FC0">
                      <w:pPr>
                        <w:rPr>
                          <w:b/>
                          <w:bCs/>
                          <w:szCs w:val="24"/>
                        </w:rPr>
                      </w:pPr>
                      <w:r w:rsidRPr="00AA065D">
                        <w:rPr>
                          <w:szCs w:val="24"/>
                        </w:rPr>
                        <w:t>The Legislative Instrument is compatible with</w:t>
                      </w:r>
                      <w:r w:rsidR="001F0441">
                        <w:rPr>
                          <w:szCs w:val="24"/>
                        </w:rPr>
                        <w:t xml:space="preserve"> human rights because it maintains</w:t>
                      </w:r>
                      <w:r w:rsidRPr="00AA065D">
                        <w:rPr>
                          <w:szCs w:val="24"/>
                        </w:rPr>
                        <w:t xml:space="preserve"> the protection of human rights</w:t>
                      </w:r>
                      <w:r>
                        <w:rPr>
                          <w:b/>
                          <w:bCs/>
                          <w:szCs w:val="24"/>
                        </w:rPr>
                        <w:t xml:space="preserve"> </w:t>
                      </w:r>
                    </w:p>
                    <w:p w:rsidR="003E369F" w:rsidRPr="004A5FC0" w:rsidRDefault="003E369F" w:rsidP="004A5FC0">
                      <w:pPr>
                        <w:rPr>
                          <w:szCs w:val="24"/>
                        </w:rPr>
                      </w:pPr>
                    </w:p>
                    <w:p w:rsidR="003E369F" w:rsidRPr="003E369F" w:rsidRDefault="003E369F" w:rsidP="005565EB">
                      <w:pPr>
                        <w:spacing w:before="120" w:after="120"/>
                        <w:jc w:val="center"/>
                        <w:rPr>
                          <w:b/>
                          <w:bCs/>
                          <w:szCs w:val="24"/>
                        </w:rPr>
                      </w:pPr>
                      <w:proofErr w:type="spellStart"/>
                      <w:r w:rsidRPr="003E369F">
                        <w:rPr>
                          <w:b/>
                          <w:bCs/>
                          <w:szCs w:val="24"/>
                        </w:rPr>
                        <w:t>Sussan</w:t>
                      </w:r>
                      <w:proofErr w:type="spellEnd"/>
                      <w:r w:rsidRPr="003E369F">
                        <w:rPr>
                          <w:b/>
                          <w:bCs/>
                          <w:szCs w:val="24"/>
                        </w:rPr>
                        <w:t xml:space="preserve"> Ley</w:t>
                      </w:r>
                    </w:p>
                    <w:p w:rsidR="005565EB" w:rsidRPr="00C85894" w:rsidRDefault="005565EB" w:rsidP="005565EB">
                      <w:pPr>
                        <w:spacing w:before="120" w:after="120"/>
                        <w:jc w:val="center"/>
                        <w:rPr>
                          <w:szCs w:val="24"/>
                        </w:rPr>
                      </w:pPr>
                      <w:r w:rsidRPr="00893F87">
                        <w:rPr>
                          <w:b/>
                          <w:bCs/>
                          <w:szCs w:val="24"/>
                        </w:rPr>
                        <w:t>Minister for Health</w:t>
                      </w:r>
                    </w:p>
                    <w:p w:rsidR="005565EB" w:rsidRPr="00165912" w:rsidRDefault="005565EB" w:rsidP="00AF2010">
                      <w:pPr>
                        <w:rPr>
                          <w:szCs w:val="24"/>
                        </w:rPr>
                      </w:pP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1E63F3" w:rsidRDefault="001E63F3"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Pr="00A62031" w:rsidRDefault="00083274" w:rsidP="008D2D98">
      <w:pPr>
        <w:tabs>
          <w:tab w:val="left" w:pos="4536"/>
        </w:tabs>
        <w:rPr>
          <w:szCs w:val="24"/>
        </w:rPr>
      </w:pPr>
    </w:p>
    <w:sectPr w:rsidR="00083274" w:rsidRPr="00A62031" w:rsidSect="004534AC">
      <w:headerReference w:type="even" r:id="rId9"/>
      <w:headerReference w:type="default" r:id="rId10"/>
      <w:headerReference w:type="first" r:id="rId11"/>
      <w:pgSz w:w="11906" w:h="16838"/>
      <w:pgMar w:top="1103"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D7" w:rsidRDefault="00323FD7">
      <w:r>
        <w:separator/>
      </w:r>
    </w:p>
  </w:endnote>
  <w:endnote w:type="continuationSeparator" w:id="0">
    <w:p w:rsidR="00323FD7" w:rsidRDefault="0032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D7" w:rsidRDefault="00323FD7">
      <w:r>
        <w:separator/>
      </w:r>
    </w:p>
  </w:footnote>
  <w:footnote w:type="continuationSeparator" w:id="0">
    <w:p w:rsidR="00323FD7" w:rsidRDefault="0032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693">
      <w:rPr>
        <w:rStyle w:val="PageNumber"/>
        <w:noProof/>
      </w:rPr>
      <w:t>2</w:t>
    </w:r>
    <w:r>
      <w:rPr>
        <w:rStyle w:val="PageNumber"/>
      </w:rPr>
      <w:fldChar w:fldCharType="end"/>
    </w:r>
  </w:p>
  <w:p w:rsidR="001C35BC" w:rsidRDefault="001C35BC" w:rsidP="009D3773">
    <w:pPr>
      <w:pStyle w:val="Header"/>
      <w:framePr w:wrap="around" w:vAnchor="text" w:hAnchor="page" w:x="6022" w:y="1"/>
      <w:rPr>
        <w:rStyle w:val="PageNumber"/>
      </w:rPr>
    </w:pPr>
  </w:p>
  <w:p w:rsidR="001C35BC" w:rsidRDefault="001C35BC" w:rsidP="009D377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45452"/>
      <w:docPartObj>
        <w:docPartGallery w:val="Page Numbers (Top of Page)"/>
        <w:docPartUnique/>
      </w:docPartObj>
    </w:sdtPr>
    <w:sdtEndPr>
      <w:rPr>
        <w:noProof/>
      </w:rPr>
    </w:sdtEndPr>
    <w:sdtContent>
      <w:p w:rsidR="00083274" w:rsidRDefault="00083274" w:rsidP="004534AC">
        <w:pPr>
          <w:pStyle w:val="Header"/>
          <w:jc w:val="center"/>
        </w:pPr>
        <w:r>
          <w:fldChar w:fldCharType="begin"/>
        </w:r>
        <w:r>
          <w:instrText xml:space="preserve"> PAGE   \* MERGEFORMAT </w:instrText>
        </w:r>
        <w:r>
          <w:fldChar w:fldCharType="separate"/>
        </w:r>
        <w:r w:rsidR="00786693">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ABA"/>
    <w:multiLevelType w:val="hybridMultilevel"/>
    <w:tmpl w:val="1CF8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FB6ADF"/>
    <w:multiLevelType w:val="hybridMultilevel"/>
    <w:tmpl w:val="52CA898C"/>
    <w:lvl w:ilvl="0" w:tplc="A05EE8F8">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0F3E8C"/>
    <w:multiLevelType w:val="hybridMultilevel"/>
    <w:tmpl w:val="5C50C0D4"/>
    <w:lvl w:ilvl="0" w:tplc="C2F24458">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nsid w:val="4496793B"/>
    <w:multiLevelType w:val="hybridMultilevel"/>
    <w:tmpl w:val="5972D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FF26B5"/>
    <w:multiLevelType w:val="hybridMultilevel"/>
    <w:tmpl w:val="DE4C90C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C75FCF"/>
    <w:multiLevelType w:val="hybridMultilevel"/>
    <w:tmpl w:val="CBA8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6"/>
  </w:num>
  <w:num w:numId="4">
    <w:abstractNumId w:val="5"/>
  </w:num>
  <w:num w:numId="5">
    <w:abstractNumId w:val="29"/>
  </w:num>
  <w:num w:numId="6">
    <w:abstractNumId w:val="4"/>
  </w:num>
  <w:num w:numId="7">
    <w:abstractNumId w:val="19"/>
  </w:num>
  <w:num w:numId="8">
    <w:abstractNumId w:val="15"/>
  </w:num>
  <w:num w:numId="9">
    <w:abstractNumId w:val="10"/>
  </w:num>
  <w:num w:numId="10">
    <w:abstractNumId w:val="32"/>
  </w:num>
  <w:num w:numId="11">
    <w:abstractNumId w:val="15"/>
  </w:num>
  <w:num w:numId="12">
    <w:abstractNumId w:val="22"/>
  </w:num>
  <w:num w:numId="13">
    <w:abstractNumId w:val="28"/>
  </w:num>
  <w:num w:numId="14">
    <w:abstractNumId w:val="11"/>
  </w:num>
  <w:num w:numId="15">
    <w:abstractNumId w:val="17"/>
  </w:num>
  <w:num w:numId="16">
    <w:abstractNumId w:val="27"/>
  </w:num>
  <w:num w:numId="17">
    <w:abstractNumId w:val="8"/>
  </w:num>
  <w:num w:numId="18">
    <w:abstractNumId w:val="14"/>
  </w:num>
  <w:num w:numId="19">
    <w:abstractNumId w:val="14"/>
  </w:num>
  <w:num w:numId="20">
    <w:abstractNumId w:val="6"/>
  </w:num>
  <w:num w:numId="21">
    <w:abstractNumId w:val="23"/>
  </w:num>
  <w:num w:numId="22">
    <w:abstractNumId w:val="2"/>
  </w:num>
  <w:num w:numId="23">
    <w:abstractNumId w:val="2"/>
  </w:num>
  <w:num w:numId="24">
    <w:abstractNumId w:val="7"/>
  </w:num>
  <w:num w:numId="25">
    <w:abstractNumId w:val="1"/>
  </w:num>
  <w:num w:numId="26">
    <w:abstractNumId w:val="21"/>
  </w:num>
  <w:num w:numId="27">
    <w:abstractNumId w:val="24"/>
  </w:num>
  <w:num w:numId="28">
    <w:abstractNumId w:val="31"/>
  </w:num>
  <w:num w:numId="29">
    <w:abstractNumId w:val="30"/>
  </w:num>
  <w:num w:numId="30">
    <w:abstractNumId w:val="13"/>
  </w:num>
  <w:num w:numId="31">
    <w:abstractNumId w:val="20"/>
  </w:num>
  <w:num w:numId="32">
    <w:abstractNumId w:val="18"/>
  </w:num>
  <w:num w:numId="33">
    <w:abstractNumId w:val="12"/>
  </w:num>
  <w:num w:numId="34">
    <w:abstractNumId w:val="3"/>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18"/>
    <w:rsid w:val="00000DEE"/>
    <w:rsid w:val="00004E17"/>
    <w:rsid w:val="00005906"/>
    <w:rsid w:val="00006B3E"/>
    <w:rsid w:val="00014B38"/>
    <w:rsid w:val="000221EB"/>
    <w:rsid w:val="00024158"/>
    <w:rsid w:val="0002704E"/>
    <w:rsid w:val="000319EF"/>
    <w:rsid w:val="00036DA8"/>
    <w:rsid w:val="00044A2A"/>
    <w:rsid w:val="000509BA"/>
    <w:rsid w:val="0005224B"/>
    <w:rsid w:val="00053164"/>
    <w:rsid w:val="0005533C"/>
    <w:rsid w:val="00057B37"/>
    <w:rsid w:val="000601D6"/>
    <w:rsid w:val="00064BA4"/>
    <w:rsid w:val="00065FD7"/>
    <w:rsid w:val="000700D6"/>
    <w:rsid w:val="000710DD"/>
    <w:rsid w:val="000727E0"/>
    <w:rsid w:val="00074AA8"/>
    <w:rsid w:val="00080116"/>
    <w:rsid w:val="00083274"/>
    <w:rsid w:val="00087B0F"/>
    <w:rsid w:val="0009093A"/>
    <w:rsid w:val="000968F8"/>
    <w:rsid w:val="000969EF"/>
    <w:rsid w:val="000A1595"/>
    <w:rsid w:val="000A1E19"/>
    <w:rsid w:val="000A31F2"/>
    <w:rsid w:val="000A45BE"/>
    <w:rsid w:val="000A6FB3"/>
    <w:rsid w:val="000B3452"/>
    <w:rsid w:val="000C0DD3"/>
    <w:rsid w:val="000C1268"/>
    <w:rsid w:val="000C12EE"/>
    <w:rsid w:val="000C46E6"/>
    <w:rsid w:val="000C6797"/>
    <w:rsid w:val="000C6FF8"/>
    <w:rsid w:val="000D1325"/>
    <w:rsid w:val="000D2B00"/>
    <w:rsid w:val="000D7803"/>
    <w:rsid w:val="000E1ACD"/>
    <w:rsid w:val="000F1714"/>
    <w:rsid w:val="000F249E"/>
    <w:rsid w:val="000F5E76"/>
    <w:rsid w:val="00113B2E"/>
    <w:rsid w:val="00121A66"/>
    <w:rsid w:val="001330FD"/>
    <w:rsid w:val="00133FED"/>
    <w:rsid w:val="00134B27"/>
    <w:rsid w:val="001400C4"/>
    <w:rsid w:val="00141E8C"/>
    <w:rsid w:val="00145918"/>
    <w:rsid w:val="00145D25"/>
    <w:rsid w:val="001519E4"/>
    <w:rsid w:val="00154FC4"/>
    <w:rsid w:val="0015521F"/>
    <w:rsid w:val="001641C0"/>
    <w:rsid w:val="001670AD"/>
    <w:rsid w:val="0017187F"/>
    <w:rsid w:val="001770D9"/>
    <w:rsid w:val="0018012F"/>
    <w:rsid w:val="00183469"/>
    <w:rsid w:val="0018451D"/>
    <w:rsid w:val="001867EA"/>
    <w:rsid w:val="00190450"/>
    <w:rsid w:val="001923AE"/>
    <w:rsid w:val="0019289B"/>
    <w:rsid w:val="00193DF7"/>
    <w:rsid w:val="0019464A"/>
    <w:rsid w:val="00195A6A"/>
    <w:rsid w:val="00195FF0"/>
    <w:rsid w:val="001978CE"/>
    <w:rsid w:val="001A2933"/>
    <w:rsid w:val="001A4BE2"/>
    <w:rsid w:val="001B66AF"/>
    <w:rsid w:val="001C35BC"/>
    <w:rsid w:val="001C4B18"/>
    <w:rsid w:val="001C656B"/>
    <w:rsid w:val="001C6713"/>
    <w:rsid w:val="001C7AF0"/>
    <w:rsid w:val="001D778A"/>
    <w:rsid w:val="001D7D62"/>
    <w:rsid w:val="001E3B02"/>
    <w:rsid w:val="001E57BC"/>
    <w:rsid w:val="001E5DE7"/>
    <w:rsid w:val="001E63F3"/>
    <w:rsid w:val="001E7C25"/>
    <w:rsid w:val="001F0441"/>
    <w:rsid w:val="001F3156"/>
    <w:rsid w:val="001F3358"/>
    <w:rsid w:val="00201CCA"/>
    <w:rsid w:val="00203952"/>
    <w:rsid w:val="002120B8"/>
    <w:rsid w:val="00213177"/>
    <w:rsid w:val="00213CB4"/>
    <w:rsid w:val="00217EBF"/>
    <w:rsid w:val="00220A3B"/>
    <w:rsid w:val="00221C4B"/>
    <w:rsid w:val="00225B50"/>
    <w:rsid w:val="002325C0"/>
    <w:rsid w:val="00236B63"/>
    <w:rsid w:val="0024152E"/>
    <w:rsid w:val="00243112"/>
    <w:rsid w:val="00250061"/>
    <w:rsid w:val="00250642"/>
    <w:rsid w:val="00251114"/>
    <w:rsid w:val="00251F50"/>
    <w:rsid w:val="00253E30"/>
    <w:rsid w:val="002618E2"/>
    <w:rsid w:val="00261C5D"/>
    <w:rsid w:val="00263279"/>
    <w:rsid w:val="002643FC"/>
    <w:rsid w:val="00266437"/>
    <w:rsid w:val="00273936"/>
    <w:rsid w:val="0027610D"/>
    <w:rsid w:val="00287B08"/>
    <w:rsid w:val="002949DB"/>
    <w:rsid w:val="0029737E"/>
    <w:rsid w:val="002B2E78"/>
    <w:rsid w:val="002B325D"/>
    <w:rsid w:val="002B3F55"/>
    <w:rsid w:val="002B49DE"/>
    <w:rsid w:val="002B53D3"/>
    <w:rsid w:val="002C4F5B"/>
    <w:rsid w:val="002C5DCD"/>
    <w:rsid w:val="002D10FC"/>
    <w:rsid w:val="002D29EF"/>
    <w:rsid w:val="002D2A4E"/>
    <w:rsid w:val="002D323F"/>
    <w:rsid w:val="002E3493"/>
    <w:rsid w:val="002E39F9"/>
    <w:rsid w:val="002E44AA"/>
    <w:rsid w:val="002E567D"/>
    <w:rsid w:val="002E5F5C"/>
    <w:rsid w:val="002F0434"/>
    <w:rsid w:val="002F3A26"/>
    <w:rsid w:val="002F449C"/>
    <w:rsid w:val="002F4CD2"/>
    <w:rsid w:val="002F7549"/>
    <w:rsid w:val="003025C7"/>
    <w:rsid w:val="0031124D"/>
    <w:rsid w:val="00316A0D"/>
    <w:rsid w:val="00323195"/>
    <w:rsid w:val="003239D0"/>
    <w:rsid w:val="00323FD7"/>
    <w:rsid w:val="00324908"/>
    <w:rsid w:val="00332764"/>
    <w:rsid w:val="0033493D"/>
    <w:rsid w:val="00340BDB"/>
    <w:rsid w:val="00340E39"/>
    <w:rsid w:val="00347EF1"/>
    <w:rsid w:val="0035214B"/>
    <w:rsid w:val="00353351"/>
    <w:rsid w:val="0036495A"/>
    <w:rsid w:val="003664A0"/>
    <w:rsid w:val="0037307A"/>
    <w:rsid w:val="00380CBA"/>
    <w:rsid w:val="0038253F"/>
    <w:rsid w:val="00384080"/>
    <w:rsid w:val="003876E6"/>
    <w:rsid w:val="00391AFA"/>
    <w:rsid w:val="003937EF"/>
    <w:rsid w:val="003A0F33"/>
    <w:rsid w:val="003A60B9"/>
    <w:rsid w:val="003B59A9"/>
    <w:rsid w:val="003D0FBD"/>
    <w:rsid w:val="003D2A6D"/>
    <w:rsid w:val="003E04DA"/>
    <w:rsid w:val="003E1249"/>
    <w:rsid w:val="003E3544"/>
    <w:rsid w:val="003E35A8"/>
    <w:rsid w:val="003E369F"/>
    <w:rsid w:val="003E77CB"/>
    <w:rsid w:val="003F3046"/>
    <w:rsid w:val="003F47FD"/>
    <w:rsid w:val="003F73BA"/>
    <w:rsid w:val="003F73F0"/>
    <w:rsid w:val="00400D83"/>
    <w:rsid w:val="00405890"/>
    <w:rsid w:val="00405EF4"/>
    <w:rsid w:val="0041237F"/>
    <w:rsid w:val="00414613"/>
    <w:rsid w:val="0041767B"/>
    <w:rsid w:val="00420C1B"/>
    <w:rsid w:val="00421BF6"/>
    <w:rsid w:val="00421D5F"/>
    <w:rsid w:val="0042373B"/>
    <w:rsid w:val="00424197"/>
    <w:rsid w:val="00425F40"/>
    <w:rsid w:val="00432D4D"/>
    <w:rsid w:val="00433DCE"/>
    <w:rsid w:val="00437B1B"/>
    <w:rsid w:val="00442F9D"/>
    <w:rsid w:val="0044326C"/>
    <w:rsid w:val="00445A6D"/>
    <w:rsid w:val="00446A6B"/>
    <w:rsid w:val="004534AC"/>
    <w:rsid w:val="00463EA2"/>
    <w:rsid w:val="004641DC"/>
    <w:rsid w:val="00466A5B"/>
    <w:rsid w:val="004806B3"/>
    <w:rsid w:val="004828A9"/>
    <w:rsid w:val="004849DE"/>
    <w:rsid w:val="00484E4F"/>
    <w:rsid w:val="004876DF"/>
    <w:rsid w:val="00490408"/>
    <w:rsid w:val="00492DBE"/>
    <w:rsid w:val="004964EF"/>
    <w:rsid w:val="004A0A89"/>
    <w:rsid w:val="004A0BE6"/>
    <w:rsid w:val="004A53EB"/>
    <w:rsid w:val="004A56D3"/>
    <w:rsid w:val="004A5FC0"/>
    <w:rsid w:val="004A6B0F"/>
    <w:rsid w:val="004B38C8"/>
    <w:rsid w:val="004C27EB"/>
    <w:rsid w:val="004C2D12"/>
    <w:rsid w:val="004C357A"/>
    <w:rsid w:val="004C405B"/>
    <w:rsid w:val="004C68D1"/>
    <w:rsid w:val="004D1BF4"/>
    <w:rsid w:val="004D7821"/>
    <w:rsid w:val="004E10C5"/>
    <w:rsid w:val="004E22A7"/>
    <w:rsid w:val="004E4651"/>
    <w:rsid w:val="004E7F97"/>
    <w:rsid w:val="0050042A"/>
    <w:rsid w:val="00502156"/>
    <w:rsid w:val="00502277"/>
    <w:rsid w:val="005042B5"/>
    <w:rsid w:val="00505C67"/>
    <w:rsid w:val="00506C75"/>
    <w:rsid w:val="005140F2"/>
    <w:rsid w:val="00521802"/>
    <w:rsid w:val="00521EAD"/>
    <w:rsid w:val="00524662"/>
    <w:rsid w:val="005246CC"/>
    <w:rsid w:val="00532CD3"/>
    <w:rsid w:val="005345A9"/>
    <w:rsid w:val="0054004F"/>
    <w:rsid w:val="00541930"/>
    <w:rsid w:val="00544E43"/>
    <w:rsid w:val="005452CD"/>
    <w:rsid w:val="00552105"/>
    <w:rsid w:val="0055354D"/>
    <w:rsid w:val="005565EB"/>
    <w:rsid w:val="005642D9"/>
    <w:rsid w:val="00564C2B"/>
    <w:rsid w:val="0057258C"/>
    <w:rsid w:val="00573651"/>
    <w:rsid w:val="005740F7"/>
    <w:rsid w:val="00581904"/>
    <w:rsid w:val="00585309"/>
    <w:rsid w:val="00587D1D"/>
    <w:rsid w:val="005900DE"/>
    <w:rsid w:val="00592F78"/>
    <w:rsid w:val="00594EB6"/>
    <w:rsid w:val="0059798F"/>
    <w:rsid w:val="005A0493"/>
    <w:rsid w:val="005A3D73"/>
    <w:rsid w:val="005B0EA3"/>
    <w:rsid w:val="005B5062"/>
    <w:rsid w:val="005C6118"/>
    <w:rsid w:val="005D538F"/>
    <w:rsid w:val="005D63D9"/>
    <w:rsid w:val="005E293A"/>
    <w:rsid w:val="005E4687"/>
    <w:rsid w:val="005E4EAD"/>
    <w:rsid w:val="005F04DC"/>
    <w:rsid w:val="00601165"/>
    <w:rsid w:val="006017A0"/>
    <w:rsid w:val="00607971"/>
    <w:rsid w:val="00611A4E"/>
    <w:rsid w:val="006122C0"/>
    <w:rsid w:val="0061281D"/>
    <w:rsid w:val="00623004"/>
    <w:rsid w:val="00635031"/>
    <w:rsid w:val="00636DCC"/>
    <w:rsid w:val="006407FA"/>
    <w:rsid w:val="006427B2"/>
    <w:rsid w:val="00642BEB"/>
    <w:rsid w:val="00647590"/>
    <w:rsid w:val="00651BB9"/>
    <w:rsid w:val="006526F5"/>
    <w:rsid w:val="006619F5"/>
    <w:rsid w:val="0066562D"/>
    <w:rsid w:val="00670998"/>
    <w:rsid w:val="00672050"/>
    <w:rsid w:val="006841D4"/>
    <w:rsid w:val="00686892"/>
    <w:rsid w:val="00694C76"/>
    <w:rsid w:val="006A33B0"/>
    <w:rsid w:val="006B0F31"/>
    <w:rsid w:val="006B13BC"/>
    <w:rsid w:val="006B32FE"/>
    <w:rsid w:val="006B6925"/>
    <w:rsid w:val="006C323F"/>
    <w:rsid w:val="006C3807"/>
    <w:rsid w:val="006C42B9"/>
    <w:rsid w:val="006D2B37"/>
    <w:rsid w:val="006D54FB"/>
    <w:rsid w:val="006E1A62"/>
    <w:rsid w:val="006E27C2"/>
    <w:rsid w:val="006E3D84"/>
    <w:rsid w:val="006E5C6B"/>
    <w:rsid w:val="006E6377"/>
    <w:rsid w:val="006E6640"/>
    <w:rsid w:val="006E6FA7"/>
    <w:rsid w:val="006F00AB"/>
    <w:rsid w:val="006F5CDC"/>
    <w:rsid w:val="006F767E"/>
    <w:rsid w:val="0070058D"/>
    <w:rsid w:val="00704585"/>
    <w:rsid w:val="00704A1A"/>
    <w:rsid w:val="00705924"/>
    <w:rsid w:val="00707B77"/>
    <w:rsid w:val="00712189"/>
    <w:rsid w:val="007134A2"/>
    <w:rsid w:val="00714E96"/>
    <w:rsid w:val="00717B45"/>
    <w:rsid w:val="00723307"/>
    <w:rsid w:val="00726CFA"/>
    <w:rsid w:val="0072758A"/>
    <w:rsid w:val="007304D5"/>
    <w:rsid w:val="00730965"/>
    <w:rsid w:val="007368DC"/>
    <w:rsid w:val="00736AC9"/>
    <w:rsid w:val="00741A4E"/>
    <w:rsid w:val="007452E0"/>
    <w:rsid w:val="00746CE3"/>
    <w:rsid w:val="007505FB"/>
    <w:rsid w:val="00751004"/>
    <w:rsid w:val="00753F79"/>
    <w:rsid w:val="0076544A"/>
    <w:rsid w:val="007659E2"/>
    <w:rsid w:val="00770A83"/>
    <w:rsid w:val="00776E17"/>
    <w:rsid w:val="00782D07"/>
    <w:rsid w:val="007840F1"/>
    <w:rsid w:val="007859F8"/>
    <w:rsid w:val="00786693"/>
    <w:rsid w:val="00791384"/>
    <w:rsid w:val="007940D0"/>
    <w:rsid w:val="00795A80"/>
    <w:rsid w:val="007A0403"/>
    <w:rsid w:val="007A5B55"/>
    <w:rsid w:val="007A5F41"/>
    <w:rsid w:val="007B08D1"/>
    <w:rsid w:val="007B2550"/>
    <w:rsid w:val="007B3A51"/>
    <w:rsid w:val="007B4EAA"/>
    <w:rsid w:val="007B5219"/>
    <w:rsid w:val="007C20FA"/>
    <w:rsid w:val="007C27D3"/>
    <w:rsid w:val="007C2C95"/>
    <w:rsid w:val="007C744C"/>
    <w:rsid w:val="007C767F"/>
    <w:rsid w:val="007C79FB"/>
    <w:rsid w:val="007D4584"/>
    <w:rsid w:val="007D4A14"/>
    <w:rsid w:val="007D56A7"/>
    <w:rsid w:val="007D6444"/>
    <w:rsid w:val="007E1880"/>
    <w:rsid w:val="007E4B4C"/>
    <w:rsid w:val="007E7ABF"/>
    <w:rsid w:val="007F0907"/>
    <w:rsid w:val="007F1C81"/>
    <w:rsid w:val="007F6ABA"/>
    <w:rsid w:val="0080144C"/>
    <w:rsid w:val="00802A9C"/>
    <w:rsid w:val="00804A98"/>
    <w:rsid w:val="00805C3A"/>
    <w:rsid w:val="008130DD"/>
    <w:rsid w:val="008259FD"/>
    <w:rsid w:val="00826C1C"/>
    <w:rsid w:val="00830588"/>
    <w:rsid w:val="00832E86"/>
    <w:rsid w:val="00833FCC"/>
    <w:rsid w:val="00843425"/>
    <w:rsid w:val="00844EBD"/>
    <w:rsid w:val="00845708"/>
    <w:rsid w:val="008478EE"/>
    <w:rsid w:val="00852135"/>
    <w:rsid w:val="0085475F"/>
    <w:rsid w:val="00855C39"/>
    <w:rsid w:val="008609B1"/>
    <w:rsid w:val="008610C6"/>
    <w:rsid w:val="008611CE"/>
    <w:rsid w:val="008638C5"/>
    <w:rsid w:val="00864058"/>
    <w:rsid w:val="008645C4"/>
    <w:rsid w:val="00867884"/>
    <w:rsid w:val="00875104"/>
    <w:rsid w:val="008762D7"/>
    <w:rsid w:val="00876D82"/>
    <w:rsid w:val="00877EEB"/>
    <w:rsid w:val="0088033C"/>
    <w:rsid w:val="00883C9D"/>
    <w:rsid w:val="00885A63"/>
    <w:rsid w:val="00893C7C"/>
    <w:rsid w:val="00894051"/>
    <w:rsid w:val="0089513F"/>
    <w:rsid w:val="008959F3"/>
    <w:rsid w:val="008A153F"/>
    <w:rsid w:val="008A41B8"/>
    <w:rsid w:val="008A79C6"/>
    <w:rsid w:val="008B1000"/>
    <w:rsid w:val="008B105A"/>
    <w:rsid w:val="008B444F"/>
    <w:rsid w:val="008C20F7"/>
    <w:rsid w:val="008D1B01"/>
    <w:rsid w:val="008D2A83"/>
    <w:rsid w:val="008D2D7B"/>
    <w:rsid w:val="008D2D98"/>
    <w:rsid w:val="008D44EB"/>
    <w:rsid w:val="008E4039"/>
    <w:rsid w:val="008F1AA9"/>
    <w:rsid w:val="008F7C5B"/>
    <w:rsid w:val="009049C0"/>
    <w:rsid w:val="009124F6"/>
    <w:rsid w:val="0091346E"/>
    <w:rsid w:val="00913B67"/>
    <w:rsid w:val="00915B08"/>
    <w:rsid w:val="009225FE"/>
    <w:rsid w:val="00923F94"/>
    <w:rsid w:val="009406D2"/>
    <w:rsid w:val="00940F17"/>
    <w:rsid w:val="009414C5"/>
    <w:rsid w:val="009427F2"/>
    <w:rsid w:val="00944F64"/>
    <w:rsid w:val="00951B4E"/>
    <w:rsid w:val="00953383"/>
    <w:rsid w:val="00965025"/>
    <w:rsid w:val="00971039"/>
    <w:rsid w:val="00971B7B"/>
    <w:rsid w:val="00971D3B"/>
    <w:rsid w:val="00972D48"/>
    <w:rsid w:val="00974EAD"/>
    <w:rsid w:val="00976419"/>
    <w:rsid w:val="00977A95"/>
    <w:rsid w:val="00983096"/>
    <w:rsid w:val="009902F7"/>
    <w:rsid w:val="0099448D"/>
    <w:rsid w:val="0099485B"/>
    <w:rsid w:val="00995A06"/>
    <w:rsid w:val="009963D7"/>
    <w:rsid w:val="009A222A"/>
    <w:rsid w:val="009B1FD2"/>
    <w:rsid w:val="009B3AEB"/>
    <w:rsid w:val="009C2AD0"/>
    <w:rsid w:val="009C2CE3"/>
    <w:rsid w:val="009C3EB5"/>
    <w:rsid w:val="009C444B"/>
    <w:rsid w:val="009D3773"/>
    <w:rsid w:val="009D499D"/>
    <w:rsid w:val="009E2AEA"/>
    <w:rsid w:val="009E3183"/>
    <w:rsid w:val="009E36E1"/>
    <w:rsid w:val="009E3783"/>
    <w:rsid w:val="009E3EA3"/>
    <w:rsid w:val="009F5E27"/>
    <w:rsid w:val="00A01F6A"/>
    <w:rsid w:val="00A045CA"/>
    <w:rsid w:val="00A04DC3"/>
    <w:rsid w:val="00A05DAD"/>
    <w:rsid w:val="00A13A0B"/>
    <w:rsid w:val="00A17694"/>
    <w:rsid w:val="00A2767E"/>
    <w:rsid w:val="00A33463"/>
    <w:rsid w:val="00A40663"/>
    <w:rsid w:val="00A4536F"/>
    <w:rsid w:val="00A46B1D"/>
    <w:rsid w:val="00A54CA1"/>
    <w:rsid w:val="00A62031"/>
    <w:rsid w:val="00A65D80"/>
    <w:rsid w:val="00A714DD"/>
    <w:rsid w:val="00A73CF1"/>
    <w:rsid w:val="00A75455"/>
    <w:rsid w:val="00A75C9A"/>
    <w:rsid w:val="00A835D4"/>
    <w:rsid w:val="00A9123D"/>
    <w:rsid w:val="00A92534"/>
    <w:rsid w:val="00A927C4"/>
    <w:rsid w:val="00AA3015"/>
    <w:rsid w:val="00AA4399"/>
    <w:rsid w:val="00AA4D97"/>
    <w:rsid w:val="00AB35DC"/>
    <w:rsid w:val="00AB419D"/>
    <w:rsid w:val="00AB52D0"/>
    <w:rsid w:val="00AC046B"/>
    <w:rsid w:val="00AC4C06"/>
    <w:rsid w:val="00AC54F8"/>
    <w:rsid w:val="00AC681D"/>
    <w:rsid w:val="00AD0F67"/>
    <w:rsid w:val="00AD7E8E"/>
    <w:rsid w:val="00AE0F81"/>
    <w:rsid w:val="00AF2010"/>
    <w:rsid w:val="00AF3563"/>
    <w:rsid w:val="00AF3FDA"/>
    <w:rsid w:val="00AF68BE"/>
    <w:rsid w:val="00AF6FB1"/>
    <w:rsid w:val="00B00062"/>
    <w:rsid w:val="00B019A9"/>
    <w:rsid w:val="00B03273"/>
    <w:rsid w:val="00B039EC"/>
    <w:rsid w:val="00B1092F"/>
    <w:rsid w:val="00B110B5"/>
    <w:rsid w:val="00B174E3"/>
    <w:rsid w:val="00B17DC3"/>
    <w:rsid w:val="00B316E7"/>
    <w:rsid w:val="00B3398C"/>
    <w:rsid w:val="00B34EF9"/>
    <w:rsid w:val="00B445D0"/>
    <w:rsid w:val="00B56E4F"/>
    <w:rsid w:val="00B622D7"/>
    <w:rsid w:val="00B63A7A"/>
    <w:rsid w:val="00B748AE"/>
    <w:rsid w:val="00B75DB2"/>
    <w:rsid w:val="00B7681E"/>
    <w:rsid w:val="00B809D0"/>
    <w:rsid w:val="00B84958"/>
    <w:rsid w:val="00B94CD8"/>
    <w:rsid w:val="00B96F16"/>
    <w:rsid w:val="00BA3D73"/>
    <w:rsid w:val="00BA58AC"/>
    <w:rsid w:val="00BB1CDA"/>
    <w:rsid w:val="00BB25B1"/>
    <w:rsid w:val="00BB2CD8"/>
    <w:rsid w:val="00BB4114"/>
    <w:rsid w:val="00BC459E"/>
    <w:rsid w:val="00BC5DCD"/>
    <w:rsid w:val="00BC626B"/>
    <w:rsid w:val="00BD304A"/>
    <w:rsid w:val="00BE1022"/>
    <w:rsid w:val="00BE2ECA"/>
    <w:rsid w:val="00BF148F"/>
    <w:rsid w:val="00BF23A6"/>
    <w:rsid w:val="00BF5A87"/>
    <w:rsid w:val="00BF6341"/>
    <w:rsid w:val="00C0045E"/>
    <w:rsid w:val="00C00FD8"/>
    <w:rsid w:val="00C05E84"/>
    <w:rsid w:val="00C073E4"/>
    <w:rsid w:val="00C07C34"/>
    <w:rsid w:val="00C154E6"/>
    <w:rsid w:val="00C26052"/>
    <w:rsid w:val="00C33771"/>
    <w:rsid w:val="00C3411B"/>
    <w:rsid w:val="00C34230"/>
    <w:rsid w:val="00C3661B"/>
    <w:rsid w:val="00C42112"/>
    <w:rsid w:val="00C4692B"/>
    <w:rsid w:val="00C46A0C"/>
    <w:rsid w:val="00C473F7"/>
    <w:rsid w:val="00C47E2F"/>
    <w:rsid w:val="00C5100A"/>
    <w:rsid w:val="00C54B6F"/>
    <w:rsid w:val="00C55CE3"/>
    <w:rsid w:val="00C56251"/>
    <w:rsid w:val="00C574D4"/>
    <w:rsid w:val="00C62659"/>
    <w:rsid w:val="00C62FDC"/>
    <w:rsid w:val="00C7626E"/>
    <w:rsid w:val="00C77A1F"/>
    <w:rsid w:val="00C80647"/>
    <w:rsid w:val="00C90EAC"/>
    <w:rsid w:val="00C920D8"/>
    <w:rsid w:val="00CA199E"/>
    <w:rsid w:val="00CA73CB"/>
    <w:rsid w:val="00CA79BB"/>
    <w:rsid w:val="00CB2DCF"/>
    <w:rsid w:val="00CB43A2"/>
    <w:rsid w:val="00CB649D"/>
    <w:rsid w:val="00CC0238"/>
    <w:rsid w:val="00CC059B"/>
    <w:rsid w:val="00CC12A0"/>
    <w:rsid w:val="00CC26A8"/>
    <w:rsid w:val="00CE3A6F"/>
    <w:rsid w:val="00CE4F57"/>
    <w:rsid w:val="00CE56D1"/>
    <w:rsid w:val="00CF1E87"/>
    <w:rsid w:val="00CF240F"/>
    <w:rsid w:val="00CF6B2F"/>
    <w:rsid w:val="00D05CAA"/>
    <w:rsid w:val="00D06129"/>
    <w:rsid w:val="00D07799"/>
    <w:rsid w:val="00D114E6"/>
    <w:rsid w:val="00D1484F"/>
    <w:rsid w:val="00D162D9"/>
    <w:rsid w:val="00D1741D"/>
    <w:rsid w:val="00D24A59"/>
    <w:rsid w:val="00D30F03"/>
    <w:rsid w:val="00D34913"/>
    <w:rsid w:val="00D41D2D"/>
    <w:rsid w:val="00D43A73"/>
    <w:rsid w:val="00D44316"/>
    <w:rsid w:val="00D5477C"/>
    <w:rsid w:val="00D565F8"/>
    <w:rsid w:val="00D56ABB"/>
    <w:rsid w:val="00D571B1"/>
    <w:rsid w:val="00D602E0"/>
    <w:rsid w:val="00D63836"/>
    <w:rsid w:val="00D644BD"/>
    <w:rsid w:val="00D7566A"/>
    <w:rsid w:val="00D80040"/>
    <w:rsid w:val="00D81742"/>
    <w:rsid w:val="00D85008"/>
    <w:rsid w:val="00D93E05"/>
    <w:rsid w:val="00D9515D"/>
    <w:rsid w:val="00DA5BEB"/>
    <w:rsid w:val="00DA7439"/>
    <w:rsid w:val="00DB0DA9"/>
    <w:rsid w:val="00DB108A"/>
    <w:rsid w:val="00DD3239"/>
    <w:rsid w:val="00DE0877"/>
    <w:rsid w:val="00DF2244"/>
    <w:rsid w:val="00DF51CA"/>
    <w:rsid w:val="00E00793"/>
    <w:rsid w:val="00E20F00"/>
    <w:rsid w:val="00E23A38"/>
    <w:rsid w:val="00E30B19"/>
    <w:rsid w:val="00E311F5"/>
    <w:rsid w:val="00E31EA1"/>
    <w:rsid w:val="00E35B1E"/>
    <w:rsid w:val="00E37C78"/>
    <w:rsid w:val="00E50D18"/>
    <w:rsid w:val="00E516E9"/>
    <w:rsid w:val="00E51B33"/>
    <w:rsid w:val="00E547DB"/>
    <w:rsid w:val="00E552BD"/>
    <w:rsid w:val="00E55649"/>
    <w:rsid w:val="00E56A50"/>
    <w:rsid w:val="00E664F4"/>
    <w:rsid w:val="00E70FEE"/>
    <w:rsid w:val="00E71CAA"/>
    <w:rsid w:val="00E72855"/>
    <w:rsid w:val="00E74C1D"/>
    <w:rsid w:val="00E76D5E"/>
    <w:rsid w:val="00E81B2F"/>
    <w:rsid w:val="00E85480"/>
    <w:rsid w:val="00E85B0A"/>
    <w:rsid w:val="00E935A1"/>
    <w:rsid w:val="00E94F10"/>
    <w:rsid w:val="00EA1715"/>
    <w:rsid w:val="00EA5A32"/>
    <w:rsid w:val="00EB6CCD"/>
    <w:rsid w:val="00EC0273"/>
    <w:rsid w:val="00EC258B"/>
    <w:rsid w:val="00EC25BA"/>
    <w:rsid w:val="00EC2C32"/>
    <w:rsid w:val="00ED0AD5"/>
    <w:rsid w:val="00ED387E"/>
    <w:rsid w:val="00ED7140"/>
    <w:rsid w:val="00EF044B"/>
    <w:rsid w:val="00EF0AFA"/>
    <w:rsid w:val="00EF0ED9"/>
    <w:rsid w:val="00EF38E5"/>
    <w:rsid w:val="00EF7C6E"/>
    <w:rsid w:val="00F012F4"/>
    <w:rsid w:val="00F072E1"/>
    <w:rsid w:val="00F11185"/>
    <w:rsid w:val="00F12BB5"/>
    <w:rsid w:val="00F12E98"/>
    <w:rsid w:val="00F131C6"/>
    <w:rsid w:val="00F1416F"/>
    <w:rsid w:val="00F169CB"/>
    <w:rsid w:val="00F16F0E"/>
    <w:rsid w:val="00F207AB"/>
    <w:rsid w:val="00F2161A"/>
    <w:rsid w:val="00F21724"/>
    <w:rsid w:val="00F21A81"/>
    <w:rsid w:val="00F21CC1"/>
    <w:rsid w:val="00F2239D"/>
    <w:rsid w:val="00F22D61"/>
    <w:rsid w:val="00F2324D"/>
    <w:rsid w:val="00F2428F"/>
    <w:rsid w:val="00F27444"/>
    <w:rsid w:val="00F317CA"/>
    <w:rsid w:val="00F32A56"/>
    <w:rsid w:val="00F358C3"/>
    <w:rsid w:val="00F36638"/>
    <w:rsid w:val="00F413D8"/>
    <w:rsid w:val="00F42100"/>
    <w:rsid w:val="00F42A9B"/>
    <w:rsid w:val="00F464FE"/>
    <w:rsid w:val="00F47621"/>
    <w:rsid w:val="00F513DB"/>
    <w:rsid w:val="00F6591A"/>
    <w:rsid w:val="00F7546C"/>
    <w:rsid w:val="00F77B00"/>
    <w:rsid w:val="00F81189"/>
    <w:rsid w:val="00F93ACB"/>
    <w:rsid w:val="00F93C4F"/>
    <w:rsid w:val="00FB1780"/>
    <w:rsid w:val="00FB35C6"/>
    <w:rsid w:val="00FB37EF"/>
    <w:rsid w:val="00FB4C5A"/>
    <w:rsid w:val="00FB5BFA"/>
    <w:rsid w:val="00FD3574"/>
    <w:rsid w:val="00FD6A7D"/>
    <w:rsid w:val="00FD6FC9"/>
    <w:rsid w:val="00FE2D34"/>
    <w:rsid w:val="00FE370A"/>
    <w:rsid w:val="00FF35E2"/>
    <w:rsid w:val="00FF4C05"/>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998925950">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23EF-0CBF-40DB-A619-3244523B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3190</Characters>
  <Application>Microsoft Office Word</Application>
  <DocSecurity>0</DocSecurity>
  <Lines>132</Lines>
  <Paragraphs>84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2</cp:revision>
  <cp:lastPrinted>2014-12-18T06:06:00Z</cp:lastPrinted>
  <dcterms:created xsi:type="dcterms:W3CDTF">2015-01-15T23:42:00Z</dcterms:created>
  <dcterms:modified xsi:type="dcterms:W3CDTF">2015-01-15T23:42:00Z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