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16A" w:rsidRPr="00161FEE" w:rsidRDefault="0040416A" w:rsidP="009A113F">
      <w:pPr>
        <w:jc w:val="center"/>
        <w:rPr>
          <w:rFonts w:ascii="Times New Roman" w:hAnsi="Times New Roman"/>
          <w:b/>
          <w:sz w:val="24"/>
          <w:szCs w:val="24"/>
          <w:u w:val="single"/>
        </w:rPr>
      </w:pPr>
      <w:r w:rsidRPr="00161FEE">
        <w:rPr>
          <w:rFonts w:ascii="Times New Roman" w:hAnsi="Times New Roman"/>
          <w:b/>
          <w:sz w:val="24"/>
          <w:szCs w:val="24"/>
          <w:u w:val="single"/>
        </w:rPr>
        <w:t>EXPLANATORY STATEMENT</w:t>
      </w:r>
    </w:p>
    <w:p w:rsidR="0040416A" w:rsidRPr="00161FEE" w:rsidRDefault="0040416A" w:rsidP="009A113F">
      <w:pPr>
        <w:pStyle w:val="Heading1"/>
        <w:spacing w:before="0" w:after="200"/>
        <w:jc w:val="center"/>
        <w:rPr>
          <w:b w:val="0"/>
          <w:i/>
          <w:color w:val="auto"/>
          <w:sz w:val="24"/>
          <w:szCs w:val="24"/>
        </w:rPr>
      </w:pPr>
      <w:r w:rsidRPr="00161FEE">
        <w:rPr>
          <w:b w:val="0"/>
          <w:i/>
          <w:color w:val="auto"/>
          <w:sz w:val="24"/>
          <w:szCs w:val="24"/>
        </w:rPr>
        <w:t>Carbon Credits (Carbon Farming Initiative) Act 2011</w:t>
      </w:r>
    </w:p>
    <w:p w:rsidR="00021034" w:rsidRPr="00161FEE" w:rsidRDefault="00021034" w:rsidP="0040416A">
      <w:pPr>
        <w:spacing w:before="240" w:after="120"/>
        <w:jc w:val="center"/>
        <w:rPr>
          <w:rFonts w:ascii="Times New Roman" w:hAnsi="Times New Roman"/>
          <w:i/>
          <w:sz w:val="24"/>
          <w:szCs w:val="24"/>
        </w:rPr>
      </w:pPr>
      <w:r w:rsidRPr="00161FEE">
        <w:rPr>
          <w:rFonts w:ascii="Times New Roman" w:eastAsia="Times New Roman" w:hAnsi="Times New Roman"/>
          <w:bCs/>
          <w:i/>
          <w:kern w:val="36"/>
          <w:sz w:val="24"/>
          <w:szCs w:val="24"/>
          <w:lang w:eastAsia="en-AU"/>
        </w:rPr>
        <w:t>Carbon Credits (Carbon Farming Initiative—Commercial Buildings) Methodology Determination 201</w:t>
      </w:r>
      <w:r w:rsidR="00B04A41">
        <w:rPr>
          <w:rFonts w:ascii="Times New Roman" w:eastAsia="Times New Roman" w:hAnsi="Times New Roman"/>
          <w:bCs/>
          <w:i/>
          <w:kern w:val="36"/>
          <w:sz w:val="24"/>
          <w:szCs w:val="24"/>
          <w:lang w:eastAsia="en-AU"/>
        </w:rPr>
        <w:t>5</w:t>
      </w:r>
    </w:p>
    <w:p w:rsidR="00365D85" w:rsidRPr="00161FEE" w:rsidRDefault="00815938" w:rsidP="0040416A">
      <w:pPr>
        <w:spacing w:after="120"/>
        <w:rPr>
          <w:rFonts w:ascii="Times New Roman" w:hAnsi="Times New Roman"/>
          <w:b/>
          <w:sz w:val="24"/>
          <w:szCs w:val="24"/>
        </w:rPr>
      </w:pPr>
      <w:r w:rsidRPr="00161FEE">
        <w:rPr>
          <w:rFonts w:ascii="Times New Roman" w:hAnsi="Times New Roman"/>
          <w:b/>
          <w:sz w:val="24"/>
          <w:szCs w:val="24"/>
        </w:rPr>
        <w:t>Background</w:t>
      </w:r>
    </w:p>
    <w:p w:rsidR="0040416A" w:rsidRPr="00161FEE" w:rsidRDefault="0040416A" w:rsidP="00101B59">
      <w:pPr>
        <w:spacing w:after="120" w:line="240" w:lineRule="auto"/>
        <w:rPr>
          <w:rFonts w:ascii="Times New Roman" w:hAnsi="Times New Roman"/>
          <w:sz w:val="24"/>
          <w:szCs w:val="24"/>
        </w:rPr>
      </w:pPr>
      <w:r w:rsidRPr="00161FEE">
        <w:rPr>
          <w:rFonts w:ascii="Times New Roman" w:hAnsi="Times New Roman"/>
          <w:sz w:val="24"/>
          <w:szCs w:val="24"/>
        </w:rPr>
        <w:t xml:space="preserve">The </w:t>
      </w:r>
      <w:r w:rsidRPr="00161FEE">
        <w:rPr>
          <w:rFonts w:ascii="Times New Roman" w:hAnsi="Times New Roman"/>
          <w:i/>
          <w:sz w:val="24"/>
          <w:szCs w:val="24"/>
        </w:rPr>
        <w:t>Carbon Credits (Carbon Farming Initiative) Act 2011</w:t>
      </w:r>
      <w:r w:rsidRPr="00161FEE">
        <w:rPr>
          <w:rFonts w:ascii="Times New Roman" w:hAnsi="Times New Roman"/>
          <w:sz w:val="24"/>
          <w:szCs w:val="24"/>
        </w:rPr>
        <w:t xml:space="preserve"> </w:t>
      </w:r>
      <w:r w:rsidR="00C52BB6" w:rsidRPr="00161FEE">
        <w:rPr>
          <w:rFonts w:ascii="Times New Roman" w:hAnsi="Times New Roman"/>
          <w:sz w:val="24"/>
          <w:szCs w:val="24"/>
        </w:rPr>
        <w:t xml:space="preserve">(the </w:t>
      </w:r>
      <w:r w:rsidR="00C52BB6" w:rsidRPr="00161FEE">
        <w:rPr>
          <w:rFonts w:ascii="Times New Roman" w:hAnsi="Times New Roman"/>
          <w:b/>
          <w:i/>
          <w:sz w:val="24"/>
          <w:szCs w:val="24"/>
        </w:rPr>
        <w:t>Act</w:t>
      </w:r>
      <w:r w:rsidR="00C52BB6" w:rsidRPr="00161FEE">
        <w:rPr>
          <w:rFonts w:ascii="Times New Roman" w:hAnsi="Times New Roman"/>
          <w:sz w:val="24"/>
          <w:szCs w:val="24"/>
        </w:rPr>
        <w:t xml:space="preserve">) </w:t>
      </w:r>
      <w:r w:rsidRPr="00161FEE">
        <w:rPr>
          <w:rFonts w:ascii="Times New Roman" w:hAnsi="Times New Roman"/>
          <w:sz w:val="24"/>
          <w:szCs w:val="24"/>
        </w:rPr>
        <w:t>enables the crediting of greenhouse gas abatement from emissions reduction activities across the economy. Greenhouse gas abatement is achieved either by reducing or avoiding emissions or by removing carbon from the atmosphere and storing it in soil or trees.</w:t>
      </w:r>
      <w:r w:rsidR="00A1642A" w:rsidRPr="00161FEE">
        <w:rPr>
          <w:rFonts w:ascii="Times New Roman" w:hAnsi="Times New Roman"/>
          <w:sz w:val="24"/>
          <w:szCs w:val="24"/>
        </w:rPr>
        <w:t xml:space="preserve"> </w:t>
      </w:r>
    </w:p>
    <w:p w:rsidR="008A746C" w:rsidRPr="00161FEE" w:rsidRDefault="008A746C" w:rsidP="00101B59">
      <w:pPr>
        <w:pStyle w:val="base-text-paragraphnonumbers"/>
        <w:spacing w:before="0"/>
        <w:ind w:left="0"/>
        <w:rPr>
          <w:sz w:val="24"/>
          <w:szCs w:val="24"/>
        </w:rPr>
      </w:pPr>
      <w:r w:rsidRPr="00161FEE">
        <w:rPr>
          <w:sz w:val="24"/>
          <w:szCs w:val="24"/>
        </w:rPr>
        <w:t xml:space="preserve">In 2014, the </w:t>
      </w:r>
      <w:r w:rsidR="001F557D" w:rsidRPr="00161FEE">
        <w:rPr>
          <w:sz w:val="24"/>
          <w:szCs w:val="24"/>
        </w:rPr>
        <w:t xml:space="preserve">Australian </w:t>
      </w:r>
      <w:r w:rsidR="00815938" w:rsidRPr="00161FEE">
        <w:rPr>
          <w:sz w:val="24"/>
          <w:szCs w:val="24"/>
        </w:rPr>
        <w:t xml:space="preserve">Parliament </w:t>
      </w:r>
      <w:r w:rsidR="001F557D" w:rsidRPr="00161FEE">
        <w:rPr>
          <w:sz w:val="24"/>
          <w:szCs w:val="24"/>
        </w:rPr>
        <w:t>passed</w:t>
      </w:r>
      <w:r w:rsidRPr="00161FEE">
        <w:rPr>
          <w:sz w:val="24"/>
          <w:szCs w:val="24"/>
        </w:rPr>
        <w:t xml:space="preserve"> the </w:t>
      </w:r>
      <w:r w:rsidRPr="00161FEE">
        <w:rPr>
          <w:i/>
          <w:iCs/>
          <w:sz w:val="24"/>
          <w:szCs w:val="24"/>
        </w:rPr>
        <w:t xml:space="preserve">Carbon Farming Initiative Amendment </w:t>
      </w:r>
      <w:r w:rsidR="00815938" w:rsidRPr="00161FEE">
        <w:rPr>
          <w:i/>
          <w:iCs/>
          <w:sz w:val="24"/>
          <w:szCs w:val="24"/>
        </w:rPr>
        <w:t xml:space="preserve">Act </w:t>
      </w:r>
      <w:r w:rsidRPr="00161FEE">
        <w:rPr>
          <w:i/>
          <w:iCs/>
          <w:sz w:val="24"/>
          <w:szCs w:val="24"/>
        </w:rPr>
        <w:t>2014</w:t>
      </w:r>
      <w:r w:rsidRPr="00161FEE">
        <w:rPr>
          <w:sz w:val="24"/>
          <w:szCs w:val="24"/>
        </w:rPr>
        <w:t>, which establishes the Emissions Reduction Fund (ERF).</w:t>
      </w:r>
      <w:r w:rsidR="000A4283" w:rsidRPr="00161FEE">
        <w:rPr>
          <w:sz w:val="24"/>
          <w:szCs w:val="24"/>
        </w:rPr>
        <w:t xml:space="preserve"> </w:t>
      </w:r>
      <w:r w:rsidRPr="00161FEE">
        <w:rPr>
          <w:sz w:val="24"/>
          <w:szCs w:val="24"/>
        </w:rPr>
        <w:t>The ERF has three elements: crediting emissions reductions, purchasing emissions reductions, and safeguarding emissions reductions.</w:t>
      </w:r>
    </w:p>
    <w:p w:rsidR="0040416A" w:rsidRPr="00161FEE" w:rsidRDefault="008A746C" w:rsidP="00101B59">
      <w:pPr>
        <w:spacing w:after="120" w:line="240" w:lineRule="auto"/>
        <w:rPr>
          <w:rFonts w:ascii="Times New Roman" w:hAnsi="Times New Roman"/>
          <w:sz w:val="24"/>
          <w:szCs w:val="24"/>
        </w:rPr>
      </w:pPr>
      <w:r w:rsidRPr="00161FEE">
        <w:rPr>
          <w:rFonts w:ascii="Times New Roman" w:hAnsi="Times New Roman"/>
          <w:sz w:val="24"/>
          <w:szCs w:val="24"/>
        </w:rPr>
        <w:t>E</w:t>
      </w:r>
      <w:r w:rsidR="0040416A" w:rsidRPr="00161FEE">
        <w:rPr>
          <w:rFonts w:ascii="Times New Roman" w:hAnsi="Times New Roman"/>
          <w:sz w:val="24"/>
          <w:szCs w:val="24"/>
        </w:rPr>
        <w:t>missions reduction activities are undertaken as offsets projects. The process involved in establishing an offsets project is set out in Part 3 of the Act. An offsets project must be covered by, and undertaken in accordance with, a methodology determination.</w:t>
      </w:r>
    </w:p>
    <w:p w:rsidR="008A746C" w:rsidRPr="00161FEE" w:rsidRDefault="008A746C" w:rsidP="00101B59">
      <w:pPr>
        <w:spacing w:after="120" w:line="240" w:lineRule="auto"/>
        <w:rPr>
          <w:rFonts w:ascii="Times New Roman" w:hAnsi="Times New Roman"/>
          <w:sz w:val="24"/>
          <w:szCs w:val="24"/>
        </w:rPr>
      </w:pPr>
      <w:r w:rsidRPr="00161FEE">
        <w:rPr>
          <w:rFonts w:ascii="Times New Roman" w:hAnsi="Times New Roman"/>
          <w:sz w:val="24"/>
          <w:szCs w:val="24"/>
        </w:rPr>
        <w:t>Subsection 106(1) of the</w:t>
      </w:r>
      <w:r w:rsidRPr="00161FEE">
        <w:rPr>
          <w:rFonts w:ascii="Times New Roman" w:hAnsi="Times New Roman"/>
          <w:i/>
          <w:iCs/>
          <w:sz w:val="24"/>
          <w:szCs w:val="24"/>
        </w:rPr>
        <w:t xml:space="preserve"> </w:t>
      </w:r>
      <w:r w:rsidRPr="00161FEE">
        <w:rPr>
          <w:rFonts w:ascii="Times New Roman" w:hAnsi="Times New Roman"/>
          <w:iCs/>
          <w:sz w:val="24"/>
          <w:szCs w:val="24"/>
        </w:rPr>
        <w:t>Act</w:t>
      </w:r>
      <w:r w:rsidRPr="00161FEE">
        <w:rPr>
          <w:rFonts w:ascii="Times New Roman" w:hAnsi="Times New Roman"/>
          <w:sz w:val="24"/>
          <w:szCs w:val="24"/>
        </w:rPr>
        <w:t xml:space="preserve"> empowers the Minister to make, by legislative instrument, a methodology determination. The purpose of a methodology determination is to establish procedures for estimating abatement (emissions </w:t>
      </w:r>
      <w:r w:rsidR="00815938" w:rsidRPr="00161FEE">
        <w:rPr>
          <w:rFonts w:ascii="Times New Roman" w:hAnsi="Times New Roman"/>
          <w:sz w:val="24"/>
          <w:szCs w:val="24"/>
        </w:rPr>
        <w:t>reduction and</w:t>
      </w:r>
      <w:r w:rsidR="00DB3C16" w:rsidRPr="00161FEE">
        <w:rPr>
          <w:rFonts w:ascii="Times New Roman" w:hAnsi="Times New Roman"/>
          <w:sz w:val="24"/>
          <w:szCs w:val="24"/>
        </w:rPr>
        <w:t xml:space="preserve"> </w:t>
      </w:r>
      <w:r w:rsidRPr="00161FEE">
        <w:rPr>
          <w:rFonts w:ascii="Times New Roman" w:hAnsi="Times New Roman"/>
          <w:sz w:val="24"/>
          <w:szCs w:val="24"/>
        </w:rPr>
        <w:t>sequestrati</w:t>
      </w:r>
      <w:r w:rsidR="00185B22" w:rsidRPr="00161FEE">
        <w:rPr>
          <w:rFonts w:ascii="Times New Roman" w:hAnsi="Times New Roman"/>
          <w:sz w:val="24"/>
          <w:szCs w:val="24"/>
        </w:rPr>
        <w:t>on) from eligible projects and</w:t>
      </w:r>
      <w:r w:rsidRPr="00161FEE">
        <w:rPr>
          <w:rFonts w:ascii="Times New Roman" w:hAnsi="Times New Roman"/>
          <w:sz w:val="24"/>
          <w:szCs w:val="24"/>
        </w:rPr>
        <w:t xml:space="preserve"> rules for monitoring, record keeping and reporting. These methodologies will </w:t>
      </w:r>
      <w:r w:rsidR="0064434B" w:rsidRPr="00161FEE">
        <w:rPr>
          <w:rFonts w:ascii="Times New Roman" w:hAnsi="Times New Roman"/>
          <w:sz w:val="24"/>
          <w:szCs w:val="24"/>
        </w:rPr>
        <w:t xml:space="preserve">help </w:t>
      </w:r>
      <w:r w:rsidRPr="00161FEE">
        <w:rPr>
          <w:rFonts w:ascii="Times New Roman" w:hAnsi="Times New Roman"/>
          <w:sz w:val="24"/>
          <w:szCs w:val="24"/>
        </w:rPr>
        <w:t>ensure that emissions reductions are genuine—that they are both real and additional to business as usual.</w:t>
      </w:r>
    </w:p>
    <w:p w:rsidR="00BB3C12" w:rsidRPr="00161FEE" w:rsidRDefault="00BB3C12" w:rsidP="00101B59">
      <w:pPr>
        <w:spacing w:after="120" w:line="240" w:lineRule="auto"/>
        <w:rPr>
          <w:rFonts w:ascii="Times New Roman" w:hAnsi="Times New Roman"/>
          <w:sz w:val="24"/>
          <w:szCs w:val="24"/>
        </w:rPr>
      </w:pPr>
      <w:r w:rsidRPr="00161FEE">
        <w:rPr>
          <w:rFonts w:ascii="Times New Roman" w:hAnsi="Times New Roman"/>
          <w:sz w:val="24"/>
          <w:szCs w:val="24"/>
        </w:rPr>
        <w:t>In deciding to make a methodology determination the Minister must have regard to the advice of the Emissions Reduction Assurance Committee (ERAC), an independent expert panel</w:t>
      </w:r>
      <w:r w:rsidR="00585208" w:rsidRPr="00161FEE">
        <w:rPr>
          <w:rFonts w:ascii="Times New Roman" w:hAnsi="Times New Roman"/>
          <w:sz w:val="24"/>
          <w:szCs w:val="24"/>
        </w:rPr>
        <w:t xml:space="preserve"> </w:t>
      </w:r>
      <w:r w:rsidRPr="00161FEE">
        <w:rPr>
          <w:rFonts w:ascii="Times New Roman" w:hAnsi="Times New Roman"/>
          <w:sz w:val="24"/>
          <w:szCs w:val="24"/>
        </w:rPr>
        <w:t xml:space="preserve">established to advise the Minister on proposals for methodology determinations. </w:t>
      </w:r>
      <w:r w:rsidR="00344D87" w:rsidRPr="00161FEE">
        <w:rPr>
          <w:rFonts w:ascii="Times New Roman" w:hAnsi="Times New Roman"/>
          <w:sz w:val="24"/>
          <w:szCs w:val="24"/>
        </w:rPr>
        <w:t xml:space="preserve">The Minister </w:t>
      </w:r>
      <w:r w:rsidR="000E4B6C" w:rsidRPr="00161FEE">
        <w:rPr>
          <w:rFonts w:ascii="Times New Roman" w:hAnsi="Times New Roman"/>
          <w:sz w:val="24"/>
          <w:szCs w:val="24"/>
        </w:rPr>
        <w:t>must</w:t>
      </w:r>
      <w:r w:rsidR="00344D87" w:rsidRPr="00161FEE">
        <w:rPr>
          <w:rFonts w:ascii="Times New Roman" w:hAnsi="Times New Roman"/>
          <w:sz w:val="24"/>
          <w:szCs w:val="24"/>
        </w:rPr>
        <w:t xml:space="preserve"> not make or vary a me</w:t>
      </w:r>
      <w:r w:rsidR="006E38C7" w:rsidRPr="00161FEE">
        <w:rPr>
          <w:rFonts w:ascii="Times New Roman" w:hAnsi="Times New Roman"/>
          <w:sz w:val="24"/>
          <w:szCs w:val="24"/>
        </w:rPr>
        <w:t xml:space="preserve">thodology if the ERAC </w:t>
      </w:r>
      <w:r w:rsidR="009B7E08" w:rsidRPr="00161FEE">
        <w:rPr>
          <w:rFonts w:ascii="Times New Roman" w:hAnsi="Times New Roman"/>
          <w:sz w:val="24"/>
          <w:szCs w:val="24"/>
        </w:rPr>
        <w:t>considers</w:t>
      </w:r>
      <w:r w:rsidR="00344D87" w:rsidRPr="00161FEE">
        <w:rPr>
          <w:rFonts w:ascii="Times New Roman" w:hAnsi="Times New Roman"/>
          <w:sz w:val="24"/>
          <w:szCs w:val="24"/>
        </w:rPr>
        <w:t xml:space="preserve"> it inconsistent with the offsets integrity standards</w:t>
      </w:r>
      <w:r w:rsidR="009B7E08" w:rsidRPr="00161FEE">
        <w:rPr>
          <w:rFonts w:ascii="Times New Roman" w:hAnsi="Times New Roman"/>
          <w:sz w:val="24"/>
          <w:szCs w:val="24"/>
        </w:rPr>
        <w:t>, which are set out in section 133 of the Act</w:t>
      </w:r>
      <w:r w:rsidR="00344D87" w:rsidRPr="00161FEE">
        <w:rPr>
          <w:rFonts w:ascii="Times New Roman" w:hAnsi="Times New Roman"/>
          <w:sz w:val="24"/>
          <w:szCs w:val="24"/>
        </w:rPr>
        <w:t xml:space="preserve">. </w:t>
      </w:r>
      <w:r w:rsidRPr="00161FEE">
        <w:rPr>
          <w:rFonts w:ascii="Times New Roman" w:hAnsi="Times New Roman"/>
          <w:sz w:val="24"/>
          <w:szCs w:val="24"/>
        </w:rPr>
        <w:t>The Minister will also consider any adverse environmental, economic or social impacts likely to arise as a result of projects to which the determination applies.</w:t>
      </w:r>
      <w:r w:rsidR="00344D87" w:rsidRPr="00161FEE">
        <w:rPr>
          <w:rFonts w:ascii="Times New Roman" w:hAnsi="Times New Roman"/>
          <w:sz w:val="24"/>
          <w:szCs w:val="24"/>
        </w:rPr>
        <w:t xml:space="preserve"> </w:t>
      </w:r>
    </w:p>
    <w:p w:rsidR="0040416A" w:rsidRPr="00161FEE" w:rsidRDefault="0040416A" w:rsidP="00101B59">
      <w:pPr>
        <w:spacing w:after="120" w:line="240" w:lineRule="auto"/>
        <w:rPr>
          <w:rFonts w:ascii="Times New Roman" w:hAnsi="Times New Roman"/>
          <w:sz w:val="24"/>
          <w:szCs w:val="24"/>
        </w:rPr>
      </w:pPr>
      <w:r w:rsidRPr="00161FEE">
        <w:rPr>
          <w:rFonts w:ascii="Times New Roman" w:hAnsi="Times New Roman"/>
          <w:sz w:val="24"/>
          <w:szCs w:val="24"/>
        </w:rPr>
        <w:t xml:space="preserve">Offsets projects that are undertaken in accordance with the </w:t>
      </w:r>
      <w:r w:rsidR="004F2EA7" w:rsidRPr="00161FEE">
        <w:rPr>
          <w:rFonts w:ascii="Times New Roman" w:hAnsi="Times New Roman"/>
          <w:sz w:val="24"/>
          <w:szCs w:val="24"/>
        </w:rPr>
        <w:t xml:space="preserve">methodology </w:t>
      </w:r>
      <w:r w:rsidRPr="00161FEE">
        <w:rPr>
          <w:rFonts w:ascii="Times New Roman" w:hAnsi="Times New Roman"/>
          <w:sz w:val="24"/>
          <w:szCs w:val="24"/>
        </w:rPr>
        <w:t xml:space="preserve">determination and approved by the </w:t>
      </w:r>
      <w:r w:rsidR="003D58E4" w:rsidRPr="00161FEE">
        <w:rPr>
          <w:rFonts w:ascii="Times New Roman" w:hAnsi="Times New Roman"/>
          <w:sz w:val="24"/>
          <w:szCs w:val="24"/>
        </w:rPr>
        <w:t xml:space="preserve">Clean Energy </w:t>
      </w:r>
      <w:r w:rsidRPr="00161FEE">
        <w:rPr>
          <w:rFonts w:ascii="Times New Roman" w:hAnsi="Times New Roman"/>
          <w:sz w:val="24"/>
          <w:szCs w:val="24"/>
        </w:rPr>
        <w:t>Regulator</w:t>
      </w:r>
      <w:r w:rsidR="003D58E4" w:rsidRPr="00161FEE">
        <w:rPr>
          <w:rFonts w:ascii="Times New Roman" w:hAnsi="Times New Roman"/>
          <w:sz w:val="24"/>
          <w:szCs w:val="24"/>
        </w:rPr>
        <w:t xml:space="preserve"> (the Regulator)</w:t>
      </w:r>
      <w:r w:rsidRPr="00161FEE">
        <w:rPr>
          <w:rFonts w:ascii="Times New Roman" w:hAnsi="Times New Roman"/>
          <w:sz w:val="24"/>
          <w:szCs w:val="24"/>
        </w:rPr>
        <w:t xml:space="preserve"> can generate Australian </w:t>
      </w:r>
      <w:r w:rsidR="003D58E4" w:rsidRPr="00161FEE">
        <w:rPr>
          <w:rFonts w:ascii="Times New Roman" w:hAnsi="Times New Roman"/>
          <w:sz w:val="24"/>
          <w:szCs w:val="24"/>
        </w:rPr>
        <w:t>C</w:t>
      </w:r>
      <w:r w:rsidRPr="00161FEE">
        <w:rPr>
          <w:rFonts w:ascii="Times New Roman" w:hAnsi="Times New Roman"/>
          <w:sz w:val="24"/>
          <w:szCs w:val="24"/>
        </w:rPr>
        <w:t xml:space="preserve">arbon </w:t>
      </w:r>
      <w:r w:rsidR="003D58E4" w:rsidRPr="00161FEE">
        <w:rPr>
          <w:rFonts w:ascii="Times New Roman" w:hAnsi="Times New Roman"/>
          <w:sz w:val="24"/>
          <w:szCs w:val="24"/>
        </w:rPr>
        <w:t>C</w:t>
      </w:r>
      <w:r w:rsidRPr="00161FEE">
        <w:rPr>
          <w:rFonts w:ascii="Times New Roman" w:hAnsi="Times New Roman"/>
          <w:sz w:val="24"/>
          <w:szCs w:val="24"/>
        </w:rPr>
        <w:t xml:space="preserve">redit </w:t>
      </w:r>
      <w:r w:rsidR="003D58E4" w:rsidRPr="00161FEE">
        <w:rPr>
          <w:rFonts w:ascii="Times New Roman" w:hAnsi="Times New Roman"/>
          <w:sz w:val="24"/>
          <w:szCs w:val="24"/>
        </w:rPr>
        <w:t>U</w:t>
      </w:r>
      <w:r w:rsidRPr="00161FEE">
        <w:rPr>
          <w:rFonts w:ascii="Times New Roman" w:hAnsi="Times New Roman"/>
          <w:sz w:val="24"/>
          <w:szCs w:val="24"/>
        </w:rPr>
        <w:t>nits</w:t>
      </w:r>
      <w:r w:rsidR="00BF1E40" w:rsidRPr="00161FEE">
        <w:rPr>
          <w:rFonts w:ascii="Times New Roman" w:hAnsi="Times New Roman"/>
          <w:sz w:val="24"/>
          <w:szCs w:val="24"/>
        </w:rPr>
        <w:t xml:space="preserve"> (ACCUs)</w:t>
      </w:r>
      <w:r w:rsidR="00256939" w:rsidRPr="00161FEE">
        <w:rPr>
          <w:rFonts w:ascii="Times New Roman" w:hAnsi="Times New Roman"/>
          <w:sz w:val="24"/>
          <w:szCs w:val="24"/>
        </w:rPr>
        <w:t>, representing emissions reductions from the project.</w:t>
      </w:r>
    </w:p>
    <w:p w:rsidR="004A4FF7" w:rsidRPr="00161FEE" w:rsidRDefault="009A113F" w:rsidP="00101B59">
      <w:pPr>
        <w:pStyle w:val="base-text-paragraphnonumbers"/>
        <w:spacing w:before="0"/>
        <w:ind w:left="0"/>
        <w:rPr>
          <w:sz w:val="24"/>
          <w:szCs w:val="24"/>
          <w:lang w:val="en-US"/>
        </w:rPr>
      </w:pPr>
      <w:r w:rsidRPr="00161FEE">
        <w:rPr>
          <w:sz w:val="24"/>
          <w:szCs w:val="24"/>
          <w:lang w:val="en-US"/>
        </w:rPr>
        <w:t xml:space="preserve">Project proponents can receive funding from the ERF by submitting their projects into a competitive auction run by the </w:t>
      </w:r>
      <w:r w:rsidRPr="00161FEE">
        <w:rPr>
          <w:sz w:val="24"/>
          <w:szCs w:val="24"/>
        </w:rPr>
        <w:t>Regulator</w:t>
      </w:r>
      <w:r w:rsidRPr="00161FEE">
        <w:rPr>
          <w:sz w:val="24"/>
          <w:szCs w:val="24"/>
          <w:lang w:val="en-US"/>
        </w:rPr>
        <w:t>.</w:t>
      </w:r>
      <w:r w:rsidR="000152E9" w:rsidRPr="00161FEE">
        <w:rPr>
          <w:sz w:val="24"/>
          <w:szCs w:val="24"/>
        </w:rPr>
        <w:t xml:space="preserve"> </w:t>
      </w:r>
      <w:r w:rsidR="004A4FF7" w:rsidRPr="00161FEE">
        <w:rPr>
          <w:sz w:val="24"/>
          <w:szCs w:val="24"/>
          <w:lang w:val="en-US"/>
        </w:rPr>
        <w:t>The Government will enter into contracts with successful proponents, which will guarantee the price and payment for the future delivery of emissions reductions.</w:t>
      </w:r>
    </w:p>
    <w:p w:rsidR="00185B22" w:rsidRPr="00161FEE" w:rsidRDefault="004A4FF7" w:rsidP="00101B59">
      <w:pPr>
        <w:pStyle w:val="base-text-paragraphnonumbers"/>
        <w:spacing w:before="0"/>
        <w:ind w:left="0"/>
        <w:rPr>
          <w:sz w:val="28"/>
          <w:szCs w:val="24"/>
        </w:rPr>
      </w:pPr>
      <w:r w:rsidRPr="00161FEE">
        <w:rPr>
          <w:sz w:val="24"/>
          <w:lang w:val="en-US"/>
        </w:rPr>
        <w:t xml:space="preserve">Further </w:t>
      </w:r>
      <w:r w:rsidR="003B149A" w:rsidRPr="00161FEE">
        <w:rPr>
          <w:sz w:val="24"/>
          <w:lang w:val="en-US"/>
        </w:rPr>
        <w:t>i</w:t>
      </w:r>
      <w:r w:rsidRPr="00161FEE">
        <w:rPr>
          <w:sz w:val="24"/>
          <w:lang w:val="en-US"/>
        </w:rPr>
        <w:t xml:space="preserve">nformation on the </w:t>
      </w:r>
      <w:r w:rsidR="00585208" w:rsidRPr="00161FEE">
        <w:rPr>
          <w:sz w:val="24"/>
          <w:lang w:val="en-US"/>
        </w:rPr>
        <w:t>ERF</w:t>
      </w:r>
      <w:r w:rsidRPr="00161FEE">
        <w:rPr>
          <w:sz w:val="24"/>
          <w:lang w:val="en-US"/>
        </w:rPr>
        <w:t xml:space="preserve"> is available </w:t>
      </w:r>
      <w:r w:rsidR="009610EA" w:rsidRPr="00161FEE">
        <w:rPr>
          <w:sz w:val="24"/>
          <w:lang w:val="en-US"/>
        </w:rPr>
        <w:t xml:space="preserve">on the Department of the Environment website </w:t>
      </w:r>
      <w:r w:rsidR="009E0C0B" w:rsidRPr="00161FEE">
        <w:rPr>
          <w:sz w:val="24"/>
          <w:lang w:val="en-US"/>
        </w:rPr>
        <w:t>at:</w:t>
      </w:r>
      <w:r w:rsidR="008E2B1D" w:rsidRPr="00161FEE" w:rsidDel="008E2B1D">
        <w:rPr>
          <w:sz w:val="24"/>
          <w:lang w:val="en-US"/>
        </w:rPr>
        <w:t xml:space="preserve"> </w:t>
      </w:r>
      <w:hyperlink r:id="rId13" w:history="1">
        <w:r w:rsidR="00B36F7C" w:rsidRPr="00161FEE">
          <w:rPr>
            <w:rStyle w:val="Hyperlink"/>
            <w:rFonts w:cs="Arial"/>
            <w:sz w:val="24"/>
            <w:szCs w:val="24"/>
          </w:rPr>
          <w:t>www.environment.gov.au/emissions-reduction-fund</w:t>
        </w:r>
      </w:hyperlink>
      <w:r w:rsidR="005D5BFD" w:rsidRPr="00161FEE">
        <w:rPr>
          <w:sz w:val="24"/>
          <w:szCs w:val="24"/>
        </w:rPr>
        <w:t xml:space="preserve">. </w:t>
      </w:r>
    </w:p>
    <w:p w:rsidR="00FB091D" w:rsidRPr="00161FEE" w:rsidRDefault="00FB091D">
      <w:pPr>
        <w:spacing w:after="0" w:line="240" w:lineRule="auto"/>
        <w:rPr>
          <w:rFonts w:ascii="Times New Roman" w:eastAsia="Times New Roman" w:hAnsi="Times New Roman"/>
          <w:sz w:val="28"/>
          <w:szCs w:val="24"/>
          <w:lang w:eastAsia="en-AU"/>
        </w:rPr>
      </w:pPr>
      <w:r w:rsidRPr="00161FEE">
        <w:rPr>
          <w:sz w:val="28"/>
          <w:szCs w:val="24"/>
        </w:rPr>
        <w:br w:type="page"/>
      </w:r>
    </w:p>
    <w:p w:rsidR="00DF0B44" w:rsidRPr="00161FEE" w:rsidRDefault="00DD7F22" w:rsidP="00DD7F22">
      <w:pPr>
        <w:spacing w:after="120" w:line="240" w:lineRule="auto"/>
        <w:rPr>
          <w:rFonts w:ascii="Times New Roman" w:hAnsi="Times New Roman"/>
          <w:b/>
          <w:sz w:val="24"/>
          <w:szCs w:val="24"/>
        </w:rPr>
      </w:pPr>
      <w:r w:rsidRPr="00161FEE">
        <w:rPr>
          <w:rFonts w:ascii="Times New Roman" w:hAnsi="Times New Roman"/>
          <w:b/>
          <w:sz w:val="24"/>
          <w:szCs w:val="24"/>
        </w:rPr>
        <w:lastRenderedPageBreak/>
        <w:t>Application of the Determination</w:t>
      </w:r>
    </w:p>
    <w:p w:rsidR="000F6FF0" w:rsidRPr="00161FEE" w:rsidRDefault="00613545" w:rsidP="00285C5A">
      <w:pPr>
        <w:spacing w:after="120" w:line="240" w:lineRule="auto"/>
        <w:rPr>
          <w:rFonts w:ascii="Times New Roman" w:hAnsi="Times New Roman"/>
          <w:sz w:val="24"/>
          <w:szCs w:val="24"/>
        </w:rPr>
      </w:pPr>
      <w:r w:rsidRPr="00161FEE">
        <w:rPr>
          <w:rFonts w:ascii="Times New Roman" w:hAnsi="Times New Roman"/>
          <w:sz w:val="24"/>
          <w:szCs w:val="24"/>
        </w:rPr>
        <w:t xml:space="preserve">The </w:t>
      </w:r>
      <w:r w:rsidR="007670E3" w:rsidRPr="00161FEE">
        <w:rPr>
          <w:rFonts w:ascii="Times New Roman" w:eastAsia="Times New Roman" w:hAnsi="Times New Roman"/>
          <w:bCs/>
          <w:i/>
          <w:kern w:val="36"/>
          <w:sz w:val="24"/>
          <w:szCs w:val="24"/>
          <w:lang w:eastAsia="en-AU"/>
        </w:rPr>
        <w:t>Carbon Credits (Carbon Farming Initiative—Commercial Buildings) Methodology Determination 201</w:t>
      </w:r>
      <w:r w:rsidR="00B04A41">
        <w:rPr>
          <w:rFonts w:ascii="Times New Roman" w:eastAsia="Times New Roman" w:hAnsi="Times New Roman"/>
          <w:bCs/>
          <w:i/>
          <w:kern w:val="36"/>
          <w:sz w:val="24"/>
          <w:szCs w:val="24"/>
          <w:lang w:eastAsia="en-AU"/>
        </w:rPr>
        <w:t>5</w:t>
      </w:r>
      <w:r w:rsidRPr="00161FEE">
        <w:rPr>
          <w:rFonts w:ascii="Times New Roman" w:hAnsi="Times New Roman"/>
          <w:sz w:val="24"/>
          <w:szCs w:val="24"/>
        </w:rPr>
        <w:t xml:space="preserve"> (the Determination) sets out the detailed rules for implementing and monitoring offsets projects that reduce emissions of greenhouse gases </w:t>
      </w:r>
      <w:r w:rsidR="006E5B52" w:rsidRPr="00161FEE">
        <w:rPr>
          <w:rFonts w:ascii="Times New Roman" w:hAnsi="Times New Roman"/>
          <w:sz w:val="24"/>
          <w:szCs w:val="24"/>
        </w:rPr>
        <w:t>associated with the consumption of electricity and/or fossil fuels</w:t>
      </w:r>
      <w:r w:rsidRPr="00161FEE">
        <w:rPr>
          <w:rFonts w:ascii="Times New Roman" w:hAnsi="Times New Roman"/>
          <w:sz w:val="24"/>
          <w:szCs w:val="24"/>
        </w:rPr>
        <w:t xml:space="preserve"> at a </w:t>
      </w:r>
      <w:r w:rsidRPr="00161FEE">
        <w:rPr>
          <w:rFonts w:ascii="Times New Roman" w:hAnsi="Times New Roman"/>
          <w:b/>
          <w:i/>
          <w:sz w:val="24"/>
          <w:szCs w:val="24"/>
        </w:rPr>
        <w:t>commercial building</w:t>
      </w:r>
      <w:r w:rsidRPr="00161FEE">
        <w:rPr>
          <w:rFonts w:ascii="Times New Roman" w:hAnsi="Times New Roman"/>
          <w:sz w:val="24"/>
          <w:szCs w:val="24"/>
        </w:rPr>
        <w:t>.</w:t>
      </w:r>
    </w:p>
    <w:p w:rsidR="000F6FF0" w:rsidRPr="00161FEE" w:rsidRDefault="000F6FF0" w:rsidP="000F6FF0">
      <w:pPr>
        <w:spacing w:after="120" w:line="240" w:lineRule="auto"/>
        <w:rPr>
          <w:rFonts w:ascii="Times New Roman" w:hAnsi="Times New Roman"/>
          <w:color w:val="000000"/>
          <w:sz w:val="24"/>
          <w:szCs w:val="24"/>
        </w:rPr>
      </w:pPr>
      <w:r w:rsidRPr="00161FEE">
        <w:rPr>
          <w:rFonts w:ascii="Times New Roman" w:hAnsi="Times New Roman"/>
          <w:sz w:val="24"/>
          <w:szCs w:val="24"/>
        </w:rPr>
        <w:t>The Determination reflects the requirements of the Act’s offsets integrity standards and helps to ensure that emissions reductions are real and additional to business as usual.</w:t>
      </w:r>
      <w:r w:rsidRPr="00161FEE">
        <w:rPr>
          <w:rFonts w:ascii="Times New Roman" w:hAnsi="Times New Roman"/>
          <w:sz w:val="24"/>
        </w:rPr>
        <w:t xml:space="preserve"> </w:t>
      </w:r>
      <w:r w:rsidRPr="00161FEE">
        <w:rPr>
          <w:rFonts w:ascii="Times New Roman" w:hAnsi="Times New Roman"/>
          <w:color w:val="000000"/>
          <w:sz w:val="24"/>
          <w:szCs w:val="24"/>
        </w:rPr>
        <w:t xml:space="preserve">The offsets integrity standards require that an eligible project should result in carbon abatement that is unlikely to occur in the ordinary course of events and is eligible carbon abatement under the Act. In summary, the offsets integrity standards also </w:t>
      </w:r>
      <w:r w:rsidR="00345562" w:rsidRPr="00161FEE">
        <w:rPr>
          <w:rFonts w:ascii="Times New Roman" w:hAnsi="Times New Roman"/>
          <w:color w:val="000000"/>
          <w:sz w:val="24"/>
          <w:szCs w:val="24"/>
        </w:rPr>
        <w:t xml:space="preserve">require </w:t>
      </w:r>
      <w:r w:rsidRPr="00161FEE">
        <w:rPr>
          <w:rFonts w:ascii="Times New Roman" w:hAnsi="Times New Roman"/>
          <w:color w:val="000000"/>
          <w:sz w:val="24"/>
          <w:szCs w:val="24"/>
        </w:rPr>
        <w:t xml:space="preserve">that: </w:t>
      </w:r>
    </w:p>
    <w:p w:rsidR="000F6FF0" w:rsidRPr="00161FEE" w:rsidRDefault="000F6FF0" w:rsidP="000F6FF0">
      <w:pPr>
        <w:numPr>
          <w:ilvl w:val="0"/>
          <w:numId w:val="11"/>
        </w:num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amounts are measurable and capable of being verified;</w:t>
      </w:r>
    </w:p>
    <w:p w:rsidR="000F6FF0" w:rsidRPr="00161FEE" w:rsidRDefault="000F6FF0" w:rsidP="000F6FF0">
      <w:pPr>
        <w:numPr>
          <w:ilvl w:val="0"/>
          <w:numId w:val="11"/>
        </w:num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the methods used are supported by clear and convincing evidence;</w:t>
      </w:r>
    </w:p>
    <w:p w:rsidR="000F6FF0" w:rsidRPr="00161FEE" w:rsidRDefault="000F6FF0" w:rsidP="000F6FF0">
      <w:pPr>
        <w:numPr>
          <w:ilvl w:val="0"/>
          <w:numId w:val="11"/>
        </w:num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material emissions which are a direct consequence of the project are deducted; and</w:t>
      </w:r>
    </w:p>
    <w:p w:rsidR="00613545" w:rsidRPr="00161FEE" w:rsidRDefault="000F6FF0" w:rsidP="002E26AF">
      <w:pPr>
        <w:numPr>
          <w:ilvl w:val="0"/>
          <w:numId w:val="11"/>
        </w:numPr>
        <w:spacing w:after="120" w:line="240" w:lineRule="auto"/>
        <w:rPr>
          <w:rFonts w:ascii="Times New Roman" w:hAnsi="Times New Roman"/>
          <w:color w:val="000000"/>
          <w:sz w:val="24"/>
          <w:szCs w:val="24"/>
        </w:rPr>
      </w:pPr>
      <w:proofErr w:type="gramStart"/>
      <w:r w:rsidRPr="00161FEE">
        <w:rPr>
          <w:rFonts w:ascii="Times New Roman" w:hAnsi="Times New Roman"/>
          <w:color w:val="000000"/>
          <w:sz w:val="24"/>
          <w:szCs w:val="24"/>
        </w:rPr>
        <w:t>estimates</w:t>
      </w:r>
      <w:proofErr w:type="gramEnd"/>
      <w:r w:rsidRPr="00161FEE">
        <w:rPr>
          <w:rFonts w:ascii="Times New Roman" w:hAnsi="Times New Roman"/>
          <w:color w:val="000000"/>
          <w:sz w:val="24"/>
          <w:szCs w:val="24"/>
        </w:rPr>
        <w:t>, assumptions or projections used in the determination should be conservative.</w:t>
      </w:r>
      <w:r w:rsidR="00613545" w:rsidRPr="00161FEE">
        <w:rPr>
          <w:rFonts w:ascii="Times New Roman" w:hAnsi="Times New Roman"/>
          <w:color w:val="000000"/>
          <w:sz w:val="24"/>
          <w:szCs w:val="24"/>
        </w:rPr>
        <w:t xml:space="preserve"> </w:t>
      </w:r>
    </w:p>
    <w:p w:rsidR="00285C5A" w:rsidRPr="00161FEE" w:rsidRDefault="00B1421C" w:rsidP="00285C5A">
      <w:pPr>
        <w:spacing w:after="120" w:line="240" w:lineRule="auto"/>
        <w:rPr>
          <w:rFonts w:ascii="Times New Roman" w:hAnsi="Times New Roman"/>
          <w:sz w:val="24"/>
          <w:szCs w:val="24"/>
        </w:rPr>
      </w:pPr>
      <w:r w:rsidRPr="00161FEE">
        <w:rPr>
          <w:rFonts w:ascii="Times New Roman" w:hAnsi="Times New Roman"/>
          <w:sz w:val="24"/>
          <w:szCs w:val="24"/>
        </w:rPr>
        <w:t xml:space="preserve">Most greenhouse gas emissions generated </w:t>
      </w:r>
      <w:r w:rsidR="00201C66" w:rsidRPr="00161FEE">
        <w:rPr>
          <w:rFonts w:ascii="Times New Roman" w:hAnsi="Times New Roman"/>
          <w:sz w:val="24"/>
          <w:szCs w:val="24"/>
        </w:rPr>
        <w:t>by</w:t>
      </w:r>
      <w:r w:rsidRPr="00161FEE">
        <w:rPr>
          <w:rFonts w:ascii="Times New Roman" w:hAnsi="Times New Roman"/>
          <w:sz w:val="24"/>
          <w:szCs w:val="24"/>
        </w:rPr>
        <w:t xml:space="preserve"> commercial buildings</w:t>
      </w:r>
      <w:r w:rsidR="00317949" w:rsidRPr="00161FEE">
        <w:rPr>
          <w:rFonts w:ascii="Times New Roman" w:hAnsi="Times New Roman"/>
          <w:sz w:val="24"/>
          <w:szCs w:val="24"/>
        </w:rPr>
        <w:t xml:space="preserve"> are </w:t>
      </w:r>
      <w:proofErr w:type="gramStart"/>
      <w:r w:rsidR="00317949" w:rsidRPr="00161FEE">
        <w:rPr>
          <w:rFonts w:ascii="Times New Roman" w:hAnsi="Times New Roman"/>
          <w:sz w:val="24"/>
          <w:szCs w:val="24"/>
        </w:rPr>
        <w:t>indirect</w:t>
      </w:r>
      <w:r w:rsidRPr="00161FEE">
        <w:rPr>
          <w:rFonts w:ascii="Times New Roman" w:hAnsi="Times New Roman"/>
          <w:sz w:val="24"/>
          <w:szCs w:val="24"/>
        </w:rPr>
        <w:t>,</w:t>
      </w:r>
      <w:proofErr w:type="gramEnd"/>
      <w:r w:rsidRPr="00161FEE">
        <w:rPr>
          <w:rFonts w:ascii="Times New Roman" w:hAnsi="Times New Roman"/>
          <w:sz w:val="24"/>
          <w:szCs w:val="24"/>
        </w:rPr>
        <w:t xml:space="preserve"> primarily emissions </w:t>
      </w:r>
      <w:r w:rsidR="00201C66" w:rsidRPr="00161FEE">
        <w:rPr>
          <w:rFonts w:ascii="Times New Roman" w:hAnsi="Times New Roman"/>
          <w:sz w:val="24"/>
          <w:szCs w:val="24"/>
        </w:rPr>
        <w:t>from</w:t>
      </w:r>
      <w:r w:rsidRPr="00161FEE">
        <w:rPr>
          <w:rFonts w:ascii="Times New Roman" w:hAnsi="Times New Roman"/>
          <w:sz w:val="24"/>
          <w:szCs w:val="24"/>
        </w:rPr>
        <w:t xml:space="preserve"> </w:t>
      </w:r>
      <w:r w:rsidR="00201C66" w:rsidRPr="00161FEE">
        <w:rPr>
          <w:rFonts w:ascii="Times New Roman" w:hAnsi="Times New Roman"/>
          <w:sz w:val="24"/>
          <w:szCs w:val="24"/>
        </w:rPr>
        <w:t>electricity that is</w:t>
      </w:r>
      <w:r w:rsidR="00285C5A" w:rsidRPr="00161FEE">
        <w:rPr>
          <w:rFonts w:ascii="Times New Roman" w:hAnsi="Times New Roman"/>
          <w:sz w:val="24"/>
          <w:szCs w:val="24"/>
        </w:rPr>
        <w:t xml:space="preserve"> </w:t>
      </w:r>
      <w:r w:rsidR="00201C66" w:rsidRPr="00161FEE">
        <w:rPr>
          <w:rFonts w:ascii="Times New Roman" w:hAnsi="Times New Roman"/>
          <w:sz w:val="24"/>
          <w:szCs w:val="24"/>
        </w:rPr>
        <w:t xml:space="preserve">consumed </w:t>
      </w:r>
      <w:r w:rsidR="00D2483F" w:rsidRPr="00161FEE">
        <w:rPr>
          <w:rFonts w:ascii="Times New Roman" w:hAnsi="Times New Roman"/>
          <w:sz w:val="24"/>
          <w:szCs w:val="24"/>
        </w:rPr>
        <w:t>in the building</w:t>
      </w:r>
      <w:r w:rsidR="008370DB" w:rsidRPr="00161FEE">
        <w:rPr>
          <w:rFonts w:ascii="Times New Roman" w:hAnsi="Times New Roman"/>
          <w:sz w:val="24"/>
          <w:szCs w:val="24"/>
        </w:rPr>
        <w:t xml:space="preserve"> (scope 2 emissions)</w:t>
      </w:r>
      <w:r w:rsidRPr="00161FEE">
        <w:rPr>
          <w:rFonts w:ascii="Times New Roman" w:hAnsi="Times New Roman"/>
          <w:sz w:val="24"/>
          <w:szCs w:val="24"/>
        </w:rPr>
        <w:t>. Commercial build</w:t>
      </w:r>
      <w:r w:rsidR="00317949" w:rsidRPr="00161FEE">
        <w:rPr>
          <w:rFonts w:ascii="Times New Roman" w:hAnsi="Times New Roman"/>
          <w:sz w:val="24"/>
          <w:szCs w:val="24"/>
        </w:rPr>
        <w:t>ings can also generate direct (s</w:t>
      </w:r>
      <w:r w:rsidRPr="00161FEE">
        <w:rPr>
          <w:rFonts w:ascii="Times New Roman" w:hAnsi="Times New Roman"/>
          <w:sz w:val="24"/>
          <w:szCs w:val="24"/>
        </w:rPr>
        <w:t xml:space="preserve">cope 1) emissions, including through direct fuel combustion in, for example, boilers and gas heaters. </w:t>
      </w:r>
    </w:p>
    <w:p w:rsidR="000039D1" w:rsidRPr="00161FEE" w:rsidRDefault="004E771E" w:rsidP="00285C5A">
      <w:pPr>
        <w:spacing w:after="120" w:line="240" w:lineRule="auto"/>
        <w:rPr>
          <w:rFonts w:ascii="Times New Roman" w:hAnsi="Times New Roman"/>
          <w:sz w:val="24"/>
          <w:szCs w:val="24"/>
        </w:rPr>
      </w:pPr>
      <w:r w:rsidRPr="00161FEE">
        <w:rPr>
          <w:rFonts w:ascii="Times New Roman" w:hAnsi="Times New Roman"/>
          <w:sz w:val="24"/>
          <w:szCs w:val="24"/>
        </w:rPr>
        <w:t xml:space="preserve">Improving the energy </w:t>
      </w:r>
      <w:r w:rsidR="00DD7AC4" w:rsidRPr="00161FEE">
        <w:rPr>
          <w:rFonts w:ascii="Times New Roman" w:hAnsi="Times New Roman"/>
          <w:sz w:val="24"/>
          <w:szCs w:val="24"/>
        </w:rPr>
        <w:t xml:space="preserve">performance </w:t>
      </w:r>
      <w:r w:rsidRPr="00161FEE">
        <w:rPr>
          <w:rFonts w:ascii="Times New Roman" w:hAnsi="Times New Roman"/>
          <w:sz w:val="24"/>
          <w:szCs w:val="24"/>
        </w:rPr>
        <w:t xml:space="preserve">of commercial buildings can reduce emissions associated with </w:t>
      </w:r>
      <w:r w:rsidR="00BA7534" w:rsidRPr="00161FEE">
        <w:rPr>
          <w:rFonts w:ascii="Times New Roman" w:hAnsi="Times New Roman"/>
          <w:sz w:val="24"/>
          <w:szCs w:val="24"/>
        </w:rPr>
        <w:t xml:space="preserve">fuel combustion and </w:t>
      </w:r>
      <w:r w:rsidR="000755F6" w:rsidRPr="00161FEE">
        <w:rPr>
          <w:rFonts w:ascii="Times New Roman" w:hAnsi="Times New Roman"/>
          <w:sz w:val="24"/>
          <w:szCs w:val="24"/>
        </w:rPr>
        <w:t xml:space="preserve">the generation of </w:t>
      </w:r>
      <w:r w:rsidR="00513EB5" w:rsidRPr="00161FEE">
        <w:rPr>
          <w:rFonts w:ascii="Times New Roman" w:hAnsi="Times New Roman"/>
          <w:sz w:val="24"/>
          <w:szCs w:val="24"/>
        </w:rPr>
        <w:t>electricity consumed in th</w:t>
      </w:r>
      <w:r w:rsidR="002758AB" w:rsidRPr="00161FEE">
        <w:rPr>
          <w:rFonts w:ascii="Times New Roman" w:hAnsi="Times New Roman"/>
          <w:sz w:val="24"/>
          <w:szCs w:val="24"/>
        </w:rPr>
        <w:t>e</w:t>
      </w:r>
      <w:r w:rsidR="00513EB5" w:rsidRPr="00161FEE">
        <w:rPr>
          <w:rFonts w:ascii="Times New Roman" w:hAnsi="Times New Roman"/>
          <w:sz w:val="24"/>
          <w:szCs w:val="24"/>
        </w:rPr>
        <w:t xml:space="preserve"> building</w:t>
      </w:r>
      <w:r w:rsidR="002758AB" w:rsidRPr="00161FEE">
        <w:rPr>
          <w:rFonts w:ascii="Times New Roman" w:hAnsi="Times New Roman"/>
          <w:sz w:val="24"/>
          <w:szCs w:val="24"/>
        </w:rPr>
        <w:t>s</w:t>
      </w:r>
      <w:r w:rsidRPr="00161FEE">
        <w:rPr>
          <w:rFonts w:ascii="Times New Roman" w:hAnsi="Times New Roman"/>
          <w:sz w:val="24"/>
          <w:szCs w:val="24"/>
        </w:rPr>
        <w:t xml:space="preserve">. Activities to </w:t>
      </w:r>
      <w:r w:rsidR="00DD7AC4" w:rsidRPr="00161FEE">
        <w:rPr>
          <w:rFonts w:ascii="Times New Roman" w:hAnsi="Times New Roman"/>
          <w:sz w:val="24"/>
          <w:szCs w:val="24"/>
        </w:rPr>
        <w:t>improve the energy performance of</w:t>
      </w:r>
      <w:r w:rsidRPr="00161FEE">
        <w:rPr>
          <w:rFonts w:ascii="Times New Roman" w:hAnsi="Times New Roman"/>
          <w:sz w:val="24"/>
          <w:szCs w:val="24"/>
        </w:rPr>
        <w:t xml:space="preserve"> commercial buildings could in</w:t>
      </w:r>
      <w:r w:rsidR="00B1421C" w:rsidRPr="00161FEE">
        <w:rPr>
          <w:rFonts w:ascii="Times New Roman" w:hAnsi="Times New Roman"/>
          <w:sz w:val="24"/>
          <w:szCs w:val="24"/>
        </w:rPr>
        <w:t xml:space="preserve">volve modifying, removing or replacing </w:t>
      </w:r>
      <w:r w:rsidR="00B1421C" w:rsidRPr="00161FEE">
        <w:rPr>
          <w:rFonts w:ascii="Times New Roman" w:hAnsi="Times New Roman"/>
          <w:b/>
          <w:i/>
          <w:sz w:val="24"/>
          <w:szCs w:val="24"/>
        </w:rPr>
        <w:t>energy-consuming equipment</w:t>
      </w:r>
      <w:r w:rsidR="00B1421C" w:rsidRPr="00161FEE">
        <w:rPr>
          <w:rFonts w:ascii="Times New Roman" w:hAnsi="Times New Roman"/>
          <w:sz w:val="24"/>
          <w:szCs w:val="24"/>
        </w:rPr>
        <w:t xml:space="preserve"> </w:t>
      </w:r>
      <w:r w:rsidR="00666C71" w:rsidRPr="00161FEE">
        <w:rPr>
          <w:rFonts w:ascii="Times New Roman" w:hAnsi="Times New Roman"/>
          <w:sz w:val="24"/>
          <w:szCs w:val="24"/>
        </w:rPr>
        <w:t xml:space="preserve">or equipment that generates electricity </w:t>
      </w:r>
      <w:r w:rsidR="00B1421C" w:rsidRPr="00161FEE">
        <w:rPr>
          <w:rFonts w:ascii="Times New Roman" w:hAnsi="Times New Roman"/>
          <w:sz w:val="24"/>
          <w:szCs w:val="24"/>
        </w:rPr>
        <w:t>in the building,</w:t>
      </w:r>
      <w:r w:rsidR="00317949" w:rsidRPr="00161FEE">
        <w:rPr>
          <w:rFonts w:ascii="Times New Roman" w:hAnsi="Times New Roman"/>
          <w:sz w:val="24"/>
          <w:szCs w:val="24"/>
        </w:rPr>
        <w:t xml:space="preserve"> changing</w:t>
      </w:r>
      <w:r w:rsidR="00A01F91" w:rsidRPr="00161FEE">
        <w:rPr>
          <w:rFonts w:ascii="Times New Roman" w:hAnsi="Times New Roman"/>
          <w:sz w:val="24"/>
          <w:szCs w:val="24"/>
        </w:rPr>
        <w:t xml:space="preserve"> energy use within</w:t>
      </w:r>
      <w:r w:rsidR="00053C98" w:rsidRPr="00161FEE">
        <w:rPr>
          <w:rFonts w:ascii="Times New Roman" w:hAnsi="Times New Roman"/>
          <w:sz w:val="24"/>
          <w:szCs w:val="24"/>
        </w:rPr>
        <w:t xml:space="preserve"> the building</w:t>
      </w:r>
      <w:r w:rsidR="0070636D" w:rsidRPr="00161FEE">
        <w:rPr>
          <w:rFonts w:ascii="Times New Roman" w:hAnsi="Times New Roman"/>
          <w:sz w:val="24"/>
          <w:szCs w:val="24"/>
        </w:rPr>
        <w:t xml:space="preserve">, </w:t>
      </w:r>
      <w:r w:rsidR="00A86004" w:rsidRPr="00161FEE">
        <w:rPr>
          <w:rFonts w:ascii="Times New Roman" w:hAnsi="Times New Roman"/>
          <w:sz w:val="24"/>
          <w:szCs w:val="24"/>
        </w:rPr>
        <w:t xml:space="preserve">or </w:t>
      </w:r>
      <w:r w:rsidR="00B1421C" w:rsidRPr="00161FEE">
        <w:rPr>
          <w:rFonts w:ascii="Times New Roman" w:hAnsi="Times New Roman"/>
          <w:sz w:val="24"/>
          <w:szCs w:val="24"/>
        </w:rPr>
        <w:t>changing the</w:t>
      </w:r>
      <w:r w:rsidR="00A01F91" w:rsidRPr="00161FEE">
        <w:rPr>
          <w:rFonts w:ascii="Times New Roman" w:hAnsi="Times New Roman"/>
          <w:sz w:val="24"/>
          <w:szCs w:val="24"/>
        </w:rPr>
        <w:t xml:space="preserve"> components or shell of the</w:t>
      </w:r>
      <w:r w:rsidR="00B1421C" w:rsidRPr="00161FEE">
        <w:rPr>
          <w:rFonts w:ascii="Times New Roman" w:hAnsi="Times New Roman"/>
          <w:sz w:val="24"/>
          <w:szCs w:val="24"/>
        </w:rPr>
        <w:t xml:space="preserve"> building </w:t>
      </w:r>
      <w:r w:rsidR="001F7E67" w:rsidRPr="00161FEE">
        <w:rPr>
          <w:rFonts w:ascii="Times New Roman" w:hAnsi="Times New Roman"/>
          <w:sz w:val="24"/>
          <w:szCs w:val="24"/>
        </w:rPr>
        <w:t>to influence energy consumption</w:t>
      </w:r>
      <w:r w:rsidR="004E35E8" w:rsidRPr="00161FEE">
        <w:rPr>
          <w:rFonts w:ascii="Times New Roman" w:hAnsi="Times New Roman"/>
          <w:sz w:val="24"/>
          <w:szCs w:val="24"/>
        </w:rPr>
        <w:t xml:space="preserve"> (see </w:t>
      </w:r>
      <w:r w:rsidR="008E2B1D" w:rsidRPr="00161FEE">
        <w:rPr>
          <w:rFonts w:ascii="Times New Roman" w:hAnsi="Times New Roman"/>
          <w:sz w:val="24"/>
          <w:szCs w:val="24"/>
        </w:rPr>
        <w:t xml:space="preserve">next page </w:t>
      </w:r>
      <w:r w:rsidR="004E35E8" w:rsidRPr="00161FEE">
        <w:rPr>
          <w:rFonts w:ascii="Times New Roman" w:hAnsi="Times New Roman"/>
          <w:sz w:val="24"/>
          <w:szCs w:val="24"/>
        </w:rPr>
        <w:t>for example</w:t>
      </w:r>
      <w:r w:rsidR="000E3F9A" w:rsidRPr="00161FEE">
        <w:rPr>
          <w:rFonts w:ascii="Times New Roman" w:hAnsi="Times New Roman"/>
          <w:sz w:val="24"/>
          <w:szCs w:val="24"/>
        </w:rPr>
        <w:t>s of the kinds of</w:t>
      </w:r>
      <w:r w:rsidR="004E35E8" w:rsidRPr="00161FEE">
        <w:rPr>
          <w:rFonts w:ascii="Times New Roman" w:hAnsi="Times New Roman"/>
          <w:sz w:val="24"/>
          <w:szCs w:val="24"/>
        </w:rPr>
        <w:t xml:space="preserve"> activities</w:t>
      </w:r>
      <w:r w:rsidR="000E3F9A" w:rsidRPr="00161FEE">
        <w:rPr>
          <w:rFonts w:ascii="Times New Roman" w:hAnsi="Times New Roman"/>
          <w:sz w:val="24"/>
          <w:szCs w:val="24"/>
        </w:rPr>
        <w:t xml:space="preserve"> that could be undertaken</w:t>
      </w:r>
      <w:r w:rsidR="004E35E8" w:rsidRPr="00161FEE">
        <w:rPr>
          <w:rFonts w:ascii="Times New Roman" w:hAnsi="Times New Roman"/>
          <w:sz w:val="24"/>
          <w:szCs w:val="24"/>
        </w:rPr>
        <w:t>)</w:t>
      </w:r>
      <w:r w:rsidR="00B1421C" w:rsidRPr="00161FEE">
        <w:rPr>
          <w:rFonts w:ascii="Times New Roman" w:hAnsi="Times New Roman"/>
          <w:sz w:val="24"/>
          <w:szCs w:val="24"/>
        </w:rPr>
        <w:t xml:space="preserve">. </w:t>
      </w:r>
    </w:p>
    <w:p w:rsidR="001208CA" w:rsidRPr="00161FEE" w:rsidRDefault="00F22963" w:rsidP="001208CA">
      <w:pPr>
        <w:spacing w:after="120" w:line="240" w:lineRule="auto"/>
        <w:rPr>
          <w:rFonts w:ascii="Times New Roman" w:hAnsi="Times New Roman"/>
          <w:sz w:val="24"/>
          <w:szCs w:val="24"/>
        </w:rPr>
      </w:pPr>
      <w:r w:rsidRPr="00161FEE">
        <w:rPr>
          <w:rFonts w:ascii="Times New Roman" w:hAnsi="Times New Roman"/>
          <w:sz w:val="24"/>
          <w:szCs w:val="24"/>
        </w:rPr>
        <w:t>The environmental performance of Australian buildings</w:t>
      </w:r>
      <w:r w:rsidR="006245F1" w:rsidRPr="00161FEE">
        <w:rPr>
          <w:rFonts w:ascii="Times New Roman" w:hAnsi="Times New Roman"/>
          <w:sz w:val="24"/>
          <w:szCs w:val="24"/>
        </w:rPr>
        <w:t xml:space="preserve"> and</w:t>
      </w:r>
      <w:r w:rsidRPr="00161FEE">
        <w:rPr>
          <w:rFonts w:ascii="Times New Roman" w:hAnsi="Times New Roman"/>
          <w:sz w:val="24"/>
          <w:szCs w:val="24"/>
        </w:rPr>
        <w:t xml:space="preserve"> tenancies can be measured by the National Australian Built Environment Rating System (</w:t>
      </w:r>
      <w:r w:rsidRPr="00161FEE">
        <w:rPr>
          <w:rFonts w:ascii="Times New Roman" w:hAnsi="Times New Roman"/>
          <w:b/>
          <w:i/>
          <w:sz w:val="24"/>
          <w:szCs w:val="24"/>
        </w:rPr>
        <w:t>NABERS</w:t>
      </w:r>
      <w:r w:rsidRPr="00161FEE">
        <w:rPr>
          <w:rFonts w:ascii="Times New Roman" w:hAnsi="Times New Roman"/>
          <w:sz w:val="24"/>
          <w:szCs w:val="24"/>
        </w:rPr>
        <w:t>).</w:t>
      </w:r>
      <w:r w:rsidR="00FB2D8D" w:rsidRPr="00161FEE">
        <w:rPr>
          <w:rFonts w:ascii="Times New Roman" w:hAnsi="Times New Roman"/>
          <w:sz w:val="24"/>
          <w:szCs w:val="24"/>
        </w:rPr>
        <w:t xml:space="preserve"> NABERS is a </w:t>
      </w:r>
      <w:r w:rsidR="007574F1" w:rsidRPr="00161FEE">
        <w:rPr>
          <w:rFonts w:ascii="Times New Roman" w:hAnsi="Times New Roman"/>
          <w:sz w:val="24"/>
          <w:szCs w:val="24"/>
        </w:rPr>
        <w:t>national</w:t>
      </w:r>
      <w:r w:rsidR="00A01F91" w:rsidRPr="00161FEE">
        <w:rPr>
          <w:rFonts w:ascii="Times New Roman" w:hAnsi="Times New Roman"/>
          <w:sz w:val="24"/>
          <w:szCs w:val="24"/>
        </w:rPr>
        <w:t>,</w:t>
      </w:r>
      <w:r w:rsidR="007574F1" w:rsidRPr="00161FEE">
        <w:rPr>
          <w:rFonts w:ascii="Times New Roman" w:hAnsi="Times New Roman"/>
          <w:sz w:val="24"/>
          <w:szCs w:val="24"/>
        </w:rPr>
        <w:t xml:space="preserve"> </w:t>
      </w:r>
      <w:r w:rsidR="00FB2D8D" w:rsidRPr="00161FEE">
        <w:rPr>
          <w:rFonts w:ascii="Times New Roman" w:hAnsi="Times New Roman"/>
          <w:sz w:val="24"/>
          <w:szCs w:val="24"/>
        </w:rPr>
        <w:t>industry-recognised</w:t>
      </w:r>
      <w:r w:rsidR="007574F1" w:rsidRPr="00161FEE">
        <w:rPr>
          <w:rFonts w:ascii="Times New Roman" w:hAnsi="Times New Roman"/>
          <w:sz w:val="24"/>
          <w:szCs w:val="24"/>
        </w:rPr>
        <w:t xml:space="preserve"> rating system that measures the energy efficiency, water usage, waste management and indoor environment quality of a building or tenancy and its impact on the environment. It does this by using measured and verified operational performance information, such as utility bills,</w:t>
      </w:r>
      <w:r w:rsidR="00A01F91" w:rsidRPr="00161FEE">
        <w:rPr>
          <w:rFonts w:ascii="Times New Roman" w:hAnsi="Times New Roman"/>
          <w:sz w:val="24"/>
          <w:szCs w:val="24"/>
        </w:rPr>
        <w:t xml:space="preserve"> that is</w:t>
      </w:r>
      <w:r w:rsidR="007574F1" w:rsidRPr="00161FEE">
        <w:rPr>
          <w:rFonts w:ascii="Times New Roman" w:hAnsi="Times New Roman"/>
          <w:sz w:val="24"/>
          <w:szCs w:val="24"/>
        </w:rPr>
        <w:t xml:space="preserve"> adjusted for the size and use of the building and </w:t>
      </w:r>
      <w:r w:rsidR="00A01F91" w:rsidRPr="00161FEE">
        <w:rPr>
          <w:rFonts w:ascii="Times New Roman" w:hAnsi="Times New Roman"/>
          <w:sz w:val="24"/>
          <w:szCs w:val="24"/>
        </w:rPr>
        <w:t xml:space="preserve">converted </w:t>
      </w:r>
      <w:r w:rsidR="007574F1" w:rsidRPr="00161FEE">
        <w:rPr>
          <w:rFonts w:ascii="Times New Roman" w:hAnsi="Times New Roman"/>
          <w:sz w:val="24"/>
          <w:szCs w:val="24"/>
        </w:rPr>
        <w:t xml:space="preserve">into a star rating scale from </w:t>
      </w:r>
      <w:r w:rsidR="00B97E4D" w:rsidRPr="00161FEE">
        <w:rPr>
          <w:rFonts w:ascii="Times New Roman" w:hAnsi="Times New Roman"/>
          <w:sz w:val="24"/>
          <w:szCs w:val="24"/>
        </w:rPr>
        <w:t xml:space="preserve">zero </w:t>
      </w:r>
      <w:r w:rsidR="007574F1" w:rsidRPr="00161FEE">
        <w:rPr>
          <w:rFonts w:ascii="Times New Roman" w:hAnsi="Times New Roman"/>
          <w:sz w:val="24"/>
          <w:szCs w:val="24"/>
        </w:rPr>
        <w:t>star</w:t>
      </w:r>
      <w:r w:rsidR="00B97E4D" w:rsidRPr="00161FEE">
        <w:rPr>
          <w:rFonts w:ascii="Times New Roman" w:hAnsi="Times New Roman"/>
          <w:sz w:val="24"/>
          <w:szCs w:val="24"/>
        </w:rPr>
        <w:t>s</w:t>
      </w:r>
      <w:r w:rsidR="007574F1" w:rsidRPr="00161FEE">
        <w:rPr>
          <w:rFonts w:ascii="Times New Roman" w:hAnsi="Times New Roman"/>
          <w:sz w:val="24"/>
          <w:szCs w:val="24"/>
        </w:rPr>
        <w:t xml:space="preserve"> (</w:t>
      </w:r>
      <w:r w:rsidR="00B87536" w:rsidRPr="00161FEE">
        <w:rPr>
          <w:rFonts w:ascii="Times New Roman" w:hAnsi="Times New Roman"/>
          <w:sz w:val="24"/>
          <w:szCs w:val="24"/>
        </w:rPr>
        <w:t xml:space="preserve">very </w:t>
      </w:r>
      <w:r w:rsidR="007574F1" w:rsidRPr="00161FEE">
        <w:rPr>
          <w:rFonts w:ascii="Times New Roman" w:hAnsi="Times New Roman"/>
          <w:sz w:val="24"/>
          <w:szCs w:val="24"/>
        </w:rPr>
        <w:t>poor performance) to six stars (market</w:t>
      </w:r>
      <w:r w:rsidR="00DD3129" w:rsidRPr="00161FEE">
        <w:rPr>
          <w:rFonts w:ascii="Times New Roman" w:hAnsi="Times New Roman"/>
          <w:sz w:val="24"/>
          <w:szCs w:val="24"/>
        </w:rPr>
        <w:noBreakHyphen/>
      </w:r>
      <w:proofErr w:type="spellStart"/>
      <w:r w:rsidR="007574F1" w:rsidRPr="00161FEE">
        <w:rPr>
          <w:rFonts w:ascii="Times New Roman" w:hAnsi="Times New Roman"/>
          <w:sz w:val="24"/>
          <w:szCs w:val="24"/>
        </w:rPr>
        <w:t>leading</w:t>
      </w:r>
      <w:proofErr w:type="spellEnd"/>
      <w:r w:rsidR="007574F1" w:rsidRPr="00161FEE">
        <w:rPr>
          <w:rFonts w:ascii="Times New Roman" w:hAnsi="Times New Roman"/>
          <w:sz w:val="24"/>
          <w:szCs w:val="24"/>
        </w:rPr>
        <w:t xml:space="preserve"> performance). </w:t>
      </w:r>
    </w:p>
    <w:p w:rsidR="001208CA" w:rsidRPr="00161FEE" w:rsidRDefault="001208CA" w:rsidP="001208CA">
      <w:pPr>
        <w:spacing w:after="120" w:line="240" w:lineRule="auto"/>
        <w:rPr>
          <w:rFonts w:ascii="Times New Roman" w:hAnsi="Times New Roman"/>
          <w:sz w:val="24"/>
          <w:szCs w:val="24"/>
        </w:rPr>
      </w:pPr>
      <w:r w:rsidRPr="00161FEE">
        <w:rPr>
          <w:rFonts w:ascii="Times New Roman" w:hAnsi="Times New Roman"/>
          <w:sz w:val="24"/>
          <w:szCs w:val="24"/>
        </w:rPr>
        <w:t xml:space="preserve">The Determination makes use of </w:t>
      </w:r>
      <w:r w:rsidRPr="00161FEE">
        <w:rPr>
          <w:rFonts w:ascii="Times New Roman" w:hAnsi="Times New Roman"/>
          <w:b/>
          <w:i/>
          <w:sz w:val="24"/>
          <w:szCs w:val="24"/>
        </w:rPr>
        <w:t>NABERS energy ratings</w:t>
      </w:r>
      <w:r w:rsidRPr="00161FEE">
        <w:rPr>
          <w:rFonts w:ascii="Times New Roman" w:hAnsi="Times New Roman"/>
          <w:sz w:val="24"/>
          <w:szCs w:val="24"/>
        </w:rPr>
        <w:t xml:space="preserve"> and tools for </w:t>
      </w:r>
      <w:r w:rsidR="00323408">
        <w:rPr>
          <w:rFonts w:ascii="Times New Roman" w:hAnsi="Times New Roman"/>
          <w:sz w:val="24"/>
          <w:szCs w:val="24"/>
        </w:rPr>
        <w:t>office</w:t>
      </w:r>
      <w:r w:rsidR="00323408" w:rsidRPr="00161FEE">
        <w:rPr>
          <w:rFonts w:ascii="Times New Roman" w:hAnsi="Times New Roman"/>
          <w:sz w:val="24"/>
          <w:szCs w:val="24"/>
        </w:rPr>
        <w:t xml:space="preserve"> </w:t>
      </w:r>
      <w:r w:rsidRPr="00161FEE">
        <w:rPr>
          <w:rFonts w:ascii="Times New Roman" w:hAnsi="Times New Roman"/>
          <w:sz w:val="24"/>
          <w:szCs w:val="24"/>
        </w:rPr>
        <w:t>buildings</w:t>
      </w:r>
      <w:r w:rsidR="00323408">
        <w:rPr>
          <w:rFonts w:ascii="Times New Roman" w:hAnsi="Times New Roman"/>
          <w:sz w:val="24"/>
          <w:szCs w:val="24"/>
        </w:rPr>
        <w:t>, shopping centres and business hotels</w:t>
      </w:r>
      <w:r w:rsidRPr="00161FEE">
        <w:rPr>
          <w:rFonts w:ascii="Times New Roman" w:hAnsi="Times New Roman"/>
          <w:sz w:val="24"/>
          <w:szCs w:val="24"/>
        </w:rPr>
        <w:t xml:space="preserve"> to quantify emissions reductions and energy savings from energy efficiency activities undertaken as part of a commercial building</w:t>
      </w:r>
      <w:r w:rsidR="008A586D" w:rsidRPr="00161FEE">
        <w:rPr>
          <w:rFonts w:ascii="Times New Roman" w:hAnsi="Times New Roman"/>
          <w:sz w:val="24"/>
          <w:szCs w:val="24"/>
        </w:rPr>
        <w:t>s</w:t>
      </w:r>
      <w:r w:rsidRPr="00161FEE">
        <w:rPr>
          <w:rFonts w:ascii="Times New Roman" w:hAnsi="Times New Roman"/>
          <w:sz w:val="24"/>
          <w:szCs w:val="24"/>
        </w:rPr>
        <w:t xml:space="preserve"> ERF project. </w:t>
      </w:r>
      <w:r w:rsidR="00857507" w:rsidRPr="00161FEE">
        <w:rPr>
          <w:rFonts w:ascii="Times New Roman" w:hAnsi="Times New Roman"/>
          <w:sz w:val="24"/>
          <w:szCs w:val="24"/>
        </w:rPr>
        <w:t>The Determination calculates emissions reductions associated with upgrades to these</w:t>
      </w:r>
      <w:r w:rsidR="001D4335">
        <w:rPr>
          <w:rFonts w:ascii="Times New Roman" w:hAnsi="Times New Roman"/>
          <w:sz w:val="24"/>
          <w:szCs w:val="24"/>
        </w:rPr>
        <w:t xml:space="preserve"> three</w:t>
      </w:r>
      <w:r w:rsidR="00857507" w:rsidRPr="00161FEE">
        <w:rPr>
          <w:rFonts w:ascii="Times New Roman" w:hAnsi="Times New Roman"/>
          <w:sz w:val="24"/>
          <w:szCs w:val="24"/>
        </w:rPr>
        <w:t xml:space="preserve"> types of buildings</w:t>
      </w:r>
      <w:r w:rsidR="008A586D" w:rsidRPr="00161FEE">
        <w:rPr>
          <w:rFonts w:ascii="Times New Roman" w:hAnsi="Times New Roman"/>
          <w:sz w:val="24"/>
          <w:szCs w:val="24"/>
        </w:rPr>
        <w:t xml:space="preserve">. </w:t>
      </w:r>
    </w:p>
    <w:p w:rsidR="00AE13A5" w:rsidRPr="00161FEE" w:rsidRDefault="00AE13A5" w:rsidP="00AE13A5">
      <w:pPr>
        <w:spacing w:after="120" w:line="240" w:lineRule="auto"/>
        <w:rPr>
          <w:rFonts w:ascii="Times New Roman" w:hAnsi="Times New Roman"/>
          <w:sz w:val="24"/>
          <w:szCs w:val="24"/>
        </w:rPr>
      </w:pPr>
      <w:r w:rsidRPr="00161FEE">
        <w:rPr>
          <w:rFonts w:ascii="Times New Roman" w:hAnsi="Times New Roman"/>
          <w:sz w:val="24"/>
          <w:szCs w:val="24"/>
        </w:rPr>
        <w:t xml:space="preserve">The Determination provides </w:t>
      </w:r>
      <w:r w:rsidR="00513EB5" w:rsidRPr="00161FEE">
        <w:rPr>
          <w:rFonts w:ascii="Times New Roman" w:hAnsi="Times New Roman"/>
          <w:sz w:val="24"/>
          <w:szCs w:val="24"/>
        </w:rPr>
        <w:t xml:space="preserve">for </w:t>
      </w:r>
      <w:r w:rsidR="0032715E" w:rsidRPr="00161FEE">
        <w:rPr>
          <w:rFonts w:ascii="Times New Roman" w:hAnsi="Times New Roman"/>
          <w:sz w:val="24"/>
          <w:szCs w:val="24"/>
        </w:rPr>
        <w:t>m</w:t>
      </w:r>
      <w:r w:rsidRPr="00161FEE">
        <w:rPr>
          <w:rFonts w:ascii="Times New Roman" w:hAnsi="Times New Roman"/>
          <w:sz w:val="24"/>
          <w:szCs w:val="24"/>
        </w:rPr>
        <w:t xml:space="preserve">ultiple buildings </w:t>
      </w:r>
      <w:r w:rsidR="00C54B29" w:rsidRPr="00161FEE">
        <w:rPr>
          <w:rFonts w:ascii="Times New Roman" w:hAnsi="Times New Roman"/>
          <w:sz w:val="24"/>
          <w:szCs w:val="24"/>
        </w:rPr>
        <w:t xml:space="preserve">to be included </w:t>
      </w:r>
      <w:r w:rsidRPr="00161FEE">
        <w:rPr>
          <w:rFonts w:ascii="Times New Roman" w:hAnsi="Times New Roman"/>
          <w:sz w:val="24"/>
          <w:szCs w:val="24"/>
        </w:rPr>
        <w:t xml:space="preserve">in a single </w:t>
      </w:r>
      <w:r w:rsidRPr="00161FEE">
        <w:rPr>
          <w:rFonts w:ascii="Times New Roman" w:hAnsi="Times New Roman"/>
          <w:b/>
          <w:i/>
          <w:sz w:val="24"/>
          <w:szCs w:val="24"/>
        </w:rPr>
        <w:t>commercial buildings project</w:t>
      </w:r>
      <w:r w:rsidRPr="00161FEE">
        <w:rPr>
          <w:rFonts w:ascii="Times New Roman" w:hAnsi="Times New Roman"/>
          <w:sz w:val="24"/>
          <w:szCs w:val="24"/>
        </w:rPr>
        <w:t xml:space="preserve">. The Determination does not specify the </w:t>
      </w:r>
      <w:r w:rsidR="006E38C7" w:rsidRPr="00161FEE">
        <w:rPr>
          <w:rFonts w:ascii="Times New Roman" w:hAnsi="Times New Roman"/>
          <w:sz w:val="24"/>
          <w:szCs w:val="24"/>
        </w:rPr>
        <w:t>particular</w:t>
      </w:r>
      <w:r w:rsidR="003C2874" w:rsidRPr="00161FEE">
        <w:rPr>
          <w:rFonts w:ascii="Times New Roman" w:hAnsi="Times New Roman"/>
          <w:sz w:val="24"/>
          <w:szCs w:val="24"/>
        </w:rPr>
        <w:t xml:space="preserve"> </w:t>
      </w:r>
      <w:r w:rsidRPr="00161FEE">
        <w:rPr>
          <w:rFonts w:ascii="Times New Roman" w:hAnsi="Times New Roman"/>
          <w:sz w:val="24"/>
          <w:szCs w:val="24"/>
        </w:rPr>
        <w:t>activities that should be undertaken</w:t>
      </w:r>
      <w:r w:rsidR="004D66C4" w:rsidRPr="00161FEE">
        <w:rPr>
          <w:rFonts w:ascii="Times New Roman" w:hAnsi="Times New Roman"/>
          <w:sz w:val="24"/>
          <w:szCs w:val="24"/>
        </w:rPr>
        <w:t>, providing flexibility for project proponents to determine what activities are most appropriate for each building</w:t>
      </w:r>
      <w:r w:rsidRPr="00161FEE">
        <w:rPr>
          <w:rFonts w:ascii="Times New Roman" w:hAnsi="Times New Roman"/>
          <w:sz w:val="24"/>
          <w:szCs w:val="24"/>
        </w:rPr>
        <w:t>.</w:t>
      </w:r>
      <w:r w:rsidR="004D66C4" w:rsidRPr="00161FEE">
        <w:rPr>
          <w:rFonts w:ascii="Times New Roman" w:hAnsi="Times New Roman"/>
          <w:sz w:val="24"/>
          <w:szCs w:val="24"/>
        </w:rPr>
        <w:t xml:space="preserve"> </w:t>
      </w:r>
    </w:p>
    <w:p w:rsidR="002F6569" w:rsidRPr="00161FEE" w:rsidRDefault="00F20934" w:rsidP="00BA7534">
      <w:pPr>
        <w:spacing w:after="120" w:line="240" w:lineRule="auto"/>
        <w:rPr>
          <w:rFonts w:ascii="Times New Roman" w:hAnsi="Times New Roman"/>
          <w:sz w:val="24"/>
          <w:szCs w:val="24"/>
        </w:rPr>
      </w:pPr>
      <w:r w:rsidRPr="00161FEE">
        <w:rPr>
          <w:rFonts w:ascii="Times New Roman" w:hAnsi="Times New Roman"/>
          <w:sz w:val="24"/>
          <w:szCs w:val="24"/>
        </w:rPr>
        <w:t xml:space="preserve">Examples of activities that may contribute to </w:t>
      </w:r>
      <w:r w:rsidR="008A0ABF" w:rsidRPr="00161FEE">
        <w:rPr>
          <w:rFonts w:ascii="Times New Roman" w:hAnsi="Times New Roman"/>
          <w:sz w:val="24"/>
          <w:szCs w:val="24"/>
        </w:rPr>
        <w:t>emissions reductions</w:t>
      </w:r>
      <w:r w:rsidRPr="00161FEE">
        <w:rPr>
          <w:rFonts w:ascii="Times New Roman" w:hAnsi="Times New Roman"/>
          <w:sz w:val="24"/>
          <w:szCs w:val="24"/>
        </w:rPr>
        <w:t xml:space="preserve"> under th</w:t>
      </w:r>
      <w:r w:rsidR="008E2B1D" w:rsidRPr="00161FEE">
        <w:rPr>
          <w:rFonts w:ascii="Times New Roman" w:hAnsi="Times New Roman"/>
          <w:sz w:val="24"/>
          <w:szCs w:val="24"/>
        </w:rPr>
        <w:t>e</w:t>
      </w:r>
      <w:r w:rsidRPr="00161FEE">
        <w:rPr>
          <w:rFonts w:ascii="Times New Roman" w:hAnsi="Times New Roman"/>
          <w:sz w:val="24"/>
          <w:szCs w:val="24"/>
        </w:rPr>
        <w:t xml:space="preserve"> </w:t>
      </w:r>
      <w:r w:rsidR="00275041" w:rsidRPr="00161FEE">
        <w:rPr>
          <w:rFonts w:ascii="Times New Roman" w:hAnsi="Times New Roman"/>
          <w:sz w:val="24"/>
          <w:szCs w:val="24"/>
        </w:rPr>
        <w:t>Determination</w:t>
      </w:r>
      <w:r w:rsidRPr="00161FEE">
        <w:rPr>
          <w:rFonts w:ascii="Times New Roman" w:hAnsi="Times New Roman"/>
          <w:sz w:val="24"/>
          <w:szCs w:val="24"/>
        </w:rPr>
        <w:t xml:space="preserve"> include:</w:t>
      </w:r>
    </w:p>
    <w:p w:rsidR="00A93937" w:rsidRPr="00161FEE" w:rsidRDefault="00666C71" w:rsidP="0012238D">
      <w:pPr>
        <w:numPr>
          <w:ilvl w:val="0"/>
          <w:numId w:val="11"/>
        </w:numPr>
        <w:spacing w:after="120" w:line="240" w:lineRule="auto"/>
        <w:rPr>
          <w:rFonts w:ascii="Times New Roman" w:eastAsia="Times New Roman" w:hAnsi="Times New Roman"/>
          <w:sz w:val="24"/>
          <w:szCs w:val="24"/>
        </w:rPr>
      </w:pPr>
      <w:r w:rsidRPr="00161FEE">
        <w:rPr>
          <w:rFonts w:ascii="Times New Roman" w:hAnsi="Times New Roman"/>
          <w:color w:val="000000"/>
          <w:sz w:val="24"/>
          <w:szCs w:val="24"/>
        </w:rPr>
        <w:lastRenderedPageBreak/>
        <w:t>modifying, installing, removing or replacing</w:t>
      </w:r>
      <w:r w:rsidRPr="00161FEE">
        <w:rPr>
          <w:rFonts w:ascii="Times New Roman" w:eastAsia="Times New Roman" w:hAnsi="Times New Roman"/>
          <w:sz w:val="24"/>
          <w:szCs w:val="24"/>
        </w:rPr>
        <w:t xml:space="preserve"> </w:t>
      </w:r>
      <w:r w:rsidR="00A93937" w:rsidRPr="00161FEE">
        <w:rPr>
          <w:rFonts w:ascii="Times New Roman" w:eastAsia="Times New Roman" w:hAnsi="Times New Roman"/>
          <w:sz w:val="24"/>
          <w:szCs w:val="24"/>
        </w:rPr>
        <w:t xml:space="preserve">energy-consuming equipment </w:t>
      </w:r>
      <w:r w:rsidRPr="00161FEE">
        <w:rPr>
          <w:rFonts w:ascii="Times New Roman" w:eastAsia="Times New Roman" w:hAnsi="Times New Roman"/>
          <w:sz w:val="24"/>
          <w:szCs w:val="24"/>
        </w:rPr>
        <w:t xml:space="preserve">or equipment that generates electricity </w:t>
      </w:r>
      <w:r w:rsidR="00A93937" w:rsidRPr="00161FEE">
        <w:rPr>
          <w:rFonts w:ascii="Times New Roman" w:eastAsia="Times New Roman" w:hAnsi="Times New Roman"/>
          <w:sz w:val="24"/>
          <w:szCs w:val="24"/>
        </w:rPr>
        <w:t>in the bu</w:t>
      </w:r>
      <w:r w:rsidR="00F20934" w:rsidRPr="00161FEE">
        <w:rPr>
          <w:rFonts w:ascii="Times New Roman" w:eastAsia="Times New Roman" w:hAnsi="Times New Roman"/>
          <w:sz w:val="24"/>
          <w:szCs w:val="24"/>
        </w:rPr>
        <w:t>ilding, such as:</w:t>
      </w:r>
    </w:p>
    <w:p w:rsidR="00A93937" w:rsidRPr="00161FEE" w:rsidRDefault="001F3972" w:rsidP="00A93937">
      <w:pPr>
        <w:numPr>
          <w:ilvl w:val="1"/>
          <w:numId w:val="28"/>
        </w:numPr>
        <w:spacing w:after="120" w:line="240" w:lineRule="auto"/>
        <w:rPr>
          <w:rFonts w:ascii="Times New Roman" w:eastAsia="Times New Roman" w:hAnsi="Times New Roman"/>
          <w:sz w:val="24"/>
          <w:szCs w:val="24"/>
        </w:rPr>
      </w:pPr>
      <w:r w:rsidRPr="00161FEE">
        <w:rPr>
          <w:rFonts w:ascii="Times New Roman" w:eastAsia="Times New Roman" w:hAnsi="Times New Roman"/>
          <w:sz w:val="24"/>
          <w:szCs w:val="24"/>
        </w:rPr>
        <w:t xml:space="preserve">upgrading </w:t>
      </w:r>
      <w:r w:rsidR="00E85F1D" w:rsidRPr="00161FEE">
        <w:rPr>
          <w:rFonts w:ascii="Times New Roman" w:eastAsia="Times New Roman" w:hAnsi="Times New Roman"/>
          <w:sz w:val="24"/>
          <w:szCs w:val="24"/>
        </w:rPr>
        <w:t>l</w:t>
      </w:r>
      <w:r w:rsidR="00A93937" w:rsidRPr="00161FEE">
        <w:rPr>
          <w:rFonts w:ascii="Times New Roman" w:eastAsia="Times New Roman" w:hAnsi="Times New Roman"/>
          <w:sz w:val="24"/>
          <w:szCs w:val="24"/>
        </w:rPr>
        <w:t>ighting system</w:t>
      </w:r>
      <w:r w:rsidRPr="00161FEE">
        <w:rPr>
          <w:rFonts w:ascii="Times New Roman" w:eastAsia="Times New Roman" w:hAnsi="Times New Roman"/>
          <w:sz w:val="24"/>
          <w:szCs w:val="24"/>
        </w:rPr>
        <w:t>s</w:t>
      </w:r>
      <w:r w:rsidR="00F20934" w:rsidRPr="00161FEE">
        <w:rPr>
          <w:rFonts w:ascii="Times New Roman" w:eastAsia="Times New Roman" w:hAnsi="Times New Roman"/>
          <w:sz w:val="24"/>
          <w:szCs w:val="24"/>
        </w:rPr>
        <w:t>;</w:t>
      </w:r>
    </w:p>
    <w:p w:rsidR="00A93937" w:rsidRPr="00161FEE" w:rsidRDefault="00E85F1D" w:rsidP="00A93937">
      <w:pPr>
        <w:numPr>
          <w:ilvl w:val="1"/>
          <w:numId w:val="28"/>
        </w:numPr>
        <w:spacing w:after="120" w:line="240" w:lineRule="auto"/>
        <w:rPr>
          <w:rFonts w:ascii="Times New Roman" w:eastAsia="Times New Roman" w:hAnsi="Times New Roman"/>
          <w:sz w:val="24"/>
          <w:szCs w:val="24"/>
        </w:rPr>
      </w:pPr>
      <w:r w:rsidRPr="00161FEE">
        <w:rPr>
          <w:rFonts w:ascii="Times New Roman" w:eastAsia="Times New Roman" w:hAnsi="Times New Roman"/>
          <w:sz w:val="24"/>
          <w:szCs w:val="24"/>
        </w:rPr>
        <w:t>r</w:t>
      </w:r>
      <w:r w:rsidR="00A93937" w:rsidRPr="00161FEE">
        <w:rPr>
          <w:rFonts w:ascii="Times New Roman" w:eastAsia="Times New Roman" w:hAnsi="Times New Roman"/>
          <w:sz w:val="24"/>
          <w:szCs w:val="24"/>
        </w:rPr>
        <w:t>eplacing heating, ventilation and air conditioning systems with more efficient technologies and designs</w:t>
      </w:r>
      <w:r w:rsidR="00F20934" w:rsidRPr="00161FEE">
        <w:rPr>
          <w:rFonts w:ascii="Times New Roman" w:eastAsia="Times New Roman" w:hAnsi="Times New Roman"/>
          <w:sz w:val="24"/>
          <w:szCs w:val="24"/>
        </w:rPr>
        <w:t>;</w:t>
      </w:r>
    </w:p>
    <w:p w:rsidR="00A93937" w:rsidRPr="00161FEE" w:rsidRDefault="00E85F1D" w:rsidP="00A93937">
      <w:pPr>
        <w:numPr>
          <w:ilvl w:val="1"/>
          <w:numId w:val="28"/>
        </w:numPr>
        <w:spacing w:after="120" w:line="240" w:lineRule="auto"/>
        <w:rPr>
          <w:rFonts w:ascii="Times New Roman" w:eastAsia="Times New Roman" w:hAnsi="Times New Roman"/>
          <w:sz w:val="24"/>
          <w:szCs w:val="24"/>
        </w:rPr>
      </w:pPr>
      <w:r w:rsidRPr="00161FEE">
        <w:rPr>
          <w:rFonts w:ascii="Times New Roman" w:eastAsia="Times New Roman" w:hAnsi="Times New Roman"/>
          <w:sz w:val="24"/>
          <w:szCs w:val="24"/>
        </w:rPr>
        <w:t>u</w:t>
      </w:r>
      <w:r w:rsidR="00A93937" w:rsidRPr="00161FEE">
        <w:rPr>
          <w:rFonts w:ascii="Times New Roman" w:eastAsia="Times New Roman" w:hAnsi="Times New Roman"/>
          <w:sz w:val="24"/>
          <w:szCs w:val="24"/>
        </w:rPr>
        <w:t>pgrading boilers to more efficient,</w:t>
      </w:r>
      <w:r w:rsidR="002E0E94" w:rsidRPr="00161FEE">
        <w:rPr>
          <w:rFonts w:ascii="Times New Roman" w:eastAsia="Times New Roman" w:hAnsi="Times New Roman"/>
          <w:sz w:val="24"/>
          <w:szCs w:val="24"/>
        </w:rPr>
        <w:t xml:space="preserve"> </w:t>
      </w:r>
      <w:r w:rsidR="00A93937" w:rsidRPr="00161FEE">
        <w:rPr>
          <w:rFonts w:ascii="Times New Roman" w:eastAsia="Times New Roman" w:hAnsi="Times New Roman"/>
          <w:sz w:val="24"/>
          <w:szCs w:val="24"/>
        </w:rPr>
        <w:t>better controlled designs</w:t>
      </w:r>
      <w:r w:rsidR="00F20934" w:rsidRPr="00161FEE">
        <w:rPr>
          <w:rFonts w:ascii="Times New Roman" w:eastAsia="Times New Roman" w:hAnsi="Times New Roman"/>
          <w:sz w:val="24"/>
          <w:szCs w:val="24"/>
        </w:rPr>
        <w:t xml:space="preserve">; </w:t>
      </w:r>
    </w:p>
    <w:p w:rsidR="00A93937" w:rsidRPr="00161FEE" w:rsidRDefault="00C26316" w:rsidP="00A93937">
      <w:pPr>
        <w:numPr>
          <w:ilvl w:val="1"/>
          <w:numId w:val="28"/>
        </w:numPr>
        <w:spacing w:after="120" w:line="240" w:lineRule="auto"/>
        <w:rPr>
          <w:rFonts w:ascii="Times New Roman" w:eastAsia="Times New Roman" w:hAnsi="Times New Roman"/>
          <w:sz w:val="24"/>
          <w:szCs w:val="24"/>
        </w:rPr>
      </w:pPr>
      <w:r w:rsidRPr="00161FEE">
        <w:rPr>
          <w:rFonts w:ascii="Times New Roman" w:eastAsia="Times New Roman" w:hAnsi="Times New Roman"/>
          <w:sz w:val="24"/>
          <w:szCs w:val="24"/>
        </w:rPr>
        <w:t xml:space="preserve">installing </w:t>
      </w:r>
      <w:r w:rsidR="00345562" w:rsidRPr="00161FEE">
        <w:rPr>
          <w:rFonts w:ascii="Times New Roman" w:eastAsia="Times New Roman" w:hAnsi="Times New Roman"/>
          <w:sz w:val="24"/>
          <w:szCs w:val="24"/>
        </w:rPr>
        <w:t xml:space="preserve">a </w:t>
      </w:r>
      <w:r w:rsidRPr="00161FEE">
        <w:rPr>
          <w:rFonts w:ascii="Times New Roman" w:eastAsia="Times New Roman" w:hAnsi="Times New Roman"/>
          <w:sz w:val="24"/>
          <w:szCs w:val="24"/>
        </w:rPr>
        <w:t>co-generation unit</w:t>
      </w:r>
      <w:r w:rsidR="00E85F1D" w:rsidRPr="00161FEE">
        <w:rPr>
          <w:rFonts w:ascii="Times New Roman" w:eastAsia="Times New Roman" w:hAnsi="Times New Roman"/>
          <w:sz w:val="24"/>
          <w:szCs w:val="24"/>
        </w:rPr>
        <w:t>;</w:t>
      </w:r>
      <w:r w:rsidRPr="00161FEE">
        <w:rPr>
          <w:rFonts w:ascii="Times New Roman" w:eastAsia="Times New Roman" w:hAnsi="Times New Roman"/>
          <w:sz w:val="24"/>
          <w:szCs w:val="24"/>
        </w:rPr>
        <w:t xml:space="preserve"> </w:t>
      </w:r>
    </w:p>
    <w:p w:rsidR="00A93937" w:rsidRPr="00161FEE" w:rsidRDefault="00E85F1D" w:rsidP="00A93937">
      <w:pPr>
        <w:numPr>
          <w:ilvl w:val="0"/>
          <w:numId w:val="28"/>
        </w:numPr>
        <w:spacing w:after="120" w:line="240" w:lineRule="auto"/>
        <w:rPr>
          <w:rFonts w:ascii="Times New Roman" w:eastAsia="Times New Roman" w:hAnsi="Times New Roman"/>
          <w:sz w:val="24"/>
          <w:szCs w:val="24"/>
        </w:rPr>
      </w:pPr>
      <w:r w:rsidRPr="00161FEE">
        <w:rPr>
          <w:rFonts w:ascii="Times New Roman" w:eastAsia="Times New Roman" w:hAnsi="Times New Roman"/>
          <w:sz w:val="24"/>
          <w:szCs w:val="24"/>
        </w:rPr>
        <w:t>m</w:t>
      </w:r>
      <w:r w:rsidR="00A93937" w:rsidRPr="00161FEE">
        <w:rPr>
          <w:rFonts w:ascii="Times New Roman" w:eastAsia="Times New Roman" w:hAnsi="Times New Roman"/>
          <w:sz w:val="24"/>
          <w:szCs w:val="24"/>
        </w:rPr>
        <w:t>aking changes to the building shell to reduce the ener</w:t>
      </w:r>
      <w:r w:rsidR="00F20934" w:rsidRPr="00161FEE">
        <w:rPr>
          <w:rFonts w:ascii="Times New Roman" w:eastAsia="Times New Roman" w:hAnsi="Times New Roman"/>
          <w:sz w:val="24"/>
          <w:szCs w:val="24"/>
        </w:rPr>
        <w:t>gy requirements of the building, such as;</w:t>
      </w:r>
    </w:p>
    <w:p w:rsidR="00A93937" w:rsidRPr="00161FEE" w:rsidRDefault="00E85F1D" w:rsidP="00A93937">
      <w:pPr>
        <w:numPr>
          <w:ilvl w:val="1"/>
          <w:numId w:val="28"/>
        </w:numPr>
        <w:spacing w:after="120" w:line="240" w:lineRule="auto"/>
        <w:rPr>
          <w:rFonts w:ascii="Times New Roman" w:eastAsia="Times New Roman" w:hAnsi="Times New Roman"/>
          <w:sz w:val="24"/>
          <w:szCs w:val="24"/>
        </w:rPr>
      </w:pPr>
      <w:r w:rsidRPr="00161FEE">
        <w:rPr>
          <w:rFonts w:ascii="Times New Roman" w:eastAsia="Times New Roman" w:hAnsi="Times New Roman"/>
          <w:sz w:val="24"/>
          <w:szCs w:val="24"/>
        </w:rPr>
        <w:t>i</w:t>
      </w:r>
      <w:r w:rsidR="00A93937" w:rsidRPr="00161FEE">
        <w:rPr>
          <w:rFonts w:ascii="Times New Roman" w:eastAsia="Times New Roman" w:hAnsi="Times New Roman"/>
          <w:sz w:val="24"/>
          <w:szCs w:val="24"/>
        </w:rPr>
        <w:t>mproving the insulation value of glazing, for example by installing secondary glazing</w:t>
      </w:r>
      <w:r w:rsidR="00F20934" w:rsidRPr="00161FEE">
        <w:rPr>
          <w:rFonts w:ascii="Times New Roman" w:eastAsia="Times New Roman" w:hAnsi="Times New Roman"/>
          <w:sz w:val="24"/>
          <w:szCs w:val="24"/>
        </w:rPr>
        <w:t xml:space="preserve">; </w:t>
      </w:r>
    </w:p>
    <w:p w:rsidR="00A93937" w:rsidRPr="00161FEE" w:rsidRDefault="00E85F1D" w:rsidP="00A93937">
      <w:pPr>
        <w:numPr>
          <w:ilvl w:val="1"/>
          <w:numId w:val="28"/>
        </w:numPr>
        <w:spacing w:after="120" w:line="240" w:lineRule="auto"/>
        <w:rPr>
          <w:rFonts w:ascii="Times New Roman" w:eastAsia="Times New Roman" w:hAnsi="Times New Roman"/>
          <w:sz w:val="24"/>
          <w:szCs w:val="24"/>
        </w:rPr>
      </w:pPr>
      <w:r w:rsidRPr="00161FEE">
        <w:rPr>
          <w:rFonts w:ascii="Times New Roman" w:eastAsia="Times New Roman" w:hAnsi="Times New Roman"/>
          <w:sz w:val="24"/>
          <w:szCs w:val="24"/>
        </w:rPr>
        <w:t>i</w:t>
      </w:r>
      <w:r w:rsidR="00A93937" w:rsidRPr="00161FEE">
        <w:rPr>
          <w:rFonts w:ascii="Times New Roman" w:eastAsia="Times New Roman" w:hAnsi="Times New Roman"/>
          <w:sz w:val="24"/>
          <w:szCs w:val="24"/>
        </w:rPr>
        <w:t>nstalling additional insulation in walls, ceilings or under floors</w:t>
      </w:r>
      <w:r w:rsidRPr="00161FEE">
        <w:rPr>
          <w:rFonts w:ascii="Times New Roman" w:eastAsia="Times New Roman" w:hAnsi="Times New Roman"/>
          <w:sz w:val="24"/>
          <w:szCs w:val="24"/>
        </w:rPr>
        <w:t>;</w:t>
      </w:r>
    </w:p>
    <w:p w:rsidR="00691AAB" w:rsidRPr="00161FEE" w:rsidRDefault="00691AAB" w:rsidP="00A93937">
      <w:pPr>
        <w:numPr>
          <w:ilvl w:val="0"/>
          <w:numId w:val="28"/>
        </w:numPr>
        <w:spacing w:after="120" w:line="240" w:lineRule="auto"/>
        <w:rPr>
          <w:rFonts w:ascii="Times New Roman" w:eastAsia="Times New Roman" w:hAnsi="Times New Roman"/>
          <w:sz w:val="24"/>
          <w:szCs w:val="24"/>
        </w:rPr>
      </w:pPr>
      <w:r w:rsidRPr="00161FEE">
        <w:rPr>
          <w:rFonts w:ascii="Times New Roman" w:eastAsia="Times New Roman" w:hAnsi="Times New Roman"/>
          <w:sz w:val="24"/>
          <w:szCs w:val="24"/>
        </w:rPr>
        <w:t>changing how energy-consuming equipment is controlled or operated, such as:</w:t>
      </w:r>
    </w:p>
    <w:p w:rsidR="003367D2" w:rsidRPr="00161FEE" w:rsidRDefault="00691AAB" w:rsidP="003367D2">
      <w:pPr>
        <w:numPr>
          <w:ilvl w:val="1"/>
          <w:numId w:val="28"/>
        </w:numPr>
        <w:spacing w:after="120" w:line="240" w:lineRule="auto"/>
        <w:rPr>
          <w:rFonts w:ascii="Times New Roman" w:eastAsia="Times New Roman" w:hAnsi="Times New Roman"/>
          <w:sz w:val="24"/>
          <w:szCs w:val="24"/>
        </w:rPr>
      </w:pPr>
      <w:r w:rsidRPr="00161FEE">
        <w:rPr>
          <w:rFonts w:ascii="Times New Roman" w:eastAsia="Times New Roman" w:hAnsi="Times New Roman"/>
          <w:sz w:val="24"/>
          <w:szCs w:val="24"/>
        </w:rPr>
        <w:t xml:space="preserve">installing motion sensors or sensor lights; </w:t>
      </w:r>
    </w:p>
    <w:p w:rsidR="003367D2" w:rsidRPr="00161FEE" w:rsidRDefault="003367D2" w:rsidP="003367D2">
      <w:pPr>
        <w:numPr>
          <w:ilvl w:val="1"/>
          <w:numId w:val="28"/>
        </w:numPr>
        <w:spacing w:after="120" w:line="240" w:lineRule="auto"/>
        <w:rPr>
          <w:rFonts w:ascii="Times New Roman" w:eastAsia="Times New Roman" w:hAnsi="Times New Roman"/>
          <w:sz w:val="24"/>
          <w:szCs w:val="24"/>
        </w:rPr>
      </w:pPr>
      <w:r w:rsidRPr="00161FEE">
        <w:rPr>
          <w:rFonts w:ascii="Times New Roman" w:eastAsia="Times New Roman" w:hAnsi="Times New Roman"/>
          <w:sz w:val="24"/>
          <w:szCs w:val="24"/>
        </w:rPr>
        <w:t xml:space="preserve">adopting improved building energy management systems that automatically manage energy consumption; </w:t>
      </w:r>
    </w:p>
    <w:p w:rsidR="003367D2" w:rsidRPr="00161FEE" w:rsidRDefault="003367D2" w:rsidP="00364F70">
      <w:pPr>
        <w:numPr>
          <w:ilvl w:val="0"/>
          <w:numId w:val="28"/>
        </w:numPr>
        <w:spacing w:after="120" w:line="240" w:lineRule="auto"/>
        <w:rPr>
          <w:rFonts w:ascii="Times New Roman" w:eastAsia="Times New Roman" w:hAnsi="Times New Roman"/>
          <w:sz w:val="24"/>
          <w:szCs w:val="24"/>
        </w:rPr>
      </w:pPr>
      <w:r w:rsidRPr="00161FEE">
        <w:rPr>
          <w:rFonts w:ascii="Times New Roman" w:eastAsia="Times New Roman" w:hAnsi="Times New Roman"/>
          <w:sz w:val="24"/>
          <w:szCs w:val="24"/>
        </w:rPr>
        <w:t>changing the energy sources used by equipment</w:t>
      </w:r>
      <w:r w:rsidR="00364F70" w:rsidRPr="00161FEE">
        <w:rPr>
          <w:rFonts w:ascii="Times New Roman" w:eastAsia="Times New Roman" w:hAnsi="Times New Roman"/>
          <w:sz w:val="24"/>
          <w:szCs w:val="24"/>
        </w:rPr>
        <w:t>, such as</w:t>
      </w:r>
    </w:p>
    <w:p w:rsidR="003367D2" w:rsidRPr="00161FEE" w:rsidRDefault="003367D2" w:rsidP="003367D2">
      <w:pPr>
        <w:numPr>
          <w:ilvl w:val="1"/>
          <w:numId w:val="28"/>
        </w:numPr>
        <w:spacing w:after="120" w:line="240" w:lineRule="auto"/>
        <w:rPr>
          <w:rFonts w:ascii="Times New Roman" w:eastAsia="Times New Roman" w:hAnsi="Times New Roman"/>
          <w:sz w:val="24"/>
          <w:szCs w:val="24"/>
        </w:rPr>
      </w:pPr>
      <w:r w:rsidRPr="00161FEE">
        <w:rPr>
          <w:rFonts w:ascii="Times New Roman" w:eastAsia="Times New Roman" w:hAnsi="Times New Roman"/>
          <w:sz w:val="24"/>
          <w:szCs w:val="24"/>
        </w:rPr>
        <w:t>fuel switching from diesel to natural gas</w:t>
      </w:r>
      <w:r w:rsidR="00F15504" w:rsidRPr="00161FEE">
        <w:rPr>
          <w:rFonts w:ascii="Times New Roman" w:eastAsia="Times New Roman" w:hAnsi="Times New Roman"/>
          <w:sz w:val="24"/>
          <w:szCs w:val="24"/>
        </w:rPr>
        <w:t>;</w:t>
      </w:r>
      <w:r w:rsidR="002E0E94" w:rsidRPr="00161FEE">
        <w:rPr>
          <w:rFonts w:ascii="Times New Roman" w:eastAsia="Times New Roman" w:hAnsi="Times New Roman"/>
          <w:sz w:val="24"/>
          <w:szCs w:val="24"/>
        </w:rPr>
        <w:t xml:space="preserve"> </w:t>
      </w:r>
      <w:r w:rsidR="006E38C7" w:rsidRPr="00161FEE">
        <w:rPr>
          <w:rFonts w:ascii="Times New Roman" w:eastAsia="Times New Roman" w:hAnsi="Times New Roman"/>
          <w:sz w:val="24"/>
          <w:szCs w:val="24"/>
        </w:rPr>
        <w:t>and</w:t>
      </w:r>
    </w:p>
    <w:p w:rsidR="00F5668D" w:rsidRPr="00161FEE" w:rsidRDefault="00595DD5" w:rsidP="002E0E94">
      <w:pPr>
        <w:numPr>
          <w:ilvl w:val="0"/>
          <w:numId w:val="28"/>
        </w:numPr>
        <w:spacing w:after="120" w:line="240" w:lineRule="auto"/>
        <w:rPr>
          <w:rFonts w:ascii="Times New Roman" w:eastAsia="Times New Roman" w:hAnsi="Times New Roman"/>
          <w:sz w:val="24"/>
          <w:szCs w:val="24"/>
        </w:rPr>
      </w:pPr>
      <w:r w:rsidRPr="00161FEE">
        <w:rPr>
          <w:rFonts w:ascii="Times New Roman" w:eastAsia="Times New Roman" w:hAnsi="Times New Roman"/>
          <w:sz w:val="24"/>
          <w:szCs w:val="24"/>
        </w:rPr>
        <w:t>promoting energy-conserving behaviours to building occupants</w:t>
      </w:r>
      <w:r w:rsidR="00364F70" w:rsidRPr="00161FEE">
        <w:rPr>
          <w:rFonts w:ascii="Times New Roman" w:eastAsia="Times New Roman" w:hAnsi="Times New Roman"/>
          <w:sz w:val="24"/>
          <w:szCs w:val="24"/>
        </w:rPr>
        <w:t xml:space="preserve">. </w:t>
      </w:r>
    </w:p>
    <w:p w:rsidR="00AF668E" w:rsidRPr="00161FEE" w:rsidRDefault="00AF668E" w:rsidP="00285C5A">
      <w:pPr>
        <w:spacing w:after="120" w:line="240" w:lineRule="auto"/>
        <w:rPr>
          <w:rFonts w:ascii="Times New Roman" w:hAnsi="Times New Roman"/>
          <w:sz w:val="24"/>
          <w:szCs w:val="24"/>
        </w:rPr>
      </w:pPr>
      <w:r w:rsidRPr="00161FEE">
        <w:rPr>
          <w:rFonts w:ascii="Times New Roman" w:eastAsia="Times New Roman" w:hAnsi="Times New Roman"/>
          <w:sz w:val="24"/>
          <w:szCs w:val="24"/>
        </w:rPr>
        <w:t>Project proponents could include owners, operators or tenants of commercia</w:t>
      </w:r>
      <w:r w:rsidRPr="00161FEE">
        <w:rPr>
          <w:rFonts w:ascii="Times New Roman" w:hAnsi="Times New Roman"/>
          <w:sz w:val="24"/>
          <w:szCs w:val="24"/>
        </w:rPr>
        <w:t xml:space="preserve">l building types covered by NABERS energy ratings or commercial buildings project aggregators. </w:t>
      </w:r>
    </w:p>
    <w:p w:rsidR="00C31A9B" w:rsidRPr="00161FEE" w:rsidRDefault="001208CA" w:rsidP="00285C5A">
      <w:pPr>
        <w:spacing w:after="120" w:line="240" w:lineRule="auto"/>
        <w:rPr>
          <w:rFonts w:ascii="Times New Roman" w:hAnsi="Times New Roman"/>
          <w:sz w:val="24"/>
          <w:szCs w:val="24"/>
        </w:rPr>
      </w:pPr>
      <w:r w:rsidRPr="00161FEE">
        <w:rPr>
          <w:rFonts w:ascii="Times New Roman" w:hAnsi="Times New Roman"/>
          <w:sz w:val="24"/>
          <w:szCs w:val="24"/>
        </w:rPr>
        <w:t>The</w:t>
      </w:r>
      <w:r w:rsidR="007574F1" w:rsidRPr="00161FEE">
        <w:rPr>
          <w:rFonts w:ascii="Times New Roman" w:hAnsi="Times New Roman"/>
          <w:sz w:val="24"/>
          <w:szCs w:val="24"/>
        </w:rPr>
        <w:t xml:space="preserve"> Determination </w:t>
      </w:r>
      <w:r w:rsidR="00E53FB3" w:rsidRPr="00161FEE">
        <w:rPr>
          <w:rFonts w:ascii="Times New Roman" w:hAnsi="Times New Roman"/>
          <w:sz w:val="24"/>
          <w:szCs w:val="24"/>
        </w:rPr>
        <w:t>is based on</w:t>
      </w:r>
      <w:r w:rsidR="00A01F91" w:rsidRPr="00161FEE">
        <w:rPr>
          <w:rFonts w:ascii="Times New Roman" w:hAnsi="Times New Roman"/>
          <w:sz w:val="24"/>
          <w:szCs w:val="24"/>
        </w:rPr>
        <w:t xml:space="preserve"> a similar </w:t>
      </w:r>
      <w:r w:rsidR="00FF3932" w:rsidRPr="00161FEE">
        <w:rPr>
          <w:rFonts w:ascii="Times New Roman" w:hAnsi="Times New Roman"/>
          <w:sz w:val="24"/>
          <w:szCs w:val="24"/>
        </w:rPr>
        <w:t xml:space="preserve">method </w:t>
      </w:r>
      <w:r w:rsidR="00A01F91" w:rsidRPr="00161FEE">
        <w:rPr>
          <w:rFonts w:ascii="Times New Roman" w:hAnsi="Times New Roman"/>
          <w:sz w:val="24"/>
          <w:szCs w:val="24"/>
        </w:rPr>
        <w:t>under the New South Wales Energy Savings Scheme</w:t>
      </w:r>
      <w:r w:rsidR="0015407C" w:rsidRPr="00161FEE">
        <w:rPr>
          <w:rStyle w:val="FootnoteReference"/>
          <w:rFonts w:ascii="Times New Roman" w:hAnsi="Times New Roman"/>
          <w:sz w:val="24"/>
          <w:szCs w:val="24"/>
        </w:rPr>
        <w:footnoteReference w:id="1"/>
      </w:r>
      <w:r w:rsidR="00A01F91" w:rsidRPr="00161FEE">
        <w:rPr>
          <w:rFonts w:ascii="Times New Roman" w:hAnsi="Times New Roman"/>
          <w:sz w:val="24"/>
          <w:szCs w:val="24"/>
        </w:rPr>
        <w:t xml:space="preserve">. </w:t>
      </w:r>
      <w:r w:rsidR="00C06F4F" w:rsidRPr="00161FEE">
        <w:rPr>
          <w:rFonts w:ascii="Times New Roman" w:hAnsi="Times New Roman"/>
          <w:sz w:val="24"/>
          <w:szCs w:val="24"/>
        </w:rPr>
        <w:t>In line with advice from stakeholders, the Department has sought to maintain consistency with the New South Wales</w:t>
      </w:r>
      <w:r w:rsidR="00AE13A5" w:rsidRPr="00161FEE">
        <w:rPr>
          <w:rFonts w:ascii="Times New Roman" w:hAnsi="Times New Roman"/>
          <w:sz w:val="24"/>
          <w:szCs w:val="24"/>
        </w:rPr>
        <w:t xml:space="preserve"> method. </w:t>
      </w:r>
      <w:r w:rsidR="00C06F4F" w:rsidRPr="00161FEE">
        <w:rPr>
          <w:rFonts w:ascii="Times New Roman" w:hAnsi="Times New Roman"/>
          <w:sz w:val="24"/>
          <w:szCs w:val="24"/>
        </w:rPr>
        <w:t xml:space="preserve">However, there are a number of differences between the New South Wales method and the Determination due to differences in overall scheme design and coverage. For example, the Determination covers fuels other than electricity because the purpose of the ERF is to reduce emissions from a range of sources, while </w:t>
      </w:r>
      <w:r w:rsidR="006D60E0" w:rsidRPr="00161FEE">
        <w:rPr>
          <w:rFonts w:ascii="Times New Roman" w:hAnsi="Times New Roman"/>
          <w:sz w:val="24"/>
          <w:szCs w:val="24"/>
        </w:rPr>
        <w:t xml:space="preserve">at the time the NABERS method was introduced, </w:t>
      </w:r>
      <w:r w:rsidR="00C06F4F" w:rsidRPr="00161FEE">
        <w:rPr>
          <w:rFonts w:ascii="Times New Roman" w:hAnsi="Times New Roman"/>
          <w:sz w:val="24"/>
          <w:szCs w:val="24"/>
        </w:rPr>
        <w:t xml:space="preserve">the aim of the New South Wales scheme </w:t>
      </w:r>
      <w:r w:rsidR="006D60E0" w:rsidRPr="00161FEE">
        <w:rPr>
          <w:rFonts w:ascii="Times New Roman" w:hAnsi="Times New Roman"/>
          <w:sz w:val="24"/>
          <w:szCs w:val="24"/>
        </w:rPr>
        <w:t xml:space="preserve">was </w:t>
      </w:r>
      <w:r w:rsidR="00C06F4F" w:rsidRPr="00161FEE">
        <w:rPr>
          <w:rFonts w:ascii="Times New Roman" w:hAnsi="Times New Roman"/>
          <w:sz w:val="24"/>
          <w:szCs w:val="24"/>
        </w:rPr>
        <w:t xml:space="preserve">to reduce electricity consumption in the state. </w:t>
      </w:r>
    </w:p>
    <w:p w:rsidR="00031067" w:rsidRPr="00161FEE" w:rsidRDefault="00031067" w:rsidP="00285C5A">
      <w:pPr>
        <w:spacing w:after="120" w:line="240" w:lineRule="auto"/>
        <w:rPr>
          <w:rFonts w:ascii="Times New Roman" w:hAnsi="Times New Roman"/>
          <w:sz w:val="24"/>
          <w:szCs w:val="24"/>
        </w:rPr>
      </w:pPr>
      <w:r w:rsidRPr="00161FEE">
        <w:rPr>
          <w:rFonts w:ascii="Times New Roman" w:hAnsi="Times New Roman"/>
          <w:sz w:val="24"/>
          <w:szCs w:val="24"/>
        </w:rPr>
        <w:t xml:space="preserve">The Determination is also different from the New South Wales method in its minimum abatement requirement. The New South Wales method requires a building to achieve an </w:t>
      </w:r>
      <w:r w:rsidR="00F6091E" w:rsidRPr="00161FEE">
        <w:rPr>
          <w:rFonts w:ascii="Times New Roman" w:hAnsi="Times New Roman"/>
          <w:sz w:val="24"/>
          <w:szCs w:val="24"/>
        </w:rPr>
        <w:t>improvement on</w:t>
      </w:r>
      <w:r w:rsidRPr="00161FEE">
        <w:rPr>
          <w:rFonts w:ascii="Times New Roman" w:hAnsi="Times New Roman"/>
          <w:sz w:val="24"/>
          <w:szCs w:val="24"/>
        </w:rPr>
        <w:t xml:space="preserve"> the baseline </w:t>
      </w:r>
      <w:r w:rsidR="00F6091E" w:rsidRPr="00161FEE">
        <w:rPr>
          <w:rFonts w:ascii="Times New Roman" w:hAnsi="Times New Roman"/>
          <w:sz w:val="24"/>
          <w:szCs w:val="24"/>
        </w:rPr>
        <w:t>rating</w:t>
      </w:r>
      <w:r w:rsidRPr="00161FEE">
        <w:rPr>
          <w:rFonts w:ascii="Times New Roman" w:hAnsi="Times New Roman"/>
          <w:sz w:val="24"/>
          <w:szCs w:val="24"/>
        </w:rPr>
        <w:t xml:space="preserve"> </w:t>
      </w:r>
      <w:r w:rsidR="00F6091E" w:rsidRPr="00161FEE">
        <w:rPr>
          <w:rFonts w:ascii="Times New Roman" w:hAnsi="Times New Roman"/>
          <w:sz w:val="24"/>
          <w:szCs w:val="24"/>
        </w:rPr>
        <w:t>of</w:t>
      </w:r>
      <w:r w:rsidRPr="00161FEE">
        <w:rPr>
          <w:rFonts w:ascii="Times New Roman" w:hAnsi="Times New Roman"/>
          <w:sz w:val="24"/>
          <w:szCs w:val="24"/>
        </w:rPr>
        <w:t xml:space="preserve"> </w:t>
      </w:r>
      <w:r w:rsidR="00E86ABF" w:rsidRPr="00161FEE">
        <w:rPr>
          <w:rFonts w:ascii="Times New Roman" w:hAnsi="Times New Roman"/>
          <w:sz w:val="24"/>
          <w:szCs w:val="24"/>
        </w:rPr>
        <w:t xml:space="preserve">at least </w:t>
      </w:r>
      <w:r w:rsidRPr="00161FEE">
        <w:rPr>
          <w:rFonts w:ascii="Times New Roman" w:hAnsi="Times New Roman"/>
          <w:sz w:val="24"/>
          <w:szCs w:val="24"/>
        </w:rPr>
        <w:t xml:space="preserve">one NABERS star in each </w:t>
      </w:r>
      <w:r w:rsidR="00345562" w:rsidRPr="00161FEE">
        <w:rPr>
          <w:rFonts w:ascii="Times New Roman" w:hAnsi="Times New Roman"/>
          <w:sz w:val="24"/>
          <w:szCs w:val="24"/>
        </w:rPr>
        <w:t>12-month</w:t>
      </w:r>
      <w:r w:rsidR="00345562" w:rsidRPr="00161FEE">
        <w:rPr>
          <w:rFonts w:ascii="Times New Roman" w:hAnsi="Times New Roman"/>
          <w:b/>
          <w:i/>
          <w:sz w:val="24"/>
          <w:szCs w:val="24"/>
        </w:rPr>
        <w:t xml:space="preserve"> NABERS rating period</w:t>
      </w:r>
      <w:r w:rsidRPr="00161FEE">
        <w:rPr>
          <w:rFonts w:ascii="Times New Roman" w:hAnsi="Times New Roman"/>
          <w:sz w:val="24"/>
          <w:szCs w:val="24"/>
        </w:rPr>
        <w:t xml:space="preserve"> in order to be </w:t>
      </w:r>
      <w:r w:rsidR="000F4058" w:rsidRPr="00161FEE">
        <w:rPr>
          <w:rFonts w:ascii="Times New Roman" w:hAnsi="Times New Roman"/>
          <w:sz w:val="24"/>
          <w:szCs w:val="24"/>
        </w:rPr>
        <w:t>credited</w:t>
      </w:r>
      <w:r w:rsidRPr="00161FEE">
        <w:rPr>
          <w:rFonts w:ascii="Times New Roman" w:hAnsi="Times New Roman"/>
          <w:sz w:val="24"/>
          <w:szCs w:val="24"/>
        </w:rPr>
        <w:t xml:space="preserve">. The Determination </w:t>
      </w:r>
      <w:r w:rsidR="006E38C7" w:rsidRPr="00161FEE">
        <w:rPr>
          <w:rFonts w:ascii="Times New Roman" w:hAnsi="Times New Roman"/>
          <w:sz w:val="24"/>
          <w:szCs w:val="24"/>
        </w:rPr>
        <w:t>contains</w:t>
      </w:r>
      <w:r w:rsidR="002D5B8A" w:rsidRPr="00161FEE">
        <w:rPr>
          <w:rFonts w:ascii="Times New Roman" w:hAnsi="Times New Roman"/>
          <w:sz w:val="24"/>
          <w:szCs w:val="24"/>
        </w:rPr>
        <w:t xml:space="preserve"> the same minimum threshold, but only requires it to be </w:t>
      </w:r>
      <w:r w:rsidR="00E86ABF" w:rsidRPr="00161FEE">
        <w:rPr>
          <w:rFonts w:ascii="Times New Roman" w:hAnsi="Times New Roman"/>
          <w:sz w:val="24"/>
          <w:szCs w:val="24"/>
        </w:rPr>
        <w:t>exceeded</w:t>
      </w:r>
      <w:r w:rsidR="002D5B8A" w:rsidRPr="00161FEE">
        <w:rPr>
          <w:rFonts w:ascii="Times New Roman" w:hAnsi="Times New Roman"/>
          <w:sz w:val="24"/>
          <w:szCs w:val="24"/>
        </w:rPr>
        <w:t xml:space="preserve"> in</w:t>
      </w:r>
      <w:r w:rsidRPr="00161FEE">
        <w:rPr>
          <w:rFonts w:ascii="Times New Roman" w:hAnsi="Times New Roman"/>
          <w:sz w:val="24"/>
          <w:szCs w:val="24"/>
        </w:rPr>
        <w:t xml:space="preserve"> one </w:t>
      </w:r>
      <w:r w:rsidR="00800DA3" w:rsidRPr="00161FEE">
        <w:rPr>
          <w:rFonts w:ascii="Times New Roman" w:hAnsi="Times New Roman"/>
          <w:sz w:val="24"/>
          <w:szCs w:val="24"/>
        </w:rPr>
        <w:t>12-month</w:t>
      </w:r>
      <w:r w:rsidRPr="00161FEE">
        <w:rPr>
          <w:rFonts w:ascii="Times New Roman" w:hAnsi="Times New Roman"/>
          <w:sz w:val="24"/>
          <w:szCs w:val="24"/>
        </w:rPr>
        <w:t xml:space="preserve"> period in order </w:t>
      </w:r>
      <w:r w:rsidR="002D5B8A" w:rsidRPr="00161FEE">
        <w:rPr>
          <w:rFonts w:ascii="Times New Roman" w:hAnsi="Times New Roman"/>
          <w:sz w:val="24"/>
          <w:szCs w:val="24"/>
        </w:rPr>
        <w:t>for</w:t>
      </w:r>
      <w:r w:rsidRPr="00161FEE">
        <w:rPr>
          <w:rFonts w:ascii="Times New Roman" w:hAnsi="Times New Roman"/>
          <w:sz w:val="24"/>
          <w:szCs w:val="24"/>
        </w:rPr>
        <w:t xml:space="preserve"> abatement </w:t>
      </w:r>
      <w:r w:rsidR="002D5B8A" w:rsidRPr="00161FEE">
        <w:rPr>
          <w:rFonts w:ascii="Times New Roman" w:hAnsi="Times New Roman"/>
          <w:sz w:val="24"/>
          <w:szCs w:val="24"/>
        </w:rPr>
        <w:t xml:space="preserve">to be credited in </w:t>
      </w:r>
      <w:r w:rsidRPr="00161FEE">
        <w:rPr>
          <w:rFonts w:ascii="Times New Roman" w:hAnsi="Times New Roman"/>
          <w:sz w:val="24"/>
          <w:szCs w:val="24"/>
        </w:rPr>
        <w:t xml:space="preserve">the same and subsequent reporting periods. </w:t>
      </w:r>
    </w:p>
    <w:p w:rsidR="00E826F2" w:rsidRPr="00161FEE" w:rsidRDefault="00C31A9B" w:rsidP="0079525C">
      <w:pPr>
        <w:spacing w:after="120" w:line="240" w:lineRule="auto"/>
        <w:rPr>
          <w:rFonts w:ascii="Times New Roman" w:hAnsi="Times New Roman"/>
          <w:i/>
          <w:sz w:val="24"/>
          <w:szCs w:val="24"/>
        </w:rPr>
      </w:pPr>
      <w:r w:rsidRPr="00161FEE">
        <w:rPr>
          <w:rFonts w:ascii="Times New Roman" w:hAnsi="Times New Roman"/>
          <w:sz w:val="24"/>
          <w:szCs w:val="24"/>
        </w:rPr>
        <w:t xml:space="preserve">Another area of difference from the New South Wales method is that </w:t>
      </w:r>
      <w:r w:rsidR="00AE13A5" w:rsidRPr="00161FEE">
        <w:rPr>
          <w:rFonts w:ascii="Times New Roman" w:hAnsi="Times New Roman"/>
          <w:sz w:val="24"/>
          <w:szCs w:val="24"/>
        </w:rPr>
        <w:t>t</w:t>
      </w:r>
      <w:r w:rsidR="00C06F4F" w:rsidRPr="00161FEE">
        <w:rPr>
          <w:rFonts w:ascii="Times New Roman" w:hAnsi="Times New Roman"/>
          <w:sz w:val="24"/>
          <w:szCs w:val="24"/>
        </w:rPr>
        <w:t xml:space="preserve">he </w:t>
      </w:r>
      <w:r w:rsidR="00AE13A5" w:rsidRPr="00161FEE">
        <w:rPr>
          <w:rFonts w:ascii="Times New Roman" w:hAnsi="Times New Roman"/>
          <w:sz w:val="24"/>
          <w:szCs w:val="24"/>
        </w:rPr>
        <w:t>Determination applies to existing commercial buildings</w:t>
      </w:r>
      <w:r w:rsidR="006E38C7" w:rsidRPr="00161FEE">
        <w:rPr>
          <w:rFonts w:ascii="Times New Roman" w:hAnsi="Times New Roman"/>
          <w:sz w:val="24"/>
          <w:szCs w:val="24"/>
        </w:rPr>
        <w:t xml:space="preserve"> only</w:t>
      </w:r>
      <w:r w:rsidR="00AE13A5" w:rsidRPr="00161FEE">
        <w:rPr>
          <w:rFonts w:ascii="Times New Roman" w:hAnsi="Times New Roman"/>
          <w:sz w:val="24"/>
          <w:szCs w:val="24"/>
        </w:rPr>
        <w:t xml:space="preserve">, whereas the New South Wales method applies to both existing and new commercial buildings. </w:t>
      </w:r>
    </w:p>
    <w:p w:rsidR="0040416A" w:rsidRPr="00161FEE" w:rsidRDefault="0040416A" w:rsidP="006242DE">
      <w:pPr>
        <w:spacing w:after="0" w:line="240" w:lineRule="auto"/>
        <w:rPr>
          <w:rFonts w:ascii="Times New Roman" w:hAnsi="Times New Roman"/>
          <w:sz w:val="24"/>
          <w:szCs w:val="24"/>
        </w:rPr>
      </w:pPr>
      <w:r w:rsidRPr="00161FEE">
        <w:rPr>
          <w:rFonts w:ascii="Times New Roman" w:hAnsi="Times New Roman"/>
          <w:sz w:val="24"/>
          <w:szCs w:val="24"/>
        </w:rPr>
        <w:lastRenderedPageBreak/>
        <w:t>Project proponents wishing to implement projects under the</w:t>
      </w:r>
      <w:r w:rsidR="00D678F8" w:rsidRPr="00161FEE">
        <w:rPr>
          <w:rFonts w:ascii="Times New Roman" w:hAnsi="Times New Roman"/>
          <w:sz w:val="24"/>
          <w:szCs w:val="24"/>
        </w:rPr>
        <w:t xml:space="preserve"> Determination</w:t>
      </w:r>
      <w:r w:rsidR="00E826F2" w:rsidRPr="00161FEE">
        <w:rPr>
          <w:rFonts w:ascii="Times New Roman" w:hAnsi="Times New Roman"/>
          <w:sz w:val="24"/>
          <w:szCs w:val="24"/>
        </w:rPr>
        <w:t xml:space="preserve"> </w:t>
      </w:r>
      <w:r w:rsidRPr="00161FEE">
        <w:rPr>
          <w:rFonts w:ascii="Times New Roman" w:hAnsi="Times New Roman"/>
          <w:sz w:val="24"/>
          <w:szCs w:val="24"/>
        </w:rPr>
        <w:t>must make an application to the Regulator under section 22 of the Act</w:t>
      </w:r>
      <w:r w:rsidR="00BF1E40" w:rsidRPr="00161FEE">
        <w:rPr>
          <w:rFonts w:ascii="Times New Roman" w:hAnsi="Times New Roman"/>
          <w:sz w:val="24"/>
          <w:szCs w:val="24"/>
        </w:rPr>
        <w:t>. They must also</w:t>
      </w:r>
      <w:r w:rsidRPr="00161FEE">
        <w:rPr>
          <w:rFonts w:ascii="Times New Roman" w:hAnsi="Times New Roman"/>
          <w:sz w:val="24"/>
          <w:szCs w:val="24"/>
        </w:rPr>
        <w:t xml:space="preserve"> meet the general eligibility requirements for an offsets project set out in subsection 27(4)</w:t>
      </w:r>
      <w:r w:rsidR="007819E1">
        <w:rPr>
          <w:rFonts w:ascii="Times New Roman" w:hAnsi="Times New Roman"/>
          <w:sz w:val="24"/>
          <w:szCs w:val="24"/>
        </w:rPr>
        <w:t xml:space="preserve"> of the Act</w:t>
      </w:r>
      <w:r w:rsidRPr="00161FEE">
        <w:rPr>
          <w:rFonts w:ascii="Times New Roman" w:hAnsi="Times New Roman"/>
          <w:sz w:val="24"/>
          <w:szCs w:val="24"/>
        </w:rPr>
        <w:t xml:space="preserve">, which include compliance with the </w:t>
      </w:r>
      <w:r w:rsidR="00903C8B" w:rsidRPr="00161FEE">
        <w:rPr>
          <w:rFonts w:ascii="Times New Roman" w:hAnsi="Times New Roman"/>
          <w:sz w:val="24"/>
          <w:szCs w:val="24"/>
        </w:rPr>
        <w:t>requirements</w:t>
      </w:r>
      <w:r w:rsidR="006C430A" w:rsidRPr="00161FEE">
        <w:rPr>
          <w:rFonts w:ascii="Times New Roman" w:hAnsi="Times New Roman"/>
          <w:sz w:val="24"/>
          <w:szCs w:val="24"/>
        </w:rPr>
        <w:t xml:space="preserve"> </w:t>
      </w:r>
      <w:r w:rsidRPr="00161FEE">
        <w:rPr>
          <w:rFonts w:ascii="Times New Roman" w:hAnsi="Times New Roman"/>
          <w:sz w:val="24"/>
          <w:szCs w:val="24"/>
        </w:rPr>
        <w:t>set out in the Determination, and the additionality requirements in subsection 27(4A) of the Act. The additionality requirements are:</w:t>
      </w:r>
    </w:p>
    <w:p w:rsidR="0040416A" w:rsidRPr="00161FEE" w:rsidRDefault="0040416A" w:rsidP="00BC0B4C">
      <w:pPr>
        <w:pStyle w:val="ListParagraph"/>
        <w:numPr>
          <w:ilvl w:val="0"/>
          <w:numId w:val="4"/>
        </w:numPr>
        <w:spacing w:after="120" w:line="240" w:lineRule="auto"/>
        <w:rPr>
          <w:rFonts w:ascii="Times New Roman" w:hAnsi="Times New Roman"/>
          <w:sz w:val="24"/>
          <w:szCs w:val="24"/>
        </w:rPr>
      </w:pPr>
      <w:r w:rsidRPr="00161FEE">
        <w:rPr>
          <w:rFonts w:ascii="Times New Roman" w:hAnsi="Times New Roman"/>
          <w:sz w:val="24"/>
          <w:szCs w:val="24"/>
        </w:rPr>
        <w:t>the newness requirement</w:t>
      </w:r>
      <w:r w:rsidR="006242DE" w:rsidRPr="00161FEE">
        <w:rPr>
          <w:rFonts w:ascii="Times New Roman" w:hAnsi="Times New Roman"/>
          <w:sz w:val="24"/>
          <w:szCs w:val="24"/>
        </w:rPr>
        <w:t xml:space="preserve">; </w:t>
      </w:r>
    </w:p>
    <w:p w:rsidR="0040416A" w:rsidRPr="00161FEE" w:rsidRDefault="0040416A" w:rsidP="00BC0B4C">
      <w:pPr>
        <w:pStyle w:val="ListParagraph"/>
        <w:numPr>
          <w:ilvl w:val="0"/>
          <w:numId w:val="4"/>
        </w:numPr>
        <w:spacing w:after="120" w:line="240" w:lineRule="auto"/>
        <w:rPr>
          <w:rFonts w:ascii="Times New Roman" w:hAnsi="Times New Roman"/>
          <w:sz w:val="24"/>
          <w:szCs w:val="24"/>
        </w:rPr>
      </w:pPr>
      <w:r w:rsidRPr="00161FEE">
        <w:rPr>
          <w:rFonts w:ascii="Times New Roman" w:hAnsi="Times New Roman"/>
          <w:sz w:val="24"/>
          <w:szCs w:val="24"/>
        </w:rPr>
        <w:t>the regulatory additionality requirement</w:t>
      </w:r>
      <w:r w:rsidR="006242DE" w:rsidRPr="00161FEE">
        <w:rPr>
          <w:rFonts w:ascii="Times New Roman" w:hAnsi="Times New Roman"/>
          <w:sz w:val="24"/>
          <w:szCs w:val="24"/>
        </w:rPr>
        <w:t>;</w:t>
      </w:r>
      <w:r w:rsidRPr="00161FEE">
        <w:rPr>
          <w:rFonts w:ascii="Times New Roman" w:hAnsi="Times New Roman"/>
          <w:sz w:val="24"/>
          <w:szCs w:val="24"/>
        </w:rPr>
        <w:t xml:space="preserve"> and</w:t>
      </w:r>
    </w:p>
    <w:p w:rsidR="0040416A" w:rsidRPr="00161FEE" w:rsidRDefault="0040416A" w:rsidP="00BC0B4C">
      <w:pPr>
        <w:pStyle w:val="ListParagraph"/>
        <w:numPr>
          <w:ilvl w:val="0"/>
          <w:numId w:val="4"/>
        </w:numPr>
        <w:spacing w:after="120" w:line="240" w:lineRule="auto"/>
        <w:rPr>
          <w:rFonts w:ascii="Times New Roman" w:hAnsi="Times New Roman"/>
          <w:sz w:val="24"/>
          <w:szCs w:val="24"/>
        </w:rPr>
      </w:pPr>
      <w:r w:rsidRPr="00161FEE">
        <w:rPr>
          <w:rFonts w:ascii="Times New Roman" w:hAnsi="Times New Roman"/>
          <w:sz w:val="24"/>
          <w:szCs w:val="24"/>
        </w:rPr>
        <w:t>the government program</w:t>
      </w:r>
      <w:r w:rsidR="00CD4831">
        <w:rPr>
          <w:rFonts w:ascii="Times New Roman" w:hAnsi="Times New Roman"/>
          <w:sz w:val="24"/>
          <w:szCs w:val="24"/>
        </w:rPr>
        <w:t>me</w:t>
      </w:r>
      <w:r w:rsidRPr="00161FEE">
        <w:rPr>
          <w:rFonts w:ascii="Times New Roman" w:hAnsi="Times New Roman"/>
          <w:sz w:val="24"/>
          <w:szCs w:val="24"/>
        </w:rPr>
        <w:t xml:space="preserve"> requirement.</w:t>
      </w:r>
    </w:p>
    <w:p w:rsidR="008A6175" w:rsidRPr="00161FEE" w:rsidRDefault="0040416A" w:rsidP="00101B59">
      <w:pPr>
        <w:spacing w:after="120" w:line="240" w:lineRule="auto"/>
        <w:rPr>
          <w:rFonts w:ascii="Times New Roman" w:hAnsi="Times New Roman"/>
          <w:sz w:val="24"/>
          <w:szCs w:val="24"/>
        </w:rPr>
      </w:pPr>
      <w:r w:rsidRPr="00161FEE">
        <w:rPr>
          <w:rFonts w:ascii="Times New Roman" w:hAnsi="Times New Roman"/>
          <w:sz w:val="24"/>
          <w:szCs w:val="24"/>
        </w:rPr>
        <w:t xml:space="preserve">Subsection 27(4A) of the Act provides that a methodology determination may specify requirements in lieu of </w:t>
      </w:r>
      <w:r w:rsidR="00CC320D">
        <w:rPr>
          <w:rFonts w:ascii="Times New Roman" w:hAnsi="Times New Roman"/>
          <w:sz w:val="24"/>
          <w:szCs w:val="24"/>
        </w:rPr>
        <w:t>the newness requirement or the government programme requirement</w:t>
      </w:r>
      <w:r w:rsidRPr="00161FEE">
        <w:rPr>
          <w:rFonts w:ascii="Times New Roman" w:hAnsi="Times New Roman"/>
          <w:sz w:val="24"/>
          <w:szCs w:val="24"/>
        </w:rPr>
        <w:t xml:space="preserve">. </w:t>
      </w:r>
      <w:r w:rsidR="006242DE" w:rsidRPr="00161FEE">
        <w:rPr>
          <w:rFonts w:ascii="Times New Roman" w:hAnsi="Times New Roman"/>
          <w:sz w:val="24"/>
          <w:szCs w:val="24"/>
        </w:rPr>
        <w:t>T</w:t>
      </w:r>
      <w:r w:rsidRPr="00161FEE">
        <w:rPr>
          <w:rFonts w:ascii="Times New Roman" w:hAnsi="Times New Roman"/>
          <w:sz w:val="24"/>
          <w:szCs w:val="24"/>
        </w:rPr>
        <w:t xml:space="preserve">he Determination does not specify any requirements in lieu, and so </w:t>
      </w:r>
      <w:r w:rsidR="00CC320D">
        <w:rPr>
          <w:rFonts w:ascii="Times New Roman" w:hAnsi="Times New Roman"/>
          <w:sz w:val="24"/>
          <w:szCs w:val="24"/>
        </w:rPr>
        <w:t>the general</w:t>
      </w:r>
      <w:r w:rsidRPr="00161FEE">
        <w:rPr>
          <w:rFonts w:ascii="Times New Roman" w:hAnsi="Times New Roman"/>
          <w:sz w:val="24"/>
          <w:szCs w:val="24"/>
        </w:rPr>
        <w:t xml:space="preserve"> requirements</w:t>
      </w:r>
      <w:r w:rsidR="00256939" w:rsidRPr="00161FEE">
        <w:rPr>
          <w:rFonts w:ascii="Times New Roman" w:hAnsi="Times New Roman"/>
          <w:sz w:val="24"/>
          <w:szCs w:val="24"/>
        </w:rPr>
        <w:t xml:space="preserve"> </w:t>
      </w:r>
      <w:r w:rsidRPr="00161FEE">
        <w:rPr>
          <w:rFonts w:ascii="Times New Roman" w:hAnsi="Times New Roman"/>
          <w:sz w:val="24"/>
          <w:szCs w:val="24"/>
        </w:rPr>
        <w:t xml:space="preserve">apply to </w:t>
      </w:r>
      <w:r w:rsidR="00634EA3" w:rsidRPr="00161FEE">
        <w:rPr>
          <w:rFonts w:ascii="Times New Roman" w:hAnsi="Times New Roman"/>
          <w:sz w:val="24"/>
          <w:szCs w:val="24"/>
        </w:rPr>
        <w:t xml:space="preserve">eligible </w:t>
      </w:r>
      <w:r w:rsidR="00324156" w:rsidRPr="00161FEE">
        <w:rPr>
          <w:rFonts w:ascii="Times New Roman" w:hAnsi="Times New Roman"/>
          <w:sz w:val="24"/>
          <w:szCs w:val="24"/>
        </w:rPr>
        <w:t>commercial building</w:t>
      </w:r>
      <w:r w:rsidR="009A3E19">
        <w:rPr>
          <w:rFonts w:ascii="Times New Roman" w:hAnsi="Times New Roman"/>
          <w:sz w:val="24"/>
          <w:szCs w:val="24"/>
        </w:rPr>
        <w:t>s</w:t>
      </w:r>
      <w:r w:rsidR="00324156" w:rsidRPr="00161FEE">
        <w:rPr>
          <w:rFonts w:ascii="Times New Roman" w:hAnsi="Times New Roman"/>
          <w:sz w:val="24"/>
          <w:szCs w:val="24"/>
        </w:rPr>
        <w:t xml:space="preserve"> </w:t>
      </w:r>
      <w:r w:rsidRPr="00161FEE">
        <w:rPr>
          <w:rFonts w:ascii="Times New Roman" w:hAnsi="Times New Roman"/>
          <w:sz w:val="24"/>
          <w:szCs w:val="24"/>
        </w:rPr>
        <w:t>projects.</w:t>
      </w:r>
    </w:p>
    <w:p w:rsidR="0001767E" w:rsidRPr="00161FEE" w:rsidRDefault="0001767E" w:rsidP="00D9548E">
      <w:pPr>
        <w:keepNext/>
        <w:spacing w:after="120" w:line="240" w:lineRule="auto"/>
        <w:rPr>
          <w:rFonts w:ascii="Times New Roman" w:hAnsi="Times New Roman"/>
          <w:sz w:val="24"/>
          <w:szCs w:val="24"/>
        </w:rPr>
      </w:pPr>
    </w:p>
    <w:p w:rsidR="0040416A" w:rsidRPr="00161FEE" w:rsidRDefault="0040416A" w:rsidP="00D9548E">
      <w:pPr>
        <w:keepNext/>
        <w:spacing w:after="120" w:line="240" w:lineRule="auto"/>
        <w:rPr>
          <w:rFonts w:ascii="Times New Roman" w:hAnsi="Times New Roman"/>
          <w:b/>
          <w:sz w:val="24"/>
          <w:szCs w:val="24"/>
        </w:rPr>
      </w:pPr>
      <w:r w:rsidRPr="00161FEE">
        <w:rPr>
          <w:rFonts w:ascii="Times New Roman" w:hAnsi="Times New Roman"/>
          <w:b/>
          <w:sz w:val="24"/>
          <w:szCs w:val="24"/>
        </w:rPr>
        <w:t>P</w:t>
      </w:r>
      <w:r w:rsidR="007B50FA" w:rsidRPr="00161FEE">
        <w:rPr>
          <w:rFonts w:ascii="Times New Roman" w:hAnsi="Times New Roman"/>
          <w:b/>
          <w:sz w:val="24"/>
          <w:szCs w:val="24"/>
        </w:rPr>
        <w:t>ublic c</w:t>
      </w:r>
      <w:r w:rsidRPr="00161FEE">
        <w:rPr>
          <w:rFonts w:ascii="Times New Roman" w:hAnsi="Times New Roman"/>
          <w:b/>
          <w:sz w:val="24"/>
          <w:szCs w:val="24"/>
        </w:rPr>
        <w:t>onsultation</w:t>
      </w:r>
    </w:p>
    <w:p w:rsidR="0040416A" w:rsidRPr="00161FEE" w:rsidRDefault="0040416A" w:rsidP="00101B59">
      <w:pPr>
        <w:spacing w:after="120" w:line="240" w:lineRule="auto"/>
        <w:rPr>
          <w:rFonts w:ascii="Times New Roman" w:hAnsi="Times New Roman"/>
          <w:sz w:val="24"/>
          <w:szCs w:val="24"/>
        </w:rPr>
      </w:pPr>
      <w:r w:rsidRPr="00161FEE">
        <w:rPr>
          <w:rFonts w:ascii="Times New Roman" w:hAnsi="Times New Roman"/>
          <w:sz w:val="24"/>
          <w:szCs w:val="24"/>
        </w:rPr>
        <w:t>The</w:t>
      </w:r>
      <w:r w:rsidR="00D678F8" w:rsidRPr="00161FEE">
        <w:rPr>
          <w:rFonts w:ascii="Times New Roman" w:hAnsi="Times New Roman"/>
          <w:sz w:val="24"/>
          <w:szCs w:val="24"/>
        </w:rPr>
        <w:t xml:space="preserve"> Determination</w:t>
      </w:r>
      <w:r w:rsidRPr="00161FEE">
        <w:rPr>
          <w:rFonts w:ascii="Times New Roman" w:hAnsi="Times New Roman"/>
          <w:sz w:val="24"/>
          <w:szCs w:val="24"/>
        </w:rPr>
        <w:t xml:space="preserve"> has been developed by the Department of the Environment in collaboration with a technical w</w:t>
      </w:r>
      <w:r w:rsidR="001A3AC0" w:rsidRPr="00161FEE">
        <w:rPr>
          <w:rFonts w:ascii="Times New Roman" w:hAnsi="Times New Roman"/>
          <w:sz w:val="24"/>
          <w:szCs w:val="24"/>
        </w:rPr>
        <w:t>orking group of experts from</w:t>
      </w:r>
      <w:r w:rsidRPr="00161FEE">
        <w:rPr>
          <w:rFonts w:ascii="Times New Roman" w:hAnsi="Times New Roman"/>
          <w:sz w:val="24"/>
          <w:szCs w:val="24"/>
        </w:rPr>
        <w:t xml:space="preserve"> </w:t>
      </w:r>
      <w:r w:rsidR="00380D46" w:rsidRPr="00161FEE">
        <w:rPr>
          <w:rFonts w:ascii="Times New Roman" w:hAnsi="Times New Roman"/>
          <w:sz w:val="24"/>
          <w:szCs w:val="24"/>
        </w:rPr>
        <w:t xml:space="preserve">the built environment </w:t>
      </w:r>
      <w:r w:rsidR="00BF55DB" w:rsidRPr="00161FEE">
        <w:rPr>
          <w:rFonts w:ascii="Times New Roman" w:hAnsi="Times New Roman"/>
          <w:sz w:val="24"/>
          <w:szCs w:val="24"/>
        </w:rPr>
        <w:t xml:space="preserve">and energy efficiency </w:t>
      </w:r>
      <w:r w:rsidR="00380D46" w:rsidRPr="00161FEE">
        <w:rPr>
          <w:rFonts w:ascii="Times New Roman" w:hAnsi="Times New Roman"/>
          <w:sz w:val="24"/>
          <w:szCs w:val="24"/>
        </w:rPr>
        <w:t>sector</w:t>
      </w:r>
      <w:r w:rsidR="00BF55DB" w:rsidRPr="00161FEE">
        <w:rPr>
          <w:rFonts w:ascii="Times New Roman" w:hAnsi="Times New Roman"/>
          <w:sz w:val="24"/>
          <w:szCs w:val="24"/>
        </w:rPr>
        <w:t>s</w:t>
      </w:r>
      <w:r w:rsidR="00380D46" w:rsidRPr="00161FEE">
        <w:rPr>
          <w:rFonts w:ascii="Times New Roman" w:hAnsi="Times New Roman"/>
          <w:sz w:val="24"/>
          <w:szCs w:val="24"/>
        </w:rPr>
        <w:t xml:space="preserve"> </w:t>
      </w:r>
      <w:r w:rsidRPr="00161FEE">
        <w:rPr>
          <w:rFonts w:ascii="Times New Roman" w:hAnsi="Times New Roman"/>
          <w:sz w:val="24"/>
          <w:szCs w:val="24"/>
        </w:rPr>
        <w:t xml:space="preserve">and the </w:t>
      </w:r>
      <w:r w:rsidR="001C2E82" w:rsidRPr="00161FEE">
        <w:rPr>
          <w:rFonts w:ascii="Times New Roman" w:hAnsi="Times New Roman"/>
          <w:sz w:val="24"/>
          <w:szCs w:val="24"/>
        </w:rPr>
        <w:t>Regulator</w:t>
      </w:r>
      <w:r w:rsidRPr="00161FEE">
        <w:rPr>
          <w:rFonts w:ascii="Times New Roman" w:hAnsi="Times New Roman"/>
          <w:sz w:val="24"/>
          <w:szCs w:val="24"/>
        </w:rPr>
        <w:t xml:space="preserve">. The technical working group </w:t>
      </w:r>
      <w:r w:rsidR="008141BD" w:rsidRPr="00161FEE">
        <w:rPr>
          <w:rFonts w:ascii="Times New Roman" w:hAnsi="Times New Roman"/>
          <w:sz w:val="24"/>
          <w:szCs w:val="24"/>
        </w:rPr>
        <w:t xml:space="preserve">reviewed </w:t>
      </w:r>
      <w:r w:rsidR="00761956" w:rsidRPr="00161FEE">
        <w:rPr>
          <w:rFonts w:ascii="Times New Roman" w:hAnsi="Times New Roman"/>
          <w:sz w:val="24"/>
          <w:szCs w:val="24"/>
        </w:rPr>
        <w:t xml:space="preserve">several </w:t>
      </w:r>
      <w:r w:rsidRPr="00161FEE">
        <w:rPr>
          <w:rFonts w:ascii="Times New Roman" w:hAnsi="Times New Roman"/>
          <w:sz w:val="24"/>
          <w:szCs w:val="24"/>
        </w:rPr>
        <w:t xml:space="preserve">draft versions of this methodology prior to </w:t>
      </w:r>
      <w:r w:rsidR="00E819F3" w:rsidRPr="00161FEE">
        <w:rPr>
          <w:rFonts w:ascii="Times New Roman" w:hAnsi="Times New Roman"/>
          <w:sz w:val="24"/>
          <w:szCs w:val="24"/>
        </w:rPr>
        <w:t xml:space="preserve">the </w:t>
      </w:r>
      <w:r w:rsidRPr="00161FEE">
        <w:rPr>
          <w:rFonts w:ascii="Times New Roman" w:hAnsi="Times New Roman"/>
          <w:sz w:val="24"/>
          <w:szCs w:val="24"/>
        </w:rPr>
        <w:t xml:space="preserve">release of </w:t>
      </w:r>
      <w:r w:rsidR="00FE026A" w:rsidRPr="00161FEE">
        <w:rPr>
          <w:rFonts w:ascii="Times New Roman" w:hAnsi="Times New Roman"/>
          <w:sz w:val="24"/>
          <w:szCs w:val="24"/>
        </w:rPr>
        <w:t>an exposure</w:t>
      </w:r>
      <w:r w:rsidR="00761956" w:rsidRPr="00161FEE">
        <w:rPr>
          <w:rFonts w:ascii="Times New Roman" w:hAnsi="Times New Roman"/>
          <w:sz w:val="24"/>
          <w:szCs w:val="24"/>
        </w:rPr>
        <w:t xml:space="preserve"> </w:t>
      </w:r>
      <w:r w:rsidRPr="00161FEE">
        <w:rPr>
          <w:rFonts w:ascii="Times New Roman" w:hAnsi="Times New Roman"/>
          <w:sz w:val="24"/>
          <w:szCs w:val="24"/>
        </w:rPr>
        <w:t>draft Determination for public consultation.</w:t>
      </w:r>
    </w:p>
    <w:p w:rsidR="0040416A" w:rsidRPr="00161FEE" w:rsidRDefault="0040416A" w:rsidP="00101B59">
      <w:pPr>
        <w:spacing w:after="120" w:line="240" w:lineRule="auto"/>
        <w:rPr>
          <w:rFonts w:ascii="Times New Roman" w:hAnsi="Times New Roman"/>
          <w:sz w:val="24"/>
          <w:szCs w:val="24"/>
        </w:rPr>
      </w:pPr>
      <w:r w:rsidRPr="00161FEE">
        <w:rPr>
          <w:rFonts w:ascii="Times New Roman" w:hAnsi="Times New Roman"/>
          <w:sz w:val="24"/>
          <w:szCs w:val="24"/>
        </w:rPr>
        <w:t xml:space="preserve">The exposure draft of the Determination </w:t>
      </w:r>
      <w:r w:rsidR="00761956" w:rsidRPr="00161FEE">
        <w:rPr>
          <w:rFonts w:ascii="Times New Roman" w:hAnsi="Times New Roman"/>
          <w:sz w:val="24"/>
          <w:szCs w:val="24"/>
        </w:rPr>
        <w:t>was</w:t>
      </w:r>
      <w:r w:rsidRPr="00161FEE">
        <w:rPr>
          <w:rFonts w:ascii="Times New Roman" w:hAnsi="Times New Roman"/>
          <w:sz w:val="24"/>
          <w:szCs w:val="24"/>
        </w:rPr>
        <w:t xml:space="preserve"> published on the Department’s website for public consultation from </w:t>
      </w:r>
      <w:r w:rsidR="00D068DB" w:rsidRPr="00161FEE">
        <w:rPr>
          <w:rFonts w:ascii="Times New Roman" w:hAnsi="Times New Roman"/>
          <w:sz w:val="24"/>
          <w:szCs w:val="24"/>
        </w:rPr>
        <w:t>25</w:t>
      </w:r>
      <w:r w:rsidR="00DF0B44" w:rsidRPr="00161FEE">
        <w:rPr>
          <w:rFonts w:ascii="Times New Roman" w:hAnsi="Times New Roman"/>
          <w:sz w:val="24"/>
          <w:szCs w:val="24"/>
        </w:rPr>
        <w:t xml:space="preserve"> </w:t>
      </w:r>
      <w:r w:rsidR="00E83632" w:rsidRPr="00161FEE">
        <w:rPr>
          <w:rFonts w:ascii="Times New Roman" w:hAnsi="Times New Roman"/>
          <w:sz w:val="24"/>
          <w:szCs w:val="24"/>
        </w:rPr>
        <w:t>September</w:t>
      </w:r>
      <w:r w:rsidRPr="00161FEE">
        <w:rPr>
          <w:rFonts w:ascii="Times New Roman" w:hAnsi="Times New Roman"/>
          <w:sz w:val="24"/>
          <w:szCs w:val="24"/>
        </w:rPr>
        <w:t xml:space="preserve"> 2014 to </w:t>
      </w:r>
      <w:r w:rsidR="00D068DB" w:rsidRPr="00161FEE">
        <w:rPr>
          <w:rFonts w:ascii="Times New Roman" w:hAnsi="Times New Roman"/>
          <w:sz w:val="24"/>
          <w:szCs w:val="24"/>
        </w:rPr>
        <w:t>23</w:t>
      </w:r>
      <w:r w:rsidR="00B50F82" w:rsidRPr="00161FEE">
        <w:rPr>
          <w:rFonts w:ascii="Times New Roman" w:hAnsi="Times New Roman"/>
          <w:sz w:val="24"/>
          <w:szCs w:val="24"/>
        </w:rPr>
        <w:t xml:space="preserve"> </w:t>
      </w:r>
      <w:r w:rsidR="00E83632" w:rsidRPr="00161FEE">
        <w:rPr>
          <w:rFonts w:ascii="Times New Roman" w:hAnsi="Times New Roman"/>
          <w:sz w:val="24"/>
          <w:szCs w:val="24"/>
        </w:rPr>
        <w:t>October</w:t>
      </w:r>
      <w:r w:rsidRPr="00161FEE">
        <w:rPr>
          <w:rFonts w:ascii="Times New Roman" w:hAnsi="Times New Roman"/>
          <w:sz w:val="24"/>
          <w:szCs w:val="24"/>
        </w:rPr>
        <w:t xml:space="preserve"> 2014. </w:t>
      </w:r>
      <w:r w:rsidR="00761956" w:rsidRPr="00161FEE">
        <w:rPr>
          <w:rFonts w:ascii="Times New Roman" w:hAnsi="Times New Roman"/>
          <w:sz w:val="24"/>
          <w:szCs w:val="24"/>
        </w:rPr>
        <w:t>Five submissions were received. Details of the non-confidential submissions</w:t>
      </w:r>
      <w:r w:rsidRPr="00161FEE">
        <w:rPr>
          <w:rFonts w:ascii="Times New Roman" w:hAnsi="Times New Roman"/>
          <w:sz w:val="24"/>
          <w:szCs w:val="24"/>
        </w:rPr>
        <w:t xml:space="preserve"> are provided on the Department</w:t>
      </w:r>
      <w:r w:rsidR="00D11EA2">
        <w:rPr>
          <w:rFonts w:ascii="Times New Roman" w:hAnsi="Times New Roman"/>
          <w:sz w:val="24"/>
          <w:szCs w:val="24"/>
        </w:rPr>
        <w:t>’s</w:t>
      </w:r>
      <w:r w:rsidRPr="00161FEE">
        <w:rPr>
          <w:rFonts w:ascii="Times New Roman" w:hAnsi="Times New Roman"/>
          <w:sz w:val="24"/>
          <w:szCs w:val="24"/>
        </w:rPr>
        <w:t xml:space="preserve"> website</w:t>
      </w:r>
      <w:r w:rsidR="00761956" w:rsidRPr="00161FEE">
        <w:rPr>
          <w:rFonts w:ascii="Times New Roman" w:hAnsi="Times New Roman"/>
          <w:sz w:val="24"/>
          <w:szCs w:val="24"/>
        </w:rPr>
        <w:t>:</w:t>
      </w:r>
      <w:r w:rsidRPr="00161FEE">
        <w:rPr>
          <w:rFonts w:ascii="Times New Roman" w:hAnsi="Times New Roman"/>
          <w:sz w:val="24"/>
          <w:szCs w:val="24"/>
        </w:rPr>
        <w:t xml:space="preserve"> </w:t>
      </w:r>
      <w:hyperlink r:id="rId14" w:history="1">
        <w:r w:rsidRPr="00161FEE">
          <w:rPr>
            <w:rStyle w:val="Hyperlink"/>
            <w:rFonts w:ascii="Times New Roman" w:hAnsi="Times New Roman"/>
            <w:sz w:val="24"/>
            <w:szCs w:val="24"/>
          </w:rPr>
          <w:t>www.environment.gov.au</w:t>
        </w:r>
      </w:hyperlink>
      <w:r w:rsidR="00E72CB7" w:rsidRPr="00161FEE">
        <w:rPr>
          <w:rFonts w:ascii="Times New Roman" w:hAnsi="Times New Roman"/>
          <w:sz w:val="24"/>
          <w:szCs w:val="24"/>
        </w:rPr>
        <w:t>.</w:t>
      </w:r>
    </w:p>
    <w:p w:rsidR="005C17CE" w:rsidRPr="00161FEE" w:rsidRDefault="005C17CE" w:rsidP="00101B59">
      <w:pPr>
        <w:keepNext/>
        <w:spacing w:after="120" w:line="240" w:lineRule="auto"/>
        <w:rPr>
          <w:rFonts w:ascii="Times New Roman" w:hAnsi="Times New Roman"/>
          <w:sz w:val="24"/>
          <w:szCs w:val="24"/>
        </w:rPr>
      </w:pPr>
    </w:p>
    <w:p w:rsidR="003E5706" w:rsidRPr="00161FEE" w:rsidRDefault="00D80C02" w:rsidP="003E5706">
      <w:pPr>
        <w:keepNext/>
        <w:spacing w:before="240" w:after="120" w:line="240" w:lineRule="auto"/>
        <w:rPr>
          <w:rFonts w:ascii="Times New Roman" w:hAnsi="Times New Roman"/>
          <w:b/>
          <w:sz w:val="24"/>
          <w:szCs w:val="24"/>
        </w:rPr>
      </w:pPr>
      <w:r w:rsidRPr="00161FEE">
        <w:rPr>
          <w:rFonts w:ascii="Times New Roman" w:hAnsi="Times New Roman"/>
          <w:b/>
          <w:sz w:val="24"/>
          <w:szCs w:val="24"/>
        </w:rPr>
        <w:t>Determination d</w:t>
      </w:r>
      <w:r w:rsidR="003E5706" w:rsidRPr="00161FEE">
        <w:rPr>
          <w:rFonts w:ascii="Times New Roman" w:hAnsi="Times New Roman"/>
          <w:b/>
          <w:sz w:val="24"/>
          <w:szCs w:val="24"/>
        </w:rPr>
        <w:t>etails</w:t>
      </w:r>
    </w:p>
    <w:p w:rsidR="003E5706" w:rsidRPr="00161FEE" w:rsidRDefault="003E5706" w:rsidP="003E5706">
      <w:pPr>
        <w:spacing w:after="120" w:line="240" w:lineRule="auto"/>
        <w:rPr>
          <w:rFonts w:ascii="Times New Roman" w:hAnsi="Times New Roman"/>
          <w:color w:val="808080"/>
          <w:sz w:val="24"/>
        </w:rPr>
      </w:pPr>
      <w:r w:rsidRPr="00161FEE">
        <w:rPr>
          <w:rFonts w:ascii="Times New Roman" w:hAnsi="Times New Roman"/>
          <w:sz w:val="24"/>
          <w:szCs w:val="24"/>
        </w:rPr>
        <w:t xml:space="preserve">Details of the Determination are at </w:t>
      </w:r>
      <w:r w:rsidRPr="00161FEE">
        <w:rPr>
          <w:rFonts w:ascii="Times New Roman" w:hAnsi="Times New Roman"/>
          <w:sz w:val="24"/>
          <w:szCs w:val="24"/>
          <w:u w:val="single"/>
        </w:rPr>
        <w:t>Attachment A</w:t>
      </w:r>
      <w:r w:rsidRPr="00161FEE">
        <w:rPr>
          <w:rFonts w:ascii="Times New Roman" w:hAnsi="Times New Roman"/>
          <w:sz w:val="24"/>
          <w:szCs w:val="24"/>
        </w:rPr>
        <w:t xml:space="preserve">. Numbered sections in this explanatory statement align with the relevant sections of the Determination. The definition of terms highlighted in </w:t>
      </w:r>
      <w:r w:rsidRPr="00161FEE">
        <w:rPr>
          <w:rFonts w:ascii="Times New Roman" w:hAnsi="Times New Roman"/>
          <w:b/>
          <w:i/>
          <w:sz w:val="24"/>
          <w:szCs w:val="24"/>
        </w:rPr>
        <w:t>bold italics</w:t>
      </w:r>
      <w:r w:rsidRPr="00161FEE">
        <w:rPr>
          <w:rFonts w:ascii="Times New Roman" w:hAnsi="Times New Roman"/>
          <w:sz w:val="24"/>
          <w:szCs w:val="24"/>
        </w:rPr>
        <w:t xml:space="preserve"> can be found in the Determination.</w:t>
      </w:r>
    </w:p>
    <w:p w:rsidR="00C30CF6" w:rsidRDefault="00ED6B4E" w:rsidP="00ED6B4E">
      <w:pPr>
        <w:spacing w:after="120" w:line="240" w:lineRule="auto"/>
        <w:rPr>
          <w:rFonts w:ascii="Times New Roman" w:hAnsi="Times New Roman"/>
          <w:sz w:val="24"/>
          <w:szCs w:val="24"/>
        </w:rPr>
      </w:pPr>
      <w:r w:rsidRPr="00161FEE">
        <w:rPr>
          <w:rFonts w:ascii="Times New Roman" w:hAnsi="Times New Roman"/>
          <w:sz w:val="24"/>
          <w:szCs w:val="24"/>
        </w:rPr>
        <w:t>For the purpose of subsections 106(4)</w:t>
      </w:r>
      <w:r w:rsidR="00A73385">
        <w:rPr>
          <w:rFonts w:ascii="Times New Roman" w:hAnsi="Times New Roman"/>
          <w:sz w:val="24"/>
          <w:szCs w:val="24"/>
        </w:rPr>
        <w:t>, (4A) and (4B</w:t>
      </w:r>
      <w:r w:rsidRPr="00161FEE">
        <w:rPr>
          <w:rFonts w:ascii="Times New Roman" w:hAnsi="Times New Roman"/>
          <w:sz w:val="24"/>
          <w:szCs w:val="24"/>
        </w:rPr>
        <w:t xml:space="preserve">) of the Act, in making this Determination the Minister has had regard to, and agrees with, the advice of the Interim Emissions Reduction Assurance Committee that the </w:t>
      </w:r>
      <w:r w:rsidR="00A47148">
        <w:rPr>
          <w:rFonts w:ascii="Times New Roman" w:hAnsi="Times New Roman"/>
          <w:sz w:val="24"/>
          <w:szCs w:val="24"/>
        </w:rPr>
        <w:t>D</w:t>
      </w:r>
      <w:r w:rsidRPr="00161FEE">
        <w:rPr>
          <w:rFonts w:ascii="Times New Roman" w:hAnsi="Times New Roman"/>
          <w:sz w:val="24"/>
          <w:szCs w:val="24"/>
        </w:rPr>
        <w:t xml:space="preserve">etermination complies with the offsets integrity standards and that the proposed </w:t>
      </w:r>
      <w:r w:rsidR="00A47148">
        <w:rPr>
          <w:rFonts w:ascii="Times New Roman" w:hAnsi="Times New Roman"/>
          <w:sz w:val="24"/>
          <w:szCs w:val="24"/>
        </w:rPr>
        <w:t>D</w:t>
      </w:r>
      <w:r w:rsidRPr="00161FEE">
        <w:rPr>
          <w:rFonts w:ascii="Times New Roman" w:hAnsi="Times New Roman"/>
          <w:sz w:val="24"/>
          <w:szCs w:val="24"/>
        </w:rPr>
        <w:t xml:space="preserve">etermination should be made. The Minister is satisfied that the carbon abatement used in ascertaining the carbon dioxide equivalent net abatement amount for a project is eligible carbon abatement from the project. The Minister also had regard to whether any adverse environmental, economic or social impacts are likely to arise from the carrying out of the kind of project to which the </w:t>
      </w:r>
      <w:r w:rsidR="00A47148">
        <w:rPr>
          <w:rFonts w:ascii="Times New Roman" w:hAnsi="Times New Roman"/>
          <w:sz w:val="24"/>
          <w:szCs w:val="24"/>
        </w:rPr>
        <w:t>D</w:t>
      </w:r>
      <w:r w:rsidRPr="00161FEE">
        <w:rPr>
          <w:rFonts w:ascii="Times New Roman" w:hAnsi="Times New Roman"/>
          <w:sz w:val="24"/>
          <w:szCs w:val="24"/>
        </w:rPr>
        <w:t xml:space="preserve">etermination applies and other relevant considerations. </w:t>
      </w:r>
    </w:p>
    <w:p w:rsidR="00ED6B4E" w:rsidRPr="00161FEE" w:rsidRDefault="00ED6B4E" w:rsidP="00ED6B4E">
      <w:pPr>
        <w:spacing w:after="120" w:line="240" w:lineRule="auto"/>
        <w:rPr>
          <w:rFonts w:ascii="Times New Roman" w:hAnsi="Times New Roman"/>
          <w:sz w:val="24"/>
          <w:szCs w:val="24"/>
        </w:rPr>
      </w:pPr>
      <w:proofErr w:type="spellStart"/>
      <w:r w:rsidRPr="00161FEE">
        <w:rPr>
          <w:rFonts w:ascii="Times New Roman" w:hAnsi="Times New Roman"/>
          <w:sz w:val="24"/>
          <w:szCs w:val="24"/>
        </w:rPr>
        <w:t>Subitem</w:t>
      </w:r>
      <w:proofErr w:type="spellEnd"/>
      <w:r w:rsidRPr="00161FEE">
        <w:rPr>
          <w:rFonts w:ascii="Times New Roman" w:hAnsi="Times New Roman"/>
          <w:sz w:val="24"/>
          <w:szCs w:val="24"/>
        </w:rPr>
        <w:t xml:space="preserve"> 393(2) of Schedule 1 </w:t>
      </w:r>
      <w:r w:rsidR="00303C86">
        <w:rPr>
          <w:rFonts w:ascii="Times New Roman" w:hAnsi="Times New Roman"/>
          <w:sz w:val="24"/>
          <w:szCs w:val="24"/>
        </w:rPr>
        <w:t>to</w:t>
      </w:r>
      <w:r w:rsidRPr="00161FEE">
        <w:rPr>
          <w:rFonts w:ascii="Times New Roman" w:hAnsi="Times New Roman"/>
          <w:sz w:val="24"/>
          <w:szCs w:val="24"/>
        </w:rPr>
        <w:t xml:space="preserve"> the </w:t>
      </w:r>
      <w:r w:rsidRPr="00161FEE">
        <w:rPr>
          <w:rFonts w:ascii="Times New Roman" w:hAnsi="Times New Roman"/>
          <w:i/>
          <w:sz w:val="24"/>
          <w:szCs w:val="24"/>
        </w:rPr>
        <w:t>Carbon Farming Initiative Amendment Act 2014</w:t>
      </w:r>
      <w:r w:rsidRPr="00161FEE">
        <w:rPr>
          <w:rFonts w:ascii="Times New Roman" w:hAnsi="Times New Roman"/>
          <w:sz w:val="24"/>
          <w:szCs w:val="24"/>
        </w:rPr>
        <w:t xml:space="preserve"> operated in relation to this </w:t>
      </w:r>
      <w:r w:rsidR="00C30CF6">
        <w:rPr>
          <w:rFonts w:ascii="Times New Roman" w:hAnsi="Times New Roman"/>
          <w:sz w:val="24"/>
          <w:szCs w:val="24"/>
        </w:rPr>
        <w:t>D</w:t>
      </w:r>
      <w:r w:rsidRPr="00161FEE">
        <w:rPr>
          <w:rFonts w:ascii="Times New Roman" w:hAnsi="Times New Roman"/>
          <w:sz w:val="24"/>
          <w:szCs w:val="24"/>
        </w:rPr>
        <w:t>etermination to deem the request to, and advice from, the Interim Emissions Reduction Assurance Committee to be the relevant request to and advice from the statutory Emissions Reduction Assurance Committee under subsections 106(10) and 123A(2) of the Act respectively.</w:t>
      </w:r>
    </w:p>
    <w:p w:rsidR="0055229E" w:rsidRPr="00161FEE" w:rsidRDefault="003E5706" w:rsidP="003E5706">
      <w:pPr>
        <w:spacing w:after="120" w:line="240" w:lineRule="auto"/>
        <w:rPr>
          <w:rFonts w:ascii="Times New Roman" w:hAnsi="Times New Roman"/>
          <w:color w:val="808080"/>
          <w:sz w:val="24"/>
          <w:szCs w:val="24"/>
        </w:rPr>
      </w:pPr>
      <w:r w:rsidRPr="00161FEE">
        <w:rPr>
          <w:rFonts w:ascii="Times New Roman" w:hAnsi="Times New Roman"/>
          <w:sz w:val="24"/>
          <w:szCs w:val="24"/>
        </w:rPr>
        <w:t xml:space="preserve">A Statement of Compatibility prepared in accordance with the </w:t>
      </w:r>
      <w:r w:rsidRPr="00161FEE">
        <w:rPr>
          <w:rFonts w:ascii="Times New Roman" w:hAnsi="Times New Roman"/>
          <w:i/>
          <w:sz w:val="24"/>
          <w:szCs w:val="24"/>
        </w:rPr>
        <w:t>Human Rights (Parliamentary Scrutiny) Act 2011</w:t>
      </w:r>
      <w:r w:rsidRPr="00161FEE">
        <w:rPr>
          <w:rFonts w:ascii="Times New Roman" w:hAnsi="Times New Roman"/>
          <w:sz w:val="24"/>
          <w:szCs w:val="24"/>
        </w:rPr>
        <w:t xml:space="preserve"> is at </w:t>
      </w:r>
      <w:r w:rsidRPr="00161FEE">
        <w:rPr>
          <w:rFonts w:ascii="Times New Roman" w:hAnsi="Times New Roman"/>
          <w:sz w:val="24"/>
          <w:szCs w:val="24"/>
          <w:u w:val="single"/>
        </w:rPr>
        <w:t>Attachment B</w:t>
      </w:r>
      <w:r w:rsidRPr="00161FEE">
        <w:rPr>
          <w:rFonts w:ascii="Times New Roman" w:hAnsi="Times New Roman"/>
          <w:sz w:val="24"/>
          <w:szCs w:val="24"/>
        </w:rPr>
        <w:t>.</w:t>
      </w:r>
    </w:p>
    <w:p w:rsidR="00915BEF" w:rsidRPr="00161FEE" w:rsidRDefault="00915BEF" w:rsidP="00101B59">
      <w:pPr>
        <w:pStyle w:val="Footer"/>
        <w:pageBreakBefore/>
        <w:spacing w:after="120"/>
        <w:jc w:val="right"/>
        <w:rPr>
          <w:rFonts w:ascii="Times New Roman" w:hAnsi="Times New Roman"/>
          <w:sz w:val="24"/>
          <w:szCs w:val="24"/>
          <w:u w:val="single"/>
        </w:rPr>
      </w:pPr>
      <w:r w:rsidRPr="00161FEE">
        <w:rPr>
          <w:rFonts w:ascii="Times New Roman" w:hAnsi="Times New Roman"/>
          <w:sz w:val="24"/>
          <w:szCs w:val="24"/>
          <w:u w:val="single"/>
        </w:rPr>
        <w:lastRenderedPageBreak/>
        <w:t>Attachment A</w:t>
      </w:r>
    </w:p>
    <w:p w:rsidR="00915BEF" w:rsidRPr="00161FEE" w:rsidRDefault="00915BEF" w:rsidP="00101B59">
      <w:pPr>
        <w:pStyle w:val="Footer"/>
        <w:spacing w:after="120"/>
        <w:jc w:val="right"/>
        <w:rPr>
          <w:rFonts w:ascii="Times New Roman" w:hAnsi="Times New Roman"/>
          <w:sz w:val="24"/>
          <w:szCs w:val="24"/>
        </w:rPr>
      </w:pPr>
    </w:p>
    <w:p w:rsidR="00895777" w:rsidRPr="00161FEE" w:rsidRDefault="00915BEF" w:rsidP="00C86AB4">
      <w:pPr>
        <w:pStyle w:val="Footer"/>
        <w:spacing w:after="120"/>
        <w:jc w:val="center"/>
        <w:rPr>
          <w:rFonts w:ascii="Times New Roman" w:hAnsi="Times New Roman"/>
          <w:b/>
          <w:sz w:val="24"/>
          <w:szCs w:val="24"/>
        </w:rPr>
      </w:pPr>
      <w:r w:rsidRPr="00161FEE">
        <w:rPr>
          <w:rFonts w:ascii="Times New Roman" w:hAnsi="Times New Roman"/>
          <w:b/>
          <w:sz w:val="24"/>
          <w:szCs w:val="24"/>
        </w:rPr>
        <w:t>Details of the Methodology Determination</w:t>
      </w:r>
    </w:p>
    <w:p w:rsidR="00365D85" w:rsidRPr="00161FEE" w:rsidRDefault="00915BEF" w:rsidP="00101B59">
      <w:pPr>
        <w:spacing w:after="120" w:line="240" w:lineRule="auto"/>
        <w:rPr>
          <w:rFonts w:ascii="Times New Roman" w:hAnsi="Times New Roman"/>
          <w:b/>
          <w:sz w:val="24"/>
          <w:szCs w:val="24"/>
        </w:rPr>
      </w:pPr>
      <w:r w:rsidRPr="00161FEE">
        <w:rPr>
          <w:rFonts w:ascii="Times New Roman" w:hAnsi="Times New Roman"/>
          <w:b/>
          <w:sz w:val="24"/>
          <w:szCs w:val="24"/>
        </w:rPr>
        <w:t xml:space="preserve">Part 1 </w:t>
      </w:r>
      <w:r w:rsidRPr="00161FEE">
        <w:rPr>
          <w:rFonts w:ascii="Times New Roman" w:hAnsi="Times New Roman"/>
          <w:b/>
          <w:sz w:val="24"/>
          <w:szCs w:val="24"/>
        </w:rPr>
        <w:tab/>
      </w:r>
      <w:r w:rsidRPr="00161FEE">
        <w:rPr>
          <w:rFonts w:ascii="Times New Roman" w:hAnsi="Times New Roman"/>
          <w:b/>
          <w:sz w:val="24"/>
          <w:szCs w:val="24"/>
        </w:rPr>
        <w:tab/>
        <w:t>Preliminary</w:t>
      </w:r>
    </w:p>
    <w:p w:rsidR="00915BEF" w:rsidRPr="00161FEE" w:rsidRDefault="00AF43AC" w:rsidP="00101B59">
      <w:pPr>
        <w:spacing w:after="120" w:line="240" w:lineRule="auto"/>
        <w:rPr>
          <w:rFonts w:ascii="Times New Roman" w:hAnsi="Times New Roman"/>
          <w:sz w:val="24"/>
          <w:szCs w:val="24"/>
          <w:u w:val="single"/>
        </w:rPr>
      </w:pPr>
      <w:r w:rsidRPr="00161FEE">
        <w:rPr>
          <w:rFonts w:ascii="Times New Roman" w:hAnsi="Times New Roman"/>
          <w:sz w:val="24"/>
          <w:szCs w:val="24"/>
          <w:u w:val="single"/>
        </w:rPr>
        <w:t>1</w:t>
      </w:r>
      <w:r w:rsidR="00107139" w:rsidRPr="00161FEE">
        <w:rPr>
          <w:rFonts w:ascii="Times New Roman" w:hAnsi="Times New Roman"/>
          <w:sz w:val="24"/>
          <w:szCs w:val="24"/>
          <w:u w:val="single"/>
        </w:rPr>
        <w:tab/>
        <w:t>Name</w:t>
      </w:r>
    </w:p>
    <w:p w:rsidR="00915BEF" w:rsidRPr="00161FEE" w:rsidRDefault="00F154F2" w:rsidP="00101B59">
      <w:pPr>
        <w:spacing w:after="120" w:line="240" w:lineRule="auto"/>
        <w:rPr>
          <w:rFonts w:ascii="Times New Roman" w:hAnsi="Times New Roman"/>
          <w:i/>
          <w:sz w:val="24"/>
          <w:szCs w:val="24"/>
        </w:rPr>
      </w:pPr>
      <w:r w:rsidRPr="00161FEE">
        <w:rPr>
          <w:rFonts w:ascii="Times New Roman" w:hAnsi="Times New Roman"/>
          <w:sz w:val="24"/>
          <w:szCs w:val="24"/>
        </w:rPr>
        <w:t>S</w:t>
      </w:r>
      <w:r w:rsidR="00915BEF" w:rsidRPr="00161FEE">
        <w:rPr>
          <w:rFonts w:ascii="Times New Roman" w:hAnsi="Times New Roman"/>
          <w:sz w:val="24"/>
          <w:szCs w:val="24"/>
        </w:rPr>
        <w:t xml:space="preserve">ection </w:t>
      </w:r>
      <w:r w:rsidR="00AF43AC" w:rsidRPr="00161FEE">
        <w:rPr>
          <w:rFonts w:ascii="Times New Roman" w:hAnsi="Times New Roman"/>
          <w:sz w:val="24"/>
          <w:szCs w:val="24"/>
        </w:rPr>
        <w:t>1</w:t>
      </w:r>
      <w:r w:rsidRPr="00161FEE">
        <w:rPr>
          <w:rFonts w:ascii="Times New Roman" w:hAnsi="Times New Roman"/>
          <w:sz w:val="24"/>
          <w:szCs w:val="24"/>
        </w:rPr>
        <w:t xml:space="preserve"> </w:t>
      </w:r>
      <w:r w:rsidR="00B915E5" w:rsidRPr="00161FEE">
        <w:rPr>
          <w:rFonts w:ascii="Times New Roman" w:hAnsi="Times New Roman"/>
          <w:sz w:val="24"/>
          <w:szCs w:val="24"/>
        </w:rPr>
        <w:t>sets out the full name of</w:t>
      </w:r>
      <w:r w:rsidR="00915BEF" w:rsidRPr="00161FEE">
        <w:rPr>
          <w:rFonts w:ascii="Times New Roman" w:hAnsi="Times New Roman"/>
          <w:sz w:val="24"/>
          <w:szCs w:val="24"/>
        </w:rPr>
        <w:t xml:space="preserve"> the </w:t>
      </w:r>
      <w:r w:rsidR="009C4FF2" w:rsidRPr="00161FEE">
        <w:rPr>
          <w:rFonts w:ascii="Times New Roman" w:hAnsi="Times New Roman"/>
          <w:sz w:val="24"/>
          <w:szCs w:val="24"/>
        </w:rPr>
        <w:t>Determination</w:t>
      </w:r>
      <w:r w:rsidR="00B915E5" w:rsidRPr="00161FEE">
        <w:rPr>
          <w:rFonts w:ascii="Times New Roman" w:hAnsi="Times New Roman"/>
          <w:sz w:val="24"/>
          <w:szCs w:val="24"/>
        </w:rPr>
        <w:t>, which</w:t>
      </w:r>
      <w:r w:rsidR="00915BEF" w:rsidRPr="00161FEE">
        <w:rPr>
          <w:rFonts w:ascii="Times New Roman" w:hAnsi="Times New Roman"/>
          <w:sz w:val="24"/>
          <w:szCs w:val="24"/>
        </w:rPr>
        <w:t xml:space="preserve"> </w:t>
      </w:r>
      <w:r w:rsidR="00830B83" w:rsidRPr="00161FEE">
        <w:rPr>
          <w:rFonts w:ascii="Times New Roman" w:hAnsi="Times New Roman"/>
          <w:sz w:val="24"/>
          <w:szCs w:val="24"/>
        </w:rPr>
        <w:t>is</w:t>
      </w:r>
      <w:r w:rsidR="003F443E" w:rsidRPr="00161FEE">
        <w:rPr>
          <w:rFonts w:ascii="Times New Roman" w:hAnsi="Times New Roman"/>
          <w:sz w:val="24"/>
          <w:szCs w:val="24"/>
        </w:rPr>
        <w:t xml:space="preserve"> </w:t>
      </w:r>
      <w:r w:rsidR="00915BEF" w:rsidRPr="00161FEE">
        <w:rPr>
          <w:rFonts w:ascii="Times New Roman" w:hAnsi="Times New Roman"/>
          <w:sz w:val="24"/>
          <w:szCs w:val="24"/>
        </w:rPr>
        <w:t>the</w:t>
      </w:r>
      <w:r w:rsidR="00660F51" w:rsidRPr="00161FEE">
        <w:rPr>
          <w:rFonts w:ascii="Times New Roman" w:hAnsi="Times New Roman"/>
          <w:sz w:val="24"/>
          <w:szCs w:val="24"/>
        </w:rPr>
        <w:t xml:space="preserve"> </w:t>
      </w:r>
      <w:r w:rsidR="007670E3" w:rsidRPr="00161FEE">
        <w:rPr>
          <w:rFonts w:ascii="Times New Roman" w:hAnsi="Times New Roman"/>
          <w:i/>
          <w:sz w:val="24"/>
          <w:szCs w:val="24"/>
        </w:rPr>
        <w:t>Carbon Credits (Carbon Farming Initiative—Commercial Buildings</w:t>
      </w:r>
      <w:r w:rsidR="00B04A41">
        <w:rPr>
          <w:rFonts w:ascii="Times New Roman" w:hAnsi="Times New Roman"/>
          <w:i/>
          <w:sz w:val="24"/>
          <w:szCs w:val="24"/>
        </w:rPr>
        <w:t>) Methodology Determination 2015</w:t>
      </w:r>
      <w:r w:rsidR="00660F51" w:rsidRPr="00161FEE">
        <w:rPr>
          <w:rFonts w:ascii="Times New Roman" w:hAnsi="Times New Roman"/>
          <w:i/>
          <w:sz w:val="24"/>
          <w:szCs w:val="24"/>
        </w:rPr>
        <w:t>.</w:t>
      </w:r>
    </w:p>
    <w:p w:rsidR="008634C3" w:rsidRPr="00161FEE" w:rsidRDefault="008634C3" w:rsidP="00101B59">
      <w:pPr>
        <w:spacing w:after="120" w:line="240" w:lineRule="auto"/>
        <w:rPr>
          <w:rFonts w:ascii="Times New Roman" w:hAnsi="Times New Roman"/>
          <w:sz w:val="24"/>
          <w:szCs w:val="24"/>
        </w:rPr>
      </w:pPr>
    </w:p>
    <w:p w:rsidR="00915BEF" w:rsidRPr="00161FEE" w:rsidRDefault="00915BEF" w:rsidP="00101B59">
      <w:pPr>
        <w:spacing w:after="120" w:line="240" w:lineRule="auto"/>
        <w:rPr>
          <w:rFonts w:ascii="Times New Roman" w:hAnsi="Times New Roman"/>
          <w:sz w:val="24"/>
          <w:szCs w:val="24"/>
          <w:u w:val="single"/>
        </w:rPr>
      </w:pPr>
      <w:r w:rsidRPr="00161FEE">
        <w:rPr>
          <w:rFonts w:ascii="Times New Roman" w:hAnsi="Times New Roman"/>
          <w:sz w:val="24"/>
          <w:szCs w:val="24"/>
          <w:u w:val="single"/>
        </w:rPr>
        <w:t>2</w:t>
      </w:r>
      <w:r w:rsidRPr="00161FEE">
        <w:rPr>
          <w:rFonts w:ascii="Times New Roman" w:hAnsi="Times New Roman"/>
          <w:sz w:val="24"/>
          <w:szCs w:val="24"/>
          <w:u w:val="single"/>
        </w:rPr>
        <w:tab/>
      </w:r>
      <w:r w:rsidR="003F361D" w:rsidRPr="00161FEE">
        <w:rPr>
          <w:rFonts w:ascii="Times New Roman" w:hAnsi="Times New Roman"/>
          <w:sz w:val="24"/>
          <w:szCs w:val="24"/>
          <w:u w:val="single"/>
        </w:rPr>
        <w:t>Commencement</w:t>
      </w:r>
    </w:p>
    <w:p w:rsidR="003F361D" w:rsidRPr="00161FEE" w:rsidRDefault="003F361D" w:rsidP="00101B59">
      <w:pPr>
        <w:spacing w:after="120" w:line="240" w:lineRule="auto"/>
        <w:rPr>
          <w:rFonts w:ascii="Times New Roman" w:hAnsi="Times New Roman"/>
          <w:sz w:val="24"/>
          <w:szCs w:val="24"/>
        </w:rPr>
      </w:pPr>
      <w:r w:rsidRPr="00161FEE">
        <w:rPr>
          <w:rFonts w:ascii="Times New Roman" w:hAnsi="Times New Roman"/>
          <w:sz w:val="24"/>
          <w:szCs w:val="24"/>
        </w:rPr>
        <w:t xml:space="preserve">Section 2 provides that the </w:t>
      </w:r>
      <w:r w:rsidR="009C4FF2" w:rsidRPr="00161FEE">
        <w:rPr>
          <w:rFonts w:ascii="Times New Roman" w:hAnsi="Times New Roman"/>
          <w:sz w:val="24"/>
          <w:szCs w:val="24"/>
        </w:rPr>
        <w:t>Determination</w:t>
      </w:r>
      <w:r w:rsidRPr="00161FEE">
        <w:rPr>
          <w:rFonts w:ascii="Times New Roman" w:hAnsi="Times New Roman"/>
          <w:sz w:val="24"/>
          <w:szCs w:val="24"/>
        </w:rPr>
        <w:t xml:space="preserve"> commence</w:t>
      </w:r>
      <w:r w:rsidR="00752E20" w:rsidRPr="00161FEE">
        <w:rPr>
          <w:rFonts w:ascii="Times New Roman" w:hAnsi="Times New Roman"/>
          <w:sz w:val="24"/>
          <w:szCs w:val="24"/>
        </w:rPr>
        <w:t>s</w:t>
      </w:r>
      <w:r w:rsidRPr="00161FEE">
        <w:rPr>
          <w:rFonts w:ascii="Times New Roman" w:hAnsi="Times New Roman"/>
          <w:sz w:val="24"/>
          <w:szCs w:val="24"/>
        </w:rPr>
        <w:t xml:space="preserve"> </w:t>
      </w:r>
      <w:r w:rsidR="00E819F3" w:rsidRPr="00161FEE">
        <w:rPr>
          <w:rFonts w:ascii="Times New Roman" w:hAnsi="Times New Roman"/>
          <w:sz w:val="24"/>
          <w:szCs w:val="24"/>
        </w:rPr>
        <w:t>on the day after it is </w:t>
      </w:r>
      <w:r w:rsidR="00660F51" w:rsidRPr="00161FEE">
        <w:rPr>
          <w:rFonts w:ascii="Times New Roman" w:hAnsi="Times New Roman"/>
          <w:sz w:val="24"/>
          <w:szCs w:val="24"/>
        </w:rPr>
        <w:t>registered</w:t>
      </w:r>
      <w:r w:rsidR="004671A9" w:rsidRPr="00161FEE">
        <w:rPr>
          <w:rFonts w:ascii="Times New Roman" w:hAnsi="Times New Roman"/>
          <w:sz w:val="24"/>
          <w:szCs w:val="24"/>
        </w:rPr>
        <w:t xml:space="preserve"> on the Federal Register of Legislative Instruments</w:t>
      </w:r>
      <w:r w:rsidRPr="00161FEE">
        <w:rPr>
          <w:rFonts w:ascii="Times New Roman" w:hAnsi="Times New Roman"/>
          <w:sz w:val="24"/>
          <w:szCs w:val="24"/>
        </w:rPr>
        <w:t>.</w:t>
      </w:r>
    </w:p>
    <w:p w:rsidR="008634C3" w:rsidRPr="00161FEE" w:rsidRDefault="008634C3" w:rsidP="00101B59">
      <w:pPr>
        <w:spacing w:after="120" w:line="240" w:lineRule="auto"/>
        <w:rPr>
          <w:rFonts w:ascii="Times New Roman" w:hAnsi="Times New Roman"/>
          <w:sz w:val="24"/>
          <w:szCs w:val="24"/>
        </w:rPr>
      </w:pPr>
    </w:p>
    <w:p w:rsidR="003F361D" w:rsidRPr="00161FEE" w:rsidRDefault="003F361D" w:rsidP="00101B59">
      <w:pPr>
        <w:spacing w:after="120" w:line="240" w:lineRule="auto"/>
        <w:rPr>
          <w:rFonts w:ascii="Times New Roman" w:hAnsi="Times New Roman"/>
          <w:sz w:val="24"/>
          <w:szCs w:val="24"/>
          <w:u w:val="single"/>
        </w:rPr>
      </w:pPr>
      <w:r w:rsidRPr="00161FEE">
        <w:rPr>
          <w:rFonts w:ascii="Times New Roman" w:hAnsi="Times New Roman"/>
          <w:sz w:val="24"/>
          <w:szCs w:val="24"/>
          <w:u w:val="single"/>
        </w:rPr>
        <w:t>3</w:t>
      </w:r>
      <w:r w:rsidRPr="00161FEE">
        <w:rPr>
          <w:rFonts w:ascii="Times New Roman" w:hAnsi="Times New Roman"/>
          <w:sz w:val="24"/>
          <w:szCs w:val="24"/>
          <w:u w:val="single"/>
        </w:rPr>
        <w:tab/>
        <w:t>Authority</w:t>
      </w:r>
    </w:p>
    <w:p w:rsidR="003F361D" w:rsidRPr="00161FEE" w:rsidRDefault="003F361D" w:rsidP="00101B59">
      <w:pPr>
        <w:spacing w:after="120" w:line="240" w:lineRule="auto"/>
        <w:rPr>
          <w:rFonts w:ascii="Times New Roman" w:hAnsi="Times New Roman"/>
          <w:sz w:val="24"/>
          <w:szCs w:val="24"/>
        </w:rPr>
      </w:pPr>
      <w:r w:rsidRPr="00161FEE">
        <w:rPr>
          <w:rFonts w:ascii="Times New Roman" w:hAnsi="Times New Roman"/>
          <w:sz w:val="24"/>
          <w:szCs w:val="24"/>
        </w:rPr>
        <w:t xml:space="preserve">Section 3 provides that the </w:t>
      </w:r>
      <w:r w:rsidR="009C4FF2" w:rsidRPr="00161FEE">
        <w:rPr>
          <w:rFonts w:ascii="Times New Roman" w:hAnsi="Times New Roman"/>
          <w:sz w:val="24"/>
          <w:szCs w:val="24"/>
        </w:rPr>
        <w:t>Determination</w:t>
      </w:r>
      <w:r w:rsidRPr="00161FEE">
        <w:rPr>
          <w:rFonts w:ascii="Times New Roman" w:hAnsi="Times New Roman"/>
          <w:sz w:val="24"/>
          <w:szCs w:val="24"/>
        </w:rPr>
        <w:t xml:space="preserve"> </w:t>
      </w:r>
      <w:r w:rsidR="00752E20" w:rsidRPr="00161FEE">
        <w:rPr>
          <w:rFonts w:ascii="Times New Roman" w:hAnsi="Times New Roman"/>
          <w:sz w:val="24"/>
          <w:szCs w:val="24"/>
        </w:rPr>
        <w:t xml:space="preserve">is </w:t>
      </w:r>
      <w:r w:rsidRPr="00161FEE">
        <w:rPr>
          <w:rFonts w:ascii="Times New Roman" w:hAnsi="Times New Roman"/>
          <w:sz w:val="24"/>
          <w:szCs w:val="24"/>
        </w:rPr>
        <w:t>made under sub</w:t>
      </w:r>
      <w:r w:rsidR="00E819F3" w:rsidRPr="00161FEE">
        <w:rPr>
          <w:rFonts w:ascii="Times New Roman" w:hAnsi="Times New Roman"/>
          <w:sz w:val="24"/>
          <w:szCs w:val="24"/>
        </w:rPr>
        <w:t>section 106(1) of the </w:t>
      </w:r>
      <w:r w:rsidRPr="00161FEE">
        <w:rPr>
          <w:rFonts w:ascii="Times New Roman" w:hAnsi="Times New Roman"/>
          <w:sz w:val="24"/>
          <w:szCs w:val="24"/>
        </w:rPr>
        <w:t>Act.</w:t>
      </w:r>
    </w:p>
    <w:p w:rsidR="008634C3" w:rsidRPr="00161FEE" w:rsidRDefault="008634C3" w:rsidP="00101B59">
      <w:pPr>
        <w:spacing w:after="120" w:line="240" w:lineRule="auto"/>
        <w:rPr>
          <w:rFonts w:ascii="Times New Roman" w:hAnsi="Times New Roman"/>
          <w:sz w:val="24"/>
          <w:szCs w:val="24"/>
        </w:rPr>
      </w:pPr>
    </w:p>
    <w:p w:rsidR="003F361D" w:rsidRPr="00161FEE" w:rsidRDefault="003F361D" w:rsidP="00101B59">
      <w:pPr>
        <w:spacing w:after="120" w:line="240" w:lineRule="auto"/>
        <w:rPr>
          <w:rFonts w:ascii="Times New Roman" w:hAnsi="Times New Roman"/>
          <w:sz w:val="24"/>
          <w:szCs w:val="24"/>
          <w:u w:val="single"/>
        </w:rPr>
      </w:pPr>
      <w:r w:rsidRPr="00161FEE">
        <w:rPr>
          <w:rFonts w:ascii="Times New Roman" w:hAnsi="Times New Roman"/>
          <w:sz w:val="24"/>
          <w:szCs w:val="24"/>
          <w:u w:val="single"/>
        </w:rPr>
        <w:t>4</w:t>
      </w:r>
      <w:r w:rsidRPr="00161FEE">
        <w:rPr>
          <w:rFonts w:ascii="Times New Roman" w:hAnsi="Times New Roman"/>
          <w:sz w:val="24"/>
          <w:szCs w:val="24"/>
          <w:u w:val="single"/>
        </w:rPr>
        <w:tab/>
        <w:t>Duration</w:t>
      </w:r>
    </w:p>
    <w:p w:rsidR="00755B43" w:rsidRPr="00161FEE" w:rsidRDefault="00755B43" w:rsidP="00101B59">
      <w:pPr>
        <w:spacing w:after="120" w:line="240" w:lineRule="auto"/>
        <w:rPr>
          <w:rFonts w:ascii="Times New Roman" w:hAnsi="Times New Roman"/>
          <w:sz w:val="24"/>
          <w:szCs w:val="24"/>
        </w:rPr>
      </w:pPr>
      <w:r w:rsidRPr="00161FEE">
        <w:rPr>
          <w:rFonts w:ascii="Times New Roman" w:hAnsi="Times New Roman"/>
          <w:sz w:val="24"/>
          <w:szCs w:val="24"/>
        </w:rPr>
        <w:t>Under subparagraph 122(1)(b)(</w:t>
      </w:r>
      <w:proofErr w:type="spellStart"/>
      <w:r w:rsidRPr="00161FEE">
        <w:rPr>
          <w:rFonts w:ascii="Times New Roman" w:hAnsi="Times New Roman"/>
          <w:sz w:val="24"/>
          <w:szCs w:val="24"/>
        </w:rPr>
        <w:t>i</w:t>
      </w:r>
      <w:proofErr w:type="spellEnd"/>
      <w:r w:rsidRPr="00161FEE">
        <w:rPr>
          <w:rFonts w:ascii="Times New Roman" w:hAnsi="Times New Roman"/>
          <w:sz w:val="24"/>
          <w:szCs w:val="24"/>
        </w:rPr>
        <w:t>) of the Act, a methodology determination remains in force for the period specified in the determination.</w:t>
      </w:r>
      <w:r w:rsidR="008C55AB">
        <w:rPr>
          <w:rFonts w:ascii="Times New Roman" w:hAnsi="Times New Roman"/>
          <w:sz w:val="24"/>
          <w:szCs w:val="24"/>
        </w:rPr>
        <w:t xml:space="preserve"> </w:t>
      </w:r>
      <w:r w:rsidR="008C55AB" w:rsidRPr="00397F13">
        <w:rPr>
          <w:rFonts w:ascii="Times New Roman" w:hAnsi="Times New Roman"/>
          <w:sz w:val="24"/>
          <w:szCs w:val="24"/>
        </w:rPr>
        <w:t>The Determination will remain in force for the duration set out in this section unless revoked in accordance with section 123 of the Act</w:t>
      </w:r>
      <w:r w:rsidR="008C55AB">
        <w:rPr>
          <w:rFonts w:ascii="Times New Roman" w:hAnsi="Times New Roman"/>
          <w:sz w:val="24"/>
          <w:szCs w:val="24"/>
        </w:rPr>
        <w:t xml:space="preserve"> or section 42 of the </w:t>
      </w:r>
      <w:r w:rsidR="008C55AB" w:rsidRPr="008C0EE3">
        <w:rPr>
          <w:rFonts w:ascii="Times New Roman" w:hAnsi="Times New Roman"/>
          <w:i/>
          <w:sz w:val="24"/>
          <w:szCs w:val="24"/>
        </w:rPr>
        <w:t>Legislative Instruments Act 2003</w:t>
      </w:r>
      <w:r w:rsidR="008C55AB" w:rsidRPr="008C0EE3">
        <w:rPr>
          <w:rFonts w:ascii="Times New Roman" w:hAnsi="Times New Roman"/>
          <w:sz w:val="24"/>
          <w:szCs w:val="24"/>
        </w:rPr>
        <w:t>.</w:t>
      </w:r>
    </w:p>
    <w:p w:rsidR="000B2DFC" w:rsidRPr="00161FEE" w:rsidRDefault="000B2DFC" w:rsidP="000B2DFC">
      <w:pPr>
        <w:spacing w:after="120" w:line="240" w:lineRule="auto"/>
        <w:rPr>
          <w:rFonts w:ascii="Times New Roman" w:hAnsi="Times New Roman"/>
          <w:sz w:val="24"/>
          <w:szCs w:val="24"/>
        </w:rPr>
      </w:pPr>
      <w:r w:rsidRPr="00161FEE">
        <w:rPr>
          <w:rFonts w:ascii="Times New Roman" w:hAnsi="Times New Roman"/>
          <w:sz w:val="24"/>
          <w:szCs w:val="24"/>
        </w:rPr>
        <w:t>Section 4 provides that the Determination will be in force from its commencement (as</w:t>
      </w:r>
      <w:r w:rsidR="003F35CF" w:rsidRPr="00161FEE">
        <w:rPr>
          <w:rFonts w:ascii="Times New Roman" w:hAnsi="Times New Roman"/>
          <w:sz w:val="24"/>
          <w:szCs w:val="24"/>
        </w:rPr>
        <w:t> </w:t>
      </w:r>
      <w:r w:rsidRPr="00161FEE">
        <w:rPr>
          <w:rFonts w:ascii="Times New Roman" w:hAnsi="Times New Roman"/>
          <w:sz w:val="24"/>
          <w:szCs w:val="24"/>
        </w:rPr>
        <w:t xml:space="preserve">provided for in section 2) until the day before it would otherwise be repealed under subsection 50(1) of the </w:t>
      </w:r>
      <w:r w:rsidRPr="00161FEE">
        <w:rPr>
          <w:rFonts w:ascii="Times New Roman" w:hAnsi="Times New Roman"/>
          <w:i/>
          <w:sz w:val="24"/>
          <w:szCs w:val="24"/>
        </w:rPr>
        <w:t>Legislative Instruments Act 2003</w:t>
      </w:r>
      <w:r w:rsidRPr="00161FEE">
        <w:rPr>
          <w:rFonts w:ascii="Times New Roman" w:hAnsi="Times New Roman"/>
          <w:sz w:val="24"/>
          <w:szCs w:val="24"/>
        </w:rPr>
        <w:t xml:space="preserve">. </w:t>
      </w:r>
    </w:p>
    <w:p w:rsidR="000B2DFC" w:rsidRPr="00161FEE" w:rsidRDefault="000B2DFC" w:rsidP="000B2DFC">
      <w:pPr>
        <w:spacing w:after="120" w:line="240" w:lineRule="auto"/>
        <w:rPr>
          <w:rFonts w:ascii="Times New Roman" w:hAnsi="Times New Roman"/>
          <w:sz w:val="24"/>
          <w:szCs w:val="24"/>
        </w:rPr>
      </w:pPr>
      <w:r w:rsidRPr="00161FEE">
        <w:rPr>
          <w:rFonts w:ascii="Times New Roman" w:hAnsi="Times New Roman"/>
          <w:sz w:val="24"/>
          <w:szCs w:val="24"/>
        </w:rPr>
        <w:t>Instruments are repealed under that provision on the first 1 April or 1 October following the tenth anniversary of registration of the Determination on the Federal Register of Legislative Instruments.  In accordance with subparagraph 122(1)(b)(</w:t>
      </w:r>
      <w:proofErr w:type="spellStart"/>
      <w:r w:rsidRPr="00161FEE">
        <w:rPr>
          <w:rFonts w:ascii="Times New Roman" w:hAnsi="Times New Roman"/>
          <w:sz w:val="24"/>
          <w:szCs w:val="24"/>
        </w:rPr>
        <w:t>i</w:t>
      </w:r>
      <w:proofErr w:type="spellEnd"/>
      <w:r w:rsidRPr="00161FEE">
        <w:rPr>
          <w:rFonts w:ascii="Times New Roman" w:hAnsi="Times New Roman"/>
          <w:sz w:val="24"/>
          <w:szCs w:val="24"/>
        </w:rPr>
        <w:t>) of the Act, paragraph 4(b) of the Determination sets out the time that the Determination would expire.</w:t>
      </w:r>
    </w:p>
    <w:p w:rsidR="004D7A17" w:rsidRPr="00161FEE" w:rsidRDefault="000B2DFC" w:rsidP="00101B59">
      <w:pPr>
        <w:spacing w:after="120" w:line="240" w:lineRule="auto"/>
        <w:rPr>
          <w:rFonts w:ascii="Times New Roman" w:hAnsi="Times New Roman"/>
          <w:sz w:val="24"/>
          <w:szCs w:val="24"/>
        </w:rPr>
      </w:pPr>
      <w:r w:rsidRPr="00161FEE">
        <w:rPr>
          <w:rFonts w:ascii="Times New Roman" w:hAnsi="Times New Roman"/>
          <w:sz w:val="24"/>
          <w:szCs w:val="24"/>
        </w:rPr>
        <w:t xml:space="preserve">If the Determination expires </w:t>
      </w:r>
      <w:r w:rsidR="008C55AB">
        <w:rPr>
          <w:rFonts w:ascii="Times New Roman" w:hAnsi="Times New Roman"/>
          <w:sz w:val="24"/>
          <w:szCs w:val="24"/>
        </w:rPr>
        <w:t xml:space="preserve">in accordance with section 122 of the Act </w:t>
      </w:r>
      <w:r w:rsidR="008C55AB" w:rsidRPr="008C0EE3">
        <w:rPr>
          <w:rFonts w:ascii="Times New Roman" w:hAnsi="Times New Roman"/>
          <w:sz w:val="24"/>
          <w:szCs w:val="24"/>
        </w:rPr>
        <w:t xml:space="preserve">or is revoked </w:t>
      </w:r>
      <w:r w:rsidR="008C55AB">
        <w:rPr>
          <w:rFonts w:ascii="Times New Roman" w:hAnsi="Times New Roman"/>
          <w:sz w:val="24"/>
          <w:szCs w:val="24"/>
        </w:rPr>
        <w:t>under section 123 of the Act</w:t>
      </w:r>
      <w:r w:rsidR="008C55AB" w:rsidRPr="00AC470E">
        <w:rPr>
          <w:rFonts w:ascii="Times New Roman" w:hAnsi="Times New Roman"/>
          <w:sz w:val="24"/>
          <w:szCs w:val="24"/>
        </w:rPr>
        <w:t xml:space="preserve"> </w:t>
      </w:r>
      <w:r w:rsidRPr="00161FEE">
        <w:rPr>
          <w:rFonts w:ascii="Times New Roman" w:hAnsi="Times New Roman"/>
          <w:sz w:val="24"/>
          <w:szCs w:val="24"/>
        </w:rPr>
        <w:t>during a crediting period for a project to which the Determination applies, the Determination will continue to apply to the project during the remainder of the crediting period under subsections 125(2) and 127(2) of the Act. Project proponents may apply to the Regulator during a reporting period to have a different methodology determination apply to their projects from the start of that reporting period (see</w:t>
      </w:r>
      <w:r w:rsidR="003F35CF" w:rsidRPr="00161FEE">
        <w:rPr>
          <w:rFonts w:ascii="Times New Roman" w:hAnsi="Times New Roman"/>
          <w:sz w:val="24"/>
          <w:szCs w:val="24"/>
        </w:rPr>
        <w:t> </w:t>
      </w:r>
      <w:r w:rsidRPr="00161FEE">
        <w:rPr>
          <w:rFonts w:ascii="Times New Roman" w:hAnsi="Times New Roman"/>
          <w:sz w:val="24"/>
          <w:szCs w:val="24"/>
        </w:rPr>
        <w:t>subsection 128(1) of the Act).</w:t>
      </w:r>
    </w:p>
    <w:p w:rsidR="00BD24B7" w:rsidRPr="00161FEE" w:rsidRDefault="00BD24B7" w:rsidP="00BD24B7">
      <w:pPr>
        <w:spacing w:after="120" w:line="240" w:lineRule="auto"/>
        <w:rPr>
          <w:rFonts w:ascii="Times New Roman" w:hAnsi="Times New Roman"/>
          <w:sz w:val="24"/>
          <w:szCs w:val="24"/>
        </w:rPr>
      </w:pPr>
      <w:r w:rsidRPr="00161FEE">
        <w:rPr>
          <w:rFonts w:ascii="Times New Roman" w:hAnsi="Times New Roman"/>
          <w:sz w:val="24"/>
          <w:szCs w:val="24"/>
        </w:rPr>
        <w:t>Under section 27A of the Act</w:t>
      </w:r>
      <w:r w:rsidR="00C62C96" w:rsidRPr="00161FEE">
        <w:rPr>
          <w:rFonts w:ascii="Times New Roman" w:hAnsi="Times New Roman"/>
          <w:sz w:val="24"/>
          <w:szCs w:val="24"/>
        </w:rPr>
        <w:t>,</w:t>
      </w:r>
      <w:r w:rsidRPr="00161FEE">
        <w:rPr>
          <w:rFonts w:ascii="Times New Roman" w:hAnsi="Times New Roman"/>
          <w:sz w:val="24"/>
          <w:szCs w:val="24"/>
        </w:rPr>
        <w:t xml:space="preserve"> the Emissions Reduction Assurance Committee may also suspend the processing of applications under a determination if there is reasonable evidence that the methodology determination does not comply with one or more of the offsets integrity standards. This does not impact applications for declaration already received by the Regulator before such a suspension or declared eligible offset projects which apply the Determination. </w:t>
      </w:r>
    </w:p>
    <w:p w:rsidR="008634C3" w:rsidRPr="00161FEE" w:rsidRDefault="008634C3" w:rsidP="00101B59">
      <w:pPr>
        <w:spacing w:after="120" w:line="240" w:lineRule="auto"/>
        <w:rPr>
          <w:rFonts w:ascii="Times New Roman" w:hAnsi="Times New Roman"/>
          <w:sz w:val="24"/>
          <w:szCs w:val="24"/>
        </w:rPr>
      </w:pPr>
    </w:p>
    <w:p w:rsidR="00915BEF" w:rsidRPr="00161FEE" w:rsidRDefault="00DE4FEB" w:rsidP="00D5785B">
      <w:pPr>
        <w:keepNext/>
        <w:keepLines/>
        <w:spacing w:after="120" w:line="240" w:lineRule="auto"/>
        <w:rPr>
          <w:rFonts w:ascii="Times New Roman" w:hAnsi="Times New Roman"/>
          <w:sz w:val="24"/>
          <w:szCs w:val="24"/>
          <w:u w:val="single"/>
        </w:rPr>
      </w:pPr>
      <w:r w:rsidRPr="00161FEE">
        <w:rPr>
          <w:rFonts w:ascii="Times New Roman" w:hAnsi="Times New Roman"/>
          <w:sz w:val="24"/>
          <w:szCs w:val="24"/>
          <w:u w:val="single"/>
        </w:rPr>
        <w:lastRenderedPageBreak/>
        <w:t>5</w:t>
      </w:r>
      <w:r w:rsidR="00915BEF" w:rsidRPr="00161FEE">
        <w:rPr>
          <w:rFonts w:ascii="Times New Roman" w:hAnsi="Times New Roman"/>
          <w:sz w:val="24"/>
          <w:szCs w:val="24"/>
          <w:u w:val="single"/>
        </w:rPr>
        <w:tab/>
        <w:t>Definitions</w:t>
      </w:r>
    </w:p>
    <w:p w:rsidR="00212FA7" w:rsidRPr="00161FEE" w:rsidRDefault="00212FA7" w:rsidP="00D5785B">
      <w:pPr>
        <w:keepNext/>
        <w:keepLines/>
        <w:spacing w:after="120" w:line="240" w:lineRule="auto"/>
        <w:rPr>
          <w:rFonts w:ascii="Times New Roman" w:hAnsi="Times New Roman"/>
          <w:sz w:val="24"/>
          <w:szCs w:val="24"/>
        </w:rPr>
      </w:pPr>
      <w:r w:rsidRPr="00161FEE">
        <w:rPr>
          <w:rFonts w:ascii="Times New Roman" w:hAnsi="Times New Roman"/>
          <w:sz w:val="24"/>
          <w:szCs w:val="24"/>
        </w:rPr>
        <w:t xml:space="preserve">Section 5 defines a number of terms used in the Determination. </w:t>
      </w:r>
    </w:p>
    <w:p w:rsidR="00212FA7" w:rsidRPr="00161FEE" w:rsidRDefault="00212FA7" w:rsidP="00D5785B">
      <w:pPr>
        <w:keepNext/>
        <w:keepLines/>
        <w:spacing w:after="120" w:line="240" w:lineRule="auto"/>
        <w:rPr>
          <w:rFonts w:ascii="Times New Roman" w:hAnsi="Times New Roman"/>
          <w:sz w:val="24"/>
          <w:szCs w:val="24"/>
        </w:rPr>
      </w:pPr>
      <w:r w:rsidRPr="00161FEE">
        <w:rPr>
          <w:rFonts w:ascii="Times New Roman" w:hAnsi="Times New Roman"/>
          <w:sz w:val="24"/>
          <w:szCs w:val="24"/>
        </w:rPr>
        <w:t>Generally, where terms are not defined in the Determination</w:t>
      </w:r>
      <w:r w:rsidR="0026256F" w:rsidRPr="00161FEE">
        <w:rPr>
          <w:rFonts w:ascii="Times New Roman" w:hAnsi="Times New Roman"/>
          <w:sz w:val="24"/>
          <w:szCs w:val="24"/>
        </w:rPr>
        <w:t xml:space="preserve"> but are defined in </w:t>
      </w:r>
      <w:r w:rsidR="0077453E" w:rsidRPr="00161FEE">
        <w:rPr>
          <w:rFonts w:ascii="Times New Roman" w:hAnsi="Times New Roman"/>
          <w:sz w:val="24"/>
          <w:szCs w:val="24"/>
        </w:rPr>
        <w:t xml:space="preserve">section 5 of </w:t>
      </w:r>
      <w:r w:rsidR="0026256F" w:rsidRPr="00161FEE">
        <w:rPr>
          <w:rFonts w:ascii="Times New Roman" w:hAnsi="Times New Roman"/>
          <w:sz w:val="24"/>
          <w:szCs w:val="24"/>
        </w:rPr>
        <w:t>the Act</w:t>
      </w:r>
      <w:r w:rsidRPr="00161FEE">
        <w:rPr>
          <w:rFonts w:ascii="Times New Roman" w:hAnsi="Times New Roman"/>
          <w:sz w:val="24"/>
          <w:szCs w:val="24"/>
        </w:rPr>
        <w:t>, they have the meaning given by the Act.</w:t>
      </w:r>
    </w:p>
    <w:p w:rsidR="00212FA7" w:rsidRPr="00161FEE" w:rsidRDefault="00212FA7" w:rsidP="00101B59">
      <w:pPr>
        <w:spacing w:after="120" w:line="240" w:lineRule="auto"/>
        <w:rPr>
          <w:rFonts w:ascii="Times New Roman" w:hAnsi="Times New Roman"/>
          <w:sz w:val="24"/>
          <w:szCs w:val="24"/>
        </w:rPr>
      </w:pPr>
      <w:r w:rsidRPr="00161FEE">
        <w:rPr>
          <w:rFonts w:ascii="Times New Roman" w:hAnsi="Times New Roman"/>
          <w:sz w:val="24"/>
          <w:szCs w:val="24"/>
        </w:rPr>
        <w:t xml:space="preserve">Under section 23 of the </w:t>
      </w:r>
      <w:r w:rsidRPr="00161FEE">
        <w:rPr>
          <w:rFonts w:ascii="Times New Roman" w:hAnsi="Times New Roman"/>
          <w:i/>
          <w:sz w:val="24"/>
          <w:szCs w:val="24"/>
        </w:rPr>
        <w:t>Acts Interpretation Act 1901</w:t>
      </w:r>
      <w:r w:rsidRPr="00161FEE">
        <w:rPr>
          <w:rFonts w:ascii="Times New Roman" w:hAnsi="Times New Roman"/>
          <w:sz w:val="24"/>
          <w:szCs w:val="24"/>
        </w:rPr>
        <w:t xml:space="preserve">, words in the </w:t>
      </w:r>
      <w:r w:rsidR="001448C6" w:rsidRPr="00161FEE">
        <w:rPr>
          <w:rFonts w:ascii="Times New Roman" w:hAnsi="Times New Roman"/>
          <w:sz w:val="24"/>
          <w:szCs w:val="24"/>
        </w:rPr>
        <w:t>D</w:t>
      </w:r>
      <w:r w:rsidR="00903C8B" w:rsidRPr="00161FEE">
        <w:rPr>
          <w:rFonts w:ascii="Times New Roman" w:hAnsi="Times New Roman"/>
          <w:sz w:val="24"/>
          <w:szCs w:val="24"/>
        </w:rPr>
        <w:t xml:space="preserve">etermination </w:t>
      </w:r>
      <w:r w:rsidRPr="00161FEE">
        <w:rPr>
          <w:rFonts w:ascii="Times New Roman" w:hAnsi="Times New Roman"/>
          <w:sz w:val="24"/>
          <w:szCs w:val="24"/>
        </w:rPr>
        <w:t>in the singular number include the plural and words in the plural number include the singular.</w:t>
      </w:r>
    </w:p>
    <w:p w:rsidR="00212FA7" w:rsidRPr="00161FEE" w:rsidRDefault="00212FA7" w:rsidP="00101B59">
      <w:pPr>
        <w:spacing w:after="120" w:line="240" w:lineRule="auto"/>
        <w:rPr>
          <w:rFonts w:ascii="Times New Roman" w:eastAsia="Times New Roman" w:hAnsi="Times New Roman"/>
          <w:color w:val="000000"/>
          <w:sz w:val="24"/>
          <w:szCs w:val="24"/>
          <w:lang w:eastAsia="en-AU"/>
        </w:rPr>
      </w:pPr>
      <w:r w:rsidRPr="00161FEE">
        <w:rPr>
          <w:rFonts w:ascii="Times New Roman" w:eastAsia="Times New Roman" w:hAnsi="Times New Roman"/>
          <w:color w:val="000000"/>
          <w:sz w:val="24"/>
          <w:szCs w:val="24"/>
          <w:lang w:eastAsia="en-AU"/>
        </w:rPr>
        <w:t xml:space="preserve">Key definitions </w:t>
      </w:r>
      <w:r w:rsidR="008634C3" w:rsidRPr="00161FEE">
        <w:rPr>
          <w:rFonts w:ascii="Times New Roman" w:eastAsia="Times New Roman" w:hAnsi="Times New Roman"/>
          <w:color w:val="000000"/>
          <w:sz w:val="24"/>
          <w:szCs w:val="24"/>
          <w:lang w:eastAsia="en-AU"/>
        </w:rPr>
        <w:t xml:space="preserve">in section </w:t>
      </w:r>
      <w:r w:rsidRPr="00161FEE">
        <w:rPr>
          <w:rFonts w:ascii="Times New Roman" w:eastAsia="Times New Roman" w:hAnsi="Times New Roman"/>
          <w:color w:val="000000"/>
          <w:sz w:val="24"/>
          <w:szCs w:val="24"/>
          <w:lang w:eastAsia="en-AU"/>
        </w:rPr>
        <w:t>5</w:t>
      </w:r>
      <w:r w:rsidR="00634EA3" w:rsidRPr="00161FEE">
        <w:rPr>
          <w:rFonts w:ascii="Times New Roman" w:eastAsia="Times New Roman" w:hAnsi="Times New Roman"/>
          <w:color w:val="000000"/>
          <w:sz w:val="24"/>
          <w:szCs w:val="24"/>
          <w:lang w:eastAsia="en-AU"/>
        </w:rPr>
        <w:t xml:space="preserve"> of the Determination</w:t>
      </w:r>
      <w:r w:rsidRPr="00161FEE">
        <w:rPr>
          <w:rFonts w:ascii="Times New Roman" w:eastAsia="Times New Roman" w:hAnsi="Times New Roman"/>
          <w:color w:val="000000"/>
          <w:sz w:val="24"/>
          <w:szCs w:val="24"/>
          <w:lang w:eastAsia="en-AU"/>
        </w:rPr>
        <w:t xml:space="preserve"> include those set out below.</w:t>
      </w:r>
    </w:p>
    <w:p w:rsidR="00CE1801" w:rsidRPr="00161FEE" w:rsidRDefault="00CE1801" w:rsidP="007B50FA">
      <w:pPr>
        <w:pStyle w:val="Definition0"/>
        <w:spacing w:before="0" w:after="120"/>
        <w:ind w:left="0"/>
        <w:rPr>
          <w:sz w:val="24"/>
          <w:szCs w:val="24"/>
        </w:rPr>
      </w:pPr>
      <w:r w:rsidRPr="00161FEE">
        <w:rPr>
          <w:b/>
          <w:i/>
          <w:sz w:val="24"/>
          <w:szCs w:val="24"/>
        </w:rPr>
        <w:t xml:space="preserve">Commercial building </w:t>
      </w:r>
      <w:r w:rsidRPr="00161FEE">
        <w:rPr>
          <w:sz w:val="24"/>
          <w:szCs w:val="24"/>
        </w:rPr>
        <w:t>refers to an office building, a shopping centre</w:t>
      </w:r>
      <w:r w:rsidR="001D4335">
        <w:rPr>
          <w:sz w:val="24"/>
          <w:szCs w:val="24"/>
        </w:rPr>
        <w:t xml:space="preserve"> or</w:t>
      </w:r>
      <w:r w:rsidRPr="00161FEE">
        <w:rPr>
          <w:sz w:val="24"/>
          <w:szCs w:val="24"/>
        </w:rPr>
        <w:t xml:space="preserve"> a hotel</w:t>
      </w:r>
      <w:r w:rsidR="00E87B2A" w:rsidRPr="00161FEE">
        <w:rPr>
          <w:sz w:val="24"/>
          <w:szCs w:val="24"/>
        </w:rPr>
        <w:t xml:space="preserve">. </w:t>
      </w:r>
    </w:p>
    <w:p w:rsidR="00417F14" w:rsidRPr="00161FEE" w:rsidRDefault="00506042" w:rsidP="004E1C52">
      <w:pPr>
        <w:pStyle w:val="Definition0"/>
        <w:ind w:left="0"/>
        <w:rPr>
          <w:sz w:val="24"/>
          <w:szCs w:val="24"/>
        </w:rPr>
      </w:pPr>
      <w:r w:rsidRPr="00161FEE">
        <w:rPr>
          <w:b/>
          <w:i/>
          <w:sz w:val="24"/>
          <w:szCs w:val="24"/>
        </w:rPr>
        <w:t>Energy</w:t>
      </w:r>
      <w:r w:rsidRPr="00161FEE">
        <w:rPr>
          <w:b/>
          <w:i/>
          <w:sz w:val="24"/>
          <w:szCs w:val="24"/>
        </w:rPr>
        <w:noBreakHyphen/>
      </w:r>
      <w:proofErr w:type="spellStart"/>
      <w:r w:rsidRPr="00161FEE">
        <w:rPr>
          <w:b/>
          <w:i/>
          <w:sz w:val="24"/>
          <w:szCs w:val="24"/>
        </w:rPr>
        <w:t>consuming</w:t>
      </w:r>
      <w:proofErr w:type="spellEnd"/>
      <w:r w:rsidRPr="00161FEE">
        <w:rPr>
          <w:b/>
          <w:i/>
          <w:sz w:val="24"/>
          <w:szCs w:val="24"/>
        </w:rPr>
        <w:t xml:space="preserve"> equipment </w:t>
      </w:r>
      <w:r w:rsidRPr="00161FEE">
        <w:rPr>
          <w:sz w:val="24"/>
          <w:szCs w:val="24"/>
        </w:rPr>
        <w:t xml:space="preserve">is a general term used to describe equipment (such as </w:t>
      </w:r>
      <w:r w:rsidR="009D534A" w:rsidRPr="00161FEE">
        <w:rPr>
          <w:sz w:val="24"/>
          <w:szCs w:val="24"/>
        </w:rPr>
        <w:t xml:space="preserve">lighting, </w:t>
      </w:r>
      <w:r w:rsidRPr="00161FEE">
        <w:rPr>
          <w:sz w:val="24"/>
          <w:szCs w:val="24"/>
        </w:rPr>
        <w:t>appli</w:t>
      </w:r>
      <w:r w:rsidR="00417F14" w:rsidRPr="00161FEE">
        <w:rPr>
          <w:sz w:val="24"/>
          <w:szCs w:val="24"/>
        </w:rPr>
        <w:t>ances</w:t>
      </w:r>
      <w:r w:rsidR="009D534A" w:rsidRPr="00161FEE">
        <w:rPr>
          <w:sz w:val="24"/>
          <w:szCs w:val="24"/>
        </w:rPr>
        <w:t xml:space="preserve"> and air conditioning systems</w:t>
      </w:r>
      <w:r w:rsidR="00417F14" w:rsidRPr="00161FEE">
        <w:rPr>
          <w:sz w:val="24"/>
          <w:szCs w:val="24"/>
        </w:rPr>
        <w:t>) that consume</w:t>
      </w:r>
      <w:r w:rsidR="00CE7E48" w:rsidRPr="00161FEE">
        <w:rPr>
          <w:sz w:val="24"/>
          <w:szCs w:val="24"/>
        </w:rPr>
        <w:t>s</w:t>
      </w:r>
      <w:r w:rsidR="008141BD" w:rsidRPr="00161FEE">
        <w:rPr>
          <w:sz w:val="24"/>
          <w:szCs w:val="24"/>
        </w:rPr>
        <w:t xml:space="preserve"> energy </w:t>
      </w:r>
      <w:r w:rsidR="00CE7E48" w:rsidRPr="00161FEE">
        <w:rPr>
          <w:sz w:val="24"/>
          <w:szCs w:val="24"/>
        </w:rPr>
        <w:t>that</w:t>
      </w:r>
      <w:r w:rsidRPr="00161FEE">
        <w:rPr>
          <w:sz w:val="24"/>
          <w:szCs w:val="24"/>
        </w:rPr>
        <w:t xml:space="preserve"> is </w:t>
      </w:r>
      <w:r w:rsidR="00417F14" w:rsidRPr="00161FEE">
        <w:rPr>
          <w:sz w:val="24"/>
          <w:szCs w:val="24"/>
        </w:rPr>
        <w:t>included</w:t>
      </w:r>
      <w:r w:rsidRPr="00161FEE">
        <w:rPr>
          <w:sz w:val="24"/>
          <w:szCs w:val="24"/>
        </w:rPr>
        <w:t xml:space="preserve"> in the total energy consumption recorded on the </w:t>
      </w:r>
      <w:r w:rsidRPr="00161FEE">
        <w:rPr>
          <w:b/>
          <w:i/>
          <w:sz w:val="24"/>
          <w:szCs w:val="24"/>
        </w:rPr>
        <w:t xml:space="preserve">NABERS energy rating </w:t>
      </w:r>
      <w:r w:rsidR="00575099" w:rsidRPr="00161FEE">
        <w:rPr>
          <w:b/>
          <w:i/>
          <w:sz w:val="24"/>
          <w:szCs w:val="24"/>
        </w:rPr>
        <w:t>report</w:t>
      </w:r>
      <w:r w:rsidR="00575099" w:rsidRPr="00161FEE">
        <w:rPr>
          <w:sz w:val="24"/>
          <w:szCs w:val="24"/>
        </w:rPr>
        <w:t xml:space="preserve"> </w:t>
      </w:r>
      <w:r w:rsidRPr="00161FEE">
        <w:rPr>
          <w:sz w:val="24"/>
          <w:szCs w:val="24"/>
        </w:rPr>
        <w:t xml:space="preserve">for the building. </w:t>
      </w:r>
    </w:p>
    <w:p w:rsidR="000E1BE0" w:rsidRPr="00161FEE" w:rsidRDefault="004E1C52" w:rsidP="00FF3932">
      <w:pPr>
        <w:pStyle w:val="subsection"/>
        <w:ind w:left="0" w:firstLine="0"/>
        <w:rPr>
          <w:sz w:val="24"/>
          <w:szCs w:val="24"/>
        </w:rPr>
      </w:pPr>
      <w:r w:rsidRPr="00161FEE">
        <w:rPr>
          <w:b/>
          <w:i/>
          <w:sz w:val="24"/>
          <w:szCs w:val="24"/>
        </w:rPr>
        <w:t xml:space="preserve">Measurement period </w:t>
      </w:r>
      <w:r w:rsidR="005E101B" w:rsidRPr="00161FEE">
        <w:rPr>
          <w:sz w:val="24"/>
          <w:szCs w:val="24"/>
        </w:rPr>
        <w:t>refers to</w:t>
      </w:r>
      <w:r w:rsidR="00741EB3" w:rsidRPr="00161FEE">
        <w:rPr>
          <w:sz w:val="24"/>
          <w:szCs w:val="24"/>
        </w:rPr>
        <w:t xml:space="preserve"> </w:t>
      </w:r>
      <w:r w:rsidR="006C0EDC" w:rsidRPr="00161FEE">
        <w:rPr>
          <w:sz w:val="24"/>
          <w:szCs w:val="24"/>
        </w:rPr>
        <w:t xml:space="preserve">a 12-month </w:t>
      </w:r>
      <w:r w:rsidR="00741EB3" w:rsidRPr="00161FEE">
        <w:rPr>
          <w:sz w:val="24"/>
          <w:szCs w:val="24"/>
        </w:rPr>
        <w:t xml:space="preserve">period over which abatement </w:t>
      </w:r>
      <w:r w:rsidR="009738DC" w:rsidRPr="00161FEE">
        <w:rPr>
          <w:sz w:val="24"/>
          <w:szCs w:val="24"/>
        </w:rPr>
        <w:t xml:space="preserve">for a commercial buildings project </w:t>
      </w:r>
      <w:r w:rsidR="00741EB3" w:rsidRPr="00161FEE">
        <w:rPr>
          <w:sz w:val="24"/>
          <w:szCs w:val="24"/>
        </w:rPr>
        <w:t xml:space="preserve">is calculated. </w:t>
      </w:r>
      <w:r w:rsidR="008974E0" w:rsidRPr="00161FEE">
        <w:rPr>
          <w:sz w:val="24"/>
          <w:szCs w:val="24"/>
        </w:rPr>
        <w:t xml:space="preserve">The measurement period </w:t>
      </w:r>
      <w:r w:rsidR="00741EB3" w:rsidRPr="00161FEE">
        <w:rPr>
          <w:sz w:val="24"/>
          <w:szCs w:val="24"/>
        </w:rPr>
        <w:t xml:space="preserve">coincides with a </w:t>
      </w:r>
      <w:r w:rsidRPr="00161FEE">
        <w:rPr>
          <w:b/>
          <w:i/>
          <w:sz w:val="24"/>
          <w:szCs w:val="24"/>
        </w:rPr>
        <w:t>NABERS rating peri</w:t>
      </w:r>
      <w:r w:rsidR="00FC5287" w:rsidRPr="00161FEE">
        <w:rPr>
          <w:b/>
          <w:i/>
          <w:sz w:val="24"/>
          <w:szCs w:val="24"/>
        </w:rPr>
        <w:t xml:space="preserve">od </w:t>
      </w:r>
      <w:r w:rsidR="00FC5287" w:rsidRPr="00161FEE">
        <w:rPr>
          <w:sz w:val="24"/>
          <w:szCs w:val="24"/>
        </w:rPr>
        <w:t>for the building, during whi</w:t>
      </w:r>
      <w:r w:rsidRPr="00161FEE">
        <w:rPr>
          <w:sz w:val="24"/>
          <w:szCs w:val="24"/>
        </w:rPr>
        <w:t>ch energy consump</w:t>
      </w:r>
      <w:r w:rsidR="00FC5287" w:rsidRPr="00161FEE">
        <w:rPr>
          <w:sz w:val="24"/>
          <w:szCs w:val="24"/>
        </w:rPr>
        <w:t xml:space="preserve">tion and </w:t>
      </w:r>
      <w:r w:rsidR="00103814" w:rsidRPr="00161FEE">
        <w:rPr>
          <w:b/>
          <w:i/>
          <w:sz w:val="24"/>
          <w:szCs w:val="24"/>
        </w:rPr>
        <w:t xml:space="preserve">renewable </w:t>
      </w:r>
      <w:r w:rsidR="00FC5287" w:rsidRPr="00161FEE">
        <w:rPr>
          <w:b/>
          <w:i/>
          <w:sz w:val="24"/>
          <w:szCs w:val="24"/>
        </w:rPr>
        <w:t xml:space="preserve">electricity generated </w:t>
      </w:r>
      <w:r w:rsidR="00103814" w:rsidRPr="00161FEE">
        <w:rPr>
          <w:b/>
          <w:i/>
          <w:sz w:val="24"/>
          <w:szCs w:val="24"/>
        </w:rPr>
        <w:t xml:space="preserve">and consumed </w:t>
      </w:r>
      <w:r w:rsidRPr="00161FEE">
        <w:rPr>
          <w:b/>
          <w:i/>
          <w:sz w:val="24"/>
          <w:szCs w:val="24"/>
        </w:rPr>
        <w:t>onsite</w:t>
      </w:r>
      <w:r w:rsidR="00FC5287" w:rsidRPr="00161FEE">
        <w:rPr>
          <w:sz w:val="24"/>
          <w:szCs w:val="24"/>
        </w:rPr>
        <w:t xml:space="preserve"> are measured. </w:t>
      </w:r>
      <w:r w:rsidR="006C0EDC" w:rsidRPr="00161FEE">
        <w:rPr>
          <w:sz w:val="24"/>
          <w:szCs w:val="24"/>
        </w:rPr>
        <w:t>This period lasts</w:t>
      </w:r>
      <w:r w:rsidR="00FC5287" w:rsidRPr="00161FEE">
        <w:rPr>
          <w:sz w:val="24"/>
          <w:szCs w:val="24"/>
        </w:rPr>
        <w:t xml:space="preserve"> for 12 months because NABERS energy</w:t>
      </w:r>
      <w:r w:rsidR="00FE3D22" w:rsidRPr="00161FEE">
        <w:rPr>
          <w:sz w:val="24"/>
          <w:szCs w:val="24"/>
        </w:rPr>
        <w:t xml:space="preserve"> ratings are calculated based on </w:t>
      </w:r>
      <w:r w:rsidR="00FC5287" w:rsidRPr="00161FEE">
        <w:rPr>
          <w:sz w:val="24"/>
          <w:szCs w:val="24"/>
        </w:rPr>
        <w:t xml:space="preserve">12 months of energy consumption data. </w:t>
      </w:r>
    </w:p>
    <w:p w:rsidR="000E1BE0" w:rsidRPr="00161FEE" w:rsidRDefault="00FF3932" w:rsidP="00FF3932">
      <w:pPr>
        <w:pStyle w:val="subsection"/>
        <w:ind w:left="0" w:firstLine="0"/>
        <w:rPr>
          <w:sz w:val="24"/>
          <w:szCs w:val="24"/>
        </w:rPr>
      </w:pPr>
      <w:r w:rsidRPr="00161FEE">
        <w:rPr>
          <w:sz w:val="24"/>
          <w:szCs w:val="24"/>
        </w:rPr>
        <w:t>One or two 12-month measurement periods can constitute a single reporting period for a commercial buildings project. Sections 76(1)(e) and 76(2)(e) of the Act limit the maximum length of a reporting period to two years. As a NABERS rating period lasts 12 months, reporting periods of less than one year are not possible under th</w:t>
      </w:r>
      <w:r w:rsidR="00A2709F" w:rsidRPr="00161FEE">
        <w:rPr>
          <w:sz w:val="24"/>
          <w:szCs w:val="24"/>
        </w:rPr>
        <w:t>e</w:t>
      </w:r>
      <w:r w:rsidRPr="00161FEE">
        <w:rPr>
          <w:sz w:val="24"/>
          <w:szCs w:val="24"/>
        </w:rPr>
        <w:t xml:space="preserve"> Determination. </w:t>
      </w:r>
    </w:p>
    <w:p w:rsidR="00FF3932" w:rsidRPr="00161FEE" w:rsidRDefault="00FF3932" w:rsidP="00FF3932">
      <w:pPr>
        <w:pStyle w:val="subsection"/>
        <w:ind w:left="0" w:firstLine="0"/>
        <w:rPr>
          <w:sz w:val="24"/>
          <w:szCs w:val="24"/>
        </w:rPr>
      </w:pPr>
      <w:r w:rsidRPr="00161FEE">
        <w:rPr>
          <w:sz w:val="24"/>
          <w:szCs w:val="24"/>
        </w:rPr>
        <w:t>Figure 1 illustrates the relationship between NABERS rating periods, measurement periods, reporting periods and the crediting period for commercial buildings projects.</w:t>
      </w:r>
    </w:p>
    <w:p w:rsidR="004A7610" w:rsidRPr="00161FEE" w:rsidRDefault="004A7610" w:rsidP="00FF3932">
      <w:pPr>
        <w:pStyle w:val="subsection"/>
        <w:ind w:left="0" w:firstLine="0"/>
        <w:rPr>
          <w:sz w:val="24"/>
          <w:szCs w:val="24"/>
        </w:rPr>
      </w:pPr>
    </w:p>
    <w:p w:rsidR="0027092E" w:rsidRPr="00161FEE" w:rsidRDefault="00C86AB4" w:rsidP="00DA18B5">
      <w:pPr>
        <w:pStyle w:val="subsection"/>
        <w:rPr>
          <w:i/>
          <w:sz w:val="24"/>
          <w:szCs w:val="24"/>
        </w:rPr>
      </w:pPr>
      <w:r w:rsidRPr="00161FEE">
        <w:rPr>
          <w:bCs/>
          <w:i/>
          <w:sz w:val="24"/>
          <w:szCs w:val="24"/>
        </w:rPr>
        <w:t xml:space="preserve">Figure 1: Time periods in the Determination </w:t>
      </w:r>
    </w:p>
    <w:p w:rsidR="00DA18B5" w:rsidRPr="00161FEE" w:rsidRDefault="00161FEE" w:rsidP="00FC5287">
      <w:pPr>
        <w:pStyle w:val="subsection"/>
        <w:ind w:left="0" w:firstLine="0"/>
        <w:rPr>
          <w:sz w:val="24"/>
          <w:szCs w:val="24"/>
        </w:rPr>
      </w:pPr>
      <w:r w:rsidRPr="00161FEE">
        <w:rPr>
          <w:noProof/>
          <w:sz w:val="24"/>
          <w:szCs w:val="24"/>
        </w:rPr>
        <w:drawing>
          <wp:inline distT="0" distB="0" distL="0" distR="0">
            <wp:extent cx="5952380" cy="2886626"/>
            <wp:effectExtent l="19050" t="0" r="0" b="0"/>
            <wp:docPr id="2" name="Picture 1" descr="C:\Users\A19354\AppData\Local\Microsoft\Windows\Temporary Internet Files\Content.Outlook\9LP70MLZ\NEW Figure 1 - Time periods with 18mth requir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19354\AppData\Local\Microsoft\Windows\Temporary Internet Files\Content.Outlook\9LP70MLZ\NEW Figure 1 - Time periods with 18mth requirement.PNG"/>
                    <pic:cNvPicPr>
                      <a:picLocks noChangeAspect="1" noChangeArrowheads="1"/>
                    </pic:cNvPicPr>
                  </pic:nvPicPr>
                  <pic:blipFill>
                    <a:blip r:embed="rId15"/>
                    <a:srcRect/>
                    <a:stretch>
                      <a:fillRect/>
                    </a:stretch>
                  </pic:blipFill>
                  <pic:spPr bwMode="auto">
                    <a:xfrm>
                      <a:off x="0" y="0"/>
                      <a:ext cx="5955263" cy="2888024"/>
                    </a:xfrm>
                    <a:prstGeom prst="rect">
                      <a:avLst/>
                    </a:prstGeom>
                    <a:noFill/>
                    <a:ln w="9525">
                      <a:noFill/>
                      <a:miter lim="800000"/>
                      <a:headEnd/>
                      <a:tailEnd/>
                    </a:ln>
                  </pic:spPr>
                </pic:pic>
              </a:graphicData>
            </a:graphic>
          </wp:inline>
        </w:drawing>
      </w:r>
      <w:r w:rsidR="004D515A" w:rsidRPr="00161FEE" w:rsidDel="004D515A">
        <w:rPr>
          <w:sz w:val="24"/>
          <w:szCs w:val="24"/>
        </w:rPr>
        <w:t xml:space="preserve"> </w:t>
      </w:r>
    </w:p>
    <w:p w:rsidR="00E51A85" w:rsidRPr="00161FEE" w:rsidRDefault="004E1C52" w:rsidP="004E1C52">
      <w:pPr>
        <w:pStyle w:val="Definition0"/>
        <w:ind w:left="0"/>
        <w:rPr>
          <w:sz w:val="24"/>
          <w:szCs w:val="24"/>
        </w:rPr>
      </w:pPr>
      <w:r w:rsidRPr="00161FEE">
        <w:rPr>
          <w:b/>
          <w:i/>
          <w:sz w:val="24"/>
          <w:szCs w:val="24"/>
        </w:rPr>
        <w:lastRenderedPageBreak/>
        <w:t>NABERS energy rating</w:t>
      </w:r>
      <w:r w:rsidRPr="00161FEE">
        <w:rPr>
          <w:sz w:val="24"/>
          <w:szCs w:val="24"/>
        </w:rPr>
        <w:t xml:space="preserve"> refers to the accredited energy rating, expressed as a number of stars, given to a building that is rated under NABERS. </w:t>
      </w:r>
      <w:r w:rsidR="00613717" w:rsidRPr="00161FEE">
        <w:rPr>
          <w:sz w:val="24"/>
          <w:szCs w:val="24"/>
        </w:rPr>
        <w:t>NABERS energy ratings are</w:t>
      </w:r>
      <w:r w:rsidRPr="00161FEE">
        <w:rPr>
          <w:sz w:val="24"/>
          <w:szCs w:val="24"/>
        </w:rPr>
        <w:t xml:space="preserve"> certified by the NABERS National Administrator. </w:t>
      </w:r>
      <w:r w:rsidR="002E33BF" w:rsidRPr="00161FEE">
        <w:rPr>
          <w:sz w:val="24"/>
          <w:szCs w:val="24"/>
        </w:rPr>
        <w:t>The Determinatio</w:t>
      </w:r>
      <w:r w:rsidR="003B2479" w:rsidRPr="00161FEE">
        <w:rPr>
          <w:sz w:val="24"/>
          <w:szCs w:val="24"/>
        </w:rPr>
        <w:t xml:space="preserve">n requires that a NABERS energy rating be obtained for each building </w:t>
      </w:r>
      <w:r w:rsidR="002E33BF" w:rsidRPr="00161FEE">
        <w:rPr>
          <w:sz w:val="24"/>
          <w:szCs w:val="24"/>
        </w:rPr>
        <w:t>in each measurement period</w:t>
      </w:r>
      <w:r w:rsidR="001A26C0" w:rsidRPr="00161FEE">
        <w:rPr>
          <w:sz w:val="24"/>
          <w:szCs w:val="24"/>
        </w:rPr>
        <w:t xml:space="preserve"> for which abatement is calculated</w:t>
      </w:r>
      <w:r w:rsidR="002E33BF" w:rsidRPr="00161FEE">
        <w:rPr>
          <w:sz w:val="24"/>
          <w:szCs w:val="24"/>
        </w:rPr>
        <w:t xml:space="preserve">. </w:t>
      </w:r>
    </w:p>
    <w:p w:rsidR="0088699E" w:rsidRPr="00161FEE" w:rsidRDefault="00417F14" w:rsidP="004E1C52">
      <w:pPr>
        <w:pStyle w:val="Definition0"/>
        <w:ind w:left="0"/>
        <w:rPr>
          <w:sz w:val="24"/>
          <w:szCs w:val="24"/>
        </w:rPr>
      </w:pPr>
      <w:r w:rsidRPr="00161FEE">
        <w:rPr>
          <w:sz w:val="24"/>
          <w:szCs w:val="24"/>
        </w:rPr>
        <w:t xml:space="preserve">NABERS energy ratings can be expressed with or without </w:t>
      </w:r>
      <w:proofErr w:type="spellStart"/>
      <w:r w:rsidRPr="00161FEE">
        <w:rPr>
          <w:b/>
          <w:i/>
          <w:sz w:val="24"/>
          <w:szCs w:val="24"/>
        </w:rPr>
        <w:t>GreenPower</w:t>
      </w:r>
      <w:proofErr w:type="spellEnd"/>
      <w:r w:rsidRPr="00161FEE">
        <w:rPr>
          <w:sz w:val="24"/>
          <w:szCs w:val="24"/>
        </w:rPr>
        <w:t xml:space="preserve">. The Determination uses </w:t>
      </w:r>
      <w:r w:rsidR="00FD03FC" w:rsidRPr="00161FEE">
        <w:rPr>
          <w:sz w:val="24"/>
          <w:szCs w:val="24"/>
        </w:rPr>
        <w:t xml:space="preserve">the </w:t>
      </w:r>
      <w:r w:rsidRPr="00161FEE">
        <w:rPr>
          <w:sz w:val="24"/>
          <w:szCs w:val="24"/>
        </w:rPr>
        <w:t xml:space="preserve">rating without </w:t>
      </w:r>
      <w:proofErr w:type="spellStart"/>
      <w:r w:rsidRPr="00161FEE">
        <w:rPr>
          <w:sz w:val="24"/>
          <w:szCs w:val="24"/>
        </w:rPr>
        <w:t>GreenPower</w:t>
      </w:r>
      <w:proofErr w:type="spellEnd"/>
      <w:r w:rsidRPr="00161FEE">
        <w:rPr>
          <w:sz w:val="24"/>
          <w:szCs w:val="24"/>
        </w:rPr>
        <w:t xml:space="preserve">, which means that all electricity consumed by the building is treated </w:t>
      </w:r>
      <w:r w:rsidR="00E51A85" w:rsidRPr="00161FEE">
        <w:rPr>
          <w:sz w:val="24"/>
          <w:szCs w:val="24"/>
        </w:rPr>
        <w:t>as if it was purchased from the grid</w:t>
      </w:r>
      <w:r w:rsidR="00AD79E3" w:rsidRPr="00161FEE">
        <w:rPr>
          <w:sz w:val="24"/>
          <w:szCs w:val="24"/>
        </w:rPr>
        <w:t xml:space="preserve">; that is, </w:t>
      </w:r>
      <w:proofErr w:type="spellStart"/>
      <w:r w:rsidR="00AD79E3" w:rsidRPr="00161FEE">
        <w:rPr>
          <w:sz w:val="24"/>
          <w:szCs w:val="24"/>
        </w:rPr>
        <w:t>GreenPower</w:t>
      </w:r>
      <w:proofErr w:type="spellEnd"/>
      <w:r w:rsidR="00AD79E3" w:rsidRPr="00161FEE">
        <w:rPr>
          <w:sz w:val="24"/>
          <w:szCs w:val="24"/>
        </w:rPr>
        <w:t xml:space="preserve"> purchases do not improve the rating</w:t>
      </w:r>
      <w:r w:rsidRPr="00161FEE">
        <w:rPr>
          <w:sz w:val="24"/>
          <w:szCs w:val="24"/>
        </w:rPr>
        <w:t xml:space="preserve">. </w:t>
      </w:r>
    </w:p>
    <w:p w:rsidR="00053134" w:rsidRPr="00161FEE" w:rsidRDefault="00305903" w:rsidP="004E1C52">
      <w:pPr>
        <w:pStyle w:val="Definition0"/>
        <w:ind w:left="0"/>
        <w:rPr>
          <w:sz w:val="24"/>
          <w:szCs w:val="24"/>
        </w:rPr>
      </w:pPr>
      <w:r w:rsidRPr="00161FEE">
        <w:rPr>
          <w:sz w:val="24"/>
          <w:szCs w:val="24"/>
        </w:rPr>
        <w:t xml:space="preserve">If a NABERS energy rating is adjusted by the NABERS National </w:t>
      </w:r>
      <w:r w:rsidR="00DF6D57" w:rsidRPr="00161FEE">
        <w:rPr>
          <w:sz w:val="24"/>
          <w:szCs w:val="24"/>
        </w:rPr>
        <w:t>Administrator</w:t>
      </w:r>
      <w:r w:rsidRPr="00161FEE">
        <w:rPr>
          <w:sz w:val="24"/>
          <w:szCs w:val="24"/>
        </w:rPr>
        <w:t xml:space="preserve"> (following an audit, for example), then the adjusted </w:t>
      </w:r>
      <w:r w:rsidR="00F15839" w:rsidRPr="00161FEE">
        <w:rPr>
          <w:sz w:val="24"/>
          <w:szCs w:val="24"/>
        </w:rPr>
        <w:t xml:space="preserve">NABERS energy </w:t>
      </w:r>
      <w:r w:rsidRPr="00161FEE">
        <w:rPr>
          <w:sz w:val="24"/>
          <w:szCs w:val="24"/>
        </w:rPr>
        <w:t xml:space="preserve">rating </w:t>
      </w:r>
      <w:r w:rsidR="00F15839" w:rsidRPr="00161FEE">
        <w:rPr>
          <w:sz w:val="24"/>
          <w:szCs w:val="24"/>
        </w:rPr>
        <w:t xml:space="preserve">and adjusted NABERS energy rating </w:t>
      </w:r>
      <w:r w:rsidR="00575099" w:rsidRPr="00161FEE">
        <w:rPr>
          <w:sz w:val="24"/>
          <w:szCs w:val="24"/>
        </w:rPr>
        <w:t xml:space="preserve">report </w:t>
      </w:r>
      <w:r w:rsidR="00F15839" w:rsidRPr="00161FEE">
        <w:rPr>
          <w:sz w:val="24"/>
          <w:szCs w:val="24"/>
        </w:rPr>
        <w:t>must be used</w:t>
      </w:r>
      <w:r w:rsidR="008C69CC" w:rsidRPr="00161FEE">
        <w:rPr>
          <w:sz w:val="24"/>
          <w:szCs w:val="24"/>
        </w:rPr>
        <w:t xml:space="preserve"> for the purposes of calculating the net abatement amount. </w:t>
      </w:r>
      <w:r w:rsidR="00053134" w:rsidRPr="00161FEE">
        <w:rPr>
          <w:sz w:val="24"/>
          <w:szCs w:val="24"/>
        </w:rPr>
        <w:t xml:space="preserve">The proponent is not required to use </w:t>
      </w:r>
      <w:r w:rsidR="00F15839" w:rsidRPr="00161FEE">
        <w:rPr>
          <w:sz w:val="24"/>
          <w:szCs w:val="24"/>
        </w:rPr>
        <w:t xml:space="preserve">an </w:t>
      </w:r>
      <w:r w:rsidR="00053134" w:rsidRPr="00161FEE">
        <w:rPr>
          <w:sz w:val="24"/>
          <w:szCs w:val="24"/>
        </w:rPr>
        <w:t xml:space="preserve">adjusted rating </w:t>
      </w:r>
      <w:r w:rsidR="00F15839" w:rsidRPr="00161FEE">
        <w:rPr>
          <w:sz w:val="24"/>
          <w:szCs w:val="24"/>
        </w:rPr>
        <w:t xml:space="preserve">and adjusted </w:t>
      </w:r>
      <w:r w:rsidR="00575099" w:rsidRPr="00161FEE">
        <w:rPr>
          <w:sz w:val="24"/>
          <w:szCs w:val="24"/>
        </w:rPr>
        <w:t xml:space="preserve">report </w:t>
      </w:r>
      <w:r w:rsidR="00845C8F" w:rsidRPr="00161FEE">
        <w:rPr>
          <w:sz w:val="24"/>
          <w:szCs w:val="24"/>
        </w:rPr>
        <w:t xml:space="preserve">if </w:t>
      </w:r>
      <w:r w:rsidR="00053134" w:rsidRPr="00161FEE">
        <w:rPr>
          <w:sz w:val="24"/>
          <w:szCs w:val="24"/>
        </w:rPr>
        <w:t>the offsets report for the relevant reporting period has already been submitted</w:t>
      </w:r>
      <w:r w:rsidR="00845C8F" w:rsidRPr="00161FEE">
        <w:rPr>
          <w:sz w:val="24"/>
          <w:szCs w:val="24"/>
        </w:rPr>
        <w:t xml:space="preserve"> when the adjustment occurs</w:t>
      </w:r>
      <w:r w:rsidR="00053134" w:rsidRPr="00161FEE">
        <w:rPr>
          <w:sz w:val="24"/>
          <w:szCs w:val="24"/>
        </w:rPr>
        <w:t>.</w:t>
      </w:r>
    </w:p>
    <w:p w:rsidR="007D07A1" w:rsidRDefault="00506042" w:rsidP="002E2C51">
      <w:pPr>
        <w:pStyle w:val="subsection"/>
        <w:ind w:left="0" w:firstLine="0"/>
        <w:rPr>
          <w:sz w:val="24"/>
          <w:szCs w:val="24"/>
        </w:rPr>
      </w:pPr>
      <w:r w:rsidRPr="00161FEE">
        <w:rPr>
          <w:b/>
          <w:i/>
          <w:sz w:val="24"/>
          <w:szCs w:val="24"/>
        </w:rPr>
        <w:t xml:space="preserve">NABERS energy rating </w:t>
      </w:r>
      <w:r w:rsidR="00575099" w:rsidRPr="00161FEE">
        <w:rPr>
          <w:b/>
          <w:i/>
          <w:sz w:val="24"/>
          <w:szCs w:val="24"/>
        </w:rPr>
        <w:t>report</w:t>
      </w:r>
      <w:r w:rsidR="00575099" w:rsidRPr="00161FEE">
        <w:rPr>
          <w:sz w:val="24"/>
          <w:szCs w:val="24"/>
        </w:rPr>
        <w:t xml:space="preserve"> </w:t>
      </w:r>
      <w:r w:rsidRPr="00161FEE">
        <w:rPr>
          <w:sz w:val="24"/>
          <w:szCs w:val="24"/>
        </w:rPr>
        <w:t xml:space="preserve">refers to the </w:t>
      </w:r>
      <w:r w:rsidR="00575099" w:rsidRPr="00161FEE">
        <w:rPr>
          <w:sz w:val="24"/>
          <w:szCs w:val="24"/>
        </w:rPr>
        <w:t xml:space="preserve">report </w:t>
      </w:r>
      <w:r w:rsidRPr="00161FEE">
        <w:rPr>
          <w:sz w:val="24"/>
          <w:szCs w:val="24"/>
        </w:rPr>
        <w:t>issued by the NABERS National Administrator that sets out the NABERS energy rating for the building, as well as the key inputs</w:t>
      </w:r>
      <w:r w:rsidR="003F3E13" w:rsidRPr="00161FEE">
        <w:rPr>
          <w:sz w:val="24"/>
          <w:szCs w:val="24"/>
        </w:rPr>
        <w:t xml:space="preserve"> used to calculate the rating such as</w:t>
      </w:r>
      <w:r w:rsidRPr="00161FEE">
        <w:rPr>
          <w:sz w:val="24"/>
          <w:szCs w:val="24"/>
        </w:rPr>
        <w:t xml:space="preserve"> the total amount of ene</w:t>
      </w:r>
      <w:r w:rsidR="008141BD" w:rsidRPr="00161FEE">
        <w:rPr>
          <w:sz w:val="24"/>
          <w:szCs w:val="24"/>
        </w:rPr>
        <w:t>rgy consumption at the </w:t>
      </w:r>
      <w:r w:rsidRPr="00161FEE">
        <w:rPr>
          <w:sz w:val="24"/>
          <w:szCs w:val="24"/>
        </w:rPr>
        <w:t xml:space="preserve">building. </w:t>
      </w:r>
    </w:p>
    <w:p w:rsidR="00F80D1A" w:rsidRPr="00161FEE" w:rsidRDefault="004E1C52" w:rsidP="002E2C51">
      <w:pPr>
        <w:pStyle w:val="subsection"/>
        <w:ind w:left="0" w:firstLine="0"/>
        <w:rPr>
          <w:sz w:val="24"/>
          <w:szCs w:val="24"/>
        </w:rPr>
      </w:pPr>
      <w:r w:rsidRPr="00161FEE">
        <w:rPr>
          <w:b/>
          <w:i/>
          <w:sz w:val="24"/>
          <w:szCs w:val="24"/>
        </w:rPr>
        <w:t>P</w:t>
      </w:r>
      <w:r w:rsidR="00D1268B" w:rsidRPr="00161FEE">
        <w:rPr>
          <w:b/>
          <w:i/>
          <w:sz w:val="24"/>
          <w:szCs w:val="24"/>
        </w:rPr>
        <w:t>revious NABERS energy rating</w:t>
      </w:r>
      <w:r w:rsidR="00321CFA" w:rsidRPr="00161FEE">
        <w:rPr>
          <w:sz w:val="24"/>
          <w:szCs w:val="24"/>
        </w:rPr>
        <w:t xml:space="preserve"> </w:t>
      </w:r>
      <w:r w:rsidR="00277D42" w:rsidRPr="00161FEE">
        <w:rPr>
          <w:sz w:val="24"/>
          <w:szCs w:val="24"/>
        </w:rPr>
        <w:t xml:space="preserve">refers to </w:t>
      </w:r>
      <w:r w:rsidR="00830E4E" w:rsidRPr="00161FEE">
        <w:rPr>
          <w:sz w:val="24"/>
          <w:szCs w:val="24"/>
        </w:rPr>
        <w:t>a</w:t>
      </w:r>
      <w:r w:rsidR="00D1268B" w:rsidRPr="00161FEE">
        <w:rPr>
          <w:sz w:val="24"/>
          <w:szCs w:val="24"/>
        </w:rPr>
        <w:t xml:space="preserve"> NABERS</w:t>
      </w:r>
      <w:r w:rsidR="00321CFA" w:rsidRPr="00161FEE">
        <w:rPr>
          <w:sz w:val="24"/>
          <w:szCs w:val="24"/>
        </w:rPr>
        <w:t xml:space="preserve"> energy rating for the building</w:t>
      </w:r>
      <w:r w:rsidR="001027E9" w:rsidRPr="00161FEE">
        <w:rPr>
          <w:sz w:val="24"/>
          <w:szCs w:val="24"/>
        </w:rPr>
        <w:t xml:space="preserve"> </w:t>
      </w:r>
      <w:r w:rsidR="00CC300F" w:rsidRPr="00161FEE">
        <w:rPr>
          <w:sz w:val="24"/>
          <w:szCs w:val="24"/>
        </w:rPr>
        <w:t xml:space="preserve">with a rating period that ended </w:t>
      </w:r>
      <w:r w:rsidR="00277D42" w:rsidRPr="00161FEE">
        <w:rPr>
          <w:sz w:val="24"/>
          <w:szCs w:val="24"/>
        </w:rPr>
        <w:t xml:space="preserve">before the </w:t>
      </w:r>
      <w:r w:rsidR="00277D42" w:rsidRPr="00161FEE">
        <w:rPr>
          <w:b/>
          <w:i/>
          <w:sz w:val="24"/>
          <w:szCs w:val="24"/>
        </w:rPr>
        <w:t>commencement of project activities</w:t>
      </w:r>
      <w:r w:rsidR="009A3E19">
        <w:rPr>
          <w:sz w:val="24"/>
          <w:szCs w:val="24"/>
        </w:rPr>
        <w:t xml:space="preserve"> but no more than 18 </w:t>
      </w:r>
      <w:r w:rsidR="00CC300F" w:rsidRPr="00161FEE">
        <w:rPr>
          <w:sz w:val="24"/>
          <w:szCs w:val="24"/>
        </w:rPr>
        <w:t xml:space="preserve">months before the </w:t>
      </w:r>
      <w:r w:rsidR="00F9106C" w:rsidRPr="00161FEE">
        <w:rPr>
          <w:sz w:val="24"/>
          <w:szCs w:val="24"/>
        </w:rPr>
        <w:t>start</w:t>
      </w:r>
      <w:r w:rsidR="00CC300F" w:rsidRPr="00161FEE">
        <w:rPr>
          <w:sz w:val="24"/>
          <w:szCs w:val="24"/>
        </w:rPr>
        <w:t xml:space="preserve"> of the crediting period</w:t>
      </w:r>
      <w:r w:rsidR="00CC300F" w:rsidRPr="00161FEE">
        <w:rPr>
          <w:i/>
          <w:sz w:val="24"/>
          <w:szCs w:val="24"/>
        </w:rPr>
        <w:t>.</w:t>
      </w:r>
      <w:r w:rsidR="00CC300F" w:rsidRPr="00161FEE">
        <w:rPr>
          <w:b/>
          <w:i/>
          <w:sz w:val="24"/>
          <w:szCs w:val="24"/>
        </w:rPr>
        <w:t xml:space="preserve"> </w:t>
      </w:r>
      <w:r w:rsidR="00CC300F" w:rsidRPr="00161FEE">
        <w:rPr>
          <w:sz w:val="24"/>
          <w:szCs w:val="24"/>
        </w:rPr>
        <w:t>This rating</w:t>
      </w:r>
      <w:r w:rsidR="00E71D10" w:rsidRPr="00161FEE">
        <w:rPr>
          <w:sz w:val="24"/>
          <w:szCs w:val="24"/>
        </w:rPr>
        <w:t xml:space="preserve"> </w:t>
      </w:r>
      <w:r w:rsidR="00460DA6" w:rsidRPr="00161FEE">
        <w:rPr>
          <w:sz w:val="24"/>
          <w:szCs w:val="24"/>
        </w:rPr>
        <w:t>is used (</w:t>
      </w:r>
      <w:r w:rsidR="008932CB" w:rsidRPr="00161FEE">
        <w:rPr>
          <w:sz w:val="24"/>
          <w:szCs w:val="24"/>
        </w:rPr>
        <w:t xml:space="preserve">after adjusting for </w:t>
      </w:r>
      <w:r w:rsidR="00E71D10" w:rsidRPr="00161FEE">
        <w:rPr>
          <w:sz w:val="24"/>
          <w:szCs w:val="24"/>
        </w:rPr>
        <w:t>business</w:t>
      </w:r>
      <w:r w:rsidR="000B2DFC" w:rsidRPr="00161FEE">
        <w:rPr>
          <w:sz w:val="24"/>
          <w:szCs w:val="24"/>
        </w:rPr>
        <w:t xml:space="preserve"> </w:t>
      </w:r>
      <w:r w:rsidR="00E71D10" w:rsidRPr="00161FEE">
        <w:rPr>
          <w:sz w:val="24"/>
          <w:szCs w:val="24"/>
        </w:rPr>
        <w:t>as</w:t>
      </w:r>
      <w:r w:rsidR="000B2DFC" w:rsidRPr="00161FEE">
        <w:rPr>
          <w:sz w:val="24"/>
          <w:szCs w:val="24"/>
        </w:rPr>
        <w:t xml:space="preserve"> </w:t>
      </w:r>
      <w:r w:rsidR="0048593B" w:rsidRPr="00161FEE">
        <w:rPr>
          <w:sz w:val="24"/>
          <w:szCs w:val="24"/>
        </w:rPr>
        <w:t>usual</w:t>
      </w:r>
      <w:r w:rsidR="008932CB" w:rsidRPr="00161FEE">
        <w:rPr>
          <w:sz w:val="24"/>
          <w:szCs w:val="24"/>
        </w:rPr>
        <w:t xml:space="preserve"> improvements over time</w:t>
      </w:r>
      <w:r w:rsidR="00460DA6" w:rsidRPr="00161FEE">
        <w:rPr>
          <w:sz w:val="24"/>
          <w:szCs w:val="24"/>
        </w:rPr>
        <w:t>) to establish baseline emissions</w:t>
      </w:r>
      <w:r w:rsidR="00321CFA" w:rsidRPr="00161FEE">
        <w:rPr>
          <w:sz w:val="24"/>
          <w:szCs w:val="24"/>
        </w:rPr>
        <w:t>.</w:t>
      </w:r>
      <w:r w:rsidR="00277D42" w:rsidRPr="00161FEE">
        <w:rPr>
          <w:sz w:val="24"/>
          <w:szCs w:val="24"/>
        </w:rPr>
        <w:t xml:space="preserve"> </w:t>
      </w:r>
      <w:r w:rsidR="00B04B7F" w:rsidRPr="00161FEE">
        <w:rPr>
          <w:sz w:val="24"/>
          <w:szCs w:val="24"/>
        </w:rPr>
        <w:t>This</w:t>
      </w:r>
      <w:r w:rsidR="00C30CF6">
        <w:rPr>
          <w:sz w:val="24"/>
          <w:szCs w:val="24"/>
        </w:rPr>
        <w:t> </w:t>
      </w:r>
      <w:r w:rsidR="00B04B7F" w:rsidRPr="00161FEE">
        <w:rPr>
          <w:sz w:val="24"/>
          <w:szCs w:val="24"/>
        </w:rPr>
        <w:t>rating must satisfy a number of requirements</w:t>
      </w:r>
      <w:r w:rsidR="00CD694A" w:rsidRPr="00161FEE">
        <w:rPr>
          <w:sz w:val="24"/>
          <w:szCs w:val="24"/>
        </w:rPr>
        <w:t>,</w:t>
      </w:r>
      <w:r w:rsidR="00B04B7F" w:rsidRPr="00161FEE">
        <w:rPr>
          <w:sz w:val="24"/>
          <w:szCs w:val="24"/>
        </w:rPr>
        <w:t xml:space="preserve"> </w:t>
      </w:r>
      <w:r w:rsidR="00CD694A" w:rsidRPr="00161FEE">
        <w:rPr>
          <w:sz w:val="24"/>
          <w:szCs w:val="24"/>
        </w:rPr>
        <w:t xml:space="preserve">which are set out in section </w:t>
      </w:r>
      <w:r w:rsidR="00A2709F" w:rsidRPr="00161FEE">
        <w:rPr>
          <w:sz w:val="24"/>
          <w:szCs w:val="24"/>
        </w:rPr>
        <w:t>1</w:t>
      </w:r>
      <w:r w:rsidR="00BC3EF9" w:rsidRPr="00161FEE">
        <w:rPr>
          <w:sz w:val="24"/>
          <w:szCs w:val="24"/>
        </w:rPr>
        <w:t>6</w:t>
      </w:r>
      <w:r w:rsidR="00CD694A" w:rsidRPr="00161FEE">
        <w:rPr>
          <w:sz w:val="24"/>
          <w:szCs w:val="24"/>
        </w:rPr>
        <w:t xml:space="preserve">, </w:t>
      </w:r>
      <w:r w:rsidR="00B04B7F" w:rsidRPr="00161FEE">
        <w:rPr>
          <w:sz w:val="24"/>
          <w:szCs w:val="24"/>
        </w:rPr>
        <w:t xml:space="preserve">to </w:t>
      </w:r>
      <w:r w:rsidR="004B1940" w:rsidRPr="00161FEE">
        <w:rPr>
          <w:sz w:val="24"/>
          <w:szCs w:val="24"/>
        </w:rPr>
        <w:t xml:space="preserve">help </w:t>
      </w:r>
      <w:r w:rsidR="00B04B7F" w:rsidRPr="00161FEE">
        <w:rPr>
          <w:sz w:val="24"/>
          <w:szCs w:val="24"/>
        </w:rPr>
        <w:t>ensure that</w:t>
      </w:r>
      <w:r w:rsidR="00460DA6" w:rsidRPr="00161FEE">
        <w:rPr>
          <w:sz w:val="24"/>
          <w:szCs w:val="24"/>
        </w:rPr>
        <w:t xml:space="preserve"> it is a</w:t>
      </w:r>
      <w:r w:rsidR="007E6694" w:rsidRPr="00161FEE">
        <w:rPr>
          <w:sz w:val="24"/>
          <w:szCs w:val="24"/>
        </w:rPr>
        <w:t xml:space="preserve"> </w:t>
      </w:r>
      <w:r w:rsidR="00460DA6" w:rsidRPr="00161FEE">
        <w:rPr>
          <w:sz w:val="24"/>
          <w:szCs w:val="24"/>
        </w:rPr>
        <w:t>robust</w:t>
      </w:r>
      <w:r w:rsidR="007E6694" w:rsidRPr="00161FEE">
        <w:rPr>
          <w:sz w:val="24"/>
          <w:szCs w:val="24"/>
        </w:rPr>
        <w:t xml:space="preserve"> basis </w:t>
      </w:r>
      <w:r w:rsidR="0048593B" w:rsidRPr="00161FEE">
        <w:rPr>
          <w:sz w:val="24"/>
          <w:szCs w:val="24"/>
        </w:rPr>
        <w:t>from which t</w:t>
      </w:r>
      <w:r w:rsidR="00C013A2" w:rsidRPr="00161FEE">
        <w:rPr>
          <w:sz w:val="24"/>
          <w:szCs w:val="24"/>
        </w:rPr>
        <w:t>o calculate baseline emissions. These requirements are intended to</w:t>
      </w:r>
      <w:r w:rsidR="004B1940" w:rsidRPr="00161FEE">
        <w:rPr>
          <w:sz w:val="24"/>
          <w:szCs w:val="24"/>
        </w:rPr>
        <w:t xml:space="preserve"> </w:t>
      </w:r>
      <w:r w:rsidR="00C013A2" w:rsidRPr="00161FEE">
        <w:rPr>
          <w:sz w:val="24"/>
          <w:szCs w:val="24"/>
        </w:rPr>
        <w:t xml:space="preserve">ensure that the previous rating and the rating for the measurement period </w:t>
      </w:r>
      <w:r w:rsidR="00335D6F" w:rsidRPr="00161FEE">
        <w:rPr>
          <w:sz w:val="24"/>
          <w:szCs w:val="24"/>
        </w:rPr>
        <w:t xml:space="preserve">are </w:t>
      </w:r>
      <w:r w:rsidR="00C013A2" w:rsidRPr="00161FEE">
        <w:rPr>
          <w:sz w:val="24"/>
          <w:szCs w:val="24"/>
        </w:rPr>
        <w:t>comparable</w:t>
      </w:r>
      <w:r w:rsidR="00C431C9" w:rsidRPr="00161FEE">
        <w:rPr>
          <w:sz w:val="24"/>
          <w:szCs w:val="24"/>
        </w:rPr>
        <w:t xml:space="preserve"> in scope and coverage</w:t>
      </w:r>
      <w:r w:rsidR="00C013A2" w:rsidRPr="00161FEE">
        <w:rPr>
          <w:sz w:val="24"/>
          <w:szCs w:val="24"/>
        </w:rPr>
        <w:t>.</w:t>
      </w:r>
      <w:r w:rsidR="00BB2181" w:rsidRPr="00161FEE">
        <w:rPr>
          <w:sz w:val="24"/>
          <w:szCs w:val="24"/>
        </w:rPr>
        <w:t xml:space="preserve"> </w:t>
      </w:r>
    </w:p>
    <w:p w:rsidR="0047293E" w:rsidRPr="00161FEE" w:rsidRDefault="0047293E" w:rsidP="0047293E">
      <w:pPr>
        <w:pStyle w:val="Definition0"/>
        <w:ind w:left="0"/>
        <w:rPr>
          <w:sz w:val="24"/>
          <w:szCs w:val="24"/>
        </w:rPr>
      </w:pPr>
      <w:r w:rsidRPr="00161FEE">
        <w:rPr>
          <w:b/>
          <w:i/>
          <w:sz w:val="24"/>
          <w:szCs w:val="24"/>
        </w:rPr>
        <w:t>Relevant NABERS energy reverse calculator</w:t>
      </w:r>
      <w:r w:rsidRPr="00161FEE">
        <w:rPr>
          <w:sz w:val="24"/>
          <w:szCs w:val="24"/>
        </w:rPr>
        <w:t xml:space="preserve"> refers to the NABERS reverse calculator that is used to estimate a building’s energy consumption and greenhouse gas emissions based on the configuration and NABERS energy rating of the building. There are different reverse calculators for different building types. For office buildings, there are different calculators for the different rating types</w:t>
      </w:r>
      <w:r w:rsidR="001D4335">
        <w:rPr>
          <w:sz w:val="24"/>
          <w:szCs w:val="24"/>
        </w:rPr>
        <w:t xml:space="preserve"> (</w:t>
      </w:r>
      <w:r w:rsidRPr="00161FEE">
        <w:rPr>
          <w:sz w:val="24"/>
          <w:szCs w:val="24"/>
        </w:rPr>
        <w:t>whole building, base building or tenancy</w:t>
      </w:r>
      <w:r w:rsidR="001D4335">
        <w:rPr>
          <w:sz w:val="24"/>
          <w:szCs w:val="24"/>
        </w:rPr>
        <w:t>)</w:t>
      </w:r>
      <w:r w:rsidRPr="00161FEE">
        <w:rPr>
          <w:sz w:val="24"/>
          <w:szCs w:val="24"/>
        </w:rPr>
        <w:t>. NABERS reverse calculators are accessible at the NABERS website (</w:t>
      </w:r>
      <w:hyperlink r:id="rId16" w:history="1">
        <w:r w:rsidRPr="00161FEE">
          <w:rPr>
            <w:rStyle w:val="Hyperlink"/>
            <w:sz w:val="24"/>
            <w:szCs w:val="24"/>
          </w:rPr>
          <w:t>www.nabers.gov.au/</w:t>
        </w:r>
      </w:hyperlink>
      <w:r w:rsidRPr="00161FEE">
        <w:rPr>
          <w:sz w:val="24"/>
          <w:szCs w:val="24"/>
        </w:rPr>
        <w:t xml:space="preserve">).  </w:t>
      </w:r>
    </w:p>
    <w:p w:rsidR="00EC6E56" w:rsidRPr="00161FEE" w:rsidRDefault="00A97BEB" w:rsidP="00A97BEB">
      <w:pPr>
        <w:pStyle w:val="Definition0"/>
        <w:spacing w:after="120"/>
        <w:ind w:left="0"/>
        <w:rPr>
          <w:sz w:val="24"/>
          <w:szCs w:val="24"/>
        </w:rPr>
      </w:pPr>
      <w:r w:rsidRPr="00161FEE">
        <w:rPr>
          <w:b/>
          <w:i/>
          <w:sz w:val="24"/>
          <w:szCs w:val="24"/>
        </w:rPr>
        <w:t xml:space="preserve">Renewable electricity generated and consumed onsite </w:t>
      </w:r>
      <w:r w:rsidRPr="00161FEE">
        <w:rPr>
          <w:sz w:val="24"/>
          <w:szCs w:val="24"/>
        </w:rPr>
        <w:t xml:space="preserve">refers to electricity </w:t>
      </w:r>
      <w:r w:rsidR="00EC6E56" w:rsidRPr="00161FEE">
        <w:rPr>
          <w:sz w:val="24"/>
          <w:szCs w:val="24"/>
        </w:rPr>
        <w:t xml:space="preserve">that is: </w:t>
      </w:r>
    </w:p>
    <w:p w:rsidR="0080330E" w:rsidRPr="00161FEE" w:rsidRDefault="00A97BEB" w:rsidP="00871957">
      <w:pPr>
        <w:pStyle w:val="ListParagraph"/>
        <w:numPr>
          <w:ilvl w:val="0"/>
          <w:numId w:val="4"/>
        </w:numPr>
        <w:spacing w:after="120" w:line="240" w:lineRule="auto"/>
        <w:rPr>
          <w:rFonts w:ascii="Times New Roman" w:hAnsi="Times New Roman"/>
          <w:sz w:val="24"/>
          <w:szCs w:val="24"/>
        </w:rPr>
      </w:pPr>
      <w:r w:rsidRPr="00161FEE">
        <w:rPr>
          <w:rFonts w:ascii="Times New Roman" w:hAnsi="Times New Roman"/>
          <w:sz w:val="24"/>
          <w:szCs w:val="24"/>
        </w:rPr>
        <w:t xml:space="preserve">generated from renewable sources at the building in the measurement </w:t>
      </w:r>
      <w:r w:rsidR="00EC6E56" w:rsidRPr="00161FEE">
        <w:rPr>
          <w:rFonts w:ascii="Times New Roman" w:hAnsi="Times New Roman"/>
          <w:sz w:val="24"/>
          <w:szCs w:val="24"/>
        </w:rPr>
        <w:t>period</w:t>
      </w:r>
      <w:r w:rsidR="0080330E" w:rsidRPr="00161FEE">
        <w:rPr>
          <w:rFonts w:ascii="Times New Roman" w:hAnsi="Times New Roman"/>
          <w:sz w:val="24"/>
          <w:szCs w:val="24"/>
        </w:rPr>
        <w:t>;</w:t>
      </w:r>
    </w:p>
    <w:p w:rsidR="00EC6E56" w:rsidRPr="00161FEE" w:rsidRDefault="00A97BEB" w:rsidP="00871957">
      <w:pPr>
        <w:pStyle w:val="ListParagraph"/>
        <w:numPr>
          <w:ilvl w:val="0"/>
          <w:numId w:val="4"/>
        </w:numPr>
        <w:spacing w:after="120" w:line="240" w:lineRule="auto"/>
        <w:rPr>
          <w:rFonts w:ascii="Times New Roman" w:hAnsi="Times New Roman"/>
          <w:sz w:val="24"/>
          <w:szCs w:val="24"/>
        </w:rPr>
      </w:pPr>
      <w:r w:rsidRPr="00161FEE">
        <w:rPr>
          <w:rFonts w:ascii="Times New Roman" w:hAnsi="Times New Roman"/>
          <w:sz w:val="24"/>
          <w:szCs w:val="24"/>
        </w:rPr>
        <w:t>consumed by energy-consuming equipment at the building</w:t>
      </w:r>
      <w:r w:rsidR="00EC6E56" w:rsidRPr="00161FEE">
        <w:rPr>
          <w:rFonts w:ascii="Times New Roman" w:hAnsi="Times New Roman"/>
          <w:sz w:val="24"/>
          <w:szCs w:val="24"/>
        </w:rPr>
        <w:t>;</w:t>
      </w:r>
    </w:p>
    <w:p w:rsidR="009026E8" w:rsidRPr="00161FEE" w:rsidRDefault="00A97BEB" w:rsidP="00871957">
      <w:pPr>
        <w:pStyle w:val="ListParagraph"/>
        <w:numPr>
          <w:ilvl w:val="0"/>
          <w:numId w:val="4"/>
        </w:numPr>
        <w:spacing w:after="120" w:line="240" w:lineRule="auto"/>
        <w:rPr>
          <w:rFonts w:ascii="Times New Roman" w:hAnsi="Times New Roman"/>
          <w:sz w:val="24"/>
          <w:szCs w:val="24"/>
        </w:rPr>
      </w:pPr>
      <w:r w:rsidRPr="00161FEE">
        <w:rPr>
          <w:rFonts w:ascii="Times New Roman" w:hAnsi="Times New Roman"/>
          <w:sz w:val="24"/>
          <w:szCs w:val="24"/>
        </w:rPr>
        <w:t>generated by equipment that was installed at the building after the</w:t>
      </w:r>
      <w:r w:rsidR="003508C9" w:rsidRPr="00161FEE">
        <w:rPr>
          <w:rFonts w:ascii="Times New Roman" w:hAnsi="Times New Roman"/>
          <w:sz w:val="24"/>
          <w:szCs w:val="24"/>
        </w:rPr>
        <w:t xml:space="preserve"> beginning of the </w:t>
      </w:r>
      <w:r w:rsidR="009026E8" w:rsidRPr="00161FEE">
        <w:rPr>
          <w:rFonts w:ascii="Times New Roman" w:hAnsi="Times New Roman"/>
          <w:sz w:val="24"/>
          <w:szCs w:val="24"/>
        </w:rPr>
        <w:t xml:space="preserve"> NABERS rating period for the</w:t>
      </w:r>
      <w:r w:rsidRPr="00161FEE">
        <w:rPr>
          <w:rFonts w:ascii="Times New Roman" w:hAnsi="Times New Roman"/>
          <w:sz w:val="24"/>
          <w:szCs w:val="24"/>
        </w:rPr>
        <w:t xml:space="preserve"> previous NABERS energy rating</w:t>
      </w:r>
      <w:r w:rsidR="009026E8" w:rsidRPr="00161FEE">
        <w:rPr>
          <w:rFonts w:ascii="Times New Roman" w:hAnsi="Times New Roman"/>
          <w:sz w:val="24"/>
          <w:szCs w:val="24"/>
        </w:rPr>
        <w:t>;</w:t>
      </w:r>
    </w:p>
    <w:p w:rsidR="00EC6E56" w:rsidRPr="00161FEE" w:rsidRDefault="009026E8" w:rsidP="00871957">
      <w:pPr>
        <w:pStyle w:val="ListParagraph"/>
        <w:numPr>
          <w:ilvl w:val="0"/>
          <w:numId w:val="4"/>
        </w:numPr>
        <w:spacing w:after="120" w:line="240" w:lineRule="auto"/>
        <w:rPr>
          <w:rFonts w:ascii="Times New Roman" w:hAnsi="Times New Roman"/>
          <w:sz w:val="24"/>
          <w:szCs w:val="24"/>
        </w:rPr>
      </w:pPr>
      <w:r w:rsidRPr="00161FEE">
        <w:rPr>
          <w:rFonts w:ascii="Times New Roman" w:hAnsi="Times New Roman"/>
          <w:sz w:val="24"/>
          <w:szCs w:val="24"/>
        </w:rPr>
        <w:t xml:space="preserve">generated by </w:t>
      </w:r>
      <w:r w:rsidR="00A97BEB" w:rsidRPr="00161FEE">
        <w:rPr>
          <w:rFonts w:ascii="Times New Roman" w:hAnsi="Times New Roman"/>
          <w:sz w:val="24"/>
          <w:szCs w:val="24"/>
        </w:rPr>
        <w:t xml:space="preserve">equipment </w:t>
      </w:r>
      <w:r w:rsidRPr="00161FEE">
        <w:rPr>
          <w:rFonts w:ascii="Times New Roman" w:hAnsi="Times New Roman"/>
          <w:sz w:val="24"/>
          <w:szCs w:val="24"/>
        </w:rPr>
        <w:t xml:space="preserve">that </w:t>
      </w:r>
      <w:r w:rsidR="00A97BEB" w:rsidRPr="00161FEE">
        <w:rPr>
          <w:rFonts w:ascii="Times New Roman" w:hAnsi="Times New Roman"/>
          <w:sz w:val="24"/>
          <w:szCs w:val="24"/>
        </w:rPr>
        <w:t>could not be included</w:t>
      </w:r>
      <w:r w:rsidR="00ED5C74" w:rsidRPr="00161FEE">
        <w:rPr>
          <w:rFonts w:ascii="Times New Roman" w:hAnsi="Times New Roman"/>
          <w:sz w:val="24"/>
          <w:szCs w:val="24"/>
        </w:rPr>
        <w:t xml:space="preserve"> in an eligible offsets project</w:t>
      </w:r>
      <w:r w:rsidR="00A97BEB" w:rsidRPr="00161FEE">
        <w:rPr>
          <w:rFonts w:ascii="Times New Roman" w:hAnsi="Times New Roman"/>
          <w:sz w:val="24"/>
          <w:szCs w:val="24"/>
        </w:rPr>
        <w:t xml:space="preserve"> under the legislative rules</w:t>
      </w:r>
      <w:r w:rsidR="00C63096" w:rsidRPr="00161FEE">
        <w:rPr>
          <w:rFonts w:ascii="Times New Roman" w:hAnsi="Times New Roman"/>
          <w:sz w:val="24"/>
          <w:szCs w:val="24"/>
        </w:rPr>
        <w:t xml:space="preserve"> (if any)</w:t>
      </w:r>
      <w:r w:rsidR="00A97BEB" w:rsidRPr="00161FEE">
        <w:rPr>
          <w:rFonts w:ascii="Times New Roman" w:hAnsi="Times New Roman"/>
          <w:sz w:val="24"/>
          <w:szCs w:val="24"/>
        </w:rPr>
        <w:t xml:space="preserve"> relating to the government program</w:t>
      </w:r>
      <w:r w:rsidR="00CD4831">
        <w:rPr>
          <w:rFonts w:ascii="Times New Roman" w:hAnsi="Times New Roman"/>
          <w:sz w:val="24"/>
          <w:szCs w:val="24"/>
        </w:rPr>
        <w:t>me</w:t>
      </w:r>
      <w:r w:rsidR="00A97BEB" w:rsidRPr="00161FEE">
        <w:rPr>
          <w:rFonts w:ascii="Times New Roman" w:hAnsi="Times New Roman"/>
          <w:sz w:val="24"/>
          <w:szCs w:val="24"/>
        </w:rPr>
        <w:t xml:space="preserve"> requirement in section</w:t>
      </w:r>
      <w:r w:rsidR="00D2029F" w:rsidRPr="00161FEE">
        <w:rPr>
          <w:rFonts w:ascii="Times New Roman" w:hAnsi="Times New Roman"/>
          <w:sz w:val="24"/>
          <w:szCs w:val="24"/>
        </w:rPr>
        <w:t> </w:t>
      </w:r>
      <w:r w:rsidR="00A97BEB" w:rsidRPr="00161FEE">
        <w:rPr>
          <w:rFonts w:ascii="Times New Roman" w:hAnsi="Times New Roman"/>
          <w:sz w:val="24"/>
          <w:szCs w:val="24"/>
        </w:rPr>
        <w:t>27(4A)(c)(ii) of the Act</w:t>
      </w:r>
      <w:r w:rsidR="00EC6E56" w:rsidRPr="00161FEE">
        <w:rPr>
          <w:rFonts w:ascii="Times New Roman" w:hAnsi="Times New Roman"/>
          <w:sz w:val="24"/>
          <w:szCs w:val="24"/>
        </w:rPr>
        <w:t>; and</w:t>
      </w:r>
    </w:p>
    <w:p w:rsidR="00A97BEB" w:rsidRPr="00161FEE" w:rsidRDefault="00A97BEB" w:rsidP="00871957">
      <w:pPr>
        <w:pStyle w:val="ListParagraph"/>
        <w:numPr>
          <w:ilvl w:val="0"/>
          <w:numId w:val="4"/>
        </w:numPr>
        <w:spacing w:after="120" w:line="240" w:lineRule="auto"/>
        <w:rPr>
          <w:rFonts w:ascii="Times New Roman" w:hAnsi="Times New Roman"/>
          <w:sz w:val="24"/>
          <w:szCs w:val="24"/>
        </w:rPr>
      </w:pPr>
      <w:r w:rsidRPr="00161FEE">
        <w:rPr>
          <w:rFonts w:ascii="Times New Roman" w:hAnsi="Times New Roman"/>
          <w:sz w:val="24"/>
          <w:szCs w:val="24"/>
        </w:rPr>
        <w:t xml:space="preserve">not taken into account in the total amount of electricity consumption recorded in the NABERS energy rating </w:t>
      </w:r>
      <w:r w:rsidR="00575099" w:rsidRPr="00161FEE">
        <w:rPr>
          <w:rFonts w:ascii="Times New Roman" w:hAnsi="Times New Roman"/>
          <w:sz w:val="24"/>
          <w:szCs w:val="24"/>
        </w:rPr>
        <w:t>report</w:t>
      </w:r>
      <w:r w:rsidRPr="00161FEE">
        <w:rPr>
          <w:rFonts w:ascii="Times New Roman" w:hAnsi="Times New Roman"/>
          <w:sz w:val="24"/>
          <w:szCs w:val="24"/>
        </w:rPr>
        <w:t>.</w:t>
      </w:r>
    </w:p>
    <w:p w:rsidR="005C5B6C" w:rsidRPr="00161FEE" w:rsidRDefault="003C151E" w:rsidP="005C5B6C">
      <w:pPr>
        <w:pStyle w:val="Definition0"/>
        <w:spacing w:before="0" w:after="120"/>
        <w:ind w:left="0"/>
        <w:rPr>
          <w:sz w:val="24"/>
          <w:szCs w:val="24"/>
        </w:rPr>
      </w:pPr>
      <w:r w:rsidRPr="00161FEE">
        <w:rPr>
          <w:sz w:val="24"/>
          <w:szCs w:val="24"/>
        </w:rPr>
        <w:t>There is an adjustment for renewable electricity generated and consumed onsite in</w:t>
      </w:r>
      <w:r w:rsidR="005C5B6C" w:rsidRPr="00161FEE">
        <w:rPr>
          <w:sz w:val="24"/>
          <w:szCs w:val="24"/>
        </w:rPr>
        <w:t xml:space="preserve"> the calculation of the net abatement amount</w:t>
      </w:r>
      <w:r w:rsidR="00D24299" w:rsidRPr="00161FEE">
        <w:rPr>
          <w:sz w:val="24"/>
          <w:szCs w:val="24"/>
        </w:rPr>
        <w:t>. The adjustment is included</w:t>
      </w:r>
      <w:r w:rsidR="005C5B6C" w:rsidRPr="00161FEE">
        <w:rPr>
          <w:sz w:val="24"/>
          <w:szCs w:val="24"/>
        </w:rPr>
        <w:t xml:space="preserve"> so that credits are not </w:t>
      </w:r>
      <w:r w:rsidR="005C5B6C" w:rsidRPr="00161FEE">
        <w:rPr>
          <w:sz w:val="24"/>
          <w:szCs w:val="24"/>
        </w:rPr>
        <w:lastRenderedPageBreak/>
        <w:t xml:space="preserve">issued for </w:t>
      </w:r>
      <w:r w:rsidR="00C02BB0" w:rsidRPr="00161FEE">
        <w:rPr>
          <w:sz w:val="24"/>
          <w:szCs w:val="24"/>
        </w:rPr>
        <w:t xml:space="preserve">any renewable energy activities that could not be included as part of an </w:t>
      </w:r>
      <w:r w:rsidR="00860DCD" w:rsidRPr="00161FEE">
        <w:rPr>
          <w:sz w:val="24"/>
          <w:szCs w:val="24"/>
        </w:rPr>
        <w:t xml:space="preserve">eligible offsets project under the legislative rules </w:t>
      </w:r>
      <w:r w:rsidR="007B24F1" w:rsidRPr="00161FEE">
        <w:rPr>
          <w:sz w:val="24"/>
          <w:szCs w:val="24"/>
        </w:rPr>
        <w:t>rela</w:t>
      </w:r>
      <w:r w:rsidR="00860DCD" w:rsidRPr="00161FEE">
        <w:rPr>
          <w:sz w:val="24"/>
          <w:szCs w:val="24"/>
        </w:rPr>
        <w:t>ting to the government program</w:t>
      </w:r>
      <w:r w:rsidR="00CD4831">
        <w:rPr>
          <w:sz w:val="24"/>
          <w:szCs w:val="24"/>
        </w:rPr>
        <w:t>me</w:t>
      </w:r>
      <w:r w:rsidR="00860DCD" w:rsidRPr="00161FEE">
        <w:rPr>
          <w:sz w:val="24"/>
          <w:szCs w:val="24"/>
        </w:rPr>
        <w:t xml:space="preserve"> requirement</w:t>
      </w:r>
      <w:r w:rsidR="003F759D" w:rsidRPr="00161FEE">
        <w:rPr>
          <w:sz w:val="24"/>
          <w:szCs w:val="24"/>
        </w:rPr>
        <w:t xml:space="preserve">. </w:t>
      </w:r>
      <w:r w:rsidR="007D07A1">
        <w:rPr>
          <w:sz w:val="24"/>
          <w:szCs w:val="24"/>
        </w:rPr>
        <w:t>This is intended to ensure that projects which can make this adjustment are not precluded from being an eligible offsets project under the government programme requirement.</w:t>
      </w:r>
    </w:p>
    <w:p w:rsidR="00161FEE" w:rsidRDefault="00161FEE" w:rsidP="00153788">
      <w:pPr>
        <w:pStyle w:val="ListParagraph"/>
        <w:widowControl w:val="0"/>
        <w:spacing w:after="120" w:line="240" w:lineRule="auto"/>
        <w:ind w:left="0"/>
        <w:rPr>
          <w:rFonts w:ascii="Times New Roman" w:hAnsi="Times New Roman"/>
          <w:color w:val="000000"/>
          <w:sz w:val="24"/>
          <w:szCs w:val="24"/>
          <w:u w:val="single"/>
        </w:rPr>
      </w:pPr>
    </w:p>
    <w:p w:rsidR="00153788" w:rsidRPr="00161FEE" w:rsidRDefault="00153788" w:rsidP="00153788">
      <w:pPr>
        <w:pStyle w:val="ListParagraph"/>
        <w:widowControl w:val="0"/>
        <w:spacing w:after="120" w:line="240" w:lineRule="auto"/>
        <w:ind w:left="0"/>
        <w:rPr>
          <w:rFonts w:ascii="Times New Roman" w:hAnsi="Times New Roman"/>
          <w:color w:val="000000"/>
          <w:sz w:val="24"/>
          <w:szCs w:val="24"/>
          <w:u w:val="single"/>
        </w:rPr>
      </w:pPr>
      <w:r w:rsidRPr="00161FEE">
        <w:rPr>
          <w:rFonts w:ascii="Times New Roman" w:hAnsi="Times New Roman"/>
          <w:color w:val="000000"/>
          <w:sz w:val="24"/>
          <w:szCs w:val="24"/>
          <w:u w:val="single"/>
        </w:rPr>
        <w:t>6</w:t>
      </w:r>
      <w:r w:rsidRPr="00161FEE">
        <w:rPr>
          <w:rFonts w:ascii="Times New Roman" w:hAnsi="Times New Roman"/>
          <w:color w:val="000000"/>
          <w:sz w:val="24"/>
          <w:szCs w:val="24"/>
          <w:u w:val="single"/>
        </w:rPr>
        <w:tab/>
        <w:t>References to factors and parameters from external sources</w:t>
      </w:r>
    </w:p>
    <w:p w:rsidR="00153788" w:rsidRPr="00161FEE" w:rsidRDefault="00153788" w:rsidP="00153788">
      <w:pPr>
        <w:pStyle w:val="ListParagraph"/>
        <w:widowControl w:val="0"/>
        <w:spacing w:after="120" w:line="240" w:lineRule="auto"/>
        <w:ind w:left="0"/>
        <w:rPr>
          <w:rFonts w:ascii="Times New Roman" w:hAnsi="Times New Roman"/>
          <w:color w:val="000000"/>
          <w:sz w:val="24"/>
          <w:szCs w:val="24"/>
        </w:rPr>
      </w:pPr>
      <w:r w:rsidRPr="00161FEE">
        <w:rPr>
          <w:rFonts w:ascii="Times New Roman" w:hAnsi="Times New Roman"/>
          <w:color w:val="000000"/>
          <w:sz w:val="24"/>
          <w:szCs w:val="24"/>
        </w:rPr>
        <w:t xml:space="preserve">The calculation of the net abatement amount in the Determination includes factors </w:t>
      </w:r>
      <w:r w:rsidR="0047293E" w:rsidRPr="00161FEE">
        <w:rPr>
          <w:rFonts w:ascii="Times New Roman" w:hAnsi="Times New Roman"/>
          <w:color w:val="000000"/>
          <w:sz w:val="24"/>
          <w:szCs w:val="24"/>
        </w:rPr>
        <w:t xml:space="preserve">and parameters determined </w:t>
      </w:r>
      <w:r w:rsidRPr="00161FEE">
        <w:rPr>
          <w:rFonts w:ascii="Times New Roman" w:hAnsi="Times New Roman"/>
          <w:color w:val="000000"/>
          <w:sz w:val="24"/>
          <w:szCs w:val="24"/>
        </w:rPr>
        <w:t xml:space="preserve">from other sources, such as emissions factors from the </w:t>
      </w:r>
      <w:r w:rsidRPr="00161FEE">
        <w:rPr>
          <w:rFonts w:ascii="Times New Roman" w:hAnsi="Times New Roman"/>
          <w:b/>
          <w:i/>
          <w:color w:val="000000"/>
          <w:sz w:val="24"/>
          <w:szCs w:val="24"/>
        </w:rPr>
        <w:t>NGER (Measurement) Determination</w:t>
      </w:r>
      <w:r w:rsidR="0047293E" w:rsidRPr="00161FEE">
        <w:rPr>
          <w:rFonts w:ascii="Times New Roman" w:hAnsi="Times New Roman"/>
          <w:color w:val="000000"/>
          <w:sz w:val="24"/>
          <w:szCs w:val="24"/>
        </w:rPr>
        <w:t xml:space="preserve"> and energy consumption </w:t>
      </w:r>
      <w:r w:rsidR="005E6094" w:rsidRPr="00161FEE">
        <w:rPr>
          <w:rFonts w:ascii="Times New Roman" w:hAnsi="Times New Roman"/>
          <w:color w:val="000000"/>
          <w:sz w:val="24"/>
          <w:szCs w:val="24"/>
        </w:rPr>
        <w:t xml:space="preserve">data derived from </w:t>
      </w:r>
      <w:r w:rsidR="0047293E" w:rsidRPr="00161FEE">
        <w:rPr>
          <w:rFonts w:ascii="Times New Roman" w:hAnsi="Times New Roman"/>
          <w:color w:val="000000"/>
          <w:sz w:val="24"/>
          <w:szCs w:val="24"/>
        </w:rPr>
        <w:t>a relevant NABERS energy reverse calculator</w:t>
      </w:r>
      <w:r w:rsidR="007F7FDE" w:rsidRPr="00161FEE">
        <w:rPr>
          <w:rFonts w:ascii="Times New Roman" w:hAnsi="Times New Roman"/>
          <w:color w:val="000000"/>
          <w:sz w:val="24"/>
          <w:szCs w:val="24"/>
        </w:rPr>
        <w:t>.</w:t>
      </w:r>
      <w:r w:rsidRPr="00161FEE">
        <w:rPr>
          <w:rFonts w:ascii="Times New Roman" w:hAnsi="Times New Roman"/>
          <w:color w:val="000000"/>
          <w:sz w:val="24"/>
          <w:szCs w:val="24"/>
        </w:rPr>
        <w:t xml:space="preserve"> </w:t>
      </w:r>
      <w:r w:rsidR="00494FA9" w:rsidRPr="00161FEE">
        <w:rPr>
          <w:rFonts w:ascii="Times New Roman" w:hAnsi="Times New Roman"/>
          <w:color w:val="000000"/>
          <w:sz w:val="24"/>
          <w:szCs w:val="24"/>
        </w:rPr>
        <w:t>Section 6</w:t>
      </w:r>
      <w:r w:rsidRPr="00161FEE">
        <w:rPr>
          <w:rFonts w:ascii="Times New Roman" w:hAnsi="Times New Roman"/>
          <w:color w:val="000000"/>
          <w:sz w:val="24"/>
          <w:szCs w:val="24"/>
        </w:rPr>
        <w:t xml:space="preserve"> specifies that such factors or parameters should be </w:t>
      </w:r>
      <w:r w:rsidR="002742B8" w:rsidRPr="00161FEE">
        <w:rPr>
          <w:rFonts w:ascii="Times New Roman" w:hAnsi="Times New Roman"/>
          <w:color w:val="000000"/>
          <w:sz w:val="24"/>
          <w:szCs w:val="24"/>
        </w:rPr>
        <w:t xml:space="preserve">determined by using </w:t>
      </w:r>
      <w:r w:rsidRPr="00161FEE">
        <w:rPr>
          <w:rFonts w:ascii="Times New Roman" w:hAnsi="Times New Roman"/>
          <w:color w:val="000000"/>
          <w:sz w:val="24"/>
          <w:szCs w:val="24"/>
        </w:rPr>
        <w:t>the version of the external source that is current at the end of the reporting period</w:t>
      </w:r>
      <w:r w:rsidR="0078354E" w:rsidRPr="00161FEE">
        <w:rPr>
          <w:rFonts w:ascii="Times New Roman" w:hAnsi="Times New Roman"/>
          <w:color w:val="000000"/>
          <w:sz w:val="24"/>
          <w:szCs w:val="24"/>
        </w:rPr>
        <w:t>, unless the Determination specifies otherwise</w:t>
      </w:r>
      <w:r w:rsidRPr="00161FEE">
        <w:rPr>
          <w:rFonts w:ascii="Times New Roman" w:hAnsi="Times New Roman"/>
          <w:color w:val="000000"/>
          <w:sz w:val="24"/>
          <w:szCs w:val="24"/>
        </w:rPr>
        <w:t xml:space="preserve">. </w:t>
      </w:r>
    </w:p>
    <w:p w:rsidR="00B61D95" w:rsidRPr="00161FEE" w:rsidRDefault="00B61D95" w:rsidP="00B61D95">
      <w:pPr>
        <w:pStyle w:val="ListParagraph"/>
        <w:widowControl w:val="0"/>
        <w:spacing w:after="120" w:line="240" w:lineRule="auto"/>
        <w:ind w:left="0"/>
        <w:rPr>
          <w:rFonts w:ascii="Times New Roman" w:hAnsi="Times New Roman"/>
          <w:color w:val="000000"/>
          <w:sz w:val="24"/>
          <w:szCs w:val="24"/>
        </w:rPr>
      </w:pPr>
      <w:r w:rsidRPr="00161FEE">
        <w:rPr>
          <w:rFonts w:ascii="Times New Roman" w:hAnsi="Times New Roman"/>
          <w:color w:val="000000"/>
          <w:sz w:val="24"/>
          <w:szCs w:val="24"/>
        </w:rPr>
        <w:t xml:space="preserve">The requirement to use versions of referenced documents current at the </w:t>
      </w:r>
      <w:r w:rsidR="00EF7165" w:rsidRPr="00161FEE">
        <w:rPr>
          <w:rFonts w:ascii="Times New Roman" w:hAnsi="Times New Roman"/>
          <w:color w:val="000000"/>
          <w:sz w:val="24"/>
          <w:szCs w:val="24"/>
        </w:rPr>
        <w:t>end of the reporting period</w:t>
      </w:r>
      <w:r w:rsidRPr="00161FEE">
        <w:rPr>
          <w:rFonts w:ascii="Times New Roman" w:hAnsi="Times New Roman"/>
          <w:color w:val="000000"/>
          <w:sz w:val="24"/>
          <w:szCs w:val="24"/>
        </w:rPr>
        <w:t xml:space="preserve"> does not apply to the emissions factor for electricity. The Determination states that the relevant emissions factor for electricity must be derived from the </w:t>
      </w:r>
      <w:r w:rsidRPr="00161FEE">
        <w:rPr>
          <w:rFonts w:ascii="Times New Roman" w:hAnsi="Times New Roman"/>
          <w:b/>
          <w:i/>
          <w:color w:val="000000"/>
          <w:sz w:val="24"/>
          <w:szCs w:val="24"/>
        </w:rPr>
        <w:t>National Greenhouse Accounts (NGA) Factors document</w:t>
      </w:r>
      <w:r w:rsidRPr="00161FEE">
        <w:rPr>
          <w:rFonts w:ascii="Times New Roman" w:hAnsi="Times New Roman"/>
          <w:color w:val="000000"/>
          <w:sz w:val="24"/>
          <w:szCs w:val="24"/>
        </w:rPr>
        <w:t xml:space="preserve"> in force on the day the project is declared an eligible offsets project.</w:t>
      </w:r>
      <w:r w:rsidR="004C7630" w:rsidRPr="00161FEE">
        <w:rPr>
          <w:rFonts w:ascii="Times New Roman" w:hAnsi="Times New Roman"/>
          <w:color w:val="000000"/>
          <w:sz w:val="24"/>
          <w:szCs w:val="24"/>
        </w:rPr>
        <w:t xml:space="preserve"> The electricity emissions factor is discussed in more detail in section 2</w:t>
      </w:r>
      <w:r w:rsidR="00F97BDF" w:rsidRPr="00161FEE">
        <w:rPr>
          <w:rFonts w:ascii="Times New Roman" w:hAnsi="Times New Roman"/>
          <w:color w:val="000000"/>
          <w:sz w:val="24"/>
          <w:szCs w:val="24"/>
        </w:rPr>
        <w:t>1</w:t>
      </w:r>
      <w:r w:rsidR="004C7630" w:rsidRPr="00161FEE">
        <w:rPr>
          <w:rFonts w:ascii="Times New Roman" w:hAnsi="Times New Roman"/>
          <w:color w:val="000000"/>
          <w:sz w:val="24"/>
          <w:szCs w:val="24"/>
        </w:rPr>
        <w:t>.</w:t>
      </w:r>
      <w:r w:rsidRPr="00161FEE">
        <w:rPr>
          <w:rFonts w:ascii="Times New Roman" w:hAnsi="Times New Roman"/>
          <w:color w:val="000000"/>
          <w:sz w:val="24"/>
          <w:szCs w:val="24"/>
        </w:rPr>
        <w:t xml:space="preserve"> </w:t>
      </w:r>
    </w:p>
    <w:p w:rsidR="00153788" w:rsidRPr="00161FEE" w:rsidRDefault="00153788" w:rsidP="00153788">
      <w:pPr>
        <w:pStyle w:val="ListParagraph"/>
        <w:widowControl w:val="0"/>
        <w:spacing w:after="120" w:line="240" w:lineRule="auto"/>
        <w:ind w:left="0"/>
        <w:rPr>
          <w:rFonts w:ascii="Times New Roman" w:hAnsi="Times New Roman"/>
          <w:color w:val="000000"/>
          <w:sz w:val="24"/>
          <w:szCs w:val="24"/>
        </w:rPr>
      </w:pPr>
      <w:r w:rsidRPr="00161FEE">
        <w:rPr>
          <w:rFonts w:ascii="Times New Roman" w:hAnsi="Times New Roman"/>
          <w:color w:val="000000"/>
          <w:sz w:val="24"/>
          <w:szCs w:val="24"/>
        </w:rPr>
        <w:t xml:space="preserve">   </w:t>
      </w:r>
    </w:p>
    <w:p w:rsidR="007934E1" w:rsidRPr="00161FEE" w:rsidRDefault="007934E1" w:rsidP="007934E1">
      <w:pPr>
        <w:pStyle w:val="subsection"/>
        <w:ind w:left="0" w:firstLine="0"/>
        <w:rPr>
          <w:sz w:val="24"/>
          <w:szCs w:val="24"/>
        </w:rPr>
      </w:pPr>
    </w:p>
    <w:p w:rsidR="007934E1" w:rsidRPr="00161FEE" w:rsidRDefault="007934E1" w:rsidP="00101B59">
      <w:pPr>
        <w:spacing w:after="120" w:line="240" w:lineRule="auto"/>
        <w:rPr>
          <w:rFonts w:ascii="Times New Roman" w:hAnsi="Times New Roman"/>
          <w:sz w:val="24"/>
          <w:szCs w:val="24"/>
        </w:rPr>
      </w:pPr>
    </w:p>
    <w:p w:rsidR="006324C1" w:rsidRPr="00161FEE" w:rsidRDefault="006324C1" w:rsidP="00101B59">
      <w:pPr>
        <w:pageBreakBefore/>
        <w:spacing w:after="120" w:line="240" w:lineRule="auto"/>
        <w:rPr>
          <w:rFonts w:ascii="Times New Roman" w:hAnsi="Times New Roman"/>
          <w:b/>
          <w:sz w:val="24"/>
          <w:szCs w:val="24"/>
        </w:rPr>
      </w:pPr>
      <w:r w:rsidRPr="00161FEE">
        <w:rPr>
          <w:rFonts w:ascii="Times New Roman" w:hAnsi="Times New Roman"/>
          <w:b/>
          <w:sz w:val="24"/>
          <w:szCs w:val="24"/>
        </w:rPr>
        <w:lastRenderedPageBreak/>
        <w:t>Part 2</w:t>
      </w:r>
      <w:r w:rsidRPr="00161FEE">
        <w:rPr>
          <w:rFonts w:ascii="Times New Roman" w:hAnsi="Times New Roman"/>
          <w:b/>
          <w:sz w:val="24"/>
          <w:szCs w:val="24"/>
        </w:rPr>
        <w:tab/>
      </w:r>
      <w:r w:rsidRPr="00161FEE">
        <w:rPr>
          <w:rFonts w:ascii="Times New Roman" w:hAnsi="Times New Roman"/>
          <w:b/>
          <w:sz w:val="24"/>
          <w:szCs w:val="24"/>
        </w:rPr>
        <w:tab/>
      </w:r>
      <w:r w:rsidR="00181168" w:rsidRPr="00161FEE">
        <w:rPr>
          <w:rFonts w:ascii="Times New Roman" w:hAnsi="Times New Roman"/>
          <w:b/>
          <w:sz w:val="24"/>
          <w:szCs w:val="24"/>
        </w:rPr>
        <w:t>Commercial buildings</w:t>
      </w:r>
      <w:r w:rsidRPr="00161FEE">
        <w:rPr>
          <w:rFonts w:ascii="Times New Roman" w:hAnsi="Times New Roman"/>
          <w:b/>
          <w:sz w:val="24"/>
          <w:szCs w:val="24"/>
        </w:rPr>
        <w:t xml:space="preserve"> project</w:t>
      </w:r>
      <w:r w:rsidR="00021937" w:rsidRPr="00161FEE">
        <w:rPr>
          <w:rFonts w:ascii="Times New Roman" w:hAnsi="Times New Roman"/>
          <w:b/>
          <w:sz w:val="24"/>
          <w:szCs w:val="24"/>
        </w:rPr>
        <w:t>s</w:t>
      </w:r>
    </w:p>
    <w:p w:rsidR="00915BEF" w:rsidRPr="00161FEE" w:rsidRDefault="00494FA9" w:rsidP="00101B59">
      <w:pPr>
        <w:spacing w:after="120" w:line="240" w:lineRule="auto"/>
        <w:rPr>
          <w:rFonts w:ascii="Times New Roman" w:hAnsi="Times New Roman"/>
          <w:sz w:val="24"/>
          <w:szCs w:val="24"/>
          <w:u w:val="single"/>
        </w:rPr>
      </w:pPr>
      <w:r w:rsidRPr="00161FEE">
        <w:rPr>
          <w:rFonts w:ascii="Times New Roman" w:hAnsi="Times New Roman"/>
          <w:sz w:val="24"/>
          <w:szCs w:val="24"/>
          <w:u w:val="single"/>
        </w:rPr>
        <w:t>7</w:t>
      </w:r>
      <w:r w:rsidR="006E2DDB" w:rsidRPr="00161FEE">
        <w:rPr>
          <w:rFonts w:ascii="Times New Roman" w:hAnsi="Times New Roman"/>
          <w:sz w:val="24"/>
          <w:szCs w:val="24"/>
          <w:u w:val="single"/>
        </w:rPr>
        <w:tab/>
      </w:r>
      <w:r w:rsidR="00181168" w:rsidRPr="00161FEE">
        <w:rPr>
          <w:rFonts w:ascii="Times New Roman" w:hAnsi="Times New Roman"/>
          <w:sz w:val="24"/>
          <w:szCs w:val="24"/>
          <w:u w:val="single"/>
        </w:rPr>
        <w:t>Commercial buildings</w:t>
      </w:r>
      <w:r w:rsidR="006324C1" w:rsidRPr="00161FEE">
        <w:rPr>
          <w:rFonts w:ascii="Times New Roman" w:hAnsi="Times New Roman"/>
          <w:sz w:val="24"/>
          <w:szCs w:val="24"/>
          <w:u w:val="single"/>
        </w:rPr>
        <w:t xml:space="preserve"> projects</w:t>
      </w:r>
    </w:p>
    <w:p w:rsidR="00A90287" w:rsidRPr="00161FEE" w:rsidRDefault="00915BEF" w:rsidP="00101B59">
      <w:pPr>
        <w:spacing w:after="120" w:line="240" w:lineRule="auto"/>
        <w:rPr>
          <w:rFonts w:ascii="Times New Roman" w:hAnsi="Times New Roman"/>
          <w:sz w:val="24"/>
          <w:szCs w:val="24"/>
        </w:rPr>
      </w:pPr>
      <w:r w:rsidRPr="00161FEE">
        <w:rPr>
          <w:rFonts w:ascii="Times New Roman" w:hAnsi="Times New Roman"/>
          <w:sz w:val="24"/>
          <w:szCs w:val="24"/>
        </w:rPr>
        <w:t>The effect of</w:t>
      </w:r>
      <w:r w:rsidR="00F17BC1" w:rsidRPr="00161FEE">
        <w:rPr>
          <w:rFonts w:ascii="Times New Roman" w:hAnsi="Times New Roman"/>
          <w:sz w:val="24"/>
          <w:szCs w:val="24"/>
        </w:rPr>
        <w:t xml:space="preserve"> paragraph</w:t>
      </w:r>
      <w:r w:rsidR="009C6C4C" w:rsidRPr="00161FEE">
        <w:rPr>
          <w:rFonts w:ascii="Times New Roman" w:hAnsi="Times New Roman"/>
          <w:sz w:val="24"/>
          <w:szCs w:val="24"/>
        </w:rPr>
        <w:t>s 27(4)(b) and</w:t>
      </w:r>
      <w:r w:rsidR="00F17BC1" w:rsidRPr="00161FEE">
        <w:rPr>
          <w:rFonts w:ascii="Times New Roman" w:hAnsi="Times New Roman"/>
          <w:sz w:val="24"/>
          <w:szCs w:val="24"/>
        </w:rPr>
        <w:t xml:space="preserve"> 106(1)</w:t>
      </w:r>
      <w:r w:rsidRPr="00161FEE">
        <w:rPr>
          <w:rFonts w:ascii="Times New Roman" w:hAnsi="Times New Roman"/>
          <w:sz w:val="24"/>
          <w:szCs w:val="24"/>
        </w:rPr>
        <w:t xml:space="preserve">(a) of the Act is that a </w:t>
      </w:r>
      <w:r w:rsidR="009C6C4C" w:rsidRPr="00161FEE">
        <w:rPr>
          <w:rFonts w:ascii="Times New Roman" w:hAnsi="Times New Roman"/>
          <w:sz w:val="24"/>
          <w:szCs w:val="24"/>
        </w:rPr>
        <w:t xml:space="preserve">project must be covered by a </w:t>
      </w:r>
      <w:r w:rsidRPr="00161FEE">
        <w:rPr>
          <w:rFonts w:ascii="Times New Roman" w:hAnsi="Times New Roman"/>
          <w:sz w:val="24"/>
          <w:szCs w:val="24"/>
        </w:rPr>
        <w:t>methodology determination</w:t>
      </w:r>
      <w:r w:rsidR="009C6C4C" w:rsidRPr="00161FEE">
        <w:rPr>
          <w:rFonts w:ascii="Times New Roman" w:hAnsi="Times New Roman"/>
          <w:sz w:val="24"/>
          <w:szCs w:val="24"/>
        </w:rPr>
        <w:t xml:space="preserve">, and </w:t>
      </w:r>
      <w:r w:rsidR="00DA0BB1" w:rsidRPr="00161FEE">
        <w:rPr>
          <w:rFonts w:ascii="Times New Roman" w:hAnsi="Times New Roman"/>
          <w:sz w:val="24"/>
          <w:szCs w:val="24"/>
        </w:rPr>
        <w:t xml:space="preserve">that </w:t>
      </w:r>
      <w:r w:rsidR="009C6C4C" w:rsidRPr="00161FEE">
        <w:rPr>
          <w:rFonts w:ascii="Times New Roman" w:hAnsi="Times New Roman"/>
          <w:sz w:val="24"/>
          <w:szCs w:val="24"/>
        </w:rPr>
        <w:t xml:space="preserve">the </w:t>
      </w:r>
      <w:r w:rsidR="00985C9E" w:rsidRPr="00161FEE">
        <w:rPr>
          <w:rFonts w:ascii="Times New Roman" w:hAnsi="Times New Roman"/>
          <w:sz w:val="24"/>
          <w:szCs w:val="24"/>
        </w:rPr>
        <w:t xml:space="preserve">methodology </w:t>
      </w:r>
      <w:r w:rsidR="009C6C4C" w:rsidRPr="00161FEE">
        <w:rPr>
          <w:rFonts w:ascii="Times New Roman" w:hAnsi="Times New Roman"/>
          <w:sz w:val="24"/>
          <w:szCs w:val="24"/>
        </w:rPr>
        <w:t>determination</w:t>
      </w:r>
      <w:r w:rsidRPr="00161FEE">
        <w:rPr>
          <w:rFonts w:ascii="Times New Roman" w:hAnsi="Times New Roman"/>
          <w:sz w:val="24"/>
          <w:szCs w:val="24"/>
        </w:rPr>
        <w:t xml:space="preserve"> must </w:t>
      </w:r>
      <w:r w:rsidR="00F13046" w:rsidRPr="00161FEE">
        <w:rPr>
          <w:rFonts w:ascii="Times New Roman" w:hAnsi="Times New Roman"/>
          <w:sz w:val="24"/>
          <w:szCs w:val="24"/>
        </w:rPr>
        <w:t xml:space="preserve">specify the </w:t>
      </w:r>
      <w:r w:rsidRPr="00161FEE">
        <w:rPr>
          <w:rFonts w:ascii="Times New Roman" w:hAnsi="Times New Roman"/>
          <w:sz w:val="24"/>
          <w:szCs w:val="24"/>
        </w:rPr>
        <w:t>kind of offsets project</w:t>
      </w:r>
      <w:r w:rsidR="00F13046" w:rsidRPr="00161FEE">
        <w:rPr>
          <w:rFonts w:ascii="Times New Roman" w:hAnsi="Times New Roman"/>
          <w:sz w:val="24"/>
          <w:szCs w:val="24"/>
        </w:rPr>
        <w:t xml:space="preserve"> to which </w:t>
      </w:r>
      <w:r w:rsidR="004E67CA" w:rsidRPr="00161FEE">
        <w:rPr>
          <w:rFonts w:ascii="Times New Roman" w:hAnsi="Times New Roman"/>
          <w:sz w:val="24"/>
          <w:szCs w:val="24"/>
        </w:rPr>
        <w:t>it</w:t>
      </w:r>
      <w:r w:rsidR="00F13046" w:rsidRPr="00161FEE">
        <w:rPr>
          <w:rFonts w:ascii="Times New Roman" w:hAnsi="Times New Roman"/>
          <w:sz w:val="24"/>
          <w:szCs w:val="24"/>
        </w:rPr>
        <w:t xml:space="preserve"> applies</w:t>
      </w:r>
      <w:r w:rsidRPr="00161FEE">
        <w:rPr>
          <w:rFonts w:ascii="Times New Roman" w:hAnsi="Times New Roman"/>
          <w:sz w:val="24"/>
          <w:szCs w:val="24"/>
        </w:rPr>
        <w:t>.</w:t>
      </w:r>
      <w:r w:rsidR="00CB03A9" w:rsidRPr="00161FEE">
        <w:rPr>
          <w:rFonts w:ascii="Times New Roman" w:hAnsi="Times New Roman"/>
          <w:sz w:val="24"/>
          <w:szCs w:val="24"/>
        </w:rPr>
        <w:t xml:space="preserve">  </w:t>
      </w:r>
    </w:p>
    <w:p w:rsidR="00F20038" w:rsidRPr="00161FEE" w:rsidRDefault="002B46B8" w:rsidP="00101B59">
      <w:pPr>
        <w:spacing w:after="120" w:line="240" w:lineRule="auto"/>
        <w:rPr>
          <w:rFonts w:ascii="Times New Roman" w:hAnsi="Times New Roman"/>
          <w:sz w:val="24"/>
          <w:szCs w:val="24"/>
        </w:rPr>
      </w:pPr>
      <w:r w:rsidRPr="00161FEE">
        <w:rPr>
          <w:rFonts w:ascii="Times New Roman" w:hAnsi="Times New Roman"/>
          <w:sz w:val="24"/>
          <w:szCs w:val="24"/>
        </w:rPr>
        <w:t xml:space="preserve">Section </w:t>
      </w:r>
      <w:r w:rsidR="00494FA9" w:rsidRPr="00161FEE">
        <w:rPr>
          <w:rFonts w:ascii="Times New Roman" w:hAnsi="Times New Roman"/>
          <w:sz w:val="24"/>
          <w:szCs w:val="24"/>
        </w:rPr>
        <w:t>7</w:t>
      </w:r>
      <w:r w:rsidR="008737D6" w:rsidRPr="00161FEE">
        <w:rPr>
          <w:rFonts w:ascii="Times New Roman" w:hAnsi="Times New Roman"/>
          <w:sz w:val="24"/>
          <w:szCs w:val="24"/>
        </w:rPr>
        <w:t xml:space="preserve"> provides that the</w:t>
      </w:r>
      <w:r w:rsidR="00F2139B" w:rsidRPr="00161FEE">
        <w:rPr>
          <w:rFonts w:ascii="Times New Roman" w:hAnsi="Times New Roman"/>
          <w:sz w:val="24"/>
          <w:szCs w:val="24"/>
        </w:rPr>
        <w:t xml:space="preserve"> </w:t>
      </w:r>
      <w:r w:rsidR="009C4FF2" w:rsidRPr="00161FEE">
        <w:rPr>
          <w:rFonts w:ascii="Times New Roman" w:hAnsi="Times New Roman"/>
          <w:sz w:val="24"/>
          <w:szCs w:val="24"/>
        </w:rPr>
        <w:t>Determination</w:t>
      </w:r>
      <w:r w:rsidR="008737D6" w:rsidRPr="00161FEE">
        <w:rPr>
          <w:rFonts w:ascii="Times New Roman" w:hAnsi="Times New Roman"/>
          <w:sz w:val="24"/>
          <w:szCs w:val="24"/>
        </w:rPr>
        <w:t xml:space="preserve"> appl</w:t>
      </w:r>
      <w:r w:rsidR="0055117D" w:rsidRPr="00161FEE">
        <w:rPr>
          <w:rFonts w:ascii="Times New Roman" w:hAnsi="Times New Roman"/>
          <w:sz w:val="24"/>
          <w:szCs w:val="24"/>
        </w:rPr>
        <w:t>ies</w:t>
      </w:r>
      <w:r w:rsidR="008737D6" w:rsidRPr="00161FEE">
        <w:rPr>
          <w:rFonts w:ascii="Times New Roman" w:hAnsi="Times New Roman"/>
          <w:sz w:val="24"/>
          <w:szCs w:val="24"/>
        </w:rPr>
        <w:t xml:space="preserve"> to </w:t>
      </w:r>
      <w:r w:rsidR="00A93148" w:rsidRPr="00161FEE">
        <w:rPr>
          <w:rFonts w:ascii="Times New Roman" w:hAnsi="Times New Roman"/>
          <w:sz w:val="24"/>
          <w:szCs w:val="24"/>
        </w:rPr>
        <w:t>an</w:t>
      </w:r>
      <w:r w:rsidR="008737D6" w:rsidRPr="00161FEE">
        <w:rPr>
          <w:rFonts w:ascii="Times New Roman" w:hAnsi="Times New Roman"/>
          <w:sz w:val="24"/>
          <w:szCs w:val="24"/>
        </w:rPr>
        <w:t xml:space="preserve"> offsets project </w:t>
      </w:r>
      <w:r w:rsidR="00DE20A4" w:rsidRPr="00161FEE">
        <w:rPr>
          <w:rFonts w:ascii="Times New Roman" w:hAnsi="Times New Roman"/>
          <w:sz w:val="24"/>
          <w:szCs w:val="24"/>
        </w:rPr>
        <w:t xml:space="preserve">that </w:t>
      </w:r>
      <w:r w:rsidR="00D6607C" w:rsidRPr="00161FEE">
        <w:rPr>
          <w:rFonts w:ascii="Times New Roman" w:hAnsi="Times New Roman"/>
          <w:sz w:val="24"/>
          <w:szCs w:val="24"/>
        </w:rPr>
        <w:t>involv</w:t>
      </w:r>
      <w:r w:rsidR="00DE20A4" w:rsidRPr="00161FEE">
        <w:rPr>
          <w:rFonts w:ascii="Times New Roman" w:hAnsi="Times New Roman"/>
          <w:sz w:val="24"/>
          <w:szCs w:val="24"/>
        </w:rPr>
        <w:t>es</w:t>
      </w:r>
      <w:r w:rsidR="00E44048" w:rsidRPr="00161FEE">
        <w:rPr>
          <w:rFonts w:ascii="Times New Roman" w:hAnsi="Times New Roman"/>
          <w:sz w:val="24"/>
          <w:szCs w:val="24"/>
        </w:rPr>
        <w:t xml:space="preserve"> </w:t>
      </w:r>
      <w:r w:rsidR="00DB1D9D" w:rsidRPr="00161FEE">
        <w:rPr>
          <w:rFonts w:ascii="Times New Roman" w:hAnsi="Times New Roman"/>
          <w:sz w:val="24"/>
          <w:szCs w:val="24"/>
        </w:rPr>
        <w:t xml:space="preserve">undertaking certain </w:t>
      </w:r>
      <w:r w:rsidR="009C2DB0" w:rsidRPr="00161FEE">
        <w:rPr>
          <w:rFonts w:ascii="Times New Roman" w:hAnsi="Times New Roman"/>
          <w:sz w:val="24"/>
          <w:szCs w:val="24"/>
        </w:rPr>
        <w:t xml:space="preserve">kinds of </w:t>
      </w:r>
      <w:r w:rsidR="00E44048" w:rsidRPr="00161FEE">
        <w:rPr>
          <w:rFonts w:ascii="Times New Roman" w:hAnsi="Times New Roman"/>
          <w:sz w:val="24"/>
          <w:szCs w:val="24"/>
        </w:rPr>
        <w:t xml:space="preserve">activities </w:t>
      </w:r>
      <w:r w:rsidR="00F20038" w:rsidRPr="00161FEE">
        <w:rPr>
          <w:rFonts w:ascii="Times New Roman" w:hAnsi="Times New Roman"/>
          <w:sz w:val="24"/>
          <w:szCs w:val="24"/>
        </w:rPr>
        <w:t xml:space="preserve">in </w:t>
      </w:r>
      <w:r w:rsidR="003F2C06" w:rsidRPr="00161FEE">
        <w:rPr>
          <w:rFonts w:ascii="Times New Roman" w:hAnsi="Times New Roman"/>
          <w:sz w:val="24"/>
          <w:szCs w:val="24"/>
        </w:rPr>
        <w:t xml:space="preserve">one or more </w:t>
      </w:r>
      <w:r w:rsidR="00365D85" w:rsidRPr="00161FEE">
        <w:rPr>
          <w:rFonts w:ascii="Times New Roman" w:hAnsi="Times New Roman"/>
          <w:sz w:val="24"/>
          <w:szCs w:val="24"/>
        </w:rPr>
        <w:t>existing</w:t>
      </w:r>
      <w:r w:rsidR="00D1090F" w:rsidRPr="00161FEE">
        <w:rPr>
          <w:rFonts w:ascii="Times New Roman" w:hAnsi="Times New Roman"/>
          <w:sz w:val="24"/>
          <w:szCs w:val="24"/>
        </w:rPr>
        <w:t xml:space="preserve"> commercial </w:t>
      </w:r>
      <w:r w:rsidR="00B75B95" w:rsidRPr="00161FEE">
        <w:rPr>
          <w:rFonts w:ascii="Times New Roman" w:hAnsi="Times New Roman"/>
          <w:sz w:val="24"/>
          <w:szCs w:val="24"/>
        </w:rPr>
        <w:t>buildings that have</w:t>
      </w:r>
      <w:r w:rsidR="00DB141E" w:rsidRPr="00161FEE">
        <w:rPr>
          <w:rFonts w:ascii="Times New Roman" w:hAnsi="Times New Roman"/>
          <w:sz w:val="24"/>
          <w:szCs w:val="24"/>
        </w:rPr>
        <w:t xml:space="preserve">, or are eligible to have, </w:t>
      </w:r>
      <w:r w:rsidR="00D1090F" w:rsidRPr="00161FEE">
        <w:rPr>
          <w:rFonts w:ascii="Times New Roman" w:hAnsi="Times New Roman"/>
          <w:sz w:val="24"/>
          <w:szCs w:val="24"/>
        </w:rPr>
        <w:t>NABERS energy rating</w:t>
      </w:r>
      <w:r w:rsidR="00DB141E" w:rsidRPr="00161FEE">
        <w:rPr>
          <w:rFonts w:ascii="Times New Roman" w:hAnsi="Times New Roman"/>
          <w:sz w:val="24"/>
          <w:szCs w:val="24"/>
        </w:rPr>
        <w:t>s</w:t>
      </w:r>
      <w:r w:rsidR="00D1090F" w:rsidRPr="00161FEE">
        <w:rPr>
          <w:rFonts w:ascii="Times New Roman" w:hAnsi="Times New Roman"/>
          <w:sz w:val="24"/>
          <w:szCs w:val="24"/>
        </w:rPr>
        <w:t>.</w:t>
      </w:r>
      <w:r w:rsidR="00496BC7" w:rsidRPr="00161FEE">
        <w:rPr>
          <w:rFonts w:ascii="Times New Roman" w:hAnsi="Times New Roman"/>
          <w:sz w:val="24"/>
          <w:szCs w:val="24"/>
        </w:rPr>
        <w:t xml:space="preserve"> The Determination does not specify the particular activities that must be undertaken, but requires </w:t>
      </w:r>
      <w:r w:rsidR="00F122A9" w:rsidRPr="00161FEE">
        <w:rPr>
          <w:rFonts w:ascii="Times New Roman" w:hAnsi="Times New Roman"/>
          <w:sz w:val="24"/>
          <w:szCs w:val="24"/>
        </w:rPr>
        <w:t xml:space="preserve">that the </w:t>
      </w:r>
      <w:r w:rsidR="00D414DA" w:rsidRPr="00161FEE">
        <w:rPr>
          <w:rFonts w:ascii="Times New Roman" w:hAnsi="Times New Roman"/>
          <w:sz w:val="24"/>
          <w:szCs w:val="24"/>
        </w:rPr>
        <w:t xml:space="preserve">activities </w:t>
      </w:r>
      <w:r w:rsidR="00496BC7" w:rsidRPr="00161FEE">
        <w:rPr>
          <w:rFonts w:ascii="Times New Roman" w:hAnsi="Times New Roman"/>
          <w:sz w:val="24"/>
          <w:szCs w:val="24"/>
        </w:rPr>
        <w:t>fall under the follow</w:t>
      </w:r>
      <w:r w:rsidR="00E77080" w:rsidRPr="00161FEE">
        <w:rPr>
          <w:rFonts w:ascii="Times New Roman" w:hAnsi="Times New Roman"/>
          <w:sz w:val="24"/>
          <w:szCs w:val="24"/>
        </w:rPr>
        <w:t>ing</w:t>
      </w:r>
      <w:r w:rsidR="00496BC7" w:rsidRPr="00161FEE">
        <w:rPr>
          <w:rFonts w:ascii="Times New Roman" w:hAnsi="Times New Roman"/>
          <w:sz w:val="24"/>
          <w:szCs w:val="24"/>
        </w:rPr>
        <w:t xml:space="preserve"> broad categories</w:t>
      </w:r>
      <w:r w:rsidR="00F20038" w:rsidRPr="00161FEE">
        <w:rPr>
          <w:rFonts w:ascii="Times New Roman" w:hAnsi="Times New Roman"/>
          <w:sz w:val="24"/>
          <w:szCs w:val="24"/>
        </w:rPr>
        <w:t>:</w:t>
      </w:r>
    </w:p>
    <w:p w:rsidR="000F7197" w:rsidRPr="00161FEE" w:rsidRDefault="000F7197" w:rsidP="000F7197">
      <w:pPr>
        <w:pStyle w:val="Definition0"/>
        <w:numPr>
          <w:ilvl w:val="0"/>
          <w:numId w:val="25"/>
        </w:numPr>
        <w:spacing w:before="0" w:after="120"/>
        <w:ind w:left="714" w:hanging="357"/>
        <w:rPr>
          <w:sz w:val="24"/>
          <w:szCs w:val="24"/>
        </w:rPr>
      </w:pPr>
      <w:r w:rsidRPr="00161FEE">
        <w:rPr>
          <w:sz w:val="24"/>
          <w:szCs w:val="24"/>
        </w:rPr>
        <w:t>modifying, installing, removing or replacing:</w:t>
      </w:r>
    </w:p>
    <w:p w:rsidR="000F7197" w:rsidRPr="00161FEE" w:rsidRDefault="000F7197" w:rsidP="000F7197">
      <w:pPr>
        <w:pStyle w:val="Definition0"/>
        <w:numPr>
          <w:ilvl w:val="1"/>
          <w:numId w:val="25"/>
        </w:numPr>
        <w:spacing w:before="0" w:after="120"/>
        <w:rPr>
          <w:sz w:val="24"/>
          <w:szCs w:val="24"/>
        </w:rPr>
      </w:pPr>
      <w:r w:rsidRPr="00161FEE">
        <w:rPr>
          <w:sz w:val="24"/>
          <w:szCs w:val="24"/>
        </w:rPr>
        <w:t>energy-consuming equipment;</w:t>
      </w:r>
    </w:p>
    <w:p w:rsidR="000F7197" w:rsidRPr="00161FEE" w:rsidRDefault="000F7197" w:rsidP="000F7197">
      <w:pPr>
        <w:pStyle w:val="Definition0"/>
        <w:numPr>
          <w:ilvl w:val="1"/>
          <w:numId w:val="25"/>
        </w:numPr>
        <w:spacing w:before="0" w:after="120"/>
        <w:rPr>
          <w:sz w:val="24"/>
          <w:szCs w:val="24"/>
        </w:rPr>
      </w:pPr>
      <w:r w:rsidRPr="00161FEE">
        <w:rPr>
          <w:sz w:val="24"/>
          <w:szCs w:val="24"/>
        </w:rPr>
        <w:t>equipment that generates electricity for consumption at the building;</w:t>
      </w:r>
    </w:p>
    <w:p w:rsidR="00F11985" w:rsidRPr="00161FEE" w:rsidRDefault="00F11985" w:rsidP="000F7197">
      <w:pPr>
        <w:pStyle w:val="Definition0"/>
        <w:numPr>
          <w:ilvl w:val="1"/>
          <w:numId w:val="25"/>
        </w:numPr>
        <w:spacing w:before="0" w:after="120"/>
        <w:rPr>
          <w:sz w:val="24"/>
          <w:szCs w:val="24"/>
        </w:rPr>
      </w:pPr>
      <w:r w:rsidRPr="00161FEE">
        <w:rPr>
          <w:sz w:val="24"/>
          <w:szCs w:val="24"/>
        </w:rPr>
        <w:t>a building component</w:t>
      </w:r>
      <w:r w:rsidR="00902798" w:rsidRPr="00161FEE">
        <w:rPr>
          <w:sz w:val="24"/>
          <w:szCs w:val="24"/>
        </w:rPr>
        <w:t xml:space="preserve"> or other equipment</w:t>
      </w:r>
      <w:r w:rsidR="007E6116" w:rsidRPr="00161FEE">
        <w:rPr>
          <w:sz w:val="24"/>
          <w:szCs w:val="24"/>
        </w:rPr>
        <w:t>;</w:t>
      </w:r>
    </w:p>
    <w:p w:rsidR="000F7197" w:rsidRPr="00161FEE" w:rsidRDefault="000F7197" w:rsidP="000F7197">
      <w:pPr>
        <w:pStyle w:val="Definition0"/>
        <w:numPr>
          <w:ilvl w:val="0"/>
          <w:numId w:val="25"/>
        </w:numPr>
        <w:spacing w:before="0" w:after="120"/>
        <w:ind w:left="714" w:hanging="357"/>
        <w:rPr>
          <w:sz w:val="24"/>
          <w:szCs w:val="24"/>
        </w:rPr>
      </w:pPr>
      <w:r w:rsidRPr="00161FEE">
        <w:rPr>
          <w:sz w:val="24"/>
          <w:szCs w:val="24"/>
        </w:rPr>
        <w:tab/>
        <w:t>changing how energy-consuming equipment is controlled or operated;</w:t>
      </w:r>
    </w:p>
    <w:p w:rsidR="000F7197" w:rsidRPr="00161FEE" w:rsidRDefault="000F7197" w:rsidP="000F7197">
      <w:pPr>
        <w:pStyle w:val="Definition0"/>
        <w:numPr>
          <w:ilvl w:val="0"/>
          <w:numId w:val="25"/>
        </w:numPr>
        <w:spacing w:before="0" w:after="120"/>
        <w:ind w:left="714" w:hanging="357"/>
        <w:rPr>
          <w:sz w:val="24"/>
          <w:szCs w:val="24"/>
        </w:rPr>
      </w:pPr>
      <w:r w:rsidRPr="00161FEE">
        <w:rPr>
          <w:sz w:val="24"/>
          <w:szCs w:val="24"/>
        </w:rPr>
        <w:tab/>
        <w:t>changing the energy sources used by energy-consuming equipment;</w:t>
      </w:r>
      <w:r w:rsidR="00C31A8B" w:rsidRPr="00161FEE">
        <w:rPr>
          <w:sz w:val="24"/>
          <w:szCs w:val="24"/>
        </w:rPr>
        <w:t xml:space="preserve"> and</w:t>
      </w:r>
    </w:p>
    <w:p w:rsidR="000F7197" w:rsidRPr="00161FEE" w:rsidRDefault="000F7197" w:rsidP="000F7197">
      <w:pPr>
        <w:pStyle w:val="Definition0"/>
        <w:numPr>
          <w:ilvl w:val="0"/>
          <w:numId w:val="25"/>
        </w:numPr>
        <w:spacing w:before="0" w:after="120"/>
        <w:ind w:left="714" w:hanging="357"/>
        <w:rPr>
          <w:sz w:val="24"/>
          <w:szCs w:val="24"/>
        </w:rPr>
      </w:pPr>
      <w:r w:rsidRPr="00161FEE">
        <w:rPr>
          <w:sz w:val="24"/>
          <w:szCs w:val="24"/>
        </w:rPr>
        <w:tab/>
        <w:t xml:space="preserve">promoting behaviours by occupants of the building that </w:t>
      </w:r>
      <w:r w:rsidR="007819E1">
        <w:rPr>
          <w:sz w:val="24"/>
          <w:szCs w:val="24"/>
        </w:rPr>
        <w:t>reduce</w:t>
      </w:r>
      <w:r w:rsidR="007819E1" w:rsidRPr="00161FEE">
        <w:rPr>
          <w:sz w:val="24"/>
          <w:szCs w:val="24"/>
        </w:rPr>
        <w:t xml:space="preserve"> </w:t>
      </w:r>
      <w:r w:rsidRPr="00161FEE">
        <w:rPr>
          <w:sz w:val="24"/>
          <w:szCs w:val="24"/>
        </w:rPr>
        <w:t>energy consumption by energy-consuming equipment at the building.</w:t>
      </w:r>
    </w:p>
    <w:p w:rsidR="00F122A9" w:rsidRPr="00161FEE" w:rsidRDefault="00F122A9" w:rsidP="00F122A9">
      <w:pPr>
        <w:pStyle w:val="Definition0"/>
        <w:spacing w:before="0" w:after="120"/>
        <w:ind w:left="0"/>
        <w:rPr>
          <w:sz w:val="24"/>
          <w:szCs w:val="24"/>
        </w:rPr>
      </w:pPr>
      <w:r w:rsidRPr="00161FEE">
        <w:rPr>
          <w:sz w:val="24"/>
          <w:szCs w:val="24"/>
        </w:rPr>
        <w:t xml:space="preserve">Section 7 also requires that each activity undertaken could reasonably be expected to </w:t>
      </w:r>
      <w:r w:rsidR="00780ACC">
        <w:rPr>
          <w:sz w:val="24"/>
          <w:szCs w:val="24"/>
        </w:rPr>
        <w:t>result in</w:t>
      </w:r>
      <w:r w:rsidR="00780ACC" w:rsidRPr="00161FEE">
        <w:rPr>
          <w:sz w:val="24"/>
          <w:szCs w:val="24"/>
        </w:rPr>
        <w:t xml:space="preserve"> </w:t>
      </w:r>
      <w:r w:rsidRPr="00161FEE">
        <w:rPr>
          <w:sz w:val="24"/>
          <w:szCs w:val="24"/>
        </w:rPr>
        <w:t xml:space="preserve">eligible carbon abatement, and </w:t>
      </w:r>
      <w:r w:rsidR="00700AE0" w:rsidRPr="00161FEE">
        <w:rPr>
          <w:sz w:val="24"/>
          <w:szCs w:val="24"/>
        </w:rPr>
        <w:t xml:space="preserve">that together the activities </w:t>
      </w:r>
      <w:r w:rsidRPr="00161FEE">
        <w:rPr>
          <w:sz w:val="24"/>
          <w:szCs w:val="24"/>
        </w:rPr>
        <w:t xml:space="preserve">could reasonably be expected to </w:t>
      </w:r>
      <w:r w:rsidR="00780ACC">
        <w:rPr>
          <w:sz w:val="24"/>
          <w:szCs w:val="24"/>
        </w:rPr>
        <w:t>result in</w:t>
      </w:r>
      <w:r w:rsidR="00780ACC" w:rsidRPr="00161FEE">
        <w:rPr>
          <w:sz w:val="24"/>
          <w:szCs w:val="24"/>
        </w:rPr>
        <w:t xml:space="preserve"> </w:t>
      </w:r>
      <w:r w:rsidRPr="00161FEE">
        <w:rPr>
          <w:sz w:val="24"/>
          <w:szCs w:val="24"/>
        </w:rPr>
        <w:t xml:space="preserve">an improvement of at least one star in the NABERS energy rating for each building. </w:t>
      </w:r>
    </w:p>
    <w:p w:rsidR="00915BEF" w:rsidRPr="00161FEE" w:rsidRDefault="00995425" w:rsidP="00101B59">
      <w:pPr>
        <w:spacing w:after="120" w:line="240" w:lineRule="auto"/>
        <w:rPr>
          <w:rFonts w:ascii="Times New Roman" w:hAnsi="Times New Roman"/>
          <w:b/>
          <w:sz w:val="24"/>
          <w:szCs w:val="24"/>
        </w:rPr>
      </w:pPr>
      <w:r w:rsidRPr="00161FEE">
        <w:rPr>
          <w:rFonts w:ascii="Times New Roman" w:hAnsi="Times New Roman"/>
          <w:sz w:val="24"/>
          <w:szCs w:val="24"/>
        </w:rPr>
        <w:t>The</w:t>
      </w:r>
      <w:r w:rsidR="00ED12C4" w:rsidRPr="00161FEE">
        <w:rPr>
          <w:rFonts w:ascii="Times New Roman" w:hAnsi="Times New Roman"/>
          <w:sz w:val="24"/>
          <w:szCs w:val="24"/>
        </w:rPr>
        <w:t xml:space="preserve"> Determination</w:t>
      </w:r>
      <w:r w:rsidR="00461F00" w:rsidRPr="00161FEE">
        <w:rPr>
          <w:rFonts w:ascii="Times New Roman" w:hAnsi="Times New Roman"/>
          <w:sz w:val="24"/>
          <w:szCs w:val="24"/>
        </w:rPr>
        <w:t xml:space="preserve"> defines this</w:t>
      </w:r>
      <w:r w:rsidRPr="00161FEE">
        <w:rPr>
          <w:rFonts w:ascii="Times New Roman" w:hAnsi="Times New Roman"/>
          <w:sz w:val="24"/>
          <w:szCs w:val="24"/>
        </w:rPr>
        <w:t xml:space="preserve"> </w:t>
      </w:r>
      <w:r w:rsidR="00461F00" w:rsidRPr="00161FEE">
        <w:rPr>
          <w:rFonts w:ascii="Times New Roman" w:hAnsi="Times New Roman"/>
          <w:sz w:val="24"/>
          <w:szCs w:val="24"/>
        </w:rPr>
        <w:t>kind</w:t>
      </w:r>
      <w:r w:rsidR="00897264" w:rsidRPr="00161FEE">
        <w:rPr>
          <w:rFonts w:ascii="Times New Roman" w:hAnsi="Times New Roman"/>
          <w:sz w:val="24"/>
          <w:szCs w:val="24"/>
        </w:rPr>
        <w:t xml:space="preserve"> of </w:t>
      </w:r>
      <w:r w:rsidR="00461F00" w:rsidRPr="00161FEE">
        <w:rPr>
          <w:rFonts w:ascii="Times New Roman" w:hAnsi="Times New Roman"/>
          <w:sz w:val="24"/>
          <w:szCs w:val="24"/>
        </w:rPr>
        <w:t>project</w:t>
      </w:r>
      <w:r w:rsidRPr="00161FEE">
        <w:rPr>
          <w:rFonts w:ascii="Times New Roman" w:hAnsi="Times New Roman"/>
          <w:sz w:val="24"/>
          <w:szCs w:val="24"/>
        </w:rPr>
        <w:t xml:space="preserve"> as</w:t>
      </w:r>
      <w:r w:rsidR="00181168" w:rsidRPr="00161FEE">
        <w:rPr>
          <w:rFonts w:ascii="Times New Roman" w:hAnsi="Times New Roman"/>
          <w:sz w:val="24"/>
          <w:szCs w:val="24"/>
        </w:rPr>
        <w:t xml:space="preserve"> a</w:t>
      </w:r>
      <w:r w:rsidRPr="00161FEE">
        <w:rPr>
          <w:rFonts w:ascii="Times New Roman" w:hAnsi="Times New Roman"/>
          <w:sz w:val="24"/>
          <w:szCs w:val="24"/>
        </w:rPr>
        <w:t xml:space="preserve"> </w:t>
      </w:r>
      <w:r w:rsidR="00181168" w:rsidRPr="00161FEE">
        <w:rPr>
          <w:rFonts w:ascii="Times New Roman" w:hAnsi="Times New Roman"/>
          <w:sz w:val="24"/>
          <w:szCs w:val="24"/>
        </w:rPr>
        <w:t xml:space="preserve">commercial buildings project. </w:t>
      </w:r>
      <w:r w:rsidR="00AA4B6D" w:rsidRPr="00161FEE">
        <w:rPr>
          <w:rFonts w:ascii="Times New Roman" w:hAnsi="Times New Roman"/>
          <w:b/>
          <w:color w:val="808080"/>
          <w:sz w:val="24"/>
          <w:szCs w:val="24"/>
        </w:rPr>
        <w:br w:type="page"/>
      </w:r>
      <w:r w:rsidR="006324C1" w:rsidRPr="00161FEE">
        <w:rPr>
          <w:rFonts w:ascii="Times New Roman" w:hAnsi="Times New Roman"/>
          <w:b/>
          <w:color w:val="000000"/>
          <w:sz w:val="24"/>
          <w:szCs w:val="24"/>
        </w:rPr>
        <w:lastRenderedPageBreak/>
        <w:t>P</w:t>
      </w:r>
      <w:r w:rsidR="00915BEF" w:rsidRPr="00161FEE">
        <w:rPr>
          <w:rFonts w:ascii="Times New Roman" w:hAnsi="Times New Roman"/>
          <w:b/>
          <w:sz w:val="24"/>
          <w:szCs w:val="24"/>
        </w:rPr>
        <w:t xml:space="preserve">art </w:t>
      </w:r>
      <w:r w:rsidR="00147090" w:rsidRPr="00161FEE">
        <w:rPr>
          <w:rFonts w:ascii="Times New Roman" w:hAnsi="Times New Roman"/>
          <w:b/>
          <w:sz w:val="24"/>
          <w:szCs w:val="24"/>
        </w:rPr>
        <w:t>3</w:t>
      </w:r>
      <w:r w:rsidR="00915BEF" w:rsidRPr="00161FEE">
        <w:rPr>
          <w:rFonts w:ascii="Times New Roman" w:hAnsi="Times New Roman"/>
          <w:b/>
          <w:sz w:val="24"/>
          <w:szCs w:val="24"/>
        </w:rPr>
        <w:tab/>
      </w:r>
      <w:r w:rsidR="00915BEF" w:rsidRPr="00161FEE">
        <w:rPr>
          <w:rFonts w:ascii="Times New Roman" w:hAnsi="Times New Roman"/>
          <w:b/>
          <w:sz w:val="24"/>
          <w:szCs w:val="24"/>
        </w:rPr>
        <w:tab/>
      </w:r>
      <w:r w:rsidR="00147090" w:rsidRPr="00161FEE">
        <w:rPr>
          <w:rFonts w:ascii="Times New Roman" w:hAnsi="Times New Roman"/>
          <w:b/>
          <w:sz w:val="24"/>
          <w:szCs w:val="24"/>
        </w:rPr>
        <w:t>Project Requirements</w:t>
      </w:r>
    </w:p>
    <w:p w:rsidR="004D0187" w:rsidRPr="00161FEE" w:rsidRDefault="00494FA9" w:rsidP="00101B59">
      <w:pPr>
        <w:spacing w:after="120" w:line="240" w:lineRule="auto"/>
        <w:rPr>
          <w:rFonts w:ascii="Times New Roman" w:hAnsi="Times New Roman"/>
          <w:color w:val="000000"/>
          <w:sz w:val="24"/>
          <w:szCs w:val="24"/>
          <w:u w:val="single"/>
        </w:rPr>
      </w:pPr>
      <w:r w:rsidRPr="00161FEE">
        <w:rPr>
          <w:rFonts w:ascii="Times New Roman" w:hAnsi="Times New Roman"/>
          <w:color w:val="000000"/>
          <w:sz w:val="24"/>
          <w:szCs w:val="24"/>
          <w:u w:val="single"/>
        </w:rPr>
        <w:t>8</w:t>
      </w:r>
      <w:r w:rsidR="004D0187" w:rsidRPr="00161FEE">
        <w:rPr>
          <w:rFonts w:ascii="Times New Roman" w:hAnsi="Times New Roman"/>
          <w:color w:val="000000"/>
          <w:sz w:val="24"/>
          <w:szCs w:val="24"/>
          <w:u w:val="single"/>
        </w:rPr>
        <w:t xml:space="preserve"> </w:t>
      </w:r>
      <w:r w:rsidR="004D0187" w:rsidRPr="00161FEE">
        <w:rPr>
          <w:rFonts w:ascii="Times New Roman" w:hAnsi="Times New Roman"/>
          <w:color w:val="000000"/>
          <w:sz w:val="24"/>
          <w:szCs w:val="24"/>
          <w:u w:val="single"/>
        </w:rPr>
        <w:tab/>
      </w:r>
      <w:r w:rsidR="00147090" w:rsidRPr="00161FEE">
        <w:rPr>
          <w:rFonts w:ascii="Times New Roman" w:hAnsi="Times New Roman"/>
          <w:color w:val="000000"/>
          <w:sz w:val="24"/>
          <w:szCs w:val="24"/>
          <w:u w:val="single"/>
        </w:rPr>
        <w:t>Operation of this Part</w:t>
      </w:r>
    </w:p>
    <w:p w:rsidR="004D0187" w:rsidRPr="00161FEE" w:rsidRDefault="000D40C6" w:rsidP="00101B59">
      <w:pPr>
        <w:spacing w:after="120" w:line="240" w:lineRule="auto"/>
        <w:rPr>
          <w:rFonts w:ascii="Times New Roman" w:hAnsi="Times New Roman"/>
          <w:sz w:val="24"/>
          <w:szCs w:val="24"/>
        </w:rPr>
      </w:pPr>
      <w:r w:rsidRPr="00161FEE">
        <w:rPr>
          <w:rFonts w:ascii="Times New Roman" w:hAnsi="Times New Roman"/>
          <w:sz w:val="24"/>
          <w:szCs w:val="24"/>
        </w:rPr>
        <w:t>The effect of paragraph 106(1)</w:t>
      </w:r>
      <w:r w:rsidR="004D0187" w:rsidRPr="00161FEE">
        <w:rPr>
          <w:rFonts w:ascii="Times New Roman" w:hAnsi="Times New Roman"/>
          <w:sz w:val="24"/>
          <w:szCs w:val="24"/>
        </w:rPr>
        <w:t xml:space="preserve">(b) of the Act is that a methodology determination must set out requirements that must be met for </w:t>
      </w:r>
      <w:r w:rsidR="007B1363" w:rsidRPr="00161FEE">
        <w:rPr>
          <w:rFonts w:ascii="Times New Roman" w:hAnsi="Times New Roman"/>
          <w:sz w:val="24"/>
          <w:szCs w:val="24"/>
        </w:rPr>
        <w:t>a</w:t>
      </w:r>
      <w:r w:rsidR="004D0187" w:rsidRPr="00161FEE">
        <w:rPr>
          <w:rFonts w:ascii="Times New Roman" w:hAnsi="Times New Roman"/>
          <w:sz w:val="24"/>
          <w:szCs w:val="24"/>
        </w:rPr>
        <w:t xml:space="preserve"> project to be an eligible offsets project.</w:t>
      </w:r>
      <w:r w:rsidR="008737D6" w:rsidRPr="00161FEE">
        <w:rPr>
          <w:rFonts w:ascii="Times New Roman" w:hAnsi="Times New Roman"/>
          <w:sz w:val="24"/>
          <w:szCs w:val="24"/>
        </w:rPr>
        <w:t xml:space="preserve"> </w:t>
      </w:r>
      <w:r w:rsidR="009631AF" w:rsidRPr="00161FEE">
        <w:rPr>
          <w:rFonts w:ascii="Times New Roman" w:hAnsi="Times New Roman"/>
          <w:sz w:val="24"/>
          <w:szCs w:val="24"/>
        </w:rPr>
        <w:t>Under p</w:t>
      </w:r>
      <w:r w:rsidRPr="00161FEE">
        <w:rPr>
          <w:rFonts w:ascii="Times New Roman" w:hAnsi="Times New Roman"/>
          <w:sz w:val="24"/>
          <w:szCs w:val="24"/>
        </w:rPr>
        <w:t>aragraph</w:t>
      </w:r>
      <w:r w:rsidR="007B1363" w:rsidRPr="00161FEE">
        <w:rPr>
          <w:rFonts w:ascii="Times New Roman" w:hAnsi="Times New Roman"/>
          <w:sz w:val="24"/>
          <w:szCs w:val="24"/>
        </w:rPr>
        <w:t> </w:t>
      </w:r>
      <w:r w:rsidRPr="00161FEE">
        <w:rPr>
          <w:rFonts w:ascii="Times New Roman" w:hAnsi="Times New Roman"/>
          <w:sz w:val="24"/>
          <w:szCs w:val="24"/>
        </w:rPr>
        <w:t>27(4)</w:t>
      </w:r>
      <w:r w:rsidR="004D0187" w:rsidRPr="00161FEE">
        <w:rPr>
          <w:rFonts w:ascii="Times New Roman" w:hAnsi="Times New Roman"/>
          <w:sz w:val="24"/>
          <w:szCs w:val="24"/>
        </w:rPr>
        <w:t>(c) of the Act</w:t>
      </w:r>
      <w:r w:rsidR="009631AF" w:rsidRPr="00161FEE">
        <w:rPr>
          <w:rFonts w:ascii="Times New Roman" w:hAnsi="Times New Roman"/>
          <w:sz w:val="24"/>
          <w:szCs w:val="24"/>
        </w:rPr>
        <w:t xml:space="preserve">, the Regulator must not declare that a project is </w:t>
      </w:r>
      <w:r w:rsidR="0082349D" w:rsidRPr="00161FEE">
        <w:rPr>
          <w:rFonts w:ascii="Times New Roman" w:hAnsi="Times New Roman"/>
          <w:sz w:val="24"/>
          <w:szCs w:val="24"/>
        </w:rPr>
        <w:t xml:space="preserve">an </w:t>
      </w:r>
      <w:r w:rsidR="009631AF" w:rsidRPr="00161FEE">
        <w:rPr>
          <w:rFonts w:ascii="Times New Roman" w:hAnsi="Times New Roman"/>
          <w:sz w:val="24"/>
          <w:szCs w:val="24"/>
        </w:rPr>
        <w:t>eligible offsets project unless the Regulator is satisfied that the project meets these requirements.</w:t>
      </w:r>
    </w:p>
    <w:p w:rsidR="00540495" w:rsidRPr="00161FEE" w:rsidRDefault="002012AB" w:rsidP="00101B59">
      <w:pPr>
        <w:spacing w:after="120" w:line="240" w:lineRule="auto"/>
        <w:rPr>
          <w:rFonts w:ascii="Times New Roman" w:hAnsi="Times New Roman"/>
          <w:sz w:val="24"/>
          <w:szCs w:val="24"/>
        </w:rPr>
      </w:pPr>
      <w:r w:rsidRPr="00161FEE">
        <w:rPr>
          <w:rFonts w:ascii="Times New Roman" w:hAnsi="Times New Roman"/>
          <w:sz w:val="24"/>
          <w:szCs w:val="24"/>
        </w:rPr>
        <w:t xml:space="preserve">Part </w:t>
      </w:r>
      <w:r w:rsidR="009E01A0" w:rsidRPr="00161FEE">
        <w:rPr>
          <w:rFonts w:ascii="Times New Roman" w:hAnsi="Times New Roman"/>
          <w:sz w:val="24"/>
          <w:szCs w:val="24"/>
        </w:rPr>
        <w:t>3</w:t>
      </w:r>
      <w:r w:rsidR="004D0187" w:rsidRPr="00161FEE">
        <w:rPr>
          <w:rFonts w:ascii="Times New Roman" w:hAnsi="Times New Roman"/>
          <w:sz w:val="24"/>
          <w:szCs w:val="24"/>
        </w:rPr>
        <w:t xml:space="preserve"> </w:t>
      </w:r>
      <w:r w:rsidR="00107139" w:rsidRPr="00161FEE">
        <w:rPr>
          <w:rFonts w:ascii="Times New Roman" w:hAnsi="Times New Roman"/>
          <w:sz w:val="24"/>
          <w:szCs w:val="24"/>
        </w:rPr>
        <w:t xml:space="preserve">of the </w:t>
      </w:r>
      <w:r w:rsidR="009C4FF2" w:rsidRPr="00161FEE">
        <w:rPr>
          <w:rFonts w:ascii="Times New Roman" w:hAnsi="Times New Roman"/>
          <w:sz w:val="24"/>
          <w:szCs w:val="24"/>
        </w:rPr>
        <w:t>Determination</w:t>
      </w:r>
      <w:r w:rsidR="000751CD" w:rsidRPr="00161FEE">
        <w:rPr>
          <w:rFonts w:ascii="Times New Roman" w:hAnsi="Times New Roman"/>
          <w:sz w:val="24"/>
          <w:szCs w:val="24"/>
        </w:rPr>
        <w:t xml:space="preserve"> </w:t>
      </w:r>
      <w:r w:rsidR="004D0187" w:rsidRPr="00161FEE">
        <w:rPr>
          <w:rFonts w:ascii="Times New Roman" w:hAnsi="Times New Roman"/>
          <w:sz w:val="24"/>
          <w:szCs w:val="24"/>
        </w:rPr>
        <w:t>specif</w:t>
      </w:r>
      <w:r w:rsidRPr="00161FEE">
        <w:rPr>
          <w:rFonts w:ascii="Times New Roman" w:hAnsi="Times New Roman"/>
          <w:sz w:val="24"/>
          <w:szCs w:val="24"/>
        </w:rPr>
        <w:t>ies</w:t>
      </w:r>
      <w:r w:rsidR="004D0187" w:rsidRPr="00161FEE">
        <w:rPr>
          <w:rFonts w:ascii="Times New Roman" w:hAnsi="Times New Roman"/>
          <w:sz w:val="24"/>
          <w:szCs w:val="24"/>
        </w:rPr>
        <w:t xml:space="preserve"> a number of requirements that must be met </w:t>
      </w:r>
      <w:r w:rsidR="00B339D1" w:rsidRPr="00161FEE">
        <w:rPr>
          <w:rFonts w:ascii="Times New Roman" w:hAnsi="Times New Roman"/>
          <w:sz w:val="24"/>
          <w:szCs w:val="24"/>
        </w:rPr>
        <w:t xml:space="preserve">in order </w:t>
      </w:r>
      <w:r w:rsidR="004D0187" w:rsidRPr="00161FEE">
        <w:rPr>
          <w:rFonts w:ascii="Times New Roman" w:hAnsi="Times New Roman"/>
          <w:sz w:val="24"/>
          <w:szCs w:val="24"/>
        </w:rPr>
        <w:t xml:space="preserve">for a project </w:t>
      </w:r>
      <w:r w:rsidR="00B339D1" w:rsidRPr="00161FEE">
        <w:rPr>
          <w:rFonts w:ascii="Times New Roman" w:hAnsi="Times New Roman"/>
          <w:sz w:val="24"/>
          <w:szCs w:val="24"/>
        </w:rPr>
        <w:t xml:space="preserve">to </w:t>
      </w:r>
      <w:r w:rsidR="004D0187" w:rsidRPr="00161FEE">
        <w:rPr>
          <w:rFonts w:ascii="Times New Roman" w:hAnsi="Times New Roman"/>
          <w:sz w:val="24"/>
          <w:szCs w:val="24"/>
        </w:rPr>
        <w:t>be an eligible offsets project</w:t>
      </w:r>
      <w:r w:rsidR="005869E0" w:rsidRPr="00161FEE">
        <w:rPr>
          <w:rFonts w:ascii="Times New Roman" w:hAnsi="Times New Roman"/>
          <w:sz w:val="24"/>
          <w:szCs w:val="24"/>
        </w:rPr>
        <w:t>.</w:t>
      </w:r>
      <w:r w:rsidR="008C15E5" w:rsidRPr="00161FEE">
        <w:rPr>
          <w:rFonts w:ascii="Times New Roman" w:hAnsi="Times New Roman"/>
          <w:sz w:val="24"/>
          <w:szCs w:val="24"/>
        </w:rPr>
        <w:t xml:space="preserve"> </w:t>
      </w:r>
      <w:r w:rsidR="00B161BB" w:rsidRPr="00161FEE">
        <w:rPr>
          <w:rFonts w:ascii="Times New Roman" w:hAnsi="Times New Roman"/>
          <w:sz w:val="24"/>
          <w:szCs w:val="24"/>
        </w:rPr>
        <w:t xml:space="preserve">These requirements are set out in sections </w:t>
      </w:r>
      <w:r w:rsidR="00494FA9" w:rsidRPr="00161FEE">
        <w:rPr>
          <w:rFonts w:ascii="Times New Roman" w:hAnsi="Times New Roman"/>
          <w:sz w:val="24"/>
          <w:szCs w:val="24"/>
        </w:rPr>
        <w:t>9</w:t>
      </w:r>
      <w:r w:rsidR="00BA7534" w:rsidRPr="00161FEE">
        <w:rPr>
          <w:rFonts w:ascii="Times New Roman" w:hAnsi="Times New Roman"/>
          <w:sz w:val="24"/>
          <w:szCs w:val="24"/>
        </w:rPr>
        <w:t xml:space="preserve"> </w:t>
      </w:r>
      <w:r w:rsidR="006F04C4" w:rsidRPr="00161FEE">
        <w:rPr>
          <w:rFonts w:ascii="Times New Roman" w:hAnsi="Times New Roman"/>
          <w:sz w:val="24"/>
          <w:szCs w:val="24"/>
        </w:rPr>
        <w:t>and </w:t>
      </w:r>
      <w:r w:rsidR="00B161BB" w:rsidRPr="00161FEE">
        <w:rPr>
          <w:rFonts w:ascii="Times New Roman" w:hAnsi="Times New Roman"/>
          <w:sz w:val="24"/>
          <w:szCs w:val="24"/>
        </w:rPr>
        <w:t>1</w:t>
      </w:r>
      <w:r w:rsidR="00BC3EF9" w:rsidRPr="00161FEE">
        <w:rPr>
          <w:rFonts w:ascii="Times New Roman" w:hAnsi="Times New Roman"/>
          <w:sz w:val="24"/>
          <w:szCs w:val="24"/>
        </w:rPr>
        <w:t>0</w:t>
      </w:r>
      <w:r w:rsidR="00B161BB" w:rsidRPr="00161FEE">
        <w:rPr>
          <w:rFonts w:ascii="Times New Roman" w:hAnsi="Times New Roman"/>
          <w:sz w:val="24"/>
          <w:szCs w:val="24"/>
        </w:rPr>
        <w:t xml:space="preserve">. </w:t>
      </w:r>
    </w:p>
    <w:p w:rsidR="00635BD5" w:rsidRPr="00161FEE" w:rsidRDefault="00635BD5" w:rsidP="00101B59">
      <w:pPr>
        <w:spacing w:after="120" w:line="240" w:lineRule="auto"/>
        <w:rPr>
          <w:rFonts w:ascii="Times New Roman" w:hAnsi="Times New Roman"/>
          <w:sz w:val="24"/>
          <w:szCs w:val="24"/>
        </w:rPr>
      </w:pPr>
    </w:p>
    <w:p w:rsidR="00380CC0" w:rsidRPr="00161FEE" w:rsidRDefault="00494FA9" w:rsidP="00101B59">
      <w:pPr>
        <w:spacing w:after="120" w:line="240" w:lineRule="auto"/>
        <w:rPr>
          <w:rFonts w:ascii="Times New Roman" w:hAnsi="Times New Roman"/>
          <w:sz w:val="24"/>
          <w:szCs w:val="24"/>
          <w:u w:val="single"/>
        </w:rPr>
      </w:pPr>
      <w:r w:rsidRPr="00161FEE">
        <w:rPr>
          <w:rFonts w:ascii="Times New Roman" w:hAnsi="Times New Roman"/>
          <w:sz w:val="24"/>
          <w:szCs w:val="24"/>
          <w:u w:val="single"/>
        </w:rPr>
        <w:t>9</w:t>
      </w:r>
      <w:r w:rsidR="00380CC0" w:rsidRPr="00161FEE">
        <w:rPr>
          <w:rFonts w:ascii="Times New Roman" w:hAnsi="Times New Roman"/>
          <w:sz w:val="24"/>
          <w:szCs w:val="24"/>
          <w:u w:val="single"/>
        </w:rPr>
        <w:tab/>
        <w:t>Information to be included in application for declaration</w:t>
      </w:r>
    </w:p>
    <w:p w:rsidR="00380CC0" w:rsidRPr="00161FEE" w:rsidRDefault="000D4070" w:rsidP="00101B59">
      <w:pPr>
        <w:spacing w:after="120" w:line="240" w:lineRule="auto"/>
        <w:rPr>
          <w:rFonts w:ascii="Times New Roman" w:hAnsi="Times New Roman"/>
          <w:sz w:val="24"/>
          <w:szCs w:val="24"/>
        </w:rPr>
      </w:pPr>
      <w:r w:rsidRPr="00161FEE">
        <w:rPr>
          <w:rFonts w:ascii="Times New Roman" w:hAnsi="Times New Roman"/>
          <w:sz w:val="24"/>
          <w:szCs w:val="24"/>
        </w:rPr>
        <w:t xml:space="preserve">Section 22 of the Act provides that a person may apply to the Regulator for the declaration of an offsets project as an eligible offsets project. Section </w:t>
      </w:r>
      <w:r w:rsidR="00494FA9" w:rsidRPr="00161FEE">
        <w:rPr>
          <w:rFonts w:ascii="Times New Roman" w:hAnsi="Times New Roman"/>
          <w:sz w:val="24"/>
          <w:szCs w:val="24"/>
        </w:rPr>
        <w:t>9</w:t>
      </w:r>
      <w:r w:rsidRPr="00161FEE">
        <w:rPr>
          <w:rFonts w:ascii="Times New Roman" w:hAnsi="Times New Roman"/>
          <w:sz w:val="24"/>
          <w:szCs w:val="24"/>
        </w:rPr>
        <w:t xml:space="preserve"> of the Determination requires the following information </w:t>
      </w:r>
      <w:r w:rsidR="00DE36EB" w:rsidRPr="00161FEE">
        <w:rPr>
          <w:rFonts w:ascii="Times New Roman" w:hAnsi="Times New Roman"/>
          <w:sz w:val="24"/>
          <w:szCs w:val="24"/>
        </w:rPr>
        <w:t xml:space="preserve">to </w:t>
      </w:r>
      <w:r w:rsidRPr="00161FEE">
        <w:rPr>
          <w:rFonts w:ascii="Times New Roman" w:hAnsi="Times New Roman"/>
          <w:sz w:val="24"/>
          <w:szCs w:val="24"/>
        </w:rPr>
        <w:t>be included in the application for the declaration:</w:t>
      </w:r>
    </w:p>
    <w:p w:rsidR="00AF06F9" w:rsidRPr="00161FEE" w:rsidRDefault="004F5DEE" w:rsidP="00AF06F9">
      <w:pPr>
        <w:pStyle w:val="Definition0"/>
        <w:numPr>
          <w:ilvl w:val="0"/>
          <w:numId w:val="25"/>
        </w:numPr>
        <w:spacing w:before="0" w:after="120"/>
        <w:ind w:left="714" w:hanging="357"/>
        <w:rPr>
          <w:sz w:val="24"/>
          <w:szCs w:val="24"/>
        </w:rPr>
      </w:pPr>
      <w:r w:rsidRPr="00161FEE">
        <w:rPr>
          <w:sz w:val="24"/>
          <w:szCs w:val="24"/>
        </w:rPr>
        <w:tab/>
      </w:r>
      <w:r w:rsidR="00AF06F9" w:rsidRPr="00161FEE">
        <w:rPr>
          <w:sz w:val="24"/>
          <w:szCs w:val="24"/>
        </w:rPr>
        <w:t xml:space="preserve">a detailed description of the </w:t>
      </w:r>
      <w:r w:rsidR="00AF06F9" w:rsidRPr="00161FEE">
        <w:rPr>
          <w:b/>
          <w:i/>
          <w:sz w:val="24"/>
          <w:szCs w:val="24"/>
        </w:rPr>
        <w:t>project activities</w:t>
      </w:r>
      <w:r w:rsidR="00AF06F9" w:rsidRPr="00161FEE">
        <w:rPr>
          <w:sz w:val="24"/>
          <w:szCs w:val="24"/>
        </w:rPr>
        <w:t>;</w:t>
      </w:r>
    </w:p>
    <w:p w:rsidR="00AF06F9" w:rsidRPr="00161FEE" w:rsidRDefault="00AF06F9" w:rsidP="00AF06F9">
      <w:pPr>
        <w:pStyle w:val="Definition0"/>
        <w:numPr>
          <w:ilvl w:val="0"/>
          <w:numId w:val="25"/>
        </w:numPr>
        <w:spacing w:before="0" w:after="120"/>
        <w:ind w:left="714" w:hanging="357"/>
        <w:rPr>
          <w:sz w:val="24"/>
          <w:szCs w:val="24"/>
        </w:rPr>
      </w:pPr>
      <w:r w:rsidRPr="00161FEE">
        <w:rPr>
          <w:sz w:val="24"/>
          <w:szCs w:val="24"/>
        </w:rPr>
        <w:tab/>
        <w:t>if those activities include modifying, installing, removing or replacing equipment (whether or not energy-consuming equipment) or other building components—a detailed description of the types of equipment or building components involved;</w:t>
      </w:r>
    </w:p>
    <w:p w:rsidR="00380CC0" w:rsidRPr="00161FEE" w:rsidRDefault="00AF06F9" w:rsidP="00AF06F9">
      <w:pPr>
        <w:pStyle w:val="Definition0"/>
        <w:numPr>
          <w:ilvl w:val="0"/>
          <w:numId w:val="25"/>
        </w:numPr>
        <w:spacing w:before="0" w:after="120"/>
        <w:ind w:left="714" w:hanging="357"/>
        <w:rPr>
          <w:sz w:val="24"/>
          <w:szCs w:val="24"/>
        </w:rPr>
      </w:pPr>
      <w:r w:rsidRPr="00161FEE">
        <w:rPr>
          <w:sz w:val="24"/>
          <w:szCs w:val="24"/>
        </w:rPr>
        <w:tab/>
      </w:r>
      <w:r w:rsidR="009635D3" w:rsidRPr="00161FEE">
        <w:rPr>
          <w:sz w:val="24"/>
          <w:szCs w:val="24"/>
        </w:rPr>
        <w:t xml:space="preserve">if </w:t>
      </w:r>
      <w:r w:rsidR="00934474" w:rsidRPr="00161FEE">
        <w:rPr>
          <w:sz w:val="24"/>
          <w:szCs w:val="24"/>
        </w:rPr>
        <w:t>the proponent has already identified the specific building</w:t>
      </w:r>
      <w:r w:rsidR="00BE348E" w:rsidRPr="00161FEE">
        <w:rPr>
          <w:sz w:val="24"/>
          <w:szCs w:val="24"/>
        </w:rPr>
        <w:t>s</w:t>
      </w:r>
      <w:r w:rsidR="00934474" w:rsidRPr="00161FEE">
        <w:rPr>
          <w:sz w:val="24"/>
          <w:szCs w:val="24"/>
        </w:rPr>
        <w:t xml:space="preserve"> that are or will be </w:t>
      </w:r>
      <w:r w:rsidRPr="00161FEE">
        <w:rPr>
          <w:sz w:val="24"/>
          <w:szCs w:val="24"/>
        </w:rPr>
        <w:t>included in the project:</w:t>
      </w:r>
    </w:p>
    <w:p w:rsidR="00AF06F9" w:rsidRPr="00161FEE" w:rsidRDefault="00AF06F9" w:rsidP="00AF06F9">
      <w:pPr>
        <w:pStyle w:val="Definition0"/>
        <w:numPr>
          <w:ilvl w:val="1"/>
          <w:numId w:val="25"/>
        </w:numPr>
        <w:spacing w:before="0" w:after="120"/>
        <w:rPr>
          <w:sz w:val="24"/>
          <w:szCs w:val="24"/>
        </w:rPr>
      </w:pPr>
      <w:r w:rsidRPr="00161FEE">
        <w:rPr>
          <w:sz w:val="24"/>
          <w:szCs w:val="24"/>
        </w:rPr>
        <w:t xml:space="preserve">the address of each identified building in the form approved by the Regulator; </w:t>
      </w:r>
    </w:p>
    <w:p w:rsidR="00267C57" w:rsidRPr="00161FEE" w:rsidRDefault="00AF06F9" w:rsidP="00AF06F9">
      <w:pPr>
        <w:pStyle w:val="Definition0"/>
        <w:numPr>
          <w:ilvl w:val="1"/>
          <w:numId w:val="25"/>
        </w:numPr>
        <w:spacing w:before="0" w:after="120"/>
        <w:rPr>
          <w:sz w:val="24"/>
          <w:szCs w:val="24"/>
        </w:rPr>
      </w:pPr>
      <w:r w:rsidRPr="00161FEE">
        <w:rPr>
          <w:sz w:val="24"/>
          <w:szCs w:val="24"/>
        </w:rPr>
        <w:t>the type of each identified building</w:t>
      </w:r>
      <w:r w:rsidR="00F3136D" w:rsidRPr="00161FEE">
        <w:rPr>
          <w:sz w:val="24"/>
          <w:szCs w:val="24"/>
        </w:rPr>
        <w:t xml:space="preserve"> (office, hotel</w:t>
      </w:r>
      <w:r w:rsidR="001D4335">
        <w:rPr>
          <w:sz w:val="24"/>
          <w:szCs w:val="24"/>
        </w:rPr>
        <w:t xml:space="preserve"> or</w:t>
      </w:r>
      <w:r w:rsidR="00F3136D" w:rsidRPr="00161FEE">
        <w:rPr>
          <w:sz w:val="24"/>
          <w:szCs w:val="24"/>
        </w:rPr>
        <w:t xml:space="preserve"> shopping centre)</w:t>
      </w:r>
      <w:r w:rsidR="009635D3" w:rsidRPr="00161FEE">
        <w:rPr>
          <w:sz w:val="24"/>
          <w:szCs w:val="24"/>
        </w:rPr>
        <w:t>; and</w:t>
      </w:r>
    </w:p>
    <w:p w:rsidR="00AF06F9" w:rsidRPr="00161FEE" w:rsidRDefault="00267C57" w:rsidP="00AF06F9">
      <w:pPr>
        <w:pStyle w:val="Definition0"/>
        <w:numPr>
          <w:ilvl w:val="1"/>
          <w:numId w:val="25"/>
        </w:numPr>
        <w:spacing w:before="0" w:after="120"/>
        <w:rPr>
          <w:sz w:val="24"/>
          <w:szCs w:val="24"/>
        </w:rPr>
      </w:pPr>
      <w:r w:rsidRPr="00161FEE">
        <w:rPr>
          <w:sz w:val="24"/>
          <w:szCs w:val="24"/>
        </w:rPr>
        <w:t>if the building is an</w:t>
      </w:r>
      <w:r w:rsidR="004C61AC" w:rsidRPr="00161FEE">
        <w:rPr>
          <w:sz w:val="24"/>
          <w:szCs w:val="24"/>
        </w:rPr>
        <w:t xml:space="preserve"> office building,</w:t>
      </w:r>
      <w:r w:rsidRPr="00161FEE">
        <w:rPr>
          <w:sz w:val="24"/>
          <w:szCs w:val="24"/>
        </w:rPr>
        <w:t xml:space="preserve"> the type of NABERS energy rating that will be used for the building </w:t>
      </w:r>
      <w:r w:rsidR="00114968" w:rsidRPr="00161FEE">
        <w:rPr>
          <w:sz w:val="24"/>
          <w:szCs w:val="24"/>
        </w:rPr>
        <w:t>(</w:t>
      </w:r>
      <w:r w:rsidRPr="00161FEE">
        <w:rPr>
          <w:sz w:val="24"/>
          <w:szCs w:val="24"/>
        </w:rPr>
        <w:t>base building, tenancy or whole building</w:t>
      </w:r>
      <w:r w:rsidR="00B93C86" w:rsidRPr="00161FEE">
        <w:rPr>
          <w:sz w:val="24"/>
          <w:szCs w:val="24"/>
        </w:rPr>
        <w:t>)</w:t>
      </w:r>
      <w:r w:rsidR="00AF06F9" w:rsidRPr="00161FEE">
        <w:rPr>
          <w:sz w:val="24"/>
          <w:szCs w:val="24"/>
        </w:rPr>
        <w:t>;</w:t>
      </w:r>
    </w:p>
    <w:p w:rsidR="004C61AC" w:rsidRPr="00161FEE" w:rsidRDefault="00AF06F9" w:rsidP="00AF06F9">
      <w:pPr>
        <w:pStyle w:val="Definition0"/>
        <w:numPr>
          <w:ilvl w:val="0"/>
          <w:numId w:val="25"/>
        </w:numPr>
        <w:spacing w:before="0" w:after="120"/>
        <w:ind w:left="714" w:hanging="357"/>
        <w:rPr>
          <w:sz w:val="24"/>
          <w:szCs w:val="24"/>
        </w:rPr>
      </w:pPr>
      <w:r w:rsidRPr="00161FEE">
        <w:rPr>
          <w:sz w:val="24"/>
          <w:szCs w:val="24"/>
        </w:rPr>
        <w:tab/>
        <w:t>if the</w:t>
      </w:r>
      <w:r w:rsidR="00934474" w:rsidRPr="00161FEE">
        <w:rPr>
          <w:sz w:val="24"/>
          <w:szCs w:val="24"/>
        </w:rPr>
        <w:t xml:space="preserve"> proponent has not </w:t>
      </w:r>
      <w:r w:rsidRPr="00161FEE">
        <w:rPr>
          <w:sz w:val="24"/>
          <w:szCs w:val="24"/>
        </w:rPr>
        <w:t xml:space="preserve">identified </w:t>
      </w:r>
      <w:r w:rsidR="00934474" w:rsidRPr="00161FEE">
        <w:rPr>
          <w:sz w:val="24"/>
          <w:szCs w:val="24"/>
        </w:rPr>
        <w:t xml:space="preserve">specific </w:t>
      </w:r>
      <w:r w:rsidRPr="00161FEE">
        <w:rPr>
          <w:sz w:val="24"/>
          <w:szCs w:val="24"/>
        </w:rPr>
        <w:t>buildings</w:t>
      </w:r>
      <w:r w:rsidR="00934474" w:rsidRPr="00161FEE">
        <w:rPr>
          <w:sz w:val="24"/>
          <w:szCs w:val="24"/>
        </w:rPr>
        <w:t xml:space="preserve"> that will be included in the project</w:t>
      </w:r>
      <w:r w:rsidR="00CE7BD2" w:rsidRPr="00161FEE">
        <w:rPr>
          <w:sz w:val="24"/>
          <w:szCs w:val="24"/>
        </w:rPr>
        <w:t xml:space="preserve">, a description of the buildings to be included, </w:t>
      </w:r>
      <w:r w:rsidR="000C7081" w:rsidRPr="00161FEE">
        <w:rPr>
          <w:sz w:val="24"/>
          <w:szCs w:val="24"/>
        </w:rPr>
        <w:t>describing</w:t>
      </w:r>
      <w:r w:rsidR="004C61AC" w:rsidRPr="00161FEE">
        <w:rPr>
          <w:sz w:val="24"/>
          <w:szCs w:val="24"/>
        </w:rPr>
        <w:t>:</w:t>
      </w:r>
    </w:p>
    <w:p w:rsidR="00CE7BD2" w:rsidRPr="00161FEE" w:rsidRDefault="00AF06F9" w:rsidP="004C61AC">
      <w:pPr>
        <w:pStyle w:val="Definition0"/>
        <w:numPr>
          <w:ilvl w:val="1"/>
          <w:numId w:val="25"/>
        </w:numPr>
        <w:spacing w:before="0" w:after="120"/>
        <w:rPr>
          <w:sz w:val="24"/>
          <w:szCs w:val="24"/>
        </w:rPr>
      </w:pPr>
      <w:r w:rsidRPr="00161FEE">
        <w:rPr>
          <w:sz w:val="24"/>
          <w:szCs w:val="24"/>
        </w:rPr>
        <w:t>the types of buildings</w:t>
      </w:r>
      <w:r w:rsidR="00F3136D" w:rsidRPr="00161FEE">
        <w:rPr>
          <w:sz w:val="24"/>
          <w:szCs w:val="24"/>
        </w:rPr>
        <w:t xml:space="preserve"> (office, hotel</w:t>
      </w:r>
      <w:r w:rsidR="001D4335">
        <w:rPr>
          <w:sz w:val="24"/>
          <w:szCs w:val="24"/>
        </w:rPr>
        <w:t xml:space="preserve"> or</w:t>
      </w:r>
      <w:r w:rsidR="00F3136D" w:rsidRPr="00161FEE">
        <w:rPr>
          <w:sz w:val="24"/>
          <w:szCs w:val="24"/>
        </w:rPr>
        <w:t xml:space="preserve"> shopping centre)</w:t>
      </w:r>
      <w:r w:rsidR="00CE7BD2" w:rsidRPr="00161FEE">
        <w:rPr>
          <w:sz w:val="24"/>
          <w:szCs w:val="24"/>
        </w:rPr>
        <w:t>; and</w:t>
      </w:r>
    </w:p>
    <w:p w:rsidR="00AF06F9" w:rsidRPr="00161FEE" w:rsidRDefault="00CE7BD2" w:rsidP="004C61AC">
      <w:pPr>
        <w:pStyle w:val="Definition0"/>
        <w:numPr>
          <w:ilvl w:val="1"/>
          <w:numId w:val="25"/>
        </w:numPr>
        <w:spacing w:before="0" w:after="120"/>
        <w:rPr>
          <w:sz w:val="24"/>
          <w:szCs w:val="24"/>
        </w:rPr>
      </w:pPr>
      <w:proofErr w:type="gramStart"/>
      <w:r w:rsidRPr="00161FEE">
        <w:rPr>
          <w:sz w:val="24"/>
          <w:szCs w:val="24"/>
        </w:rPr>
        <w:t>if</w:t>
      </w:r>
      <w:proofErr w:type="gramEnd"/>
      <w:r w:rsidRPr="00161FEE">
        <w:rPr>
          <w:sz w:val="24"/>
          <w:szCs w:val="24"/>
        </w:rPr>
        <w:t xml:space="preserve"> the types of buildings include office building</w:t>
      </w:r>
      <w:r w:rsidR="00165BE0" w:rsidRPr="00161FEE">
        <w:rPr>
          <w:sz w:val="24"/>
          <w:szCs w:val="24"/>
        </w:rPr>
        <w:t>s</w:t>
      </w:r>
      <w:r w:rsidRPr="00161FEE">
        <w:rPr>
          <w:sz w:val="24"/>
          <w:szCs w:val="24"/>
        </w:rPr>
        <w:t xml:space="preserve">, the types of NABERS energy rating that will </w:t>
      </w:r>
      <w:r w:rsidR="00114968" w:rsidRPr="00161FEE">
        <w:rPr>
          <w:sz w:val="24"/>
          <w:szCs w:val="24"/>
        </w:rPr>
        <w:t>be used for the buildings (</w:t>
      </w:r>
      <w:r w:rsidRPr="00161FEE">
        <w:rPr>
          <w:sz w:val="24"/>
          <w:szCs w:val="24"/>
        </w:rPr>
        <w:t>base building, tenancy or whole building)</w:t>
      </w:r>
      <w:r w:rsidR="00264298" w:rsidRPr="00161FEE">
        <w:rPr>
          <w:sz w:val="24"/>
          <w:szCs w:val="24"/>
        </w:rPr>
        <w:t>.</w:t>
      </w:r>
    </w:p>
    <w:p w:rsidR="00DD7DE2" w:rsidRPr="00161FEE" w:rsidRDefault="00DD7DE2" w:rsidP="00E21D17">
      <w:pPr>
        <w:spacing w:after="120" w:line="240" w:lineRule="auto"/>
        <w:rPr>
          <w:rFonts w:ascii="Times New Roman" w:hAnsi="Times New Roman"/>
          <w:color w:val="000000"/>
          <w:sz w:val="24"/>
          <w:szCs w:val="24"/>
        </w:rPr>
      </w:pPr>
    </w:p>
    <w:p w:rsidR="00E21D17" w:rsidRPr="00161FEE" w:rsidRDefault="006F1D90" w:rsidP="006F1D90">
      <w:pPr>
        <w:keepNext/>
        <w:keepLines/>
        <w:spacing w:after="120" w:line="240" w:lineRule="auto"/>
        <w:rPr>
          <w:rFonts w:ascii="Times New Roman" w:hAnsi="Times New Roman"/>
          <w:color w:val="000000"/>
          <w:sz w:val="24"/>
          <w:szCs w:val="24"/>
          <w:u w:val="single"/>
        </w:rPr>
      </w:pPr>
      <w:r w:rsidRPr="00161FEE">
        <w:rPr>
          <w:rFonts w:ascii="Times New Roman" w:hAnsi="Times New Roman"/>
          <w:color w:val="000000"/>
          <w:sz w:val="24"/>
          <w:szCs w:val="24"/>
          <w:u w:val="single"/>
        </w:rPr>
        <w:t>1</w:t>
      </w:r>
      <w:r w:rsidR="00BC3EF9" w:rsidRPr="00161FEE">
        <w:rPr>
          <w:rFonts w:ascii="Times New Roman" w:hAnsi="Times New Roman"/>
          <w:color w:val="000000"/>
          <w:sz w:val="24"/>
          <w:szCs w:val="24"/>
          <w:u w:val="single"/>
        </w:rPr>
        <w:t>0</w:t>
      </w:r>
      <w:r w:rsidR="00E21D17" w:rsidRPr="00161FEE">
        <w:rPr>
          <w:rFonts w:ascii="Times New Roman" w:hAnsi="Times New Roman"/>
          <w:color w:val="000000"/>
          <w:sz w:val="24"/>
          <w:szCs w:val="24"/>
          <w:u w:val="single"/>
        </w:rPr>
        <w:tab/>
        <w:t>Disposal of equipment</w:t>
      </w:r>
    </w:p>
    <w:p w:rsidR="00A74446" w:rsidRPr="00161FEE" w:rsidRDefault="00EA4D91" w:rsidP="006F1D90">
      <w:pPr>
        <w:keepNext/>
        <w:keepLines/>
        <w:spacing w:after="120" w:line="240" w:lineRule="auto"/>
        <w:rPr>
          <w:rFonts w:ascii="Times New Roman" w:hAnsi="Times New Roman"/>
          <w:color w:val="000000"/>
          <w:sz w:val="24"/>
          <w:szCs w:val="24"/>
        </w:rPr>
      </w:pPr>
      <w:r w:rsidRPr="00161FEE">
        <w:rPr>
          <w:rFonts w:ascii="Times New Roman" w:hAnsi="Times New Roman"/>
          <w:color w:val="000000"/>
          <w:sz w:val="24"/>
          <w:szCs w:val="24"/>
        </w:rPr>
        <w:t xml:space="preserve">Section </w:t>
      </w:r>
      <w:r w:rsidR="006F1D90" w:rsidRPr="00161FEE">
        <w:rPr>
          <w:rFonts w:ascii="Times New Roman" w:hAnsi="Times New Roman"/>
          <w:color w:val="000000"/>
          <w:sz w:val="24"/>
          <w:szCs w:val="24"/>
        </w:rPr>
        <w:t>1</w:t>
      </w:r>
      <w:r w:rsidR="00BC3EF9" w:rsidRPr="00161FEE">
        <w:rPr>
          <w:rFonts w:ascii="Times New Roman" w:hAnsi="Times New Roman"/>
          <w:color w:val="000000"/>
          <w:sz w:val="24"/>
          <w:szCs w:val="24"/>
        </w:rPr>
        <w:t>0</w:t>
      </w:r>
      <w:r w:rsidR="006F1D90" w:rsidRPr="00161FEE">
        <w:rPr>
          <w:rFonts w:ascii="Times New Roman" w:hAnsi="Times New Roman"/>
          <w:color w:val="000000"/>
          <w:sz w:val="24"/>
          <w:szCs w:val="24"/>
        </w:rPr>
        <w:t xml:space="preserve"> </w:t>
      </w:r>
      <w:r w:rsidRPr="00161FEE">
        <w:rPr>
          <w:rFonts w:ascii="Times New Roman" w:hAnsi="Times New Roman"/>
          <w:color w:val="000000"/>
          <w:sz w:val="24"/>
          <w:szCs w:val="24"/>
        </w:rPr>
        <w:t xml:space="preserve">applies if </w:t>
      </w:r>
      <w:r w:rsidR="007F5056" w:rsidRPr="00161FEE">
        <w:rPr>
          <w:rFonts w:ascii="Times New Roman" w:hAnsi="Times New Roman"/>
          <w:color w:val="000000"/>
          <w:sz w:val="24"/>
          <w:szCs w:val="24"/>
        </w:rPr>
        <w:t xml:space="preserve">energy-consuming or electricity-generating </w:t>
      </w:r>
      <w:r w:rsidRPr="00161FEE">
        <w:rPr>
          <w:rFonts w:ascii="Times New Roman" w:hAnsi="Times New Roman"/>
          <w:color w:val="000000"/>
          <w:sz w:val="24"/>
          <w:szCs w:val="24"/>
        </w:rPr>
        <w:t>equipment</w:t>
      </w:r>
      <w:r w:rsidR="00E31014" w:rsidRPr="00161FEE">
        <w:rPr>
          <w:rFonts w:ascii="Times New Roman" w:hAnsi="Times New Roman"/>
          <w:color w:val="000000"/>
          <w:sz w:val="24"/>
          <w:szCs w:val="24"/>
        </w:rPr>
        <w:t xml:space="preserve"> </w:t>
      </w:r>
      <w:r w:rsidRPr="00161FEE">
        <w:rPr>
          <w:rFonts w:ascii="Times New Roman" w:hAnsi="Times New Roman"/>
          <w:color w:val="000000"/>
          <w:sz w:val="24"/>
          <w:szCs w:val="24"/>
        </w:rPr>
        <w:t xml:space="preserve">is removed from a building </w:t>
      </w:r>
      <w:r w:rsidR="00910DB5" w:rsidRPr="00161FEE">
        <w:rPr>
          <w:rFonts w:ascii="Times New Roman" w:hAnsi="Times New Roman"/>
          <w:color w:val="000000"/>
          <w:sz w:val="24"/>
          <w:szCs w:val="24"/>
        </w:rPr>
        <w:t xml:space="preserve">as part of the </w:t>
      </w:r>
      <w:r w:rsidRPr="00161FEE">
        <w:rPr>
          <w:rFonts w:ascii="Times New Roman" w:hAnsi="Times New Roman"/>
          <w:color w:val="000000"/>
          <w:sz w:val="24"/>
          <w:szCs w:val="24"/>
        </w:rPr>
        <w:t>project</w:t>
      </w:r>
      <w:r w:rsidR="00910DB5" w:rsidRPr="00161FEE">
        <w:rPr>
          <w:rFonts w:ascii="Times New Roman" w:hAnsi="Times New Roman"/>
          <w:color w:val="000000"/>
          <w:sz w:val="24"/>
          <w:szCs w:val="24"/>
        </w:rPr>
        <w:t xml:space="preserve"> activities, for example if energy-consuming appliances are replaced with more efficient models</w:t>
      </w:r>
      <w:r w:rsidRPr="00161FEE">
        <w:rPr>
          <w:rFonts w:ascii="Times New Roman" w:hAnsi="Times New Roman"/>
          <w:color w:val="000000"/>
          <w:sz w:val="24"/>
          <w:szCs w:val="24"/>
        </w:rPr>
        <w:t xml:space="preserve">. </w:t>
      </w:r>
      <w:r w:rsidR="00910DB5" w:rsidRPr="00161FEE">
        <w:rPr>
          <w:rFonts w:ascii="Times New Roman" w:hAnsi="Times New Roman"/>
          <w:color w:val="000000"/>
          <w:sz w:val="24"/>
          <w:szCs w:val="24"/>
        </w:rPr>
        <w:t xml:space="preserve">The removed </w:t>
      </w:r>
      <w:r w:rsidRPr="00161FEE">
        <w:rPr>
          <w:rFonts w:ascii="Times New Roman" w:hAnsi="Times New Roman"/>
          <w:color w:val="000000"/>
          <w:sz w:val="24"/>
          <w:szCs w:val="24"/>
        </w:rPr>
        <w:t xml:space="preserve">equipment must be disposed </w:t>
      </w:r>
      <w:r w:rsidR="00BD68C0" w:rsidRPr="00161FEE">
        <w:rPr>
          <w:rFonts w:ascii="Times New Roman" w:hAnsi="Times New Roman"/>
          <w:color w:val="000000"/>
          <w:sz w:val="24"/>
          <w:szCs w:val="24"/>
        </w:rPr>
        <w:t xml:space="preserve">of </w:t>
      </w:r>
      <w:r w:rsidRPr="00161FEE">
        <w:rPr>
          <w:rFonts w:ascii="Times New Roman" w:hAnsi="Times New Roman"/>
          <w:color w:val="000000"/>
          <w:sz w:val="24"/>
          <w:szCs w:val="24"/>
        </w:rPr>
        <w:t xml:space="preserve">and not refurbished, re-used or sold. </w:t>
      </w:r>
      <w:r w:rsidR="00A74446" w:rsidRPr="00161FEE">
        <w:rPr>
          <w:rFonts w:ascii="Times New Roman" w:hAnsi="Times New Roman"/>
          <w:color w:val="000000"/>
          <w:sz w:val="24"/>
          <w:szCs w:val="24"/>
        </w:rPr>
        <w:t xml:space="preserve">This prevents leakage into the secondary market, where replaced, inefficient appliances could remain in use with no overall reduction in emissions.  </w:t>
      </w:r>
    </w:p>
    <w:p w:rsidR="009E6BCB" w:rsidRDefault="009E6BCB" w:rsidP="00E21D17">
      <w:pPr>
        <w:spacing w:after="120" w:line="240" w:lineRule="auto"/>
        <w:rPr>
          <w:rFonts w:ascii="Times New Roman" w:hAnsi="Times New Roman"/>
          <w:color w:val="000000"/>
          <w:sz w:val="24"/>
          <w:szCs w:val="24"/>
        </w:rPr>
      </w:pPr>
      <w:r>
        <w:rPr>
          <w:rFonts w:ascii="Times New Roman" w:hAnsi="Times New Roman"/>
          <w:color w:val="000000"/>
          <w:sz w:val="24"/>
          <w:szCs w:val="24"/>
        </w:rPr>
        <w:t>The Determination allows removed equipment to be broken down into components and those components recycled. The equipment may be sold to a third party to be broken down and recycled.</w:t>
      </w:r>
    </w:p>
    <w:p w:rsidR="00DF3C13" w:rsidRDefault="00DF3C13" w:rsidP="005736CC">
      <w:pPr>
        <w:spacing w:after="120" w:line="240" w:lineRule="auto"/>
        <w:rPr>
          <w:rFonts w:ascii="Times New Roman" w:hAnsi="Times New Roman"/>
          <w:color w:val="000000"/>
          <w:sz w:val="24"/>
          <w:szCs w:val="24"/>
        </w:rPr>
      </w:pPr>
    </w:p>
    <w:p w:rsidR="00DF3C13" w:rsidRDefault="00DF3C13" w:rsidP="005736CC">
      <w:pPr>
        <w:spacing w:after="120" w:line="240" w:lineRule="auto"/>
        <w:rPr>
          <w:rFonts w:ascii="Times New Roman" w:hAnsi="Times New Roman"/>
          <w:color w:val="000000"/>
          <w:sz w:val="24"/>
          <w:szCs w:val="24"/>
        </w:rPr>
      </w:pPr>
    </w:p>
    <w:p w:rsidR="00E84AAC" w:rsidRPr="00161FEE" w:rsidRDefault="009C56CB" w:rsidP="005736CC">
      <w:pPr>
        <w:spacing w:after="120" w:line="240" w:lineRule="auto"/>
        <w:rPr>
          <w:rFonts w:ascii="Times New Roman" w:hAnsi="Times New Roman"/>
          <w:color w:val="000000"/>
          <w:sz w:val="24"/>
          <w:szCs w:val="24"/>
        </w:rPr>
      </w:pPr>
      <w:r w:rsidRPr="00161FEE">
        <w:rPr>
          <w:rFonts w:ascii="Times New Roman" w:hAnsi="Times New Roman"/>
          <w:color w:val="000000"/>
          <w:sz w:val="24"/>
          <w:szCs w:val="24"/>
        </w:rPr>
        <w:lastRenderedPageBreak/>
        <w:t xml:space="preserve">Under </w:t>
      </w:r>
      <w:r w:rsidR="00993BB1" w:rsidRPr="00161FEE">
        <w:rPr>
          <w:rFonts w:ascii="Times New Roman" w:hAnsi="Times New Roman"/>
          <w:color w:val="000000"/>
          <w:sz w:val="24"/>
          <w:szCs w:val="24"/>
        </w:rPr>
        <w:t xml:space="preserve">section </w:t>
      </w:r>
      <w:r w:rsidR="00ED118E" w:rsidRPr="00161FEE">
        <w:rPr>
          <w:rFonts w:ascii="Times New Roman" w:hAnsi="Times New Roman"/>
          <w:color w:val="000000"/>
          <w:sz w:val="24"/>
          <w:szCs w:val="24"/>
        </w:rPr>
        <w:t>3</w:t>
      </w:r>
      <w:r w:rsidR="00F97BDF" w:rsidRPr="00161FEE">
        <w:rPr>
          <w:rFonts w:ascii="Times New Roman" w:hAnsi="Times New Roman"/>
          <w:color w:val="000000"/>
          <w:sz w:val="24"/>
          <w:szCs w:val="24"/>
        </w:rPr>
        <w:t>1</w:t>
      </w:r>
      <w:r w:rsidRPr="00161FEE">
        <w:rPr>
          <w:rFonts w:ascii="Times New Roman" w:hAnsi="Times New Roman"/>
          <w:color w:val="000000"/>
          <w:sz w:val="24"/>
          <w:szCs w:val="24"/>
        </w:rPr>
        <w:t>, project proponents are required to keep a record of the disposal</w:t>
      </w:r>
      <w:r w:rsidR="001466F3" w:rsidRPr="00161FEE">
        <w:rPr>
          <w:rFonts w:ascii="Times New Roman" w:hAnsi="Times New Roman"/>
          <w:color w:val="000000"/>
          <w:sz w:val="24"/>
          <w:szCs w:val="24"/>
        </w:rPr>
        <w:t xml:space="preserve"> of equipment, including evidence that the disposal was conducted </w:t>
      </w:r>
      <w:r w:rsidRPr="00161FEE">
        <w:rPr>
          <w:rFonts w:ascii="Times New Roman" w:hAnsi="Times New Roman"/>
          <w:color w:val="000000"/>
          <w:sz w:val="24"/>
          <w:szCs w:val="24"/>
        </w:rPr>
        <w:t xml:space="preserve">in accordance with applicable legislative requirements. </w:t>
      </w:r>
      <w:r w:rsidR="000C50E2">
        <w:rPr>
          <w:rFonts w:ascii="Times New Roman" w:hAnsi="Times New Roman"/>
          <w:color w:val="000000"/>
          <w:sz w:val="24"/>
          <w:szCs w:val="24"/>
        </w:rPr>
        <w:t>Section 10 is an ongoing eligibility requirement which must continue to be met for the project to be, and remain, an eligible offset project.</w:t>
      </w:r>
    </w:p>
    <w:p w:rsidR="00E96CDD" w:rsidRPr="00161FEE" w:rsidRDefault="003F1C3D" w:rsidP="00101B59">
      <w:pPr>
        <w:pageBreakBefore/>
        <w:spacing w:after="120" w:line="240" w:lineRule="auto"/>
        <w:ind w:left="1418" w:hanging="1418"/>
        <w:rPr>
          <w:rFonts w:ascii="Times New Roman" w:hAnsi="Times New Roman"/>
          <w:b/>
          <w:color w:val="000000"/>
          <w:sz w:val="24"/>
          <w:szCs w:val="24"/>
        </w:rPr>
      </w:pPr>
      <w:r w:rsidRPr="00161FEE">
        <w:rPr>
          <w:rFonts w:ascii="Times New Roman" w:hAnsi="Times New Roman"/>
          <w:b/>
          <w:color w:val="000000"/>
          <w:sz w:val="24"/>
          <w:szCs w:val="24"/>
        </w:rPr>
        <w:lastRenderedPageBreak/>
        <w:t>Pa</w:t>
      </w:r>
      <w:r w:rsidR="00915BEF" w:rsidRPr="00161FEE">
        <w:rPr>
          <w:rFonts w:ascii="Times New Roman" w:hAnsi="Times New Roman"/>
          <w:b/>
          <w:color w:val="000000"/>
          <w:sz w:val="24"/>
          <w:szCs w:val="24"/>
        </w:rPr>
        <w:t>rt 4</w:t>
      </w:r>
      <w:r w:rsidR="00915BEF" w:rsidRPr="00161FEE">
        <w:rPr>
          <w:rFonts w:ascii="Times New Roman" w:hAnsi="Times New Roman"/>
          <w:b/>
          <w:color w:val="000000"/>
          <w:sz w:val="24"/>
          <w:szCs w:val="24"/>
        </w:rPr>
        <w:tab/>
      </w:r>
      <w:r w:rsidR="00EC3BCB" w:rsidRPr="00161FEE">
        <w:rPr>
          <w:rFonts w:ascii="Times New Roman" w:hAnsi="Times New Roman"/>
          <w:b/>
          <w:color w:val="000000"/>
          <w:sz w:val="24"/>
          <w:szCs w:val="24"/>
        </w:rPr>
        <w:t>Net abatement amount</w:t>
      </w:r>
    </w:p>
    <w:p w:rsidR="00915BEF" w:rsidRPr="00161FEE" w:rsidRDefault="00915BEF" w:rsidP="00101B59">
      <w:pPr>
        <w:spacing w:after="120" w:line="240" w:lineRule="auto"/>
        <w:rPr>
          <w:rFonts w:ascii="Times New Roman" w:hAnsi="Times New Roman"/>
          <w:b/>
          <w:color w:val="000000"/>
          <w:sz w:val="24"/>
          <w:szCs w:val="24"/>
        </w:rPr>
      </w:pPr>
      <w:r w:rsidRPr="00161FEE">
        <w:rPr>
          <w:rFonts w:ascii="Times New Roman" w:hAnsi="Times New Roman"/>
          <w:b/>
          <w:color w:val="000000"/>
          <w:sz w:val="24"/>
          <w:szCs w:val="24"/>
        </w:rPr>
        <w:t xml:space="preserve">Division </w:t>
      </w:r>
      <w:r w:rsidR="00EC3BCB" w:rsidRPr="00161FEE">
        <w:rPr>
          <w:rFonts w:ascii="Times New Roman" w:hAnsi="Times New Roman"/>
          <w:b/>
          <w:color w:val="000000"/>
          <w:sz w:val="24"/>
          <w:szCs w:val="24"/>
        </w:rPr>
        <w:t>1</w:t>
      </w:r>
      <w:r w:rsidR="003962F4" w:rsidRPr="00161FEE">
        <w:rPr>
          <w:rFonts w:ascii="Times New Roman" w:hAnsi="Times New Roman"/>
          <w:b/>
          <w:color w:val="000000"/>
          <w:sz w:val="24"/>
          <w:szCs w:val="24"/>
        </w:rPr>
        <w:t xml:space="preserve"> </w:t>
      </w:r>
      <w:r w:rsidR="003962F4" w:rsidRPr="00161FEE">
        <w:rPr>
          <w:rFonts w:ascii="Times New Roman" w:hAnsi="Times New Roman"/>
          <w:b/>
          <w:color w:val="000000"/>
          <w:sz w:val="24"/>
          <w:szCs w:val="24"/>
        </w:rPr>
        <w:tab/>
      </w:r>
      <w:r w:rsidR="00EC3BCB" w:rsidRPr="00161FEE">
        <w:rPr>
          <w:rFonts w:ascii="Times New Roman" w:hAnsi="Times New Roman"/>
          <w:b/>
          <w:color w:val="000000"/>
          <w:sz w:val="24"/>
          <w:szCs w:val="24"/>
        </w:rPr>
        <w:t>Preliminary</w:t>
      </w:r>
    </w:p>
    <w:p w:rsidR="00915BEF" w:rsidRPr="00161FEE" w:rsidRDefault="00C87047" w:rsidP="00101B59">
      <w:pPr>
        <w:spacing w:after="120" w:line="240" w:lineRule="auto"/>
        <w:rPr>
          <w:rFonts w:ascii="Times New Roman" w:hAnsi="Times New Roman"/>
          <w:color w:val="000000"/>
          <w:sz w:val="24"/>
          <w:szCs w:val="24"/>
          <w:u w:val="single"/>
        </w:rPr>
      </w:pPr>
      <w:r w:rsidRPr="00161FEE">
        <w:rPr>
          <w:rFonts w:ascii="Times New Roman" w:hAnsi="Times New Roman"/>
          <w:color w:val="000000"/>
          <w:sz w:val="24"/>
          <w:szCs w:val="24"/>
          <w:u w:val="single"/>
        </w:rPr>
        <w:t>1</w:t>
      </w:r>
      <w:r w:rsidR="00BC3EF9" w:rsidRPr="00161FEE">
        <w:rPr>
          <w:rFonts w:ascii="Times New Roman" w:hAnsi="Times New Roman"/>
          <w:color w:val="000000"/>
          <w:sz w:val="24"/>
          <w:szCs w:val="24"/>
          <w:u w:val="single"/>
        </w:rPr>
        <w:t>1</w:t>
      </w:r>
      <w:r w:rsidR="00915BEF" w:rsidRPr="00161FEE">
        <w:rPr>
          <w:rFonts w:ascii="Times New Roman" w:hAnsi="Times New Roman"/>
          <w:color w:val="000000"/>
          <w:sz w:val="24"/>
          <w:szCs w:val="24"/>
          <w:u w:val="single"/>
        </w:rPr>
        <w:tab/>
      </w:r>
      <w:r w:rsidR="00EC3BCB" w:rsidRPr="00161FEE">
        <w:rPr>
          <w:rFonts w:ascii="Times New Roman" w:hAnsi="Times New Roman"/>
          <w:color w:val="000000"/>
          <w:sz w:val="24"/>
          <w:szCs w:val="24"/>
          <w:u w:val="single"/>
        </w:rPr>
        <w:t>Operation of this Part</w:t>
      </w:r>
    </w:p>
    <w:p w:rsidR="00186CE8" w:rsidRPr="00161FEE" w:rsidRDefault="004E440D" w:rsidP="00101B59">
      <w:pPr>
        <w:spacing w:after="120" w:line="240" w:lineRule="auto"/>
        <w:rPr>
          <w:rFonts w:ascii="Times New Roman" w:hAnsi="Times New Roman"/>
          <w:sz w:val="24"/>
          <w:szCs w:val="24"/>
        </w:rPr>
      </w:pPr>
      <w:r w:rsidRPr="00161FEE">
        <w:rPr>
          <w:rFonts w:ascii="Times New Roman" w:hAnsi="Times New Roman"/>
          <w:sz w:val="24"/>
          <w:szCs w:val="24"/>
        </w:rPr>
        <w:t>Paragraph 106(1)</w:t>
      </w:r>
      <w:r w:rsidR="00186CE8" w:rsidRPr="00161FEE">
        <w:rPr>
          <w:rFonts w:ascii="Times New Roman" w:hAnsi="Times New Roman"/>
          <w:sz w:val="24"/>
          <w:szCs w:val="24"/>
        </w:rPr>
        <w:t xml:space="preserve">(c) of the Act provides that a methodology determination must specify </w:t>
      </w:r>
      <w:r w:rsidR="00C45441" w:rsidRPr="00161FEE">
        <w:rPr>
          <w:rFonts w:ascii="Times New Roman" w:hAnsi="Times New Roman"/>
          <w:sz w:val="24"/>
          <w:szCs w:val="24"/>
        </w:rPr>
        <w:t xml:space="preserve">how to </w:t>
      </w:r>
      <w:r w:rsidR="00186CE8" w:rsidRPr="00161FEE">
        <w:rPr>
          <w:rFonts w:ascii="Times New Roman" w:hAnsi="Times New Roman"/>
          <w:sz w:val="24"/>
          <w:szCs w:val="24"/>
        </w:rPr>
        <w:t>calculat</w:t>
      </w:r>
      <w:r w:rsidR="00C45441" w:rsidRPr="00161FEE">
        <w:rPr>
          <w:rFonts w:ascii="Times New Roman" w:hAnsi="Times New Roman"/>
          <w:sz w:val="24"/>
          <w:szCs w:val="24"/>
        </w:rPr>
        <w:t>e</w:t>
      </w:r>
      <w:r w:rsidR="00186CE8" w:rsidRPr="00161FEE">
        <w:rPr>
          <w:rFonts w:ascii="Times New Roman" w:hAnsi="Times New Roman"/>
          <w:sz w:val="24"/>
          <w:szCs w:val="24"/>
        </w:rPr>
        <w:t xml:space="preserve"> the carbon dioxide equivalent (CO</w:t>
      </w:r>
      <w:r w:rsidR="00186CE8" w:rsidRPr="00161FEE">
        <w:rPr>
          <w:rFonts w:ascii="Times New Roman" w:hAnsi="Times New Roman"/>
          <w:sz w:val="24"/>
          <w:szCs w:val="24"/>
          <w:vertAlign w:val="subscript"/>
        </w:rPr>
        <w:t>2</w:t>
      </w:r>
      <w:r w:rsidR="00186CE8" w:rsidRPr="00161FEE">
        <w:rPr>
          <w:rFonts w:ascii="Times New Roman" w:hAnsi="Times New Roman"/>
          <w:sz w:val="24"/>
          <w:szCs w:val="24"/>
        </w:rPr>
        <w:t>-e) net abatement amount for the project in relation to a reporting period.</w:t>
      </w:r>
      <w:r w:rsidR="00047093" w:rsidRPr="00161FEE">
        <w:rPr>
          <w:rFonts w:ascii="Times New Roman" w:hAnsi="Times New Roman"/>
          <w:sz w:val="24"/>
          <w:szCs w:val="24"/>
        </w:rPr>
        <w:t xml:space="preserve"> Part 4 sets out these rules.</w:t>
      </w:r>
    </w:p>
    <w:p w:rsidR="00714D8B" w:rsidRPr="00161FEE" w:rsidRDefault="00714D8B" w:rsidP="00101B59">
      <w:pPr>
        <w:spacing w:after="120" w:line="240" w:lineRule="auto"/>
        <w:rPr>
          <w:rFonts w:ascii="Times New Roman" w:hAnsi="Times New Roman"/>
          <w:sz w:val="24"/>
          <w:szCs w:val="24"/>
        </w:rPr>
      </w:pPr>
    </w:p>
    <w:p w:rsidR="00EC3BCB" w:rsidRPr="00161FEE" w:rsidRDefault="00C87047" w:rsidP="00101B59">
      <w:pPr>
        <w:spacing w:after="120" w:line="240" w:lineRule="auto"/>
        <w:rPr>
          <w:rFonts w:ascii="Times New Roman" w:hAnsi="Times New Roman"/>
          <w:color w:val="000000"/>
          <w:sz w:val="24"/>
          <w:szCs w:val="24"/>
          <w:u w:val="single"/>
        </w:rPr>
      </w:pPr>
      <w:r w:rsidRPr="00161FEE">
        <w:rPr>
          <w:rFonts w:ascii="Times New Roman" w:hAnsi="Times New Roman"/>
          <w:color w:val="000000"/>
          <w:sz w:val="24"/>
          <w:szCs w:val="24"/>
          <w:u w:val="single"/>
        </w:rPr>
        <w:t>1</w:t>
      </w:r>
      <w:r w:rsidR="00BC3EF9" w:rsidRPr="00161FEE">
        <w:rPr>
          <w:rFonts w:ascii="Times New Roman" w:hAnsi="Times New Roman"/>
          <w:color w:val="000000"/>
          <w:sz w:val="24"/>
          <w:szCs w:val="24"/>
          <w:u w:val="single"/>
        </w:rPr>
        <w:t>2</w:t>
      </w:r>
      <w:r w:rsidR="00EC3BCB" w:rsidRPr="00161FEE">
        <w:rPr>
          <w:rFonts w:ascii="Times New Roman" w:hAnsi="Times New Roman"/>
          <w:color w:val="000000"/>
          <w:sz w:val="24"/>
          <w:szCs w:val="24"/>
          <w:u w:val="single"/>
        </w:rPr>
        <w:tab/>
        <w:t>O</w:t>
      </w:r>
      <w:r w:rsidR="00AB4828" w:rsidRPr="00161FEE">
        <w:rPr>
          <w:rFonts w:ascii="Times New Roman" w:hAnsi="Times New Roman"/>
          <w:color w:val="000000"/>
          <w:sz w:val="24"/>
          <w:szCs w:val="24"/>
          <w:u w:val="single"/>
        </w:rPr>
        <w:t>verview of gases accounted for in abatement calculations</w:t>
      </w:r>
    </w:p>
    <w:p w:rsidR="00AB4828" w:rsidRPr="00161FEE" w:rsidRDefault="00EC29B3" w:rsidP="00101B59">
      <w:p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Section 1</w:t>
      </w:r>
      <w:r w:rsidR="00BC3EF9" w:rsidRPr="00161FEE">
        <w:rPr>
          <w:rFonts w:ascii="Times New Roman" w:hAnsi="Times New Roman"/>
          <w:color w:val="000000"/>
          <w:sz w:val="24"/>
          <w:szCs w:val="24"/>
        </w:rPr>
        <w:t>2</w:t>
      </w:r>
      <w:r w:rsidR="00B712B4" w:rsidRPr="00161FEE">
        <w:rPr>
          <w:rFonts w:ascii="Times New Roman" w:hAnsi="Times New Roman"/>
          <w:color w:val="000000"/>
          <w:sz w:val="24"/>
          <w:szCs w:val="24"/>
        </w:rPr>
        <w:t xml:space="preserve"> provides a summary of the</w:t>
      </w:r>
      <w:r w:rsidR="00AB4828" w:rsidRPr="00161FEE">
        <w:rPr>
          <w:rFonts w:ascii="Times New Roman" w:hAnsi="Times New Roman"/>
          <w:color w:val="000000"/>
          <w:sz w:val="24"/>
          <w:szCs w:val="24"/>
        </w:rPr>
        <w:t xml:space="preserve"> </w:t>
      </w:r>
      <w:r w:rsidR="00A93A90" w:rsidRPr="00161FEE">
        <w:rPr>
          <w:rFonts w:ascii="Times New Roman" w:hAnsi="Times New Roman"/>
          <w:color w:val="000000"/>
          <w:sz w:val="24"/>
          <w:szCs w:val="24"/>
        </w:rPr>
        <w:t>emissions</w:t>
      </w:r>
      <w:r w:rsidR="00AB4828" w:rsidRPr="00161FEE">
        <w:rPr>
          <w:rFonts w:ascii="Times New Roman" w:hAnsi="Times New Roman"/>
          <w:color w:val="000000"/>
          <w:sz w:val="24"/>
          <w:szCs w:val="24"/>
        </w:rPr>
        <w:t xml:space="preserve"> sources that are assessed</w:t>
      </w:r>
      <w:r w:rsidR="00522692" w:rsidRPr="00161FEE">
        <w:rPr>
          <w:rFonts w:ascii="Times New Roman" w:hAnsi="Times New Roman"/>
          <w:color w:val="000000"/>
          <w:sz w:val="24"/>
          <w:szCs w:val="24"/>
        </w:rPr>
        <w:t xml:space="preserve"> </w:t>
      </w:r>
      <w:r w:rsidR="00AB4828" w:rsidRPr="00161FEE">
        <w:rPr>
          <w:rFonts w:ascii="Times New Roman" w:hAnsi="Times New Roman"/>
          <w:color w:val="000000"/>
          <w:sz w:val="24"/>
          <w:szCs w:val="24"/>
        </w:rPr>
        <w:t xml:space="preserve">in </w:t>
      </w:r>
      <w:r w:rsidRPr="00161FEE">
        <w:rPr>
          <w:rFonts w:ascii="Times New Roman" w:hAnsi="Times New Roman"/>
          <w:color w:val="000000"/>
          <w:sz w:val="24"/>
          <w:szCs w:val="24"/>
        </w:rPr>
        <w:t xml:space="preserve">the Determination in </w:t>
      </w:r>
      <w:r w:rsidR="00AB4828" w:rsidRPr="00161FEE">
        <w:rPr>
          <w:rFonts w:ascii="Times New Roman" w:hAnsi="Times New Roman"/>
          <w:color w:val="000000"/>
          <w:sz w:val="24"/>
          <w:szCs w:val="24"/>
        </w:rPr>
        <w:t>order to determine the net abatement amount. The emission</w:t>
      </w:r>
      <w:r w:rsidR="00950EFB" w:rsidRPr="00161FEE">
        <w:rPr>
          <w:rFonts w:ascii="Times New Roman" w:hAnsi="Times New Roman"/>
          <w:color w:val="000000"/>
          <w:sz w:val="24"/>
          <w:szCs w:val="24"/>
        </w:rPr>
        <w:t>s</w:t>
      </w:r>
      <w:r w:rsidR="00AB4828" w:rsidRPr="00161FEE">
        <w:rPr>
          <w:rFonts w:ascii="Times New Roman" w:hAnsi="Times New Roman"/>
          <w:color w:val="000000"/>
          <w:sz w:val="24"/>
          <w:szCs w:val="24"/>
        </w:rPr>
        <w:t xml:space="preserve"> sources which need to be taken into account when calculating abatement for the project are set out in </w:t>
      </w:r>
      <w:r w:rsidRPr="00161FEE">
        <w:rPr>
          <w:rFonts w:ascii="Times New Roman" w:hAnsi="Times New Roman"/>
          <w:color w:val="000000"/>
          <w:sz w:val="24"/>
          <w:szCs w:val="24"/>
        </w:rPr>
        <w:t>Table </w:t>
      </w:r>
      <w:r w:rsidR="00AB4828" w:rsidRPr="00161FEE">
        <w:rPr>
          <w:rFonts w:ascii="Times New Roman" w:hAnsi="Times New Roman"/>
          <w:color w:val="000000"/>
          <w:sz w:val="24"/>
          <w:szCs w:val="24"/>
        </w:rPr>
        <w:t>1.</w:t>
      </w:r>
    </w:p>
    <w:p w:rsidR="00AB4828" w:rsidRPr="00161FEE" w:rsidRDefault="00AB4828" w:rsidP="00101B59">
      <w:pPr>
        <w:pStyle w:val="h6Subsec"/>
        <w:keepNext w:val="0"/>
        <w:spacing w:before="0" w:after="120"/>
        <w:ind w:left="0"/>
        <w:rPr>
          <w:rFonts w:ascii="Times New Roman" w:hAnsi="Times New Roman"/>
          <w:color w:val="000000"/>
        </w:rPr>
      </w:pPr>
      <w:r w:rsidRPr="00161FEE">
        <w:rPr>
          <w:rFonts w:ascii="Times New Roman" w:hAnsi="Times New Roman"/>
          <w:color w:val="000000"/>
        </w:rPr>
        <w:t xml:space="preserve">Table 1: </w:t>
      </w:r>
      <w:r w:rsidR="00BA2C7D" w:rsidRPr="00161FEE">
        <w:rPr>
          <w:rFonts w:ascii="Times New Roman" w:hAnsi="Times New Roman"/>
          <w:color w:val="000000"/>
        </w:rPr>
        <w:t>Overview of g</w:t>
      </w:r>
      <w:r w:rsidRPr="00161FEE">
        <w:rPr>
          <w:rFonts w:ascii="Times New Roman" w:hAnsi="Times New Roman"/>
          <w:color w:val="000000"/>
        </w:rPr>
        <w:t>ases accounted for in the abatement calculations</w:t>
      </w:r>
    </w:p>
    <w:tbl>
      <w:tblPr>
        <w:tblW w:w="0" w:type="auto"/>
        <w:jc w:val="center"/>
        <w:tblInd w:w="113" w:type="dxa"/>
        <w:tblBorders>
          <w:top w:val="single" w:sz="4" w:space="0" w:color="auto"/>
          <w:bottom w:val="single" w:sz="2" w:space="0" w:color="auto"/>
          <w:insideH w:val="single" w:sz="4" w:space="0" w:color="auto"/>
        </w:tblBorders>
        <w:tblLayout w:type="fixed"/>
        <w:tblLook w:val="0000"/>
      </w:tblPr>
      <w:tblGrid>
        <w:gridCol w:w="2533"/>
        <w:gridCol w:w="2533"/>
        <w:gridCol w:w="3214"/>
      </w:tblGrid>
      <w:tr w:rsidR="006721DC" w:rsidRPr="00161FEE" w:rsidTr="00056113">
        <w:trPr>
          <w:tblHeader/>
          <w:jc w:val="center"/>
        </w:trPr>
        <w:tc>
          <w:tcPr>
            <w:tcW w:w="8280" w:type="dxa"/>
            <w:gridSpan w:val="3"/>
            <w:tcBorders>
              <w:top w:val="single" w:sz="12" w:space="0" w:color="auto"/>
              <w:bottom w:val="single" w:sz="6" w:space="0" w:color="auto"/>
            </w:tcBorders>
            <w:shd w:val="clear" w:color="auto" w:fill="auto"/>
          </w:tcPr>
          <w:p w:rsidR="006721DC" w:rsidRPr="00161FEE" w:rsidRDefault="006721DC" w:rsidP="003F2C7B">
            <w:pPr>
              <w:pStyle w:val="TableHeading"/>
            </w:pPr>
            <w:r w:rsidRPr="00161FEE">
              <w:t>Greenhouse gases and emissions sources</w:t>
            </w:r>
          </w:p>
        </w:tc>
      </w:tr>
      <w:tr w:rsidR="00056113" w:rsidRPr="00161FEE" w:rsidTr="00056113">
        <w:trPr>
          <w:tblHeader/>
          <w:jc w:val="center"/>
        </w:trPr>
        <w:tc>
          <w:tcPr>
            <w:tcW w:w="2533" w:type="dxa"/>
            <w:tcBorders>
              <w:top w:val="single" w:sz="6" w:space="0" w:color="auto"/>
              <w:bottom w:val="single" w:sz="12" w:space="0" w:color="auto"/>
            </w:tcBorders>
            <w:shd w:val="clear" w:color="auto" w:fill="auto"/>
          </w:tcPr>
          <w:p w:rsidR="00056113" w:rsidRPr="00161FEE" w:rsidRDefault="00056113" w:rsidP="003F2C7B">
            <w:pPr>
              <w:pStyle w:val="TableHeading"/>
            </w:pPr>
            <w:r w:rsidRPr="00161FEE">
              <w:rPr>
                <w:rFonts w:eastAsia="Calibri"/>
                <w:lang w:eastAsia="en-US"/>
              </w:rPr>
              <w:t>Relevant emissions calculation</w:t>
            </w:r>
          </w:p>
        </w:tc>
        <w:tc>
          <w:tcPr>
            <w:tcW w:w="2533" w:type="dxa"/>
            <w:tcBorders>
              <w:top w:val="single" w:sz="6" w:space="0" w:color="auto"/>
              <w:bottom w:val="single" w:sz="12" w:space="0" w:color="auto"/>
            </w:tcBorders>
            <w:shd w:val="clear" w:color="auto" w:fill="auto"/>
          </w:tcPr>
          <w:p w:rsidR="00056113" w:rsidRPr="00161FEE" w:rsidRDefault="00056113" w:rsidP="003F2C7B">
            <w:pPr>
              <w:pStyle w:val="TableHeading"/>
            </w:pPr>
            <w:r w:rsidRPr="00161FEE">
              <w:t>Emissions source</w:t>
            </w:r>
          </w:p>
        </w:tc>
        <w:tc>
          <w:tcPr>
            <w:tcW w:w="3214" w:type="dxa"/>
            <w:tcBorders>
              <w:top w:val="single" w:sz="6" w:space="0" w:color="auto"/>
              <w:bottom w:val="single" w:sz="12" w:space="0" w:color="auto"/>
            </w:tcBorders>
            <w:shd w:val="clear" w:color="auto" w:fill="auto"/>
          </w:tcPr>
          <w:p w:rsidR="00056113" w:rsidRPr="00161FEE" w:rsidRDefault="00056113" w:rsidP="003F2C7B">
            <w:pPr>
              <w:pStyle w:val="TableHeading"/>
            </w:pPr>
            <w:r w:rsidRPr="00161FEE">
              <w:t>Greenhouse gas</w:t>
            </w:r>
          </w:p>
        </w:tc>
      </w:tr>
      <w:tr w:rsidR="00056113" w:rsidRPr="00161FEE" w:rsidTr="00056113">
        <w:trPr>
          <w:jc w:val="center"/>
        </w:trPr>
        <w:tc>
          <w:tcPr>
            <w:tcW w:w="2533" w:type="dxa"/>
            <w:tcBorders>
              <w:top w:val="single" w:sz="12" w:space="0" w:color="auto"/>
              <w:bottom w:val="single" w:sz="4" w:space="0" w:color="auto"/>
            </w:tcBorders>
            <w:shd w:val="clear" w:color="auto" w:fill="auto"/>
          </w:tcPr>
          <w:p w:rsidR="00056113" w:rsidRPr="00161FEE" w:rsidRDefault="00056113" w:rsidP="003F2C7B">
            <w:pPr>
              <w:pStyle w:val="Tabletext"/>
            </w:pPr>
            <w:r w:rsidRPr="00161FEE">
              <w:t>Baseline emissions</w:t>
            </w:r>
          </w:p>
          <w:p w:rsidR="00056113" w:rsidRPr="00161FEE" w:rsidRDefault="00056113" w:rsidP="003F2C7B">
            <w:pPr>
              <w:pStyle w:val="Tabletext"/>
            </w:pPr>
            <w:r w:rsidRPr="00161FEE">
              <w:t>Project emissions</w:t>
            </w:r>
          </w:p>
        </w:tc>
        <w:tc>
          <w:tcPr>
            <w:tcW w:w="2533" w:type="dxa"/>
            <w:tcBorders>
              <w:top w:val="single" w:sz="12" w:space="0" w:color="auto"/>
              <w:bottom w:val="single" w:sz="4" w:space="0" w:color="auto"/>
            </w:tcBorders>
            <w:shd w:val="clear" w:color="auto" w:fill="auto"/>
          </w:tcPr>
          <w:p w:rsidR="00056113" w:rsidRPr="00161FEE" w:rsidRDefault="00056113" w:rsidP="003F2C7B">
            <w:pPr>
              <w:pStyle w:val="Tabletext"/>
            </w:pPr>
            <w:r w:rsidRPr="00161FEE">
              <w:t>Electricity consumption</w:t>
            </w:r>
          </w:p>
        </w:tc>
        <w:tc>
          <w:tcPr>
            <w:tcW w:w="3214" w:type="dxa"/>
            <w:tcBorders>
              <w:top w:val="single" w:sz="12" w:space="0" w:color="auto"/>
              <w:bottom w:val="single" w:sz="4" w:space="0" w:color="auto"/>
            </w:tcBorders>
            <w:shd w:val="clear" w:color="auto" w:fill="auto"/>
          </w:tcPr>
          <w:p w:rsidR="00056113" w:rsidRPr="00161FEE" w:rsidRDefault="00056113" w:rsidP="00237D47">
            <w:pPr>
              <w:pStyle w:val="Tabletext"/>
              <w:rPr>
                <w:rFonts w:eastAsia="Calibri"/>
                <w:lang w:eastAsia="en-US"/>
              </w:rPr>
            </w:pPr>
            <w:r w:rsidRPr="00161FEE">
              <w:rPr>
                <w:rFonts w:eastAsia="Calibri"/>
                <w:lang w:eastAsia="en-US"/>
              </w:rPr>
              <w:t>Carbon dioxide (CO</w:t>
            </w:r>
            <w:r w:rsidRPr="00161FEE">
              <w:rPr>
                <w:rFonts w:eastAsia="Calibri"/>
                <w:vertAlign w:val="subscript"/>
                <w:lang w:eastAsia="en-US"/>
              </w:rPr>
              <w:t>2</w:t>
            </w:r>
            <w:r w:rsidRPr="00161FEE">
              <w:rPr>
                <w:rFonts w:eastAsia="Calibri"/>
                <w:lang w:eastAsia="en-US"/>
              </w:rPr>
              <w:t>)</w:t>
            </w:r>
          </w:p>
          <w:p w:rsidR="00056113" w:rsidRPr="00161FEE" w:rsidRDefault="00056113" w:rsidP="00237D47">
            <w:pPr>
              <w:pStyle w:val="Tabletext"/>
              <w:rPr>
                <w:rFonts w:eastAsia="Calibri"/>
                <w:lang w:eastAsia="en-US"/>
              </w:rPr>
            </w:pPr>
            <w:r w:rsidRPr="00161FEE">
              <w:rPr>
                <w:rFonts w:eastAsia="Calibri"/>
                <w:lang w:eastAsia="en-US"/>
              </w:rPr>
              <w:t>Methane (CH</w:t>
            </w:r>
            <w:r w:rsidRPr="00161FEE">
              <w:rPr>
                <w:rFonts w:eastAsia="Calibri"/>
                <w:vertAlign w:val="subscript"/>
                <w:lang w:eastAsia="en-US"/>
              </w:rPr>
              <w:t>4</w:t>
            </w:r>
            <w:r w:rsidRPr="00161FEE">
              <w:rPr>
                <w:rFonts w:eastAsia="Calibri"/>
                <w:lang w:eastAsia="en-US"/>
              </w:rPr>
              <w:t>)</w:t>
            </w:r>
          </w:p>
          <w:p w:rsidR="00056113" w:rsidRPr="00161FEE" w:rsidRDefault="00056113" w:rsidP="00237D47">
            <w:pPr>
              <w:pStyle w:val="Tabletext"/>
              <w:rPr>
                <w:rFonts w:eastAsia="Calibri"/>
                <w:lang w:eastAsia="en-US"/>
              </w:rPr>
            </w:pPr>
            <w:r w:rsidRPr="00161FEE">
              <w:rPr>
                <w:rFonts w:eastAsia="Calibri"/>
                <w:lang w:eastAsia="en-US"/>
              </w:rPr>
              <w:t>Nitrous oxide (N</w:t>
            </w:r>
            <w:r w:rsidRPr="00161FEE">
              <w:rPr>
                <w:rFonts w:eastAsia="Calibri"/>
                <w:vertAlign w:val="subscript"/>
                <w:lang w:eastAsia="en-US"/>
              </w:rPr>
              <w:t>2</w:t>
            </w:r>
            <w:r w:rsidRPr="00161FEE">
              <w:rPr>
                <w:rFonts w:eastAsia="Calibri"/>
                <w:lang w:eastAsia="en-US"/>
              </w:rPr>
              <w:t>O)</w:t>
            </w:r>
          </w:p>
        </w:tc>
      </w:tr>
      <w:tr w:rsidR="00056113" w:rsidRPr="00161FEE" w:rsidTr="00056113">
        <w:trPr>
          <w:jc w:val="center"/>
        </w:trPr>
        <w:tc>
          <w:tcPr>
            <w:tcW w:w="2533" w:type="dxa"/>
            <w:tcBorders>
              <w:bottom w:val="single" w:sz="12" w:space="0" w:color="auto"/>
            </w:tcBorders>
            <w:shd w:val="clear" w:color="auto" w:fill="auto"/>
          </w:tcPr>
          <w:p w:rsidR="00056113" w:rsidRPr="00161FEE" w:rsidRDefault="00056113" w:rsidP="003F2C7B">
            <w:pPr>
              <w:pStyle w:val="Tabletext"/>
            </w:pPr>
            <w:r w:rsidRPr="00161FEE">
              <w:t>Baseline emissions</w:t>
            </w:r>
          </w:p>
          <w:p w:rsidR="00056113" w:rsidRPr="00161FEE" w:rsidRDefault="00056113" w:rsidP="003F2C7B">
            <w:pPr>
              <w:pStyle w:val="Tabletext"/>
            </w:pPr>
            <w:r w:rsidRPr="00161FEE">
              <w:t>Project emissions</w:t>
            </w:r>
          </w:p>
        </w:tc>
        <w:tc>
          <w:tcPr>
            <w:tcW w:w="2533" w:type="dxa"/>
            <w:tcBorders>
              <w:bottom w:val="single" w:sz="12" w:space="0" w:color="auto"/>
            </w:tcBorders>
            <w:shd w:val="clear" w:color="auto" w:fill="auto"/>
          </w:tcPr>
          <w:p w:rsidR="00056113" w:rsidRPr="00161FEE" w:rsidRDefault="00056113" w:rsidP="003F2C7B">
            <w:pPr>
              <w:pStyle w:val="Tabletext"/>
            </w:pPr>
            <w:r w:rsidRPr="00161FEE">
              <w:t>Fossil fuel combustion</w:t>
            </w:r>
          </w:p>
        </w:tc>
        <w:tc>
          <w:tcPr>
            <w:tcW w:w="3214" w:type="dxa"/>
            <w:tcBorders>
              <w:bottom w:val="single" w:sz="12" w:space="0" w:color="auto"/>
            </w:tcBorders>
            <w:shd w:val="clear" w:color="auto" w:fill="auto"/>
          </w:tcPr>
          <w:p w:rsidR="00056113" w:rsidRPr="00161FEE" w:rsidRDefault="00056113" w:rsidP="003F2C7B">
            <w:pPr>
              <w:pStyle w:val="Tabletext"/>
              <w:rPr>
                <w:rFonts w:eastAsia="Calibri"/>
                <w:lang w:eastAsia="en-US"/>
              </w:rPr>
            </w:pPr>
            <w:r w:rsidRPr="00161FEE">
              <w:rPr>
                <w:rFonts w:eastAsia="Calibri"/>
                <w:lang w:eastAsia="en-US"/>
              </w:rPr>
              <w:t>Carbon dioxide (CO</w:t>
            </w:r>
            <w:r w:rsidRPr="00161FEE">
              <w:rPr>
                <w:rFonts w:eastAsia="Calibri"/>
                <w:vertAlign w:val="subscript"/>
                <w:lang w:eastAsia="en-US"/>
              </w:rPr>
              <w:t>2</w:t>
            </w:r>
            <w:r w:rsidRPr="00161FEE">
              <w:rPr>
                <w:rFonts w:eastAsia="Calibri"/>
                <w:lang w:eastAsia="en-US"/>
              </w:rPr>
              <w:t>)</w:t>
            </w:r>
          </w:p>
          <w:p w:rsidR="00056113" w:rsidRPr="00161FEE" w:rsidRDefault="00056113" w:rsidP="003F2C7B">
            <w:pPr>
              <w:pStyle w:val="Tabletext"/>
              <w:rPr>
                <w:rFonts w:eastAsia="Calibri"/>
                <w:lang w:eastAsia="en-US"/>
              </w:rPr>
            </w:pPr>
            <w:r w:rsidRPr="00161FEE">
              <w:rPr>
                <w:rFonts w:eastAsia="Calibri"/>
                <w:lang w:eastAsia="en-US"/>
              </w:rPr>
              <w:t>Methane (CH</w:t>
            </w:r>
            <w:r w:rsidRPr="00161FEE">
              <w:rPr>
                <w:rFonts w:eastAsia="Calibri"/>
                <w:vertAlign w:val="subscript"/>
                <w:lang w:eastAsia="en-US"/>
              </w:rPr>
              <w:t>4</w:t>
            </w:r>
            <w:r w:rsidRPr="00161FEE">
              <w:rPr>
                <w:rFonts w:eastAsia="Calibri"/>
                <w:lang w:eastAsia="en-US"/>
              </w:rPr>
              <w:t>)</w:t>
            </w:r>
          </w:p>
          <w:p w:rsidR="00056113" w:rsidRPr="00161FEE" w:rsidRDefault="00056113" w:rsidP="003F2C7B">
            <w:pPr>
              <w:pStyle w:val="Tabletext"/>
            </w:pPr>
            <w:r w:rsidRPr="00161FEE">
              <w:rPr>
                <w:rFonts w:eastAsia="Calibri"/>
                <w:lang w:eastAsia="en-US"/>
              </w:rPr>
              <w:t>Nitrous oxide (N</w:t>
            </w:r>
            <w:r w:rsidRPr="00161FEE">
              <w:rPr>
                <w:rFonts w:eastAsia="Calibri"/>
                <w:vertAlign w:val="subscript"/>
                <w:lang w:eastAsia="en-US"/>
              </w:rPr>
              <w:t>2</w:t>
            </w:r>
            <w:r w:rsidRPr="00161FEE">
              <w:rPr>
                <w:rFonts w:eastAsia="Calibri"/>
                <w:lang w:eastAsia="en-US"/>
              </w:rPr>
              <w:t>O</w:t>
            </w:r>
            <w:bookmarkStart w:id="0" w:name="BK_S3P6L19C19"/>
            <w:bookmarkEnd w:id="0"/>
            <w:r w:rsidRPr="00161FEE">
              <w:rPr>
                <w:rFonts w:eastAsia="Calibri"/>
                <w:lang w:eastAsia="en-US"/>
              </w:rPr>
              <w:t>)</w:t>
            </w:r>
          </w:p>
        </w:tc>
      </w:tr>
    </w:tbl>
    <w:p w:rsidR="006B6730" w:rsidRPr="00161FEE" w:rsidRDefault="00216078" w:rsidP="00216078">
      <w:pPr>
        <w:spacing w:before="240" w:after="120" w:line="240" w:lineRule="auto"/>
        <w:rPr>
          <w:rFonts w:ascii="Times New Roman" w:hAnsi="Times New Roman"/>
          <w:color w:val="000000"/>
          <w:sz w:val="24"/>
          <w:szCs w:val="24"/>
        </w:rPr>
      </w:pPr>
      <w:r w:rsidRPr="00161FEE">
        <w:rPr>
          <w:rFonts w:ascii="Times New Roman" w:hAnsi="Times New Roman"/>
          <w:color w:val="000000"/>
          <w:sz w:val="24"/>
          <w:szCs w:val="24"/>
        </w:rPr>
        <w:t xml:space="preserve">The Determination covers scope 1 emissions from onsite fuel combustion and scope 2 emissions from electricity consumed onsite. It does not cover scope 3 </w:t>
      </w:r>
      <w:r w:rsidR="00BF2383" w:rsidRPr="00161FEE">
        <w:rPr>
          <w:rFonts w:ascii="Times New Roman" w:hAnsi="Times New Roman"/>
          <w:color w:val="000000"/>
          <w:sz w:val="24"/>
          <w:szCs w:val="24"/>
        </w:rPr>
        <w:t xml:space="preserve">emissions associated with the extraction and processing of fossil fuels or the manufacture, transportation, installation and disposal or decommissioning of building elements. </w:t>
      </w:r>
      <w:r w:rsidR="00924F08" w:rsidRPr="00161FEE">
        <w:rPr>
          <w:rFonts w:ascii="Times New Roman" w:hAnsi="Times New Roman"/>
          <w:color w:val="000000"/>
          <w:sz w:val="24"/>
          <w:szCs w:val="24"/>
        </w:rPr>
        <w:t xml:space="preserve">It is a scheme-wide policy to exclude scope 3 emissions from baseline and project emissions sources.   </w:t>
      </w:r>
    </w:p>
    <w:p w:rsidR="006F1D90" w:rsidRPr="00161FEE" w:rsidRDefault="006F1D90" w:rsidP="00D75E4F">
      <w:pPr>
        <w:pStyle w:val="ListParagraph"/>
        <w:widowControl w:val="0"/>
        <w:spacing w:after="120" w:line="240" w:lineRule="auto"/>
        <w:ind w:left="0"/>
        <w:rPr>
          <w:rFonts w:ascii="Times New Roman" w:hAnsi="Times New Roman"/>
          <w:color w:val="000000"/>
          <w:sz w:val="24"/>
          <w:szCs w:val="24"/>
        </w:rPr>
      </w:pPr>
    </w:p>
    <w:p w:rsidR="004E369D" w:rsidRPr="00161FEE" w:rsidRDefault="004E369D" w:rsidP="00D75E4F">
      <w:pPr>
        <w:pStyle w:val="ListParagraph"/>
        <w:widowControl w:val="0"/>
        <w:spacing w:after="120" w:line="240" w:lineRule="auto"/>
        <w:ind w:left="0"/>
        <w:rPr>
          <w:rFonts w:ascii="Times New Roman" w:hAnsi="Times New Roman"/>
          <w:color w:val="000000"/>
          <w:sz w:val="24"/>
          <w:szCs w:val="24"/>
          <w:u w:val="single"/>
        </w:rPr>
      </w:pPr>
      <w:r w:rsidRPr="00161FEE">
        <w:rPr>
          <w:rFonts w:ascii="Times New Roman" w:hAnsi="Times New Roman"/>
          <w:color w:val="000000"/>
          <w:sz w:val="24"/>
          <w:szCs w:val="24"/>
          <w:u w:val="single"/>
        </w:rPr>
        <w:t>1</w:t>
      </w:r>
      <w:r w:rsidR="00BC3EF9" w:rsidRPr="00161FEE">
        <w:rPr>
          <w:rFonts w:ascii="Times New Roman" w:hAnsi="Times New Roman"/>
          <w:color w:val="000000"/>
          <w:sz w:val="24"/>
          <w:szCs w:val="24"/>
          <w:u w:val="single"/>
        </w:rPr>
        <w:t>3</w:t>
      </w:r>
      <w:r w:rsidRPr="00161FEE">
        <w:rPr>
          <w:rFonts w:ascii="Times New Roman" w:hAnsi="Times New Roman"/>
          <w:color w:val="000000"/>
          <w:sz w:val="24"/>
          <w:szCs w:val="24"/>
          <w:u w:val="single"/>
        </w:rPr>
        <w:tab/>
        <w:t>Buildings to be used in calculations</w:t>
      </w:r>
    </w:p>
    <w:p w:rsidR="004E369D" w:rsidRPr="00161FEE" w:rsidRDefault="004E369D" w:rsidP="00D75E4F">
      <w:pPr>
        <w:pStyle w:val="ListParagraph"/>
        <w:widowControl w:val="0"/>
        <w:spacing w:after="120" w:line="240" w:lineRule="auto"/>
        <w:ind w:left="0"/>
        <w:rPr>
          <w:rFonts w:ascii="Times New Roman" w:hAnsi="Times New Roman"/>
          <w:color w:val="000000"/>
          <w:sz w:val="24"/>
          <w:szCs w:val="24"/>
        </w:rPr>
      </w:pPr>
      <w:r w:rsidRPr="00161FEE">
        <w:rPr>
          <w:rFonts w:ascii="Times New Roman" w:hAnsi="Times New Roman"/>
          <w:color w:val="000000"/>
          <w:sz w:val="24"/>
          <w:szCs w:val="24"/>
        </w:rPr>
        <w:t>Section 1</w:t>
      </w:r>
      <w:r w:rsidR="00BC3EF9" w:rsidRPr="00161FEE">
        <w:rPr>
          <w:rFonts w:ascii="Times New Roman" w:hAnsi="Times New Roman"/>
          <w:color w:val="000000"/>
          <w:sz w:val="24"/>
          <w:szCs w:val="24"/>
        </w:rPr>
        <w:t>3</w:t>
      </w:r>
      <w:r w:rsidRPr="00161FEE">
        <w:rPr>
          <w:rFonts w:ascii="Times New Roman" w:hAnsi="Times New Roman"/>
          <w:color w:val="000000"/>
          <w:sz w:val="24"/>
          <w:szCs w:val="24"/>
        </w:rPr>
        <w:t xml:space="preserve"> allows a project proponent to choose not to include a building in the calculati</w:t>
      </w:r>
      <w:r w:rsidR="00A15B83" w:rsidRPr="00161FEE">
        <w:rPr>
          <w:rFonts w:ascii="Times New Roman" w:hAnsi="Times New Roman"/>
          <w:color w:val="000000"/>
          <w:sz w:val="24"/>
          <w:szCs w:val="24"/>
        </w:rPr>
        <w:t>on of the net abatement amount for a measurement period in the reporting period.</w:t>
      </w:r>
      <w:r w:rsidR="00522692" w:rsidRPr="00161FEE">
        <w:rPr>
          <w:rFonts w:ascii="Times New Roman" w:hAnsi="Times New Roman"/>
          <w:color w:val="000000"/>
          <w:sz w:val="24"/>
          <w:szCs w:val="24"/>
        </w:rPr>
        <w:t xml:space="preserve"> </w:t>
      </w:r>
      <w:r w:rsidR="00F211FD" w:rsidRPr="00161FEE">
        <w:rPr>
          <w:rFonts w:ascii="Times New Roman" w:hAnsi="Times New Roman"/>
          <w:color w:val="000000"/>
          <w:sz w:val="24"/>
          <w:szCs w:val="24"/>
        </w:rPr>
        <w:t xml:space="preserve">This provision could be used, for example, to reduce compliance costs if it is known that one of the buildings </w:t>
      </w:r>
      <w:r w:rsidR="007D5CF0" w:rsidRPr="00161FEE">
        <w:rPr>
          <w:rFonts w:ascii="Times New Roman" w:hAnsi="Times New Roman"/>
          <w:color w:val="000000"/>
          <w:sz w:val="24"/>
          <w:szCs w:val="24"/>
        </w:rPr>
        <w:t xml:space="preserve">in the project </w:t>
      </w:r>
      <w:r w:rsidR="00F211FD" w:rsidRPr="00161FEE">
        <w:rPr>
          <w:rFonts w:ascii="Times New Roman" w:hAnsi="Times New Roman"/>
          <w:color w:val="000000"/>
          <w:sz w:val="24"/>
          <w:szCs w:val="24"/>
        </w:rPr>
        <w:t xml:space="preserve">has not met the minimum abatement threshold (discussed in </w:t>
      </w:r>
      <w:r w:rsidR="00A02A39">
        <w:rPr>
          <w:rFonts w:ascii="Times New Roman" w:hAnsi="Times New Roman"/>
          <w:color w:val="000000"/>
          <w:sz w:val="24"/>
          <w:szCs w:val="24"/>
        </w:rPr>
        <w:t xml:space="preserve">relation to </w:t>
      </w:r>
      <w:r w:rsidR="00F211FD" w:rsidRPr="00161FEE">
        <w:rPr>
          <w:rFonts w:ascii="Times New Roman" w:hAnsi="Times New Roman"/>
          <w:color w:val="000000"/>
          <w:sz w:val="24"/>
          <w:szCs w:val="24"/>
        </w:rPr>
        <w:t>section</w:t>
      </w:r>
      <w:r w:rsidR="00014790" w:rsidRPr="00161FEE">
        <w:rPr>
          <w:rFonts w:ascii="Times New Roman" w:hAnsi="Times New Roman"/>
          <w:color w:val="000000"/>
          <w:sz w:val="24"/>
          <w:szCs w:val="24"/>
        </w:rPr>
        <w:t>s</w:t>
      </w:r>
      <w:r w:rsidR="00F211FD" w:rsidRPr="00161FEE">
        <w:rPr>
          <w:rFonts w:ascii="Times New Roman" w:hAnsi="Times New Roman"/>
          <w:color w:val="000000"/>
          <w:sz w:val="24"/>
          <w:szCs w:val="24"/>
        </w:rPr>
        <w:t xml:space="preserve"> </w:t>
      </w:r>
      <w:r w:rsidR="00BC3EF9" w:rsidRPr="00161FEE">
        <w:rPr>
          <w:rFonts w:ascii="Times New Roman" w:hAnsi="Times New Roman"/>
          <w:color w:val="000000"/>
          <w:sz w:val="24"/>
          <w:szCs w:val="24"/>
        </w:rPr>
        <w:t>19</w:t>
      </w:r>
      <w:r w:rsidR="00014790" w:rsidRPr="00161FEE">
        <w:rPr>
          <w:rFonts w:ascii="Times New Roman" w:hAnsi="Times New Roman"/>
          <w:color w:val="000000"/>
          <w:sz w:val="24"/>
          <w:szCs w:val="24"/>
        </w:rPr>
        <w:t xml:space="preserve"> and 27</w:t>
      </w:r>
      <w:r w:rsidR="00A02A39">
        <w:rPr>
          <w:rFonts w:ascii="Times New Roman" w:hAnsi="Times New Roman"/>
          <w:color w:val="000000"/>
          <w:sz w:val="24"/>
          <w:szCs w:val="24"/>
        </w:rPr>
        <w:t xml:space="preserve"> of the Determination</w:t>
      </w:r>
      <w:r w:rsidR="00F211FD" w:rsidRPr="00161FEE">
        <w:rPr>
          <w:rFonts w:ascii="Times New Roman" w:hAnsi="Times New Roman"/>
          <w:color w:val="000000"/>
          <w:sz w:val="24"/>
          <w:szCs w:val="24"/>
        </w:rPr>
        <w:t xml:space="preserve">). </w:t>
      </w:r>
      <w:r w:rsidR="00A15B83" w:rsidRPr="00161FEE">
        <w:rPr>
          <w:rFonts w:ascii="Times New Roman" w:hAnsi="Times New Roman"/>
          <w:color w:val="000000"/>
          <w:sz w:val="24"/>
          <w:szCs w:val="24"/>
        </w:rPr>
        <w:t xml:space="preserve"> </w:t>
      </w:r>
    </w:p>
    <w:p w:rsidR="004E369D" w:rsidRPr="00161FEE" w:rsidRDefault="00222B3E" w:rsidP="00D75E4F">
      <w:pPr>
        <w:pStyle w:val="ListParagraph"/>
        <w:widowControl w:val="0"/>
        <w:spacing w:after="120" w:line="240" w:lineRule="auto"/>
        <w:ind w:left="0"/>
        <w:rPr>
          <w:rFonts w:ascii="Times New Roman" w:hAnsi="Times New Roman"/>
          <w:color w:val="000000"/>
          <w:sz w:val="24"/>
          <w:szCs w:val="24"/>
        </w:rPr>
      </w:pPr>
      <w:r w:rsidRPr="00161FEE">
        <w:rPr>
          <w:rFonts w:ascii="Times New Roman" w:hAnsi="Times New Roman"/>
          <w:color w:val="000000"/>
          <w:sz w:val="24"/>
          <w:szCs w:val="24"/>
        </w:rPr>
        <w:t>This section also requires that proponents exclude a building from the calculation of the net abatement amount for a measurement period if the following conditions are met:</w:t>
      </w:r>
    </w:p>
    <w:p w:rsidR="00222B3E" w:rsidRPr="00161FEE" w:rsidRDefault="00222B3E" w:rsidP="00222B3E">
      <w:pPr>
        <w:pStyle w:val="ListParagraph"/>
        <w:widowControl w:val="0"/>
        <w:numPr>
          <w:ilvl w:val="0"/>
          <w:numId w:val="40"/>
        </w:num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the project proponent undertakes an activity at the building (whether or not during the measurement period) that could not be included in an eligible offsets project under legislative rules made for subparagraph 27(4A)(c)(ii) of the Act; and</w:t>
      </w:r>
    </w:p>
    <w:p w:rsidR="00222B3E" w:rsidRPr="00161FEE" w:rsidRDefault="00222B3E" w:rsidP="00222B3E">
      <w:pPr>
        <w:pStyle w:val="ListParagraph"/>
        <w:widowControl w:val="0"/>
        <w:numPr>
          <w:ilvl w:val="0"/>
          <w:numId w:val="40"/>
        </w:numPr>
        <w:spacing w:after="120" w:line="240" w:lineRule="auto"/>
        <w:rPr>
          <w:rFonts w:ascii="Times New Roman" w:hAnsi="Times New Roman"/>
          <w:color w:val="000000"/>
          <w:sz w:val="24"/>
          <w:szCs w:val="24"/>
        </w:rPr>
      </w:pPr>
      <w:proofErr w:type="gramStart"/>
      <w:r w:rsidRPr="00161FEE">
        <w:rPr>
          <w:rFonts w:ascii="Times New Roman" w:hAnsi="Times New Roman"/>
          <w:color w:val="000000"/>
          <w:sz w:val="24"/>
          <w:szCs w:val="24"/>
        </w:rPr>
        <w:t>the</w:t>
      </w:r>
      <w:proofErr w:type="gramEnd"/>
      <w:r w:rsidRPr="00161FEE">
        <w:rPr>
          <w:rFonts w:ascii="Times New Roman" w:hAnsi="Times New Roman"/>
          <w:color w:val="000000"/>
          <w:sz w:val="24"/>
          <w:szCs w:val="24"/>
        </w:rPr>
        <w:t xml:space="preserve"> activity could reasonably be expected to have an effect, that is not minor or trivial, on the abatement calculated for the building in the measurement period. </w:t>
      </w:r>
    </w:p>
    <w:p w:rsidR="00381215" w:rsidRDefault="00381215">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222B3E" w:rsidRPr="00161FEE" w:rsidRDefault="00222B3E" w:rsidP="00222B3E">
      <w:pPr>
        <w:widowControl w:val="0"/>
        <w:spacing w:after="120" w:line="240" w:lineRule="auto"/>
        <w:rPr>
          <w:rFonts w:ascii="Times New Roman" w:hAnsi="Times New Roman"/>
          <w:color w:val="000000"/>
          <w:sz w:val="24"/>
          <w:szCs w:val="24"/>
        </w:rPr>
      </w:pPr>
      <w:r w:rsidRPr="00161FEE">
        <w:rPr>
          <w:rFonts w:ascii="Times New Roman" w:hAnsi="Times New Roman"/>
          <w:color w:val="000000"/>
          <w:sz w:val="24"/>
          <w:szCs w:val="24"/>
        </w:rPr>
        <w:lastRenderedPageBreak/>
        <w:t>The legislative rules referred to in subparagraph 27(4A</w:t>
      </w:r>
      <w:proofErr w:type="gramStart"/>
      <w:r w:rsidRPr="00161FEE">
        <w:rPr>
          <w:rFonts w:ascii="Times New Roman" w:hAnsi="Times New Roman"/>
          <w:color w:val="000000"/>
          <w:sz w:val="24"/>
          <w:szCs w:val="24"/>
        </w:rPr>
        <w:t>)(</w:t>
      </w:r>
      <w:proofErr w:type="gramEnd"/>
      <w:r w:rsidRPr="00161FEE">
        <w:rPr>
          <w:rFonts w:ascii="Times New Roman" w:hAnsi="Times New Roman"/>
          <w:color w:val="000000"/>
          <w:sz w:val="24"/>
          <w:szCs w:val="24"/>
        </w:rPr>
        <w:t>c)(ii) of the Act relate to activities that receive support under other government program</w:t>
      </w:r>
      <w:r w:rsidR="00CD4831">
        <w:rPr>
          <w:rFonts w:ascii="Times New Roman" w:hAnsi="Times New Roman"/>
          <w:color w:val="000000"/>
          <w:sz w:val="24"/>
          <w:szCs w:val="24"/>
        </w:rPr>
        <w:t>me</w:t>
      </w:r>
      <w:r w:rsidRPr="00161FEE">
        <w:rPr>
          <w:rFonts w:ascii="Times New Roman" w:hAnsi="Times New Roman"/>
          <w:color w:val="000000"/>
          <w:sz w:val="24"/>
          <w:szCs w:val="24"/>
        </w:rPr>
        <w:t>s or schemes. The requirements in section 1</w:t>
      </w:r>
      <w:r w:rsidR="00BC3EF9" w:rsidRPr="00161FEE">
        <w:rPr>
          <w:rFonts w:ascii="Times New Roman" w:hAnsi="Times New Roman"/>
          <w:color w:val="000000"/>
          <w:sz w:val="24"/>
          <w:szCs w:val="24"/>
        </w:rPr>
        <w:t>3</w:t>
      </w:r>
      <w:r w:rsidRPr="00161FEE">
        <w:rPr>
          <w:rFonts w:ascii="Times New Roman" w:hAnsi="Times New Roman"/>
          <w:color w:val="000000"/>
          <w:sz w:val="24"/>
          <w:szCs w:val="24"/>
        </w:rPr>
        <w:t xml:space="preserve"> are included to prevent circumvention of the </w:t>
      </w:r>
      <w:r w:rsidR="00CD4831">
        <w:rPr>
          <w:rFonts w:ascii="Times New Roman" w:hAnsi="Times New Roman"/>
          <w:color w:val="000000"/>
          <w:sz w:val="24"/>
          <w:szCs w:val="24"/>
        </w:rPr>
        <w:t xml:space="preserve">government </w:t>
      </w:r>
      <w:r w:rsidRPr="00161FEE">
        <w:rPr>
          <w:rFonts w:ascii="Times New Roman" w:hAnsi="Times New Roman"/>
          <w:color w:val="000000"/>
          <w:sz w:val="24"/>
          <w:szCs w:val="24"/>
        </w:rPr>
        <w:t>program</w:t>
      </w:r>
      <w:r w:rsidR="00CD4831">
        <w:rPr>
          <w:rFonts w:ascii="Times New Roman" w:hAnsi="Times New Roman"/>
          <w:color w:val="000000"/>
          <w:sz w:val="24"/>
          <w:szCs w:val="24"/>
        </w:rPr>
        <w:t>me</w:t>
      </w:r>
      <w:r w:rsidRPr="00161FEE">
        <w:rPr>
          <w:rFonts w:ascii="Times New Roman" w:hAnsi="Times New Roman"/>
          <w:color w:val="000000"/>
          <w:sz w:val="24"/>
          <w:szCs w:val="24"/>
        </w:rPr>
        <w:t xml:space="preserve"> requirements in the legislative rules by not including an activity in the application for declaration as a project activity.  </w:t>
      </w:r>
    </w:p>
    <w:p w:rsidR="00554988" w:rsidRPr="00161FEE" w:rsidRDefault="00554988" w:rsidP="00222B3E">
      <w:pPr>
        <w:widowControl w:val="0"/>
        <w:spacing w:after="120" w:line="240" w:lineRule="auto"/>
        <w:rPr>
          <w:rFonts w:ascii="Times New Roman" w:hAnsi="Times New Roman"/>
          <w:color w:val="000000"/>
          <w:sz w:val="24"/>
          <w:szCs w:val="24"/>
        </w:rPr>
      </w:pPr>
    </w:p>
    <w:p w:rsidR="00111C8A" w:rsidRPr="00161FEE" w:rsidRDefault="00236D8C" w:rsidP="00111C8A">
      <w:pPr>
        <w:keepNext/>
        <w:keepLines/>
        <w:spacing w:after="120" w:line="240" w:lineRule="auto"/>
        <w:rPr>
          <w:rFonts w:ascii="Times New Roman" w:hAnsi="Times New Roman"/>
          <w:color w:val="000000"/>
          <w:sz w:val="24"/>
          <w:szCs w:val="24"/>
          <w:u w:val="single"/>
        </w:rPr>
      </w:pPr>
      <w:r w:rsidRPr="00161FEE">
        <w:rPr>
          <w:rFonts w:ascii="Times New Roman" w:hAnsi="Times New Roman"/>
          <w:color w:val="000000"/>
          <w:sz w:val="24"/>
          <w:szCs w:val="24"/>
          <w:u w:val="single"/>
        </w:rPr>
        <w:t>1</w:t>
      </w:r>
      <w:r w:rsidR="00BC3EF9" w:rsidRPr="00161FEE">
        <w:rPr>
          <w:rFonts w:ascii="Times New Roman" w:hAnsi="Times New Roman"/>
          <w:color w:val="000000"/>
          <w:sz w:val="24"/>
          <w:szCs w:val="24"/>
          <w:u w:val="single"/>
        </w:rPr>
        <w:t>4</w:t>
      </w:r>
      <w:r w:rsidR="00111C8A" w:rsidRPr="00161FEE">
        <w:rPr>
          <w:rFonts w:ascii="Times New Roman" w:hAnsi="Times New Roman"/>
          <w:color w:val="000000"/>
          <w:sz w:val="24"/>
          <w:szCs w:val="24"/>
          <w:u w:val="single"/>
        </w:rPr>
        <w:tab/>
        <w:t>Data to be used in calculations</w:t>
      </w:r>
    </w:p>
    <w:p w:rsidR="00787F50" w:rsidRPr="00161FEE" w:rsidRDefault="00111C8A" w:rsidP="00716776">
      <w:pPr>
        <w:keepNext/>
        <w:keepLines/>
        <w:spacing w:after="120" w:line="240" w:lineRule="auto"/>
        <w:rPr>
          <w:rFonts w:ascii="Times New Roman" w:hAnsi="Times New Roman"/>
          <w:color w:val="000000"/>
          <w:sz w:val="24"/>
          <w:szCs w:val="24"/>
        </w:rPr>
      </w:pPr>
      <w:r w:rsidRPr="00161FEE">
        <w:rPr>
          <w:rFonts w:ascii="Times New Roman" w:hAnsi="Times New Roman"/>
          <w:color w:val="000000"/>
          <w:sz w:val="24"/>
          <w:szCs w:val="24"/>
        </w:rPr>
        <w:t xml:space="preserve">Section </w:t>
      </w:r>
      <w:r w:rsidR="00236D8C" w:rsidRPr="00161FEE">
        <w:rPr>
          <w:rFonts w:ascii="Times New Roman" w:hAnsi="Times New Roman"/>
          <w:color w:val="000000"/>
          <w:sz w:val="24"/>
          <w:szCs w:val="24"/>
        </w:rPr>
        <w:t>1</w:t>
      </w:r>
      <w:r w:rsidR="00BC3EF9" w:rsidRPr="00161FEE">
        <w:rPr>
          <w:rFonts w:ascii="Times New Roman" w:hAnsi="Times New Roman"/>
          <w:color w:val="000000"/>
          <w:sz w:val="24"/>
          <w:szCs w:val="24"/>
        </w:rPr>
        <w:t>4</w:t>
      </w:r>
      <w:r w:rsidRPr="00161FEE">
        <w:rPr>
          <w:rFonts w:ascii="Times New Roman" w:hAnsi="Times New Roman"/>
          <w:color w:val="000000"/>
          <w:sz w:val="24"/>
          <w:szCs w:val="24"/>
        </w:rPr>
        <w:t xml:space="preserve"> requires that </w:t>
      </w:r>
      <w:r w:rsidR="00716776" w:rsidRPr="00161FEE">
        <w:rPr>
          <w:rFonts w:ascii="Times New Roman" w:hAnsi="Times New Roman"/>
          <w:color w:val="000000"/>
          <w:sz w:val="24"/>
          <w:szCs w:val="24"/>
        </w:rPr>
        <w:t xml:space="preserve">data on the configuration of the building and energy consumption </w:t>
      </w:r>
      <w:r w:rsidR="00F7422A" w:rsidRPr="00161FEE">
        <w:rPr>
          <w:rFonts w:ascii="Times New Roman" w:hAnsi="Times New Roman"/>
          <w:color w:val="000000"/>
          <w:sz w:val="24"/>
          <w:szCs w:val="24"/>
        </w:rPr>
        <w:t>be</w:t>
      </w:r>
      <w:r w:rsidR="00716776" w:rsidRPr="00161FEE">
        <w:rPr>
          <w:rFonts w:ascii="Times New Roman" w:hAnsi="Times New Roman"/>
          <w:color w:val="000000"/>
          <w:sz w:val="24"/>
          <w:szCs w:val="24"/>
        </w:rPr>
        <w:t xml:space="preserve"> sourced from the NABERS energy rating </w:t>
      </w:r>
      <w:r w:rsidR="00575099" w:rsidRPr="00161FEE">
        <w:rPr>
          <w:rFonts w:ascii="Times New Roman" w:hAnsi="Times New Roman"/>
          <w:color w:val="000000"/>
          <w:sz w:val="24"/>
          <w:szCs w:val="24"/>
        </w:rPr>
        <w:t>report</w:t>
      </w:r>
      <w:r w:rsidR="002507DA" w:rsidRPr="00161FEE">
        <w:rPr>
          <w:rFonts w:ascii="Times New Roman" w:hAnsi="Times New Roman"/>
          <w:color w:val="000000"/>
          <w:sz w:val="24"/>
          <w:szCs w:val="24"/>
        </w:rPr>
        <w:t xml:space="preserve"> </w:t>
      </w:r>
      <w:r w:rsidR="005E0824" w:rsidRPr="00161FEE">
        <w:rPr>
          <w:rFonts w:ascii="Times New Roman" w:hAnsi="Times New Roman"/>
          <w:color w:val="000000"/>
          <w:sz w:val="24"/>
          <w:szCs w:val="24"/>
        </w:rPr>
        <w:t xml:space="preserve">for the building </w:t>
      </w:r>
      <w:r w:rsidR="002507DA" w:rsidRPr="00161FEE">
        <w:rPr>
          <w:rFonts w:ascii="Times New Roman" w:hAnsi="Times New Roman"/>
          <w:color w:val="000000"/>
          <w:sz w:val="24"/>
          <w:szCs w:val="24"/>
        </w:rPr>
        <w:t>or the NABERS energy reverse calculator</w:t>
      </w:r>
      <w:r w:rsidR="002E03CD" w:rsidRPr="00161FEE">
        <w:rPr>
          <w:rFonts w:ascii="Times New Roman" w:hAnsi="Times New Roman"/>
          <w:color w:val="000000"/>
          <w:sz w:val="24"/>
          <w:szCs w:val="24"/>
        </w:rPr>
        <w:t xml:space="preserve">. </w:t>
      </w:r>
      <w:r w:rsidR="000408D9" w:rsidRPr="00161FEE">
        <w:rPr>
          <w:rFonts w:ascii="Times New Roman" w:hAnsi="Times New Roman"/>
          <w:color w:val="000000"/>
          <w:sz w:val="24"/>
          <w:szCs w:val="24"/>
        </w:rPr>
        <w:t>Section 1</w:t>
      </w:r>
      <w:r w:rsidR="00BC3EF9" w:rsidRPr="00161FEE">
        <w:rPr>
          <w:rFonts w:ascii="Times New Roman" w:hAnsi="Times New Roman"/>
          <w:color w:val="000000"/>
          <w:sz w:val="24"/>
          <w:szCs w:val="24"/>
        </w:rPr>
        <w:t>4</w:t>
      </w:r>
      <w:r w:rsidR="000408D9" w:rsidRPr="00161FEE">
        <w:rPr>
          <w:rFonts w:ascii="Times New Roman" w:hAnsi="Times New Roman"/>
          <w:color w:val="000000"/>
          <w:sz w:val="24"/>
          <w:szCs w:val="24"/>
        </w:rPr>
        <w:t xml:space="preserve"> thus requires that a NABERS energy rating be undertaken at a building for each year for which abatement is calculated for that building. </w:t>
      </w:r>
      <w:r w:rsidR="002E03CD" w:rsidRPr="00161FEE">
        <w:rPr>
          <w:rFonts w:ascii="Times New Roman" w:hAnsi="Times New Roman"/>
          <w:color w:val="000000"/>
          <w:sz w:val="24"/>
          <w:szCs w:val="24"/>
        </w:rPr>
        <w:t xml:space="preserve">Data used in NABERS energy ratings is </w:t>
      </w:r>
      <w:r w:rsidR="008C6211" w:rsidRPr="00161FEE">
        <w:rPr>
          <w:rFonts w:ascii="Times New Roman" w:hAnsi="Times New Roman"/>
          <w:color w:val="000000"/>
          <w:sz w:val="24"/>
          <w:szCs w:val="24"/>
        </w:rPr>
        <w:t>monitored in accordance with</w:t>
      </w:r>
      <w:r w:rsidR="00716776" w:rsidRPr="00161FEE">
        <w:rPr>
          <w:rFonts w:ascii="Times New Roman" w:hAnsi="Times New Roman"/>
          <w:color w:val="000000"/>
          <w:sz w:val="24"/>
          <w:szCs w:val="24"/>
        </w:rPr>
        <w:t xml:space="preserve"> NABERS rules and recorded by a</w:t>
      </w:r>
      <w:r w:rsidR="005E0824" w:rsidRPr="00161FEE">
        <w:rPr>
          <w:rFonts w:ascii="Times New Roman" w:hAnsi="Times New Roman"/>
          <w:color w:val="000000"/>
          <w:sz w:val="24"/>
          <w:szCs w:val="24"/>
        </w:rPr>
        <w:t xml:space="preserve"> </w:t>
      </w:r>
      <w:r w:rsidR="00716776" w:rsidRPr="00161FEE">
        <w:rPr>
          <w:rFonts w:ascii="Times New Roman" w:hAnsi="Times New Roman"/>
          <w:color w:val="000000"/>
          <w:sz w:val="24"/>
          <w:szCs w:val="24"/>
        </w:rPr>
        <w:t>NABERS assessor</w:t>
      </w:r>
      <w:r w:rsidR="008C6211" w:rsidRPr="00161FEE">
        <w:rPr>
          <w:rFonts w:ascii="Times New Roman" w:hAnsi="Times New Roman"/>
          <w:color w:val="000000"/>
          <w:sz w:val="24"/>
          <w:szCs w:val="24"/>
        </w:rPr>
        <w:t xml:space="preserve">, ensuring </w:t>
      </w:r>
      <w:r w:rsidR="00716776" w:rsidRPr="00161FEE">
        <w:rPr>
          <w:rFonts w:ascii="Times New Roman" w:hAnsi="Times New Roman"/>
          <w:color w:val="000000"/>
          <w:sz w:val="24"/>
          <w:szCs w:val="24"/>
        </w:rPr>
        <w:t xml:space="preserve">that the data is accurate and verified. </w:t>
      </w:r>
    </w:p>
    <w:p w:rsidR="00876BB3" w:rsidRPr="00161FEE" w:rsidRDefault="00537483" w:rsidP="00537483">
      <w:pPr>
        <w:keepNext/>
        <w:keepLines/>
        <w:spacing w:after="120" w:line="240" w:lineRule="auto"/>
        <w:rPr>
          <w:rFonts w:ascii="Times New Roman" w:hAnsi="Times New Roman"/>
          <w:color w:val="000000"/>
          <w:sz w:val="24"/>
          <w:szCs w:val="24"/>
        </w:rPr>
      </w:pPr>
      <w:r w:rsidRPr="00161FEE">
        <w:rPr>
          <w:rFonts w:ascii="Times New Roman" w:hAnsi="Times New Roman"/>
          <w:color w:val="000000"/>
          <w:sz w:val="24"/>
          <w:szCs w:val="24"/>
        </w:rPr>
        <w:t>The only</w:t>
      </w:r>
      <w:r w:rsidR="008C6211" w:rsidRPr="00161FEE">
        <w:rPr>
          <w:rFonts w:ascii="Times New Roman" w:hAnsi="Times New Roman"/>
          <w:color w:val="000000"/>
          <w:sz w:val="24"/>
          <w:szCs w:val="24"/>
        </w:rPr>
        <w:t xml:space="preserve"> energy consumption</w:t>
      </w:r>
      <w:r w:rsidRPr="00161FEE">
        <w:rPr>
          <w:rFonts w:ascii="Times New Roman" w:hAnsi="Times New Roman"/>
          <w:color w:val="000000"/>
          <w:sz w:val="24"/>
          <w:szCs w:val="24"/>
        </w:rPr>
        <w:t xml:space="preserve"> data that is not sourced from a NABERS </w:t>
      </w:r>
      <w:r w:rsidR="00575099" w:rsidRPr="00161FEE">
        <w:rPr>
          <w:rFonts w:ascii="Times New Roman" w:hAnsi="Times New Roman"/>
          <w:color w:val="000000"/>
          <w:sz w:val="24"/>
          <w:szCs w:val="24"/>
        </w:rPr>
        <w:t>report</w:t>
      </w:r>
      <w:r w:rsidRPr="00161FEE">
        <w:rPr>
          <w:rFonts w:ascii="Times New Roman" w:hAnsi="Times New Roman"/>
          <w:color w:val="000000"/>
          <w:sz w:val="24"/>
          <w:szCs w:val="24"/>
        </w:rPr>
        <w:t xml:space="preserve"> or tool is </w:t>
      </w:r>
      <w:r w:rsidR="00426D8D" w:rsidRPr="00161FEE">
        <w:rPr>
          <w:rFonts w:ascii="Times New Roman" w:hAnsi="Times New Roman"/>
          <w:color w:val="000000"/>
          <w:sz w:val="24"/>
          <w:szCs w:val="24"/>
        </w:rPr>
        <w:t xml:space="preserve">renewable </w:t>
      </w:r>
      <w:r w:rsidRPr="00161FEE">
        <w:rPr>
          <w:rFonts w:ascii="Times New Roman" w:hAnsi="Times New Roman"/>
          <w:color w:val="000000"/>
          <w:sz w:val="24"/>
          <w:szCs w:val="24"/>
        </w:rPr>
        <w:t xml:space="preserve">electricity generated </w:t>
      </w:r>
      <w:r w:rsidR="00426D8D" w:rsidRPr="00161FEE">
        <w:rPr>
          <w:rFonts w:ascii="Times New Roman" w:hAnsi="Times New Roman"/>
          <w:color w:val="000000"/>
          <w:sz w:val="24"/>
          <w:szCs w:val="24"/>
        </w:rPr>
        <w:t xml:space="preserve">and consumed </w:t>
      </w:r>
      <w:r w:rsidRPr="00161FEE">
        <w:rPr>
          <w:rFonts w:ascii="Times New Roman" w:hAnsi="Times New Roman"/>
          <w:color w:val="000000"/>
          <w:sz w:val="24"/>
          <w:szCs w:val="24"/>
        </w:rPr>
        <w:t>onsite</w:t>
      </w:r>
      <w:r w:rsidRPr="00161FEE">
        <w:rPr>
          <w:rFonts w:ascii="Times New Roman" w:hAnsi="Times New Roman"/>
          <w:b/>
          <w:i/>
          <w:color w:val="000000"/>
          <w:sz w:val="24"/>
          <w:szCs w:val="24"/>
        </w:rPr>
        <w:t xml:space="preserve"> </w:t>
      </w:r>
      <w:r w:rsidRPr="00161FEE">
        <w:rPr>
          <w:rFonts w:ascii="Times New Roman" w:hAnsi="Times New Roman"/>
          <w:color w:val="000000"/>
          <w:sz w:val="24"/>
          <w:szCs w:val="24"/>
        </w:rPr>
        <w:t>because, by definition, it is not taken into account in the NABERS assessment</w:t>
      </w:r>
      <w:r w:rsidR="00956178" w:rsidRPr="00161FEE">
        <w:rPr>
          <w:rFonts w:ascii="Times New Roman" w:hAnsi="Times New Roman"/>
          <w:color w:val="000000"/>
          <w:sz w:val="24"/>
          <w:szCs w:val="24"/>
        </w:rPr>
        <w:t xml:space="preserve"> (noting </w:t>
      </w:r>
      <w:r w:rsidR="00941C8B">
        <w:rPr>
          <w:rFonts w:ascii="Times New Roman" w:hAnsi="Times New Roman"/>
          <w:color w:val="000000"/>
          <w:sz w:val="24"/>
          <w:szCs w:val="24"/>
        </w:rPr>
        <w:t xml:space="preserve">that </w:t>
      </w:r>
      <w:r w:rsidR="00956178" w:rsidRPr="00161FEE">
        <w:rPr>
          <w:rFonts w:ascii="Times New Roman" w:hAnsi="Times New Roman"/>
          <w:color w:val="000000"/>
          <w:sz w:val="24"/>
          <w:szCs w:val="24"/>
        </w:rPr>
        <w:t>‘renewable electricity generated and consumed onsite’ has a specific technical definition in the Determination that is narrower than the general interpretation)</w:t>
      </w:r>
      <w:r w:rsidRPr="00161FEE">
        <w:rPr>
          <w:rFonts w:ascii="Times New Roman" w:hAnsi="Times New Roman"/>
          <w:color w:val="000000"/>
          <w:sz w:val="24"/>
          <w:szCs w:val="24"/>
        </w:rPr>
        <w:t xml:space="preserve">. </w:t>
      </w:r>
      <w:r w:rsidR="00876BB3" w:rsidRPr="00161FEE">
        <w:rPr>
          <w:rFonts w:ascii="Times New Roman" w:hAnsi="Times New Roman"/>
          <w:color w:val="000000"/>
          <w:sz w:val="24"/>
          <w:szCs w:val="24"/>
        </w:rPr>
        <w:t xml:space="preserve">The </w:t>
      </w:r>
      <w:r w:rsidR="007640F8" w:rsidRPr="00161FEE">
        <w:rPr>
          <w:rFonts w:ascii="Times New Roman" w:hAnsi="Times New Roman"/>
          <w:color w:val="000000"/>
          <w:sz w:val="24"/>
          <w:szCs w:val="24"/>
        </w:rPr>
        <w:t xml:space="preserve">project </w:t>
      </w:r>
      <w:r w:rsidR="00876BB3" w:rsidRPr="00161FEE">
        <w:rPr>
          <w:rFonts w:ascii="Times New Roman" w:hAnsi="Times New Roman"/>
          <w:color w:val="000000"/>
          <w:sz w:val="24"/>
          <w:szCs w:val="24"/>
        </w:rPr>
        <w:t>proponent can choose one of the following two methods</w:t>
      </w:r>
      <w:r w:rsidR="007640F8" w:rsidRPr="00161FEE">
        <w:rPr>
          <w:rFonts w:ascii="Times New Roman" w:hAnsi="Times New Roman"/>
          <w:color w:val="000000"/>
          <w:sz w:val="24"/>
          <w:szCs w:val="24"/>
        </w:rPr>
        <w:t xml:space="preserve"> to determine data for</w:t>
      </w:r>
      <w:r w:rsidR="00876BB3" w:rsidRPr="00161FEE">
        <w:rPr>
          <w:rFonts w:ascii="Times New Roman" w:hAnsi="Times New Roman"/>
          <w:color w:val="000000"/>
          <w:sz w:val="24"/>
          <w:szCs w:val="24"/>
        </w:rPr>
        <w:t xml:space="preserve"> renewable electricity generated and consumed onsite:</w:t>
      </w:r>
    </w:p>
    <w:p w:rsidR="00876BB3" w:rsidRPr="00161FEE" w:rsidRDefault="00746D71" w:rsidP="00876BB3">
      <w:pPr>
        <w:pStyle w:val="ListParagraph"/>
        <w:numPr>
          <w:ilvl w:val="0"/>
          <w:numId w:val="36"/>
        </w:num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measuring the quantity directly</w:t>
      </w:r>
      <w:r w:rsidR="00876BB3" w:rsidRPr="00161FEE">
        <w:rPr>
          <w:rFonts w:ascii="Times New Roman" w:hAnsi="Times New Roman"/>
          <w:color w:val="000000"/>
          <w:sz w:val="24"/>
          <w:szCs w:val="24"/>
        </w:rPr>
        <w:t xml:space="preserve"> by using a meter or inverter in accordance with </w:t>
      </w:r>
      <w:r w:rsidR="001B5EA8" w:rsidRPr="00161FEE">
        <w:rPr>
          <w:rFonts w:ascii="Times New Roman" w:hAnsi="Times New Roman"/>
          <w:color w:val="000000"/>
          <w:sz w:val="24"/>
          <w:szCs w:val="24"/>
        </w:rPr>
        <w:t xml:space="preserve">the </w:t>
      </w:r>
      <w:r w:rsidR="001B5EA8" w:rsidRPr="00161FEE">
        <w:rPr>
          <w:rFonts w:ascii="Times New Roman" w:hAnsi="Times New Roman"/>
          <w:b/>
          <w:i/>
          <w:color w:val="000000"/>
          <w:sz w:val="24"/>
          <w:szCs w:val="24"/>
        </w:rPr>
        <w:t>monitoring requirements</w:t>
      </w:r>
      <w:r w:rsidR="001B5EA8" w:rsidRPr="00161FEE">
        <w:rPr>
          <w:rFonts w:ascii="Times New Roman" w:hAnsi="Times New Roman"/>
          <w:color w:val="000000"/>
          <w:sz w:val="24"/>
          <w:szCs w:val="24"/>
        </w:rPr>
        <w:t xml:space="preserve"> set out in Division 3 of Part 5</w:t>
      </w:r>
      <w:r w:rsidR="00876BB3" w:rsidRPr="00161FEE">
        <w:rPr>
          <w:rFonts w:ascii="Times New Roman" w:hAnsi="Times New Roman"/>
          <w:color w:val="000000"/>
          <w:sz w:val="24"/>
          <w:szCs w:val="24"/>
        </w:rPr>
        <w:t>; or</w:t>
      </w:r>
    </w:p>
    <w:p w:rsidR="00876BB3" w:rsidRPr="00161FEE" w:rsidRDefault="001B5EA8" w:rsidP="00876BB3">
      <w:pPr>
        <w:pStyle w:val="ListParagraph"/>
        <w:numPr>
          <w:ilvl w:val="0"/>
          <w:numId w:val="36"/>
        </w:numPr>
        <w:spacing w:after="120" w:line="240" w:lineRule="auto"/>
        <w:rPr>
          <w:rFonts w:ascii="Times New Roman" w:hAnsi="Times New Roman"/>
          <w:color w:val="000000"/>
          <w:sz w:val="24"/>
          <w:szCs w:val="24"/>
        </w:rPr>
      </w:pPr>
      <w:proofErr w:type="gramStart"/>
      <w:r w:rsidRPr="00161FEE">
        <w:rPr>
          <w:rFonts w:ascii="Times New Roman" w:hAnsi="Times New Roman"/>
          <w:color w:val="000000"/>
          <w:sz w:val="24"/>
          <w:szCs w:val="24"/>
        </w:rPr>
        <w:t>calculating</w:t>
      </w:r>
      <w:proofErr w:type="gramEnd"/>
      <w:r w:rsidRPr="00161FEE">
        <w:rPr>
          <w:rFonts w:ascii="Times New Roman" w:hAnsi="Times New Roman"/>
          <w:color w:val="000000"/>
          <w:sz w:val="24"/>
          <w:szCs w:val="24"/>
        </w:rPr>
        <w:t xml:space="preserve"> the difference between the total amount of renewable electricity generated</w:t>
      </w:r>
      <w:r w:rsidR="007D5769" w:rsidRPr="00161FEE">
        <w:rPr>
          <w:rFonts w:ascii="Times New Roman" w:hAnsi="Times New Roman"/>
          <w:color w:val="000000"/>
          <w:sz w:val="24"/>
          <w:szCs w:val="24"/>
        </w:rPr>
        <w:t xml:space="preserve"> by the relevant equipment</w:t>
      </w:r>
      <w:r w:rsidRPr="00161FEE">
        <w:rPr>
          <w:rFonts w:ascii="Times New Roman" w:hAnsi="Times New Roman"/>
          <w:color w:val="000000"/>
          <w:sz w:val="24"/>
          <w:szCs w:val="24"/>
        </w:rPr>
        <w:t xml:space="preserve"> and the total amount of electricity exported</w:t>
      </w:r>
      <w:r w:rsidR="007D5769" w:rsidRPr="00161FEE">
        <w:rPr>
          <w:rFonts w:ascii="Times New Roman" w:hAnsi="Times New Roman"/>
          <w:color w:val="000000"/>
          <w:sz w:val="24"/>
          <w:szCs w:val="24"/>
        </w:rPr>
        <w:t xml:space="preserve"> from the equipment to the electricity </w:t>
      </w:r>
      <w:r w:rsidR="007F2F3A" w:rsidRPr="00161FEE">
        <w:rPr>
          <w:rFonts w:ascii="Times New Roman" w:hAnsi="Times New Roman"/>
          <w:color w:val="000000"/>
          <w:sz w:val="24"/>
          <w:szCs w:val="24"/>
        </w:rPr>
        <w:t>grid</w:t>
      </w:r>
      <w:r w:rsidRPr="00161FEE">
        <w:rPr>
          <w:rFonts w:ascii="Times New Roman" w:hAnsi="Times New Roman"/>
          <w:color w:val="000000"/>
          <w:sz w:val="24"/>
          <w:szCs w:val="24"/>
        </w:rPr>
        <w:t xml:space="preserve">, in accordance with the requirements set out in section </w:t>
      </w:r>
      <w:r w:rsidR="007F2F3A" w:rsidRPr="00161FEE">
        <w:rPr>
          <w:rFonts w:ascii="Times New Roman" w:hAnsi="Times New Roman"/>
          <w:color w:val="000000"/>
          <w:sz w:val="24"/>
          <w:szCs w:val="24"/>
        </w:rPr>
        <w:t>1</w:t>
      </w:r>
      <w:r w:rsidR="00BC3EF9" w:rsidRPr="00161FEE">
        <w:rPr>
          <w:rFonts w:ascii="Times New Roman" w:hAnsi="Times New Roman"/>
          <w:color w:val="000000"/>
          <w:sz w:val="24"/>
          <w:szCs w:val="24"/>
        </w:rPr>
        <w:t>5</w:t>
      </w:r>
      <w:r w:rsidRPr="00161FEE">
        <w:rPr>
          <w:rFonts w:ascii="Times New Roman" w:hAnsi="Times New Roman"/>
          <w:color w:val="000000"/>
          <w:sz w:val="24"/>
          <w:szCs w:val="24"/>
        </w:rPr>
        <w:t xml:space="preserve">. </w:t>
      </w:r>
    </w:p>
    <w:p w:rsidR="00D1732B" w:rsidRPr="00161FEE" w:rsidRDefault="00C03631" w:rsidP="00D1732B">
      <w:p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These choices are</w:t>
      </w:r>
      <w:r w:rsidR="00D1732B" w:rsidRPr="00161FEE">
        <w:rPr>
          <w:rFonts w:ascii="Times New Roman" w:hAnsi="Times New Roman"/>
          <w:color w:val="000000"/>
          <w:sz w:val="24"/>
          <w:szCs w:val="24"/>
        </w:rPr>
        <w:t xml:space="preserve"> included to reduce the compliance burden on proponents in cases where the quantity required to be monitored is not separately metered.</w:t>
      </w:r>
    </w:p>
    <w:p w:rsidR="00716776" w:rsidRPr="00161FEE" w:rsidRDefault="00716776" w:rsidP="001B5EA8">
      <w:pPr>
        <w:keepNext/>
        <w:keepLines/>
        <w:spacing w:after="120" w:line="240" w:lineRule="auto"/>
        <w:rPr>
          <w:rFonts w:ascii="Times New Roman" w:hAnsi="Times New Roman"/>
          <w:color w:val="000000"/>
          <w:sz w:val="24"/>
          <w:szCs w:val="24"/>
        </w:rPr>
      </w:pPr>
    </w:p>
    <w:p w:rsidR="001B5EA8" w:rsidRPr="00161FEE" w:rsidRDefault="007F2F3A" w:rsidP="001B5EA8">
      <w:pPr>
        <w:keepNext/>
        <w:keepLines/>
        <w:spacing w:after="120" w:line="240" w:lineRule="auto"/>
        <w:rPr>
          <w:rFonts w:ascii="Times New Roman" w:hAnsi="Times New Roman"/>
          <w:color w:val="000000"/>
          <w:sz w:val="24"/>
          <w:szCs w:val="24"/>
          <w:u w:val="single"/>
        </w:rPr>
      </w:pPr>
      <w:r w:rsidRPr="00161FEE">
        <w:rPr>
          <w:rFonts w:ascii="Times New Roman" w:hAnsi="Times New Roman"/>
          <w:color w:val="000000"/>
          <w:sz w:val="24"/>
          <w:szCs w:val="24"/>
          <w:u w:val="single"/>
        </w:rPr>
        <w:t>1</w:t>
      </w:r>
      <w:r w:rsidR="00BC3EF9" w:rsidRPr="00161FEE">
        <w:rPr>
          <w:rFonts w:ascii="Times New Roman" w:hAnsi="Times New Roman"/>
          <w:color w:val="000000"/>
          <w:sz w:val="24"/>
          <w:szCs w:val="24"/>
          <w:u w:val="single"/>
        </w:rPr>
        <w:t>5</w:t>
      </w:r>
      <w:r w:rsidR="001B5EA8" w:rsidRPr="00161FEE">
        <w:rPr>
          <w:rFonts w:ascii="Times New Roman" w:hAnsi="Times New Roman"/>
          <w:color w:val="000000"/>
          <w:sz w:val="24"/>
          <w:szCs w:val="24"/>
          <w:u w:val="single"/>
        </w:rPr>
        <w:tab/>
        <w:t>Data for renewable electricity generated and consumed onsite at a building</w:t>
      </w:r>
    </w:p>
    <w:p w:rsidR="001B5EA8" w:rsidRPr="00161FEE" w:rsidRDefault="0039390B" w:rsidP="001B5EA8">
      <w:pPr>
        <w:keepNext/>
        <w:keepLines/>
        <w:spacing w:after="120" w:line="240" w:lineRule="auto"/>
        <w:rPr>
          <w:rFonts w:ascii="Times New Roman" w:hAnsi="Times New Roman"/>
          <w:color w:val="000000"/>
          <w:sz w:val="24"/>
          <w:szCs w:val="24"/>
        </w:rPr>
      </w:pPr>
      <w:r w:rsidRPr="00161FEE">
        <w:rPr>
          <w:rFonts w:ascii="Times New Roman" w:hAnsi="Times New Roman"/>
          <w:color w:val="000000"/>
          <w:sz w:val="24"/>
          <w:szCs w:val="24"/>
        </w:rPr>
        <w:t xml:space="preserve">If the project proponent chooses to calculate the difference between the total amount of renewable electricity generated </w:t>
      </w:r>
      <w:r w:rsidR="002D51CF" w:rsidRPr="00161FEE">
        <w:rPr>
          <w:rFonts w:ascii="Times New Roman" w:hAnsi="Times New Roman"/>
          <w:color w:val="000000"/>
          <w:sz w:val="24"/>
          <w:szCs w:val="24"/>
        </w:rPr>
        <w:t xml:space="preserve">onsite </w:t>
      </w:r>
      <w:r w:rsidRPr="00161FEE">
        <w:rPr>
          <w:rFonts w:ascii="Times New Roman" w:hAnsi="Times New Roman"/>
          <w:color w:val="000000"/>
          <w:sz w:val="24"/>
          <w:szCs w:val="24"/>
        </w:rPr>
        <w:t>and the total amount of electricity exported to determine the data for renewable electricity generated and consumed onsite, the proponent must follow</w:t>
      </w:r>
      <w:r w:rsidR="00C234B1" w:rsidRPr="00161FEE">
        <w:rPr>
          <w:rFonts w:ascii="Times New Roman" w:hAnsi="Times New Roman"/>
          <w:color w:val="000000"/>
          <w:sz w:val="24"/>
          <w:szCs w:val="24"/>
        </w:rPr>
        <w:t xml:space="preserve"> </w:t>
      </w:r>
      <w:r w:rsidRPr="00161FEE">
        <w:rPr>
          <w:rFonts w:ascii="Times New Roman" w:hAnsi="Times New Roman"/>
          <w:color w:val="000000"/>
          <w:sz w:val="24"/>
          <w:szCs w:val="24"/>
        </w:rPr>
        <w:t>the requirement</w:t>
      </w:r>
      <w:r w:rsidR="00C234B1" w:rsidRPr="00161FEE">
        <w:rPr>
          <w:rFonts w:ascii="Times New Roman" w:hAnsi="Times New Roman"/>
          <w:color w:val="000000"/>
          <w:sz w:val="24"/>
          <w:szCs w:val="24"/>
        </w:rPr>
        <w:t>s</w:t>
      </w:r>
      <w:r w:rsidRPr="00161FEE">
        <w:rPr>
          <w:rFonts w:ascii="Times New Roman" w:hAnsi="Times New Roman"/>
          <w:color w:val="000000"/>
          <w:sz w:val="24"/>
          <w:szCs w:val="24"/>
        </w:rPr>
        <w:t xml:space="preserve"> set out in s</w:t>
      </w:r>
      <w:r w:rsidR="000A55F8" w:rsidRPr="00161FEE">
        <w:rPr>
          <w:rFonts w:ascii="Times New Roman" w:hAnsi="Times New Roman"/>
          <w:color w:val="000000"/>
          <w:sz w:val="24"/>
          <w:szCs w:val="24"/>
        </w:rPr>
        <w:t xml:space="preserve">ection </w:t>
      </w:r>
      <w:r w:rsidR="00491BD0" w:rsidRPr="00161FEE">
        <w:rPr>
          <w:rFonts w:ascii="Times New Roman" w:hAnsi="Times New Roman"/>
          <w:color w:val="000000"/>
          <w:sz w:val="24"/>
          <w:szCs w:val="24"/>
        </w:rPr>
        <w:t>1</w:t>
      </w:r>
      <w:r w:rsidR="00BC3EF9" w:rsidRPr="00161FEE">
        <w:rPr>
          <w:rFonts w:ascii="Times New Roman" w:hAnsi="Times New Roman"/>
          <w:color w:val="000000"/>
          <w:sz w:val="24"/>
          <w:szCs w:val="24"/>
        </w:rPr>
        <w:t>5</w:t>
      </w:r>
      <w:r w:rsidR="000A55F8" w:rsidRPr="00161FEE">
        <w:rPr>
          <w:rFonts w:ascii="Times New Roman" w:hAnsi="Times New Roman"/>
          <w:color w:val="000000"/>
          <w:sz w:val="24"/>
          <w:szCs w:val="24"/>
        </w:rPr>
        <w:t xml:space="preserve">. </w:t>
      </w:r>
    </w:p>
    <w:p w:rsidR="003E1650" w:rsidRPr="00161FEE" w:rsidRDefault="0060675F" w:rsidP="001B5EA8">
      <w:pPr>
        <w:keepNext/>
        <w:keepLines/>
        <w:spacing w:after="120" w:line="240" w:lineRule="auto"/>
        <w:rPr>
          <w:rFonts w:ascii="Times New Roman" w:hAnsi="Times New Roman"/>
          <w:color w:val="000000"/>
          <w:sz w:val="24"/>
          <w:szCs w:val="24"/>
        </w:rPr>
      </w:pPr>
      <w:r w:rsidRPr="00161FEE">
        <w:rPr>
          <w:rFonts w:ascii="Times New Roman" w:hAnsi="Times New Roman"/>
          <w:color w:val="000000"/>
          <w:sz w:val="24"/>
          <w:szCs w:val="24"/>
        </w:rPr>
        <w:t>The two components of the calculation are obtained</w:t>
      </w:r>
      <w:r w:rsidR="00E71AFD" w:rsidRPr="00161FEE">
        <w:rPr>
          <w:rFonts w:ascii="Times New Roman" w:hAnsi="Times New Roman"/>
          <w:color w:val="000000"/>
          <w:sz w:val="24"/>
          <w:szCs w:val="24"/>
        </w:rPr>
        <w:t xml:space="preserve"> either </w:t>
      </w:r>
      <w:r w:rsidR="007D5769" w:rsidRPr="00161FEE">
        <w:rPr>
          <w:rFonts w:ascii="Times New Roman" w:hAnsi="Times New Roman"/>
          <w:color w:val="000000"/>
          <w:sz w:val="24"/>
          <w:szCs w:val="24"/>
        </w:rPr>
        <w:t xml:space="preserve">by </w:t>
      </w:r>
      <w:r w:rsidR="00A54A0A">
        <w:rPr>
          <w:rFonts w:ascii="Times New Roman" w:hAnsi="Times New Roman"/>
          <w:color w:val="000000"/>
          <w:sz w:val="24"/>
          <w:szCs w:val="24"/>
        </w:rPr>
        <w:t>direct</w:t>
      </w:r>
      <w:r w:rsidR="00C03631" w:rsidRPr="00161FEE">
        <w:rPr>
          <w:rFonts w:ascii="Times New Roman" w:hAnsi="Times New Roman"/>
          <w:color w:val="000000"/>
          <w:sz w:val="24"/>
          <w:szCs w:val="24"/>
        </w:rPr>
        <w:t xml:space="preserve"> </w:t>
      </w:r>
      <w:r w:rsidR="007D5769" w:rsidRPr="00161FEE">
        <w:rPr>
          <w:rFonts w:ascii="Times New Roman" w:hAnsi="Times New Roman"/>
          <w:color w:val="000000"/>
          <w:sz w:val="24"/>
          <w:szCs w:val="24"/>
        </w:rPr>
        <w:t xml:space="preserve">monitoring with </w:t>
      </w:r>
      <w:r w:rsidR="00E71AFD" w:rsidRPr="00161FEE">
        <w:rPr>
          <w:rFonts w:ascii="Times New Roman" w:hAnsi="Times New Roman"/>
          <w:color w:val="000000"/>
          <w:sz w:val="24"/>
          <w:szCs w:val="24"/>
        </w:rPr>
        <w:t>a meter or inverter in accordance with the requirements set out in section 3</w:t>
      </w:r>
      <w:r w:rsidR="00F97BDF" w:rsidRPr="00161FEE">
        <w:rPr>
          <w:rFonts w:ascii="Times New Roman" w:hAnsi="Times New Roman"/>
          <w:color w:val="000000"/>
          <w:sz w:val="24"/>
          <w:szCs w:val="24"/>
        </w:rPr>
        <w:t>3</w:t>
      </w:r>
      <w:r w:rsidR="00E71AFD" w:rsidRPr="00161FEE">
        <w:rPr>
          <w:rFonts w:ascii="Times New Roman" w:hAnsi="Times New Roman"/>
          <w:color w:val="000000"/>
          <w:sz w:val="24"/>
          <w:szCs w:val="24"/>
        </w:rPr>
        <w:t>, or</w:t>
      </w:r>
      <w:r w:rsidR="00D1732B" w:rsidRPr="00161FEE">
        <w:rPr>
          <w:rFonts w:ascii="Times New Roman" w:hAnsi="Times New Roman"/>
          <w:color w:val="000000"/>
          <w:sz w:val="24"/>
          <w:szCs w:val="24"/>
        </w:rPr>
        <w:t xml:space="preserve"> </w:t>
      </w:r>
      <w:r w:rsidRPr="00161FEE">
        <w:rPr>
          <w:rFonts w:ascii="Times New Roman" w:hAnsi="Times New Roman"/>
          <w:color w:val="000000"/>
          <w:sz w:val="24"/>
          <w:szCs w:val="24"/>
        </w:rPr>
        <w:t xml:space="preserve">by using </w:t>
      </w:r>
      <w:r w:rsidR="00D1732B" w:rsidRPr="00161FEE">
        <w:rPr>
          <w:rFonts w:ascii="Times New Roman" w:hAnsi="Times New Roman"/>
          <w:color w:val="000000"/>
          <w:sz w:val="24"/>
          <w:szCs w:val="24"/>
        </w:rPr>
        <w:t>billing data. If billing data is used, the project proponent may pro-rat</w:t>
      </w:r>
      <w:r w:rsidR="00A119CF" w:rsidRPr="00161FEE">
        <w:rPr>
          <w:rFonts w:ascii="Times New Roman" w:hAnsi="Times New Roman"/>
          <w:color w:val="000000"/>
          <w:sz w:val="24"/>
          <w:szCs w:val="24"/>
        </w:rPr>
        <w:t>a</w:t>
      </w:r>
      <w:r w:rsidR="00D1732B" w:rsidRPr="00161FEE">
        <w:rPr>
          <w:rFonts w:ascii="Times New Roman" w:hAnsi="Times New Roman"/>
          <w:color w:val="000000"/>
          <w:sz w:val="24"/>
          <w:szCs w:val="24"/>
        </w:rPr>
        <w:t xml:space="preserve"> the data in a situation where the billing periods do not coincide with the </w:t>
      </w:r>
      <w:r w:rsidR="00C03631" w:rsidRPr="00161FEE">
        <w:rPr>
          <w:rFonts w:ascii="Times New Roman" w:hAnsi="Times New Roman"/>
          <w:color w:val="000000"/>
          <w:sz w:val="24"/>
          <w:szCs w:val="24"/>
        </w:rPr>
        <w:t xml:space="preserve">measurement </w:t>
      </w:r>
      <w:r w:rsidR="00D1732B" w:rsidRPr="00161FEE">
        <w:rPr>
          <w:rFonts w:ascii="Times New Roman" w:hAnsi="Times New Roman"/>
          <w:color w:val="000000"/>
          <w:sz w:val="24"/>
          <w:szCs w:val="24"/>
        </w:rPr>
        <w:t xml:space="preserve">period.  </w:t>
      </w:r>
    </w:p>
    <w:p w:rsidR="003E1650" w:rsidRPr="00161FEE" w:rsidRDefault="003E1650" w:rsidP="001B5EA8">
      <w:pPr>
        <w:keepNext/>
        <w:keepLines/>
        <w:spacing w:after="120" w:line="240" w:lineRule="auto"/>
        <w:rPr>
          <w:rFonts w:ascii="Times New Roman" w:hAnsi="Times New Roman"/>
          <w:color w:val="000000"/>
          <w:sz w:val="24"/>
          <w:szCs w:val="24"/>
        </w:rPr>
      </w:pPr>
    </w:p>
    <w:p w:rsidR="00EA2F41" w:rsidRPr="00161FEE" w:rsidRDefault="00ED118E" w:rsidP="00716776">
      <w:pPr>
        <w:spacing w:after="120" w:line="240" w:lineRule="auto"/>
        <w:rPr>
          <w:rFonts w:ascii="Times New Roman" w:hAnsi="Times New Roman"/>
          <w:color w:val="000000"/>
          <w:sz w:val="24"/>
          <w:szCs w:val="24"/>
          <w:u w:val="single"/>
        </w:rPr>
      </w:pPr>
      <w:r w:rsidRPr="00161FEE">
        <w:rPr>
          <w:rFonts w:ascii="Times New Roman" w:hAnsi="Times New Roman"/>
          <w:color w:val="000000"/>
          <w:sz w:val="24"/>
          <w:szCs w:val="24"/>
          <w:u w:val="single"/>
        </w:rPr>
        <w:t>1</w:t>
      </w:r>
      <w:r w:rsidR="00BC3EF9" w:rsidRPr="00161FEE">
        <w:rPr>
          <w:rFonts w:ascii="Times New Roman" w:hAnsi="Times New Roman"/>
          <w:color w:val="000000"/>
          <w:sz w:val="24"/>
          <w:szCs w:val="24"/>
          <w:u w:val="single"/>
        </w:rPr>
        <w:t>6</w:t>
      </w:r>
      <w:r w:rsidRPr="00161FEE">
        <w:rPr>
          <w:rFonts w:ascii="Times New Roman" w:hAnsi="Times New Roman"/>
          <w:color w:val="000000"/>
          <w:sz w:val="24"/>
          <w:szCs w:val="24"/>
          <w:u w:val="single"/>
        </w:rPr>
        <w:t xml:space="preserve"> </w:t>
      </w:r>
      <w:r w:rsidR="00EA2F41" w:rsidRPr="00161FEE">
        <w:rPr>
          <w:rFonts w:ascii="Times New Roman" w:hAnsi="Times New Roman"/>
          <w:color w:val="000000"/>
          <w:sz w:val="24"/>
          <w:szCs w:val="24"/>
          <w:u w:val="single"/>
        </w:rPr>
        <w:tab/>
        <w:t>Previous NABERS energy rating to be used in calculations</w:t>
      </w:r>
    </w:p>
    <w:p w:rsidR="009C3D4F" w:rsidRPr="00161FEE" w:rsidRDefault="009C3D4F" w:rsidP="00716776">
      <w:p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 xml:space="preserve">Section </w:t>
      </w:r>
      <w:r w:rsidR="00236D8C" w:rsidRPr="00161FEE">
        <w:rPr>
          <w:rFonts w:ascii="Times New Roman" w:hAnsi="Times New Roman"/>
          <w:color w:val="000000"/>
          <w:sz w:val="24"/>
          <w:szCs w:val="24"/>
        </w:rPr>
        <w:t>1</w:t>
      </w:r>
      <w:r w:rsidR="00BC3EF9" w:rsidRPr="00161FEE">
        <w:rPr>
          <w:rFonts w:ascii="Times New Roman" w:hAnsi="Times New Roman"/>
          <w:color w:val="000000"/>
          <w:sz w:val="24"/>
          <w:szCs w:val="24"/>
        </w:rPr>
        <w:t>6</w:t>
      </w:r>
      <w:r w:rsidRPr="00161FEE">
        <w:rPr>
          <w:rFonts w:ascii="Times New Roman" w:hAnsi="Times New Roman"/>
          <w:color w:val="000000"/>
          <w:sz w:val="24"/>
          <w:szCs w:val="24"/>
        </w:rPr>
        <w:t xml:space="preserve"> set</w:t>
      </w:r>
      <w:r w:rsidR="00341E44" w:rsidRPr="00161FEE">
        <w:rPr>
          <w:rFonts w:ascii="Times New Roman" w:hAnsi="Times New Roman"/>
          <w:color w:val="000000"/>
          <w:sz w:val="24"/>
          <w:szCs w:val="24"/>
        </w:rPr>
        <w:t>s</w:t>
      </w:r>
      <w:r w:rsidRPr="00161FEE">
        <w:rPr>
          <w:rFonts w:ascii="Times New Roman" w:hAnsi="Times New Roman"/>
          <w:color w:val="000000"/>
          <w:sz w:val="24"/>
          <w:szCs w:val="24"/>
        </w:rPr>
        <w:t xml:space="preserve"> out the requirements that must be </w:t>
      </w:r>
      <w:r w:rsidR="002F4140" w:rsidRPr="00161FEE">
        <w:rPr>
          <w:rFonts w:ascii="Times New Roman" w:hAnsi="Times New Roman"/>
          <w:color w:val="000000"/>
          <w:sz w:val="24"/>
          <w:szCs w:val="24"/>
        </w:rPr>
        <w:t xml:space="preserve">satisfied </w:t>
      </w:r>
      <w:r w:rsidRPr="00161FEE">
        <w:rPr>
          <w:rFonts w:ascii="Times New Roman" w:hAnsi="Times New Roman"/>
          <w:color w:val="000000"/>
          <w:sz w:val="24"/>
          <w:szCs w:val="24"/>
        </w:rPr>
        <w:t xml:space="preserve">by </w:t>
      </w:r>
      <w:r w:rsidR="00064765" w:rsidRPr="00161FEE">
        <w:rPr>
          <w:rFonts w:ascii="Times New Roman" w:hAnsi="Times New Roman"/>
          <w:color w:val="000000"/>
          <w:sz w:val="24"/>
          <w:szCs w:val="24"/>
        </w:rPr>
        <w:t>a</w:t>
      </w:r>
      <w:r w:rsidRPr="00161FEE">
        <w:rPr>
          <w:rFonts w:ascii="Times New Roman" w:hAnsi="Times New Roman"/>
          <w:color w:val="000000"/>
          <w:sz w:val="24"/>
          <w:szCs w:val="24"/>
        </w:rPr>
        <w:t xml:space="preserve"> previous NABERS energy </w:t>
      </w:r>
      <w:r w:rsidR="00E466C7" w:rsidRPr="00161FEE">
        <w:rPr>
          <w:rFonts w:ascii="Times New Roman" w:hAnsi="Times New Roman"/>
          <w:color w:val="000000"/>
          <w:sz w:val="24"/>
          <w:szCs w:val="24"/>
        </w:rPr>
        <w:t>rating</w:t>
      </w:r>
      <w:r w:rsidR="00064765" w:rsidRPr="00161FEE">
        <w:rPr>
          <w:rFonts w:ascii="Times New Roman" w:hAnsi="Times New Roman"/>
          <w:color w:val="000000"/>
          <w:sz w:val="24"/>
          <w:szCs w:val="24"/>
        </w:rPr>
        <w:t xml:space="preserve"> </w:t>
      </w:r>
      <w:r w:rsidR="00D85B37" w:rsidRPr="00161FEE">
        <w:rPr>
          <w:rFonts w:ascii="Times New Roman" w:hAnsi="Times New Roman"/>
          <w:color w:val="000000"/>
          <w:sz w:val="24"/>
          <w:szCs w:val="24"/>
        </w:rPr>
        <w:t xml:space="preserve">if it is to be used </w:t>
      </w:r>
      <w:r w:rsidRPr="00161FEE">
        <w:rPr>
          <w:rFonts w:ascii="Times New Roman" w:hAnsi="Times New Roman"/>
          <w:color w:val="000000"/>
          <w:sz w:val="24"/>
          <w:szCs w:val="24"/>
        </w:rPr>
        <w:t xml:space="preserve">in the calculation of the baseline NABERS energy rating for a building under section </w:t>
      </w:r>
      <w:r w:rsidR="00114968" w:rsidRPr="00161FEE">
        <w:rPr>
          <w:rFonts w:ascii="Times New Roman" w:hAnsi="Times New Roman"/>
          <w:color w:val="000000"/>
          <w:sz w:val="24"/>
          <w:szCs w:val="24"/>
        </w:rPr>
        <w:t>2</w:t>
      </w:r>
      <w:r w:rsidR="00F97BDF" w:rsidRPr="00161FEE">
        <w:rPr>
          <w:rFonts w:ascii="Times New Roman" w:hAnsi="Times New Roman"/>
          <w:color w:val="000000"/>
          <w:sz w:val="24"/>
          <w:szCs w:val="24"/>
        </w:rPr>
        <w:t>2</w:t>
      </w:r>
      <w:r w:rsidRPr="00161FEE">
        <w:rPr>
          <w:rFonts w:ascii="Times New Roman" w:hAnsi="Times New Roman"/>
          <w:color w:val="000000"/>
          <w:sz w:val="24"/>
          <w:szCs w:val="24"/>
        </w:rPr>
        <w:t xml:space="preserve">. These requirements </w:t>
      </w:r>
      <w:r w:rsidR="00016AED" w:rsidRPr="00161FEE">
        <w:rPr>
          <w:rFonts w:ascii="Times New Roman" w:hAnsi="Times New Roman"/>
          <w:color w:val="000000"/>
          <w:sz w:val="24"/>
          <w:szCs w:val="24"/>
        </w:rPr>
        <w:t>are as follows</w:t>
      </w:r>
      <w:r w:rsidRPr="00161FEE">
        <w:rPr>
          <w:rFonts w:ascii="Times New Roman" w:hAnsi="Times New Roman"/>
          <w:color w:val="000000"/>
          <w:sz w:val="24"/>
          <w:szCs w:val="24"/>
        </w:rPr>
        <w:t>:</w:t>
      </w:r>
    </w:p>
    <w:p w:rsidR="000B63AD" w:rsidRPr="00161FEE" w:rsidRDefault="000B63AD" w:rsidP="00016AED">
      <w:pPr>
        <w:pStyle w:val="ListParagraph"/>
        <w:numPr>
          <w:ilvl w:val="0"/>
          <w:numId w:val="36"/>
        </w:numPr>
        <w:spacing w:after="120" w:line="240" w:lineRule="auto"/>
        <w:rPr>
          <w:rFonts w:ascii="Times New Roman" w:hAnsi="Times New Roman"/>
          <w:color w:val="000000"/>
          <w:sz w:val="24"/>
          <w:szCs w:val="24"/>
        </w:rPr>
      </w:pPr>
      <w:r w:rsidRPr="00161FEE">
        <w:rPr>
          <w:rFonts w:ascii="Times New Roman" w:hAnsi="Times New Roman"/>
          <w:color w:val="000000"/>
          <w:sz w:val="24"/>
          <w:szCs w:val="24"/>
        </w:rPr>
        <w:lastRenderedPageBreak/>
        <w:t>The previous NABERS energy rating must be the most recent one that meets all the requirements</w:t>
      </w:r>
      <w:r w:rsidR="00A02A39">
        <w:rPr>
          <w:rFonts w:ascii="Times New Roman" w:hAnsi="Times New Roman"/>
          <w:color w:val="000000"/>
          <w:sz w:val="24"/>
          <w:szCs w:val="24"/>
        </w:rPr>
        <w:t xml:space="preserve"> in section 16</w:t>
      </w:r>
      <w:r w:rsidRPr="00161FEE">
        <w:rPr>
          <w:rFonts w:ascii="Times New Roman" w:hAnsi="Times New Roman"/>
          <w:color w:val="000000"/>
          <w:sz w:val="24"/>
          <w:szCs w:val="24"/>
        </w:rPr>
        <w:t xml:space="preserve">. </w:t>
      </w:r>
    </w:p>
    <w:p w:rsidR="00EA2F41" w:rsidRPr="00161FEE" w:rsidRDefault="00016AED" w:rsidP="00016AED">
      <w:pPr>
        <w:pStyle w:val="ListParagraph"/>
        <w:numPr>
          <w:ilvl w:val="0"/>
          <w:numId w:val="36"/>
        </w:num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T</w:t>
      </w:r>
      <w:r w:rsidR="00E466C7" w:rsidRPr="00161FEE">
        <w:rPr>
          <w:rFonts w:ascii="Times New Roman" w:hAnsi="Times New Roman"/>
          <w:color w:val="000000"/>
          <w:sz w:val="24"/>
          <w:szCs w:val="24"/>
        </w:rPr>
        <w:t xml:space="preserve">he previous </w:t>
      </w:r>
      <w:r w:rsidR="00812AD5" w:rsidRPr="00161FEE">
        <w:rPr>
          <w:rFonts w:ascii="Times New Roman" w:hAnsi="Times New Roman"/>
          <w:color w:val="000000"/>
          <w:sz w:val="24"/>
          <w:szCs w:val="24"/>
        </w:rPr>
        <w:t>NABER</w:t>
      </w:r>
      <w:r w:rsidR="00B836AB" w:rsidRPr="00161FEE">
        <w:rPr>
          <w:rFonts w:ascii="Times New Roman" w:hAnsi="Times New Roman"/>
          <w:color w:val="000000"/>
          <w:sz w:val="24"/>
          <w:szCs w:val="24"/>
        </w:rPr>
        <w:t>S</w:t>
      </w:r>
      <w:r w:rsidR="00812AD5" w:rsidRPr="00161FEE">
        <w:rPr>
          <w:rFonts w:ascii="Times New Roman" w:hAnsi="Times New Roman"/>
          <w:color w:val="000000"/>
          <w:sz w:val="24"/>
          <w:szCs w:val="24"/>
        </w:rPr>
        <w:t xml:space="preserve"> energy </w:t>
      </w:r>
      <w:r w:rsidR="00E466C7" w:rsidRPr="00161FEE">
        <w:rPr>
          <w:rFonts w:ascii="Times New Roman" w:hAnsi="Times New Roman"/>
          <w:color w:val="000000"/>
          <w:sz w:val="24"/>
          <w:szCs w:val="24"/>
        </w:rPr>
        <w:t xml:space="preserve">rating </w:t>
      </w:r>
      <w:r w:rsidR="002B12E9" w:rsidRPr="00161FEE">
        <w:rPr>
          <w:rFonts w:ascii="Times New Roman" w:hAnsi="Times New Roman"/>
          <w:color w:val="000000"/>
          <w:sz w:val="24"/>
          <w:szCs w:val="24"/>
        </w:rPr>
        <w:t>must be</w:t>
      </w:r>
      <w:r w:rsidR="00E466C7" w:rsidRPr="00161FEE">
        <w:rPr>
          <w:rFonts w:ascii="Times New Roman" w:hAnsi="Times New Roman"/>
          <w:color w:val="000000"/>
          <w:sz w:val="24"/>
          <w:szCs w:val="24"/>
        </w:rPr>
        <w:t xml:space="preserve"> for the same type of commercial building as the building type in the measurement period. For example, a building cannot be rated as a hotel in its previous NABERS energy rating and then be rated as a</w:t>
      </w:r>
      <w:r w:rsidR="00B836AB" w:rsidRPr="00161FEE">
        <w:rPr>
          <w:rFonts w:ascii="Times New Roman" w:hAnsi="Times New Roman"/>
          <w:color w:val="000000"/>
          <w:sz w:val="24"/>
          <w:szCs w:val="24"/>
        </w:rPr>
        <w:t>n</w:t>
      </w:r>
      <w:r w:rsidR="00E466C7" w:rsidRPr="00161FEE">
        <w:rPr>
          <w:rFonts w:ascii="Times New Roman" w:hAnsi="Times New Roman"/>
          <w:color w:val="000000"/>
          <w:sz w:val="24"/>
          <w:szCs w:val="24"/>
        </w:rPr>
        <w:t xml:space="preserve"> office in a subsequent</w:t>
      </w:r>
      <w:r w:rsidR="00812AD5" w:rsidRPr="00161FEE">
        <w:rPr>
          <w:rFonts w:ascii="Times New Roman" w:hAnsi="Times New Roman"/>
          <w:color w:val="000000"/>
          <w:sz w:val="24"/>
          <w:szCs w:val="24"/>
        </w:rPr>
        <w:t xml:space="preserve"> measurement period</w:t>
      </w:r>
      <w:r w:rsidRPr="00161FEE">
        <w:rPr>
          <w:rFonts w:ascii="Times New Roman" w:hAnsi="Times New Roman"/>
          <w:color w:val="000000"/>
          <w:sz w:val="24"/>
          <w:szCs w:val="24"/>
        </w:rPr>
        <w:t>.</w:t>
      </w:r>
    </w:p>
    <w:p w:rsidR="00E466C7" w:rsidRPr="00161FEE" w:rsidRDefault="00016AED" w:rsidP="00812AD5">
      <w:pPr>
        <w:pStyle w:val="ListParagraph"/>
        <w:numPr>
          <w:ilvl w:val="0"/>
          <w:numId w:val="36"/>
        </w:num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T</w:t>
      </w:r>
      <w:r w:rsidR="00812AD5" w:rsidRPr="00161FEE">
        <w:rPr>
          <w:rFonts w:ascii="Times New Roman" w:hAnsi="Times New Roman"/>
          <w:color w:val="000000"/>
          <w:sz w:val="24"/>
          <w:szCs w:val="24"/>
        </w:rPr>
        <w:t>he previous NABERS energy rating for the building must cover substantially the same area containing or serviced by energy</w:t>
      </w:r>
      <w:r w:rsidR="00812AD5" w:rsidRPr="00161FEE">
        <w:rPr>
          <w:rFonts w:ascii="Times New Roman" w:hAnsi="Times New Roman"/>
          <w:color w:val="000000"/>
          <w:sz w:val="24"/>
          <w:szCs w:val="24"/>
        </w:rPr>
        <w:noBreakHyphen/>
      </w:r>
      <w:proofErr w:type="spellStart"/>
      <w:r w:rsidR="00812AD5" w:rsidRPr="00161FEE">
        <w:rPr>
          <w:rFonts w:ascii="Times New Roman" w:hAnsi="Times New Roman"/>
          <w:color w:val="000000"/>
          <w:sz w:val="24"/>
          <w:szCs w:val="24"/>
        </w:rPr>
        <w:t>consuming</w:t>
      </w:r>
      <w:proofErr w:type="spellEnd"/>
      <w:r w:rsidR="00812AD5" w:rsidRPr="00161FEE">
        <w:rPr>
          <w:rFonts w:ascii="Times New Roman" w:hAnsi="Times New Roman"/>
          <w:color w:val="000000"/>
          <w:sz w:val="24"/>
          <w:szCs w:val="24"/>
        </w:rPr>
        <w:t xml:space="preserve"> equipment as the building in the measurement period. This is to prevent crediting emissions reductions which result from changes in </w:t>
      </w:r>
      <w:r w:rsidR="004C7C16" w:rsidRPr="00161FEE">
        <w:rPr>
          <w:rFonts w:ascii="Times New Roman" w:hAnsi="Times New Roman"/>
          <w:color w:val="000000"/>
          <w:sz w:val="24"/>
          <w:szCs w:val="24"/>
        </w:rPr>
        <w:t>the scope of the NABERS rating</w:t>
      </w:r>
      <w:r w:rsidRPr="00161FEE">
        <w:rPr>
          <w:rFonts w:ascii="Times New Roman" w:hAnsi="Times New Roman"/>
          <w:color w:val="000000"/>
          <w:sz w:val="24"/>
          <w:szCs w:val="24"/>
        </w:rPr>
        <w:t>.</w:t>
      </w:r>
      <w:r w:rsidR="00CB035D" w:rsidRPr="00161FEE">
        <w:rPr>
          <w:rFonts w:ascii="Times New Roman" w:hAnsi="Times New Roman"/>
          <w:color w:val="000000"/>
          <w:sz w:val="24"/>
          <w:szCs w:val="24"/>
        </w:rPr>
        <w:t xml:space="preserve"> The Determination allows for changes of up to 10 per cent in the size of the area, to accommodate minor changes in the space covered by the rating arising</w:t>
      </w:r>
      <w:r w:rsidR="00192D01" w:rsidRPr="00161FEE">
        <w:rPr>
          <w:rFonts w:ascii="Times New Roman" w:hAnsi="Times New Roman"/>
          <w:color w:val="000000"/>
          <w:sz w:val="24"/>
          <w:szCs w:val="24"/>
        </w:rPr>
        <w:t xml:space="preserve"> from</w:t>
      </w:r>
      <w:r w:rsidR="00CB035D" w:rsidRPr="00161FEE">
        <w:rPr>
          <w:rFonts w:ascii="Times New Roman" w:hAnsi="Times New Roman"/>
          <w:color w:val="000000"/>
          <w:sz w:val="24"/>
          <w:szCs w:val="24"/>
        </w:rPr>
        <w:t>, for example, reconfigurations of building tenancies.</w:t>
      </w:r>
      <w:r w:rsidR="00BD3C58" w:rsidRPr="00161FEE">
        <w:rPr>
          <w:rFonts w:ascii="Times New Roman" w:hAnsi="Times New Roman"/>
          <w:color w:val="000000"/>
          <w:sz w:val="24"/>
          <w:szCs w:val="24"/>
        </w:rPr>
        <w:t xml:space="preserve"> Note that this concept of area relates to a physical space, and is distinct from the “rated area” concept used in NAERS ratings, which is adjusted for building occupancy levels during the rating period.</w:t>
      </w:r>
    </w:p>
    <w:p w:rsidR="00016AED" w:rsidRPr="00161FEE" w:rsidRDefault="0049145B" w:rsidP="00812AD5">
      <w:pPr>
        <w:pStyle w:val="ListParagraph"/>
        <w:numPr>
          <w:ilvl w:val="0"/>
          <w:numId w:val="36"/>
        </w:num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If the building is an office, t</w:t>
      </w:r>
      <w:r w:rsidR="00812AD5" w:rsidRPr="00161FEE">
        <w:rPr>
          <w:rFonts w:ascii="Times New Roman" w:hAnsi="Times New Roman"/>
          <w:color w:val="000000"/>
          <w:sz w:val="24"/>
          <w:szCs w:val="24"/>
        </w:rPr>
        <w:t xml:space="preserve">he previous NABERS energy rating </w:t>
      </w:r>
      <w:r w:rsidR="00183143" w:rsidRPr="00161FEE">
        <w:rPr>
          <w:rFonts w:ascii="Times New Roman" w:hAnsi="Times New Roman"/>
          <w:color w:val="000000"/>
          <w:sz w:val="24"/>
          <w:szCs w:val="24"/>
        </w:rPr>
        <w:t>must be</w:t>
      </w:r>
      <w:r w:rsidR="00812AD5" w:rsidRPr="00161FEE">
        <w:rPr>
          <w:rFonts w:ascii="Times New Roman" w:hAnsi="Times New Roman"/>
          <w:color w:val="000000"/>
          <w:sz w:val="24"/>
          <w:szCs w:val="24"/>
        </w:rPr>
        <w:t xml:space="preserve"> for the same type of energy rating as the rating type in the measurement</w:t>
      </w:r>
      <w:r w:rsidR="002C2722" w:rsidRPr="00161FEE">
        <w:rPr>
          <w:rFonts w:ascii="Times New Roman" w:hAnsi="Times New Roman"/>
          <w:color w:val="000000"/>
          <w:sz w:val="24"/>
          <w:szCs w:val="24"/>
        </w:rPr>
        <w:t xml:space="preserve"> period</w:t>
      </w:r>
      <w:r w:rsidR="000360B8">
        <w:rPr>
          <w:rFonts w:ascii="Times New Roman" w:hAnsi="Times New Roman"/>
          <w:color w:val="000000"/>
          <w:sz w:val="24"/>
          <w:szCs w:val="24"/>
        </w:rPr>
        <w:t>. For </w:t>
      </w:r>
      <w:r w:rsidR="00812AD5" w:rsidRPr="00161FEE">
        <w:rPr>
          <w:rFonts w:ascii="Times New Roman" w:hAnsi="Times New Roman"/>
          <w:color w:val="000000"/>
          <w:sz w:val="24"/>
          <w:szCs w:val="24"/>
        </w:rPr>
        <w:t xml:space="preserve">example, </w:t>
      </w:r>
      <w:r w:rsidR="002468D6" w:rsidRPr="00161FEE">
        <w:rPr>
          <w:rFonts w:ascii="Times New Roman" w:hAnsi="Times New Roman"/>
          <w:color w:val="000000"/>
          <w:sz w:val="24"/>
          <w:szCs w:val="24"/>
        </w:rPr>
        <w:t>if the previous rating for an office building was a tenancy energy rating</w:t>
      </w:r>
      <w:r w:rsidR="00B84ECB" w:rsidRPr="00161FEE">
        <w:rPr>
          <w:rFonts w:ascii="Times New Roman" w:hAnsi="Times New Roman"/>
          <w:color w:val="000000"/>
          <w:sz w:val="24"/>
          <w:szCs w:val="24"/>
        </w:rPr>
        <w:t>, it can be used as the previous NABERS energy rating only if the building is rated for its tenancy performance in the measurement period.</w:t>
      </w:r>
    </w:p>
    <w:p w:rsidR="00EA2F41" w:rsidRPr="00161FEE" w:rsidRDefault="00EA2F41" w:rsidP="00716776">
      <w:pPr>
        <w:spacing w:after="120" w:line="240" w:lineRule="auto"/>
        <w:rPr>
          <w:rFonts w:ascii="Times New Roman" w:hAnsi="Times New Roman"/>
          <w:color w:val="000000"/>
          <w:sz w:val="24"/>
          <w:szCs w:val="24"/>
        </w:rPr>
      </w:pPr>
    </w:p>
    <w:p w:rsidR="00B104DC" w:rsidRPr="00161FEE" w:rsidRDefault="006C0D1E" w:rsidP="00101B59">
      <w:pPr>
        <w:spacing w:after="120" w:line="240" w:lineRule="auto"/>
        <w:rPr>
          <w:rFonts w:ascii="Times New Roman" w:hAnsi="Times New Roman"/>
          <w:b/>
          <w:color w:val="000000"/>
          <w:sz w:val="24"/>
          <w:szCs w:val="24"/>
        </w:rPr>
      </w:pPr>
      <w:r w:rsidRPr="00161FEE">
        <w:rPr>
          <w:rFonts w:ascii="Times New Roman" w:hAnsi="Times New Roman"/>
          <w:b/>
          <w:color w:val="000000"/>
          <w:sz w:val="24"/>
          <w:szCs w:val="24"/>
        </w:rPr>
        <w:t>Division</w:t>
      </w:r>
      <w:r w:rsidR="00AB4828" w:rsidRPr="00161FEE">
        <w:rPr>
          <w:rFonts w:ascii="Times New Roman" w:hAnsi="Times New Roman"/>
          <w:b/>
          <w:color w:val="000000"/>
          <w:sz w:val="24"/>
          <w:szCs w:val="24"/>
        </w:rPr>
        <w:t xml:space="preserve"> </w:t>
      </w:r>
      <w:r w:rsidR="00024A08" w:rsidRPr="00161FEE">
        <w:rPr>
          <w:rFonts w:ascii="Times New Roman" w:hAnsi="Times New Roman"/>
          <w:b/>
          <w:color w:val="000000"/>
          <w:sz w:val="24"/>
          <w:szCs w:val="24"/>
        </w:rPr>
        <w:t xml:space="preserve">2 </w:t>
      </w:r>
      <w:r w:rsidR="00024A08" w:rsidRPr="00161FEE">
        <w:rPr>
          <w:rFonts w:ascii="Times New Roman" w:hAnsi="Times New Roman"/>
          <w:b/>
          <w:color w:val="000000"/>
          <w:sz w:val="24"/>
          <w:szCs w:val="24"/>
        </w:rPr>
        <w:tab/>
      </w:r>
      <w:r w:rsidR="00AB4828" w:rsidRPr="00161FEE">
        <w:rPr>
          <w:rFonts w:ascii="Times New Roman" w:hAnsi="Times New Roman"/>
          <w:b/>
          <w:color w:val="000000"/>
          <w:sz w:val="24"/>
          <w:szCs w:val="24"/>
        </w:rPr>
        <w:t>Method for calculating net abatement</w:t>
      </w:r>
      <w:r w:rsidR="002354A6" w:rsidRPr="00161FEE">
        <w:rPr>
          <w:rFonts w:ascii="Times New Roman" w:hAnsi="Times New Roman"/>
          <w:b/>
          <w:color w:val="000000"/>
          <w:sz w:val="24"/>
          <w:szCs w:val="24"/>
        </w:rPr>
        <w:t xml:space="preserve"> amount</w:t>
      </w:r>
      <w:bookmarkStart w:id="1" w:name="_Toc290029054"/>
      <w:bookmarkStart w:id="2" w:name="_Toc294604171"/>
    </w:p>
    <w:p w:rsidR="006C0D1E" w:rsidRPr="00161FEE" w:rsidRDefault="00D51776" w:rsidP="00101B59">
      <w:pPr>
        <w:spacing w:after="120" w:line="240" w:lineRule="auto"/>
        <w:rPr>
          <w:rFonts w:ascii="Times New Roman" w:hAnsi="Times New Roman"/>
          <w:color w:val="000000"/>
          <w:sz w:val="24"/>
          <w:szCs w:val="24"/>
          <w:u w:val="single"/>
        </w:rPr>
      </w:pPr>
      <w:r w:rsidRPr="00161FEE">
        <w:rPr>
          <w:rFonts w:ascii="Times New Roman" w:hAnsi="Times New Roman"/>
          <w:color w:val="000000"/>
          <w:sz w:val="24"/>
          <w:szCs w:val="24"/>
          <w:u w:val="single"/>
        </w:rPr>
        <w:t>1</w:t>
      </w:r>
      <w:r w:rsidR="00BC3EF9" w:rsidRPr="00161FEE">
        <w:rPr>
          <w:rFonts w:ascii="Times New Roman" w:hAnsi="Times New Roman"/>
          <w:color w:val="000000"/>
          <w:sz w:val="24"/>
          <w:szCs w:val="24"/>
          <w:u w:val="single"/>
        </w:rPr>
        <w:t>7</w:t>
      </w:r>
      <w:r w:rsidR="00137923" w:rsidRPr="00161FEE">
        <w:rPr>
          <w:rFonts w:ascii="Times New Roman" w:hAnsi="Times New Roman"/>
          <w:color w:val="000000"/>
          <w:sz w:val="24"/>
          <w:szCs w:val="24"/>
          <w:u w:val="single"/>
        </w:rPr>
        <w:tab/>
      </w:r>
      <w:r w:rsidR="00C9141A" w:rsidRPr="00161FEE">
        <w:rPr>
          <w:rFonts w:ascii="Times New Roman" w:hAnsi="Times New Roman"/>
          <w:color w:val="000000"/>
          <w:sz w:val="24"/>
          <w:szCs w:val="24"/>
          <w:u w:val="single"/>
        </w:rPr>
        <w:t>Summary</w:t>
      </w:r>
    </w:p>
    <w:bookmarkEnd w:id="1"/>
    <w:bookmarkEnd w:id="2"/>
    <w:p w:rsidR="00B104DC" w:rsidRPr="00161FEE" w:rsidRDefault="00B104DC" w:rsidP="00B104DC">
      <w:pPr>
        <w:spacing w:after="120" w:line="240" w:lineRule="auto"/>
        <w:rPr>
          <w:rFonts w:ascii="Times New Roman" w:hAnsi="Times New Roman"/>
          <w:sz w:val="24"/>
          <w:szCs w:val="24"/>
        </w:rPr>
      </w:pPr>
      <w:r w:rsidRPr="00161FEE">
        <w:rPr>
          <w:rFonts w:ascii="Times New Roman" w:hAnsi="Times New Roman"/>
          <w:sz w:val="24"/>
          <w:szCs w:val="24"/>
        </w:rPr>
        <w:t xml:space="preserve">The net abatement amount for a commercial buildings project is the sum of abatement </w:t>
      </w:r>
      <w:r w:rsidR="009068DF" w:rsidRPr="00161FEE">
        <w:rPr>
          <w:rFonts w:ascii="Times New Roman" w:hAnsi="Times New Roman"/>
          <w:sz w:val="24"/>
          <w:szCs w:val="24"/>
        </w:rPr>
        <w:t xml:space="preserve">across </w:t>
      </w:r>
      <w:r w:rsidRPr="00161FEE">
        <w:rPr>
          <w:rFonts w:ascii="Times New Roman" w:hAnsi="Times New Roman"/>
          <w:sz w:val="24"/>
          <w:szCs w:val="24"/>
        </w:rPr>
        <w:t>buildings</w:t>
      </w:r>
      <w:r w:rsidR="009068DF" w:rsidRPr="00161FEE">
        <w:rPr>
          <w:rFonts w:ascii="Times New Roman" w:hAnsi="Times New Roman"/>
          <w:sz w:val="24"/>
          <w:szCs w:val="24"/>
        </w:rPr>
        <w:t xml:space="preserve">, and measurement </w:t>
      </w:r>
      <w:r w:rsidR="00117D3C" w:rsidRPr="00161FEE">
        <w:rPr>
          <w:rFonts w:ascii="Times New Roman" w:hAnsi="Times New Roman"/>
          <w:sz w:val="24"/>
          <w:szCs w:val="24"/>
        </w:rPr>
        <w:t>periods</w:t>
      </w:r>
      <w:r w:rsidR="00C15E95" w:rsidRPr="00161FEE">
        <w:rPr>
          <w:rFonts w:ascii="Times New Roman" w:hAnsi="Times New Roman"/>
          <w:sz w:val="24"/>
          <w:szCs w:val="24"/>
        </w:rPr>
        <w:t xml:space="preserve"> in the reporting period</w:t>
      </w:r>
      <w:r w:rsidRPr="00161FEE">
        <w:rPr>
          <w:rFonts w:ascii="Times New Roman" w:hAnsi="Times New Roman"/>
          <w:sz w:val="24"/>
          <w:szCs w:val="24"/>
        </w:rPr>
        <w:t>.</w:t>
      </w:r>
    </w:p>
    <w:p w:rsidR="00B104DC" w:rsidRPr="00161FEE" w:rsidRDefault="00241563" w:rsidP="00A67B5E">
      <w:pPr>
        <w:spacing w:after="120" w:line="240" w:lineRule="auto"/>
        <w:rPr>
          <w:rFonts w:ascii="Times New Roman" w:hAnsi="Times New Roman"/>
          <w:sz w:val="24"/>
          <w:szCs w:val="24"/>
        </w:rPr>
      </w:pPr>
      <w:r w:rsidRPr="00161FEE">
        <w:rPr>
          <w:rFonts w:ascii="Times New Roman" w:hAnsi="Times New Roman"/>
          <w:sz w:val="24"/>
          <w:szCs w:val="24"/>
        </w:rPr>
        <w:t>E</w:t>
      </w:r>
      <w:r w:rsidR="00A93EF2" w:rsidRPr="00161FEE">
        <w:rPr>
          <w:rFonts w:ascii="Times New Roman" w:hAnsi="Times New Roman"/>
          <w:sz w:val="24"/>
          <w:szCs w:val="24"/>
        </w:rPr>
        <w:t xml:space="preserve">ach building in the project must meet a </w:t>
      </w:r>
      <w:r w:rsidR="007A36C2" w:rsidRPr="00161FEE">
        <w:rPr>
          <w:rFonts w:ascii="Times New Roman" w:hAnsi="Times New Roman"/>
          <w:sz w:val="24"/>
          <w:szCs w:val="24"/>
        </w:rPr>
        <w:t xml:space="preserve">minimum </w:t>
      </w:r>
      <w:r w:rsidR="00A93EF2" w:rsidRPr="00161FEE">
        <w:rPr>
          <w:rFonts w:ascii="Times New Roman" w:hAnsi="Times New Roman"/>
          <w:sz w:val="24"/>
          <w:szCs w:val="24"/>
        </w:rPr>
        <w:t>threshold</w:t>
      </w:r>
      <w:r w:rsidR="007A36C2" w:rsidRPr="00161FEE">
        <w:rPr>
          <w:rFonts w:ascii="Times New Roman" w:hAnsi="Times New Roman"/>
          <w:sz w:val="24"/>
          <w:szCs w:val="24"/>
        </w:rPr>
        <w:t xml:space="preserve"> for abatement, referred to as the minimum abatement amount, </w:t>
      </w:r>
      <w:r w:rsidR="009B3892" w:rsidRPr="00161FEE">
        <w:rPr>
          <w:rFonts w:ascii="Times New Roman" w:hAnsi="Times New Roman"/>
          <w:sz w:val="24"/>
          <w:szCs w:val="24"/>
        </w:rPr>
        <w:t xml:space="preserve">for </w:t>
      </w:r>
      <w:r w:rsidR="0098331F" w:rsidRPr="00161FEE">
        <w:rPr>
          <w:rFonts w:ascii="Times New Roman" w:hAnsi="Times New Roman"/>
          <w:sz w:val="24"/>
          <w:szCs w:val="24"/>
        </w:rPr>
        <w:t xml:space="preserve">at least </w:t>
      </w:r>
      <w:r w:rsidR="008C2BAE" w:rsidRPr="00161FEE">
        <w:rPr>
          <w:rFonts w:ascii="Times New Roman" w:hAnsi="Times New Roman"/>
          <w:sz w:val="24"/>
          <w:szCs w:val="24"/>
        </w:rPr>
        <w:t>one measurement period</w:t>
      </w:r>
      <w:r w:rsidR="0098331F" w:rsidRPr="00161FEE">
        <w:rPr>
          <w:rFonts w:ascii="Times New Roman" w:hAnsi="Times New Roman"/>
          <w:sz w:val="24"/>
          <w:szCs w:val="24"/>
        </w:rPr>
        <w:t xml:space="preserve"> </w:t>
      </w:r>
      <w:r w:rsidR="00A93EF2" w:rsidRPr="00161FEE">
        <w:rPr>
          <w:rFonts w:ascii="Times New Roman" w:hAnsi="Times New Roman"/>
          <w:sz w:val="24"/>
          <w:szCs w:val="24"/>
        </w:rPr>
        <w:t>in order for emissions reductions from that building to be credited</w:t>
      </w:r>
      <w:r w:rsidR="0098331F" w:rsidRPr="00161FEE">
        <w:rPr>
          <w:rFonts w:ascii="Times New Roman" w:hAnsi="Times New Roman"/>
          <w:sz w:val="24"/>
          <w:szCs w:val="24"/>
        </w:rPr>
        <w:t xml:space="preserve"> for </w:t>
      </w:r>
      <w:r w:rsidR="0056066F" w:rsidRPr="00161FEE">
        <w:rPr>
          <w:rFonts w:ascii="Times New Roman" w:hAnsi="Times New Roman"/>
          <w:sz w:val="24"/>
          <w:szCs w:val="24"/>
        </w:rPr>
        <w:t>that reporting period</w:t>
      </w:r>
      <w:r w:rsidR="0098331F" w:rsidRPr="00161FEE">
        <w:rPr>
          <w:rFonts w:ascii="Times New Roman" w:hAnsi="Times New Roman"/>
          <w:sz w:val="24"/>
          <w:szCs w:val="24"/>
        </w:rPr>
        <w:t xml:space="preserve"> and subsequent reporting periods</w:t>
      </w:r>
      <w:r w:rsidR="00A93EF2" w:rsidRPr="00161FEE">
        <w:rPr>
          <w:rFonts w:ascii="Times New Roman" w:hAnsi="Times New Roman"/>
          <w:sz w:val="24"/>
          <w:szCs w:val="24"/>
        </w:rPr>
        <w:t>.</w:t>
      </w:r>
      <w:r w:rsidR="00EF1AB0" w:rsidRPr="00161FEE">
        <w:rPr>
          <w:rFonts w:ascii="Times New Roman" w:hAnsi="Times New Roman"/>
          <w:sz w:val="24"/>
          <w:szCs w:val="24"/>
        </w:rPr>
        <w:t xml:space="preserve"> </w:t>
      </w:r>
      <w:r w:rsidR="007A36C2" w:rsidRPr="00161FEE">
        <w:rPr>
          <w:rFonts w:ascii="Times New Roman" w:hAnsi="Times New Roman"/>
          <w:sz w:val="24"/>
          <w:szCs w:val="24"/>
        </w:rPr>
        <w:t xml:space="preserve">If this threshold is not achieved, </w:t>
      </w:r>
      <w:r w:rsidR="00A67B5E" w:rsidRPr="00161FEE">
        <w:rPr>
          <w:rFonts w:ascii="Times New Roman" w:hAnsi="Times New Roman"/>
          <w:sz w:val="24"/>
          <w:szCs w:val="24"/>
        </w:rPr>
        <w:t xml:space="preserve">the net abatement for the building is zero. </w:t>
      </w:r>
      <w:r w:rsidR="009B3892" w:rsidRPr="00161FEE">
        <w:rPr>
          <w:rFonts w:ascii="Times New Roman" w:hAnsi="Times New Roman"/>
          <w:sz w:val="24"/>
          <w:szCs w:val="24"/>
        </w:rPr>
        <w:t>If the threshold is met</w:t>
      </w:r>
      <w:r w:rsidR="007A36C2" w:rsidRPr="00161FEE">
        <w:rPr>
          <w:rFonts w:ascii="Times New Roman" w:hAnsi="Times New Roman"/>
          <w:sz w:val="24"/>
          <w:szCs w:val="24"/>
        </w:rPr>
        <w:t xml:space="preserve">, abatement for the building is </w:t>
      </w:r>
      <w:r w:rsidR="00CA294F" w:rsidRPr="00161FEE">
        <w:rPr>
          <w:rFonts w:ascii="Times New Roman" w:hAnsi="Times New Roman"/>
          <w:sz w:val="24"/>
          <w:szCs w:val="24"/>
        </w:rPr>
        <w:t>equal to</w:t>
      </w:r>
      <w:r w:rsidR="009B3892" w:rsidRPr="00161FEE">
        <w:rPr>
          <w:rFonts w:ascii="Times New Roman" w:hAnsi="Times New Roman"/>
          <w:sz w:val="24"/>
          <w:szCs w:val="24"/>
        </w:rPr>
        <w:t xml:space="preserve"> </w:t>
      </w:r>
      <w:r w:rsidR="007A36C2" w:rsidRPr="00161FEE">
        <w:rPr>
          <w:rFonts w:ascii="Times New Roman" w:hAnsi="Times New Roman"/>
          <w:sz w:val="24"/>
          <w:szCs w:val="24"/>
        </w:rPr>
        <w:t>the difference between baseline and project emissions for the building</w:t>
      </w:r>
      <w:r w:rsidR="00141FB9" w:rsidRPr="00161FEE">
        <w:rPr>
          <w:rFonts w:ascii="Times New Roman" w:hAnsi="Times New Roman"/>
          <w:sz w:val="24"/>
          <w:szCs w:val="24"/>
        </w:rPr>
        <w:t xml:space="preserve"> or </w:t>
      </w:r>
      <w:r w:rsidR="009B3892" w:rsidRPr="00161FEE">
        <w:rPr>
          <w:rFonts w:ascii="Times New Roman" w:hAnsi="Times New Roman"/>
          <w:sz w:val="24"/>
          <w:szCs w:val="24"/>
        </w:rPr>
        <w:t>zero, whichever is higher.</w:t>
      </w:r>
    </w:p>
    <w:p w:rsidR="00C9141A" w:rsidRPr="00161FEE" w:rsidRDefault="00C9141A" w:rsidP="00171C88">
      <w:pPr>
        <w:spacing w:after="120" w:line="240" w:lineRule="auto"/>
        <w:ind w:right="247"/>
        <w:rPr>
          <w:rFonts w:ascii="Times New Roman" w:hAnsi="Times New Roman"/>
          <w:sz w:val="24"/>
          <w:szCs w:val="24"/>
        </w:rPr>
      </w:pPr>
    </w:p>
    <w:p w:rsidR="00C9141A" w:rsidRPr="00161FEE" w:rsidRDefault="00D51776" w:rsidP="00C9141A">
      <w:pPr>
        <w:spacing w:after="120" w:line="240" w:lineRule="auto"/>
        <w:rPr>
          <w:rFonts w:ascii="Times New Roman" w:hAnsi="Times New Roman"/>
          <w:color w:val="000000"/>
          <w:sz w:val="24"/>
          <w:szCs w:val="24"/>
          <w:u w:val="single"/>
        </w:rPr>
      </w:pPr>
      <w:r w:rsidRPr="00161FEE">
        <w:rPr>
          <w:rFonts w:ascii="Times New Roman" w:hAnsi="Times New Roman"/>
          <w:color w:val="000000"/>
          <w:sz w:val="24"/>
          <w:szCs w:val="24"/>
          <w:u w:val="single"/>
        </w:rPr>
        <w:t>1</w:t>
      </w:r>
      <w:r w:rsidR="00BC3EF9" w:rsidRPr="00161FEE">
        <w:rPr>
          <w:rFonts w:ascii="Times New Roman" w:hAnsi="Times New Roman"/>
          <w:color w:val="000000"/>
          <w:sz w:val="24"/>
          <w:szCs w:val="24"/>
          <w:u w:val="single"/>
        </w:rPr>
        <w:t>8</w:t>
      </w:r>
      <w:r w:rsidR="00C9141A" w:rsidRPr="00161FEE">
        <w:rPr>
          <w:rFonts w:ascii="Times New Roman" w:hAnsi="Times New Roman"/>
          <w:color w:val="000000"/>
          <w:sz w:val="24"/>
          <w:szCs w:val="24"/>
          <w:u w:val="single"/>
        </w:rPr>
        <w:tab/>
        <w:t>Carbon dioxide equivalent net abatement amount</w:t>
      </w:r>
    </w:p>
    <w:p w:rsidR="00C33357" w:rsidRPr="00161FEE" w:rsidRDefault="00D72278" w:rsidP="00C33357">
      <w:pPr>
        <w:spacing w:after="120" w:line="240" w:lineRule="auto"/>
        <w:rPr>
          <w:rFonts w:ascii="Times New Roman" w:hAnsi="Times New Roman"/>
          <w:sz w:val="24"/>
          <w:szCs w:val="24"/>
        </w:rPr>
      </w:pPr>
      <w:r w:rsidRPr="00161FEE">
        <w:rPr>
          <w:rFonts w:ascii="Times New Roman" w:hAnsi="Times New Roman"/>
          <w:color w:val="000000"/>
          <w:sz w:val="24"/>
          <w:szCs w:val="24"/>
        </w:rPr>
        <w:t>In</w:t>
      </w:r>
      <w:r w:rsidR="00982B0B" w:rsidRPr="00161FEE">
        <w:rPr>
          <w:rFonts w:ascii="Times New Roman" w:hAnsi="Times New Roman"/>
          <w:b/>
          <w:color w:val="000000"/>
          <w:sz w:val="24"/>
          <w:szCs w:val="24"/>
        </w:rPr>
        <w:t xml:space="preserve"> e</w:t>
      </w:r>
      <w:r w:rsidR="00C33357" w:rsidRPr="00161FEE">
        <w:rPr>
          <w:rFonts w:ascii="Times New Roman" w:hAnsi="Times New Roman"/>
          <w:b/>
          <w:color w:val="000000"/>
          <w:sz w:val="24"/>
          <w:szCs w:val="24"/>
        </w:rPr>
        <w:t>quation 1</w:t>
      </w:r>
      <w:r w:rsidRPr="00161FEE">
        <w:rPr>
          <w:rFonts w:ascii="Times New Roman" w:hAnsi="Times New Roman"/>
          <w:color w:val="000000"/>
          <w:sz w:val="24"/>
          <w:szCs w:val="24"/>
        </w:rPr>
        <w:t>, t</w:t>
      </w:r>
      <w:r w:rsidR="00C33357" w:rsidRPr="00161FEE">
        <w:rPr>
          <w:rFonts w:ascii="Times New Roman" w:hAnsi="Times New Roman"/>
          <w:sz w:val="24"/>
          <w:szCs w:val="24"/>
        </w:rPr>
        <w:t xml:space="preserve">he </w:t>
      </w:r>
      <w:r w:rsidR="00C33357" w:rsidRPr="00161FEE">
        <w:rPr>
          <w:rFonts w:ascii="Times New Roman" w:hAnsi="Times New Roman"/>
          <w:color w:val="000000"/>
          <w:sz w:val="24"/>
          <w:szCs w:val="24"/>
        </w:rPr>
        <w:t xml:space="preserve">carbon dioxide equivalent </w:t>
      </w:r>
      <w:r w:rsidR="00C33357" w:rsidRPr="00161FEE">
        <w:rPr>
          <w:rFonts w:ascii="Times New Roman" w:hAnsi="Times New Roman"/>
          <w:sz w:val="24"/>
          <w:szCs w:val="24"/>
        </w:rPr>
        <w:t xml:space="preserve">net abatement amount is worked out by adding the abatement for </w:t>
      </w:r>
      <w:r w:rsidR="009E3FF9" w:rsidRPr="00161FEE">
        <w:rPr>
          <w:rFonts w:ascii="Times New Roman" w:hAnsi="Times New Roman"/>
          <w:sz w:val="24"/>
          <w:szCs w:val="24"/>
        </w:rPr>
        <w:t xml:space="preserve">the </w:t>
      </w:r>
      <w:r w:rsidR="00C33357" w:rsidRPr="00161FEE">
        <w:rPr>
          <w:rFonts w:ascii="Times New Roman" w:hAnsi="Times New Roman"/>
          <w:sz w:val="24"/>
          <w:szCs w:val="24"/>
        </w:rPr>
        <w:t xml:space="preserve">buildings in the project </w:t>
      </w:r>
      <w:r w:rsidR="009E3FF9" w:rsidRPr="00161FEE">
        <w:rPr>
          <w:rFonts w:ascii="Times New Roman" w:hAnsi="Times New Roman"/>
          <w:sz w:val="24"/>
          <w:szCs w:val="24"/>
        </w:rPr>
        <w:t>that are being included in the abatement calculations across</w:t>
      </w:r>
      <w:r w:rsidR="00C33357" w:rsidRPr="00161FEE">
        <w:rPr>
          <w:rFonts w:ascii="Times New Roman" w:hAnsi="Times New Roman"/>
          <w:sz w:val="24"/>
          <w:szCs w:val="24"/>
        </w:rPr>
        <w:t xml:space="preserve"> measurement periods in the reporting period.</w:t>
      </w:r>
    </w:p>
    <w:p w:rsidR="00EF433D" w:rsidRPr="00161FEE" w:rsidRDefault="00EF433D" w:rsidP="00C9141A">
      <w:pPr>
        <w:spacing w:after="120" w:line="240" w:lineRule="auto"/>
        <w:rPr>
          <w:rFonts w:ascii="Times New Roman" w:hAnsi="Times New Roman"/>
          <w:color w:val="000000"/>
          <w:sz w:val="24"/>
          <w:szCs w:val="24"/>
          <w:u w:val="single"/>
        </w:rPr>
      </w:pPr>
    </w:p>
    <w:p w:rsidR="00EF433D" w:rsidRPr="00161FEE" w:rsidRDefault="00BC3EF9" w:rsidP="001145B7">
      <w:pPr>
        <w:keepNext/>
        <w:spacing w:after="120" w:line="240" w:lineRule="auto"/>
        <w:rPr>
          <w:rFonts w:ascii="Times New Roman" w:hAnsi="Times New Roman"/>
          <w:color w:val="000000"/>
          <w:sz w:val="24"/>
          <w:szCs w:val="24"/>
          <w:u w:val="single"/>
        </w:rPr>
      </w:pPr>
      <w:r w:rsidRPr="00161FEE">
        <w:rPr>
          <w:rFonts w:ascii="Times New Roman" w:hAnsi="Times New Roman"/>
          <w:color w:val="000000"/>
          <w:sz w:val="24"/>
          <w:szCs w:val="24"/>
          <w:u w:val="single"/>
        </w:rPr>
        <w:t>19</w:t>
      </w:r>
      <w:r w:rsidR="006B4A81" w:rsidRPr="00161FEE">
        <w:rPr>
          <w:rFonts w:ascii="Times New Roman" w:hAnsi="Times New Roman"/>
          <w:color w:val="000000"/>
          <w:sz w:val="24"/>
          <w:szCs w:val="24"/>
          <w:u w:val="single"/>
        </w:rPr>
        <w:tab/>
        <w:t>Abatement for</w:t>
      </w:r>
      <w:r w:rsidR="00EF433D" w:rsidRPr="00161FEE">
        <w:rPr>
          <w:rFonts w:ascii="Times New Roman" w:hAnsi="Times New Roman"/>
          <w:color w:val="000000"/>
          <w:sz w:val="24"/>
          <w:szCs w:val="24"/>
          <w:u w:val="single"/>
        </w:rPr>
        <w:t xml:space="preserve"> a building in a measurement period</w:t>
      </w:r>
    </w:p>
    <w:p w:rsidR="00A41ABB" w:rsidRPr="00161FEE" w:rsidRDefault="0031026E" w:rsidP="00171C88">
      <w:pPr>
        <w:spacing w:after="120" w:line="240" w:lineRule="auto"/>
        <w:ind w:right="247"/>
        <w:rPr>
          <w:rFonts w:ascii="Times New Roman" w:hAnsi="Times New Roman"/>
          <w:sz w:val="24"/>
          <w:szCs w:val="24"/>
        </w:rPr>
      </w:pPr>
      <w:r w:rsidRPr="00161FEE">
        <w:rPr>
          <w:rFonts w:ascii="Times New Roman" w:hAnsi="Times New Roman"/>
          <w:sz w:val="24"/>
          <w:szCs w:val="24"/>
        </w:rPr>
        <w:t>For a given 12-month measurement period, t</w:t>
      </w:r>
      <w:r w:rsidR="008F6EAE" w:rsidRPr="00161FEE">
        <w:rPr>
          <w:rFonts w:ascii="Times New Roman" w:hAnsi="Times New Roman"/>
          <w:sz w:val="24"/>
          <w:szCs w:val="24"/>
        </w:rPr>
        <w:t xml:space="preserve">he abatement </w:t>
      </w:r>
      <w:r w:rsidR="001D002C" w:rsidRPr="00161FEE">
        <w:rPr>
          <w:rFonts w:ascii="Times New Roman" w:hAnsi="Times New Roman"/>
          <w:sz w:val="24"/>
          <w:szCs w:val="24"/>
        </w:rPr>
        <w:t xml:space="preserve">for </w:t>
      </w:r>
      <w:r w:rsidR="008F6EAE" w:rsidRPr="00161FEE">
        <w:rPr>
          <w:rFonts w:ascii="Times New Roman" w:hAnsi="Times New Roman"/>
          <w:sz w:val="24"/>
          <w:szCs w:val="24"/>
        </w:rPr>
        <w:t xml:space="preserve">each building is worked out using </w:t>
      </w:r>
      <w:r w:rsidR="008F6EAE" w:rsidRPr="00161FEE">
        <w:rPr>
          <w:rFonts w:ascii="Times New Roman" w:hAnsi="Times New Roman"/>
          <w:b/>
          <w:sz w:val="24"/>
          <w:szCs w:val="24"/>
        </w:rPr>
        <w:t>equation 2.1</w:t>
      </w:r>
      <w:r w:rsidR="008F6EAE" w:rsidRPr="00161FEE">
        <w:rPr>
          <w:rFonts w:ascii="Times New Roman" w:hAnsi="Times New Roman"/>
          <w:sz w:val="24"/>
          <w:szCs w:val="24"/>
        </w:rPr>
        <w:t xml:space="preserve"> or </w:t>
      </w:r>
      <w:r w:rsidR="008F6EAE" w:rsidRPr="00161FEE">
        <w:rPr>
          <w:rFonts w:ascii="Times New Roman" w:hAnsi="Times New Roman"/>
          <w:b/>
          <w:sz w:val="24"/>
          <w:szCs w:val="24"/>
        </w:rPr>
        <w:t>equation 2.2</w:t>
      </w:r>
      <w:r w:rsidR="008F6EAE" w:rsidRPr="00161FEE">
        <w:rPr>
          <w:rFonts w:ascii="Times New Roman" w:hAnsi="Times New Roman"/>
          <w:sz w:val="24"/>
          <w:szCs w:val="24"/>
        </w:rPr>
        <w:t>.</w:t>
      </w:r>
      <w:r w:rsidR="00D72278" w:rsidRPr="00161FEE">
        <w:rPr>
          <w:rFonts w:ascii="Times New Roman" w:hAnsi="Times New Roman"/>
          <w:sz w:val="24"/>
          <w:szCs w:val="24"/>
        </w:rPr>
        <w:t xml:space="preserve"> Which of these two equations is used depends on whether the minimum abatement amount for the building has been achieved</w:t>
      </w:r>
      <w:r w:rsidR="00CA102F">
        <w:rPr>
          <w:rFonts w:ascii="Times New Roman" w:hAnsi="Times New Roman"/>
          <w:sz w:val="24"/>
          <w:szCs w:val="24"/>
        </w:rPr>
        <w:t xml:space="preserve"> (the </w:t>
      </w:r>
      <w:r w:rsidR="006A127A" w:rsidRPr="00161FEE">
        <w:rPr>
          <w:rFonts w:ascii="Times New Roman" w:hAnsi="Times New Roman"/>
          <w:sz w:val="24"/>
          <w:szCs w:val="24"/>
        </w:rPr>
        <w:t xml:space="preserve">calculation of the </w:t>
      </w:r>
      <w:r w:rsidR="00956198" w:rsidRPr="00161FEE">
        <w:rPr>
          <w:rFonts w:ascii="Times New Roman" w:hAnsi="Times New Roman"/>
          <w:sz w:val="24"/>
          <w:szCs w:val="24"/>
        </w:rPr>
        <w:t xml:space="preserve">minimum abatement amount is described in section </w:t>
      </w:r>
      <w:r w:rsidR="00D51776" w:rsidRPr="00161FEE">
        <w:rPr>
          <w:rFonts w:ascii="Times New Roman" w:hAnsi="Times New Roman"/>
          <w:sz w:val="24"/>
          <w:szCs w:val="24"/>
        </w:rPr>
        <w:t>2</w:t>
      </w:r>
      <w:r w:rsidR="00F97BDF" w:rsidRPr="00161FEE">
        <w:rPr>
          <w:rFonts w:ascii="Times New Roman" w:hAnsi="Times New Roman"/>
          <w:sz w:val="24"/>
          <w:szCs w:val="24"/>
        </w:rPr>
        <w:t>7</w:t>
      </w:r>
      <w:r w:rsidR="00956198" w:rsidRPr="00161FEE">
        <w:rPr>
          <w:rFonts w:ascii="Times New Roman" w:hAnsi="Times New Roman"/>
          <w:sz w:val="24"/>
          <w:szCs w:val="24"/>
        </w:rPr>
        <w:t>)</w:t>
      </w:r>
      <w:r w:rsidR="00D72278" w:rsidRPr="00161FEE">
        <w:rPr>
          <w:rFonts w:ascii="Times New Roman" w:hAnsi="Times New Roman"/>
          <w:sz w:val="24"/>
          <w:szCs w:val="24"/>
        </w:rPr>
        <w:t>.</w:t>
      </w:r>
    </w:p>
    <w:p w:rsidR="00445B73" w:rsidRPr="00161FEE" w:rsidRDefault="00445B73" w:rsidP="00A41ABB">
      <w:pPr>
        <w:spacing w:after="120" w:line="240" w:lineRule="auto"/>
        <w:rPr>
          <w:rFonts w:ascii="Times New Roman" w:hAnsi="Times New Roman"/>
          <w:sz w:val="24"/>
          <w:szCs w:val="24"/>
        </w:rPr>
      </w:pPr>
      <w:r w:rsidRPr="00161FEE">
        <w:rPr>
          <w:rFonts w:ascii="Times New Roman" w:hAnsi="Times New Roman"/>
          <w:sz w:val="24"/>
          <w:szCs w:val="24"/>
        </w:rPr>
        <w:lastRenderedPageBreak/>
        <w:t>Equation 2.1 is to be used</w:t>
      </w:r>
      <w:r w:rsidR="00E50298" w:rsidRPr="00161FEE">
        <w:rPr>
          <w:rFonts w:ascii="Times New Roman" w:hAnsi="Times New Roman"/>
          <w:sz w:val="24"/>
          <w:szCs w:val="24"/>
        </w:rPr>
        <w:t xml:space="preserve"> to calculate abatement for a building in a measurement period</w:t>
      </w:r>
      <w:r w:rsidRPr="00161FEE">
        <w:rPr>
          <w:rFonts w:ascii="Times New Roman" w:hAnsi="Times New Roman"/>
          <w:sz w:val="24"/>
          <w:szCs w:val="24"/>
        </w:rPr>
        <w:t xml:space="preserve"> if any of the following conditions are met:</w:t>
      </w:r>
    </w:p>
    <w:p w:rsidR="00445B73" w:rsidRPr="00161FEE" w:rsidRDefault="008C38A3" w:rsidP="00445B73">
      <w:pPr>
        <w:pStyle w:val="ListParagraph"/>
        <w:numPr>
          <w:ilvl w:val="0"/>
          <w:numId w:val="36"/>
        </w:numPr>
        <w:spacing w:after="120" w:line="240" w:lineRule="auto"/>
        <w:rPr>
          <w:rFonts w:ascii="Times New Roman" w:hAnsi="Times New Roman"/>
          <w:sz w:val="24"/>
          <w:szCs w:val="24"/>
        </w:rPr>
      </w:pPr>
      <w:r w:rsidRPr="00161FEE">
        <w:rPr>
          <w:rFonts w:ascii="Times New Roman" w:hAnsi="Times New Roman"/>
          <w:sz w:val="24"/>
          <w:szCs w:val="24"/>
        </w:rPr>
        <w:t>t</w:t>
      </w:r>
      <w:r w:rsidR="00445B73" w:rsidRPr="00161FEE">
        <w:rPr>
          <w:rFonts w:ascii="Times New Roman" w:hAnsi="Times New Roman"/>
          <w:sz w:val="24"/>
          <w:szCs w:val="24"/>
        </w:rPr>
        <w:t xml:space="preserve">he difference between baseline and project emissions </w:t>
      </w:r>
      <w:r w:rsidR="007D4740" w:rsidRPr="00161FEE">
        <w:rPr>
          <w:rFonts w:ascii="Times New Roman" w:hAnsi="Times New Roman"/>
          <w:sz w:val="24"/>
          <w:szCs w:val="24"/>
        </w:rPr>
        <w:t xml:space="preserve">is greater than or equal to the minimum abatement amount for the </w:t>
      </w:r>
      <w:r w:rsidR="00445B73" w:rsidRPr="00161FEE">
        <w:rPr>
          <w:rFonts w:ascii="Times New Roman" w:hAnsi="Times New Roman"/>
          <w:sz w:val="24"/>
          <w:szCs w:val="24"/>
        </w:rPr>
        <w:t>measurement period;</w:t>
      </w:r>
    </w:p>
    <w:p w:rsidR="00445B73" w:rsidRPr="00161FEE" w:rsidRDefault="008C38A3" w:rsidP="00445B73">
      <w:pPr>
        <w:pStyle w:val="ListParagraph"/>
        <w:numPr>
          <w:ilvl w:val="0"/>
          <w:numId w:val="36"/>
        </w:numPr>
        <w:spacing w:after="120" w:line="240" w:lineRule="auto"/>
        <w:rPr>
          <w:rFonts w:ascii="Times New Roman" w:hAnsi="Times New Roman"/>
          <w:sz w:val="24"/>
          <w:szCs w:val="24"/>
        </w:rPr>
      </w:pPr>
      <w:r w:rsidRPr="00161FEE">
        <w:rPr>
          <w:rFonts w:ascii="Times New Roman" w:hAnsi="Times New Roman"/>
          <w:sz w:val="24"/>
          <w:szCs w:val="24"/>
        </w:rPr>
        <w:t>i</w:t>
      </w:r>
      <w:r w:rsidR="00445B73" w:rsidRPr="00161FEE">
        <w:rPr>
          <w:rFonts w:ascii="Times New Roman" w:hAnsi="Times New Roman"/>
          <w:sz w:val="24"/>
          <w:szCs w:val="24"/>
        </w:rPr>
        <w:t>n a previous measurement perio</w:t>
      </w:r>
      <w:r w:rsidR="007D4740" w:rsidRPr="00161FEE">
        <w:rPr>
          <w:rFonts w:ascii="Times New Roman" w:hAnsi="Times New Roman"/>
          <w:sz w:val="24"/>
          <w:szCs w:val="24"/>
        </w:rPr>
        <w:t xml:space="preserve">d in the crediting period, the difference between baseline and project emissions was greater than or equal to the minimum abatement amount </w:t>
      </w:r>
      <w:r w:rsidR="00E50298" w:rsidRPr="00161FEE">
        <w:rPr>
          <w:rFonts w:ascii="Times New Roman" w:hAnsi="Times New Roman"/>
          <w:sz w:val="24"/>
          <w:szCs w:val="24"/>
        </w:rPr>
        <w:t>for that</w:t>
      </w:r>
      <w:r w:rsidR="007D4740" w:rsidRPr="00161FEE">
        <w:rPr>
          <w:rFonts w:ascii="Times New Roman" w:hAnsi="Times New Roman"/>
          <w:sz w:val="24"/>
          <w:szCs w:val="24"/>
        </w:rPr>
        <w:t xml:space="preserve"> measurement period; or</w:t>
      </w:r>
    </w:p>
    <w:p w:rsidR="007D4740" w:rsidRPr="00161FEE" w:rsidRDefault="008C38A3" w:rsidP="00445B73">
      <w:pPr>
        <w:pStyle w:val="ListParagraph"/>
        <w:numPr>
          <w:ilvl w:val="0"/>
          <w:numId w:val="36"/>
        </w:numPr>
        <w:spacing w:after="120" w:line="240" w:lineRule="auto"/>
        <w:rPr>
          <w:rFonts w:ascii="Times New Roman" w:hAnsi="Times New Roman"/>
          <w:sz w:val="24"/>
          <w:szCs w:val="24"/>
        </w:rPr>
      </w:pPr>
      <w:proofErr w:type="gramStart"/>
      <w:r w:rsidRPr="00161FEE">
        <w:rPr>
          <w:rFonts w:ascii="Times New Roman" w:hAnsi="Times New Roman"/>
          <w:sz w:val="24"/>
          <w:szCs w:val="24"/>
        </w:rPr>
        <w:t>i</w:t>
      </w:r>
      <w:r w:rsidR="00E50298" w:rsidRPr="00161FEE">
        <w:rPr>
          <w:rFonts w:ascii="Times New Roman" w:hAnsi="Times New Roman"/>
          <w:sz w:val="24"/>
          <w:szCs w:val="24"/>
        </w:rPr>
        <w:t>f</w:t>
      </w:r>
      <w:proofErr w:type="gramEnd"/>
      <w:r w:rsidR="00E50298" w:rsidRPr="00161FEE">
        <w:rPr>
          <w:rFonts w:ascii="Times New Roman" w:hAnsi="Times New Roman"/>
          <w:sz w:val="24"/>
          <w:szCs w:val="24"/>
        </w:rPr>
        <w:t xml:space="preserve"> the subsequent measurement period is included in the same reporting period</w:t>
      </w:r>
      <w:r w:rsidR="005A087A" w:rsidRPr="00161FEE">
        <w:rPr>
          <w:rFonts w:ascii="Times New Roman" w:hAnsi="Times New Roman"/>
          <w:sz w:val="24"/>
          <w:szCs w:val="24"/>
        </w:rPr>
        <w:t xml:space="preserve"> as the measurement period, the difference between baseline and project emissions in the subsequent measurement period is greater than or equal to the minimum abatement amount for that subsequent measurement period.</w:t>
      </w:r>
    </w:p>
    <w:p w:rsidR="005A087A" w:rsidRPr="00161FEE" w:rsidRDefault="005A087A" w:rsidP="005A087A">
      <w:pPr>
        <w:spacing w:after="120" w:line="240" w:lineRule="auto"/>
        <w:rPr>
          <w:rFonts w:ascii="Times New Roman" w:hAnsi="Times New Roman"/>
          <w:sz w:val="24"/>
          <w:szCs w:val="24"/>
        </w:rPr>
      </w:pPr>
      <w:r w:rsidRPr="00161FEE">
        <w:rPr>
          <w:rFonts w:ascii="Times New Roman" w:hAnsi="Times New Roman"/>
          <w:sz w:val="24"/>
          <w:szCs w:val="24"/>
        </w:rPr>
        <w:t>Equation 2.1 states that abatement for the building in the measurement period is equal to baseline emissions minus project emissions if that value is non-negative, and zero otherwise.</w:t>
      </w:r>
    </w:p>
    <w:p w:rsidR="005A087A" w:rsidRPr="00161FEE" w:rsidRDefault="005A087A" w:rsidP="005A087A">
      <w:pPr>
        <w:spacing w:after="120" w:line="240" w:lineRule="auto"/>
        <w:rPr>
          <w:rFonts w:ascii="Times New Roman" w:hAnsi="Times New Roman"/>
          <w:sz w:val="24"/>
          <w:szCs w:val="24"/>
        </w:rPr>
      </w:pPr>
      <w:r w:rsidRPr="00161FEE">
        <w:rPr>
          <w:rFonts w:ascii="Times New Roman" w:hAnsi="Times New Roman"/>
          <w:sz w:val="24"/>
          <w:szCs w:val="24"/>
        </w:rPr>
        <w:t xml:space="preserve">If the conditions for using equation 2.1 are not met, equation 2.2 states that abatement for the building in the measurement </w:t>
      </w:r>
      <w:r w:rsidR="00956198" w:rsidRPr="00161FEE">
        <w:rPr>
          <w:rFonts w:ascii="Times New Roman" w:hAnsi="Times New Roman"/>
          <w:sz w:val="24"/>
          <w:szCs w:val="24"/>
        </w:rPr>
        <w:t>period is zero.</w:t>
      </w:r>
    </w:p>
    <w:p w:rsidR="007C168A" w:rsidRPr="00161FEE" w:rsidRDefault="007C168A" w:rsidP="00171C88">
      <w:pPr>
        <w:spacing w:after="120" w:line="240" w:lineRule="auto"/>
        <w:ind w:right="247"/>
        <w:rPr>
          <w:rFonts w:ascii="Times New Roman" w:hAnsi="Times New Roman"/>
          <w:sz w:val="24"/>
          <w:szCs w:val="24"/>
        </w:rPr>
      </w:pPr>
    </w:p>
    <w:p w:rsidR="00EF433D" w:rsidRPr="00161FEE" w:rsidRDefault="00EF433D" w:rsidP="00EF433D">
      <w:pPr>
        <w:spacing w:after="120" w:line="240" w:lineRule="auto"/>
        <w:rPr>
          <w:rFonts w:ascii="Times New Roman" w:hAnsi="Times New Roman"/>
          <w:b/>
          <w:color w:val="000000"/>
          <w:sz w:val="24"/>
          <w:szCs w:val="24"/>
        </w:rPr>
      </w:pPr>
      <w:r w:rsidRPr="00161FEE">
        <w:rPr>
          <w:rFonts w:ascii="Times New Roman" w:hAnsi="Times New Roman"/>
          <w:b/>
          <w:color w:val="000000"/>
          <w:sz w:val="24"/>
          <w:szCs w:val="24"/>
        </w:rPr>
        <w:t>Division 3</w:t>
      </w:r>
      <w:r w:rsidRPr="00161FEE">
        <w:rPr>
          <w:rFonts w:ascii="Times New Roman" w:hAnsi="Times New Roman"/>
          <w:b/>
          <w:color w:val="000000"/>
          <w:sz w:val="24"/>
          <w:szCs w:val="24"/>
        </w:rPr>
        <w:tab/>
        <w:t>Calculations relating to baseline emissions</w:t>
      </w:r>
    </w:p>
    <w:p w:rsidR="00EF433D" w:rsidRPr="00161FEE" w:rsidRDefault="00D51776" w:rsidP="00EF433D">
      <w:pPr>
        <w:spacing w:after="120" w:line="240" w:lineRule="auto"/>
        <w:rPr>
          <w:rFonts w:ascii="Times New Roman" w:hAnsi="Times New Roman"/>
          <w:color w:val="000000"/>
          <w:sz w:val="24"/>
          <w:szCs w:val="24"/>
          <w:u w:val="single"/>
        </w:rPr>
      </w:pPr>
      <w:r w:rsidRPr="00161FEE">
        <w:rPr>
          <w:rFonts w:ascii="Times New Roman" w:hAnsi="Times New Roman"/>
          <w:color w:val="000000"/>
          <w:sz w:val="24"/>
          <w:szCs w:val="24"/>
          <w:u w:val="single"/>
        </w:rPr>
        <w:t>2</w:t>
      </w:r>
      <w:r w:rsidR="00F97BDF" w:rsidRPr="00161FEE">
        <w:rPr>
          <w:rFonts w:ascii="Times New Roman" w:hAnsi="Times New Roman"/>
          <w:color w:val="000000"/>
          <w:sz w:val="24"/>
          <w:szCs w:val="24"/>
          <w:u w:val="single"/>
        </w:rPr>
        <w:t>0</w:t>
      </w:r>
      <w:r w:rsidR="00EF433D" w:rsidRPr="00161FEE">
        <w:rPr>
          <w:rFonts w:ascii="Times New Roman" w:hAnsi="Times New Roman"/>
          <w:color w:val="000000"/>
          <w:sz w:val="24"/>
          <w:szCs w:val="24"/>
          <w:u w:val="single"/>
        </w:rPr>
        <w:tab/>
        <w:t>Summary</w:t>
      </w:r>
    </w:p>
    <w:p w:rsidR="00286E95" w:rsidRPr="00161FEE" w:rsidRDefault="004D35C8" w:rsidP="00EF433D">
      <w:pPr>
        <w:spacing w:after="120" w:line="240" w:lineRule="auto"/>
        <w:rPr>
          <w:rFonts w:ascii="Times New Roman" w:hAnsi="Times New Roman"/>
          <w:sz w:val="24"/>
          <w:szCs w:val="24"/>
        </w:rPr>
      </w:pPr>
      <w:r w:rsidRPr="00161FEE">
        <w:rPr>
          <w:rFonts w:ascii="Times New Roman" w:hAnsi="Times New Roman"/>
          <w:sz w:val="24"/>
          <w:szCs w:val="24"/>
        </w:rPr>
        <w:t xml:space="preserve">Baseline emissions for a building are the emissions that would have been attributable to the building had the project not occurred. </w:t>
      </w:r>
      <w:r w:rsidR="00286E95" w:rsidRPr="00161FEE">
        <w:rPr>
          <w:rFonts w:ascii="Times New Roman" w:hAnsi="Times New Roman"/>
          <w:sz w:val="24"/>
          <w:szCs w:val="24"/>
        </w:rPr>
        <w:t>Baseline emissions are worked out using data on e</w:t>
      </w:r>
      <w:r w:rsidR="0014011E" w:rsidRPr="00161FEE">
        <w:rPr>
          <w:rFonts w:ascii="Times New Roman" w:hAnsi="Times New Roman"/>
          <w:sz w:val="24"/>
          <w:szCs w:val="24"/>
        </w:rPr>
        <w:t>lectricity and fuel consumption</w:t>
      </w:r>
      <w:r w:rsidR="00581496" w:rsidRPr="00161FEE">
        <w:rPr>
          <w:rFonts w:ascii="Times New Roman" w:hAnsi="Times New Roman"/>
          <w:sz w:val="24"/>
          <w:szCs w:val="24"/>
        </w:rPr>
        <w:t xml:space="preserve"> from</w:t>
      </w:r>
      <w:r w:rsidR="00286E95" w:rsidRPr="00161FEE">
        <w:rPr>
          <w:rFonts w:ascii="Times New Roman" w:hAnsi="Times New Roman"/>
          <w:sz w:val="24"/>
          <w:szCs w:val="24"/>
        </w:rPr>
        <w:t xml:space="preserve"> the </w:t>
      </w:r>
      <w:r w:rsidR="002742B8" w:rsidRPr="00161FEE">
        <w:rPr>
          <w:rFonts w:ascii="Times New Roman" w:hAnsi="Times New Roman"/>
          <w:sz w:val="24"/>
          <w:szCs w:val="24"/>
        </w:rPr>
        <w:t xml:space="preserve">relevant </w:t>
      </w:r>
      <w:r w:rsidR="00286E95" w:rsidRPr="00161FEE">
        <w:rPr>
          <w:rFonts w:ascii="Times New Roman" w:hAnsi="Times New Roman"/>
          <w:sz w:val="24"/>
          <w:szCs w:val="24"/>
        </w:rPr>
        <w:t>NABERS energy reverse calculator for the relevant building type</w:t>
      </w:r>
      <w:r w:rsidR="00EE630A" w:rsidRPr="00161FEE">
        <w:rPr>
          <w:rFonts w:ascii="Times New Roman" w:hAnsi="Times New Roman"/>
          <w:sz w:val="24"/>
          <w:szCs w:val="24"/>
        </w:rPr>
        <w:t>,</w:t>
      </w:r>
      <w:r w:rsidR="00581496" w:rsidRPr="00161FEE">
        <w:rPr>
          <w:rFonts w:ascii="Times New Roman" w:hAnsi="Times New Roman"/>
          <w:sz w:val="24"/>
          <w:szCs w:val="24"/>
        </w:rPr>
        <w:t xml:space="preserve"> based on a range of inputs</w:t>
      </w:r>
      <w:r w:rsidR="00286E95" w:rsidRPr="00161FEE">
        <w:rPr>
          <w:rFonts w:ascii="Times New Roman" w:hAnsi="Times New Roman"/>
          <w:sz w:val="24"/>
          <w:szCs w:val="24"/>
        </w:rPr>
        <w:t xml:space="preserve">. </w:t>
      </w:r>
      <w:r w:rsidR="00581496" w:rsidRPr="00161FEE">
        <w:rPr>
          <w:rFonts w:ascii="Times New Roman" w:hAnsi="Times New Roman"/>
          <w:sz w:val="24"/>
          <w:szCs w:val="24"/>
        </w:rPr>
        <w:t xml:space="preserve">These inputs include the building specifications and the baseline NABERS energy rating. </w:t>
      </w:r>
    </w:p>
    <w:p w:rsidR="00B54BD5" w:rsidRPr="00161FEE" w:rsidRDefault="00B54BD5" w:rsidP="00EF433D">
      <w:pPr>
        <w:spacing w:after="120" w:line="240" w:lineRule="auto"/>
        <w:rPr>
          <w:rFonts w:ascii="Times New Roman" w:hAnsi="Times New Roman"/>
          <w:color w:val="000000"/>
          <w:sz w:val="24"/>
          <w:szCs w:val="24"/>
          <w:u w:val="single"/>
        </w:rPr>
      </w:pPr>
    </w:p>
    <w:p w:rsidR="008A6569" w:rsidRPr="00161FEE" w:rsidRDefault="00D51776" w:rsidP="000D2C8D">
      <w:pPr>
        <w:keepNext/>
        <w:keepLines/>
        <w:spacing w:after="120" w:line="240" w:lineRule="auto"/>
        <w:rPr>
          <w:rFonts w:ascii="Times New Roman" w:hAnsi="Times New Roman"/>
          <w:color w:val="000000"/>
          <w:sz w:val="24"/>
          <w:szCs w:val="24"/>
          <w:u w:val="single"/>
        </w:rPr>
      </w:pPr>
      <w:r w:rsidRPr="00161FEE">
        <w:rPr>
          <w:rFonts w:ascii="Times New Roman" w:hAnsi="Times New Roman"/>
          <w:color w:val="000000"/>
          <w:sz w:val="24"/>
          <w:szCs w:val="24"/>
          <w:u w:val="single"/>
        </w:rPr>
        <w:t>2</w:t>
      </w:r>
      <w:r w:rsidR="00F97BDF" w:rsidRPr="00161FEE">
        <w:rPr>
          <w:rFonts w:ascii="Times New Roman" w:hAnsi="Times New Roman"/>
          <w:color w:val="000000"/>
          <w:sz w:val="24"/>
          <w:szCs w:val="24"/>
          <w:u w:val="single"/>
        </w:rPr>
        <w:t>1</w:t>
      </w:r>
      <w:r w:rsidR="00EF433D" w:rsidRPr="00161FEE">
        <w:rPr>
          <w:rFonts w:ascii="Times New Roman" w:hAnsi="Times New Roman"/>
          <w:color w:val="000000"/>
          <w:sz w:val="24"/>
          <w:szCs w:val="24"/>
          <w:u w:val="single"/>
        </w:rPr>
        <w:tab/>
        <w:t>Baseline emissions for a building</w:t>
      </w:r>
    </w:p>
    <w:p w:rsidR="004E36C6" w:rsidRPr="00161FEE" w:rsidRDefault="004E36C6" w:rsidP="000D2C8D">
      <w:pPr>
        <w:keepNext/>
        <w:keepLines/>
        <w:spacing w:after="120" w:line="240" w:lineRule="auto"/>
        <w:rPr>
          <w:rFonts w:ascii="Times New Roman" w:hAnsi="Times New Roman"/>
          <w:sz w:val="24"/>
          <w:szCs w:val="24"/>
        </w:rPr>
      </w:pPr>
      <w:r w:rsidRPr="00161FEE">
        <w:rPr>
          <w:rFonts w:ascii="Times New Roman" w:hAnsi="Times New Roman"/>
          <w:sz w:val="24"/>
          <w:szCs w:val="24"/>
        </w:rPr>
        <w:t xml:space="preserve">The baseline emissions for a building are calculated using </w:t>
      </w:r>
      <w:r w:rsidRPr="00161FEE">
        <w:rPr>
          <w:rFonts w:ascii="Times New Roman" w:hAnsi="Times New Roman"/>
          <w:b/>
          <w:sz w:val="24"/>
          <w:szCs w:val="24"/>
        </w:rPr>
        <w:t>equation 3</w:t>
      </w:r>
      <w:r w:rsidRPr="00161FEE">
        <w:rPr>
          <w:rFonts w:ascii="Times New Roman" w:hAnsi="Times New Roman"/>
          <w:sz w:val="24"/>
          <w:szCs w:val="24"/>
        </w:rPr>
        <w:t xml:space="preserve">. </w:t>
      </w:r>
    </w:p>
    <w:p w:rsidR="004E36C6" w:rsidRPr="00161FEE" w:rsidRDefault="004E36C6" w:rsidP="000D2C8D">
      <w:pPr>
        <w:keepNext/>
        <w:keepLines/>
        <w:spacing w:after="120" w:line="240" w:lineRule="auto"/>
        <w:rPr>
          <w:rFonts w:ascii="Times New Roman" w:hAnsi="Times New Roman"/>
          <w:sz w:val="24"/>
          <w:szCs w:val="24"/>
        </w:rPr>
      </w:pPr>
      <w:r w:rsidRPr="00161FEE">
        <w:rPr>
          <w:rFonts w:ascii="Times New Roman" w:hAnsi="Times New Roman"/>
          <w:sz w:val="24"/>
          <w:szCs w:val="24"/>
        </w:rPr>
        <w:t>Baseline emissions are estimated with reference to a baseline NABERS energy rating</w:t>
      </w:r>
      <w:r w:rsidR="008F2699" w:rsidRPr="00161FEE">
        <w:rPr>
          <w:rFonts w:ascii="Times New Roman" w:hAnsi="Times New Roman"/>
          <w:sz w:val="24"/>
          <w:szCs w:val="24"/>
        </w:rPr>
        <w:t>, which is an estimat</w:t>
      </w:r>
      <w:r w:rsidR="00A72B61" w:rsidRPr="00161FEE">
        <w:rPr>
          <w:rFonts w:ascii="Times New Roman" w:hAnsi="Times New Roman"/>
          <w:sz w:val="24"/>
          <w:szCs w:val="24"/>
        </w:rPr>
        <w:t>e</w:t>
      </w:r>
      <w:r w:rsidR="008F2699" w:rsidRPr="00161FEE">
        <w:rPr>
          <w:rFonts w:ascii="Times New Roman" w:hAnsi="Times New Roman"/>
          <w:sz w:val="24"/>
          <w:szCs w:val="24"/>
        </w:rPr>
        <w:t xml:space="preserve"> of the</w:t>
      </w:r>
      <w:r w:rsidRPr="00161FEE">
        <w:rPr>
          <w:rFonts w:ascii="Times New Roman" w:hAnsi="Times New Roman"/>
          <w:sz w:val="24"/>
          <w:szCs w:val="24"/>
        </w:rPr>
        <w:t xml:space="preserve"> star rating that would have applied to the building during the measurement period had the project not occurred</w:t>
      </w:r>
      <w:r w:rsidR="002328D9" w:rsidRPr="00161FEE">
        <w:rPr>
          <w:rFonts w:ascii="Times New Roman" w:hAnsi="Times New Roman"/>
          <w:sz w:val="24"/>
          <w:szCs w:val="24"/>
        </w:rPr>
        <w:t xml:space="preserve"> (described in</w:t>
      </w:r>
      <w:r w:rsidR="00982B0B" w:rsidRPr="00161FEE">
        <w:rPr>
          <w:rFonts w:ascii="Times New Roman" w:hAnsi="Times New Roman"/>
          <w:sz w:val="24"/>
          <w:szCs w:val="24"/>
        </w:rPr>
        <w:t xml:space="preserve"> more detail in section </w:t>
      </w:r>
      <w:r w:rsidR="00D51776" w:rsidRPr="00161FEE">
        <w:rPr>
          <w:rFonts w:ascii="Times New Roman" w:hAnsi="Times New Roman"/>
          <w:sz w:val="24"/>
          <w:szCs w:val="24"/>
        </w:rPr>
        <w:t>2</w:t>
      </w:r>
      <w:r w:rsidR="00F97BDF" w:rsidRPr="00161FEE">
        <w:rPr>
          <w:rFonts w:ascii="Times New Roman" w:hAnsi="Times New Roman"/>
          <w:sz w:val="24"/>
          <w:szCs w:val="24"/>
        </w:rPr>
        <w:t>2</w:t>
      </w:r>
      <w:r w:rsidR="002328D9" w:rsidRPr="00161FEE">
        <w:rPr>
          <w:rFonts w:ascii="Times New Roman" w:hAnsi="Times New Roman"/>
          <w:sz w:val="24"/>
          <w:szCs w:val="24"/>
        </w:rPr>
        <w:t>)</w:t>
      </w:r>
      <w:r w:rsidRPr="00161FEE">
        <w:rPr>
          <w:rFonts w:ascii="Times New Roman" w:hAnsi="Times New Roman"/>
          <w:sz w:val="24"/>
          <w:szCs w:val="24"/>
        </w:rPr>
        <w:t xml:space="preserve">. This rating is then used with the </w:t>
      </w:r>
      <w:r w:rsidR="002742B8" w:rsidRPr="00161FEE">
        <w:rPr>
          <w:rFonts w:ascii="Times New Roman" w:hAnsi="Times New Roman"/>
          <w:sz w:val="24"/>
          <w:szCs w:val="24"/>
        </w:rPr>
        <w:t xml:space="preserve">relevant </w:t>
      </w:r>
      <w:r w:rsidR="005006C3" w:rsidRPr="00161FEE">
        <w:rPr>
          <w:rFonts w:ascii="Times New Roman" w:hAnsi="Times New Roman"/>
          <w:sz w:val="24"/>
          <w:szCs w:val="24"/>
        </w:rPr>
        <w:t>NABERS energy reverse c</w:t>
      </w:r>
      <w:r w:rsidRPr="00161FEE">
        <w:rPr>
          <w:rFonts w:ascii="Times New Roman" w:hAnsi="Times New Roman"/>
          <w:sz w:val="24"/>
          <w:szCs w:val="24"/>
        </w:rPr>
        <w:t>alculator to estimate baseline emissions</w:t>
      </w:r>
      <w:r w:rsidR="004E4B0C" w:rsidRPr="00161FEE">
        <w:rPr>
          <w:rFonts w:ascii="Times New Roman" w:hAnsi="Times New Roman"/>
          <w:sz w:val="24"/>
          <w:szCs w:val="24"/>
        </w:rPr>
        <w:t xml:space="preserve"> for the measurement period</w:t>
      </w:r>
      <w:r w:rsidRPr="00161FEE">
        <w:rPr>
          <w:rFonts w:ascii="Times New Roman" w:hAnsi="Times New Roman"/>
          <w:sz w:val="24"/>
          <w:szCs w:val="24"/>
        </w:rPr>
        <w:t>.</w:t>
      </w:r>
    </w:p>
    <w:p w:rsidR="006732A2" w:rsidRPr="00161FEE" w:rsidRDefault="004E36C6" w:rsidP="004E36C6">
      <w:pPr>
        <w:spacing w:after="120" w:line="240" w:lineRule="auto"/>
        <w:rPr>
          <w:rFonts w:ascii="Times New Roman" w:hAnsi="Times New Roman"/>
          <w:sz w:val="24"/>
          <w:szCs w:val="24"/>
        </w:rPr>
      </w:pPr>
      <w:r w:rsidRPr="00161FEE">
        <w:rPr>
          <w:rFonts w:ascii="Times New Roman" w:hAnsi="Times New Roman"/>
          <w:sz w:val="24"/>
          <w:szCs w:val="24"/>
        </w:rPr>
        <w:t xml:space="preserve">The NABERS </w:t>
      </w:r>
      <w:r w:rsidR="005006C3" w:rsidRPr="00161FEE">
        <w:rPr>
          <w:rFonts w:ascii="Times New Roman" w:hAnsi="Times New Roman"/>
          <w:sz w:val="24"/>
          <w:szCs w:val="24"/>
        </w:rPr>
        <w:t xml:space="preserve">energy </w:t>
      </w:r>
      <w:r w:rsidRPr="00161FEE">
        <w:rPr>
          <w:rFonts w:ascii="Times New Roman" w:hAnsi="Times New Roman"/>
          <w:sz w:val="24"/>
          <w:szCs w:val="24"/>
        </w:rPr>
        <w:t>reverse c</w:t>
      </w:r>
      <w:r w:rsidR="006732A2" w:rsidRPr="00161FEE">
        <w:rPr>
          <w:rFonts w:ascii="Times New Roman" w:hAnsi="Times New Roman"/>
          <w:sz w:val="24"/>
          <w:szCs w:val="24"/>
        </w:rPr>
        <w:t xml:space="preserve">alculator determines </w:t>
      </w:r>
      <w:r w:rsidR="00512CC5" w:rsidRPr="00161FEE">
        <w:rPr>
          <w:rFonts w:ascii="Times New Roman" w:hAnsi="Times New Roman"/>
          <w:sz w:val="24"/>
          <w:szCs w:val="24"/>
        </w:rPr>
        <w:t xml:space="preserve">a </w:t>
      </w:r>
      <w:r w:rsidR="006732A2" w:rsidRPr="00161FEE">
        <w:rPr>
          <w:rFonts w:ascii="Times New Roman" w:hAnsi="Times New Roman"/>
          <w:sz w:val="24"/>
          <w:szCs w:val="24"/>
        </w:rPr>
        <w:t>building’s energy use based on a range of inputs. These inputs include a NABERS</w:t>
      </w:r>
      <w:r w:rsidRPr="00161FEE">
        <w:rPr>
          <w:rFonts w:ascii="Times New Roman" w:hAnsi="Times New Roman"/>
          <w:sz w:val="24"/>
          <w:szCs w:val="24"/>
        </w:rPr>
        <w:t xml:space="preserve"> energy</w:t>
      </w:r>
      <w:r w:rsidR="006732A2" w:rsidRPr="00161FEE">
        <w:rPr>
          <w:rFonts w:ascii="Times New Roman" w:hAnsi="Times New Roman"/>
          <w:sz w:val="24"/>
          <w:szCs w:val="24"/>
        </w:rPr>
        <w:t xml:space="preserve"> rating, the building’s </w:t>
      </w:r>
      <w:r w:rsidR="008F2699" w:rsidRPr="00161FEE">
        <w:rPr>
          <w:rFonts w:ascii="Times New Roman" w:hAnsi="Times New Roman"/>
          <w:sz w:val="24"/>
          <w:szCs w:val="24"/>
        </w:rPr>
        <w:t xml:space="preserve">energy </w:t>
      </w:r>
      <w:r w:rsidR="006732A2" w:rsidRPr="00161FEE">
        <w:rPr>
          <w:rFonts w:ascii="Times New Roman" w:hAnsi="Times New Roman"/>
          <w:sz w:val="24"/>
          <w:szCs w:val="24"/>
        </w:rPr>
        <w:t xml:space="preserve">mix, and </w:t>
      </w:r>
      <w:r w:rsidR="00432E81" w:rsidRPr="00161FEE">
        <w:rPr>
          <w:rFonts w:ascii="Times New Roman" w:hAnsi="Times New Roman"/>
          <w:sz w:val="24"/>
          <w:szCs w:val="24"/>
        </w:rPr>
        <w:t>aspects of</w:t>
      </w:r>
      <w:r w:rsidR="008F2699" w:rsidRPr="00161FEE">
        <w:rPr>
          <w:rFonts w:ascii="Times New Roman" w:hAnsi="Times New Roman"/>
          <w:sz w:val="24"/>
          <w:szCs w:val="24"/>
        </w:rPr>
        <w:t xml:space="preserve"> the building configuration that vary by type of commercial building. For example, the hotels NABERS energy reverse calculator requires data on the number of rooms</w:t>
      </w:r>
      <w:r w:rsidR="006D51D5" w:rsidRPr="00161FEE">
        <w:rPr>
          <w:rFonts w:ascii="Times New Roman" w:hAnsi="Times New Roman"/>
          <w:sz w:val="24"/>
          <w:szCs w:val="24"/>
        </w:rPr>
        <w:t xml:space="preserve"> in the hotel, the surface area of heated pools and the number of function room seats. </w:t>
      </w:r>
      <w:r w:rsidR="006732A2" w:rsidRPr="00161FEE">
        <w:rPr>
          <w:rFonts w:ascii="Times New Roman" w:hAnsi="Times New Roman"/>
          <w:sz w:val="24"/>
          <w:szCs w:val="24"/>
        </w:rPr>
        <w:t xml:space="preserve">Other than the NABERS </w:t>
      </w:r>
      <w:r w:rsidRPr="00161FEE">
        <w:rPr>
          <w:rFonts w:ascii="Times New Roman" w:hAnsi="Times New Roman"/>
          <w:sz w:val="24"/>
          <w:szCs w:val="24"/>
        </w:rPr>
        <w:t xml:space="preserve">energy </w:t>
      </w:r>
      <w:r w:rsidR="006732A2" w:rsidRPr="00161FEE">
        <w:rPr>
          <w:rFonts w:ascii="Times New Roman" w:hAnsi="Times New Roman"/>
          <w:sz w:val="24"/>
          <w:szCs w:val="24"/>
        </w:rPr>
        <w:t xml:space="preserve">rating, which will be the </w:t>
      </w:r>
      <w:r w:rsidRPr="00161FEE">
        <w:rPr>
          <w:rFonts w:ascii="Times New Roman" w:hAnsi="Times New Roman"/>
          <w:sz w:val="24"/>
          <w:szCs w:val="24"/>
        </w:rPr>
        <w:t>b</w:t>
      </w:r>
      <w:r w:rsidR="006732A2" w:rsidRPr="00161FEE">
        <w:rPr>
          <w:rFonts w:ascii="Times New Roman" w:hAnsi="Times New Roman"/>
          <w:sz w:val="24"/>
          <w:szCs w:val="24"/>
        </w:rPr>
        <w:t xml:space="preserve">aseline NABERS </w:t>
      </w:r>
      <w:r w:rsidRPr="00161FEE">
        <w:rPr>
          <w:rFonts w:ascii="Times New Roman" w:hAnsi="Times New Roman"/>
          <w:sz w:val="24"/>
          <w:szCs w:val="24"/>
        </w:rPr>
        <w:t>energy r</w:t>
      </w:r>
      <w:r w:rsidR="006732A2" w:rsidRPr="00161FEE">
        <w:rPr>
          <w:rFonts w:ascii="Times New Roman" w:hAnsi="Times New Roman"/>
          <w:sz w:val="24"/>
          <w:szCs w:val="24"/>
        </w:rPr>
        <w:t xml:space="preserve">ating, inputs to the </w:t>
      </w:r>
      <w:r w:rsidRPr="00161FEE">
        <w:rPr>
          <w:rFonts w:ascii="Times New Roman" w:hAnsi="Times New Roman"/>
          <w:sz w:val="24"/>
          <w:szCs w:val="24"/>
        </w:rPr>
        <w:t xml:space="preserve">NABERS </w:t>
      </w:r>
      <w:r w:rsidR="005006C3" w:rsidRPr="00161FEE">
        <w:rPr>
          <w:rFonts w:ascii="Times New Roman" w:hAnsi="Times New Roman"/>
          <w:sz w:val="24"/>
          <w:szCs w:val="24"/>
        </w:rPr>
        <w:t xml:space="preserve">energy </w:t>
      </w:r>
      <w:r w:rsidRPr="00161FEE">
        <w:rPr>
          <w:rFonts w:ascii="Times New Roman" w:hAnsi="Times New Roman"/>
          <w:sz w:val="24"/>
          <w:szCs w:val="24"/>
        </w:rPr>
        <w:t>reverse c</w:t>
      </w:r>
      <w:r w:rsidR="006732A2" w:rsidRPr="00161FEE">
        <w:rPr>
          <w:rFonts w:ascii="Times New Roman" w:hAnsi="Times New Roman"/>
          <w:sz w:val="24"/>
          <w:szCs w:val="24"/>
        </w:rPr>
        <w:t xml:space="preserve">alculator must be consistent with the NABERS </w:t>
      </w:r>
      <w:r w:rsidRPr="00161FEE">
        <w:rPr>
          <w:rFonts w:ascii="Times New Roman" w:hAnsi="Times New Roman"/>
          <w:sz w:val="24"/>
          <w:szCs w:val="24"/>
        </w:rPr>
        <w:t xml:space="preserve">energy </w:t>
      </w:r>
      <w:r w:rsidR="006732A2" w:rsidRPr="00161FEE">
        <w:rPr>
          <w:rFonts w:ascii="Times New Roman" w:hAnsi="Times New Roman"/>
          <w:sz w:val="24"/>
          <w:szCs w:val="24"/>
        </w:rPr>
        <w:t>rating for the measurement period.</w:t>
      </w:r>
    </w:p>
    <w:p w:rsidR="009514B2" w:rsidRPr="00161FEE" w:rsidRDefault="006732A2" w:rsidP="00104C09">
      <w:pPr>
        <w:spacing w:after="120" w:line="240" w:lineRule="auto"/>
        <w:rPr>
          <w:rFonts w:ascii="Times New Roman" w:hAnsi="Times New Roman"/>
          <w:sz w:val="24"/>
          <w:szCs w:val="24"/>
        </w:rPr>
      </w:pPr>
      <w:r w:rsidRPr="00161FEE">
        <w:rPr>
          <w:rFonts w:ascii="Times New Roman" w:hAnsi="Times New Roman"/>
          <w:sz w:val="24"/>
          <w:szCs w:val="24"/>
        </w:rPr>
        <w:t xml:space="preserve">The </w:t>
      </w:r>
      <w:r w:rsidR="004E36C6" w:rsidRPr="00161FEE">
        <w:rPr>
          <w:rFonts w:ascii="Times New Roman" w:hAnsi="Times New Roman"/>
          <w:sz w:val="24"/>
          <w:szCs w:val="24"/>
        </w:rPr>
        <w:t xml:space="preserve">NABERS </w:t>
      </w:r>
      <w:r w:rsidR="005006C3" w:rsidRPr="00161FEE">
        <w:rPr>
          <w:rFonts w:ascii="Times New Roman" w:hAnsi="Times New Roman"/>
          <w:sz w:val="24"/>
          <w:szCs w:val="24"/>
        </w:rPr>
        <w:t xml:space="preserve">energy </w:t>
      </w:r>
      <w:r w:rsidR="004E36C6" w:rsidRPr="00161FEE">
        <w:rPr>
          <w:rFonts w:ascii="Times New Roman" w:hAnsi="Times New Roman"/>
          <w:sz w:val="24"/>
          <w:szCs w:val="24"/>
        </w:rPr>
        <w:t>reverse c</w:t>
      </w:r>
      <w:r w:rsidRPr="00161FEE">
        <w:rPr>
          <w:rFonts w:ascii="Times New Roman" w:hAnsi="Times New Roman"/>
          <w:sz w:val="24"/>
          <w:szCs w:val="24"/>
        </w:rPr>
        <w:t xml:space="preserve">alculator lists fuel </w:t>
      </w:r>
      <w:r w:rsidR="008253E3" w:rsidRPr="00161FEE">
        <w:rPr>
          <w:rFonts w:ascii="Times New Roman" w:hAnsi="Times New Roman"/>
          <w:sz w:val="24"/>
          <w:szCs w:val="24"/>
        </w:rPr>
        <w:t xml:space="preserve">and electricity </w:t>
      </w:r>
      <w:r w:rsidRPr="00161FEE">
        <w:rPr>
          <w:rFonts w:ascii="Times New Roman" w:hAnsi="Times New Roman"/>
          <w:sz w:val="24"/>
          <w:szCs w:val="24"/>
        </w:rPr>
        <w:t xml:space="preserve">consumption by energy type. </w:t>
      </w:r>
      <w:r w:rsidR="008253E3" w:rsidRPr="00161FEE">
        <w:rPr>
          <w:rFonts w:ascii="Times New Roman" w:hAnsi="Times New Roman"/>
          <w:sz w:val="24"/>
          <w:szCs w:val="24"/>
        </w:rPr>
        <w:t>F</w:t>
      </w:r>
      <w:r w:rsidRPr="00161FEE">
        <w:rPr>
          <w:rFonts w:ascii="Times New Roman" w:hAnsi="Times New Roman"/>
          <w:sz w:val="24"/>
          <w:szCs w:val="24"/>
        </w:rPr>
        <w:t>uel consumption values are multiplied by the appropriate emissions factors</w:t>
      </w:r>
      <w:r w:rsidR="00C40E96" w:rsidRPr="00161FEE">
        <w:rPr>
          <w:rFonts w:ascii="Times New Roman" w:hAnsi="Times New Roman"/>
          <w:sz w:val="24"/>
          <w:szCs w:val="24"/>
        </w:rPr>
        <w:t xml:space="preserve"> in Schedule 1 to the </w:t>
      </w:r>
      <w:r w:rsidR="00C40E96" w:rsidRPr="00161FEE">
        <w:rPr>
          <w:rFonts w:ascii="Times New Roman" w:hAnsi="Times New Roman"/>
          <w:i/>
          <w:sz w:val="24"/>
          <w:szCs w:val="24"/>
        </w:rPr>
        <w:t>NGER (Measurement) Determination</w:t>
      </w:r>
      <w:r w:rsidR="007213B9" w:rsidRPr="00161FEE">
        <w:rPr>
          <w:rFonts w:ascii="Times New Roman" w:hAnsi="Times New Roman"/>
          <w:sz w:val="24"/>
          <w:szCs w:val="24"/>
        </w:rPr>
        <w:t xml:space="preserve"> to calculate</w:t>
      </w:r>
      <w:r w:rsidRPr="00161FEE">
        <w:rPr>
          <w:rFonts w:ascii="Times New Roman" w:hAnsi="Times New Roman"/>
          <w:sz w:val="24"/>
          <w:szCs w:val="24"/>
        </w:rPr>
        <w:t xml:space="preserve"> emissions in tonnes CO</w:t>
      </w:r>
      <w:r w:rsidRPr="00161FEE">
        <w:rPr>
          <w:rFonts w:ascii="Times New Roman" w:hAnsi="Times New Roman"/>
          <w:sz w:val="24"/>
          <w:szCs w:val="24"/>
          <w:vertAlign w:val="subscript"/>
        </w:rPr>
        <w:t>2</w:t>
      </w:r>
      <w:r w:rsidR="005E58BD" w:rsidRPr="00161FEE">
        <w:rPr>
          <w:rFonts w:ascii="Times New Roman" w:hAnsi="Times New Roman"/>
          <w:sz w:val="24"/>
          <w:szCs w:val="24"/>
        </w:rPr>
        <w:noBreakHyphen/>
      </w:r>
      <w:r w:rsidRPr="00161FEE">
        <w:rPr>
          <w:rFonts w:ascii="Times New Roman" w:hAnsi="Times New Roman"/>
          <w:sz w:val="24"/>
          <w:szCs w:val="24"/>
        </w:rPr>
        <w:t xml:space="preserve">e. </w:t>
      </w:r>
    </w:p>
    <w:p w:rsidR="00D63FC3" w:rsidRPr="00161FEE" w:rsidRDefault="009514B2" w:rsidP="00104C09">
      <w:pPr>
        <w:spacing w:after="120" w:line="240" w:lineRule="auto"/>
        <w:rPr>
          <w:rFonts w:ascii="Times New Roman" w:hAnsi="Times New Roman"/>
          <w:color w:val="000000"/>
          <w:sz w:val="24"/>
          <w:szCs w:val="24"/>
        </w:rPr>
      </w:pPr>
      <w:r w:rsidRPr="00161FEE">
        <w:rPr>
          <w:rFonts w:ascii="Times New Roman" w:hAnsi="Times New Roman"/>
          <w:color w:val="000000"/>
          <w:sz w:val="24"/>
          <w:szCs w:val="24"/>
        </w:rPr>
        <w:lastRenderedPageBreak/>
        <w:t>The electricity emissions factor to be used refers to scope 2 emissions and is to be taken</w:t>
      </w:r>
      <w:r w:rsidRPr="00161FEE">
        <w:rPr>
          <w:rFonts w:ascii="Times New Roman" w:hAnsi="Times New Roman"/>
          <w:sz w:val="24"/>
          <w:szCs w:val="24"/>
        </w:rPr>
        <w:t xml:space="preserve"> from the </w:t>
      </w:r>
      <w:r w:rsidR="00BE366C" w:rsidRPr="00161FEE">
        <w:rPr>
          <w:rFonts w:ascii="Times New Roman" w:hAnsi="Times New Roman"/>
          <w:color w:val="000000"/>
          <w:sz w:val="24"/>
          <w:szCs w:val="24"/>
        </w:rPr>
        <w:t xml:space="preserve">NGA </w:t>
      </w:r>
      <w:r w:rsidRPr="00161FEE">
        <w:rPr>
          <w:rFonts w:ascii="Times New Roman" w:hAnsi="Times New Roman"/>
          <w:color w:val="000000"/>
          <w:sz w:val="24"/>
          <w:szCs w:val="24"/>
        </w:rPr>
        <w:t xml:space="preserve">Factors document published by the Department from time to time. </w:t>
      </w:r>
      <w:r w:rsidR="009737F6" w:rsidRPr="00161FEE">
        <w:rPr>
          <w:rFonts w:ascii="Times New Roman" w:hAnsi="Times New Roman"/>
          <w:sz w:val="24"/>
          <w:szCs w:val="24"/>
        </w:rPr>
        <w:t xml:space="preserve">If the building is connected to an electricity grid </w:t>
      </w:r>
      <w:r w:rsidRPr="00161FEE">
        <w:rPr>
          <w:rFonts w:ascii="Times New Roman" w:hAnsi="Times New Roman"/>
          <w:sz w:val="24"/>
          <w:szCs w:val="24"/>
        </w:rPr>
        <w:t>for which there is a</w:t>
      </w:r>
      <w:r w:rsidR="00D63FC3" w:rsidRPr="00161FEE">
        <w:rPr>
          <w:rFonts w:ascii="Times New Roman" w:hAnsi="Times New Roman"/>
          <w:sz w:val="24"/>
          <w:szCs w:val="24"/>
        </w:rPr>
        <w:t>n emissions</w:t>
      </w:r>
      <w:r w:rsidRPr="00161FEE">
        <w:rPr>
          <w:rFonts w:ascii="Times New Roman" w:hAnsi="Times New Roman"/>
          <w:sz w:val="24"/>
          <w:szCs w:val="24"/>
        </w:rPr>
        <w:t xml:space="preserve"> factor </w:t>
      </w:r>
      <w:r w:rsidR="009737F6" w:rsidRPr="00161FEE">
        <w:rPr>
          <w:rFonts w:ascii="Times New Roman" w:hAnsi="Times New Roman"/>
          <w:sz w:val="24"/>
          <w:szCs w:val="24"/>
        </w:rPr>
        <w:t xml:space="preserve">included in the </w:t>
      </w:r>
      <w:r w:rsidR="009737F6" w:rsidRPr="00161FEE">
        <w:rPr>
          <w:rFonts w:ascii="Times New Roman" w:hAnsi="Times New Roman"/>
          <w:color w:val="000000"/>
          <w:sz w:val="24"/>
          <w:szCs w:val="24"/>
        </w:rPr>
        <w:t xml:space="preserve">NGA Factors </w:t>
      </w:r>
      <w:r w:rsidR="00D63FC3" w:rsidRPr="00161FEE">
        <w:rPr>
          <w:rFonts w:ascii="Times New Roman" w:hAnsi="Times New Roman"/>
          <w:color w:val="000000"/>
          <w:sz w:val="24"/>
          <w:szCs w:val="24"/>
        </w:rPr>
        <w:t>document</w:t>
      </w:r>
      <w:r w:rsidR="009737F6" w:rsidRPr="00161FEE">
        <w:rPr>
          <w:rFonts w:ascii="Times New Roman" w:hAnsi="Times New Roman"/>
          <w:color w:val="000000"/>
          <w:sz w:val="24"/>
          <w:szCs w:val="24"/>
        </w:rPr>
        <w:t xml:space="preserve">, then </w:t>
      </w:r>
      <w:r w:rsidR="00D63FC3" w:rsidRPr="00161FEE">
        <w:rPr>
          <w:rFonts w:ascii="Times New Roman" w:hAnsi="Times New Roman"/>
          <w:color w:val="000000"/>
          <w:sz w:val="24"/>
          <w:szCs w:val="24"/>
        </w:rPr>
        <w:t>proponents will apply that</w:t>
      </w:r>
      <w:r w:rsidR="009737F6" w:rsidRPr="00161FEE">
        <w:rPr>
          <w:rFonts w:ascii="Times New Roman" w:hAnsi="Times New Roman"/>
          <w:color w:val="000000"/>
          <w:sz w:val="24"/>
          <w:szCs w:val="24"/>
        </w:rPr>
        <w:t xml:space="preserve"> emissions factor</w:t>
      </w:r>
      <w:r w:rsidR="00752C82" w:rsidRPr="00161FEE">
        <w:rPr>
          <w:rFonts w:ascii="Times New Roman" w:hAnsi="Times New Roman"/>
          <w:color w:val="000000"/>
          <w:sz w:val="24"/>
          <w:szCs w:val="24"/>
        </w:rPr>
        <w:t xml:space="preserve"> from the </w:t>
      </w:r>
      <w:r w:rsidR="00512CC5" w:rsidRPr="00161FEE">
        <w:rPr>
          <w:rFonts w:ascii="Times New Roman" w:hAnsi="Times New Roman"/>
          <w:color w:val="000000"/>
          <w:sz w:val="24"/>
          <w:szCs w:val="24"/>
        </w:rPr>
        <w:t xml:space="preserve">version of the </w:t>
      </w:r>
      <w:r w:rsidR="00752C82" w:rsidRPr="00161FEE">
        <w:rPr>
          <w:rFonts w:ascii="Times New Roman" w:hAnsi="Times New Roman"/>
          <w:color w:val="000000"/>
          <w:sz w:val="24"/>
          <w:szCs w:val="24"/>
        </w:rPr>
        <w:t>NGA Factors document</w:t>
      </w:r>
      <w:r w:rsidR="00D63FC3" w:rsidRPr="00161FEE">
        <w:rPr>
          <w:rFonts w:ascii="Times New Roman" w:hAnsi="Times New Roman"/>
          <w:color w:val="000000"/>
          <w:sz w:val="24"/>
          <w:szCs w:val="24"/>
        </w:rPr>
        <w:t xml:space="preserve"> in force on the day the project is declared an eligible offsets project.</w:t>
      </w:r>
      <w:r w:rsidR="009737F6" w:rsidRPr="00161FEE">
        <w:rPr>
          <w:rFonts w:ascii="Times New Roman" w:hAnsi="Times New Roman"/>
          <w:color w:val="000000"/>
          <w:sz w:val="24"/>
          <w:szCs w:val="24"/>
        </w:rPr>
        <w:t xml:space="preserve"> </w:t>
      </w:r>
      <w:r w:rsidR="009737F6" w:rsidRPr="00161FEE">
        <w:rPr>
          <w:rFonts w:ascii="Times New Roman" w:hAnsi="Times New Roman"/>
          <w:sz w:val="24"/>
          <w:szCs w:val="24"/>
        </w:rPr>
        <w:t xml:space="preserve">If the building is not connected to </w:t>
      </w:r>
      <w:r w:rsidR="00F54030" w:rsidRPr="00161FEE">
        <w:rPr>
          <w:rFonts w:ascii="Times New Roman" w:hAnsi="Times New Roman"/>
          <w:sz w:val="24"/>
          <w:szCs w:val="24"/>
        </w:rPr>
        <w:t>one of the</w:t>
      </w:r>
      <w:r w:rsidR="009737F6" w:rsidRPr="00161FEE">
        <w:rPr>
          <w:rFonts w:ascii="Times New Roman" w:hAnsi="Times New Roman"/>
          <w:sz w:val="24"/>
          <w:szCs w:val="24"/>
        </w:rPr>
        <w:t xml:space="preserve"> electricity grid</w:t>
      </w:r>
      <w:r w:rsidR="00781AF2" w:rsidRPr="00161FEE">
        <w:rPr>
          <w:rFonts w:ascii="Times New Roman" w:hAnsi="Times New Roman"/>
          <w:sz w:val="24"/>
          <w:szCs w:val="24"/>
        </w:rPr>
        <w:t>s</w:t>
      </w:r>
      <w:r w:rsidR="009737F6" w:rsidRPr="00161FEE">
        <w:rPr>
          <w:rFonts w:ascii="Times New Roman" w:hAnsi="Times New Roman"/>
          <w:sz w:val="24"/>
          <w:szCs w:val="24"/>
        </w:rPr>
        <w:t xml:space="preserve"> </w:t>
      </w:r>
      <w:r w:rsidR="00F54030" w:rsidRPr="00161FEE">
        <w:rPr>
          <w:rFonts w:ascii="Times New Roman" w:hAnsi="Times New Roman"/>
          <w:sz w:val="24"/>
          <w:szCs w:val="24"/>
        </w:rPr>
        <w:t xml:space="preserve">for which </w:t>
      </w:r>
      <w:r w:rsidR="00781AF2" w:rsidRPr="00161FEE">
        <w:rPr>
          <w:rFonts w:ascii="Times New Roman" w:hAnsi="Times New Roman"/>
          <w:sz w:val="24"/>
          <w:szCs w:val="24"/>
        </w:rPr>
        <w:t xml:space="preserve">emissions factors are </w:t>
      </w:r>
      <w:r w:rsidR="009737F6" w:rsidRPr="00161FEE">
        <w:rPr>
          <w:rFonts w:ascii="Times New Roman" w:hAnsi="Times New Roman"/>
          <w:sz w:val="24"/>
          <w:szCs w:val="24"/>
        </w:rPr>
        <w:t xml:space="preserve">included in the </w:t>
      </w:r>
      <w:r w:rsidR="009737F6" w:rsidRPr="00161FEE">
        <w:rPr>
          <w:rFonts w:ascii="Times New Roman" w:hAnsi="Times New Roman"/>
          <w:color w:val="000000"/>
          <w:sz w:val="24"/>
          <w:szCs w:val="24"/>
        </w:rPr>
        <w:t xml:space="preserve">NGA Factors document, </w:t>
      </w:r>
      <w:r w:rsidR="00104C09" w:rsidRPr="00161FEE">
        <w:rPr>
          <w:rFonts w:ascii="Times New Roman" w:hAnsi="Times New Roman"/>
          <w:color w:val="000000"/>
          <w:sz w:val="24"/>
          <w:szCs w:val="24"/>
        </w:rPr>
        <w:t>then the pro</w:t>
      </w:r>
      <w:r w:rsidR="00752C82" w:rsidRPr="00161FEE">
        <w:rPr>
          <w:rFonts w:ascii="Times New Roman" w:hAnsi="Times New Roman"/>
          <w:color w:val="000000"/>
          <w:sz w:val="24"/>
          <w:szCs w:val="24"/>
        </w:rPr>
        <w:t>ponent</w:t>
      </w:r>
      <w:r w:rsidR="00104C09" w:rsidRPr="00161FEE">
        <w:rPr>
          <w:rFonts w:ascii="Times New Roman" w:hAnsi="Times New Roman"/>
          <w:color w:val="000000"/>
          <w:sz w:val="24"/>
          <w:szCs w:val="24"/>
        </w:rPr>
        <w:t xml:space="preserve"> </w:t>
      </w:r>
      <w:r w:rsidR="00752C82" w:rsidRPr="00161FEE">
        <w:rPr>
          <w:rFonts w:ascii="Times New Roman" w:hAnsi="Times New Roman"/>
          <w:color w:val="000000"/>
          <w:sz w:val="24"/>
          <w:szCs w:val="24"/>
        </w:rPr>
        <w:t xml:space="preserve">will </w:t>
      </w:r>
      <w:r w:rsidR="00104C09" w:rsidRPr="00161FEE">
        <w:rPr>
          <w:rFonts w:ascii="Times New Roman" w:hAnsi="Times New Roman"/>
          <w:color w:val="000000"/>
          <w:sz w:val="24"/>
          <w:szCs w:val="24"/>
        </w:rPr>
        <w:t xml:space="preserve">apply </w:t>
      </w:r>
      <w:r w:rsidR="008F2699" w:rsidRPr="00161FEE">
        <w:rPr>
          <w:rFonts w:ascii="Times New Roman" w:hAnsi="Times New Roman"/>
          <w:color w:val="000000"/>
          <w:sz w:val="24"/>
          <w:szCs w:val="24"/>
        </w:rPr>
        <w:t>the</w:t>
      </w:r>
      <w:r w:rsidR="00104C09" w:rsidRPr="00161FEE">
        <w:rPr>
          <w:rFonts w:ascii="Times New Roman" w:hAnsi="Times New Roman"/>
          <w:color w:val="000000"/>
          <w:sz w:val="24"/>
          <w:szCs w:val="24"/>
        </w:rPr>
        <w:t xml:space="preserve"> factor for off-grid electricity</w:t>
      </w:r>
      <w:r w:rsidR="007213B9" w:rsidRPr="00161FEE">
        <w:rPr>
          <w:rFonts w:ascii="Times New Roman" w:hAnsi="Times New Roman"/>
          <w:color w:val="000000"/>
          <w:sz w:val="24"/>
          <w:szCs w:val="24"/>
        </w:rPr>
        <w:t xml:space="preserve"> published in the NGA Factors document. </w:t>
      </w:r>
      <w:r w:rsidR="00C4191B">
        <w:rPr>
          <w:rFonts w:ascii="Times New Roman" w:hAnsi="Times New Roman"/>
          <w:color w:val="000000"/>
          <w:sz w:val="24"/>
          <w:szCs w:val="24"/>
        </w:rPr>
        <w:t>The NGA Factors document will clearly identify the table of emissions factors relevant to this definition.</w:t>
      </w:r>
    </w:p>
    <w:p w:rsidR="00540FF4" w:rsidRPr="00161FEE" w:rsidRDefault="00D63FC3" w:rsidP="00EF433D">
      <w:p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The electricity emissions factor to be used</w:t>
      </w:r>
      <w:r w:rsidR="00781AF2" w:rsidRPr="00161FEE">
        <w:rPr>
          <w:rFonts w:ascii="Times New Roman" w:hAnsi="Times New Roman"/>
          <w:color w:val="000000"/>
          <w:sz w:val="24"/>
          <w:szCs w:val="24"/>
        </w:rPr>
        <w:t xml:space="preserve"> in the calculation of the net abatement amount is determined by the grid the building is connected to</w:t>
      </w:r>
      <w:r w:rsidR="00A30C59" w:rsidRPr="00161FEE">
        <w:rPr>
          <w:rFonts w:ascii="Times New Roman" w:hAnsi="Times New Roman"/>
          <w:color w:val="000000"/>
          <w:sz w:val="24"/>
          <w:szCs w:val="24"/>
        </w:rPr>
        <w:t>, not the specific source of the electricity being considered</w:t>
      </w:r>
      <w:r w:rsidR="00781AF2" w:rsidRPr="00161FEE">
        <w:rPr>
          <w:rFonts w:ascii="Times New Roman" w:hAnsi="Times New Roman"/>
          <w:color w:val="000000"/>
          <w:sz w:val="24"/>
          <w:szCs w:val="24"/>
        </w:rPr>
        <w:t>. This means</w:t>
      </w:r>
      <w:r w:rsidR="00A30C59" w:rsidRPr="00161FEE">
        <w:rPr>
          <w:rFonts w:ascii="Times New Roman" w:hAnsi="Times New Roman"/>
          <w:color w:val="000000"/>
          <w:sz w:val="24"/>
          <w:szCs w:val="24"/>
        </w:rPr>
        <w:t xml:space="preserve"> </w:t>
      </w:r>
      <w:r w:rsidR="009737F6" w:rsidRPr="00161FEE">
        <w:rPr>
          <w:rFonts w:ascii="Times New Roman" w:hAnsi="Times New Roman"/>
          <w:color w:val="000000"/>
          <w:sz w:val="24"/>
          <w:szCs w:val="24"/>
        </w:rPr>
        <w:t>that the same emission</w:t>
      </w:r>
      <w:r w:rsidR="00BA7534" w:rsidRPr="00161FEE">
        <w:rPr>
          <w:rFonts w:ascii="Times New Roman" w:hAnsi="Times New Roman"/>
          <w:color w:val="000000"/>
          <w:sz w:val="24"/>
          <w:szCs w:val="24"/>
        </w:rPr>
        <w:t>s</w:t>
      </w:r>
      <w:r w:rsidR="009737F6" w:rsidRPr="00161FEE">
        <w:rPr>
          <w:rFonts w:ascii="Times New Roman" w:hAnsi="Times New Roman"/>
          <w:color w:val="000000"/>
          <w:sz w:val="24"/>
          <w:szCs w:val="24"/>
        </w:rPr>
        <w:t xml:space="preserve"> factor </w:t>
      </w:r>
      <w:r w:rsidR="00781AF2" w:rsidRPr="00161FEE">
        <w:rPr>
          <w:rFonts w:ascii="Times New Roman" w:hAnsi="Times New Roman"/>
          <w:color w:val="000000"/>
          <w:sz w:val="24"/>
          <w:szCs w:val="24"/>
        </w:rPr>
        <w:t>is</w:t>
      </w:r>
      <w:r w:rsidR="009737F6" w:rsidRPr="00161FEE">
        <w:rPr>
          <w:rFonts w:ascii="Times New Roman" w:hAnsi="Times New Roman"/>
          <w:color w:val="000000"/>
          <w:sz w:val="24"/>
          <w:szCs w:val="24"/>
        </w:rPr>
        <w:t xml:space="preserve"> used to calculate baseline emissions, project emissions and emissions </w:t>
      </w:r>
      <w:r w:rsidR="004B25F2" w:rsidRPr="00161FEE">
        <w:rPr>
          <w:rFonts w:ascii="Times New Roman" w:hAnsi="Times New Roman"/>
          <w:color w:val="000000"/>
          <w:sz w:val="24"/>
          <w:szCs w:val="24"/>
        </w:rPr>
        <w:t>corresponding to</w:t>
      </w:r>
      <w:r w:rsidR="00DE4323" w:rsidRPr="00161FEE">
        <w:rPr>
          <w:rFonts w:ascii="Times New Roman" w:hAnsi="Times New Roman"/>
          <w:color w:val="000000"/>
          <w:sz w:val="24"/>
          <w:szCs w:val="24"/>
        </w:rPr>
        <w:t xml:space="preserve"> renewable</w:t>
      </w:r>
      <w:r w:rsidR="009737F6" w:rsidRPr="00161FEE">
        <w:rPr>
          <w:rFonts w:ascii="Times New Roman" w:hAnsi="Times New Roman"/>
          <w:color w:val="000000"/>
          <w:sz w:val="24"/>
          <w:szCs w:val="24"/>
        </w:rPr>
        <w:t xml:space="preserve"> electricity generated</w:t>
      </w:r>
      <w:r w:rsidR="00DE4323" w:rsidRPr="00161FEE">
        <w:rPr>
          <w:rFonts w:ascii="Times New Roman" w:hAnsi="Times New Roman"/>
          <w:color w:val="000000"/>
          <w:sz w:val="24"/>
          <w:szCs w:val="24"/>
        </w:rPr>
        <w:t xml:space="preserve"> and consumed</w:t>
      </w:r>
      <w:r w:rsidR="009737F6" w:rsidRPr="00161FEE">
        <w:rPr>
          <w:rFonts w:ascii="Times New Roman" w:hAnsi="Times New Roman"/>
          <w:color w:val="000000"/>
          <w:sz w:val="24"/>
          <w:szCs w:val="24"/>
        </w:rPr>
        <w:t xml:space="preserve"> onsite. </w:t>
      </w:r>
    </w:p>
    <w:p w:rsidR="00802F27" w:rsidRPr="00161FEE" w:rsidRDefault="00802F27" w:rsidP="00EF433D">
      <w:pPr>
        <w:spacing w:after="120" w:line="240" w:lineRule="auto"/>
        <w:rPr>
          <w:rFonts w:ascii="Times New Roman" w:hAnsi="Times New Roman"/>
          <w:color w:val="000000"/>
          <w:sz w:val="24"/>
          <w:szCs w:val="24"/>
          <w:u w:val="single"/>
        </w:rPr>
      </w:pPr>
    </w:p>
    <w:p w:rsidR="00C62B8D" w:rsidRPr="00161FEE" w:rsidRDefault="00D51776" w:rsidP="00EF433D">
      <w:pPr>
        <w:spacing w:after="120" w:line="240" w:lineRule="auto"/>
        <w:rPr>
          <w:rFonts w:ascii="Times New Roman" w:hAnsi="Times New Roman"/>
          <w:color w:val="000000"/>
          <w:sz w:val="24"/>
          <w:szCs w:val="24"/>
          <w:u w:val="single"/>
        </w:rPr>
      </w:pPr>
      <w:r w:rsidRPr="00161FEE">
        <w:rPr>
          <w:rFonts w:ascii="Times New Roman" w:hAnsi="Times New Roman"/>
          <w:color w:val="000000"/>
          <w:sz w:val="24"/>
          <w:szCs w:val="24"/>
          <w:u w:val="single"/>
        </w:rPr>
        <w:t>2</w:t>
      </w:r>
      <w:r w:rsidR="00F97BDF" w:rsidRPr="00161FEE">
        <w:rPr>
          <w:rFonts w:ascii="Times New Roman" w:hAnsi="Times New Roman"/>
          <w:color w:val="000000"/>
          <w:sz w:val="24"/>
          <w:szCs w:val="24"/>
          <w:u w:val="single"/>
        </w:rPr>
        <w:t>2</w:t>
      </w:r>
      <w:r w:rsidR="00EF433D" w:rsidRPr="00161FEE">
        <w:rPr>
          <w:rFonts w:ascii="Times New Roman" w:hAnsi="Times New Roman"/>
          <w:color w:val="000000"/>
          <w:sz w:val="24"/>
          <w:szCs w:val="24"/>
          <w:u w:val="single"/>
        </w:rPr>
        <w:tab/>
        <w:t>Baseline NABERS energy rating for a building</w:t>
      </w:r>
    </w:p>
    <w:p w:rsidR="002B7D46" w:rsidRPr="00161FEE" w:rsidRDefault="002B7D46" w:rsidP="00510EB0">
      <w:pPr>
        <w:pStyle w:val="Definition0"/>
        <w:spacing w:before="0" w:after="120"/>
        <w:ind w:left="0"/>
        <w:rPr>
          <w:color w:val="000000"/>
          <w:sz w:val="24"/>
          <w:szCs w:val="24"/>
          <w:lang w:eastAsia="en-US"/>
        </w:rPr>
      </w:pPr>
      <w:r w:rsidRPr="00161FEE">
        <w:rPr>
          <w:color w:val="000000"/>
          <w:sz w:val="24"/>
          <w:szCs w:val="24"/>
          <w:lang w:eastAsia="en-US"/>
        </w:rPr>
        <w:t xml:space="preserve">The baseline NABERS energy rating for a building in a measurement period is calculated using </w:t>
      </w:r>
      <w:r w:rsidRPr="00161FEE">
        <w:rPr>
          <w:b/>
          <w:color w:val="000000"/>
          <w:sz w:val="24"/>
          <w:szCs w:val="24"/>
          <w:lang w:eastAsia="en-US"/>
        </w:rPr>
        <w:t>equation 4</w:t>
      </w:r>
      <w:r w:rsidRPr="00161FEE">
        <w:rPr>
          <w:color w:val="000000"/>
          <w:sz w:val="24"/>
          <w:szCs w:val="24"/>
          <w:lang w:eastAsia="en-US"/>
        </w:rPr>
        <w:t xml:space="preserve">. </w:t>
      </w:r>
    </w:p>
    <w:p w:rsidR="00BB6FBE" w:rsidRPr="00161FEE" w:rsidRDefault="00C62B8D" w:rsidP="003D275F">
      <w:pPr>
        <w:pStyle w:val="Definition0"/>
        <w:spacing w:before="0" w:after="120"/>
        <w:ind w:left="0"/>
        <w:rPr>
          <w:color w:val="000000"/>
          <w:sz w:val="24"/>
          <w:szCs w:val="24"/>
          <w:lang w:eastAsia="en-US"/>
        </w:rPr>
      </w:pPr>
      <w:r w:rsidRPr="00161FEE">
        <w:rPr>
          <w:color w:val="000000"/>
          <w:sz w:val="24"/>
          <w:szCs w:val="24"/>
          <w:lang w:eastAsia="en-US"/>
        </w:rPr>
        <w:t>Th</w:t>
      </w:r>
      <w:r w:rsidR="00300518" w:rsidRPr="00161FEE">
        <w:rPr>
          <w:color w:val="000000"/>
          <w:sz w:val="24"/>
          <w:szCs w:val="24"/>
          <w:lang w:eastAsia="en-US"/>
        </w:rPr>
        <w:t xml:space="preserve">is calculation </w:t>
      </w:r>
      <w:r w:rsidR="00116254" w:rsidRPr="00161FEE">
        <w:rPr>
          <w:color w:val="000000"/>
          <w:sz w:val="24"/>
          <w:szCs w:val="24"/>
          <w:lang w:eastAsia="en-US"/>
        </w:rPr>
        <w:t>derives the baseline NABERS energy rating from the</w:t>
      </w:r>
      <w:r w:rsidRPr="00161FEE">
        <w:rPr>
          <w:color w:val="000000"/>
          <w:sz w:val="24"/>
          <w:szCs w:val="24"/>
          <w:lang w:eastAsia="en-US"/>
        </w:rPr>
        <w:t xml:space="preserve"> previous NABERS </w:t>
      </w:r>
      <w:r w:rsidR="00116254" w:rsidRPr="00161FEE">
        <w:rPr>
          <w:color w:val="000000"/>
          <w:sz w:val="24"/>
          <w:szCs w:val="24"/>
          <w:lang w:eastAsia="en-US"/>
        </w:rPr>
        <w:t xml:space="preserve">energy </w:t>
      </w:r>
      <w:r w:rsidRPr="00161FEE">
        <w:rPr>
          <w:color w:val="000000"/>
          <w:sz w:val="24"/>
          <w:szCs w:val="24"/>
          <w:lang w:eastAsia="en-US"/>
        </w:rPr>
        <w:t xml:space="preserve">rating. </w:t>
      </w:r>
      <w:r w:rsidR="00BB6FBE" w:rsidRPr="00161FEE">
        <w:rPr>
          <w:color w:val="000000"/>
          <w:sz w:val="24"/>
          <w:szCs w:val="24"/>
          <w:lang w:eastAsia="en-US"/>
        </w:rPr>
        <w:t xml:space="preserve">A number of restrictions are placed on the use of a previous </w:t>
      </w:r>
      <w:r w:rsidR="007375A2" w:rsidRPr="00161FEE">
        <w:rPr>
          <w:color w:val="000000"/>
          <w:sz w:val="24"/>
          <w:szCs w:val="24"/>
          <w:lang w:eastAsia="en-US"/>
        </w:rPr>
        <w:t xml:space="preserve">NABERS energy </w:t>
      </w:r>
      <w:r w:rsidR="00BB6FBE" w:rsidRPr="00161FEE">
        <w:rPr>
          <w:color w:val="000000"/>
          <w:sz w:val="24"/>
          <w:szCs w:val="24"/>
          <w:lang w:eastAsia="en-US"/>
        </w:rPr>
        <w:t xml:space="preserve">rating to </w:t>
      </w:r>
      <w:r w:rsidR="004B1940" w:rsidRPr="00161FEE">
        <w:rPr>
          <w:color w:val="000000"/>
          <w:sz w:val="24"/>
          <w:szCs w:val="24"/>
          <w:lang w:eastAsia="en-US"/>
        </w:rPr>
        <w:t xml:space="preserve">help </w:t>
      </w:r>
      <w:r w:rsidR="00BB6FBE" w:rsidRPr="00161FEE">
        <w:rPr>
          <w:color w:val="000000"/>
          <w:sz w:val="24"/>
          <w:szCs w:val="24"/>
          <w:lang w:eastAsia="en-US"/>
        </w:rPr>
        <w:t>ensure that it is a robust basis for establishing baseline emissions</w:t>
      </w:r>
      <w:r w:rsidR="00463114">
        <w:rPr>
          <w:color w:val="000000"/>
          <w:sz w:val="24"/>
          <w:szCs w:val="24"/>
          <w:lang w:eastAsia="en-US"/>
        </w:rPr>
        <w:t>.</w:t>
      </w:r>
      <w:r w:rsidR="00BB6FBE" w:rsidRPr="00161FEE">
        <w:rPr>
          <w:color w:val="000000"/>
          <w:sz w:val="24"/>
          <w:szCs w:val="24"/>
          <w:lang w:eastAsia="en-US"/>
        </w:rPr>
        <w:t xml:space="preserve"> </w:t>
      </w:r>
      <w:r w:rsidR="00463114">
        <w:rPr>
          <w:color w:val="000000"/>
          <w:sz w:val="24"/>
          <w:szCs w:val="24"/>
          <w:lang w:eastAsia="en-US"/>
        </w:rPr>
        <w:t>T</w:t>
      </w:r>
      <w:r w:rsidR="00BB6FBE" w:rsidRPr="00161FEE">
        <w:rPr>
          <w:color w:val="000000"/>
          <w:sz w:val="24"/>
          <w:szCs w:val="24"/>
          <w:lang w:eastAsia="en-US"/>
        </w:rPr>
        <w:t xml:space="preserve">hese are described in more detail in </w:t>
      </w:r>
      <w:r w:rsidR="007375A2" w:rsidRPr="00161FEE">
        <w:rPr>
          <w:color w:val="000000"/>
          <w:sz w:val="24"/>
          <w:szCs w:val="24"/>
          <w:lang w:eastAsia="en-US"/>
        </w:rPr>
        <w:t>the discussion of</w:t>
      </w:r>
      <w:r w:rsidR="00BB6FBE" w:rsidRPr="00161FEE">
        <w:rPr>
          <w:color w:val="000000"/>
          <w:sz w:val="24"/>
          <w:szCs w:val="24"/>
          <w:lang w:eastAsia="en-US"/>
        </w:rPr>
        <w:t xml:space="preserve"> section </w:t>
      </w:r>
      <w:r w:rsidR="00D51776" w:rsidRPr="00161FEE">
        <w:rPr>
          <w:color w:val="000000"/>
          <w:sz w:val="24"/>
          <w:szCs w:val="24"/>
          <w:lang w:eastAsia="en-US"/>
        </w:rPr>
        <w:t>1</w:t>
      </w:r>
      <w:r w:rsidR="00BC3EF9" w:rsidRPr="00161FEE">
        <w:rPr>
          <w:color w:val="000000"/>
          <w:sz w:val="24"/>
          <w:szCs w:val="24"/>
          <w:lang w:eastAsia="en-US"/>
        </w:rPr>
        <w:t>6</w:t>
      </w:r>
      <w:r w:rsidR="00BB6FBE" w:rsidRPr="00161FEE">
        <w:rPr>
          <w:color w:val="000000"/>
          <w:sz w:val="24"/>
          <w:szCs w:val="24"/>
          <w:lang w:eastAsia="en-US"/>
        </w:rPr>
        <w:t>.</w:t>
      </w:r>
    </w:p>
    <w:p w:rsidR="006F0957" w:rsidRPr="00161FEE" w:rsidRDefault="00300518" w:rsidP="003D275F">
      <w:pPr>
        <w:pStyle w:val="Definition0"/>
        <w:spacing w:before="0" w:after="120"/>
        <w:ind w:left="0"/>
        <w:rPr>
          <w:color w:val="000000"/>
          <w:sz w:val="24"/>
          <w:szCs w:val="24"/>
          <w:lang w:eastAsia="en-US"/>
        </w:rPr>
      </w:pPr>
      <w:r w:rsidRPr="00161FEE">
        <w:rPr>
          <w:color w:val="000000"/>
          <w:sz w:val="24"/>
          <w:szCs w:val="24"/>
          <w:lang w:eastAsia="en-US"/>
        </w:rPr>
        <w:t>To find the baseline NABERS rating</w:t>
      </w:r>
      <w:r w:rsidR="00F87ADE" w:rsidRPr="00161FEE">
        <w:rPr>
          <w:color w:val="000000"/>
          <w:sz w:val="24"/>
          <w:szCs w:val="24"/>
          <w:lang w:eastAsia="en-US"/>
        </w:rPr>
        <w:t xml:space="preserve"> for the measurement period</w:t>
      </w:r>
      <w:r w:rsidRPr="00161FEE">
        <w:rPr>
          <w:color w:val="000000"/>
          <w:sz w:val="24"/>
          <w:szCs w:val="24"/>
          <w:lang w:eastAsia="en-US"/>
        </w:rPr>
        <w:t>, a</w:t>
      </w:r>
      <w:r w:rsidR="00C62B8D" w:rsidRPr="00161FEE">
        <w:rPr>
          <w:color w:val="000000"/>
          <w:sz w:val="24"/>
          <w:szCs w:val="24"/>
          <w:lang w:eastAsia="en-US"/>
        </w:rPr>
        <w:t xml:space="preserve">n </w:t>
      </w:r>
      <w:r w:rsidR="00762D34" w:rsidRPr="00161FEE">
        <w:rPr>
          <w:color w:val="000000"/>
          <w:sz w:val="24"/>
          <w:szCs w:val="24"/>
          <w:lang w:eastAsia="en-US"/>
        </w:rPr>
        <w:t>annual rating a</w:t>
      </w:r>
      <w:r w:rsidR="00F82643" w:rsidRPr="00161FEE">
        <w:rPr>
          <w:color w:val="000000"/>
          <w:sz w:val="24"/>
          <w:szCs w:val="24"/>
          <w:lang w:eastAsia="en-US"/>
        </w:rPr>
        <w:t xml:space="preserve">djustment </w:t>
      </w:r>
      <w:r w:rsidR="00C62B8D" w:rsidRPr="00161FEE">
        <w:rPr>
          <w:color w:val="000000"/>
          <w:sz w:val="24"/>
          <w:szCs w:val="24"/>
          <w:lang w:eastAsia="en-US"/>
        </w:rPr>
        <w:t>is applied to the previous NABERS rating</w:t>
      </w:r>
      <w:r w:rsidRPr="00161FEE">
        <w:rPr>
          <w:color w:val="000000"/>
          <w:sz w:val="24"/>
          <w:szCs w:val="24"/>
          <w:lang w:eastAsia="en-US"/>
        </w:rPr>
        <w:t xml:space="preserve"> to reflect </w:t>
      </w:r>
      <w:r w:rsidR="007213B9" w:rsidRPr="00161FEE">
        <w:rPr>
          <w:color w:val="000000"/>
          <w:sz w:val="24"/>
          <w:szCs w:val="24"/>
          <w:lang w:eastAsia="en-US"/>
        </w:rPr>
        <w:t xml:space="preserve">the </w:t>
      </w:r>
      <w:r w:rsidR="00FD3F57" w:rsidRPr="00161FEE">
        <w:rPr>
          <w:color w:val="000000"/>
          <w:sz w:val="24"/>
          <w:szCs w:val="24"/>
          <w:lang w:eastAsia="en-US"/>
        </w:rPr>
        <w:t xml:space="preserve">ongoing </w:t>
      </w:r>
      <w:r w:rsidR="007213B9" w:rsidRPr="00161FEE">
        <w:rPr>
          <w:color w:val="000000"/>
          <w:sz w:val="24"/>
          <w:szCs w:val="24"/>
          <w:lang w:eastAsia="en-US"/>
        </w:rPr>
        <w:t>business</w:t>
      </w:r>
      <w:r w:rsidR="005F7E0E" w:rsidRPr="00161FEE">
        <w:rPr>
          <w:color w:val="000000"/>
          <w:sz w:val="24"/>
          <w:szCs w:val="24"/>
          <w:lang w:eastAsia="en-US"/>
        </w:rPr>
        <w:t xml:space="preserve"> </w:t>
      </w:r>
      <w:r w:rsidR="007213B9" w:rsidRPr="00161FEE">
        <w:rPr>
          <w:color w:val="000000"/>
          <w:sz w:val="24"/>
          <w:szCs w:val="24"/>
          <w:lang w:eastAsia="en-US"/>
        </w:rPr>
        <w:t>as</w:t>
      </w:r>
      <w:r w:rsidR="005F7E0E" w:rsidRPr="00161FEE">
        <w:rPr>
          <w:color w:val="000000"/>
          <w:sz w:val="24"/>
          <w:szCs w:val="24"/>
          <w:lang w:eastAsia="en-US"/>
        </w:rPr>
        <w:t xml:space="preserve"> </w:t>
      </w:r>
      <w:r w:rsidR="00C62B8D" w:rsidRPr="00161FEE">
        <w:rPr>
          <w:color w:val="000000"/>
          <w:sz w:val="24"/>
          <w:szCs w:val="24"/>
          <w:lang w:eastAsia="en-US"/>
        </w:rPr>
        <w:t>usual rate of improvement in the market</w:t>
      </w:r>
      <w:r w:rsidR="000E57A4" w:rsidRPr="00161FEE">
        <w:rPr>
          <w:color w:val="000000"/>
          <w:sz w:val="24"/>
          <w:szCs w:val="24"/>
          <w:lang w:eastAsia="en-US"/>
        </w:rPr>
        <w:t xml:space="preserve">. </w:t>
      </w:r>
      <w:r w:rsidR="002840EB" w:rsidRPr="00161FEE">
        <w:rPr>
          <w:color w:val="000000"/>
          <w:sz w:val="24"/>
          <w:szCs w:val="24"/>
          <w:lang w:eastAsia="en-US"/>
        </w:rPr>
        <w:t>This adjustment is intended to capture incremental changes in energy performance over time, as well as the average annual impact of larger step changes in energy performance</w:t>
      </w:r>
      <w:r w:rsidR="00AD6FF5" w:rsidRPr="00161FEE">
        <w:rPr>
          <w:color w:val="000000"/>
          <w:sz w:val="24"/>
          <w:szCs w:val="24"/>
          <w:lang w:eastAsia="en-US"/>
        </w:rPr>
        <w:t xml:space="preserve"> that would be expected to occur in the absence of the ERF project</w:t>
      </w:r>
      <w:r w:rsidR="00B36EC1">
        <w:rPr>
          <w:color w:val="000000"/>
          <w:sz w:val="24"/>
          <w:szCs w:val="24"/>
          <w:lang w:eastAsia="en-US"/>
        </w:rPr>
        <w:t>.  An </w:t>
      </w:r>
      <w:r w:rsidR="002840EB" w:rsidRPr="00161FEE">
        <w:rPr>
          <w:color w:val="000000"/>
          <w:sz w:val="24"/>
          <w:szCs w:val="24"/>
          <w:lang w:eastAsia="en-US"/>
        </w:rPr>
        <w:t>example of the former is the replacement of small appliances with more efficient models as they reach end of life</w:t>
      </w:r>
      <w:r w:rsidR="00C12C0F" w:rsidRPr="00161FEE">
        <w:rPr>
          <w:color w:val="000000"/>
          <w:sz w:val="24"/>
          <w:szCs w:val="24"/>
          <w:lang w:eastAsia="en-US"/>
        </w:rPr>
        <w:t>; an</w:t>
      </w:r>
      <w:r w:rsidR="002840EB" w:rsidRPr="00161FEE">
        <w:rPr>
          <w:color w:val="000000"/>
          <w:sz w:val="24"/>
          <w:szCs w:val="24"/>
          <w:lang w:eastAsia="en-US"/>
        </w:rPr>
        <w:t xml:space="preserve"> example of the latter is the replacement or rem</w:t>
      </w:r>
      <w:r w:rsidR="009F63A2">
        <w:rPr>
          <w:color w:val="000000"/>
          <w:sz w:val="24"/>
          <w:szCs w:val="24"/>
          <w:lang w:eastAsia="en-US"/>
        </w:rPr>
        <w:t>oval of a large piece of energy-</w:t>
      </w:r>
      <w:r w:rsidR="002840EB" w:rsidRPr="00161FEE">
        <w:rPr>
          <w:color w:val="000000"/>
          <w:sz w:val="24"/>
          <w:szCs w:val="24"/>
          <w:lang w:eastAsia="en-US"/>
        </w:rPr>
        <w:t xml:space="preserve">consuming equipment. </w:t>
      </w:r>
    </w:p>
    <w:p w:rsidR="00A07B6B" w:rsidRPr="00161FEE" w:rsidRDefault="00A07B6B" w:rsidP="00A07B6B">
      <w:pPr>
        <w:pStyle w:val="Definition0"/>
        <w:spacing w:before="0" w:after="120"/>
        <w:ind w:left="0"/>
        <w:rPr>
          <w:color w:val="000000"/>
          <w:sz w:val="24"/>
          <w:szCs w:val="24"/>
          <w:lang w:eastAsia="en-US"/>
        </w:rPr>
      </w:pPr>
      <w:r w:rsidRPr="00161FEE">
        <w:rPr>
          <w:color w:val="000000"/>
          <w:sz w:val="24"/>
          <w:szCs w:val="24"/>
          <w:lang w:eastAsia="en-US"/>
        </w:rPr>
        <w:t xml:space="preserve">The annual rating adjustment is defined in subsection 2 as 0.15 stars, which is consistent with the annual rating adjustment used in the NABERS method under the New South Wales Energy Savings Scheme. </w:t>
      </w:r>
    </w:p>
    <w:p w:rsidR="00EE1687" w:rsidRPr="00161FEE" w:rsidRDefault="00AD6FF5" w:rsidP="003D275F">
      <w:pPr>
        <w:pStyle w:val="Definition0"/>
        <w:spacing w:before="0" w:after="120"/>
        <w:ind w:left="0"/>
        <w:rPr>
          <w:color w:val="000000"/>
          <w:sz w:val="24"/>
          <w:szCs w:val="24"/>
          <w:lang w:eastAsia="en-US"/>
        </w:rPr>
      </w:pPr>
      <w:r w:rsidRPr="00161FEE">
        <w:rPr>
          <w:color w:val="000000"/>
          <w:sz w:val="24"/>
          <w:szCs w:val="24"/>
          <w:lang w:eastAsia="en-US"/>
        </w:rPr>
        <w:t xml:space="preserve">In the development of </w:t>
      </w:r>
      <w:r w:rsidR="00516370" w:rsidRPr="00161FEE">
        <w:rPr>
          <w:color w:val="000000"/>
          <w:sz w:val="24"/>
          <w:szCs w:val="24"/>
          <w:lang w:eastAsia="en-US"/>
        </w:rPr>
        <w:t xml:space="preserve">the </w:t>
      </w:r>
      <w:r w:rsidRPr="00161FEE">
        <w:rPr>
          <w:color w:val="000000"/>
          <w:sz w:val="24"/>
          <w:szCs w:val="24"/>
          <w:lang w:eastAsia="en-US"/>
        </w:rPr>
        <w:t>commercial buildings Determination</w:t>
      </w:r>
      <w:r w:rsidR="00A07B6B" w:rsidRPr="00161FEE">
        <w:rPr>
          <w:color w:val="000000"/>
          <w:sz w:val="24"/>
          <w:szCs w:val="24"/>
          <w:lang w:eastAsia="en-US"/>
        </w:rPr>
        <w:t>, the annual rating adjustment was validated against historical ratings data and found to be conservative, in the sense that it was more likely to overstate than understate future improvements in the energy performance of commercial buildings.</w:t>
      </w:r>
      <w:r w:rsidRPr="00161FEE">
        <w:rPr>
          <w:color w:val="000000"/>
          <w:sz w:val="24"/>
          <w:szCs w:val="24"/>
          <w:lang w:eastAsia="en-US"/>
        </w:rPr>
        <w:t xml:space="preserve"> </w:t>
      </w:r>
      <w:r w:rsidR="000E57A4" w:rsidRPr="00161FEE">
        <w:rPr>
          <w:color w:val="000000"/>
          <w:sz w:val="24"/>
          <w:szCs w:val="24"/>
          <w:lang w:eastAsia="en-US"/>
        </w:rPr>
        <w:t xml:space="preserve">The </w:t>
      </w:r>
      <w:r w:rsidR="00B903A0" w:rsidRPr="00161FEE">
        <w:rPr>
          <w:color w:val="000000"/>
          <w:sz w:val="24"/>
          <w:szCs w:val="24"/>
          <w:lang w:eastAsia="en-US"/>
        </w:rPr>
        <w:t xml:space="preserve">use of the </w:t>
      </w:r>
      <w:r w:rsidR="000E57A4" w:rsidRPr="00161FEE">
        <w:rPr>
          <w:color w:val="000000"/>
          <w:sz w:val="24"/>
          <w:szCs w:val="24"/>
          <w:lang w:eastAsia="en-US"/>
        </w:rPr>
        <w:t xml:space="preserve">annual rating adjustment </w:t>
      </w:r>
      <w:r w:rsidR="00F34B74" w:rsidRPr="00161FEE">
        <w:rPr>
          <w:color w:val="000000"/>
          <w:sz w:val="24"/>
          <w:szCs w:val="24"/>
          <w:lang w:eastAsia="en-US"/>
        </w:rPr>
        <w:t xml:space="preserve">is in line with </w:t>
      </w:r>
      <w:r w:rsidR="004B7EFC" w:rsidRPr="00161FEE">
        <w:rPr>
          <w:color w:val="000000"/>
          <w:sz w:val="24"/>
          <w:szCs w:val="24"/>
          <w:lang w:eastAsia="en-US"/>
        </w:rPr>
        <w:t>the offsets integrity standard</w:t>
      </w:r>
      <w:r w:rsidR="007C7B86" w:rsidRPr="00161FEE">
        <w:rPr>
          <w:color w:val="000000"/>
          <w:sz w:val="24"/>
          <w:szCs w:val="24"/>
          <w:lang w:eastAsia="en-US"/>
        </w:rPr>
        <w:t>s</w:t>
      </w:r>
      <w:r w:rsidR="004B7EFC" w:rsidRPr="00161FEE">
        <w:rPr>
          <w:color w:val="000000"/>
          <w:sz w:val="24"/>
          <w:szCs w:val="24"/>
          <w:lang w:eastAsia="en-US"/>
        </w:rPr>
        <w:t xml:space="preserve"> </w:t>
      </w:r>
      <w:r w:rsidR="00F34B74" w:rsidRPr="00161FEE">
        <w:rPr>
          <w:color w:val="000000"/>
          <w:sz w:val="24"/>
          <w:szCs w:val="24"/>
          <w:lang w:eastAsia="en-US"/>
        </w:rPr>
        <w:t>in the Act, which require</w:t>
      </w:r>
      <w:r w:rsidR="007C7B86" w:rsidRPr="00161FEE">
        <w:rPr>
          <w:color w:val="000000"/>
          <w:sz w:val="24"/>
          <w:szCs w:val="24"/>
          <w:lang w:eastAsia="en-US"/>
        </w:rPr>
        <w:t xml:space="preserve"> </w:t>
      </w:r>
      <w:r w:rsidR="004B7EFC" w:rsidRPr="00161FEE">
        <w:rPr>
          <w:sz w:val="24"/>
          <w:szCs w:val="24"/>
        </w:rPr>
        <w:t>that a method</w:t>
      </w:r>
      <w:r w:rsidR="00F71DDD" w:rsidRPr="00161FEE">
        <w:rPr>
          <w:sz w:val="24"/>
          <w:szCs w:val="24"/>
        </w:rPr>
        <w:t>ology</w:t>
      </w:r>
      <w:r w:rsidR="004B7EFC" w:rsidRPr="00161FEE">
        <w:rPr>
          <w:sz w:val="24"/>
          <w:szCs w:val="24"/>
        </w:rPr>
        <w:t xml:space="preserve"> determination should result in emissions reductions that are unlikely to occur in the ordinary course of events</w:t>
      </w:r>
      <w:r w:rsidR="00653F4C" w:rsidRPr="00161FEE">
        <w:rPr>
          <w:sz w:val="24"/>
          <w:szCs w:val="24"/>
        </w:rPr>
        <w:t xml:space="preserve"> and that estimates should be conservative</w:t>
      </w:r>
      <w:r w:rsidR="004B7EFC" w:rsidRPr="00161FEE">
        <w:rPr>
          <w:sz w:val="24"/>
          <w:szCs w:val="24"/>
        </w:rPr>
        <w:t>.</w:t>
      </w:r>
      <w:r w:rsidR="004B7EFC" w:rsidRPr="00161FEE">
        <w:rPr>
          <w:color w:val="000000"/>
          <w:sz w:val="24"/>
          <w:szCs w:val="24"/>
          <w:lang w:eastAsia="en-US"/>
        </w:rPr>
        <w:t xml:space="preserve"> </w:t>
      </w:r>
    </w:p>
    <w:p w:rsidR="004E36C6" w:rsidRDefault="004E36C6" w:rsidP="00EF433D">
      <w:pPr>
        <w:spacing w:after="120" w:line="240" w:lineRule="auto"/>
        <w:rPr>
          <w:rFonts w:ascii="Times New Roman" w:hAnsi="Times New Roman"/>
          <w:color w:val="000000"/>
          <w:sz w:val="24"/>
          <w:szCs w:val="24"/>
          <w:u w:val="single"/>
        </w:rPr>
      </w:pPr>
    </w:p>
    <w:p w:rsidR="0071689E" w:rsidRDefault="0071689E" w:rsidP="00EF433D">
      <w:pPr>
        <w:spacing w:after="120" w:line="240" w:lineRule="auto"/>
        <w:rPr>
          <w:rFonts w:ascii="Times New Roman" w:hAnsi="Times New Roman"/>
          <w:color w:val="000000"/>
          <w:sz w:val="24"/>
          <w:szCs w:val="24"/>
          <w:u w:val="single"/>
        </w:rPr>
      </w:pPr>
    </w:p>
    <w:p w:rsidR="0071689E" w:rsidRDefault="0071689E" w:rsidP="00EF433D">
      <w:pPr>
        <w:spacing w:after="120" w:line="240" w:lineRule="auto"/>
        <w:rPr>
          <w:rFonts w:ascii="Times New Roman" w:hAnsi="Times New Roman"/>
          <w:color w:val="000000"/>
          <w:sz w:val="24"/>
          <w:szCs w:val="24"/>
          <w:u w:val="single"/>
        </w:rPr>
      </w:pPr>
    </w:p>
    <w:p w:rsidR="0071689E" w:rsidRPr="00161FEE" w:rsidRDefault="0071689E" w:rsidP="00EF433D">
      <w:pPr>
        <w:spacing w:after="120" w:line="240" w:lineRule="auto"/>
        <w:rPr>
          <w:rFonts w:ascii="Times New Roman" w:hAnsi="Times New Roman"/>
          <w:color w:val="000000"/>
          <w:sz w:val="24"/>
          <w:szCs w:val="24"/>
          <w:u w:val="single"/>
        </w:rPr>
      </w:pPr>
    </w:p>
    <w:p w:rsidR="00EF433D" w:rsidRPr="00161FEE" w:rsidRDefault="00EF433D" w:rsidP="00EF433D">
      <w:pPr>
        <w:spacing w:after="120" w:line="240" w:lineRule="auto"/>
        <w:rPr>
          <w:rFonts w:ascii="Times New Roman" w:hAnsi="Times New Roman"/>
          <w:b/>
          <w:color w:val="000000"/>
          <w:sz w:val="24"/>
          <w:szCs w:val="24"/>
        </w:rPr>
      </w:pPr>
      <w:r w:rsidRPr="00161FEE">
        <w:rPr>
          <w:rFonts w:ascii="Times New Roman" w:hAnsi="Times New Roman"/>
          <w:b/>
          <w:color w:val="000000"/>
          <w:sz w:val="24"/>
          <w:szCs w:val="24"/>
        </w:rPr>
        <w:lastRenderedPageBreak/>
        <w:t>Division 4</w:t>
      </w:r>
      <w:r w:rsidRPr="00161FEE">
        <w:rPr>
          <w:rFonts w:ascii="Times New Roman" w:hAnsi="Times New Roman"/>
          <w:b/>
          <w:color w:val="000000"/>
          <w:sz w:val="24"/>
          <w:szCs w:val="24"/>
        </w:rPr>
        <w:tab/>
        <w:t>Calculations relating to project emissions</w:t>
      </w:r>
    </w:p>
    <w:p w:rsidR="00EF433D" w:rsidRPr="00161FEE" w:rsidRDefault="00643723" w:rsidP="00EF433D">
      <w:pPr>
        <w:spacing w:after="120" w:line="240" w:lineRule="auto"/>
        <w:rPr>
          <w:rFonts w:ascii="Times New Roman" w:hAnsi="Times New Roman"/>
          <w:color w:val="000000"/>
          <w:sz w:val="24"/>
          <w:szCs w:val="24"/>
          <w:u w:val="single"/>
        </w:rPr>
      </w:pPr>
      <w:r w:rsidRPr="00161FEE">
        <w:rPr>
          <w:rFonts w:ascii="Times New Roman" w:hAnsi="Times New Roman"/>
          <w:color w:val="000000"/>
          <w:sz w:val="24"/>
          <w:szCs w:val="24"/>
          <w:u w:val="single"/>
        </w:rPr>
        <w:t>2</w:t>
      </w:r>
      <w:r w:rsidR="00F97BDF" w:rsidRPr="00161FEE">
        <w:rPr>
          <w:rFonts w:ascii="Times New Roman" w:hAnsi="Times New Roman"/>
          <w:color w:val="000000"/>
          <w:sz w:val="24"/>
          <w:szCs w:val="24"/>
          <w:u w:val="single"/>
        </w:rPr>
        <w:t>3</w:t>
      </w:r>
      <w:r w:rsidR="00EF433D" w:rsidRPr="00161FEE">
        <w:rPr>
          <w:rFonts w:ascii="Times New Roman" w:hAnsi="Times New Roman"/>
          <w:color w:val="000000"/>
          <w:sz w:val="24"/>
          <w:szCs w:val="24"/>
          <w:u w:val="single"/>
        </w:rPr>
        <w:tab/>
        <w:t>Summary</w:t>
      </w:r>
    </w:p>
    <w:p w:rsidR="004B1679" w:rsidRDefault="004B1679" w:rsidP="004B1679">
      <w:pPr>
        <w:spacing w:after="120" w:line="240" w:lineRule="auto"/>
        <w:rPr>
          <w:rFonts w:ascii="Times New Roman" w:hAnsi="Times New Roman"/>
          <w:sz w:val="24"/>
          <w:szCs w:val="24"/>
        </w:rPr>
      </w:pPr>
      <w:r w:rsidRPr="00161FEE">
        <w:rPr>
          <w:rFonts w:ascii="Times New Roman" w:hAnsi="Times New Roman"/>
          <w:sz w:val="24"/>
          <w:szCs w:val="24"/>
        </w:rPr>
        <w:t>Project emissions are calculated from electricity and fuel consumption as recorded in the N</w:t>
      </w:r>
      <w:r w:rsidR="001A6B76" w:rsidRPr="00161FEE">
        <w:rPr>
          <w:rFonts w:ascii="Times New Roman" w:hAnsi="Times New Roman"/>
          <w:sz w:val="24"/>
          <w:szCs w:val="24"/>
        </w:rPr>
        <w:t xml:space="preserve">ABERS energy rating </w:t>
      </w:r>
      <w:r w:rsidR="00575099" w:rsidRPr="00161FEE">
        <w:rPr>
          <w:rFonts w:ascii="Times New Roman" w:hAnsi="Times New Roman"/>
          <w:sz w:val="24"/>
          <w:szCs w:val="24"/>
        </w:rPr>
        <w:t>report</w:t>
      </w:r>
      <w:r w:rsidR="00AD1C40" w:rsidRPr="00161FEE">
        <w:rPr>
          <w:rFonts w:ascii="Times New Roman" w:hAnsi="Times New Roman"/>
          <w:sz w:val="24"/>
          <w:szCs w:val="24"/>
        </w:rPr>
        <w:t xml:space="preserve">, </w:t>
      </w:r>
      <w:r w:rsidR="00D75643" w:rsidRPr="00161FEE">
        <w:rPr>
          <w:rFonts w:ascii="Times New Roman" w:hAnsi="Times New Roman"/>
          <w:sz w:val="24"/>
          <w:szCs w:val="24"/>
        </w:rPr>
        <w:t xml:space="preserve">adjusting for </w:t>
      </w:r>
      <w:r w:rsidR="00DD2026" w:rsidRPr="00161FEE">
        <w:rPr>
          <w:rFonts w:ascii="Times New Roman" w:hAnsi="Times New Roman"/>
          <w:sz w:val="24"/>
          <w:szCs w:val="24"/>
        </w:rPr>
        <w:t>renewable electricity generated and consumed onsite</w:t>
      </w:r>
      <w:r w:rsidRPr="00161FEE">
        <w:rPr>
          <w:rFonts w:ascii="Times New Roman" w:hAnsi="Times New Roman"/>
          <w:sz w:val="24"/>
          <w:szCs w:val="24"/>
        </w:rPr>
        <w:t xml:space="preserve">. </w:t>
      </w:r>
    </w:p>
    <w:p w:rsidR="00C44F71" w:rsidRPr="00161FEE" w:rsidRDefault="00C44F71" w:rsidP="004B1679">
      <w:pPr>
        <w:spacing w:after="120" w:line="240" w:lineRule="auto"/>
        <w:rPr>
          <w:rFonts w:ascii="Times New Roman" w:hAnsi="Times New Roman"/>
          <w:sz w:val="24"/>
          <w:szCs w:val="24"/>
        </w:rPr>
      </w:pPr>
    </w:p>
    <w:p w:rsidR="00EF433D" w:rsidRPr="00161FEE" w:rsidRDefault="00643723" w:rsidP="00EF433D">
      <w:pPr>
        <w:spacing w:after="120" w:line="240" w:lineRule="auto"/>
        <w:rPr>
          <w:rFonts w:ascii="Times New Roman" w:hAnsi="Times New Roman"/>
          <w:color w:val="000000"/>
          <w:sz w:val="24"/>
          <w:szCs w:val="24"/>
          <w:u w:val="single"/>
        </w:rPr>
      </w:pPr>
      <w:r w:rsidRPr="00161FEE">
        <w:rPr>
          <w:rFonts w:ascii="Times New Roman" w:hAnsi="Times New Roman"/>
          <w:color w:val="000000"/>
          <w:sz w:val="24"/>
          <w:szCs w:val="24"/>
          <w:u w:val="single"/>
        </w:rPr>
        <w:t>2</w:t>
      </w:r>
      <w:r w:rsidR="00F97BDF" w:rsidRPr="00161FEE">
        <w:rPr>
          <w:rFonts w:ascii="Times New Roman" w:hAnsi="Times New Roman"/>
          <w:color w:val="000000"/>
          <w:sz w:val="24"/>
          <w:szCs w:val="24"/>
          <w:u w:val="single"/>
        </w:rPr>
        <w:t>4</w:t>
      </w:r>
      <w:r w:rsidR="00EF433D" w:rsidRPr="00161FEE">
        <w:rPr>
          <w:rFonts w:ascii="Times New Roman" w:hAnsi="Times New Roman"/>
          <w:color w:val="000000"/>
          <w:sz w:val="24"/>
          <w:szCs w:val="24"/>
          <w:u w:val="single"/>
        </w:rPr>
        <w:tab/>
        <w:t>Project emissions for a building in a measurement period</w:t>
      </w:r>
    </w:p>
    <w:p w:rsidR="00E15DD3" w:rsidRPr="00161FEE" w:rsidRDefault="004B1679" w:rsidP="00EF433D">
      <w:p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 xml:space="preserve">The project emissions for a building in a measurement period are calculated using </w:t>
      </w:r>
      <w:r w:rsidR="005B7775" w:rsidRPr="00161FEE">
        <w:rPr>
          <w:rFonts w:ascii="Times New Roman" w:hAnsi="Times New Roman"/>
          <w:b/>
          <w:color w:val="000000"/>
          <w:sz w:val="24"/>
          <w:szCs w:val="24"/>
        </w:rPr>
        <w:t>equation </w:t>
      </w:r>
      <w:r w:rsidRPr="00161FEE">
        <w:rPr>
          <w:rFonts w:ascii="Times New Roman" w:hAnsi="Times New Roman"/>
          <w:b/>
          <w:color w:val="000000"/>
          <w:sz w:val="24"/>
          <w:szCs w:val="24"/>
        </w:rPr>
        <w:t>5</w:t>
      </w:r>
      <w:r w:rsidRPr="00161FEE">
        <w:rPr>
          <w:rFonts w:ascii="Times New Roman" w:hAnsi="Times New Roman"/>
          <w:color w:val="000000"/>
          <w:sz w:val="24"/>
          <w:szCs w:val="24"/>
        </w:rPr>
        <w:t xml:space="preserve">. </w:t>
      </w:r>
    </w:p>
    <w:p w:rsidR="00777765" w:rsidRPr="00161FEE" w:rsidRDefault="000C2C6B" w:rsidP="000C2C6B">
      <w:pPr>
        <w:spacing w:after="120" w:line="240" w:lineRule="auto"/>
        <w:rPr>
          <w:rFonts w:ascii="Times New Roman" w:hAnsi="Times New Roman"/>
          <w:sz w:val="24"/>
          <w:szCs w:val="24"/>
        </w:rPr>
      </w:pPr>
      <w:r w:rsidRPr="00161FEE">
        <w:rPr>
          <w:rFonts w:ascii="Times New Roman" w:hAnsi="Times New Roman"/>
          <w:sz w:val="24"/>
          <w:szCs w:val="24"/>
        </w:rPr>
        <w:t>E</w:t>
      </w:r>
      <w:r w:rsidR="00D87699" w:rsidRPr="00161FEE">
        <w:rPr>
          <w:rFonts w:ascii="Times New Roman" w:hAnsi="Times New Roman"/>
          <w:sz w:val="24"/>
          <w:szCs w:val="24"/>
        </w:rPr>
        <w:t xml:space="preserve">lectricity and fuel consumption as reported in the NABERS energy rating </w:t>
      </w:r>
      <w:r w:rsidR="00575099" w:rsidRPr="00161FEE">
        <w:rPr>
          <w:rFonts w:ascii="Times New Roman" w:hAnsi="Times New Roman"/>
          <w:sz w:val="24"/>
          <w:szCs w:val="24"/>
        </w:rPr>
        <w:t>report</w:t>
      </w:r>
      <w:r w:rsidR="003367A7" w:rsidRPr="00161FEE">
        <w:rPr>
          <w:rFonts w:ascii="Times New Roman" w:hAnsi="Times New Roman"/>
          <w:sz w:val="24"/>
          <w:szCs w:val="24"/>
        </w:rPr>
        <w:t xml:space="preserve"> for the measurement period</w:t>
      </w:r>
      <w:r w:rsidRPr="00161FEE">
        <w:rPr>
          <w:rFonts w:ascii="Times New Roman" w:hAnsi="Times New Roman"/>
          <w:sz w:val="24"/>
          <w:szCs w:val="24"/>
        </w:rPr>
        <w:t xml:space="preserve"> </w:t>
      </w:r>
      <w:r w:rsidR="00975189" w:rsidRPr="00161FEE">
        <w:rPr>
          <w:rFonts w:ascii="Times New Roman" w:hAnsi="Times New Roman"/>
          <w:sz w:val="24"/>
          <w:szCs w:val="24"/>
        </w:rPr>
        <w:t>are</w:t>
      </w:r>
      <w:r w:rsidRPr="00161FEE">
        <w:rPr>
          <w:rFonts w:ascii="Times New Roman" w:hAnsi="Times New Roman"/>
          <w:sz w:val="24"/>
          <w:szCs w:val="24"/>
        </w:rPr>
        <w:t xml:space="preserve"> </w:t>
      </w:r>
      <w:r w:rsidR="003367A7" w:rsidRPr="00161FEE">
        <w:rPr>
          <w:rFonts w:ascii="Times New Roman" w:hAnsi="Times New Roman"/>
          <w:sz w:val="24"/>
          <w:szCs w:val="24"/>
        </w:rPr>
        <w:t>multiplied</w:t>
      </w:r>
      <w:r w:rsidR="007213B9" w:rsidRPr="00161FEE">
        <w:rPr>
          <w:rFonts w:ascii="Times New Roman" w:hAnsi="Times New Roman"/>
          <w:sz w:val="24"/>
          <w:szCs w:val="24"/>
        </w:rPr>
        <w:t xml:space="preserve"> by</w:t>
      </w:r>
      <w:r w:rsidR="00D87699" w:rsidRPr="00161FEE">
        <w:rPr>
          <w:rFonts w:ascii="Times New Roman" w:hAnsi="Times New Roman"/>
          <w:sz w:val="24"/>
          <w:szCs w:val="24"/>
        </w:rPr>
        <w:t xml:space="preserve"> the relevant emissions factors. </w:t>
      </w:r>
    </w:p>
    <w:p w:rsidR="008A599F" w:rsidRPr="00161FEE" w:rsidRDefault="005922FE" w:rsidP="00E50ACF">
      <w:p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An adjustment is applied to p</w:t>
      </w:r>
      <w:r w:rsidR="00D87699" w:rsidRPr="00161FEE">
        <w:rPr>
          <w:rFonts w:ascii="Times New Roman" w:hAnsi="Times New Roman"/>
          <w:color w:val="000000"/>
          <w:sz w:val="24"/>
          <w:szCs w:val="24"/>
        </w:rPr>
        <w:t xml:space="preserve">roject emissions </w:t>
      </w:r>
      <w:r w:rsidRPr="00161FEE">
        <w:rPr>
          <w:rFonts w:ascii="Times New Roman" w:hAnsi="Times New Roman"/>
          <w:color w:val="000000"/>
          <w:sz w:val="24"/>
          <w:szCs w:val="24"/>
        </w:rPr>
        <w:t xml:space="preserve">to account </w:t>
      </w:r>
      <w:r w:rsidR="00D87699" w:rsidRPr="00161FEE">
        <w:rPr>
          <w:rFonts w:ascii="Times New Roman" w:hAnsi="Times New Roman"/>
          <w:color w:val="000000"/>
          <w:sz w:val="24"/>
          <w:szCs w:val="24"/>
        </w:rPr>
        <w:t xml:space="preserve">for </w:t>
      </w:r>
      <w:r w:rsidR="00E50ACF" w:rsidRPr="00161FEE">
        <w:rPr>
          <w:rFonts w:ascii="Times New Roman" w:hAnsi="Times New Roman"/>
          <w:color w:val="000000"/>
          <w:sz w:val="24"/>
          <w:szCs w:val="24"/>
        </w:rPr>
        <w:t xml:space="preserve">renewable </w:t>
      </w:r>
      <w:r w:rsidR="00D87699" w:rsidRPr="00161FEE">
        <w:rPr>
          <w:rFonts w:ascii="Times New Roman" w:hAnsi="Times New Roman"/>
          <w:color w:val="000000"/>
          <w:sz w:val="24"/>
          <w:szCs w:val="24"/>
        </w:rPr>
        <w:t xml:space="preserve">electricity generation </w:t>
      </w:r>
      <w:r w:rsidR="008A599F" w:rsidRPr="00161FEE">
        <w:rPr>
          <w:rFonts w:ascii="Times New Roman" w:hAnsi="Times New Roman"/>
          <w:color w:val="000000"/>
          <w:sz w:val="24"/>
          <w:szCs w:val="24"/>
        </w:rPr>
        <w:t xml:space="preserve">that </w:t>
      </w:r>
      <w:r w:rsidR="00307131" w:rsidRPr="00161FEE">
        <w:rPr>
          <w:rFonts w:ascii="Times New Roman" w:hAnsi="Times New Roman"/>
          <w:color w:val="000000"/>
          <w:sz w:val="24"/>
          <w:szCs w:val="24"/>
        </w:rPr>
        <w:t>was</w:t>
      </w:r>
      <w:r w:rsidR="008A599F" w:rsidRPr="00161FEE">
        <w:rPr>
          <w:rFonts w:ascii="Times New Roman" w:hAnsi="Times New Roman"/>
          <w:color w:val="000000"/>
          <w:sz w:val="24"/>
          <w:szCs w:val="24"/>
        </w:rPr>
        <w:t xml:space="preserve"> not taken into account when working out the NABERS energy rating for the building</w:t>
      </w:r>
      <w:r w:rsidR="007C7B86" w:rsidRPr="00161FEE">
        <w:rPr>
          <w:rFonts w:ascii="Times New Roman" w:hAnsi="Times New Roman"/>
          <w:color w:val="000000"/>
          <w:sz w:val="24"/>
          <w:szCs w:val="24"/>
        </w:rPr>
        <w:t xml:space="preserve">. </w:t>
      </w:r>
      <w:r w:rsidR="00E50ACF" w:rsidRPr="00161FEE">
        <w:rPr>
          <w:rFonts w:ascii="Times New Roman" w:hAnsi="Times New Roman"/>
          <w:color w:val="000000"/>
          <w:sz w:val="24"/>
          <w:szCs w:val="24"/>
        </w:rPr>
        <w:t xml:space="preserve">This adjustment is </w:t>
      </w:r>
      <w:r w:rsidR="00F4063F" w:rsidRPr="00161FEE">
        <w:rPr>
          <w:rFonts w:ascii="Times New Roman" w:hAnsi="Times New Roman"/>
          <w:color w:val="000000"/>
          <w:sz w:val="24"/>
          <w:szCs w:val="24"/>
        </w:rPr>
        <w:t>described</w:t>
      </w:r>
      <w:r w:rsidR="00E50ACF" w:rsidRPr="00161FEE">
        <w:rPr>
          <w:rFonts w:ascii="Times New Roman" w:hAnsi="Times New Roman"/>
          <w:color w:val="000000"/>
          <w:sz w:val="24"/>
          <w:szCs w:val="24"/>
        </w:rPr>
        <w:t xml:space="preserve"> in section </w:t>
      </w:r>
      <w:r w:rsidR="00643723" w:rsidRPr="00161FEE">
        <w:rPr>
          <w:rFonts w:ascii="Times New Roman" w:hAnsi="Times New Roman"/>
          <w:color w:val="000000"/>
          <w:sz w:val="24"/>
          <w:szCs w:val="24"/>
        </w:rPr>
        <w:t>2</w:t>
      </w:r>
      <w:r w:rsidR="00F97BDF" w:rsidRPr="00161FEE">
        <w:rPr>
          <w:rFonts w:ascii="Times New Roman" w:hAnsi="Times New Roman"/>
          <w:color w:val="000000"/>
          <w:sz w:val="24"/>
          <w:szCs w:val="24"/>
        </w:rPr>
        <w:t>5</w:t>
      </w:r>
      <w:r w:rsidR="00643723" w:rsidRPr="00161FEE">
        <w:rPr>
          <w:rFonts w:ascii="Times New Roman" w:hAnsi="Times New Roman"/>
          <w:color w:val="000000"/>
          <w:sz w:val="24"/>
          <w:szCs w:val="24"/>
        </w:rPr>
        <w:t xml:space="preserve"> </w:t>
      </w:r>
      <w:r w:rsidR="00E50ACF" w:rsidRPr="00161FEE">
        <w:rPr>
          <w:rFonts w:ascii="Times New Roman" w:hAnsi="Times New Roman"/>
          <w:color w:val="000000"/>
          <w:sz w:val="24"/>
          <w:szCs w:val="24"/>
        </w:rPr>
        <w:t>below.</w:t>
      </w:r>
    </w:p>
    <w:p w:rsidR="006122A9" w:rsidRPr="00161FEE" w:rsidRDefault="006122A9" w:rsidP="00EF433D">
      <w:pPr>
        <w:spacing w:after="120" w:line="240" w:lineRule="auto"/>
        <w:ind w:left="720" w:hanging="720"/>
        <w:rPr>
          <w:rFonts w:ascii="Times New Roman" w:hAnsi="Times New Roman"/>
          <w:color w:val="000000"/>
          <w:sz w:val="24"/>
          <w:szCs w:val="24"/>
          <w:u w:val="single"/>
        </w:rPr>
      </w:pPr>
    </w:p>
    <w:p w:rsidR="00EF433D" w:rsidRPr="00161FEE" w:rsidRDefault="00643723" w:rsidP="00EF433D">
      <w:pPr>
        <w:spacing w:after="120" w:line="240" w:lineRule="auto"/>
        <w:ind w:left="720" w:hanging="720"/>
        <w:rPr>
          <w:rFonts w:ascii="Times New Roman" w:hAnsi="Times New Roman"/>
          <w:color w:val="000000"/>
          <w:sz w:val="24"/>
          <w:szCs w:val="24"/>
          <w:u w:val="single"/>
        </w:rPr>
      </w:pPr>
      <w:r w:rsidRPr="00161FEE">
        <w:rPr>
          <w:rFonts w:ascii="Times New Roman" w:hAnsi="Times New Roman"/>
          <w:color w:val="000000"/>
          <w:sz w:val="24"/>
          <w:szCs w:val="24"/>
          <w:u w:val="single"/>
        </w:rPr>
        <w:t>2</w:t>
      </w:r>
      <w:r w:rsidR="00F97BDF" w:rsidRPr="00161FEE">
        <w:rPr>
          <w:rFonts w:ascii="Times New Roman" w:hAnsi="Times New Roman"/>
          <w:color w:val="000000"/>
          <w:sz w:val="24"/>
          <w:szCs w:val="24"/>
          <w:u w:val="single"/>
        </w:rPr>
        <w:t>5</w:t>
      </w:r>
      <w:r w:rsidR="00EF433D" w:rsidRPr="00161FEE">
        <w:rPr>
          <w:rFonts w:ascii="Times New Roman" w:hAnsi="Times New Roman"/>
          <w:color w:val="000000"/>
          <w:sz w:val="24"/>
          <w:szCs w:val="24"/>
          <w:u w:val="single"/>
        </w:rPr>
        <w:tab/>
        <w:t xml:space="preserve">Emissions corresponding to </w:t>
      </w:r>
      <w:r w:rsidR="008C38A3" w:rsidRPr="00161FEE">
        <w:rPr>
          <w:rFonts w:ascii="Times New Roman" w:hAnsi="Times New Roman"/>
          <w:color w:val="000000"/>
          <w:sz w:val="24"/>
          <w:szCs w:val="24"/>
          <w:u w:val="single"/>
        </w:rPr>
        <w:t xml:space="preserve">renewable </w:t>
      </w:r>
      <w:r w:rsidR="00EF433D" w:rsidRPr="00161FEE">
        <w:rPr>
          <w:rFonts w:ascii="Times New Roman" w:hAnsi="Times New Roman"/>
          <w:color w:val="000000"/>
          <w:sz w:val="24"/>
          <w:szCs w:val="24"/>
          <w:u w:val="single"/>
        </w:rPr>
        <w:t>electricit</w:t>
      </w:r>
      <w:r w:rsidR="00B75B95" w:rsidRPr="00161FEE">
        <w:rPr>
          <w:rFonts w:ascii="Times New Roman" w:hAnsi="Times New Roman"/>
          <w:color w:val="000000"/>
          <w:sz w:val="24"/>
          <w:szCs w:val="24"/>
          <w:u w:val="single"/>
        </w:rPr>
        <w:t>y generation at a building in a</w:t>
      </w:r>
      <w:r w:rsidR="00EF433D" w:rsidRPr="00161FEE">
        <w:rPr>
          <w:rFonts w:ascii="Times New Roman" w:hAnsi="Times New Roman"/>
          <w:color w:val="000000"/>
          <w:sz w:val="24"/>
          <w:szCs w:val="24"/>
          <w:u w:val="single"/>
        </w:rPr>
        <w:t xml:space="preserve"> measurement period</w:t>
      </w:r>
    </w:p>
    <w:p w:rsidR="004A47AA" w:rsidRPr="00161FEE" w:rsidRDefault="004A47AA" w:rsidP="00643723">
      <w:pPr>
        <w:spacing w:after="120" w:line="240" w:lineRule="auto"/>
        <w:rPr>
          <w:rFonts w:ascii="Times New Roman" w:hAnsi="Times New Roman"/>
          <w:color w:val="000000" w:themeColor="text1"/>
          <w:sz w:val="24"/>
          <w:szCs w:val="24"/>
        </w:rPr>
      </w:pPr>
      <w:r w:rsidRPr="00161FEE">
        <w:rPr>
          <w:rFonts w:ascii="Times New Roman" w:hAnsi="Times New Roman"/>
          <w:color w:val="000000" w:themeColor="text1"/>
          <w:sz w:val="24"/>
          <w:szCs w:val="24"/>
        </w:rPr>
        <w:t xml:space="preserve">Renewable electricity generated and consumed onsite is defined in section 5 and refers to electricity generated at a building that, among other things, is not taken into account in the total amount of electricity consumption recorded in the NABERS energy rating report, and is generated by a system that receives </w:t>
      </w:r>
      <w:r w:rsidR="00D264D9" w:rsidRPr="00161FEE">
        <w:rPr>
          <w:rFonts w:ascii="Times New Roman" w:hAnsi="Times New Roman"/>
          <w:color w:val="000000" w:themeColor="text1"/>
          <w:sz w:val="24"/>
          <w:szCs w:val="24"/>
        </w:rPr>
        <w:t>or has received support</w:t>
      </w:r>
      <w:r w:rsidRPr="00161FEE">
        <w:rPr>
          <w:rFonts w:ascii="Times New Roman" w:hAnsi="Times New Roman"/>
          <w:color w:val="000000" w:themeColor="text1"/>
          <w:sz w:val="24"/>
          <w:szCs w:val="24"/>
        </w:rPr>
        <w:t xml:space="preserve"> under a government program</w:t>
      </w:r>
      <w:r w:rsidR="00CD4831">
        <w:rPr>
          <w:rFonts w:ascii="Times New Roman" w:hAnsi="Times New Roman"/>
          <w:color w:val="000000" w:themeColor="text1"/>
          <w:sz w:val="24"/>
          <w:szCs w:val="24"/>
        </w:rPr>
        <w:t>me</w:t>
      </w:r>
      <w:r w:rsidRPr="00161FEE">
        <w:rPr>
          <w:rFonts w:ascii="Times New Roman" w:hAnsi="Times New Roman"/>
          <w:color w:val="000000" w:themeColor="text1"/>
          <w:sz w:val="24"/>
          <w:szCs w:val="24"/>
        </w:rPr>
        <w:t xml:space="preserve"> listed in the legislative rules made for subparagraph 27(4A</w:t>
      </w:r>
      <w:proofErr w:type="gramStart"/>
      <w:r w:rsidRPr="00161FEE">
        <w:rPr>
          <w:rFonts w:ascii="Times New Roman" w:hAnsi="Times New Roman"/>
          <w:color w:val="000000" w:themeColor="text1"/>
          <w:sz w:val="24"/>
          <w:szCs w:val="24"/>
        </w:rPr>
        <w:t>)(</w:t>
      </w:r>
      <w:proofErr w:type="gramEnd"/>
      <w:r w:rsidRPr="00161FEE">
        <w:rPr>
          <w:rFonts w:ascii="Times New Roman" w:hAnsi="Times New Roman"/>
          <w:color w:val="000000" w:themeColor="text1"/>
          <w:sz w:val="24"/>
          <w:szCs w:val="24"/>
        </w:rPr>
        <w:t xml:space="preserve">c)(ii) of the Act. An example is electricity from a solar photovoltaic system that has received small-scale technology certificates under the Renewable Energy Target, if electricity generated by the system is fed directly into the building rather than immediately being exported to the grid. </w:t>
      </w:r>
    </w:p>
    <w:p w:rsidR="004A47AA" w:rsidRPr="00161FEE" w:rsidRDefault="004A47AA" w:rsidP="00643723">
      <w:pPr>
        <w:spacing w:after="120" w:line="240" w:lineRule="auto"/>
        <w:rPr>
          <w:rFonts w:ascii="Times New Roman" w:hAnsi="Times New Roman"/>
          <w:color w:val="000000" w:themeColor="text1"/>
          <w:sz w:val="24"/>
          <w:szCs w:val="24"/>
        </w:rPr>
      </w:pPr>
      <w:r w:rsidRPr="00161FEE">
        <w:rPr>
          <w:rFonts w:ascii="Times New Roman" w:hAnsi="Times New Roman"/>
          <w:color w:val="000000" w:themeColor="text1"/>
          <w:sz w:val="24"/>
          <w:szCs w:val="24"/>
        </w:rPr>
        <w:t>The amount of renewable electricity generated and consumed onsite is worked out in accordance with the monitoring requirements at Division 3 of Part 5</w:t>
      </w:r>
      <w:r w:rsidR="002C5A66" w:rsidRPr="00161FEE">
        <w:rPr>
          <w:rFonts w:ascii="Times New Roman" w:hAnsi="Times New Roman"/>
          <w:color w:val="000000" w:themeColor="text1"/>
          <w:sz w:val="24"/>
          <w:szCs w:val="24"/>
        </w:rPr>
        <w:t>,</w:t>
      </w:r>
      <w:r w:rsidRPr="00161FEE">
        <w:rPr>
          <w:rFonts w:ascii="Times New Roman" w:hAnsi="Times New Roman"/>
          <w:color w:val="000000" w:themeColor="text1"/>
          <w:sz w:val="24"/>
          <w:szCs w:val="24"/>
        </w:rPr>
        <w:t xml:space="preserve"> or the calculation method at section </w:t>
      </w:r>
      <w:r w:rsidR="00643723" w:rsidRPr="00161FEE">
        <w:rPr>
          <w:rFonts w:ascii="Times New Roman" w:hAnsi="Times New Roman"/>
          <w:color w:val="000000" w:themeColor="text1"/>
          <w:sz w:val="24"/>
          <w:szCs w:val="24"/>
        </w:rPr>
        <w:t>1</w:t>
      </w:r>
      <w:r w:rsidR="00BC3EF9" w:rsidRPr="00161FEE">
        <w:rPr>
          <w:rFonts w:ascii="Times New Roman" w:hAnsi="Times New Roman"/>
          <w:color w:val="000000" w:themeColor="text1"/>
          <w:sz w:val="24"/>
          <w:szCs w:val="24"/>
        </w:rPr>
        <w:t>5</w:t>
      </w:r>
      <w:r w:rsidRPr="00161FEE">
        <w:rPr>
          <w:rFonts w:ascii="Times New Roman" w:hAnsi="Times New Roman"/>
          <w:color w:val="000000" w:themeColor="text1"/>
          <w:sz w:val="24"/>
          <w:szCs w:val="24"/>
        </w:rPr>
        <w:t xml:space="preserve">. </w:t>
      </w:r>
    </w:p>
    <w:p w:rsidR="004A47AA" w:rsidRPr="00161FEE" w:rsidRDefault="004A47AA" w:rsidP="00643723">
      <w:pPr>
        <w:spacing w:after="120" w:line="240" w:lineRule="auto"/>
        <w:rPr>
          <w:rFonts w:ascii="Times New Roman" w:hAnsi="Times New Roman"/>
          <w:color w:val="000000" w:themeColor="text1"/>
          <w:sz w:val="24"/>
          <w:szCs w:val="24"/>
        </w:rPr>
      </w:pPr>
      <w:r w:rsidRPr="00161FEE">
        <w:rPr>
          <w:rFonts w:ascii="Times New Roman" w:hAnsi="Times New Roman"/>
          <w:color w:val="000000" w:themeColor="text1"/>
          <w:sz w:val="24"/>
          <w:szCs w:val="24"/>
        </w:rPr>
        <w:t>The calculation of project emissions for a building (equation 5) includes an adjustment for renewable electricit</w:t>
      </w:r>
      <w:r w:rsidR="003419D6" w:rsidRPr="00161FEE">
        <w:rPr>
          <w:rFonts w:ascii="Times New Roman" w:hAnsi="Times New Roman"/>
          <w:color w:val="000000" w:themeColor="text1"/>
          <w:sz w:val="24"/>
          <w:szCs w:val="24"/>
        </w:rPr>
        <w:t xml:space="preserve">y generated and consumed onsite. This adjustment is an </w:t>
      </w:r>
      <w:r w:rsidRPr="00161FEE">
        <w:rPr>
          <w:rFonts w:ascii="Times New Roman" w:hAnsi="Times New Roman"/>
          <w:color w:val="000000" w:themeColor="text1"/>
          <w:sz w:val="24"/>
          <w:szCs w:val="24"/>
        </w:rPr>
        <w:t>estimate</w:t>
      </w:r>
      <w:r w:rsidR="003419D6" w:rsidRPr="00161FEE">
        <w:rPr>
          <w:rFonts w:ascii="Times New Roman" w:hAnsi="Times New Roman"/>
          <w:color w:val="000000" w:themeColor="text1"/>
          <w:sz w:val="24"/>
          <w:szCs w:val="24"/>
        </w:rPr>
        <w:t xml:space="preserve"> of</w:t>
      </w:r>
      <w:r w:rsidRPr="00161FEE">
        <w:rPr>
          <w:rFonts w:ascii="Times New Roman" w:hAnsi="Times New Roman"/>
          <w:color w:val="000000" w:themeColor="text1"/>
          <w:sz w:val="24"/>
          <w:szCs w:val="24"/>
        </w:rPr>
        <w:t xml:space="preserve"> the additional emissions that would have occurred if the renewable electricity was not consumed at the building</w:t>
      </w:r>
      <w:r w:rsidR="003419D6" w:rsidRPr="00161FEE">
        <w:rPr>
          <w:rFonts w:ascii="Times New Roman" w:hAnsi="Times New Roman"/>
          <w:color w:val="000000" w:themeColor="text1"/>
          <w:sz w:val="24"/>
          <w:szCs w:val="24"/>
        </w:rPr>
        <w:t>; this is then</w:t>
      </w:r>
      <w:r w:rsidRPr="00161FEE">
        <w:rPr>
          <w:rFonts w:ascii="Times New Roman" w:hAnsi="Times New Roman"/>
          <w:color w:val="000000" w:themeColor="text1"/>
          <w:sz w:val="24"/>
          <w:szCs w:val="24"/>
        </w:rPr>
        <w:t xml:space="preserve"> added to the total emissions calculated from the NABERS energy rating rep</w:t>
      </w:r>
      <w:r w:rsidR="00FD4CFC" w:rsidRPr="00161FEE">
        <w:rPr>
          <w:rFonts w:ascii="Times New Roman" w:hAnsi="Times New Roman"/>
          <w:color w:val="000000" w:themeColor="text1"/>
          <w:sz w:val="24"/>
          <w:szCs w:val="24"/>
        </w:rPr>
        <w:t xml:space="preserve">ort. </w:t>
      </w:r>
      <w:r w:rsidR="00FD4CFC" w:rsidRPr="00161FEE">
        <w:rPr>
          <w:rFonts w:ascii="Times New Roman" w:hAnsi="Times New Roman"/>
          <w:b/>
          <w:color w:val="000000" w:themeColor="text1"/>
          <w:sz w:val="24"/>
          <w:szCs w:val="24"/>
        </w:rPr>
        <w:t>Equation 6</w:t>
      </w:r>
      <w:r w:rsidR="00FD4CFC" w:rsidRPr="00161FEE">
        <w:rPr>
          <w:rFonts w:ascii="Times New Roman" w:hAnsi="Times New Roman"/>
          <w:color w:val="000000" w:themeColor="text1"/>
          <w:sz w:val="24"/>
          <w:szCs w:val="24"/>
        </w:rPr>
        <w:t xml:space="preserve"> sets out how the</w:t>
      </w:r>
      <w:r w:rsidR="00213A37" w:rsidRPr="00161FEE">
        <w:rPr>
          <w:rFonts w:ascii="Times New Roman" w:hAnsi="Times New Roman"/>
          <w:color w:val="000000" w:themeColor="text1"/>
          <w:sz w:val="24"/>
          <w:szCs w:val="24"/>
        </w:rPr>
        <w:t xml:space="preserve"> adjustment </w:t>
      </w:r>
      <w:r w:rsidR="00706AD1" w:rsidRPr="00161FEE">
        <w:rPr>
          <w:rFonts w:ascii="Times New Roman" w:hAnsi="Times New Roman"/>
          <w:color w:val="000000" w:themeColor="text1"/>
          <w:sz w:val="24"/>
          <w:szCs w:val="24"/>
        </w:rPr>
        <w:t xml:space="preserve">value </w:t>
      </w:r>
      <w:r w:rsidRPr="00161FEE">
        <w:rPr>
          <w:rFonts w:ascii="Times New Roman" w:hAnsi="Times New Roman"/>
          <w:color w:val="000000" w:themeColor="text1"/>
          <w:sz w:val="24"/>
          <w:szCs w:val="24"/>
        </w:rPr>
        <w:t xml:space="preserve">is to be calculated. </w:t>
      </w:r>
    </w:p>
    <w:p w:rsidR="004A47AA" w:rsidRPr="00161FEE" w:rsidRDefault="004A47AA" w:rsidP="00643723">
      <w:pPr>
        <w:spacing w:after="120" w:line="240" w:lineRule="auto"/>
        <w:rPr>
          <w:rFonts w:ascii="Times New Roman" w:hAnsi="Times New Roman"/>
          <w:color w:val="000000" w:themeColor="text1"/>
          <w:sz w:val="24"/>
          <w:szCs w:val="24"/>
        </w:rPr>
      </w:pPr>
      <w:r w:rsidRPr="00161FEE">
        <w:rPr>
          <w:rFonts w:ascii="Times New Roman" w:hAnsi="Times New Roman"/>
          <w:color w:val="000000" w:themeColor="text1"/>
          <w:sz w:val="24"/>
          <w:szCs w:val="24"/>
        </w:rPr>
        <w:t>The adjustment assumes that onsite renewable electricity generation displaces electricity from the electricity grid. The emissions that would have occurred during the measurement period if renewable electricity generated and consumed onsite had instead been purchased from the grid are calculated by multiplying the amount of renewable electricity generated and consumed onsite by the emissions factor for grid electricity (described in section 2</w:t>
      </w:r>
      <w:r w:rsidR="00F97BDF" w:rsidRPr="00161FEE">
        <w:rPr>
          <w:rFonts w:ascii="Times New Roman" w:hAnsi="Times New Roman"/>
          <w:color w:val="000000" w:themeColor="text1"/>
          <w:sz w:val="24"/>
          <w:szCs w:val="24"/>
        </w:rPr>
        <w:t>1</w:t>
      </w:r>
      <w:r w:rsidRPr="00161FEE">
        <w:rPr>
          <w:rFonts w:ascii="Times New Roman" w:hAnsi="Times New Roman"/>
          <w:color w:val="000000" w:themeColor="text1"/>
          <w:sz w:val="24"/>
          <w:szCs w:val="24"/>
        </w:rPr>
        <w:t xml:space="preserve"> above). </w:t>
      </w:r>
    </w:p>
    <w:p w:rsidR="00AD2336" w:rsidRPr="00161FEE" w:rsidRDefault="004A47AA" w:rsidP="00643723">
      <w:pPr>
        <w:spacing w:after="120" w:line="240" w:lineRule="auto"/>
        <w:rPr>
          <w:rFonts w:ascii="Times New Roman" w:hAnsi="Times New Roman"/>
          <w:b/>
          <w:color w:val="000000" w:themeColor="text1"/>
          <w:sz w:val="24"/>
          <w:szCs w:val="24"/>
        </w:rPr>
      </w:pPr>
      <w:r w:rsidRPr="00161FEE">
        <w:rPr>
          <w:rFonts w:ascii="Times New Roman" w:hAnsi="Times New Roman"/>
          <w:color w:val="000000" w:themeColor="text1"/>
          <w:sz w:val="24"/>
          <w:szCs w:val="24"/>
        </w:rPr>
        <w:t>The adjustment, which removes from the net abatement amount the impact of renewable electricity generation systems that receive support from other government program</w:t>
      </w:r>
      <w:r w:rsidR="00CD4831">
        <w:rPr>
          <w:rFonts w:ascii="Times New Roman" w:hAnsi="Times New Roman"/>
          <w:color w:val="000000" w:themeColor="text1"/>
          <w:sz w:val="24"/>
          <w:szCs w:val="24"/>
        </w:rPr>
        <w:t>me</w:t>
      </w:r>
      <w:r w:rsidRPr="00161FEE">
        <w:rPr>
          <w:rFonts w:ascii="Times New Roman" w:hAnsi="Times New Roman"/>
          <w:color w:val="000000" w:themeColor="text1"/>
          <w:sz w:val="24"/>
          <w:szCs w:val="24"/>
        </w:rPr>
        <w:t xml:space="preserve">s, is intended to allow proponents to install these systems at a building in the project without breaching </w:t>
      </w:r>
      <w:r w:rsidR="00D30955" w:rsidRPr="00161FEE">
        <w:rPr>
          <w:rFonts w:ascii="Times New Roman" w:hAnsi="Times New Roman"/>
          <w:color w:val="000000" w:themeColor="text1"/>
          <w:sz w:val="24"/>
          <w:szCs w:val="24"/>
        </w:rPr>
        <w:t xml:space="preserve">the </w:t>
      </w:r>
      <w:r w:rsidRPr="00161FEE">
        <w:rPr>
          <w:rFonts w:ascii="Times New Roman" w:hAnsi="Times New Roman"/>
          <w:color w:val="000000" w:themeColor="text1"/>
          <w:sz w:val="24"/>
          <w:szCs w:val="24"/>
        </w:rPr>
        <w:t>legislative rules relating to other government program</w:t>
      </w:r>
      <w:r w:rsidR="00CD4831">
        <w:rPr>
          <w:rFonts w:ascii="Times New Roman" w:hAnsi="Times New Roman"/>
          <w:color w:val="000000" w:themeColor="text1"/>
          <w:sz w:val="24"/>
          <w:szCs w:val="24"/>
        </w:rPr>
        <w:t>me</w:t>
      </w:r>
      <w:r w:rsidRPr="00161FEE">
        <w:rPr>
          <w:rFonts w:ascii="Times New Roman" w:hAnsi="Times New Roman"/>
          <w:color w:val="000000" w:themeColor="text1"/>
          <w:sz w:val="24"/>
          <w:szCs w:val="24"/>
        </w:rPr>
        <w:t>s</w:t>
      </w:r>
      <w:r w:rsidR="00D30955" w:rsidRPr="00161FEE">
        <w:rPr>
          <w:rFonts w:ascii="Times New Roman" w:hAnsi="Times New Roman"/>
          <w:color w:val="000000" w:themeColor="text1"/>
          <w:sz w:val="24"/>
          <w:szCs w:val="24"/>
        </w:rPr>
        <w:t xml:space="preserve"> or </w:t>
      </w:r>
      <w:r w:rsidR="00214865" w:rsidRPr="00161FEE">
        <w:rPr>
          <w:rFonts w:ascii="Times New Roman" w:hAnsi="Times New Roman"/>
          <w:color w:val="000000" w:themeColor="text1"/>
          <w:sz w:val="24"/>
          <w:szCs w:val="24"/>
        </w:rPr>
        <w:t>being required to exclude the building from the calculations under section 13 of the Determination</w:t>
      </w:r>
      <w:r w:rsidRPr="00161FEE">
        <w:rPr>
          <w:rFonts w:ascii="Times New Roman" w:hAnsi="Times New Roman"/>
          <w:color w:val="000000" w:themeColor="text1"/>
          <w:sz w:val="24"/>
          <w:szCs w:val="24"/>
        </w:rPr>
        <w:t>.</w:t>
      </w:r>
      <w:r w:rsidRPr="00161FEE">
        <w:rPr>
          <w:rFonts w:ascii="Times New Roman" w:hAnsi="Times New Roman"/>
          <w:color w:val="000000" w:themeColor="text1"/>
          <w:sz w:val="18"/>
          <w:szCs w:val="18"/>
        </w:rPr>
        <w:t xml:space="preserve">  </w:t>
      </w:r>
    </w:p>
    <w:p w:rsidR="00EF433D" w:rsidRPr="00161FEE" w:rsidRDefault="00EF433D" w:rsidP="000D2C8D">
      <w:pPr>
        <w:keepNext/>
        <w:keepLines/>
        <w:spacing w:after="120" w:line="240" w:lineRule="auto"/>
        <w:rPr>
          <w:rFonts w:ascii="Times New Roman" w:hAnsi="Times New Roman"/>
          <w:b/>
          <w:color w:val="000000"/>
          <w:sz w:val="24"/>
          <w:szCs w:val="24"/>
        </w:rPr>
      </w:pPr>
      <w:r w:rsidRPr="00161FEE">
        <w:rPr>
          <w:rFonts w:ascii="Times New Roman" w:hAnsi="Times New Roman"/>
          <w:b/>
          <w:color w:val="000000"/>
          <w:sz w:val="24"/>
          <w:szCs w:val="24"/>
        </w:rPr>
        <w:lastRenderedPageBreak/>
        <w:t>Division 5</w:t>
      </w:r>
      <w:r w:rsidRPr="00161FEE">
        <w:rPr>
          <w:rFonts w:ascii="Times New Roman" w:hAnsi="Times New Roman"/>
          <w:b/>
          <w:color w:val="000000"/>
          <w:sz w:val="24"/>
          <w:szCs w:val="24"/>
        </w:rPr>
        <w:tab/>
        <w:t>Calculations relating to minimum abatement amount</w:t>
      </w:r>
    </w:p>
    <w:p w:rsidR="00EF433D" w:rsidRPr="00161FEE" w:rsidRDefault="00643723" w:rsidP="000D2C8D">
      <w:pPr>
        <w:keepNext/>
        <w:keepLines/>
        <w:spacing w:after="120" w:line="240" w:lineRule="auto"/>
        <w:rPr>
          <w:rFonts w:ascii="Times New Roman" w:hAnsi="Times New Roman"/>
          <w:color w:val="000000"/>
          <w:sz w:val="24"/>
          <w:szCs w:val="24"/>
          <w:u w:val="single"/>
        </w:rPr>
      </w:pPr>
      <w:r w:rsidRPr="00161FEE">
        <w:rPr>
          <w:rFonts w:ascii="Times New Roman" w:hAnsi="Times New Roman"/>
          <w:color w:val="000000"/>
          <w:sz w:val="24"/>
          <w:szCs w:val="24"/>
          <w:u w:val="single"/>
        </w:rPr>
        <w:t>2</w:t>
      </w:r>
      <w:r w:rsidR="00F97BDF" w:rsidRPr="00161FEE">
        <w:rPr>
          <w:rFonts w:ascii="Times New Roman" w:hAnsi="Times New Roman"/>
          <w:color w:val="000000"/>
          <w:sz w:val="24"/>
          <w:szCs w:val="24"/>
          <w:u w:val="single"/>
        </w:rPr>
        <w:t>6</w:t>
      </w:r>
      <w:r w:rsidR="00EF433D" w:rsidRPr="00161FEE">
        <w:rPr>
          <w:rFonts w:ascii="Times New Roman" w:hAnsi="Times New Roman"/>
          <w:color w:val="000000"/>
          <w:sz w:val="24"/>
          <w:szCs w:val="24"/>
          <w:u w:val="single"/>
        </w:rPr>
        <w:tab/>
        <w:t>Summary</w:t>
      </w:r>
    </w:p>
    <w:p w:rsidR="0060084B" w:rsidRPr="00161FEE" w:rsidRDefault="00FC4366" w:rsidP="000D2C8D">
      <w:pPr>
        <w:keepNext/>
        <w:keepLines/>
        <w:spacing w:after="120" w:line="240" w:lineRule="auto"/>
        <w:rPr>
          <w:rFonts w:ascii="Times New Roman" w:hAnsi="Times New Roman"/>
          <w:sz w:val="24"/>
          <w:szCs w:val="24"/>
          <w:lang w:eastAsia="en-AU"/>
        </w:rPr>
      </w:pPr>
      <w:r w:rsidRPr="00161FEE">
        <w:rPr>
          <w:rFonts w:ascii="Times New Roman" w:hAnsi="Times New Roman"/>
          <w:color w:val="000000"/>
          <w:sz w:val="24"/>
          <w:szCs w:val="24"/>
        </w:rPr>
        <w:t xml:space="preserve">The minimum abatement amount is a threshold that </w:t>
      </w:r>
      <w:r w:rsidR="00763C6D" w:rsidRPr="00161FEE">
        <w:rPr>
          <w:rFonts w:ascii="Times New Roman" w:hAnsi="Times New Roman"/>
          <w:color w:val="000000"/>
          <w:sz w:val="24"/>
          <w:szCs w:val="24"/>
        </w:rPr>
        <w:t>is used to determine whether</w:t>
      </w:r>
      <w:r w:rsidRPr="00161FEE">
        <w:rPr>
          <w:rFonts w:ascii="Times New Roman" w:hAnsi="Times New Roman"/>
          <w:color w:val="000000"/>
          <w:sz w:val="24"/>
          <w:szCs w:val="24"/>
        </w:rPr>
        <w:t xml:space="preserve"> abatement can be </w:t>
      </w:r>
      <w:r w:rsidR="003D78AA" w:rsidRPr="00161FEE">
        <w:rPr>
          <w:rFonts w:ascii="Times New Roman" w:hAnsi="Times New Roman"/>
          <w:color w:val="000000"/>
          <w:sz w:val="24"/>
          <w:szCs w:val="24"/>
        </w:rPr>
        <w:t>credited</w:t>
      </w:r>
      <w:r w:rsidRPr="00161FEE">
        <w:rPr>
          <w:rFonts w:ascii="Times New Roman" w:hAnsi="Times New Roman"/>
          <w:color w:val="000000"/>
          <w:sz w:val="24"/>
          <w:szCs w:val="24"/>
        </w:rPr>
        <w:t xml:space="preserve"> for a building. </w:t>
      </w:r>
      <w:r w:rsidR="00B570B0" w:rsidRPr="00161FEE">
        <w:rPr>
          <w:rFonts w:ascii="Times New Roman" w:hAnsi="Times New Roman"/>
          <w:sz w:val="24"/>
          <w:szCs w:val="24"/>
          <w:lang w:eastAsia="en-AU"/>
        </w:rPr>
        <w:t>This approach is consistent with the offsets integrity standards outlined in section 133 of the Act, which specif</w:t>
      </w:r>
      <w:r w:rsidR="007E1E6A" w:rsidRPr="00161FEE">
        <w:rPr>
          <w:rFonts w:ascii="Times New Roman" w:hAnsi="Times New Roman"/>
          <w:sz w:val="24"/>
          <w:szCs w:val="24"/>
          <w:lang w:eastAsia="en-AU"/>
        </w:rPr>
        <w:t>y</w:t>
      </w:r>
      <w:r w:rsidR="00B570B0" w:rsidRPr="00161FEE">
        <w:rPr>
          <w:rFonts w:ascii="Times New Roman" w:hAnsi="Times New Roman"/>
          <w:sz w:val="24"/>
          <w:szCs w:val="24"/>
          <w:lang w:eastAsia="en-AU"/>
        </w:rPr>
        <w:t xml:space="preserve"> that a method</w:t>
      </w:r>
      <w:r w:rsidR="00F80670" w:rsidRPr="00161FEE">
        <w:rPr>
          <w:rFonts w:ascii="Times New Roman" w:hAnsi="Times New Roman"/>
          <w:sz w:val="24"/>
          <w:szCs w:val="24"/>
          <w:lang w:eastAsia="en-AU"/>
        </w:rPr>
        <w:t>ology</w:t>
      </w:r>
      <w:r w:rsidR="00B570B0" w:rsidRPr="00161FEE">
        <w:rPr>
          <w:rFonts w:ascii="Times New Roman" w:hAnsi="Times New Roman"/>
          <w:sz w:val="24"/>
          <w:szCs w:val="24"/>
          <w:lang w:eastAsia="en-AU"/>
        </w:rPr>
        <w:t xml:space="preserve"> determination should result in emissions reductions that are unlikely to occur in the ordinary course of events.</w:t>
      </w:r>
      <w:r w:rsidR="002117A2" w:rsidRPr="00161FEE">
        <w:rPr>
          <w:rFonts w:ascii="Times New Roman" w:hAnsi="Times New Roman"/>
          <w:sz w:val="24"/>
          <w:szCs w:val="24"/>
          <w:lang w:eastAsia="en-AU"/>
        </w:rPr>
        <w:t xml:space="preserve"> </w:t>
      </w:r>
      <w:r w:rsidR="0060084B" w:rsidRPr="00161FEE">
        <w:rPr>
          <w:rFonts w:ascii="Times New Roman" w:hAnsi="Times New Roman"/>
          <w:color w:val="000000"/>
          <w:sz w:val="24"/>
          <w:szCs w:val="24"/>
        </w:rPr>
        <w:t xml:space="preserve">The minimum abatement amount is the </w:t>
      </w:r>
      <w:r w:rsidR="00230A22" w:rsidRPr="00161FEE">
        <w:rPr>
          <w:rFonts w:ascii="Times New Roman" w:hAnsi="Times New Roman"/>
          <w:color w:val="000000"/>
          <w:sz w:val="24"/>
          <w:szCs w:val="24"/>
        </w:rPr>
        <w:t xml:space="preserve">reduction in emissions that would arise from </w:t>
      </w:r>
      <w:proofErr w:type="gramStart"/>
      <w:r w:rsidR="0060084B" w:rsidRPr="00161FEE">
        <w:rPr>
          <w:rFonts w:ascii="Times New Roman" w:hAnsi="Times New Roman"/>
          <w:color w:val="000000"/>
          <w:sz w:val="24"/>
          <w:szCs w:val="24"/>
        </w:rPr>
        <w:t>a</w:t>
      </w:r>
      <w:proofErr w:type="gramEnd"/>
      <w:r w:rsidR="0060084B" w:rsidRPr="00161FEE">
        <w:rPr>
          <w:rFonts w:ascii="Times New Roman" w:hAnsi="Times New Roman"/>
          <w:color w:val="000000"/>
          <w:sz w:val="24"/>
          <w:szCs w:val="24"/>
        </w:rPr>
        <w:t xml:space="preserve"> one</w:t>
      </w:r>
      <w:r w:rsidR="00F90108" w:rsidRPr="00161FEE">
        <w:rPr>
          <w:rFonts w:ascii="Times New Roman" w:hAnsi="Times New Roman"/>
          <w:color w:val="000000"/>
          <w:sz w:val="24"/>
          <w:szCs w:val="24"/>
        </w:rPr>
        <w:noBreakHyphen/>
      </w:r>
      <w:proofErr w:type="spellStart"/>
      <w:r w:rsidR="0060084B" w:rsidRPr="00161FEE">
        <w:rPr>
          <w:rFonts w:ascii="Times New Roman" w:hAnsi="Times New Roman"/>
          <w:color w:val="000000"/>
          <w:sz w:val="24"/>
          <w:szCs w:val="24"/>
        </w:rPr>
        <w:t>star</w:t>
      </w:r>
      <w:proofErr w:type="spellEnd"/>
      <w:r w:rsidR="0060084B" w:rsidRPr="00161FEE">
        <w:rPr>
          <w:rFonts w:ascii="Times New Roman" w:hAnsi="Times New Roman"/>
          <w:color w:val="000000"/>
          <w:sz w:val="24"/>
          <w:szCs w:val="24"/>
        </w:rPr>
        <w:t xml:space="preserve"> improvement in the NABERS energy rating for the building, compared to the building’s baseline NABERS energy rating. Th</w:t>
      </w:r>
      <w:r w:rsidR="00CB22A1" w:rsidRPr="00161FEE">
        <w:rPr>
          <w:rFonts w:ascii="Times New Roman" w:hAnsi="Times New Roman"/>
          <w:color w:val="000000"/>
          <w:sz w:val="24"/>
          <w:szCs w:val="24"/>
        </w:rPr>
        <w:t xml:space="preserve">e </w:t>
      </w:r>
      <w:r w:rsidR="00B039E2" w:rsidRPr="00161FEE">
        <w:rPr>
          <w:rFonts w:ascii="Times New Roman" w:hAnsi="Times New Roman"/>
          <w:color w:val="000000"/>
          <w:sz w:val="24"/>
          <w:szCs w:val="24"/>
        </w:rPr>
        <w:t>minimum abatement amount requirement</w:t>
      </w:r>
      <w:r w:rsidR="00CB22A1" w:rsidRPr="00161FEE">
        <w:rPr>
          <w:rFonts w:ascii="Times New Roman" w:hAnsi="Times New Roman"/>
          <w:color w:val="000000"/>
          <w:sz w:val="24"/>
          <w:szCs w:val="24"/>
        </w:rPr>
        <w:t xml:space="preserve"> </w:t>
      </w:r>
      <w:r w:rsidR="00B039E2" w:rsidRPr="00161FEE">
        <w:rPr>
          <w:rFonts w:ascii="Times New Roman" w:hAnsi="Times New Roman"/>
          <w:color w:val="000000"/>
          <w:sz w:val="24"/>
          <w:szCs w:val="24"/>
        </w:rPr>
        <w:t xml:space="preserve">is included to </w:t>
      </w:r>
      <w:r w:rsidR="004B1940" w:rsidRPr="00161FEE">
        <w:rPr>
          <w:rFonts w:ascii="Times New Roman" w:hAnsi="Times New Roman"/>
          <w:color w:val="000000"/>
          <w:sz w:val="24"/>
          <w:szCs w:val="24"/>
        </w:rPr>
        <w:t xml:space="preserve">help </w:t>
      </w:r>
      <w:r w:rsidR="00B039E2" w:rsidRPr="00161FEE">
        <w:rPr>
          <w:rFonts w:ascii="Times New Roman" w:hAnsi="Times New Roman"/>
          <w:color w:val="000000"/>
          <w:sz w:val="24"/>
          <w:szCs w:val="24"/>
        </w:rPr>
        <w:t xml:space="preserve">ensure that </w:t>
      </w:r>
      <w:r w:rsidR="002117A2" w:rsidRPr="00161FEE">
        <w:rPr>
          <w:rFonts w:ascii="Times New Roman" w:hAnsi="Times New Roman"/>
          <w:color w:val="000000"/>
          <w:sz w:val="24"/>
          <w:szCs w:val="24"/>
        </w:rPr>
        <w:t xml:space="preserve">abatement </w:t>
      </w:r>
      <w:r w:rsidR="00B039E2" w:rsidRPr="00161FEE">
        <w:rPr>
          <w:rFonts w:ascii="Times New Roman" w:hAnsi="Times New Roman"/>
          <w:color w:val="000000"/>
          <w:sz w:val="24"/>
          <w:szCs w:val="24"/>
        </w:rPr>
        <w:t xml:space="preserve">is only </w:t>
      </w:r>
      <w:r w:rsidR="00317170" w:rsidRPr="00161FEE">
        <w:rPr>
          <w:rFonts w:ascii="Times New Roman" w:hAnsi="Times New Roman"/>
          <w:color w:val="000000"/>
          <w:sz w:val="24"/>
          <w:szCs w:val="24"/>
        </w:rPr>
        <w:t xml:space="preserve">credited </w:t>
      </w:r>
      <w:r w:rsidR="00B039E2" w:rsidRPr="00161FEE">
        <w:rPr>
          <w:rFonts w:ascii="Times New Roman" w:hAnsi="Times New Roman"/>
          <w:color w:val="000000"/>
          <w:sz w:val="24"/>
          <w:szCs w:val="24"/>
        </w:rPr>
        <w:t xml:space="preserve">where there has been a significant improvement </w:t>
      </w:r>
      <w:r w:rsidR="00317170" w:rsidRPr="00161FEE">
        <w:rPr>
          <w:rFonts w:ascii="Times New Roman" w:hAnsi="Times New Roman"/>
          <w:color w:val="000000"/>
          <w:sz w:val="24"/>
          <w:szCs w:val="24"/>
        </w:rPr>
        <w:t xml:space="preserve">in the </w:t>
      </w:r>
      <w:r w:rsidR="00B039E2" w:rsidRPr="00161FEE">
        <w:rPr>
          <w:rFonts w:ascii="Times New Roman" w:hAnsi="Times New Roman"/>
          <w:color w:val="000000"/>
          <w:sz w:val="24"/>
          <w:szCs w:val="24"/>
        </w:rPr>
        <w:t xml:space="preserve">energy performance </w:t>
      </w:r>
      <w:r w:rsidR="001C11CF" w:rsidRPr="00161FEE">
        <w:rPr>
          <w:rFonts w:ascii="Times New Roman" w:hAnsi="Times New Roman"/>
          <w:color w:val="000000"/>
          <w:sz w:val="24"/>
          <w:szCs w:val="24"/>
        </w:rPr>
        <w:t xml:space="preserve">of the </w:t>
      </w:r>
      <w:r w:rsidR="00317170" w:rsidRPr="00161FEE">
        <w:rPr>
          <w:rFonts w:ascii="Times New Roman" w:hAnsi="Times New Roman"/>
          <w:color w:val="000000"/>
          <w:sz w:val="24"/>
          <w:szCs w:val="24"/>
        </w:rPr>
        <w:t>building</w:t>
      </w:r>
      <w:r w:rsidR="0060084B" w:rsidRPr="00161FEE">
        <w:rPr>
          <w:rFonts w:ascii="Times New Roman" w:hAnsi="Times New Roman"/>
          <w:color w:val="000000"/>
          <w:sz w:val="24"/>
          <w:szCs w:val="24"/>
        </w:rPr>
        <w:t xml:space="preserve">. </w:t>
      </w:r>
    </w:p>
    <w:p w:rsidR="001C4F28" w:rsidRPr="00161FEE" w:rsidRDefault="001C4F28" w:rsidP="00EF433D">
      <w:pPr>
        <w:spacing w:after="120" w:line="240" w:lineRule="auto"/>
        <w:rPr>
          <w:rFonts w:ascii="Times New Roman" w:hAnsi="Times New Roman"/>
          <w:color w:val="000000"/>
          <w:sz w:val="24"/>
          <w:szCs w:val="24"/>
          <w:u w:val="single"/>
        </w:rPr>
      </w:pPr>
    </w:p>
    <w:p w:rsidR="00C9141A" w:rsidRPr="00161FEE" w:rsidRDefault="00B32F8F" w:rsidP="004F41EA">
      <w:pPr>
        <w:spacing w:after="120" w:line="240" w:lineRule="auto"/>
        <w:rPr>
          <w:rFonts w:ascii="Times New Roman" w:hAnsi="Times New Roman"/>
          <w:color w:val="000000"/>
          <w:sz w:val="24"/>
          <w:szCs w:val="24"/>
          <w:u w:val="single"/>
        </w:rPr>
      </w:pPr>
      <w:r w:rsidRPr="00161FEE">
        <w:rPr>
          <w:rFonts w:ascii="Times New Roman" w:hAnsi="Times New Roman"/>
          <w:color w:val="000000"/>
          <w:sz w:val="24"/>
          <w:szCs w:val="24"/>
          <w:u w:val="single"/>
        </w:rPr>
        <w:t>2</w:t>
      </w:r>
      <w:r w:rsidR="00F97BDF" w:rsidRPr="00161FEE">
        <w:rPr>
          <w:rFonts w:ascii="Times New Roman" w:hAnsi="Times New Roman"/>
          <w:color w:val="000000"/>
          <w:sz w:val="24"/>
          <w:szCs w:val="24"/>
          <w:u w:val="single"/>
        </w:rPr>
        <w:t>7</w:t>
      </w:r>
      <w:r w:rsidR="00EF433D" w:rsidRPr="00161FEE">
        <w:rPr>
          <w:rFonts w:ascii="Times New Roman" w:hAnsi="Times New Roman"/>
          <w:color w:val="000000"/>
          <w:sz w:val="24"/>
          <w:szCs w:val="24"/>
          <w:u w:val="single"/>
        </w:rPr>
        <w:tab/>
        <w:t>Minimum abatement amount</w:t>
      </w:r>
    </w:p>
    <w:p w:rsidR="00CB75A8" w:rsidRPr="00161FEE" w:rsidRDefault="00CB75A8" w:rsidP="00171C88">
      <w:pPr>
        <w:spacing w:after="120" w:line="240" w:lineRule="auto"/>
        <w:ind w:right="247"/>
        <w:rPr>
          <w:rFonts w:ascii="Times New Roman" w:hAnsi="Times New Roman"/>
          <w:sz w:val="24"/>
          <w:szCs w:val="24"/>
        </w:rPr>
      </w:pPr>
      <w:r w:rsidRPr="00161FEE">
        <w:rPr>
          <w:rFonts w:ascii="Times New Roman" w:hAnsi="Times New Roman"/>
          <w:sz w:val="24"/>
          <w:szCs w:val="24"/>
        </w:rPr>
        <w:t>For commercial building</w:t>
      </w:r>
      <w:r w:rsidR="004F41EA" w:rsidRPr="00161FEE">
        <w:rPr>
          <w:rFonts w:ascii="Times New Roman" w:hAnsi="Times New Roman"/>
          <w:sz w:val="24"/>
          <w:szCs w:val="24"/>
        </w:rPr>
        <w:t>s</w:t>
      </w:r>
      <w:r w:rsidRPr="00161FEE">
        <w:rPr>
          <w:rFonts w:ascii="Times New Roman" w:hAnsi="Times New Roman"/>
          <w:sz w:val="24"/>
          <w:szCs w:val="24"/>
        </w:rPr>
        <w:t xml:space="preserve"> </w:t>
      </w:r>
      <w:r w:rsidR="004D6193" w:rsidRPr="00161FEE">
        <w:rPr>
          <w:rFonts w:ascii="Times New Roman" w:hAnsi="Times New Roman"/>
          <w:sz w:val="24"/>
          <w:szCs w:val="24"/>
        </w:rPr>
        <w:t xml:space="preserve">projects the minimum abatement amount is calculated using </w:t>
      </w:r>
      <w:r w:rsidR="004D6193" w:rsidRPr="00161FEE">
        <w:rPr>
          <w:rFonts w:ascii="Times New Roman" w:hAnsi="Times New Roman"/>
          <w:b/>
          <w:sz w:val="24"/>
          <w:szCs w:val="24"/>
        </w:rPr>
        <w:t>equation 7</w:t>
      </w:r>
      <w:r w:rsidR="004D6193" w:rsidRPr="00161FEE">
        <w:rPr>
          <w:rFonts w:ascii="Times New Roman" w:hAnsi="Times New Roman"/>
          <w:sz w:val="24"/>
          <w:szCs w:val="24"/>
        </w:rPr>
        <w:t>.</w:t>
      </w:r>
    </w:p>
    <w:p w:rsidR="00764916" w:rsidRPr="00161FEE" w:rsidRDefault="00764916" w:rsidP="00764916">
      <w:pPr>
        <w:spacing w:after="120" w:line="240" w:lineRule="auto"/>
        <w:rPr>
          <w:rFonts w:ascii="Times New Roman" w:hAnsi="Times New Roman"/>
          <w:sz w:val="24"/>
          <w:szCs w:val="24"/>
        </w:rPr>
      </w:pPr>
      <w:r w:rsidRPr="00161FEE">
        <w:rPr>
          <w:rFonts w:ascii="Times New Roman" w:hAnsi="Times New Roman"/>
          <w:sz w:val="24"/>
          <w:szCs w:val="24"/>
        </w:rPr>
        <w:t xml:space="preserve">The minimum abatement amount is estimated with reference to a NABERS energy rating that is one star higher than the baseline NABERS energy rating for the building in the measurement period. This </w:t>
      </w:r>
      <w:r w:rsidR="00C40E96" w:rsidRPr="00161FEE">
        <w:rPr>
          <w:rFonts w:ascii="Times New Roman" w:hAnsi="Times New Roman"/>
          <w:sz w:val="24"/>
          <w:szCs w:val="24"/>
        </w:rPr>
        <w:t xml:space="preserve">rating is used with the </w:t>
      </w:r>
      <w:r w:rsidR="002742B8" w:rsidRPr="00161FEE">
        <w:rPr>
          <w:rFonts w:ascii="Times New Roman" w:hAnsi="Times New Roman"/>
          <w:sz w:val="24"/>
          <w:szCs w:val="24"/>
        </w:rPr>
        <w:t xml:space="preserve">relevant </w:t>
      </w:r>
      <w:r w:rsidR="00C40E96" w:rsidRPr="00161FEE">
        <w:rPr>
          <w:rFonts w:ascii="Times New Roman" w:hAnsi="Times New Roman"/>
          <w:sz w:val="24"/>
          <w:szCs w:val="24"/>
        </w:rPr>
        <w:t>NABERS energy reverse c</w:t>
      </w:r>
      <w:r w:rsidRPr="00161FEE">
        <w:rPr>
          <w:rFonts w:ascii="Times New Roman" w:hAnsi="Times New Roman"/>
          <w:sz w:val="24"/>
          <w:szCs w:val="24"/>
        </w:rPr>
        <w:t xml:space="preserve">alculator to estimate </w:t>
      </w:r>
      <w:r w:rsidR="00AF2B00" w:rsidRPr="00161FEE">
        <w:rPr>
          <w:rFonts w:ascii="Times New Roman" w:hAnsi="Times New Roman"/>
          <w:sz w:val="24"/>
          <w:szCs w:val="24"/>
        </w:rPr>
        <w:t xml:space="preserve">the </w:t>
      </w:r>
      <w:r w:rsidRPr="00161FEE">
        <w:rPr>
          <w:rFonts w:ascii="Times New Roman" w:hAnsi="Times New Roman"/>
          <w:sz w:val="24"/>
          <w:szCs w:val="24"/>
        </w:rPr>
        <w:t xml:space="preserve">emissions </w:t>
      </w:r>
      <w:r w:rsidR="00AF2B00" w:rsidRPr="00161FEE">
        <w:rPr>
          <w:rFonts w:ascii="Times New Roman" w:hAnsi="Times New Roman"/>
          <w:sz w:val="24"/>
          <w:szCs w:val="24"/>
        </w:rPr>
        <w:t>reduction</w:t>
      </w:r>
      <w:r w:rsidR="00BA7534" w:rsidRPr="00161FEE">
        <w:rPr>
          <w:rFonts w:ascii="Times New Roman" w:hAnsi="Times New Roman"/>
          <w:sz w:val="24"/>
          <w:szCs w:val="24"/>
        </w:rPr>
        <w:t>s</w:t>
      </w:r>
      <w:r w:rsidR="00AF2B00" w:rsidRPr="00161FEE">
        <w:rPr>
          <w:rFonts w:ascii="Times New Roman" w:hAnsi="Times New Roman"/>
          <w:sz w:val="24"/>
          <w:szCs w:val="24"/>
        </w:rPr>
        <w:t xml:space="preserve"> </w:t>
      </w:r>
      <w:r w:rsidR="00C62411" w:rsidRPr="00161FEE">
        <w:rPr>
          <w:rFonts w:ascii="Times New Roman" w:hAnsi="Times New Roman"/>
          <w:sz w:val="24"/>
          <w:szCs w:val="24"/>
        </w:rPr>
        <w:t xml:space="preserve">associated with a one star improvement in the </w:t>
      </w:r>
      <w:r w:rsidRPr="00161FEE">
        <w:rPr>
          <w:rFonts w:ascii="Times New Roman" w:hAnsi="Times New Roman"/>
          <w:sz w:val="24"/>
          <w:szCs w:val="24"/>
        </w:rPr>
        <w:t xml:space="preserve">building’s NABERS energy rating. </w:t>
      </w:r>
    </w:p>
    <w:p w:rsidR="00E026DE" w:rsidRPr="00161FEE" w:rsidRDefault="00E963DD" w:rsidP="00E026DE">
      <w:pPr>
        <w:spacing w:after="120" w:line="240" w:lineRule="auto"/>
        <w:rPr>
          <w:rFonts w:ascii="Times New Roman" w:hAnsi="Times New Roman"/>
          <w:sz w:val="24"/>
          <w:szCs w:val="24"/>
        </w:rPr>
      </w:pPr>
      <w:r w:rsidRPr="00161FEE">
        <w:rPr>
          <w:rFonts w:ascii="Times New Roman" w:hAnsi="Times New Roman"/>
          <w:sz w:val="24"/>
          <w:szCs w:val="24"/>
        </w:rPr>
        <w:t>I</w:t>
      </w:r>
      <w:r w:rsidR="00E026DE" w:rsidRPr="00161FEE">
        <w:rPr>
          <w:rFonts w:ascii="Times New Roman" w:hAnsi="Times New Roman"/>
          <w:sz w:val="24"/>
          <w:szCs w:val="24"/>
        </w:rPr>
        <w:t>nputs to the NABERS reverse calculator must be consistent with the NABERS energy rating for the measurement period</w:t>
      </w:r>
      <w:r w:rsidRPr="00161FEE">
        <w:rPr>
          <w:rFonts w:ascii="Times New Roman" w:hAnsi="Times New Roman"/>
          <w:sz w:val="24"/>
          <w:szCs w:val="24"/>
        </w:rPr>
        <w:t xml:space="preserve"> with the exception of the NABERS energy rating, which will be one star higher than the baseline NABERS energy rating for the building.</w:t>
      </w:r>
    </w:p>
    <w:p w:rsidR="00CC53D3" w:rsidRPr="00161FEE" w:rsidRDefault="00E026DE" w:rsidP="00FD4129">
      <w:pPr>
        <w:spacing w:after="120" w:line="240" w:lineRule="auto"/>
        <w:rPr>
          <w:rFonts w:ascii="Times New Roman" w:hAnsi="Times New Roman"/>
          <w:sz w:val="24"/>
          <w:szCs w:val="24"/>
        </w:rPr>
      </w:pPr>
      <w:r w:rsidRPr="00161FEE">
        <w:rPr>
          <w:rFonts w:ascii="Times New Roman" w:hAnsi="Times New Roman"/>
          <w:sz w:val="24"/>
          <w:szCs w:val="24"/>
        </w:rPr>
        <w:t>Electricity and fuel consumption values</w:t>
      </w:r>
      <w:r w:rsidR="00FD4129" w:rsidRPr="00161FEE">
        <w:rPr>
          <w:rFonts w:ascii="Times New Roman" w:hAnsi="Times New Roman"/>
          <w:sz w:val="24"/>
          <w:szCs w:val="24"/>
        </w:rPr>
        <w:t xml:space="preserve"> from the reverse calculator</w:t>
      </w:r>
      <w:r w:rsidRPr="00161FEE">
        <w:rPr>
          <w:rFonts w:ascii="Times New Roman" w:hAnsi="Times New Roman"/>
          <w:sz w:val="24"/>
          <w:szCs w:val="24"/>
        </w:rPr>
        <w:t xml:space="preserve"> are multiplied by the appropriate emissi</w:t>
      </w:r>
      <w:r w:rsidR="00C40E96" w:rsidRPr="00161FEE">
        <w:rPr>
          <w:rFonts w:ascii="Times New Roman" w:hAnsi="Times New Roman"/>
          <w:sz w:val="24"/>
          <w:szCs w:val="24"/>
        </w:rPr>
        <w:t xml:space="preserve">ons factors </w:t>
      </w:r>
      <w:r w:rsidR="00BB7C11" w:rsidRPr="00161FEE">
        <w:rPr>
          <w:rFonts w:ascii="Times New Roman" w:hAnsi="Times New Roman"/>
          <w:sz w:val="24"/>
          <w:szCs w:val="24"/>
        </w:rPr>
        <w:t>to calculate</w:t>
      </w:r>
      <w:r w:rsidRPr="00161FEE">
        <w:rPr>
          <w:rFonts w:ascii="Times New Roman" w:hAnsi="Times New Roman"/>
          <w:sz w:val="24"/>
          <w:szCs w:val="24"/>
        </w:rPr>
        <w:t xml:space="preserve"> emissions in tonnes CO</w:t>
      </w:r>
      <w:r w:rsidRPr="00161FEE">
        <w:rPr>
          <w:rFonts w:ascii="Times New Roman" w:hAnsi="Times New Roman"/>
          <w:sz w:val="24"/>
          <w:szCs w:val="24"/>
          <w:vertAlign w:val="subscript"/>
        </w:rPr>
        <w:t>2</w:t>
      </w:r>
      <w:r w:rsidR="009F5962" w:rsidRPr="00161FEE">
        <w:rPr>
          <w:rFonts w:ascii="Times New Roman" w:hAnsi="Times New Roman"/>
          <w:sz w:val="24"/>
          <w:szCs w:val="24"/>
        </w:rPr>
        <w:noBreakHyphen/>
      </w:r>
      <w:r w:rsidRPr="00161FEE">
        <w:rPr>
          <w:rFonts w:ascii="Times New Roman" w:hAnsi="Times New Roman"/>
          <w:sz w:val="24"/>
          <w:szCs w:val="24"/>
        </w:rPr>
        <w:t>e. Emission</w:t>
      </w:r>
      <w:r w:rsidR="00764916" w:rsidRPr="00161FEE">
        <w:rPr>
          <w:rFonts w:ascii="Times New Roman" w:hAnsi="Times New Roman"/>
          <w:sz w:val="24"/>
          <w:szCs w:val="24"/>
        </w:rPr>
        <w:t xml:space="preserve">s for each energy type are </w:t>
      </w:r>
      <w:r w:rsidRPr="00161FEE">
        <w:rPr>
          <w:rFonts w:ascii="Times New Roman" w:hAnsi="Times New Roman"/>
          <w:sz w:val="24"/>
          <w:szCs w:val="24"/>
        </w:rPr>
        <w:t xml:space="preserve">added to find </w:t>
      </w:r>
      <w:r w:rsidR="005F7A90" w:rsidRPr="00161FEE">
        <w:rPr>
          <w:rFonts w:ascii="Times New Roman" w:hAnsi="Times New Roman"/>
          <w:sz w:val="24"/>
          <w:szCs w:val="24"/>
        </w:rPr>
        <w:t>the total emission</w:t>
      </w:r>
      <w:r w:rsidR="00646D92" w:rsidRPr="00161FEE">
        <w:rPr>
          <w:rFonts w:ascii="Times New Roman" w:hAnsi="Times New Roman"/>
          <w:sz w:val="24"/>
          <w:szCs w:val="24"/>
        </w:rPr>
        <w:t xml:space="preserve">s that would be attributable to the building if its rating was </w:t>
      </w:r>
      <w:r w:rsidR="008053DA" w:rsidRPr="00161FEE">
        <w:rPr>
          <w:rFonts w:ascii="Times New Roman" w:hAnsi="Times New Roman"/>
          <w:sz w:val="24"/>
          <w:szCs w:val="24"/>
        </w:rPr>
        <w:t xml:space="preserve">one star </w:t>
      </w:r>
      <w:r w:rsidR="00646D92" w:rsidRPr="00161FEE">
        <w:rPr>
          <w:rFonts w:ascii="Times New Roman" w:hAnsi="Times New Roman"/>
          <w:sz w:val="24"/>
          <w:szCs w:val="24"/>
        </w:rPr>
        <w:t xml:space="preserve">higher than the baseline </w:t>
      </w:r>
      <w:r w:rsidR="008053DA" w:rsidRPr="00161FEE">
        <w:rPr>
          <w:rFonts w:ascii="Times New Roman" w:hAnsi="Times New Roman"/>
          <w:sz w:val="24"/>
          <w:szCs w:val="24"/>
        </w:rPr>
        <w:t>rating</w:t>
      </w:r>
      <w:r w:rsidRPr="00161FEE">
        <w:rPr>
          <w:rFonts w:ascii="Times New Roman" w:hAnsi="Times New Roman"/>
          <w:sz w:val="24"/>
          <w:szCs w:val="24"/>
        </w:rPr>
        <w:t>.</w:t>
      </w:r>
      <w:r w:rsidR="009F5962" w:rsidRPr="00161FEE">
        <w:rPr>
          <w:rFonts w:ascii="Times New Roman" w:hAnsi="Times New Roman"/>
          <w:sz w:val="24"/>
          <w:szCs w:val="24"/>
        </w:rPr>
        <w:t xml:space="preserve"> </w:t>
      </w:r>
      <w:r w:rsidR="00646D92" w:rsidRPr="00161FEE">
        <w:rPr>
          <w:rFonts w:ascii="Times New Roman" w:hAnsi="Times New Roman"/>
          <w:sz w:val="24"/>
          <w:szCs w:val="24"/>
        </w:rPr>
        <w:t xml:space="preserve">This value is </w:t>
      </w:r>
      <w:r w:rsidR="009F5962" w:rsidRPr="00161FEE">
        <w:rPr>
          <w:rFonts w:ascii="Times New Roman" w:hAnsi="Times New Roman"/>
          <w:sz w:val="24"/>
          <w:szCs w:val="24"/>
        </w:rPr>
        <w:t xml:space="preserve">then subtracted from baseline emissions to </w:t>
      </w:r>
      <w:r w:rsidR="00646D92" w:rsidRPr="00161FEE">
        <w:rPr>
          <w:rFonts w:ascii="Times New Roman" w:hAnsi="Times New Roman"/>
          <w:sz w:val="24"/>
          <w:szCs w:val="24"/>
        </w:rPr>
        <w:t>calculate</w:t>
      </w:r>
      <w:r w:rsidR="009F5962" w:rsidRPr="00161FEE">
        <w:rPr>
          <w:rFonts w:ascii="Times New Roman" w:hAnsi="Times New Roman"/>
          <w:sz w:val="24"/>
          <w:szCs w:val="24"/>
        </w:rPr>
        <w:t xml:space="preserve"> the minimum abatement amount.</w:t>
      </w:r>
      <w:r w:rsidR="00CC53D3" w:rsidRPr="00161FEE">
        <w:rPr>
          <w:rFonts w:ascii="Times New Roman" w:hAnsi="Times New Roman"/>
          <w:sz w:val="24"/>
          <w:szCs w:val="24"/>
        </w:rPr>
        <w:t xml:space="preserve"> </w:t>
      </w:r>
    </w:p>
    <w:p w:rsidR="00CB75A8" w:rsidRPr="00161FEE" w:rsidRDefault="00CC53D3" w:rsidP="00FD4129">
      <w:pPr>
        <w:spacing w:after="120" w:line="240" w:lineRule="auto"/>
        <w:rPr>
          <w:rFonts w:ascii="Times New Roman" w:hAnsi="Times New Roman"/>
          <w:sz w:val="24"/>
          <w:szCs w:val="24"/>
        </w:rPr>
      </w:pPr>
      <w:r w:rsidRPr="00161FEE">
        <w:rPr>
          <w:rFonts w:ascii="Times New Roman" w:hAnsi="Times New Roman"/>
          <w:sz w:val="24"/>
          <w:szCs w:val="24"/>
        </w:rPr>
        <w:t xml:space="preserve">As set out in </w:t>
      </w:r>
      <w:r w:rsidR="00E46BCC" w:rsidRPr="00161FEE">
        <w:rPr>
          <w:rFonts w:ascii="Times New Roman" w:hAnsi="Times New Roman"/>
          <w:sz w:val="24"/>
          <w:szCs w:val="24"/>
        </w:rPr>
        <w:t>section 19</w:t>
      </w:r>
      <w:r w:rsidRPr="00161FEE">
        <w:rPr>
          <w:rFonts w:ascii="Times New Roman" w:hAnsi="Times New Roman"/>
          <w:sz w:val="24"/>
          <w:szCs w:val="24"/>
        </w:rPr>
        <w:t>, each building in the project must meet this minimum threshold for abatement for at least one measurement period in order for emissions reductions from that building to be credited for the current and subsequent reporting period</w:t>
      </w:r>
      <w:r w:rsidR="001F014B" w:rsidRPr="00161FEE">
        <w:rPr>
          <w:rFonts w:ascii="Times New Roman" w:hAnsi="Times New Roman"/>
          <w:sz w:val="24"/>
          <w:szCs w:val="24"/>
        </w:rPr>
        <w:t>s</w:t>
      </w:r>
      <w:r w:rsidRPr="00161FEE">
        <w:rPr>
          <w:rFonts w:ascii="Times New Roman" w:hAnsi="Times New Roman"/>
          <w:sz w:val="24"/>
          <w:szCs w:val="24"/>
        </w:rPr>
        <w:t>.</w:t>
      </w:r>
    </w:p>
    <w:p w:rsidR="00915BEF" w:rsidRPr="00161FEE" w:rsidRDefault="0002096F" w:rsidP="00101B59">
      <w:pPr>
        <w:pageBreakBefore/>
        <w:spacing w:after="120" w:line="240" w:lineRule="auto"/>
        <w:rPr>
          <w:rFonts w:ascii="Times New Roman" w:hAnsi="Times New Roman"/>
          <w:b/>
          <w:color w:val="000000"/>
          <w:sz w:val="24"/>
          <w:szCs w:val="24"/>
        </w:rPr>
      </w:pPr>
      <w:r w:rsidRPr="00161FEE">
        <w:rPr>
          <w:rFonts w:ascii="Times New Roman" w:hAnsi="Times New Roman"/>
          <w:b/>
          <w:color w:val="000000"/>
          <w:sz w:val="24"/>
          <w:szCs w:val="24"/>
        </w:rPr>
        <w:lastRenderedPageBreak/>
        <w:t>Part 5</w:t>
      </w:r>
      <w:r w:rsidR="00915BEF" w:rsidRPr="00161FEE">
        <w:rPr>
          <w:rFonts w:ascii="Times New Roman" w:hAnsi="Times New Roman"/>
          <w:b/>
          <w:color w:val="000000"/>
          <w:sz w:val="24"/>
          <w:szCs w:val="24"/>
        </w:rPr>
        <w:t xml:space="preserve"> </w:t>
      </w:r>
      <w:r w:rsidR="00915BEF" w:rsidRPr="00161FEE">
        <w:rPr>
          <w:rFonts w:ascii="Times New Roman" w:hAnsi="Times New Roman"/>
          <w:b/>
          <w:color w:val="000000"/>
          <w:sz w:val="24"/>
          <w:szCs w:val="24"/>
        </w:rPr>
        <w:tab/>
      </w:r>
      <w:r w:rsidR="00915BEF" w:rsidRPr="00161FEE">
        <w:rPr>
          <w:rFonts w:ascii="Times New Roman" w:hAnsi="Times New Roman"/>
          <w:b/>
          <w:color w:val="000000"/>
          <w:sz w:val="24"/>
          <w:szCs w:val="24"/>
        </w:rPr>
        <w:tab/>
      </w:r>
      <w:r w:rsidR="00700AE9" w:rsidRPr="00161FEE">
        <w:rPr>
          <w:rFonts w:ascii="Times New Roman" w:hAnsi="Times New Roman"/>
          <w:b/>
          <w:color w:val="000000"/>
          <w:sz w:val="24"/>
          <w:szCs w:val="24"/>
        </w:rPr>
        <w:t>Reporting, record-keeping</w:t>
      </w:r>
      <w:r w:rsidR="000212C1" w:rsidRPr="00161FEE">
        <w:rPr>
          <w:rFonts w:ascii="Times New Roman" w:hAnsi="Times New Roman"/>
          <w:b/>
          <w:color w:val="000000"/>
          <w:sz w:val="24"/>
          <w:szCs w:val="24"/>
        </w:rPr>
        <w:t xml:space="preserve"> and monitoring</w:t>
      </w:r>
      <w:r w:rsidR="00700AE9" w:rsidRPr="00161FEE">
        <w:rPr>
          <w:rFonts w:ascii="Times New Roman" w:hAnsi="Times New Roman"/>
          <w:b/>
          <w:color w:val="000000"/>
          <w:sz w:val="24"/>
          <w:szCs w:val="24"/>
        </w:rPr>
        <w:t xml:space="preserve"> requirements</w:t>
      </w:r>
    </w:p>
    <w:p w:rsidR="001B2BA3" w:rsidRPr="00161FEE" w:rsidRDefault="001B2BA3" w:rsidP="001B2BA3">
      <w:pPr>
        <w:spacing w:after="120" w:line="240" w:lineRule="auto"/>
        <w:rPr>
          <w:rFonts w:ascii="Times New Roman" w:eastAsia="Times New Roman" w:hAnsi="Times New Roman"/>
          <w:color w:val="000000"/>
          <w:sz w:val="24"/>
          <w:szCs w:val="24"/>
          <w:lang w:eastAsia="en-AU"/>
        </w:rPr>
      </w:pPr>
      <w:r w:rsidRPr="00161FEE">
        <w:rPr>
          <w:rFonts w:ascii="Times New Roman" w:eastAsia="Times New Roman" w:hAnsi="Times New Roman"/>
          <w:color w:val="000000"/>
          <w:sz w:val="24"/>
          <w:szCs w:val="24"/>
          <w:lang w:eastAsia="en-AU"/>
        </w:rPr>
        <w:t xml:space="preserve">Subsection 106(3) of the Act provides that a methodology determination may </w:t>
      </w:r>
      <w:r w:rsidR="00C4191B">
        <w:rPr>
          <w:rFonts w:ascii="Times New Roman" w:eastAsia="Times New Roman" w:hAnsi="Times New Roman"/>
          <w:color w:val="000000"/>
          <w:sz w:val="24"/>
          <w:szCs w:val="24"/>
          <w:lang w:eastAsia="en-AU"/>
        </w:rPr>
        <w:t>subject</w:t>
      </w:r>
      <w:r w:rsidR="00C4191B" w:rsidRPr="00161FEE">
        <w:rPr>
          <w:rFonts w:ascii="Times New Roman" w:eastAsia="Times New Roman" w:hAnsi="Times New Roman"/>
          <w:color w:val="000000"/>
          <w:sz w:val="24"/>
          <w:szCs w:val="24"/>
          <w:lang w:eastAsia="en-AU"/>
        </w:rPr>
        <w:t xml:space="preserve"> </w:t>
      </w:r>
      <w:r w:rsidRPr="00161FEE">
        <w:rPr>
          <w:rFonts w:ascii="Times New Roman" w:eastAsia="Times New Roman" w:hAnsi="Times New Roman"/>
          <w:color w:val="000000"/>
          <w:sz w:val="24"/>
          <w:szCs w:val="24"/>
          <w:lang w:eastAsia="en-AU"/>
        </w:rPr>
        <w:t xml:space="preserve">the project proponent of an eligible offsets project to specified </w:t>
      </w:r>
      <w:r w:rsidR="000212C1" w:rsidRPr="00161FEE">
        <w:rPr>
          <w:rFonts w:ascii="Times New Roman" w:eastAsia="Times New Roman" w:hAnsi="Times New Roman"/>
          <w:color w:val="000000"/>
          <w:sz w:val="24"/>
          <w:szCs w:val="24"/>
          <w:lang w:eastAsia="en-AU"/>
        </w:rPr>
        <w:t>reporting, record</w:t>
      </w:r>
      <w:r w:rsidR="00925363" w:rsidRPr="00161FEE">
        <w:rPr>
          <w:rFonts w:ascii="Times New Roman" w:eastAsia="Times New Roman" w:hAnsi="Times New Roman"/>
          <w:color w:val="000000"/>
          <w:sz w:val="24"/>
          <w:szCs w:val="24"/>
          <w:lang w:eastAsia="en-AU"/>
        </w:rPr>
        <w:noBreakHyphen/>
      </w:r>
      <w:proofErr w:type="spellStart"/>
      <w:r w:rsidR="000212C1" w:rsidRPr="00161FEE">
        <w:rPr>
          <w:rFonts w:ascii="Times New Roman" w:eastAsia="Times New Roman" w:hAnsi="Times New Roman"/>
          <w:color w:val="000000"/>
          <w:sz w:val="24"/>
          <w:szCs w:val="24"/>
          <w:lang w:eastAsia="en-AU"/>
        </w:rPr>
        <w:t>keeping</w:t>
      </w:r>
      <w:proofErr w:type="spellEnd"/>
      <w:r w:rsidR="000212C1" w:rsidRPr="00161FEE">
        <w:rPr>
          <w:rFonts w:ascii="Times New Roman" w:eastAsia="Times New Roman" w:hAnsi="Times New Roman"/>
          <w:color w:val="000000"/>
          <w:sz w:val="24"/>
          <w:szCs w:val="24"/>
          <w:lang w:eastAsia="en-AU"/>
        </w:rPr>
        <w:t xml:space="preserve"> and </w:t>
      </w:r>
      <w:r w:rsidRPr="00161FEE">
        <w:rPr>
          <w:rFonts w:ascii="Times New Roman" w:eastAsia="Times New Roman" w:hAnsi="Times New Roman"/>
          <w:color w:val="000000"/>
          <w:sz w:val="24"/>
          <w:szCs w:val="24"/>
          <w:lang w:eastAsia="en-AU"/>
        </w:rPr>
        <w:t xml:space="preserve">monitoring requirements. </w:t>
      </w:r>
    </w:p>
    <w:p w:rsidR="001B2BA3" w:rsidRPr="00161FEE" w:rsidRDefault="001B2BA3" w:rsidP="001B2BA3">
      <w:pPr>
        <w:spacing w:after="120" w:line="240" w:lineRule="auto"/>
        <w:rPr>
          <w:rFonts w:ascii="Times New Roman" w:eastAsia="Times New Roman" w:hAnsi="Times New Roman"/>
          <w:color w:val="000000"/>
          <w:sz w:val="24"/>
          <w:szCs w:val="24"/>
          <w:lang w:eastAsia="en-AU"/>
        </w:rPr>
      </w:pPr>
      <w:r w:rsidRPr="00161FEE">
        <w:rPr>
          <w:rFonts w:ascii="Times New Roman" w:eastAsia="Times New Roman" w:hAnsi="Times New Roman"/>
          <w:color w:val="000000"/>
          <w:sz w:val="24"/>
          <w:szCs w:val="24"/>
          <w:lang w:eastAsia="en-AU"/>
        </w:rPr>
        <w:t>Under Parts 1</w:t>
      </w:r>
      <w:r w:rsidR="00C4191B">
        <w:rPr>
          <w:rFonts w:ascii="Times New Roman" w:eastAsia="Times New Roman" w:hAnsi="Times New Roman"/>
          <w:color w:val="000000"/>
          <w:sz w:val="24"/>
          <w:szCs w:val="24"/>
          <w:lang w:eastAsia="en-AU"/>
        </w:rPr>
        <w:t>7</w:t>
      </w:r>
      <w:r w:rsidRPr="00161FEE">
        <w:rPr>
          <w:rFonts w:ascii="Times New Roman" w:eastAsia="Times New Roman" w:hAnsi="Times New Roman"/>
          <w:color w:val="000000"/>
          <w:sz w:val="24"/>
          <w:szCs w:val="24"/>
          <w:lang w:eastAsia="en-AU"/>
        </w:rPr>
        <w:t xml:space="preserve"> and 2</w:t>
      </w:r>
      <w:r w:rsidR="00C4191B">
        <w:rPr>
          <w:rFonts w:ascii="Times New Roman" w:eastAsia="Times New Roman" w:hAnsi="Times New Roman"/>
          <w:color w:val="000000"/>
          <w:sz w:val="24"/>
          <w:szCs w:val="24"/>
          <w:lang w:eastAsia="en-AU"/>
        </w:rPr>
        <w:t>1</w:t>
      </w:r>
      <w:r w:rsidRPr="00161FEE">
        <w:rPr>
          <w:rFonts w:ascii="Times New Roman" w:eastAsia="Times New Roman" w:hAnsi="Times New Roman"/>
          <w:color w:val="000000"/>
          <w:sz w:val="24"/>
          <w:szCs w:val="24"/>
          <w:lang w:eastAsia="en-AU"/>
        </w:rPr>
        <w:t xml:space="preserve"> of the Act, a failure to comply with these requirements may constitute a breach of a civil penalty provision, and a financial penalty may be payable.</w:t>
      </w:r>
    </w:p>
    <w:p w:rsidR="00A81BCE" w:rsidRPr="00161FEE" w:rsidRDefault="001B2BA3" w:rsidP="001B2BA3">
      <w:pPr>
        <w:pStyle w:val="ListParagraph"/>
        <w:spacing w:after="120" w:line="240" w:lineRule="auto"/>
        <w:ind w:left="0"/>
        <w:contextualSpacing/>
        <w:rPr>
          <w:rFonts w:ascii="Times New Roman" w:hAnsi="Times New Roman"/>
          <w:color w:val="000000"/>
          <w:sz w:val="24"/>
          <w:szCs w:val="24"/>
        </w:rPr>
      </w:pPr>
      <w:r w:rsidRPr="00161FEE">
        <w:rPr>
          <w:rFonts w:ascii="Times New Roman" w:hAnsi="Times New Roman"/>
          <w:color w:val="000000"/>
          <w:sz w:val="24"/>
          <w:szCs w:val="24"/>
        </w:rPr>
        <w:t>The monitoring, record-keeping and reporting requirements specified in Part 5 of the</w:t>
      </w:r>
      <w:r w:rsidR="001D2EA6" w:rsidRPr="00161FEE">
        <w:rPr>
          <w:rFonts w:ascii="Times New Roman" w:hAnsi="Times New Roman"/>
          <w:color w:val="000000"/>
          <w:sz w:val="24"/>
          <w:szCs w:val="24"/>
        </w:rPr>
        <w:t xml:space="preserve"> D</w:t>
      </w:r>
      <w:r w:rsidRPr="00161FEE">
        <w:rPr>
          <w:rFonts w:ascii="Times New Roman" w:hAnsi="Times New Roman"/>
          <w:color w:val="000000"/>
          <w:sz w:val="24"/>
          <w:szCs w:val="24"/>
        </w:rPr>
        <w:t xml:space="preserve">etermination are in addition to any requirements specified in the Act, </w:t>
      </w:r>
      <w:r w:rsidR="006B49E7" w:rsidRPr="00161FEE">
        <w:rPr>
          <w:rFonts w:ascii="Times New Roman" w:hAnsi="Times New Roman"/>
          <w:color w:val="000000"/>
          <w:sz w:val="24"/>
          <w:szCs w:val="24"/>
        </w:rPr>
        <w:t>r</w:t>
      </w:r>
      <w:r w:rsidRPr="00161FEE">
        <w:rPr>
          <w:rFonts w:ascii="Times New Roman" w:hAnsi="Times New Roman"/>
          <w:color w:val="000000"/>
          <w:sz w:val="24"/>
          <w:szCs w:val="24"/>
        </w:rPr>
        <w:t>egulations</w:t>
      </w:r>
      <w:r w:rsidR="00303418" w:rsidRPr="00161FEE">
        <w:rPr>
          <w:rFonts w:ascii="Times New Roman" w:hAnsi="Times New Roman"/>
          <w:color w:val="000000"/>
          <w:sz w:val="24"/>
          <w:szCs w:val="24"/>
        </w:rPr>
        <w:t xml:space="preserve"> and</w:t>
      </w:r>
      <w:r w:rsidRPr="00161FEE">
        <w:rPr>
          <w:rFonts w:ascii="Times New Roman" w:hAnsi="Times New Roman"/>
          <w:color w:val="000000"/>
          <w:sz w:val="24"/>
          <w:szCs w:val="24"/>
        </w:rPr>
        <w:t xml:space="preserve"> legislative rules.</w:t>
      </w:r>
      <w:r w:rsidR="001A63D2" w:rsidRPr="00161FEE">
        <w:rPr>
          <w:rFonts w:ascii="Times New Roman" w:hAnsi="Times New Roman"/>
          <w:color w:val="000000"/>
          <w:sz w:val="24"/>
          <w:szCs w:val="24"/>
        </w:rPr>
        <w:t xml:space="preserve"> </w:t>
      </w:r>
    </w:p>
    <w:p w:rsidR="001B2BA3" w:rsidRPr="00161FEE" w:rsidRDefault="001B2BA3" w:rsidP="00742F57">
      <w:pPr>
        <w:spacing w:after="0" w:line="240" w:lineRule="auto"/>
        <w:rPr>
          <w:rFonts w:ascii="Times New Roman" w:hAnsi="Times New Roman"/>
          <w:color w:val="000000"/>
          <w:sz w:val="24"/>
          <w:szCs w:val="24"/>
          <w:u w:val="single"/>
        </w:rPr>
      </w:pPr>
    </w:p>
    <w:p w:rsidR="00BA1F0A" w:rsidRPr="00161FEE" w:rsidRDefault="00FA2105" w:rsidP="00101B59">
      <w:pPr>
        <w:spacing w:after="120" w:line="240" w:lineRule="auto"/>
        <w:rPr>
          <w:rFonts w:ascii="Times New Roman" w:hAnsi="Times New Roman"/>
          <w:color w:val="000000"/>
          <w:sz w:val="24"/>
          <w:szCs w:val="24"/>
          <w:u w:val="single"/>
        </w:rPr>
      </w:pPr>
      <w:r w:rsidRPr="00161FEE">
        <w:rPr>
          <w:rFonts w:ascii="Times New Roman" w:hAnsi="Times New Roman"/>
          <w:color w:val="000000"/>
          <w:sz w:val="24"/>
          <w:szCs w:val="24"/>
          <w:u w:val="single"/>
        </w:rPr>
        <w:t>Reporting periods</w:t>
      </w:r>
    </w:p>
    <w:p w:rsidR="00C33970" w:rsidRPr="00161FEE" w:rsidRDefault="00C33970" w:rsidP="00C33970">
      <w:pPr>
        <w:spacing w:after="120" w:line="240" w:lineRule="auto"/>
        <w:rPr>
          <w:rFonts w:ascii="Times New Roman" w:hAnsi="Times New Roman"/>
          <w:sz w:val="24"/>
          <w:szCs w:val="24"/>
        </w:rPr>
      </w:pPr>
      <w:r w:rsidRPr="00161FEE">
        <w:rPr>
          <w:rFonts w:ascii="Times New Roman" w:hAnsi="Times New Roman"/>
          <w:sz w:val="24"/>
          <w:szCs w:val="24"/>
        </w:rPr>
        <w:t>T</w:t>
      </w:r>
      <w:bookmarkStart w:id="3" w:name="OLE_LINK1"/>
      <w:bookmarkStart w:id="4" w:name="OLE_LINK2"/>
      <w:r w:rsidRPr="00161FEE">
        <w:rPr>
          <w:rFonts w:ascii="Times New Roman" w:hAnsi="Times New Roman"/>
          <w:sz w:val="24"/>
          <w:szCs w:val="24"/>
        </w:rPr>
        <w:t xml:space="preserve">he Act and subordinate legislation provide for flexible reporting periods between six months and two years in duration. Proponents should be aware that the Act and subordinate legislation may also specify other reporting and notification requirements affecting the Determination, including </w:t>
      </w:r>
      <w:proofErr w:type="gramStart"/>
      <w:r w:rsidRPr="00161FEE">
        <w:rPr>
          <w:rFonts w:ascii="Times New Roman" w:hAnsi="Times New Roman"/>
          <w:sz w:val="24"/>
          <w:szCs w:val="24"/>
        </w:rPr>
        <w:t>to allow</w:t>
      </w:r>
      <w:proofErr w:type="gramEnd"/>
      <w:r w:rsidRPr="00161FEE">
        <w:rPr>
          <w:rFonts w:ascii="Times New Roman" w:hAnsi="Times New Roman"/>
          <w:sz w:val="24"/>
          <w:szCs w:val="24"/>
        </w:rPr>
        <w:t xml:space="preserve"> shorter reporting periods.</w:t>
      </w:r>
    </w:p>
    <w:p w:rsidR="00742F57" w:rsidRPr="00161FEE" w:rsidRDefault="004E2C87" w:rsidP="00742F57">
      <w:pPr>
        <w:spacing w:after="120" w:line="240" w:lineRule="auto"/>
        <w:rPr>
          <w:rFonts w:ascii="Times New Roman" w:hAnsi="Times New Roman"/>
          <w:sz w:val="24"/>
          <w:szCs w:val="24"/>
        </w:rPr>
      </w:pPr>
      <w:r w:rsidRPr="00161FEE">
        <w:rPr>
          <w:rFonts w:ascii="Times New Roman" w:hAnsi="Times New Roman"/>
          <w:sz w:val="24"/>
          <w:szCs w:val="24"/>
        </w:rPr>
        <w:t xml:space="preserve">As described in Part 1 of this Explanatory Statement, NABERS energy ratings correspond to 12 months of energy consumption data, so reporting periods that meet </w:t>
      </w:r>
      <w:r w:rsidR="00A43612" w:rsidRPr="00161FEE">
        <w:rPr>
          <w:rFonts w:ascii="Times New Roman" w:hAnsi="Times New Roman"/>
          <w:sz w:val="24"/>
          <w:szCs w:val="24"/>
        </w:rPr>
        <w:t xml:space="preserve">the </w:t>
      </w:r>
      <w:r w:rsidRPr="00161FEE">
        <w:rPr>
          <w:rFonts w:ascii="Times New Roman" w:hAnsi="Times New Roman"/>
          <w:sz w:val="24"/>
          <w:szCs w:val="24"/>
        </w:rPr>
        <w:t xml:space="preserve">requirements set out in the calculations at Part 4 of the Determination can only be 12 </w:t>
      </w:r>
      <w:r w:rsidR="00E3263C" w:rsidRPr="00161FEE">
        <w:rPr>
          <w:rFonts w:ascii="Times New Roman" w:hAnsi="Times New Roman"/>
          <w:sz w:val="24"/>
          <w:szCs w:val="24"/>
        </w:rPr>
        <w:t xml:space="preserve">months </w:t>
      </w:r>
      <w:r w:rsidRPr="00161FEE">
        <w:rPr>
          <w:rFonts w:ascii="Times New Roman" w:hAnsi="Times New Roman"/>
          <w:sz w:val="24"/>
          <w:szCs w:val="24"/>
        </w:rPr>
        <w:t>or 24 months</w:t>
      </w:r>
      <w:bookmarkEnd w:id="3"/>
      <w:bookmarkEnd w:id="4"/>
      <w:r w:rsidRPr="00161FEE">
        <w:rPr>
          <w:rFonts w:ascii="Times New Roman" w:hAnsi="Times New Roman"/>
          <w:sz w:val="24"/>
          <w:szCs w:val="24"/>
        </w:rPr>
        <w:t xml:space="preserve"> in length. </w:t>
      </w:r>
    </w:p>
    <w:p w:rsidR="00742F57" w:rsidRPr="00161FEE" w:rsidRDefault="00742F57" w:rsidP="00742F57">
      <w:pPr>
        <w:spacing w:after="0" w:line="240" w:lineRule="auto"/>
        <w:rPr>
          <w:rFonts w:ascii="Times New Roman" w:hAnsi="Times New Roman"/>
          <w:sz w:val="24"/>
          <w:szCs w:val="24"/>
        </w:rPr>
      </w:pPr>
    </w:p>
    <w:p w:rsidR="007D78E6" w:rsidRPr="00161FEE" w:rsidRDefault="000C2A06" w:rsidP="00742F57">
      <w:pPr>
        <w:spacing w:after="120" w:line="240" w:lineRule="auto"/>
        <w:rPr>
          <w:rFonts w:ascii="Times New Roman" w:hAnsi="Times New Roman"/>
          <w:sz w:val="24"/>
          <w:szCs w:val="24"/>
        </w:rPr>
      </w:pPr>
      <w:r w:rsidRPr="00161FEE">
        <w:rPr>
          <w:rFonts w:ascii="Times New Roman" w:hAnsi="Times New Roman"/>
          <w:color w:val="000000"/>
          <w:sz w:val="24"/>
          <w:szCs w:val="24"/>
          <w:u w:val="single"/>
        </w:rPr>
        <w:t>A</w:t>
      </w:r>
      <w:r w:rsidR="007D78E6" w:rsidRPr="00161FEE">
        <w:rPr>
          <w:rFonts w:ascii="Times New Roman" w:hAnsi="Times New Roman"/>
          <w:color w:val="000000"/>
          <w:sz w:val="24"/>
          <w:szCs w:val="24"/>
          <w:u w:val="single"/>
        </w:rPr>
        <w:t>udit requirements</w:t>
      </w:r>
    </w:p>
    <w:p w:rsidR="007002E7" w:rsidRPr="00161FEE" w:rsidRDefault="007D78E6" w:rsidP="004A7610">
      <w:pPr>
        <w:spacing w:after="120" w:line="240" w:lineRule="auto"/>
        <w:rPr>
          <w:rFonts w:ascii="Times New Roman" w:hAnsi="Times New Roman"/>
          <w:sz w:val="24"/>
          <w:szCs w:val="24"/>
        </w:rPr>
      </w:pPr>
      <w:r w:rsidRPr="00161FEE">
        <w:rPr>
          <w:rFonts w:ascii="Times New Roman" w:hAnsi="Times New Roman"/>
          <w:sz w:val="24"/>
          <w:szCs w:val="24"/>
        </w:rPr>
        <w:t xml:space="preserve">The Act </w:t>
      </w:r>
      <w:r w:rsidR="00842F89" w:rsidRPr="00161FEE">
        <w:rPr>
          <w:rFonts w:ascii="Times New Roman" w:hAnsi="Times New Roman"/>
          <w:sz w:val="24"/>
          <w:szCs w:val="24"/>
        </w:rPr>
        <w:t>provides for</w:t>
      </w:r>
      <w:r w:rsidRPr="00161FEE">
        <w:rPr>
          <w:rFonts w:ascii="Times New Roman" w:hAnsi="Times New Roman"/>
          <w:sz w:val="24"/>
          <w:szCs w:val="24"/>
        </w:rPr>
        <w:t xml:space="preserve"> a risk-based approach to auditing emissions reductions. Subsection</w:t>
      </w:r>
      <w:r w:rsidR="00653F4C" w:rsidRPr="00161FEE">
        <w:rPr>
          <w:rFonts w:ascii="Times New Roman" w:hAnsi="Times New Roman"/>
          <w:sz w:val="24"/>
          <w:szCs w:val="24"/>
        </w:rPr>
        <w:t>s 13(1) and</w:t>
      </w:r>
      <w:r w:rsidR="005736CC" w:rsidRPr="00161FEE">
        <w:rPr>
          <w:rFonts w:ascii="Times New Roman" w:hAnsi="Times New Roman"/>
          <w:sz w:val="24"/>
          <w:szCs w:val="24"/>
        </w:rPr>
        <w:t xml:space="preserve"> 76(4) of the Act provide</w:t>
      </w:r>
      <w:r w:rsidRPr="00161FEE">
        <w:rPr>
          <w:rFonts w:ascii="Times New Roman" w:hAnsi="Times New Roman"/>
          <w:sz w:val="24"/>
          <w:szCs w:val="24"/>
        </w:rPr>
        <w:t xml:space="preserve"> for legislative rules to be made by the Minister, specifying the level of assurance, </w:t>
      </w:r>
      <w:r w:rsidR="00925363" w:rsidRPr="00161FEE">
        <w:rPr>
          <w:rFonts w:ascii="Times New Roman" w:hAnsi="Times New Roman"/>
          <w:sz w:val="24"/>
          <w:szCs w:val="24"/>
        </w:rPr>
        <w:t xml:space="preserve">and the </w:t>
      </w:r>
      <w:r w:rsidRPr="00161FEE">
        <w:rPr>
          <w:rFonts w:ascii="Times New Roman" w:hAnsi="Times New Roman"/>
          <w:sz w:val="24"/>
          <w:szCs w:val="24"/>
        </w:rPr>
        <w:t>frequency and scope of the audit report that must be provided with project reports for different types of projects.</w:t>
      </w:r>
    </w:p>
    <w:p w:rsidR="00866B57" w:rsidRPr="00161FEE" w:rsidRDefault="00866B57" w:rsidP="007D78E6">
      <w:pPr>
        <w:pStyle w:val="ListParagraph"/>
        <w:keepNext/>
        <w:keepLines/>
        <w:spacing w:after="120" w:line="240" w:lineRule="auto"/>
        <w:ind w:left="0"/>
        <w:contextualSpacing/>
        <w:rPr>
          <w:rFonts w:ascii="Times New Roman" w:hAnsi="Times New Roman"/>
          <w:color w:val="000000"/>
          <w:sz w:val="24"/>
          <w:szCs w:val="24"/>
        </w:rPr>
      </w:pPr>
    </w:p>
    <w:p w:rsidR="00866B57" w:rsidRPr="00161FEE" w:rsidRDefault="00866B57" w:rsidP="007D78E6">
      <w:pPr>
        <w:pStyle w:val="ListParagraph"/>
        <w:keepNext/>
        <w:keepLines/>
        <w:spacing w:after="120" w:line="240" w:lineRule="auto"/>
        <w:ind w:left="0"/>
        <w:contextualSpacing/>
        <w:rPr>
          <w:rFonts w:ascii="Times New Roman" w:hAnsi="Times New Roman"/>
          <w:color w:val="000000"/>
          <w:sz w:val="24"/>
          <w:szCs w:val="24"/>
          <w:u w:val="single"/>
        </w:rPr>
      </w:pPr>
      <w:r w:rsidRPr="00161FEE">
        <w:rPr>
          <w:rFonts w:ascii="Times New Roman" w:hAnsi="Times New Roman"/>
          <w:color w:val="000000"/>
          <w:sz w:val="24"/>
          <w:szCs w:val="24"/>
          <w:u w:val="single"/>
        </w:rPr>
        <w:t>Notification requirements</w:t>
      </w:r>
    </w:p>
    <w:p w:rsidR="0081306A" w:rsidRPr="00161FEE" w:rsidRDefault="00E127F6" w:rsidP="00B5233A">
      <w:pPr>
        <w:spacing w:after="120" w:line="240" w:lineRule="auto"/>
        <w:rPr>
          <w:rFonts w:ascii="Times New Roman" w:hAnsi="Times New Roman"/>
          <w:sz w:val="24"/>
          <w:szCs w:val="24"/>
        </w:rPr>
      </w:pPr>
      <w:r w:rsidRPr="00161FEE">
        <w:rPr>
          <w:rFonts w:ascii="Times New Roman" w:hAnsi="Times New Roman"/>
          <w:sz w:val="24"/>
          <w:szCs w:val="24"/>
        </w:rPr>
        <w:t>No notification requirements are specified in the Determination</w:t>
      </w:r>
      <w:r w:rsidR="00DD0257" w:rsidRPr="00161FEE">
        <w:rPr>
          <w:rFonts w:ascii="Times New Roman" w:hAnsi="Times New Roman"/>
          <w:sz w:val="24"/>
          <w:szCs w:val="24"/>
        </w:rPr>
        <w:t>. The</w:t>
      </w:r>
      <w:r w:rsidRPr="00161FEE">
        <w:rPr>
          <w:rFonts w:ascii="Times New Roman" w:hAnsi="Times New Roman"/>
          <w:sz w:val="24"/>
          <w:szCs w:val="24"/>
        </w:rPr>
        <w:t xml:space="preserve"> Act and legislative rules</w:t>
      </w:r>
      <w:r w:rsidR="004A040D" w:rsidRPr="00161FEE">
        <w:rPr>
          <w:rFonts w:ascii="Times New Roman" w:hAnsi="Times New Roman"/>
          <w:sz w:val="24"/>
          <w:szCs w:val="24"/>
        </w:rPr>
        <w:t xml:space="preserve"> </w:t>
      </w:r>
      <w:r w:rsidRPr="00161FEE">
        <w:rPr>
          <w:rFonts w:ascii="Times New Roman" w:hAnsi="Times New Roman"/>
          <w:sz w:val="24"/>
          <w:szCs w:val="24"/>
        </w:rPr>
        <w:t xml:space="preserve">specify notification requirements that apply to all ERF projects. </w:t>
      </w:r>
      <w:r w:rsidR="00B5233A" w:rsidRPr="00161FEE">
        <w:rPr>
          <w:rFonts w:ascii="Times New Roman" w:hAnsi="Times New Roman"/>
          <w:sz w:val="24"/>
          <w:szCs w:val="24"/>
        </w:rPr>
        <w:t xml:space="preserve"> </w:t>
      </w:r>
    </w:p>
    <w:p w:rsidR="00CE3B36" w:rsidRPr="00161FEE" w:rsidRDefault="00CE3B36" w:rsidP="00CE3B36">
      <w:pPr>
        <w:pStyle w:val="ListParagraph"/>
        <w:spacing w:after="120" w:line="240" w:lineRule="auto"/>
        <w:rPr>
          <w:rFonts w:ascii="Times New Roman" w:hAnsi="Times New Roman"/>
          <w:color w:val="000000"/>
          <w:sz w:val="24"/>
          <w:szCs w:val="24"/>
        </w:rPr>
      </w:pPr>
    </w:p>
    <w:p w:rsidR="00915BEF" w:rsidRPr="00161FEE" w:rsidRDefault="0002096F" w:rsidP="00935E9D">
      <w:pPr>
        <w:keepNext/>
        <w:spacing w:after="120" w:line="240" w:lineRule="auto"/>
        <w:rPr>
          <w:rFonts w:ascii="Times New Roman" w:hAnsi="Times New Roman"/>
          <w:b/>
          <w:color w:val="000000"/>
          <w:sz w:val="24"/>
          <w:szCs w:val="24"/>
        </w:rPr>
      </w:pPr>
      <w:r w:rsidRPr="00161FEE">
        <w:rPr>
          <w:rFonts w:ascii="Times New Roman" w:hAnsi="Times New Roman"/>
          <w:b/>
          <w:color w:val="000000"/>
          <w:sz w:val="24"/>
          <w:szCs w:val="24"/>
        </w:rPr>
        <w:t xml:space="preserve">Division </w:t>
      </w:r>
      <w:r w:rsidR="00700AE9" w:rsidRPr="00161FEE">
        <w:rPr>
          <w:rFonts w:ascii="Times New Roman" w:hAnsi="Times New Roman"/>
          <w:b/>
          <w:color w:val="000000"/>
          <w:sz w:val="24"/>
          <w:szCs w:val="24"/>
        </w:rPr>
        <w:t>1</w:t>
      </w:r>
      <w:r w:rsidR="00915BEF" w:rsidRPr="00161FEE">
        <w:rPr>
          <w:rFonts w:ascii="Times New Roman" w:hAnsi="Times New Roman"/>
          <w:b/>
          <w:color w:val="000000"/>
          <w:sz w:val="24"/>
          <w:szCs w:val="24"/>
        </w:rPr>
        <w:tab/>
      </w:r>
      <w:r w:rsidR="00700AE9" w:rsidRPr="00161FEE">
        <w:rPr>
          <w:rFonts w:ascii="Times New Roman" w:hAnsi="Times New Roman"/>
          <w:b/>
          <w:color w:val="000000"/>
          <w:sz w:val="24"/>
          <w:szCs w:val="24"/>
        </w:rPr>
        <w:t>Offsets report requirements</w:t>
      </w:r>
    </w:p>
    <w:p w:rsidR="00915BEF" w:rsidRPr="00161FEE" w:rsidRDefault="00B32F8F" w:rsidP="00935E9D">
      <w:pPr>
        <w:keepNext/>
        <w:spacing w:after="120" w:line="240" w:lineRule="auto"/>
        <w:rPr>
          <w:rFonts w:ascii="Times New Roman" w:hAnsi="Times New Roman"/>
          <w:color w:val="000000"/>
          <w:sz w:val="24"/>
          <w:szCs w:val="24"/>
          <w:u w:val="single"/>
        </w:rPr>
      </w:pPr>
      <w:r w:rsidRPr="00161FEE">
        <w:rPr>
          <w:rFonts w:ascii="Times New Roman" w:hAnsi="Times New Roman"/>
          <w:color w:val="000000"/>
          <w:sz w:val="24"/>
          <w:szCs w:val="24"/>
          <w:u w:val="single"/>
        </w:rPr>
        <w:t>2</w:t>
      </w:r>
      <w:r w:rsidR="00F97BDF" w:rsidRPr="00161FEE">
        <w:rPr>
          <w:rFonts w:ascii="Times New Roman" w:hAnsi="Times New Roman"/>
          <w:color w:val="000000"/>
          <w:sz w:val="24"/>
          <w:szCs w:val="24"/>
          <w:u w:val="single"/>
        </w:rPr>
        <w:t>8</w:t>
      </w:r>
      <w:r w:rsidR="00915BEF" w:rsidRPr="00161FEE">
        <w:rPr>
          <w:rFonts w:ascii="Times New Roman" w:hAnsi="Times New Roman"/>
          <w:color w:val="000000"/>
          <w:sz w:val="24"/>
          <w:szCs w:val="24"/>
          <w:u w:val="single"/>
        </w:rPr>
        <w:tab/>
      </w:r>
      <w:r w:rsidR="00700AE9" w:rsidRPr="00161FEE">
        <w:rPr>
          <w:rFonts w:ascii="Times New Roman" w:hAnsi="Times New Roman"/>
          <w:color w:val="000000"/>
          <w:sz w:val="24"/>
          <w:szCs w:val="24"/>
          <w:u w:val="single"/>
        </w:rPr>
        <w:t>Operation of this Division</w:t>
      </w:r>
    </w:p>
    <w:p w:rsidR="00700AE9" w:rsidRPr="00161FEE" w:rsidRDefault="00F9581E" w:rsidP="00101B59">
      <w:pPr>
        <w:spacing w:after="120" w:line="240" w:lineRule="auto"/>
        <w:rPr>
          <w:rFonts w:ascii="Times New Roman" w:hAnsi="Times New Roman"/>
          <w:color w:val="000000"/>
          <w:sz w:val="24"/>
          <w:szCs w:val="24"/>
        </w:rPr>
      </w:pPr>
      <w:r w:rsidRPr="00161FEE">
        <w:rPr>
          <w:rFonts w:ascii="Times New Roman" w:hAnsi="Times New Roman"/>
          <w:sz w:val="24"/>
          <w:szCs w:val="24"/>
        </w:rPr>
        <w:t>The effect of paragraph 106(3</w:t>
      </w:r>
      <w:proofErr w:type="gramStart"/>
      <w:r w:rsidRPr="00161FEE">
        <w:rPr>
          <w:rFonts w:ascii="Times New Roman" w:hAnsi="Times New Roman"/>
          <w:sz w:val="24"/>
          <w:szCs w:val="24"/>
        </w:rPr>
        <w:t>)(</w:t>
      </w:r>
      <w:proofErr w:type="gramEnd"/>
      <w:r w:rsidRPr="00161FEE">
        <w:rPr>
          <w:rFonts w:ascii="Times New Roman" w:hAnsi="Times New Roman"/>
          <w:sz w:val="24"/>
          <w:szCs w:val="24"/>
        </w:rPr>
        <w:t>a) of the Act is that a methodology determination</w:t>
      </w:r>
      <w:r w:rsidR="00842F89" w:rsidRPr="00161FEE">
        <w:rPr>
          <w:rFonts w:ascii="Times New Roman" w:hAnsi="Times New Roman"/>
          <w:sz w:val="24"/>
          <w:szCs w:val="24"/>
        </w:rPr>
        <w:t xml:space="preserve"> may</w:t>
      </w:r>
      <w:r w:rsidRPr="00161FEE">
        <w:rPr>
          <w:rFonts w:ascii="Times New Roman" w:hAnsi="Times New Roman"/>
          <w:sz w:val="24"/>
          <w:szCs w:val="24"/>
        </w:rPr>
        <w:t xml:space="preserve"> set out requirements to be included in each offsets report.</w:t>
      </w:r>
    </w:p>
    <w:p w:rsidR="00F9581E" w:rsidRPr="00161FEE" w:rsidRDefault="00F9581E" w:rsidP="00101B59">
      <w:pPr>
        <w:spacing w:after="120" w:line="240" w:lineRule="auto"/>
        <w:rPr>
          <w:rFonts w:ascii="Times New Roman" w:hAnsi="Times New Roman"/>
          <w:color w:val="000000"/>
          <w:sz w:val="24"/>
          <w:szCs w:val="24"/>
        </w:rPr>
      </w:pPr>
    </w:p>
    <w:p w:rsidR="00700AE9" w:rsidRPr="00161FEE" w:rsidRDefault="00F97BDF" w:rsidP="00101B59">
      <w:pPr>
        <w:keepNext/>
        <w:spacing w:after="120" w:line="240" w:lineRule="auto"/>
        <w:rPr>
          <w:rFonts w:ascii="Times New Roman" w:hAnsi="Times New Roman"/>
          <w:color w:val="000000"/>
          <w:sz w:val="24"/>
          <w:szCs w:val="24"/>
          <w:u w:val="single"/>
        </w:rPr>
      </w:pPr>
      <w:bookmarkStart w:id="5" w:name="_Toc318098665"/>
      <w:bookmarkStart w:id="6" w:name="_Toc319521136"/>
      <w:r w:rsidRPr="00161FEE">
        <w:rPr>
          <w:rFonts w:ascii="Times New Roman" w:hAnsi="Times New Roman"/>
          <w:color w:val="000000"/>
          <w:sz w:val="24"/>
          <w:szCs w:val="24"/>
          <w:u w:val="single"/>
        </w:rPr>
        <w:t>29</w:t>
      </w:r>
      <w:r w:rsidR="00700AE9" w:rsidRPr="00161FEE">
        <w:rPr>
          <w:rFonts w:ascii="Times New Roman" w:hAnsi="Times New Roman"/>
          <w:color w:val="000000"/>
          <w:sz w:val="24"/>
          <w:szCs w:val="24"/>
          <w:u w:val="single"/>
        </w:rPr>
        <w:tab/>
        <w:t>Information that must be included in an offsets report</w:t>
      </w:r>
    </w:p>
    <w:p w:rsidR="00FC3652" w:rsidRDefault="007D78E6" w:rsidP="007D78E6">
      <w:p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Further to requirements under the A</w:t>
      </w:r>
      <w:r w:rsidR="006564CD" w:rsidRPr="00161FEE">
        <w:rPr>
          <w:rFonts w:ascii="Times New Roman" w:hAnsi="Times New Roman"/>
          <w:color w:val="000000"/>
          <w:sz w:val="24"/>
          <w:szCs w:val="24"/>
        </w:rPr>
        <w:t>ct or subordinate legislation, s</w:t>
      </w:r>
      <w:r w:rsidRPr="00161FEE">
        <w:rPr>
          <w:rFonts w:ascii="Times New Roman" w:hAnsi="Times New Roman"/>
          <w:color w:val="000000"/>
          <w:sz w:val="24"/>
          <w:szCs w:val="24"/>
        </w:rPr>
        <w:t xml:space="preserve">ection </w:t>
      </w:r>
      <w:r w:rsidR="00F97BDF" w:rsidRPr="00161FEE">
        <w:rPr>
          <w:rFonts w:ascii="Times New Roman" w:hAnsi="Times New Roman"/>
          <w:color w:val="000000"/>
          <w:sz w:val="24"/>
          <w:szCs w:val="24"/>
        </w:rPr>
        <w:t>29</w:t>
      </w:r>
      <w:r w:rsidR="00B32F8F" w:rsidRPr="00161FEE">
        <w:rPr>
          <w:rFonts w:ascii="Times New Roman" w:hAnsi="Times New Roman"/>
          <w:color w:val="000000"/>
          <w:sz w:val="24"/>
          <w:szCs w:val="24"/>
        </w:rPr>
        <w:t xml:space="preserve"> </w:t>
      </w:r>
      <w:r w:rsidRPr="00161FEE">
        <w:rPr>
          <w:rFonts w:ascii="Times New Roman" w:hAnsi="Times New Roman"/>
          <w:color w:val="000000"/>
          <w:sz w:val="24"/>
          <w:szCs w:val="24"/>
        </w:rPr>
        <w:t xml:space="preserve">sets out specific additional information </w:t>
      </w:r>
      <w:r w:rsidR="001E7401" w:rsidRPr="00161FEE">
        <w:rPr>
          <w:rFonts w:ascii="Times New Roman" w:hAnsi="Times New Roman"/>
          <w:color w:val="000000"/>
          <w:sz w:val="24"/>
          <w:szCs w:val="24"/>
        </w:rPr>
        <w:t>that must be included in each offsets report</w:t>
      </w:r>
      <w:r w:rsidRPr="00161FEE">
        <w:rPr>
          <w:rFonts w:ascii="Times New Roman" w:hAnsi="Times New Roman"/>
          <w:color w:val="000000"/>
          <w:sz w:val="24"/>
          <w:szCs w:val="24"/>
        </w:rPr>
        <w:t xml:space="preserve"> for a commercial buildings project</w:t>
      </w:r>
      <w:r w:rsidR="001E7401" w:rsidRPr="00161FEE">
        <w:rPr>
          <w:rFonts w:ascii="Times New Roman" w:hAnsi="Times New Roman"/>
          <w:color w:val="000000"/>
          <w:sz w:val="24"/>
          <w:szCs w:val="24"/>
        </w:rPr>
        <w:t xml:space="preserve">. </w:t>
      </w:r>
    </w:p>
    <w:p w:rsidR="00FC3652" w:rsidRDefault="00FC3652">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A416C3" w:rsidRPr="00161FEE" w:rsidRDefault="00E924EF" w:rsidP="009A7922">
      <w:pPr>
        <w:spacing w:after="120" w:line="240" w:lineRule="auto"/>
        <w:rPr>
          <w:rFonts w:ascii="Times New Roman" w:hAnsi="Times New Roman"/>
          <w:color w:val="000000"/>
          <w:sz w:val="24"/>
          <w:szCs w:val="24"/>
        </w:rPr>
      </w:pPr>
      <w:r w:rsidRPr="00161FEE">
        <w:rPr>
          <w:rFonts w:ascii="Times New Roman" w:hAnsi="Times New Roman"/>
          <w:color w:val="000000"/>
          <w:sz w:val="24"/>
          <w:szCs w:val="24"/>
        </w:rPr>
        <w:lastRenderedPageBreak/>
        <w:t>T</w:t>
      </w:r>
      <w:r w:rsidR="009A7922" w:rsidRPr="00161FEE">
        <w:rPr>
          <w:rFonts w:ascii="Times New Roman" w:hAnsi="Times New Roman"/>
          <w:color w:val="000000"/>
          <w:sz w:val="24"/>
          <w:szCs w:val="24"/>
        </w:rPr>
        <w:t>he offsets r</w:t>
      </w:r>
      <w:r w:rsidR="005376EF" w:rsidRPr="00161FEE">
        <w:rPr>
          <w:rFonts w:ascii="Times New Roman" w:hAnsi="Times New Roman"/>
          <w:color w:val="000000"/>
          <w:sz w:val="24"/>
          <w:szCs w:val="24"/>
        </w:rPr>
        <w:t>eport for</w:t>
      </w:r>
      <w:r w:rsidRPr="00161FEE">
        <w:rPr>
          <w:rFonts w:ascii="Times New Roman" w:hAnsi="Times New Roman"/>
          <w:color w:val="000000"/>
          <w:sz w:val="24"/>
          <w:szCs w:val="24"/>
        </w:rPr>
        <w:t xml:space="preserve"> the first reporting period of</w:t>
      </w:r>
      <w:r w:rsidR="005376EF" w:rsidRPr="00161FEE">
        <w:rPr>
          <w:rFonts w:ascii="Times New Roman" w:hAnsi="Times New Roman"/>
          <w:color w:val="000000"/>
          <w:sz w:val="24"/>
          <w:szCs w:val="24"/>
        </w:rPr>
        <w:t xml:space="preserve"> a commercial buildings </w:t>
      </w:r>
      <w:r w:rsidR="009A7922" w:rsidRPr="00161FEE">
        <w:rPr>
          <w:rFonts w:ascii="Times New Roman" w:hAnsi="Times New Roman"/>
          <w:color w:val="000000"/>
          <w:sz w:val="24"/>
          <w:szCs w:val="24"/>
        </w:rPr>
        <w:t>project must include</w:t>
      </w:r>
      <w:r w:rsidR="00A416C3" w:rsidRPr="00161FEE">
        <w:rPr>
          <w:rFonts w:ascii="Times New Roman" w:hAnsi="Times New Roman"/>
          <w:color w:val="000000"/>
          <w:sz w:val="24"/>
          <w:szCs w:val="24"/>
        </w:rPr>
        <w:t xml:space="preserve"> the following</w:t>
      </w:r>
      <w:r w:rsidR="00846DF6" w:rsidRPr="00161FEE">
        <w:rPr>
          <w:rFonts w:ascii="Times New Roman" w:hAnsi="Times New Roman"/>
          <w:color w:val="000000"/>
          <w:sz w:val="24"/>
          <w:szCs w:val="24"/>
        </w:rPr>
        <w:t xml:space="preserve"> information for each building that is included in the abatement calculations for the reporting period</w:t>
      </w:r>
      <w:r w:rsidR="00A416C3" w:rsidRPr="00161FEE">
        <w:rPr>
          <w:rFonts w:ascii="Times New Roman" w:hAnsi="Times New Roman"/>
          <w:color w:val="000000"/>
          <w:sz w:val="24"/>
          <w:szCs w:val="24"/>
        </w:rPr>
        <w:t>:</w:t>
      </w:r>
    </w:p>
    <w:p w:rsidR="00846DF6" w:rsidRPr="00161FEE" w:rsidRDefault="00846DF6" w:rsidP="009A7922">
      <w:pPr>
        <w:numPr>
          <w:ilvl w:val="0"/>
          <w:numId w:val="16"/>
        </w:num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an address;</w:t>
      </w:r>
    </w:p>
    <w:p w:rsidR="00965705" w:rsidRPr="00161FEE" w:rsidRDefault="009A7922" w:rsidP="00965705">
      <w:pPr>
        <w:numPr>
          <w:ilvl w:val="0"/>
          <w:numId w:val="16"/>
        </w:num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 xml:space="preserve">a description of the </w:t>
      </w:r>
      <w:r w:rsidR="00846DF6" w:rsidRPr="00161FEE">
        <w:rPr>
          <w:rFonts w:ascii="Times New Roman" w:hAnsi="Times New Roman"/>
          <w:color w:val="000000"/>
          <w:sz w:val="24"/>
          <w:szCs w:val="24"/>
        </w:rPr>
        <w:t>project</w:t>
      </w:r>
      <w:r w:rsidRPr="00161FEE">
        <w:rPr>
          <w:rFonts w:ascii="Times New Roman" w:hAnsi="Times New Roman"/>
          <w:color w:val="000000"/>
          <w:sz w:val="24"/>
          <w:szCs w:val="24"/>
        </w:rPr>
        <w:t xml:space="preserve"> activities undertaken </w:t>
      </w:r>
      <w:r w:rsidR="00D10478" w:rsidRPr="00161FEE">
        <w:rPr>
          <w:rFonts w:ascii="Times New Roman" w:hAnsi="Times New Roman"/>
          <w:color w:val="000000"/>
          <w:sz w:val="24"/>
          <w:szCs w:val="24"/>
        </w:rPr>
        <w:t xml:space="preserve">between </w:t>
      </w:r>
      <w:r w:rsidR="00846DF6" w:rsidRPr="00161FEE">
        <w:rPr>
          <w:rFonts w:ascii="Times New Roman" w:hAnsi="Times New Roman"/>
          <w:color w:val="000000"/>
          <w:sz w:val="24"/>
          <w:szCs w:val="24"/>
        </w:rPr>
        <w:t xml:space="preserve">the commencement of project activities </w:t>
      </w:r>
      <w:r w:rsidR="00D10478" w:rsidRPr="00161FEE">
        <w:rPr>
          <w:rFonts w:ascii="Times New Roman" w:hAnsi="Times New Roman"/>
          <w:color w:val="000000"/>
          <w:sz w:val="24"/>
          <w:szCs w:val="24"/>
        </w:rPr>
        <w:t xml:space="preserve">and </w:t>
      </w:r>
      <w:r w:rsidR="00846DF6" w:rsidRPr="00161FEE">
        <w:rPr>
          <w:rFonts w:ascii="Times New Roman" w:hAnsi="Times New Roman"/>
          <w:color w:val="000000"/>
          <w:sz w:val="24"/>
          <w:szCs w:val="24"/>
        </w:rPr>
        <w:t>the end of the reporting period</w:t>
      </w:r>
      <w:r w:rsidR="00D10478" w:rsidRPr="00161FEE">
        <w:rPr>
          <w:rFonts w:ascii="Times New Roman" w:hAnsi="Times New Roman"/>
          <w:color w:val="000000"/>
          <w:sz w:val="24"/>
          <w:szCs w:val="24"/>
        </w:rPr>
        <w:t>,</w:t>
      </w:r>
      <w:r w:rsidR="008C51D2" w:rsidRPr="00161FEE">
        <w:rPr>
          <w:rFonts w:ascii="Times New Roman" w:hAnsi="Times New Roman"/>
          <w:color w:val="000000"/>
          <w:sz w:val="24"/>
          <w:szCs w:val="24"/>
        </w:rPr>
        <w:t xml:space="preserve"> </w:t>
      </w:r>
      <w:r w:rsidR="001A6C1A" w:rsidRPr="00161FEE">
        <w:rPr>
          <w:rFonts w:ascii="Times New Roman" w:hAnsi="Times New Roman"/>
          <w:color w:val="000000"/>
          <w:sz w:val="24"/>
          <w:szCs w:val="24"/>
        </w:rPr>
        <w:t>with the exception of activities that ha</w:t>
      </w:r>
      <w:r w:rsidR="00A119CF" w:rsidRPr="00161FEE">
        <w:rPr>
          <w:rFonts w:ascii="Times New Roman" w:hAnsi="Times New Roman"/>
          <w:color w:val="000000"/>
          <w:sz w:val="24"/>
          <w:szCs w:val="24"/>
        </w:rPr>
        <w:t>d</w:t>
      </w:r>
      <w:r w:rsidR="001A6C1A" w:rsidRPr="00161FEE">
        <w:rPr>
          <w:rFonts w:ascii="Times New Roman" w:hAnsi="Times New Roman"/>
          <w:color w:val="000000"/>
          <w:sz w:val="24"/>
          <w:szCs w:val="24"/>
        </w:rPr>
        <w:t xml:space="preserve"> a</w:t>
      </w:r>
      <w:r w:rsidR="004B1940" w:rsidRPr="00161FEE">
        <w:rPr>
          <w:rFonts w:ascii="Times New Roman" w:hAnsi="Times New Roman"/>
          <w:color w:val="000000"/>
          <w:sz w:val="24"/>
          <w:szCs w:val="24"/>
        </w:rPr>
        <w:t>n effect</w:t>
      </w:r>
      <w:r w:rsidR="00A119CF" w:rsidRPr="00161FEE">
        <w:rPr>
          <w:rFonts w:ascii="Times New Roman" w:hAnsi="Times New Roman"/>
          <w:color w:val="000000"/>
          <w:sz w:val="24"/>
          <w:szCs w:val="24"/>
        </w:rPr>
        <w:t xml:space="preserve"> that was</w:t>
      </w:r>
      <w:r w:rsidR="001A6C1A" w:rsidRPr="00161FEE">
        <w:rPr>
          <w:rFonts w:ascii="Times New Roman" w:hAnsi="Times New Roman"/>
          <w:color w:val="000000"/>
          <w:sz w:val="24"/>
          <w:szCs w:val="24"/>
        </w:rPr>
        <w:t xml:space="preserve"> minor or trivial on abatement for the building in each measurement period in the reporting period</w:t>
      </w:r>
      <w:r w:rsidR="00846DF6" w:rsidRPr="00161FEE">
        <w:rPr>
          <w:rFonts w:ascii="Times New Roman" w:hAnsi="Times New Roman"/>
          <w:color w:val="000000"/>
          <w:sz w:val="24"/>
          <w:szCs w:val="24"/>
        </w:rPr>
        <w:t xml:space="preserve">; </w:t>
      </w:r>
    </w:p>
    <w:p w:rsidR="00965705" w:rsidRPr="00161FEE" w:rsidRDefault="009A7922" w:rsidP="00965705">
      <w:pPr>
        <w:numPr>
          <w:ilvl w:val="0"/>
          <w:numId w:val="16"/>
        </w:num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 xml:space="preserve">the </w:t>
      </w:r>
      <w:r w:rsidR="00965705" w:rsidRPr="00161FEE">
        <w:rPr>
          <w:rFonts w:ascii="Times New Roman" w:hAnsi="Times New Roman"/>
          <w:color w:val="000000"/>
          <w:sz w:val="24"/>
          <w:szCs w:val="24"/>
        </w:rPr>
        <w:t>previous NABERS energy rating and the calendar year in which the rating period ended;</w:t>
      </w:r>
    </w:p>
    <w:p w:rsidR="00965705" w:rsidRPr="00161FEE" w:rsidRDefault="00965705" w:rsidP="00965705">
      <w:pPr>
        <w:numPr>
          <w:ilvl w:val="0"/>
          <w:numId w:val="16"/>
        </w:num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the NABERS energy rating for each measurement period in the reporting period; and</w:t>
      </w:r>
    </w:p>
    <w:p w:rsidR="00831E88" w:rsidRPr="00161FEE" w:rsidRDefault="00965705" w:rsidP="00965705">
      <w:pPr>
        <w:numPr>
          <w:ilvl w:val="0"/>
          <w:numId w:val="16"/>
        </w:numPr>
        <w:spacing w:after="120" w:line="240" w:lineRule="auto"/>
        <w:rPr>
          <w:rFonts w:ascii="Times New Roman" w:hAnsi="Times New Roman"/>
          <w:color w:val="000000"/>
          <w:sz w:val="24"/>
          <w:szCs w:val="24"/>
        </w:rPr>
      </w:pPr>
      <w:proofErr w:type="gramStart"/>
      <w:r w:rsidRPr="00161FEE">
        <w:rPr>
          <w:rFonts w:ascii="Times New Roman" w:hAnsi="Times New Roman"/>
          <w:color w:val="000000"/>
          <w:sz w:val="24"/>
          <w:szCs w:val="24"/>
        </w:rPr>
        <w:t>the</w:t>
      </w:r>
      <w:proofErr w:type="gramEnd"/>
      <w:r w:rsidRPr="00161FEE">
        <w:rPr>
          <w:rFonts w:ascii="Times New Roman" w:hAnsi="Times New Roman"/>
          <w:color w:val="000000"/>
          <w:sz w:val="24"/>
          <w:szCs w:val="24"/>
        </w:rPr>
        <w:t xml:space="preserve"> abatement calculated </w:t>
      </w:r>
      <w:r w:rsidR="00FB4BAF" w:rsidRPr="00161FEE">
        <w:rPr>
          <w:rFonts w:ascii="Times New Roman" w:hAnsi="Times New Roman"/>
          <w:color w:val="000000"/>
          <w:sz w:val="24"/>
          <w:szCs w:val="24"/>
        </w:rPr>
        <w:t>for the building</w:t>
      </w:r>
      <w:r w:rsidR="00D10478" w:rsidRPr="00161FEE">
        <w:rPr>
          <w:rFonts w:ascii="Times New Roman" w:hAnsi="Times New Roman"/>
          <w:color w:val="000000"/>
          <w:sz w:val="24"/>
          <w:szCs w:val="24"/>
        </w:rPr>
        <w:t xml:space="preserve"> </w:t>
      </w:r>
      <w:r w:rsidRPr="00161FEE">
        <w:rPr>
          <w:rFonts w:ascii="Times New Roman" w:hAnsi="Times New Roman"/>
          <w:color w:val="000000"/>
          <w:sz w:val="24"/>
          <w:szCs w:val="24"/>
        </w:rPr>
        <w:t xml:space="preserve">for each measurement period in the </w:t>
      </w:r>
      <w:r w:rsidR="009A7922" w:rsidRPr="00161FEE">
        <w:rPr>
          <w:rFonts w:ascii="Times New Roman" w:hAnsi="Times New Roman"/>
          <w:color w:val="000000"/>
          <w:sz w:val="24"/>
          <w:szCs w:val="24"/>
        </w:rPr>
        <w:t xml:space="preserve">reporting period. </w:t>
      </w:r>
    </w:p>
    <w:p w:rsidR="00145E22" w:rsidRPr="00161FEE" w:rsidRDefault="00A53B0A" w:rsidP="009A7922">
      <w:p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T</w:t>
      </w:r>
      <w:r w:rsidR="009A7922" w:rsidRPr="00161FEE">
        <w:rPr>
          <w:rFonts w:ascii="Times New Roman" w:hAnsi="Times New Roman"/>
          <w:color w:val="000000"/>
          <w:sz w:val="24"/>
          <w:szCs w:val="24"/>
        </w:rPr>
        <w:t>he offsets report for</w:t>
      </w:r>
      <w:r w:rsidRPr="00161FEE">
        <w:rPr>
          <w:rFonts w:ascii="Times New Roman" w:hAnsi="Times New Roman"/>
          <w:color w:val="000000"/>
          <w:sz w:val="24"/>
          <w:szCs w:val="24"/>
        </w:rPr>
        <w:t xml:space="preserve"> the second or subsequent reporting periods</w:t>
      </w:r>
      <w:r w:rsidR="00145E22" w:rsidRPr="00161FEE">
        <w:rPr>
          <w:rFonts w:ascii="Times New Roman" w:hAnsi="Times New Roman"/>
          <w:color w:val="000000"/>
          <w:sz w:val="24"/>
          <w:szCs w:val="24"/>
        </w:rPr>
        <w:t xml:space="preserve"> must include</w:t>
      </w:r>
      <w:r w:rsidR="009632EB" w:rsidRPr="00161FEE">
        <w:rPr>
          <w:rFonts w:ascii="Times New Roman" w:hAnsi="Times New Roman"/>
          <w:color w:val="000000"/>
          <w:sz w:val="24"/>
          <w:szCs w:val="24"/>
        </w:rPr>
        <w:t xml:space="preserve"> the following information for each building that is included in the project abatement calculations for the reporting period</w:t>
      </w:r>
      <w:r w:rsidR="00145E22" w:rsidRPr="00161FEE">
        <w:rPr>
          <w:rFonts w:ascii="Times New Roman" w:hAnsi="Times New Roman"/>
          <w:color w:val="000000"/>
          <w:sz w:val="24"/>
          <w:szCs w:val="24"/>
        </w:rPr>
        <w:t>:</w:t>
      </w:r>
    </w:p>
    <w:p w:rsidR="009632EB" w:rsidRPr="00161FEE" w:rsidRDefault="009632EB" w:rsidP="00145E22">
      <w:pPr>
        <w:numPr>
          <w:ilvl w:val="0"/>
          <w:numId w:val="16"/>
        </w:num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an address;</w:t>
      </w:r>
    </w:p>
    <w:p w:rsidR="009632EB" w:rsidRPr="00161FEE" w:rsidRDefault="009632EB" w:rsidP="00145E22">
      <w:pPr>
        <w:numPr>
          <w:ilvl w:val="0"/>
          <w:numId w:val="16"/>
        </w:num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 xml:space="preserve">a description of </w:t>
      </w:r>
      <w:r w:rsidR="00C1747D" w:rsidRPr="00161FEE">
        <w:rPr>
          <w:rFonts w:ascii="Times New Roman" w:hAnsi="Times New Roman"/>
          <w:color w:val="000000"/>
          <w:sz w:val="24"/>
          <w:szCs w:val="24"/>
        </w:rPr>
        <w:t>any project</w:t>
      </w:r>
      <w:r w:rsidRPr="00161FEE">
        <w:rPr>
          <w:rFonts w:ascii="Times New Roman" w:hAnsi="Times New Roman"/>
          <w:color w:val="000000"/>
          <w:sz w:val="24"/>
          <w:szCs w:val="24"/>
        </w:rPr>
        <w:t xml:space="preserve"> activities undertaken</w:t>
      </w:r>
      <w:r w:rsidR="00925363" w:rsidRPr="00161FEE">
        <w:rPr>
          <w:rFonts w:ascii="Times New Roman" w:hAnsi="Times New Roman"/>
          <w:color w:val="000000"/>
          <w:sz w:val="24"/>
          <w:szCs w:val="24"/>
        </w:rPr>
        <w:t xml:space="preserve"> during the reporting period</w:t>
      </w:r>
      <w:r w:rsidRPr="00161FEE">
        <w:rPr>
          <w:rFonts w:ascii="Times New Roman" w:hAnsi="Times New Roman"/>
          <w:color w:val="000000"/>
          <w:sz w:val="24"/>
          <w:szCs w:val="24"/>
        </w:rPr>
        <w:t xml:space="preserve"> at the building</w:t>
      </w:r>
      <w:r w:rsidR="00B17658" w:rsidRPr="00161FEE">
        <w:rPr>
          <w:rFonts w:ascii="Times New Roman" w:hAnsi="Times New Roman"/>
          <w:color w:val="000000"/>
          <w:sz w:val="24"/>
          <w:szCs w:val="24"/>
        </w:rPr>
        <w:t xml:space="preserve"> that</w:t>
      </w:r>
      <w:r w:rsidRPr="00161FEE">
        <w:rPr>
          <w:rFonts w:ascii="Times New Roman" w:hAnsi="Times New Roman"/>
          <w:color w:val="000000"/>
          <w:sz w:val="24"/>
          <w:szCs w:val="24"/>
        </w:rPr>
        <w:t xml:space="preserve"> are different </w:t>
      </w:r>
      <w:r w:rsidR="002B1DC0" w:rsidRPr="00161FEE">
        <w:rPr>
          <w:rFonts w:ascii="Times New Roman" w:hAnsi="Times New Roman"/>
          <w:color w:val="000000"/>
          <w:sz w:val="24"/>
          <w:szCs w:val="24"/>
        </w:rPr>
        <w:t xml:space="preserve">from </w:t>
      </w:r>
      <w:r w:rsidRPr="00161FEE">
        <w:rPr>
          <w:rFonts w:ascii="Times New Roman" w:hAnsi="Times New Roman"/>
          <w:color w:val="000000"/>
          <w:sz w:val="24"/>
          <w:szCs w:val="24"/>
        </w:rPr>
        <w:t xml:space="preserve">the project activities described in </w:t>
      </w:r>
      <w:r w:rsidR="00B15FD7" w:rsidRPr="00161FEE">
        <w:rPr>
          <w:rFonts w:ascii="Times New Roman" w:hAnsi="Times New Roman"/>
          <w:color w:val="000000"/>
          <w:sz w:val="24"/>
          <w:szCs w:val="24"/>
        </w:rPr>
        <w:t xml:space="preserve">the </w:t>
      </w:r>
      <w:r w:rsidRPr="00161FEE">
        <w:rPr>
          <w:rFonts w:ascii="Times New Roman" w:hAnsi="Times New Roman"/>
          <w:color w:val="000000"/>
          <w:sz w:val="24"/>
          <w:szCs w:val="24"/>
        </w:rPr>
        <w:t>previous offsets report</w:t>
      </w:r>
      <w:r w:rsidR="00B17658" w:rsidRPr="00161FEE">
        <w:rPr>
          <w:rFonts w:ascii="Times New Roman" w:hAnsi="Times New Roman"/>
          <w:color w:val="000000"/>
          <w:sz w:val="24"/>
          <w:szCs w:val="24"/>
        </w:rPr>
        <w:t>, with the exception of activities that ha</w:t>
      </w:r>
      <w:r w:rsidR="00A119CF" w:rsidRPr="00161FEE">
        <w:rPr>
          <w:rFonts w:ascii="Times New Roman" w:hAnsi="Times New Roman"/>
          <w:color w:val="000000"/>
          <w:sz w:val="24"/>
          <w:szCs w:val="24"/>
        </w:rPr>
        <w:t>d an effect that was</w:t>
      </w:r>
      <w:r w:rsidR="00B17658" w:rsidRPr="00161FEE">
        <w:rPr>
          <w:rFonts w:ascii="Times New Roman" w:hAnsi="Times New Roman"/>
          <w:color w:val="000000"/>
          <w:sz w:val="24"/>
          <w:szCs w:val="24"/>
        </w:rPr>
        <w:t xml:space="preserve"> minor or trivial on abatement for the building in each measurement period in the reporting period</w:t>
      </w:r>
      <w:r w:rsidRPr="00161FEE">
        <w:rPr>
          <w:rFonts w:ascii="Times New Roman" w:hAnsi="Times New Roman"/>
          <w:color w:val="000000"/>
          <w:sz w:val="24"/>
          <w:szCs w:val="24"/>
        </w:rPr>
        <w:t>;</w:t>
      </w:r>
    </w:p>
    <w:p w:rsidR="009632EB" w:rsidRPr="00161FEE" w:rsidRDefault="002364B3" w:rsidP="00145E22">
      <w:pPr>
        <w:numPr>
          <w:ilvl w:val="0"/>
          <w:numId w:val="16"/>
        </w:num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 xml:space="preserve">the previous NABERS energy rating and the calendar year in which the rating period ended, if not included in a previous offsets report; </w:t>
      </w:r>
    </w:p>
    <w:p w:rsidR="002364B3" w:rsidRPr="00161FEE" w:rsidRDefault="002364B3" w:rsidP="002364B3">
      <w:pPr>
        <w:numPr>
          <w:ilvl w:val="0"/>
          <w:numId w:val="16"/>
        </w:num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the NABERS energy rating for each measurement period in the reporting period; and</w:t>
      </w:r>
    </w:p>
    <w:p w:rsidR="002364B3" w:rsidRPr="00161FEE" w:rsidRDefault="002364B3" w:rsidP="002364B3">
      <w:pPr>
        <w:numPr>
          <w:ilvl w:val="0"/>
          <w:numId w:val="16"/>
        </w:numPr>
        <w:spacing w:after="120" w:line="240" w:lineRule="auto"/>
        <w:rPr>
          <w:rFonts w:ascii="Times New Roman" w:hAnsi="Times New Roman"/>
          <w:color w:val="000000"/>
          <w:sz w:val="24"/>
          <w:szCs w:val="24"/>
        </w:rPr>
      </w:pPr>
      <w:proofErr w:type="gramStart"/>
      <w:r w:rsidRPr="00161FEE">
        <w:rPr>
          <w:rFonts w:ascii="Times New Roman" w:hAnsi="Times New Roman"/>
          <w:color w:val="000000"/>
          <w:sz w:val="24"/>
          <w:szCs w:val="24"/>
        </w:rPr>
        <w:t>the</w:t>
      </w:r>
      <w:proofErr w:type="gramEnd"/>
      <w:r w:rsidRPr="00161FEE">
        <w:rPr>
          <w:rFonts w:ascii="Times New Roman" w:hAnsi="Times New Roman"/>
          <w:color w:val="000000"/>
          <w:sz w:val="24"/>
          <w:szCs w:val="24"/>
        </w:rPr>
        <w:t xml:space="preserve"> abatement calculated </w:t>
      </w:r>
      <w:r w:rsidR="006D08DA" w:rsidRPr="00161FEE">
        <w:rPr>
          <w:rFonts w:ascii="Times New Roman" w:hAnsi="Times New Roman"/>
          <w:color w:val="000000"/>
          <w:sz w:val="24"/>
          <w:szCs w:val="24"/>
        </w:rPr>
        <w:t>for the building for</w:t>
      </w:r>
      <w:r w:rsidRPr="00161FEE">
        <w:rPr>
          <w:rFonts w:ascii="Times New Roman" w:hAnsi="Times New Roman"/>
          <w:color w:val="000000"/>
          <w:sz w:val="24"/>
          <w:szCs w:val="24"/>
        </w:rPr>
        <w:t xml:space="preserve"> each measurement period in the reporting period. </w:t>
      </w:r>
    </w:p>
    <w:p w:rsidR="006D4AB6" w:rsidRPr="00161FEE" w:rsidRDefault="006D4AB6" w:rsidP="006D4AB6">
      <w:p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 xml:space="preserve">The offset reports in the second or subsequent reporting periods must also include an address for each building that is not included in the abatement calculations for the reporting period, but was included in the project abatement calculations in </w:t>
      </w:r>
      <w:r w:rsidR="004936AF" w:rsidRPr="00161FEE">
        <w:rPr>
          <w:rFonts w:ascii="Times New Roman" w:hAnsi="Times New Roman"/>
          <w:color w:val="000000"/>
          <w:sz w:val="24"/>
          <w:szCs w:val="24"/>
        </w:rPr>
        <w:t>the</w:t>
      </w:r>
      <w:r w:rsidRPr="00161FEE">
        <w:rPr>
          <w:rFonts w:ascii="Times New Roman" w:hAnsi="Times New Roman"/>
          <w:color w:val="000000"/>
          <w:sz w:val="24"/>
          <w:szCs w:val="24"/>
        </w:rPr>
        <w:t xml:space="preserve"> previous reporting period.</w:t>
      </w:r>
    </w:p>
    <w:p w:rsidR="007D78E6" w:rsidRPr="00161FEE" w:rsidRDefault="00D13CD1" w:rsidP="00E3263C">
      <w:pPr>
        <w:spacing w:after="120" w:line="240" w:lineRule="auto"/>
        <w:rPr>
          <w:rFonts w:ascii="Times New Roman" w:hAnsi="Times New Roman"/>
          <w:sz w:val="24"/>
          <w:szCs w:val="24"/>
        </w:rPr>
      </w:pPr>
      <w:r w:rsidRPr="00161FEE">
        <w:rPr>
          <w:rFonts w:ascii="Times New Roman" w:hAnsi="Times New Roman"/>
          <w:color w:val="000000"/>
          <w:sz w:val="24"/>
          <w:szCs w:val="24"/>
        </w:rPr>
        <w:t>Providing a</w:t>
      </w:r>
      <w:r w:rsidR="00E3263C" w:rsidRPr="00161FEE">
        <w:rPr>
          <w:rFonts w:ascii="Times New Roman" w:hAnsi="Times New Roman"/>
          <w:color w:val="000000"/>
          <w:sz w:val="24"/>
          <w:szCs w:val="24"/>
        </w:rPr>
        <w:t xml:space="preserve">ddresses </w:t>
      </w:r>
      <w:r w:rsidRPr="00161FEE">
        <w:rPr>
          <w:rFonts w:ascii="Times New Roman" w:hAnsi="Times New Roman"/>
          <w:color w:val="000000"/>
          <w:sz w:val="24"/>
          <w:szCs w:val="24"/>
        </w:rPr>
        <w:t xml:space="preserve">for buildings in the project </w:t>
      </w:r>
      <w:r w:rsidR="00E3263C" w:rsidRPr="00161FEE">
        <w:rPr>
          <w:rFonts w:ascii="Times New Roman" w:hAnsi="Times New Roman"/>
          <w:color w:val="000000"/>
          <w:sz w:val="24"/>
          <w:szCs w:val="24"/>
        </w:rPr>
        <w:t>will assist the Regulator to establish</w:t>
      </w:r>
      <w:r w:rsidR="003E636A" w:rsidRPr="00161FEE">
        <w:rPr>
          <w:rFonts w:ascii="Times New Roman" w:hAnsi="Times New Roman"/>
          <w:color w:val="000000"/>
          <w:sz w:val="24"/>
          <w:szCs w:val="24"/>
        </w:rPr>
        <w:t xml:space="preserve"> whether the project is funded under another government program</w:t>
      </w:r>
      <w:r w:rsidR="00C4191B">
        <w:rPr>
          <w:rFonts w:ascii="Times New Roman" w:hAnsi="Times New Roman"/>
          <w:color w:val="000000"/>
          <w:sz w:val="24"/>
          <w:szCs w:val="24"/>
        </w:rPr>
        <w:t>me</w:t>
      </w:r>
      <w:r w:rsidR="003E636A" w:rsidRPr="00161FEE">
        <w:rPr>
          <w:rFonts w:ascii="Times New Roman" w:hAnsi="Times New Roman"/>
          <w:color w:val="000000"/>
          <w:sz w:val="24"/>
          <w:szCs w:val="24"/>
        </w:rPr>
        <w:t>, in line with the additionality requirements in</w:t>
      </w:r>
      <w:r w:rsidR="00831E88" w:rsidRPr="00161FEE">
        <w:rPr>
          <w:rFonts w:ascii="Times New Roman" w:hAnsi="Times New Roman"/>
          <w:sz w:val="24"/>
          <w:szCs w:val="24"/>
        </w:rPr>
        <w:t xml:space="preserve"> subsection 27(4A) of the </w:t>
      </w:r>
      <w:r w:rsidR="003E636A" w:rsidRPr="00161FEE">
        <w:rPr>
          <w:rFonts w:ascii="Times New Roman" w:hAnsi="Times New Roman"/>
          <w:sz w:val="24"/>
          <w:szCs w:val="24"/>
        </w:rPr>
        <w:t>Act</w:t>
      </w:r>
      <w:r w:rsidR="003C4884" w:rsidRPr="00161FEE">
        <w:rPr>
          <w:rFonts w:ascii="Times New Roman" w:hAnsi="Times New Roman"/>
          <w:sz w:val="24"/>
          <w:szCs w:val="24"/>
        </w:rPr>
        <w:t xml:space="preserve">. </w:t>
      </w:r>
    </w:p>
    <w:p w:rsidR="00E64B3C" w:rsidRPr="00161FEE" w:rsidRDefault="00E64B3C" w:rsidP="007D78E6">
      <w:pPr>
        <w:spacing w:after="120" w:line="240" w:lineRule="auto"/>
        <w:rPr>
          <w:rFonts w:ascii="Times New Roman" w:eastAsia="Times New Roman" w:hAnsi="Times New Roman"/>
          <w:sz w:val="24"/>
          <w:szCs w:val="24"/>
          <w:lang w:eastAsia="en-AU"/>
        </w:rPr>
      </w:pPr>
      <w:r w:rsidRPr="00161FEE">
        <w:rPr>
          <w:rFonts w:ascii="Times New Roman" w:eastAsia="Times New Roman" w:hAnsi="Times New Roman"/>
          <w:sz w:val="24"/>
          <w:szCs w:val="24"/>
          <w:lang w:eastAsia="en-AU"/>
        </w:rPr>
        <w:t xml:space="preserve">These offsets report requirements are in addition to the general offsets report requirements </w:t>
      </w:r>
      <w:r w:rsidR="004304B3" w:rsidRPr="00161FEE">
        <w:rPr>
          <w:rFonts w:ascii="Times New Roman" w:eastAsia="Times New Roman" w:hAnsi="Times New Roman"/>
          <w:sz w:val="24"/>
          <w:szCs w:val="24"/>
          <w:lang w:eastAsia="en-AU"/>
        </w:rPr>
        <w:t>specified</w:t>
      </w:r>
      <w:r w:rsidRPr="00161FEE">
        <w:rPr>
          <w:rFonts w:ascii="Times New Roman" w:eastAsia="Times New Roman" w:hAnsi="Times New Roman"/>
          <w:sz w:val="24"/>
          <w:szCs w:val="24"/>
          <w:lang w:eastAsia="en-AU"/>
        </w:rPr>
        <w:t xml:space="preserve"> in the Regulations</w:t>
      </w:r>
      <w:r w:rsidR="00860DCD" w:rsidRPr="00161FEE">
        <w:rPr>
          <w:rFonts w:ascii="Times New Roman" w:eastAsia="Times New Roman" w:hAnsi="Times New Roman"/>
          <w:sz w:val="24"/>
          <w:szCs w:val="24"/>
          <w:lang w:eastAsia="en-AU"/>
        </w:rPr>
        <w:t xml:space="preserve"> and </w:t>
      </w:r>
      <w:r w:rsidRPr="00161FEE">
        <w:rPr>
          <w:rFonts w:ascii="Times New Roman" w:eastAsia="Times New Roman" w:hAnsi="Times New Roman"/>
          <w:sz w:val="24"/>
          <w:szCs w:val="24"/>
          <w:lang w:eastAsia="en-AU"/>
        </w:rPr>
        <w:t xml:space="preserve">legislative rules. </w:t>
      </w:r>
    </w:p>
    <w:p w:rsidR="00834F6B" w:rsidRPr="00161FEE" w:rsidRDefault="00834F6B" w:rsidP="00E64B3C">
      <w:pPr>
        <w:spacing w:after="120" w:line="240" w:lineRule="auto"/>
        <w:rPr>
          <w:rFonts w:ascii="Times New Roman" w:hAnsi="Times New Roman"/>
          <w:color w:val="000000"/>
          <w:sz w:val="24"/>
          <w:szCs w:val="24"/>
        </w:rPr>
      </w:pPr>
    </w:p>
    <w:p w:rsidR="00244A9D" w:rsidRPr="00161FEE" w:rsidRDefault="0002096F" w:rsidP="00101B59">
      <w:pPr>
        <w:spacing w:after="120" w:line="240" w:lineRule="auto"/>
        <w:rPr>
          <w:rFonts w:ascii="Times New Roman" w:hAnsi="Times New Roman"/>
          <w:b/>
          <w:color w:val="000000"/>
          <w:sz w:val="24"/>
          <w:szCs w:val="24"/>
        </w:rPr>
      </w:pPr>
      <w:r w:rsidRPr="00161FEE">
        <w:rPr>
          <w:rFonts w:ascii="Times New Roman" w:hAnsi="Times New Roman"/>
          <w:b/>
          <w:color w:val="000000"/>
          <w:sz w:val="24"/>
          <w:szCs w:val="24"/>
        </w:rPr>
        <w:t xml:space="preserve">Division </w:t>
      </w:r>
      <w:r w:rsidR="00915BEF" w:rsidRPr="00161FEE">
        <w:rPr>
          <w:rFonts w:ascii="Times New Roman" w:hAnsi="Times New Roman"/>
          <w:b/>
          <w:color w:val="000000"/>
          <w:sz w:val="24"/>
          <w:szCs w:val="24"/>
        </w:rPr>
        <w:t>2</w:t>
      </w:r>
      <w:r w:rsidR="00915BEF" w:rsidRPr="00161FEE">
        <w:rPr>
          <w:rFonts w:ascii="Times New Roman" w:hAnsi="Times New Roman"/>
          <w:b/>
          <w:color w:val="000000"/>
          <w:sz w:val="24"/>
          <w:szCs w:val="24"/>
        </w:rPr>
        <w:tab/>
      </w:r>
      <w:r w:rsidR="00244A9D" w:rsidRPr="00161FEE">
        <w:rPr>
          <w:rFonts w:ascii="Times New Roman" w:hAnsi="Times New Roman"/>
          <w:b/>
          <w:color w:val="000000"/>
          <w:sz w:val="24"/>
          <w:szCs w:val="24"/>
        </w:rPr>
        <w:t>Record-keeping requirements</w:t>
      </w:r>
    </w:p>
    <w:p w:rsidR="00DF00B8" w:rsidRPr="00161FEE" w:rsidRDefault="00B32F8F" w:rsidP="00DF00B8">
      <w:pPr>
        <w:spacing w:after="120" w:line="240" w:lineRule="auto"/>
        <w:rPr>
          <w:rFonts w:ascii="Times New Roman" w:hAnsi="Times New Roman"/>
          <w:color w:val="000000"/>
          <w:sz w:val="24"/>
          <w:szCs w:val="24"/>
          <w:u w:val="single"/>
        </w:rPr>
      </w:pPr>
      <w:r w:rsidRPr="00161FEE">
        <w:rPr>
          <w:rFonts w:ascii="Times New Roman" w:hAnsi="Times New Roman"/>
          <w:color w:val="000000"/>
          <w:sz w:val="24"/>
          <w:szCs w:val="24"/>
          <w:u w:val="single"/>
        </w:rPr>
        <w:t>3</w:t>
      </w:r>
      <w:r w:rsidR="00F97BDF" w:rsidRPr="00161FEE">
        <w:rPr>
          <w:rFonts w:ascii="Times New Roman" w:hAnsi="Times New Roman"/>
          <w:color w:val="000000"/>
          <w:sz w:val="24"/>
          <w:szCs w:val="24"/>
          <w:u w:val="single"/>
        </w:rPr>
        <w:t>0</w:t>
      </w:r>
      <w:r w:rsidR="00DF00B8" w:rsidRPr="00161FEE">
        <w:rPr>
          <w:rFonts w:ascii="Times New Roman" w:hAnsi="Times New Roman"/>
          <w:color w:val="000000"/>
          <w:sz w:val="24"/>
          <w:szCs w:val="24"/>
          <w:u w:val="single"/>
        </w:rPr>
        <w:tab/>
        <w:t>Operation of this Division</w:t>
      </w:r>
    </w:p>
    <w:p w:rsidR="00010F18" w:rsidRPr="00161FEE" w:rsidRDefault="00010F18" w:rsidP="00010F18">
      <w:pPr>
        <w:spacing w:after="120" w:line="240" w:lineRule="auto"/>
        <w:rPr>
          <w:rFonts w:ascii="Times New Roman" w:hAnsi="Times New Roman"/>
          <w:color w:val="000000"/>
          <w:sz w:val="24"/>
          <w:szCs w:val="24"/>
        </w:rPr>
      </w:pPr>
      <w:r w:rsidRPr="00161FEE">
        <w:rPr>
          <w:rFonts w:ascii="Times New Roman" w:hAnsi="Times New Roman"/>
          <w:sz w:val="24"/>
          <w:szCs w:val="24"/>
        </w:rPr>
        <w:t>The effect of paragraph 106(3</w:t>
      </w:r>
      <w:proofErr w:type="gramStart"/>
      <w:r w:rsidRPr="00161FEE">
        <w:rPr>
          <w:rFonts w:ascii="Times New Roman" w:hAnsi="Times New Roman"/>
          <w:sz w:val="24"/>
          <w:szCs w:val="24"/>
        </w:rPr>
        <w:t>)(</w:t>
      </w:r>
      <w:proofErr w:type="gramEnd"/>
      <w:r w:rsidRPr="00161FEE">
        <w:rPr>
          <w:rFonts w:ascii="Times New Roman" w:hAnsi="Times New Roman"/>
          <w:sz w:val="24"/>
          <w:szCs w:val="24"/>
        </w:rPr>
        <w:t>c) of the Act is that a methodology determination m</w:t>
      </w:r>
      <w:r w:rsidR="00842F89" w:rsidRPr="00161FEE">
        <w:rPr>
          <w:rFonts w:ascii="Times New Roman" w:hAnsi="Times New Roman"/>
          <w:sz w:val="24"/>
          <w:szCs w:val="24"/>
        </w:rPr>
        <w:t>ay</w:t>
      </w:r>
      <w:r w:rsidRPr="00161FEE">
        <w:rPr>
          <w:rFonts w:ascii="Times New Roman" w:hAnsi="Times New Roman"/>
          <w:sz w:val="24"/>
          <w:szCs w:val="24"/>
        </w:rPr>
        <w:t xml:space="preserve"> set out record-keeping requirements for an eligible offsets project. </w:t>
      </w:r>
    </w:p>
    <w:p w:rsidR="007F1185" w:rsidRPr="00161FEE" w:rsidRDefault="007F1185" w:rsidP="00010F18">
      <w:pPr>
        <w:spacing w:after="120" w:line="240" w:lineRule="auto"/>
        <w:rPr>
          <w:rFonts w:ascii="Times New Roman" w:hAnsi="Times New Roman"/>
          <w:b/>
          <w:color w:val="000000"/>
          <w:sz w:val="24"/>
          <w:szCs w:val="24"/>
        </w:rPr>
      </w:pPr>
    </w:p>
    <w:p w:rsidR="00010F18" w:rsidRPr="00161FEE" w:rsidRDefault="00B32F8F" w:rsidP="000D2C8D">
      <w:pPr>
        <w:keepNext/>
        <w:keepLines/>
        <w:spacing w:after="120" w:line="240" w:lineRule="auto"/>
        <w:rPr>
          <w:rFonts w:ascii="Times New Roman" w:hAnsi="Times New Roman"/>
          <w:color w:val="000000"/>
          <w:sz w:val="24"/>
          <w:szCs w:val="24"/>
          <w:u w:val="single"/>
        </w:rPr>
      </w:pPr>
      <w:r w:rsidRPr="00161FEE">
        <w:rPr>
          <w:rFonts w:ascii="Times New Roman" w:hAnsi="Times New Roman"/>
          <w:color w:val="000000"/>
          <w:sz w:val="24"/>
          <w:szCs w:val="24"/>
          <w:u w:val="single"/>
        </w:rPr>
        <w:lastRenderedPageBreak/>
        <w:t>3</w:t>
      </w:r>
      <w:r w:rsidR="00F97BDF" w:rsidRPr="00161FEE">
        <w:rPr>
          <w:rFonts w:ascii="Times New Roman" w:hAnsi="Times New Roman"/>
          <w:color w:val="000000"/>
          <w:sz w:val="24"/>
          <w:szCs w:val="24"/>
          <w:u w:val="single"/>
        </w:rPr>
        <w:t>1</w:t>
      </w:r>
      <w:r w:rsidR="00010F18" w:rsidRPr="00161FEE">
        <w:rPr>
          <w:rFonts w:ascii="Times New Roman" w:hAnsi="Times New Roman"/>
          <w:color w:val="000000"/>
          <w:sz w:val="24"/>
          <w:szCs w:val="24"/>
          <w:u w:val="single"/>
        </w:rPr>
        <w:tab/>
        <w:t>Record-keeping requirements</w:t>
      </w:r>
    </w:p>
    <w:p w:rsidR="00244A9D" w:rsidRPr="00161FEE" w:rsidRDefault="00010F18" w:rsidP="000D2C8D">
      <w:pPr>
        <w:keepNext/>
        <w:keepLines/>
        <w:spacing w:after="120" w:line="240" w:lineRule="auto"/>
        <w:rPr>
          <w:rFonts w:ascii="Times New Roman" w:hAnsi="Times New Roman"/>
          <w:color w:val="000000"/>
          <w:sz w:val="24"/>
          <w:szCs w:val="24"/>
        </w:rPr>
      </w:pPr>
      <w:r w:rsidRPr="00161FEE">
        <w:rPr>
          <w:rFonts w:ascii="Times New Roman" w:hAnsi="Times New Roman"/>
          <w:color w:val="000000"/>
          <w:sz w:val="24"/>
          <w:szCs w:val="24"/>
        </w:rPr>
        <w:t xml:space="preserve">Section </w:t>
      </w:r>
      <w:r w:rsidR="00B32F8F" w:rsidRPr="00161FEE">
        <w:rPr>
          <w:rFonts w:ascii="Times New Roman" w:hAnsi="Times New Roman"/>
          <w:color w:val="000000"/>
          <w:sz w:val="24"/>
          <w:szCs w:val="24"/>
        </w:rPr>
        <w:t>3</w:t>
      </w:r>
      <w:r w:rsidR="00F97BDF" w:rsidRPr="00161FEE">
        <w:rPr>
          <w:rFonts w:ascii="Times New Roman" w:hAnsi="Times New Roman"/>
          <w:color w:val="000000"/>
          <w:sz w:val="24"/>
          <w:szCs w:val="24"/>
        </w:rPr>
        <w:t>1</w:t>
      </w:r>
      <w:r w:rsidR="00B32F8F" w:rsidRPr="00161FEE">
        <w:rPr>
          <w:rFonts w:ascii="Times New Roman" w:hAnsi="Times New Roman"/>
          <w:color w:val="000000"/>
          <w:sz w:val="24"/>
          <w:szCs w:val="24"/>
        </w:rPr>
        <w:t xml:space="preserve"> </w:t>
      </w:r>
      <w:r w:rsidRPr="00161FEE">
        <w:rPr>
          <w:rFonts w:ascii="Times New Roman" w:hAnsi="Times New Roman"/>
          <w:color w:val="000000"/>
          <w:sz w:val="24"/>
          <w:szCs w:val="24"/>
        </w:rPr>
        <w:t>lists the records that must be kept for a commercial buildings project, in addition</w:t>
      </w:r>
      <w:r w:rsidRPr="00161FEE">
        <w:rPr>
          <w:rFonts w:ascii="Times New Roman" w:eastAsia="Times New Roman" w:hAnsi="Times New Roman"/>
          <w:sz w:val="24"/>
          <w:szCs w:val="24"/>
          <w:lang w:eastAsia="en-AU"/>
        </w:rPr>
        <w:t xml:space="preserve"> to record-keeping requirements apply</w:t>
      </w:r>
      <w:r w:rsidR="00025EB4" w:rsidRPr="00161FEE">
        <w:rPr>
          <w:rFonts w:ascii="Times New Roman" w:eastAsia="Times New Roman" w:hAnsi="Times New Roman"/>
          <w:sz w:val="24"/>
          <w:szCs w:val="24"/>
          <w:lang w:eastAsia="en-AU"/>
        </w:rPr>
        <w:t>ing</w:t>
      </w:r>
      <w:r w:rsidRPr="00161FEE">
        <w:rPr>
          <w:rFonts w:ascii="Times New Roman" w:eastAsia="Times New Roman" w:hAnsi="Times New Roman"/>
          <w:sz w:val="24"/>
          <w:szCs w:val="24"/>
          <w:lang w:eastAsia="en-AU"/>
        </w:rPr>
        <w:t xml:space="preserve"> to all projects as specified in the Act and legislative rules. </w:t>
      </w:r>
    </w:p>
    <w:p w:rsidR="00244A9D" w:rsidRPr="00161FEE" w:rsidRDefault="00010F18" w:rsidP="00CE6048">
      <w:pPr>
        <w:spacing w:after="120" w:line="240" w:lineRule="auto"/>
        <w:rPr>
          <w:rFonts w:ascii="Times New Roman" w:hAnsi="Times New Roman"/>
          <w:b/>
          <w:color w:val="000000"/>
          <w:sz w:val="24"/>
          <w:szCs w:val="24"/>
        </w:rPr>
      </w:pPr>
      <w:r w:rsidRPr="00161FEE">
        <w:rPr>
          <w:rFonts w:ascii="Times New Roman" w:eastAsia="Times New Roman" w:hAnsi="Times New Roman"/>
          <w:sz w:val="24"/>
          <w:szCs w:val="24"/>
          <w:lang w:eastAsia="en-AU"/>
        </w:rPr>
        <w:t xml:space="preserve">Records that must be kept specifically for a commercial buildings project include an address for each building in the project and </w:t>
      </w:r>
      <w:r w:rsidR="005A2708" w:rsidRPr="00161FEE">
        <w:rPr>
          <w:rFonts w:ascii="Times New Roman" w:eastAsia="Times New Roman" w:hAnsi="Times New Roman"/>
          <w:sz w:val="24"/>
          <w:szCs w:val="24"/>
          <w:lang w:eastAsia="en-AU"/>
        </w:rPr>
        <w:t>a</w:t>
      </w:r>
      <w:r w:rsidR="002742B8" w:rsidRPr="00161FEE">
        <w:rPr>
          <w:rFonts w:ascii="Times New Roman" w:eastAsia="Times New Roman" w:hAnsi="Times New Roman"/>
          <w:sz w:val="24"/>
          <w:szCs w:val="24"/>
          <w:lang w:eastAsia="en-AU"/>
        </w:rPr>
        <w:t>n electronic copy of</w:t>
      </w:r>
      <w:r w:rsidR="005A2708" w:rsidRPr="00161FEE">
        <w:rPr>
          <w:rFonts w:ascii="Times New Roman" w:eastAsia="Times New Roman" w:hAnsi="Times New Roman"/>
          <w:sz w:val="24"/>
          <w:szCs w:val="24"/>
          <w:lang w:eastAsia="en-AU"/>
        </w:rPr>
        <w:t xml:space="preserve"> </w:t>
      </w:r>
      <w:r w:rsidR="000100B9" w:rsidRPr="00161FEE">
        <w:rPr>
          <w:rFonts w:ascii="Times New Roman" w:eastAsia="Times New Roman" w:hAnsi="Times New Roman"/>
          <w:sz w:val="24"/>
          <w:szCs w:val="24"/>
          <w:lang w:eastAsia="en-AU"/>
        </w:rPr>
        <w:t xml:space="preserve">the version of the NABERS energy reverse calculator used for the abatement calculations for </w:t>
      </w:r>
      <w:r w:rsidR="00842F89" w:rsidRPr="00161FEE">
        <w:rPr>
          <w:rFonts w:ascii="Times New Roman" w:eastAsia="Times New Roman" w:hAnsi="Times New Roman"/>
          <w:sz w:val="24"/>
          <w:szCs w:val="24"/>
          <w:lang w:eastAsia="en-AU"/>
        </w:rPr>
        <w:t>each</w:t>
      </w:r>
      <w:r w:rsidR="000100B9" w:rsidRPr="00161FEE">
        <w:rPr>
          <w:rFonts w:ascii="Times New Roman" w:eastAsia="Times New Roman" w:hAnsi="Times New Roman"/>
          <w:sz w:val="24"/>
          <w:szCs w:val="24"/>
          <w:lang w:eastAsia="en-AU"/>
        </w:rPr>
        <w:t xml:space="preserve"> reporting period. </w:t>
      </w:r>
      <w:r w:rsidR="00BE0E6E" w:rsidRPr="00161FEE">
        <w:rPr>
          <w:rFonts w:ascii="Times New Roman" w:eastAsia="Times New Roman" w:hAnsi="Times New Roman"/>
          <w:sz w:val="24"/>
          <w:szCs w:val="24"/>
          <w:lang w:eastAsia="en-AU"/>
        </w:rPr>
        <w:t>If</w:t>
      </w:r>
      <w:r w:rsidR="004843A6">
        <w:rPr>
          <w:rFonts w:ascii="Times New Roman" w:eastAsia="Times New Roman" w:hAnsi="Times New Roman"/>
          <w:sz w:val="24"/>
          <w:szCs w:val="24"/>
          <w:lang w:eastAsia="en-AU"/>
        </w:rPr>
        <w:t> </w:t>
      </w:r>
      <w:r w:rsidR="00BE0E6E" w:rsidRPr="00161FEE">
        <w:rPr>
          <w:rFonts w:ascii="Times New Roman" w:eastAsia="Times New Roman" w:hAnsi="Times New Roman"/>
          <w:sz w:val="24"/>
          <w:szCs w:val="24"/>
          <w:lang w:eastAsia="en-AU"/>
        </w:rPr>
        <w:t>energy</w:t>
      </w:r>
      <w:r w:rsidR="007365D2" w:rsidRPr="00161FEE">
        <w:rPr>
          <w:rFonts w:ascii="Times New Roman" w:eastAsia="Times New Roman" w:hAnsi="Times New Roman"/>
          <w:sz w:val="24"/>
          <w:szCs w:val="24"/>
          <w:lang w:eastAsia="en-AU"/>
        </w:rPr>
        <w:noBreakHyphen/>
      </w:r>
      <w:proofErr w:type="spellStart"/>
      <w:r w:rsidR="007028F1" w:rsidRPr="00161FEE">
        <w:rPr>
          <w:rFonts w:ascii="Times New Roman" w:eastAsia="Times New Roman" w:hAnsi="Times New Roman"/>
          <w:sz w:val="24"/>
          <w:szCs w:val="24"/>
          <w:lang w:eastAsia="en-AU"/>
        </w:rPr>
        <w:t>consuming</w:t>
      </w:r>
      <w:proofErr w:type="spellEnd"/>
      <w:r w:rsidR="007028F1" w:rsidRPr="00161FEE">
        <w:rPr>
          <w:rFonts w:ascii="Times New Roman" w:eastAsia="Times New Roman" w:hAnsi="Times New Roman"/>
          <w:sz w:val="24"/>
          <w:szCs w:val="24"/>
          <w:lang w:eastAsia="en-AU"/>
        </w:rPr>
        <w:t xml:space="preserve"> equipment </w:t>
      </w:r>
      <w:r w:rsidR="00DD2026" w:rsidRPr="00161FEE">
        <w:rPr>
          <w:rFonts w:ascii="Times New Roman" w:eastAsia="Times New Roman" w:hAnsi="Times New Roman"/>
          <w:sz w:val="24"/>
          <w:szCs w:val="24"/>
          <w:lang w:eastAsia="en-AU"/>
        </w:rPr>
        <w:t xml:space="preserve">or equipment that generates electricity for onsite consumption </w:t>
      </w:r>
      <w:r w:rsidR="007028F1" w:rsidRPr="00161FEE">
        <w:rPr>
          <w:rFonts w:ascii="Times New Roman" w:eastAsia="Times New Roman" w:hAnsi="Times New Roman"/>
          <w:sz w:val="24"/>
          <w:szCs w:val="24"/>
          <w:lang w:eastAsia="en-AU"/>
        </w:rPr>
        <w:t xml:space="preserve">is replaced as part of </w:t>
      </w:r>
      <w:r w:rsidR="00F02FAD">
        <w:rPr>
          <w:rFonts w:ascii="Times New Roman" w:eastAsia="Times New Roman" w:hAnsi="Times New Roman"/>
          <w:sz w:val="24"/>
          <w:szCs w:val="24"/>
          <w:lang w:eastAsia="en-AU"/>
        </w:rPr>
        <w:t xml:space="preserve">the </w:t>
      </w:r>
      <w:r w:rsidR="007028F1" w:rsidRPr="00161FEE">
        <w:rPr>
          <w:rFonts w:ascii="Times New Roman" w:eastAsia="Times New Roman" w:hAnsi="Times New Roman"/>
          <w:sz w:val="24"/>
          <w:szCs w:val="24"/>
          <w:lang w:eastAsia="en-AU"/>
        </w:rPr>
        <w:t>project activities</w:t>
      </w:r>
      <w:r w:rsidR="002B1DC0" w:rsidRPr="00161FEE">
        <w:rPr>
          <w:rFonts w:ascii="Times New Roman" w:eastAsia="Times New Roman" w:hAnsi="Times New Roman"/>
          <w:sz w:val="24"/>
          <w:szCs w:val="24"/>
          <w:lang w:eastAsia="en-AU"/>
        </w:rPr>
        <w:t>, and these activities have an effect that is no</w:t>
      </w:r>
      <w:r w:rsidR="00AC2B96" w:rsidRPr="00161FEE">
        <w:rPr>
          <w:rFonts w:ascii="Times New Roman" w:eastAsia="Times New Roman" w:hAnsi="Times New Roman"/>
          <w:sz w:val="24"/>
          <w:szCs w:val="24"/>
          <w:lang w:eastAsia="en-AU"/>
        </w:rPr>
        <w:t>t</w:t>
      </w:r>
      <w:r w:rsidR="002B1DC0" w:rsidRPr="00161FEE">
        <w:rPr>
          <w:rFonts w:ascii="Times New Roman" w:eastAsia="Times New Roman" w:hAnsi="Times New Roman"/>
          <w:sz w:val="24"/>
          <w:szCs w:val="24"/>
          <w:lang w:eastAsia="en-AU"/>
        </w:rPr>
        <w:t xml:space="preserve"> minor or trivial </w:t>
      </w:r>
      <w:r w:rsidR="001F5B09" w:rsidRPr="00161FEE">
        <w:rPr>
          <w:rFonts w:ascii="Times New Roman" w:eastAsia="Times New Roman" w:hAnsi="Times New Roman"/>
          <w:sz w:val="24"/>
          <w:szCs w:val="24"/>
          <w:lang w:eastAsia="en-AU"/>
        </w:rPr>
        <w:t>t</w:t>
      </w:r>
      <w:r w:rsidR="002B1DC0" w:rsidRPr="00161FEE">
        <w:rPr>
          <w:rFonts w:ascii="Times New Roman" w:eastAsia="Times New Roman" w:hAnsi="Times New Roman"/>
          <w:sz w:val="24"/>
          <w:szCs w:val="24"/>
          <w:lang w:eastAsia="en-AU"/>
        </w:rPr>
        <w:t xml:space="preserve">o the abatement </w:t>
      </w:r>
      <w:r w:rsidR="001F5B09" w:rsidRPr="00161FEE">
        <w:rPr>
          <w:rFonts w:ascii="Times New Roman" w:eastAsia="Times New Roman" w:hAnsi="Times New Roman"/>
          <w:sz w:val="24"/>
          <w:szCs w:val="24"/>
          <w:lang w:eastAsia="en-AU"/>
        </w:rPr>
        <w:t xml:space="preserve">calculated for the building </w:t>
      </w:r>
      <w:r w:rsidR="006809E7" w:rsidRPr="00161FEE">
        <w:rPr>
          <w:rFonts w:ascii="Times New Roman" w:eastAsia="Times New Roman" w:hAnsi="Times New Roman"/>
          <w:sz w:val="24"/>
          <w:szCs w:val="24"/>
          <w:lang w:eastAsia="en-AU"/>
        </w:rPr>
        <w:t>in at least one measurement period in a reporting period</w:t>
      </w:r>
      <w:r w:rsidR="007028F1" w:rsidRPr="00161FEE">
        <w:rPr>
          <w:rFonts w:ascii="Times New Roman" w:eastAsia="Times New Roman" w:hAnsi="Times New Roman"/>
          <w:sz w:val="24"/>
          <w:szCs w:val="24"/>
          <w:lang w:eastAsia="en-AU"/>
        </w:rPr>
        <w:t>, evidence of the disposal of the equipment in accordance with the relevant legislative requirements must also be kept.</w:t>
      </w:r>
      <w:r w:rsidR="00F10D6D" w:rsidRPr="00161FEE">
        <w:rPr>
          <w:rFonts w:ascii="Times New Roman" w:eastAsia="Times New Roman" w:hAnsi="Times New Roman"/>
          <w:sz w:val="24"/>
          <w:szCs w:val="24"/>
          <w:lang w:eastAsia="en-AU"/>
        </w:rPr>
        <w:t xml:space="preserve"> The same requirement also applies to </w:t>
      </w:r>
      <w:r w:rsidR="001F5B09" w:rsidRPr="00161FEE">
        <w:rPr>
          <w:rFonts w:ascii="Times New Roman" w:eastAsia="Times New Roman" w:hAnsi="Times New Roman"/>
          <w:sz w:val="24"/>
          <w:szCs w:val="24"/>
          <w:lang w:eastAsia="en-AU"/>
        </w:rPr>
        <w:t xml:space="preserve">other </w:t>
      </w:r>
      <w:r w:rsidR="00F10D6D" w:rsidRPr="00161FEE">
        <w:rPr>
          <w:rFonts w:ascii="Times New Roman" w:eastAsia="Times New Roman" w:hAnsi="Times New Roman"/>
          <w:sz w:val="24"/>
          <w:szCs w:val="24"/>
          <w:lang w:eastAsia="en-AU"/>
        </w:rPr>
        <w:t xml:space="preserve">building components </w:t>
      </w:r>
      <w:r w:rsidR="001F5B09" w:rsidRPr="00161FEE">
        <w:rPr>
          <w:rFonts w:ascii="Times New Roman" w:eastAsia="Times New Roman" w:hAnsi="Times New Roman"/>
          <w:sz w:val="24"/>
          <w:szCs w:val="24"/>
          <w:lang w:eastAsia="en-AU"/>
        </w:rPr>
        <w:t>and</w:t>
      </w:r>
      <w:r w:rsidR="00F10D6D" w:rsidRPr="00161FEE">
        <w:rPr>
          <w:rFonts w:ascii="Times New Roman" w:eastAsia="Times New Roman" w:hAnsi="Times New Roman"/>
          <w:sz w:val="24"/>
          <w:szCs w:val="24"/>
          <w:lang w:eastAsia="en-AU"/>
        </w:rPr>
        <w:t xml:space="preserve"> equipment that are removed from a building</w:t>
      </w:r>
      <w:r w:rsidR="001B2823" w:rsidRPr="00161FEE">
        <w:rPr>
          <w:rFonts w:ascii="Times New Roman" w:eastAsia="Times New Roman" w:hAnsi="Times New Roman"/>
          <w:sz w:val="24"/>
          <w:szCs w:val="24"/>
          <w:lang w:eastAsia="en-AU"/>
        </w:rPr>
        <w:t xml:space="preserve"> and disposed of,</w:t>
      </w:r>
      <w:r w:rsidR="00F10D6D" w:rsidRPr="00161FEE">
        <w:rPr>
          <w:rFonts w:ascii="Times New Roman" w:eastAsia="Times New Roman" w:hAnsi="Times New Roman"/>
          <w:sz w:val="24"/>
          <w:szCs w:val="24"/>
          <w:lang w:eastAsia="en-AU"/>
        </w:rPr>
        <w:t xml:space="preserve"> </w:t>
      </w:r>
      <w:r w:rsidR="001B2823" w:rsidRPr="00161FEE">
        <w:rPr>
          <w:rFonts w:ascii="Times New Roman" w:eastAsia="Times New Roman" w:hAnsi="Times New Roman"/>
          <w:sz w:val="24"/>
          <w:szCs w:val="24"/>
          <w:lang w:eastAsia="en-AU"/>
        </w:rPr>
        <w:t xml:space="preserve">as part of </w:t>
      </w:r>
      <w:r w:rsidR="00F02FAD">
        <w:rPr>
          <w:rFonts w:ascii="Times New Roman" w:eastAsia="Times New Roman" w:hAnsi="Times New Roman"/>
          <w:sz w:val="24"/>
          <w:szCs w:val="24"/>
          <w:lang w:eastAsia="en-AU"/>
        </w:rPr>
        <w:t xml:space="preserve">the </w:t>
      </w:r>
      <w:r w:rsidR="001B2823" w:rsidRPr="00161FEE">
        <w:rPr>
          <w:rFonts w:ascii="Times New Roman" w:eastAsia="Times New Roman" w:hAnsi="Times New Roman"/>
          <w:sz w:val="24"/>
          <w:szCs w:val="24"/>
          <w:lang w:eastAsia="en-AU"/>
        </w:rPr>
        <w:t>project activities.</w:t>
      </w:r>
    </w:p>
    <w:p w:rsidR="007D78E6" w:rsidRPr="00161FEE" w:rsidRDefault="007D78E6" w:rsidP="00101B59">
      <w:pPr>
        <w:spacing w:after="120" w:line="240" w:lineRule="auto"/>
        <w:rPr>
          <w:rFonts w:ascii="Times New Roman" w:hAnsi="Times New Roman"/>
          <w:b/>
          <w:color w:val="000000"/>
          <w:sz w:val="24"/>
          <w:szCs w:val="24"/>
        </w:rPr>
      </w:pPr>
    </w:p>
    <w:p w:rsidR="00915BEF" w:rsidRPr="00161FEE" w:rsidRDefault="00DF00B8" w:rsidP="00101B59">
      <w:pPr>
        <w:spacing w:after="120" w:line="240" w:lineRule="auto"/>
        <w:rPr>
          <w:rFonts w:ascii="Times New Roman" w:hAnsi="Times New Roman"/>
          <w:b/>
          <w:color w:val="000000"/>
          <w:sz w:val="24"/>
          <w:szCs w:val="24"/>
        </w:rPr>
      </w:pPr>
      <w:r w:rsidRPr="00161FEE">
        <w:rPr>
          <w:rFonts w:ascii="Times New Roman" w:hAnsi="Times New Roman"/>
          <w:b/>
          <w:color w:val="000000"/>
          <w:sz w:val="24"/>
          <w:szCs w:val="24"/>
        </w:rPr>
        <w:t>Division 3</w:t>
      </w:r>
      <w:r w:rsidRPr="00161FEE">
        <w:rPr>
          <w:rFonts w:ascii="Times New Roman" w:hAnsi="Times New Roman"/>
          <w:b/>
          <w:color w:val="000000"/>
          <w:sz w:val="24"/>
          <w:szCs w:val="24"/>
        </w:rPr>
        <w:tab/>
      </w:r>
      <w:r w:rsidR="00915BEF" w:rsidRPr="00161FEE">
        <w:rPr>
          <w:rFonts w:ascii="Times New Roman" w:hAnsi="Times New Roman"/>
          <w:b/>
          <w:color w:val="000000"/>
          <w:sz w:val="24"/>
          <w:szCs w:val="24"/>
        </w:rPr>
        <w:t>Monitoring requirements</w:t>
      </w:r>
      <w:bookmarkEnd w:id="5"/>
      <w:bookmarkEnd w:id="6"/>
    </w:p>
    <w:p w:rsidR="00915BEF" w:rsidRPr="00161FEE" w:rsidRDefault="00B32F8F" w:rsidP="00101B59">
      <w:pPr>
        <w:spacing w:after="120" w:line="240" w:lineRule="auto"/>
        <w:rPr>
          <w:rFonts w:ascii="Times New Roman" w:hAnsi="Times New Roman"/>
          <w:color w:val="000000"/>
          <w:sz w:val="24"/>
          <w:szCs w:val="24"/>
          <w:u w:val="single"/>
        </w:rPr>
      </w:pPr>
      <w:bookmarkStart w:id="7" w:name="_Toc318098666"/>
      <w:bookmarkStart w:id="8" w:name="_Toc319521137"/>
      <w:r w:rsidRPr="00161FEE">
        <w:rPr>
          <w:rFonts w:ascii="Times New Roman" w:hAnsi="Times New Roman"/>
          <w:color w:val="000000"/>
          <w:sz w:val="24"/>
          <w:szCs w:val="24"/>
          <w:u w:val="single"/>
        </w:rPr>
        <w:t>3</w:t>
      </w:r>
      <w:r w:rsidR="00F97BDF" w:rsidRPr="00161FEE">
        <w:rPr>
          <w:rFonts w:ascii="Times New Roman" w:hAnsi="Times New Roman"/>
          <w:color w:val="000000"/>
          <w:sz w:val="24"/>
          <w:szCs w:val="24"/>
          <w:u w:val="single"/>
        </w:rPr>
        <w:t>2</w:t>
      </w:r>
      <w:r w:rsidR="00915BEF" w:rsidRPr="00161FEE">
        <w:rPr>
          <w:rFonts w:ascii="Times New Roman" w:hAnsi="Times New Roman"/>
          <w:color w:val="000000"/>
          <w:sz w:val="24"/>
          <w:szCs w:val="24"/>
          <w:u w:val="single"/>
        </w:rPr>
        <w:tab/>
      </w:r>
      <w:bookmarkEnd w:id="7"/>
      <w:bookmarkEnd w:id="8"/>
      <w:r w:rsidR="004278A8" w:rsidRPr="00161FEE">
        <w:rPr>
          <w:rFonts w:ascii="Times New Roman" w:hAnsi="Times New Roman"/>
          <w:color w:val="000000"/>
          <w:sz w:val="24"/>
          <w:szCs w:val="24"/>
          <w:u w:val="single"/>
        </w:rPr>
        <w:t>Operation of this Division</w:t>
      </w:r>
    </w:p>
    <w:p w:rsidR="007A4C6B" w:rsidRPr="00161FEE" w:rsidRDefault="00595327" w:rsidP="00895777">
      <w:p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 xml:space="preserve">Division 3 provides a summary of parameters that require monitoring, including specifications for the manner and frequency of monitoring. </w:t>
      </w:r>
      <w:r w:rsidR="007A4C6B" w:rsidRPr="00161FEE">
        <w:rPr>
          <w:rFonts w:ascii="Times New Roman" w:hAnsi="Times New Roman"/>
          <w:color w:val="000000"/>
          <w:sz w:val="24"/>
          <w:szCs w:val="24"/>
        </w:rPr>
        <w:t xml:space="preserve">Section </w:t>
      </w:r>
      <w:r w:rsidR="00B32F8F" w:rsidRPr="00161FEE">
        <w:rPr>
          <w:rFonts w:ascii="Times New Roman" w:hAnsi="Times New Roman"/>
          <w:color w:val="000000"/>
          <w:sz w:val="24"/>
          <w:szCs w:val="24"/>
        </w:rPr>
        <w:t>3</w:t>
      </w:r>
      <w:r w:rsidR="00F97BDF" w:rsidRPr="00161FEE">
        <w:rPr>
          <w:rFonts w:ascii="Times New Roman" w:hAnsi="Times New Roman"/>
          <w:color w:val="000000"/>
          <w:sz w:val="24"/>
          <w:szCs w:val="24"/>
        </w:rPr>
        <w:t>3</w:t>
      </w:r>
      <w:r w:rsidR="00B32F8F" w:rsidRPr="00161FEE">
        <w:rPr>
          <w:rFonts w:ascii="Times New Roman" w:hAnsi="Times New Roman"/>
          <w:color w:val="000000"/>
          <w:sz w:val="24"/>
          <w:szCs w:val="24"/>
        </w:rPr>
        <w:t xml:space="preserve"> </w:t>
      </w:r>
      <w:r w:rsidR="007A4C6B" w:rsidRPr="00161FEE">
        <w:rPr>
          <w:rFonts w:ascii="Times New Roman" w:hAnsi="Times New Roman"/>
          <w:color w:val="000000"/>
          <w:sz w:val="24"/>
          <w:szCs w:val="24"/>
        </w:rPr>
        <w:t>specifies requirements to monitor a commercial buildings project that is an eligible offsets project under paragraph 106(3</w:t>
      </w:r>
      <w:proofErr w:type="gramStart"/>
      <w:r w:rsidR="007A4C6B" w:rsidRPr="00161FEE">
        <w:rPr>
          <w:rFonts w:ascii="Times New Roman" w:hAnsi="Times New Roman"/>
          <w:color w:val="000000"/>
          <w:sz w:val="24"/>
          <w:szCs w:val="24"/>
        </w:rPr>
        <w:t>)(</w:t>
      </w:r>
      <w:proofErr w:type="gramEnd"/>
      <w:r w:rsidR="007A4C6B" w:rsidRPr="00161FEE">
        <w:rPr>
          <w:rFonts w:ascii="Times New Roman" w:hAnsi="Times New Roman"/>
          <w:color w:val="000000"/>
          <w:sz w:val="24"/>
          <w:szCs w:val="24"/>
        </w:rPr>
        <w:t>d) of the Act.</w:t>
      </w:r>
    </w:p>
    <w:p w:rsidR="005A2EE0" w:rsidRPr="00161FEE" w:rsidRDefault="005A2EE0" w:rsidP="00101B59">
      <w:pPr>
        <w:spacing w:after="120" w:line="240" w:lineRule="auto"/>
        <w:rPr>
          <w:rFonts w:ascii="Times New Roman" w:hAnsi="Times New Roman"/>
          <w:color w:val="000000"/>
          <w:sz w:val="24"/>
          <w:szCs w:val="24"/>
        </w:rPr>
      </w:pPr>
    </w:p>
    <w:p w:rsidR="004278A8" w:rsidRPr="00161FEE" w:rsidRDefault="00B32F8F" w:rsidP="006A3A35">
      <w:pPr>
        <w:keepNext/>
        <w:spacing w:after="120" w:line="240" w:lineRule="auto"/>
        <w:ind w:left="720" w:hanging="720"/>
        <w:rPr>
          <w:rFonts w:ascii="Times New Roman" w:hAnsi="Times New Roman"/>
          <w:color w:val="000000"/>
          <w:sz w:val="24"/>
          <w:szCs w:val="24"/>
          <w:u w:val="single"/>
        </w:rPr>
      </w:pPr>
      <w:r w:rsidRPr="00161FEE">
        <w:rPr>
          <w:rFonts w:ascii="Times New Roman" w:hAnsi="Times New Roman"/>
          <w:color w:val="000000"/>
          <w:sz w:val="24"/>
          <w:szCs w:val="24"/>
          <w:u w:val="single"/>
        </w:rPr>
        <w:t>3</w:t>
      </w:r>
      <w:r w:rsidR="00F97BDF" w:rsidRPr="00161FEE">
        <w:rPr>
          <w:rFonts w:ascii="Times New Roman" w:hAnsi="Times New Roman"/>
          <w:color w:val="000000"/>
          <w:sz w:val="24"/>
          <w:szCs w:val="24"/>
          <w:u w:val="single"/>
        </w:rPr>
        <w:t>3</w:t>
      </w:r>
      <w:r w:rsidR="007A4C6B" w:rsidRPr="00161FEE">
        <w:rPr>
          <w:rFonts w:ascii="Times New Roman" w:hAnsi="Times New Roman"/>
          <w:color w:val="000000"/>
          <w:sz w:val="24"/>
          <w:szCs w:val="24"/>
          <w:u w:val="single"/>
        </w:rPr>
        <w:tab/>
        <w:t xml:space="preserve">Requirement to monitor </w:t>
      </w:r>
      <w:r w:rsidR="00190334" w:rsidRPr="00161FEE">
        <w:rPr>
          <w:rFonts w:ascii="Times New Roman" w:hAnsi="Times New Roman"/>
          <w:color w:val="000000"/>
          <w:sz w:val="24"/>
          <w:szCs w:val="24"/>
          <w:u w:val="single"/>
        </w:rPr>
        <w:t xml:space="preserve">renewable </w:t>
      </w:r>
      <w:r w:rsidR="007A4C6B" w:rsidRPr="00161FEE">
        <w:rPr>
          <w:rFonts w:ascii="Times New Roman" w:hAnsi="Times New Roman"/>
          <w:color w:val="000000"/>
          <w:sz w:val="24"/>
          <w:szCs w:val="24"/>
          <w:u w:val="single"/>
        </w:rPr>
        <w:t xml:space="preserve">electricity generated </w:t>
      </w:r>
      <w:r w:rsidR="00190334" w:rsidRPr="00161FEE">
        <w:rPr>
          <w:rFonts w:ascii="Times New Roman" w:hAnsi="Times New Roman"/>
          <w:color w:val="000000"/>
          <w:sz w:val="24"/>
          <w:szCs w:val="24"/>
          <w:u w:val="single"/>
        </w:rPr>
        <w:t xml:space="preserve">and consumed </w:t>
      </w:r>
      <w:r w:rsidR="007A4C6B" w:rsidRPr="00161FEE">
        <w:rPr>
          <w:rFonts w:ascii="Times New Roman" w:hAnsi="Times New Roman"/>
          <w:color w:val="000000"/>
          <w:sz w:val="24"/>
          <w:szCs w:val="24"/>
          <w:u w:val="single"/>
        </w:rPr>
        <w:t>onsite at a building</w:t>
      </w:r>
    </w:p>
    <w:p w:rsidR="004A19B5" w:rsidRPr="00161FEE" w:rsidRDefault="007A4C6B" w:rsidP="00956178">
      <w:p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 xml:space="preserve">Section </w:t>
      </w:r>
      <w:r w:rsidR="00B32F8F" w:rsidRPr="00161FEE">
        <w:rPr>
          <w:rFonts w:ascii="Times New Roman" w:hAnsi="Times New Roman"/>
          <w:color w:val="000000"/>
          <w:sz w:val="24"/>
          <w:szCs w:val="24"/>
        </w:rPr>
        <w:t>3</w:t>
      </w:r>
      <w:r w:rsidR="00F97BDF" w:rsidRPr="00161FEE">
        <w:rPr>
          <w:rFonts w:ascii="Times New Roman" w:hAnsi="Times New Roman"/>
          <w:color w:val="000000"/>
          <w:sz w:val="24"/>
          <w:szCs w:val="24"/>
        </w:rPr>
        <w:t>3</w:t>
      </w:r>
      <w:r w:rsidR="00B32F8F" w:rsidRPr="00161FEE">
        <w:rPr>
          <w:rFonts w:ascii="Times New Roman" w:hAnsi="Times New Roman"/>
          <w:color w:val="000000"/>
          <w:sz w:val="24"/>
          <w:szCs w:val="24"/>
        </w:rPr>
        <w:t xml:space="preserve"> </w:t>
      </w:r>
      <w:r w:rsidR="0070232B" w:rsidRPr="00161FEE">
        <w:rPr>
          <w:rFonts w:ascii="Times New Roman" w:hAnsi="Times New Roman"/>
          <w:color w:val="000000"/>
          <w:sz w:val="24"/>
          <w:szCs w:val="24"/>
        </w:rPr>
        <w:t xml:space="preserve">sets out the monitoring requirement that must be followed if a project chooses to determine data for renewable electricity generated and consumed onsite at a building by </w:t>
      </w:r>
      <w:r w:rsidR="00423F20" w:rsidRPr="00161FEE">
        <w:rPr>
          <w:rFonts w:ascii="Times New Roman" w:hAnsi="Times New Roman"/>
          <w:color w:val="000000"/>
          <w:sz w:val="24"/>
          <w:szCs w:val="24"/>
        </w:rPr>
        <w:t xml:space="preserve">directly </w:t>
      </w:r>
      <w:r w:rsidR="0070232B" w:rsidRPr="00161FEE">
        <w:rPr>
          <w:rFonts w:ascii="Times New Roman" w:hAnsi="Times New Roman"/>
          <w:color w:val="000000"/>
          <w:sz w:val="24"/>
          <w:szCs w:val="24"/>
        </w:rPr>
        <w:t xml:space="preserve">monitoring with a meter or inverter. </w:t>
      </w:r>
      <w:r w:rsidR="002637D6" w:rsidRPr="00161FEE">
        <w:rPr>
          <w:rFonts w:ascii="Times New Roman" w:hAnsi="Times New Roman"/>
          <w:color w:val="000000"/>
          <w:sz w:val="24"/>
          <w:szCs w:val="24"/>
        </w:rPr>
        <w:t xml:space="preserve">The </w:t>
      </w:r>
      <w:r w:rsidR="00423F20" w:rsidRPr="00161FEE">
        <w:rPr>
          <w:rFonts w:ascii="Times New Roman" w:hAnsi="Times New Roman"/>
          <w:color w:val="000000"/>
          <w:sz w:val="24"/>
          <w:szCs w:val="24"/>
        </w:rPr>
        <w:t>quantity</w:t>
      </w:r>
      <w:r w:rsidR="002637D6" w:rsidRPr="00161FEE">
        <w:rPr>
          <w:rFonts w:ascii="Times New Roman" w:hAnsi="Times New Roman"/>
          <w:color w:val="000000"/>
          <w:sz w:val="24"/>
          <w:szCs w:val="24"/>
        </w:rPr>
        <w:t xml:space="preserve"> must</w:t>
      </w:r>
      <w:r w:rsidR="004A19B5" w:rsidRPr="00161FEE">
        <w:rPr>
          <w:rFonts w:ascii="Times New Roman" w:hAnsi="Times New Roman"/>
          <w:color w:val="000000"/>
          <w:sz w:val="24"/>
          <w:szCs w:val="24"/>
        </w:rPr>
        <w:t xml:space="preserve"> be monitored in kilowatt hours (annually or more frequently)</w:t>
      </w:r>
      <w:r w:rsidR="00EA1815" w:rsidRPr="00161FEE">
        <w:rPr>
          <w:rFonts w:ascii="Times New Roman" w:hAnsi="Times New Roman"/>
          <w:color w:val="000000"/>
          <w:sz w:val="24"/>
          <w:szCs w:val="24"/>
        </w:rPr>
        <w:t xml:space="preserve"> in one of two ways:</w:t>
      </w:r>
      <w:r w:rsidR="00D62001" w:rsidRPr="00161FEE">
        <w:rPr>
          <w:rFonts w:ascii="Times New Roman" w:hAnsi="Times New Roman"/>
          <w:sz w:val="24"/>
          <w:szCs w:val="24"/>
        </w:rPr>
        <w:tab/>
      </w:r>
    </w:p>
    <w:p w:rsidR="00EA1815" w:rsidRPr="00161FEE" w:rsidRDefault="0001271D" w:rsidP="00EA1815">
      <w:pPr>
        <w:numPr>
          <w:ilvl w:val="0"/>
          <w:numId w:val="17"/>
        </w:num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u</w:t>
      </w:r>
      <w:r w:rsidR="00EA1815" w:rsidRPr="00161FEE">
        <w:rPr>
          <w:rFonts w:ascii="Times New Roman" w:hAnsi="Times New Roman"/>
          <w:color w:val="000000"/>
          <w:sz w:val="24"/>
          <w:szCs w:val="24"/>
        </w:rPr>
        <w:t>sing a meter:</w:t>
      </w:r>
      <w:r w:rsidR="00BA7534" w:rsidRPr="00161FEE">
        <w:rPr>
          <w:rFonts w:ascii="Times New Roman" w:hAnsi="Times New Roman"/>
          <w:color w:val="000000"/>
          <w:sz w:val="24"/>
          <w:szCs w:val="24"/>
        </w:rPr>
        <w:t xml:space="preserve"> i</w:t>
      </w:r>
      <w:r w:rsidR="00A0528E" w:rsidRPr="00161FEE">
        <w:rPr>
          <w:rFonts w:ascii="Times New Roman" w:hAnsi="Times New Roman"/>
          <w:color w:val="000000"/>
          <w:sz w:val="24"/>
          <w:szCs w:val="24"/>
        </w:rPr>
        <w:t>f using a meter to monitor</w:t>
      </w:r>
      <w:r w:rsidR="00676B55" w:rsidRPr="00161FEE">
        <w:rPr>
          <w:rFonts w:ascii="Times New Roman" w:hAnsi="Times New Roman"/>
          <w:color w:val="000000"/>
          <w:sz w:val="24"/>
          <w:szCs w:val="24"/>
        </w:rPr>
        <w:t xml:space="preserve"> onsite electricity generation, the meter must be used in accordance with the relevant electricity metering requirements of the National Measurement Institute (see </w:t>
      </w:r>
      <w:r w:rsidR="00676B55" w:rsidRPr="00161FEE">
        <w:rPr>
          <w:rFonts w:ascii="Times New Roman" w:hAnsi="Times New Roman"/>
          <w:i/>
          <w:color w:val="000000"/>
          <w:sz w:val="24"/>
          <w:szCs w:val="24"/>
        </w:rPr>
        <w:t>NMI M 6 Electricity Meters</w:t>
      </w:r>
      <w:r w:rsidR="00676B55" w:rsidRPr="00161FEE">
        <w:rPr>
          <w:rFonts w:ascii="Times New Roman" w:hAnsi="Times New Roman"/>
          <w:color w:val="000000"/>
          <w:sz w:val="24"/>
          <w:szCs w:val="24"/>
        </w:rPr>
        <w:t>); or</w:t>
      </w:r>
    </w:p>
    <w:p w:rsidR="00EA1815" w:rsidRPr="00161FEE" w:rsidRDefault="0001271D" w:rsidP="00EA1815">
      <w:pPr>
        <w:numPr>
          <w:ilvl w:val="0"/>
          <w:numId w:val="17"/>
        </w:numPr>
        <w:spacing w:after="120" w:line="240" w:lineRule="auto"/>
        <w:rPr>
          <w:rFonts w:ascii="Times New Roman" w:hAnsi="Times New Roman"/>
          <w:color w:val="000000"/>
          <w:sz w:val="24"/>
          <w:szCs w:val="24"/>
        </w:rPr>
      </w:pPr>
      <w:proofErr w:type="gramStart"/>
      <w:r w:rsidRPr="00161FEE">
        <w:rPr>
          <w:rFonts w:ascii="Times New Roman" w:hAnsi="Times New Roman"/>
          <w:color w:val="000000"/>
          <w:sz w:val="24"/>
          <w:szCs w:val="24"/>
        </w:rPr>
        <w:t>u</w:t>
      </w:r>
      <w:r w:rsidR="00EA1815" w:rsidRPr="00161FEE">
        <w:rPr>
          <w:rFonts w:ascii="Times New Roman" w:hAnsi="Times New Roman"/>
          <w:color w:val="000000"/>
          <w:sz w:val="24"/>
          <w:szCs w:val="24"/>
        </w:rPr>
        <w:t>sing</w:t>
      </w:r>
      <w:proofErr w:type="gramEnd"/>
      <w:r w:rsidR="00EA1815" w:rsidRPr="00161FEE">
        <w:rPr>
          <w:rFonts w:ascii="Times New Roman" w:hAnsi="Times New Roman"/>
          <w:color w:val="000000"/>
          <w:sz w:val="24"/>
          <w:szCs w:val="24"/>
        </w:rPr>
        <w:t xml:space="preserve"> an inverter:</w:t>
      </w:r>
      <w:r w:rsidR="00A0528E" w:rsidRPr="00161FEE">
        <w:rPr>
          <w:rFonts w:ascii="Times New Roman" w:hAnsi="Times New Roman"/>
          <w:color w:val="000000"/>
          <w:sz w:val="24"/>
          <w:szCs w:val="24"/>
        </w:rPr>
        <w:t xml:space="preserve"> </w:t>
      </w:r>
      <w:r w:rsidR="00BA7534" w:rsidRPr="00161FEE">
        <w:rPr>
          <w:rFonts w:ascii="Times New Roman" w:hAnsi="Times New Roman"/>
          <w:color w:val="000000"/>
          <w:sz w:val="24"/>
          <w:szCs w:val="24"/>
        </w:rPr>
        <w:t>i</w:t>
      </w:r>
      <w:r w:rsidR="00A0528E" w:rsidRPr="00161FEE">
        <w:rPr>
          <w:rFonts w:ascii="Times New Roman" w:hAnsi="Times New Roman"/>
          <w:color w:val="000000"/>
          <w:sz w:val="24"/>
          <w:szCs w:val="24"/>
        </w:rPr>
        <w:t xml:space="preserve">f using an inverter to monitor onsite electricity generation, the inverter must meet the requirements of Australian Standard AS 4777 or be on the list of approved inverters that is </w:t>
      </w:r>
      <w:r w:rsidR="00892E8F" w:rsidRPr="00161FEE">
        <w:rPr>
          <w:rFonts w:ascii="Times New Roman" w:hAnsi="Times New Roman"/>
          <w:color w:val="000000"/>
          <w:sz w:val="24"/>
          <w:szCs w:val="24"/>
        </w:rPr>
        <w:t>maintained by the Clean Energy Council (at</w:t>
      </w:r>
      <w:r w:rsidR="00A0780C" w:rsidRPr="00161FEE">
        <w:rPr>
          <w:rFonts w:ascii="Times New Roman" w:hAnsi="Times New Roman"/>
          <w:color w:val="000000"/>
          <w:sz w:val="24"/>
          <w:szCs w:val="24"/>
        </w:rPr>
        <w:t> </w:t>
      </w:r>
      <w:hyperlink r:id="rId17" w:history="1">
        <w:r w:rsidR="00892E8F" w:rsidRPr="00161FEE">
          <w:rPr>
            <w:rStyle w:val="Hyperlink"/>
            <w:rFonts w:ascii="Times New Roman" w:hAnsi="Times New Roman"/>
            <w:sz w:val="24"/>
            <w:szCs w:val="24"/>
          </w:rPr>
          <w:t>www.solaraccreditation.com.au</w:t>
        </w:r>
      </w:hyperlink>
      <w:r w:rsidR="00F53773" w:rsidRPr="00161FEE">
        <w:rPr>
          <w:rFonts w:ascii="Times New Roman" w:hAnsi="Times New Roman"/>
          <w:color w:val="000000"/>
          <w:sz w:val="24"/>
          <w:szCs w:val="24"/>
        </w:rPr>
        <w:t>)</w:t>
      </w:r>
      <w:r w:rsidR="00DF1E4F" w:rsidRPr="00161FEE">
        <w:rPr>
          <w:rFonts w:ascii="Times New Roman" w:hAnsi="Times New Roman"/>
          <w:color w:val="000000"/>
          <w:sz w:val="24"/>
          <w:szCs w:val="24"/>
        </w:rPr>
        <w:t>.</w:t>
      </w:r>
    </w:p>
    <w:p w:rsidR="002637D6" w:rsidRPr="00161FEE" w:rsidRDefault="002637D6" w:rsidP="00190334">
      <w:p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 xml:space="preserve">An alternative method to determine data for renewable electricity generated and consumed onsite is set out in section </w:t>
      </w:r>
      <w:r w:rsidR="00B32F8F" w:rsidRPr="00161FEE">
        <w:rPr>
          <w:rFonts w:ascii="Times New Roman" w:hAnsi="Times New Roman"/>
          <w:color w:val="000000"/>
          <w:sz w:val="24"/>
          <w:szCs w:val="24"/>
        </w:rPr>
        <w:t>1</w:t>
      </w:r>
      <w:r w:rsidR="00BC3EF9" w:rsidRPr="00161FEE">
        <w:rPr>
          <w:rFonts w:ascii="Times New Roman" w:hAnsi="Times New Roman"/>
          <w:color w:val="000000"/>
          <w:sz w:val="24"/>
          <w:szCs w:val="24"/>
        </w:rPr>
        <w:t>5</w:t>
      </w:r>
      <w:r w:rsidRPr="00161FEE">
        <w:rPr>
          <w:rFonts w:ascii="Times New Roman" w:hAnsi="Times New Roman"/>
          <w:color w:val="000000"/>
          <w:sz w:val="24"/>
          <w:szCs w:val="24"/>
        </w:rPr>
        <w:t>.</w:t>
      </w:r>
      <w:r w:rsidR="00423F20" w:rsidRPr="00161FEE">
        <w:rPr>
          <w:rFonts w:ascii="Times New Roman" w:hAnsi="Times New Roman"/>
          <w:color w:val="000000"/>
          <w:sz w:val="24"/>
          <w:szCs w:val="24"/>
        </w:rPr>
        <w:t xml:space="preserve"> This method is included to reduce the compliance burden on proponents in cases where the quantity required to be </w:t>
      </w:r>
      <w:r w:rsidR="00B367DC" w:rsidRPr="00161FEE">
        <w:rPr>
          <w:rFonts w:ascii="Times New Roman" w:hAnsi="Times New Roman"/>
          <w:color w:val="000000"/>
          <w:sz w:val="24"/>
          <w:szCs w:val="24"/>
        </w:rPr>
        <w:t>measured</w:t>
      </w:r>
      <w:r w:rsidR="00423F20" w:rsidRPr="00161FEE">
        <w:rPr>
          <w:rFonts w:ascii="Times New Roman" w:hAnsi="Times New Roman"/>
          <w:color w:val="000000"/>
          <w:sz w:val="24"/>
          <w:szCs w:val="24"/>
        </w:rPr>
        <w:t xml:space="preserve"> is not separately metered.</w:t>
      </w:r>
    </w:p>
    <w:p w:rsidR="007A4C6B" w:rsidRPr="00161FEE" w:rsidRDefault="007A4C6B" w:rsidP="007A4C6B">
      <w:pPr>
        <w:pageBreakBefore/>
        <w:spacing w:after="120" w:line="240" w:lineRule="auto"/>
        <w:rPr>
          <w:rFonts w:ascii="Times New Roman" w:hAnsi="Times New Roman"/>
          <w:b/>
          <w:color w:val="000000"/>
          <w:sz w:val="24"/>
          <w:szCs w:val="24"/>
        </w:rPr>
      </w:pPr>
      <w:r w:rsidRPr="00161FEE">
        <w:rPr>
          <w:rFonts w:ascii="Times New Roman" w:hAnsi="Times New Roman"/>
          <w:b/>
          <w:color w:val="000000"/>
          <w:sz w:val="24"/>
          <w:szCs w:val="24"/>
        </w:rPr>
        <w:lastRenderedPageBreak/>
        <w:t xml:space="preserve">Part 6 </w:t>
      </w:r>
      <w:r w:rsidRPr="00161FEE">
        <w:rPr>
          <w:rFonts w:ascii="Times New Roman" w:hAnsi="Times New Roman"/>
          <w:b/>
          <w:color w:val="000000"/>
          <w:sz w:val="24"/>
          <w:szCs w:val="24"/>
        </w:rPr>
        <w:tab/>
      </w:r>
      <w:r w:rsidRPr="00161FEE">
        <w:rPr>
          <w:rFonts w:ascii="Times New Roman" w:hAnsi="Times New Roman"/>
          <w:b/>
          <w:color w:val="000000"/>
          <w:sz w:val="24"/>
          <w:szCs w:val="24"/>
        </w:rPr>
        <w:tab/>
      </w:r>
      <w:proofErr w:type="gramStart"/>
      <w:r w:rsidRPr="00161FEE">
        <w:rPr>
          <w:rFonts w:ascii="Times New Roman" w:hAnsi="Times New Roman"/>
          <w:b/>
          <w:color w:val="000000"/>
          <w:sz w:val="24"/>
          <w:szCs w:val="24"/>
        </w:rPr>
        <w:t>Dividing</w:t>
      </w:r>
      <w:proofErr w:type="gramEnd"/>
      <w:r w:rsidRPr="00161FEE">
        <w:rPr>
          <w:rFonts w:ascii="Times New Roman" w:hAnsi="Times New Roman"/>
          <w:b/>
          <w:color w:val="000000"/>
          <w:sz w:val="24"/>
          <w:szCs w:val="24"/>
        </w:rPr>
        <w:t xml:space="preserve"> a commercial buildings project</w:t>
      </w:r>
    </w:p>
    <w:p w:rsidR="007A4C6B" w:rsidRPr="00161FEE" w:rsidRDefault="00B32F8F" w:rsidP="007A4C6B">
      <w:pPr>
        <w:spacing w:after="120" w:line="240" w:lineRule="auto"/>
        <w:rPr>
          <w:rFonts w:ascii="Times New Roman" w:hAnsi="Times New Roman"/>
          <w:color w:val="000000"/>
          <w:sz w:val="24"/>
          <w:szCs w:val="24"/>
          <w:u w:val="single"/>
        </w:rPr>
      </w:pPr>
      <w:r w:rsidRPr="00161FEE">
        <w:rPr>
          <w:rFonts w:ascii="Times New Roman" w:hAnsi="Times New Roman"/>
          <w:color w:val="000000"/>
          <w:sz w:val="24"/>
          <w:szCs w:val="24"/>
          <w:u w:val="single"/>
        </w:rPr>
        <w:t>3</w:t>
      </w:r>
      <w:r w:rsidR="00EC0297" w:rsidRPr="00161FEE">
        <w:rPr>
          <w:rFonts w:ascii="Times New Roman" w:hAnsi="Times New Roman"/>
          <w:color w:val="000000"/>
          <w:sz w:val="24"/>
          <w:szCs w:val="24"/>
          <w:u w:val="single"/>
        </w:rPr>
        <w:t>4</w:t>
      </w:r>
      <w:r w:rsidR="007A4C6B" w:rsidRPr="00161FEE">
        <w:rPr>
          <w:rFonts w:ascii="Times New Roman" w:hAnsi="Times New Roman"/>
          <w:color w:val="000000"/>
          <w:sz w:val="24"/>
          <w:szCs w:val="24"/>
          <w:u w:val="single"/>
        </w:rPr>
        <w:tab/>
        <w:t>Operation of this Part</w:t>
      </w:r>
    </w:p>
    <w:p w:rsidR="007A4C6B" w:rsidRPr="00161FEE" w:rsidRDefault="007A4C6B" w:rsidP="007A4C6B">
      <w:pPr>
        <w:spacing w:after="120"/>
        <w:rPr>
          <w:rFonts w:ascii="Times New Roman" w:hAnsi="Times New Roman"/>
          <w:sz w:val="24"/>
          <w:szCs w:val="24"/>
        </w:rPr>
      </w:pPr>
      <w:r w:rsidRPr="00161FEE">
        <w:rPr>
          <w:rFonts w:ascii="Times New Roman" w:hAnsi="Times New Roman"/>
          <w:sz w:val="24"/>
          <w:szCs w:val="24"/>
        </w:rPr>
        <w:t xml:space="preserve">Part 6 sets out requirements for dividing a commercial buildings project that is an eligible offsets project.  </w:t>
      </w:r>
    </w:p>
    <w:p w:rsidR="007A4C6B" w:rsidRPr="00161FEE" w:rsidRDefault="007A4C6B" w:rsidP="007A4C6B">
      <w:pPr>
        <w:spacing w:after="120" w:line="240" w:lineRule="auto"/>
        <w:rPr>
          <w:rFonts w:ascii="Times New Roman" w:hAnsi="Times New Roman"/>
          <w:color w:val="000000"/>
          <w:sz w:val="24"/>
          <w:szCs w:val="24"/>
        </w:rPr>
      </w:pPr>
    </w:p>
    <w:p w:rsidR="007A4C6B" w:rsidRPr="00161FEE" w:rsidRDefault="00B32F8F" w:rsidP="007A4C6B">
      <w:pPr>
        <w:spacing w:after="120" w:line="240" w:lineRule="auto"/>
        <w:rPr>
          <w:rFonts w:ascii="Times New Roman" w:hAnsi="Times New Roman"/>
          <w:color w:val="000000"/>
          <w:sz w:val="24"/>
          <w:szCs w:val="24"/>
          <w:u w:val="single"/>
        </w:rPr>
      </w:pPr>
      <w:r w:rsidRPr="00161FEE">
        <w:rPr>
          <w:rFonts w:ascii="Times New Roman" w:hAnsi="Times New Roman"/>
          <w:color w:val="000000"/>
          <w:sz w:val="24"/>
          <w:szCs w:val="24"/>
          <w:u w:val="single"/>
        </w:rPr>
        <w:t>3</w:t>
      </w:r>
      <w:r w:rsidR="00EC0297" w:rsidRPr="00161FEE">
        <w:rPr>
          <w:rFonts w:ascii="Times New Roman" w:hAnsi="Times New Roman"/>
          <w:color w:val="000000"/>
          <w:sz w:val="24"/>
          <w:szCs w:val="24"/>
          <w:u w:val="single"/>
        </w:rPr>
        <w:t>5</w:t>
      </w:r>
      <w:r w:rsidR="007A4C6B" w:rsidRPr="00161FEE">
        <w:rPr>
          <w:rFonts w:ascii="Times New Roman" w:hAnsi="Times New Roman"/>
          <w:color w:val="000000"/>
          <w:sz w:val="24"/>
          <w:szCs w:val="24"/>
          <w:u w:val="single"/>
        </w:rPr>
        <w:tab/>
        <w:t>Requirements for division of project</w:t>
      </w:r>
    </w:p>
    <w:p w:rsidR="005A2708" w:rsidRPr="00161FEE" w:rsidRDefault="005A2708" w:rsidP="005A2708">
      <w:pPr>
        <w:spacing w:after="120" w:line="240" w:lineRule="auto"/>
        <w:rPr>
          <w:rFonts w:ascii="Times New Roman" w:hAnsi="Times New Roman"/>
          <w:sz w:val="24"/>
          <w:szCs w:val="24"/>
        </w:rPr>
      </w:pPr>
      <w:r w:rsidRPr="00161FEE">
        <w:rPr>
          <w:rFonts w:ascii="Times New Roman" w:hAnsi="Times New Roman"/>
          <w:sz w:val="24"/>
          <w:szCs w:val="24"/>
        </w:rPr>
        <w:t>Different buildings may receive their NABERS energy ratings at different times in the year, which has implications for the way in which abatement from multiple buildings can be combined in a repor</w:t>
      </w:r>
      <w:r w:rsidR="007C7B86" w:rsidRPr="00161FEE">
        <w:rPr>
          <w:rFonts w:ascii="Times New Roman" w:hAnsi="Times New Roman"/>
          <w:sz w:val="24"/>
          <w:szCs w:val="24"/>
        </w:rPr>
        <w:t xml:space="preserve">ting schedule for the project. </w:t>
      </w:r>
      <w:r w:rsidR="00210922" w:rsidRPr="00161FEE">
        <w:rPr>
          <w:rFonts w:ascii="Times New Roman" w:hAnsi="Times New Roman"/>
          <w:sz w:val="24"/>
          <w:szCs w:val="24"/>
        </w:rPr>
        <w:t>Accordingly</w:t>
      </w:r>
      <w:r w:rsidRPr="00161FEE">
        <w:rPr>
          <w:rFonts w:ascii="Times New Roman" w:hAnsi="Times New Roman"/>
          <w:sz w:val="24"/>
          <w:szCs w:val="24"/>
        </w:rPr>
        <w:t>, the proponent may align reporting periods (that is, conduct NABERS energy ratings of different buildings in the project so that measurement periods for different buildings cover the same rating</w:t>
      </w:r>
      <w:r w:rsidR="00971DF2" w:rsidRPr="00161FEE">
        <w:rPr>
          <w:rFonts w:ascii="Times New Roman" w:hAnsi="Times New Roman"/>
          <w:sz w:val="24"/>
          <w:szCs w:val="24"/>
        </w:rPr>
        <w:t xml:space="preserve"> periods) </w:t>
      </w:r>
      <w:r w:rsidRPr="00161FEE">
        <w:rPr>
          <w:rFonts w:ascii="Times New Roman" w:hAnsi="Times New Roman"/>
          <w:sz w:val="24"/>
          <w:szCs w:val="24"/>
        </w:rPr>
        <w:t>or the proponent may</w:t>
      </w:r>
      <w:r w:rsidR="006564CD" w:rsidRPr="00161FEE">
        <w:rPr>
          <w:rFonts w:ascii="Times New Roman" w:hAnsi="Times New Roman"/>
          <w:sz w:val="24"/>
          <w:szCs w:val="24"/>
        </w:rPr>
        <w:t xml:space="preserve"> make use of the provisions in s</w:t>
      </w:r>
      <w:r w:rsidRPr="00161FEE">
        <w:rPr>
          <w:rFonts w:ascii="Times New Roman" w:hAnsi="Times New Roman"/>
          <w:sz w:val="24"/>
          <w:szCs w:val="24"/>
        </w:rPr>
        <w:t xml:space="preserve">ection 77A of the Act, which allows the project to be split into parts for reporting purposes. </w:t>
      </w:r>
    </w:p>
    <w:p w:rsidR="00B75B95" w:rsidRPr="00161FEE" w:rsidRDefault="007A4C6B" w:rsidP="007A4C6B">
      <w:p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S</w:t>
      </w:r>
      <w:r w:rsidR="005256A3" w:rsidRPr="00161FEE">
        <w:rPr>
          <w:rFonts w:ascii="Times New Roman" w:hAnsi="Times New Roman"/>
          <w:color w:val="000000"/>
          <w:sz w:val="24"/>
          <w:szCs w:val="24"/>
        </w:rPr>
        <w:t xml:space="preserve">ection </w:t>
      </w:r>
      <w:r w:rsidR="00B32F8F" w:rsidRPr="00161FEE">
        <w:rPr>
          <w:rFonts w:ascii="Times New Roman" w:hAnsi="Times New Roman"/>
          <w:color w:val="000000"/>
          <w:sz w:val="24"/>
          <w:szCs w:val="24"/>
        </w:rPr>
        <w:t>3</w:t>
      </w:r>
      <w:r w:rsidR="00EC0297" w:rsidRPr="00161FEE">
        <w:rPr>
          <w:rFonts w:ascii="Times New Roman" w:hAnsi="Times New Roman"/>
          <w:color w:val="000000"/>
          <w:sz w:val="24"/>
          <w:szCs w:val="24"/>
        </w:rPr>
        <w:t>5</w:t>
      </w:r>
      <w:r w:rsidR="00B32F8F" w:rsidRPr="00161FEE">
        <w:rPr>
          <w:rFonts w:ascii="Times New Roman" w:hAnsi="Times New Roman"/>
          <w:color w:val="000000"/>
          <w:sz w:val="24"/>
          <w:szCs w:val="24"/>
        </w:rPr>
        <w:t xml:space="preserve"> </w:t>
      </w:r>
      <w:r w:rsidR="005256A3" w:rsidRPr="00161FEE">
        <w:rPr>
          <w:rFonts w:ascii="Times New Roman" w:hAnsi="Times New Roman"/>
          <w:color w:val="000000"/>
          <w:sz w:val="24"/>
          <w:szCs w:val="24"/>
        </w:rPr>
        <w:t xml:space="preserve">specifies that a commercial buildings project can only be divided </w:t>
      </w:r>
      <w:r w:rsidR="005A2708" w:rsidRPr="00161FEE">
        <w:rPr>
          <w:rFonts w:ascii="Times New Roman" w:hAnsi="Times New Roman"/>
          <w:color w:val="000000"/>
          <w:sz w:val="24"/>
          <w:szCs w:val="24"/>
        </w:rPr>
        <w:t xml:space="preserve">under </w:t>
      </w:r>
      <w:r w:rsidR="006564CD" w:rsidRPr="00161FEE">
        <w:rPr>
          <w:rFonts w:ascii="Times New Roman" w:hAnsi="Times New Roman"/>
          <w:sz w:val="24"/>
          <w:szCs w:val="24"/>
        </w:rPr>
        <w:t>s</w:t>
      </w:r>
      <w:r w:rsidR="00831E88" w:rsidRPr="00161FEE">
        <w:rPr>
          <w:rFonts w:ascii="Times New Roman" w:hAnsi="Times New Roman"/>
          <w:sz w:val="24"/>
          <w:szCs w:val="24"/>
        </w:rPr>
        <w:t>ection </w:t>
      </w:r>
      <w:r w:rsidR="005A2708" w:rsidRPr="00161FEE">
        <w:rPr>
          <w:rFonts w:ascii="Times New Roman" w:hAnsi="Times New Roman"/>
          <w:sz w:val="24"/>
          <w:szCs w:val="24"/>
        </w:rPr>
        <w:t>77A of the Act</w:t>
      </w:r>
      <w:r w:rsidR="005A2708" w:rsidRPr="00161FEE">
        <w:rPr>
          <w:rFonts w:ascii="Times New Roman" w:hAnsi="Times New Roman"/>
          <w:color w:val="000000"/>
          <w:sz w:val="24"/>
          <w:szCs w:val="24"/>
        </w:rPr>
        <w:t xml:space="preserve"> </w:t>
      </w:r>
      <w:r w:rsidR="005256A3" w:rsidRPr="00161FEE">
        <w:rPr>
          <w:rFonts w:ascii="Times New Roman" w:hAnsi="Times New Roman"/>
          <w:color w:val="000000"/>
          <w:sz w:val="24"/>
          <w:szCs w:val="24"/>
        </w:rPr>
        <w:t xml:space="preserve">so that each part is a whole building in the project, or a group of buildings in the project. </w:t>
      </w:r>
      <w:r w:rsidR="006E4817" w:rsidRPr="00161FEE">
        <w:rPr>
          <w:rFonts w:ascii="Times New Roman" w:hAnsi="Times New Roman"/>
          <w:color w:val="000000"/>
          <w:sz w:val="24"/>
          <w:szCs w:val="24"/>
        </w:rPr>
        <w:t xml:space="preserve">Note </w:t>
      </w:r>
      <w:r w:rsidR="001516B6" w:rsidRPr="00161FEE">
        <w:rPr>
          <w:rFonts w:ascii="Times New Roman" w:hAnsi="Times New Roman"/>
          <w:color w:val="000000"/>
          <w:sz w:val="24"/>
          <w:szCs w:val="24"/>
        </w:rPr>
        <w:t xml:space="preserve">that </w:t>
      </w:r>
      <w:r w:rsidR="00733F94" w:rsidRPr="00161FEE">
        <w:rPr>
          <w:rFonts w:ascii="Times New Roman" w:hAnsi="Times New Roman"/>
          <w:color w:val="000000"/>
          <w:sz w:val="24"/>
          <w:szCs w:val="24"/>
        </w:rPr>
        <w:t>the</w:t>
      </w:r>
      <w:r w:rsidR="001516B6" w:rsidRPr="00161FEE">
        <w:rPr>
          <w:rFonts w:ascii="Times New Roman" w:hAnsi="Times New Roman"/>
          <w:color w:val="000000"/>
          <w:sz w:val="24"/>
          <w:szCs w:val="24"/>
        </w:rPr>
        <w:t xml:space="preserve"> Determination </w:t>
      </w:r>
      <w:r w:rsidR="0022128E" w:rsidRPr="00161FEE">
        <w:rPr>
          <w:rFonts w:ascii="Times New Roman" w:hAnsi="Times New Roman"/>
          <w:color w:val="000000"/>
          <w:sz w:val="24"/>
          <w:szCs w:val="24"/>
        </w:rPr>
        <w:t>defines a</w:t>
      </w:r>
      <w:r w:rsidR="006E4817" w:rsidRPr="00161FEE">
        <w:rPr>
          <w:rFonts w:ascii="Times New Roman" w:hAnsi="Times New Roman"/>
          <w:color w:val="000000"/>
          <w:sz w:val="24"/>
          <w:szCs w:val="24"/>
        </w:rPr>
        <w:t xml:space="preserve"> </w:t>
      </w:r>
      <w:r w:rsidR="00841263" w:rsidRPr="00161FEE">
        <w:rPr>
          <w:rFonts w:ascii="Times New Roman" w:hAnsi="Times New Roman"/>
          <w:color w:val="000000"/>
          <w:sz w:val="24"/>
          <w:szCs w:val="24"/>
        </w:rPr>
        <w:t>‘</w:t>
      </w:r>
      <w:r w:rsidR="006E4817" w:rsidRPr="00161FEE">
        <w:rPr>
          <w:rFonts w:ascii="Times New Roman" w:hAnsi="Times New Roman"/>
          <w:color w:val="000000"/>
          <w:sz w:val="24"/>
          <w:szCs w:val="24"/>
        </w:rPr>
        <w:t>building</w:t>
      </w:r>
      <w:r w:rsidR="00841263" w:rsidRPr="00161FEE">
        <w:rPr>
          <w:rFonts w:ascii="Times New Roman" w:hAnsi="Times New Roman"/>
          <w:color w:val="000000"/>
          <w:sz w:val="24"/>
          <w:szCs w:val="24"/>
        </w:rPr>
        <w:t>’</w:t>
      </w:r>
      <w:r w:rsidR="0022128E" w:rsidRPr="00161FEE">
        <w:rPr>
          <w:rFonts w:ascii="Times New Roman" w:hAnsi="Times New Roman"/>
          <w:color w:val="000000"/>
          <w:sz w:val="24"/>
          <w:szCs w:val="24"/>
        </w:rPr>
        <w:t xml:space="preserve"> as a single building that has a NABERS energy rating</w:t>
      </w:r>
      <w:r w:rsidR="00210922" w:rsidRPr="00161FEE">
        <w:rPr>
          <w:rFonts w:ascii="Times New Roman" w:hAnsi="Times New Roman"/>
          <w:color w:val="000000"/>
          <w:sz w:val="24"/>
          <w:szCs w:val="24"/>
        </w:rPr>
        <w:t>,</w:t>
      </w:r>
      <w:r w:rsidR="0022128E" w:rsidRPr="00161FEE">
        <w:rPr>
          <w:rFonts w:ascii="Times New Roman" w:hAnsi="Times New Roman"/>
          <w:color w:val="000000"/>
          <w:sz w:val="24"/>
          <w:szCs w:val="24"/>
        </w:rPr>
        <w:t xml:space="preserve"> or a group of buildings covered by </w:t>
      </w:r>
      <w:r w:rsidR="00B75B95" w:rsidRPr="00161FEE">
        <w:rPr>
          <w:rFonts w:ascii="Times New Roman" w:hAnsi="Times New Roman"/>
          <w:color w:val="000000"/>
          <w:sz w:val="24"/>
          <w:szCs w:val="24"/>
        </w:rPr>
        <w:t>a</w:t>
      </w:r>
      <w:r w:rsidR="0022128E" w:rsidRPr="00161FEE">
        <w:rPr>
          <w:rFonts w:ascii="Times New Roman" w:hAnsi="Times New Roman"/>
          <w:color w:val="000000"/>
          <w:sz w:val="24"/>
          <w:szCs w:val="24"/>
        </w:rPr>
        <w:t xml:space="preserve"> campus NABERS energy rating</w:t>
      </w:r>
      <w:r w:rsidR="00210922" w:rsidRPr="00161FEE">
        <w:rPr>
          <w:rFonts w:ascii="Times New Roman" w:hAnsi="Times New Roman"/>
          <w:color w:val="000000"/>
          <w:sz w:val="24"/>
          <w:szCs w:val="24"/>
        </w:rPr>
        <w:t>,</w:t>
      </w:r>
      <w:r w:rsidR="0022128E" w:rsidRPr="00161FEE">
        <w:rPr>
          <w:rFonts w:ascii="Times New Roman" w:hAnsi="Times New Roman"/>
          <w:color w:val="000000"/>
          <w:sz w:val="24"/>
          <w:szCs w:val="24"/>
        </w:rPr>
        <w:t xml:space="preserve"> or part of a building covered by a NABERS energy rating</w:t>
      </w:r>
      <w:r w:rsidR="006E4817" w:rsidRPr="00161FEE">
        <w:rPr>
          <w:rFonts w:ascii="Times New Roman" w:hAnsi="Times New Roman"/>
          <w:color w:val="000000"/>
          <w:sz w:val="24"/>
          <w:szCs w:val="24"/>
        </w:rPr>
        <w:t xml:space="preserve">. </w:t>
      </w:r>
    </w:p>
    <w:p w:rsidR="00203D59" w:rsidRPr="00161FEE" w:rsidRDefault="00C37E61" w:rsidP="007A4C6B">
      <w:p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E</w:t>
      </w:r>
      <w:r w:rsidR="005A2708" w:rsidRPr="00161FEE">
        <w:rPr>
          <w:rFonts w:ascii="Times New Roman" w:hAnsi="Times New Roman"/>
          <w:color w:val="000000"/>
          <w:sz w:val="24"/>
          <w:szCs w:val="24"/>
        </w:rPr>
        <w:t xml:space="preserve">ach building </w:t>
      </w:r>
      <w:r w:rsidR="0022128E" w:rsidRPr="00161FEE">
        <w:rPr>
          <w:rFonts w:ascii="Times New Roman" w:hAnsi="Times New Roman"/>
          <w:color w:val="000000"/>
          <w:sz w:val="24"/>
          <w:szCs w:val="24"/>
        </w:rPr>
        <w:t xml:space="preserve">in the project </w:t>
      </w:r>
      <w:r w:rsidR="006E4817" w:rsidRPr="00161FEE">
        <w:rPr>
          <w:rFonts w:ascii="Times New Roman" w:hAnsi="Times New Roman"/>
          <w:color w:val="000000"/>
          <w:sz w:val="24"/>
          <w:szCs w:val="24"/>
        </w:rPr>
        <w:t xml:space="preserve">needs to be covered by a NABERS </w:t>
      </w:r>
      <w:r w:rsidRPr="00161FEE">
        <w:rPr>
          <w:rFonts w:ascii="Times New Roman" w:hAnsi="Times New Roman"/>
          <w:color w:val="000000"/>
          <w:sz w:val="24"/>
          <w:szCs w:val="24"/>
        </w:rPr>
        <w:t xml:space="preserve">energy </w:t>
      </w:r>
      <w:r w:rsidR="006E4817" w:rsidRPr="00161FEE">
        <w:rPr>
          <w:rFonts w:ascii="Times New Roman" w:hAnsi="Times New Roman"/>
          <w:color w:val="000000"/>
          <w:sz w:val="24"/>
          <w:szCs w:val="24"/>
        </w:rPr>
        <w:t xml:space="preserve">rating </w:t>
      </w:r>
      <w:r w:rsidRPr="00161FEE">
        <w:rPr>
          <w:rFonts w:ascii="Times New Roman" w:hAnsi="Times New Roman"/>
          <w:color w:val="000000"/>
          <w:sz w:val="24"/>
          <w:szCs w:val="24"/>
        </w:rPr>
        <w:t xml:space="preserve">in order </w:t>
      </w:r>
      <w:r w:rsidR="00120A9B" w:rsidRPr="00161FEE">
        <w:rPr>
          <w:rFonts w:ascii="Times New Roman" w:hAnsi="Times New Roman"/>
          <w:color w:val="000000"/>
          <w:sz w:val="24"/>
          <w:szCs w:val="24"/>
        </w:rPr>
        <w:t>for</w:t>
      </w:r>
      <w:r w:rsidRPr="00161FEE">
        <w:rPr>
          <w:rFonts w:ascii="Times New Roman" w:hAnsi="Times New Roman"/>
          <w:color w:val="000000"/>
          <w:sz w:val="24"/>
          <w:szCs w:val="24"/>
        </w:rPr>
        <w:t xml:space="preserve"> abatement</w:t>
      </w:r>
      <w:r w:rsidR="00120A9B" w:rsidRPr="00161FEE">
        <w:rPr>
          <w:rFonts w:ascii="Times New Roman" w:hAnsi="Times New Roman"/>
          <w:color w:val="000000"/>
          <w:sz w:val="24"/>
          <w:szCs w:val="24"/>
        </w:rPr>
        <w:t xml:space="preserve"> to be calculated</w:t>
      </w:r>
      <w:r w:rsidRPr="00161FEE">
        <w:rPr>
          <w:rFonts w:ascii="Times New Roman" w:hAnsi="Times New Roman"/>
          <w:color w:val="000000"/>
          <w:sz w:val="24"/>
          <w:szCs w:val="24"/>
        </w:rPr>
        <w:t xml:space="preserve">. </w:t>
      </w:r>
      <w:r w:rsidR="006E4817" w:rsidRPr="00161FEE">
        <w:rPr>
          <w:rFonts w:ascii="Times New Roman" w:hAnsi="Times New Roman"/>
          <w:color w:val="000000"/>
          <w:sz w:val="24"/>
          <w:szCs w:val="24"/>
        </w:rPr>
        <w:t xml:space="preserve">For example, if </w:t>
      </w:r>
      <w:r w:rsidR="005256A3" w:rsidRPr="00161FEE">
        <w:rPr>
          <w:rFonts w:ascii="Times New Roman" w:hAnsi="Times New Roman"/>
          <w:color w:val="000000"/>
          <w:sz w:val="24"/>
          <w:szCs w:val="24"/>
        </w:rPr>
        <w:t xml:space="preserve">an individual </w:t>
      </w:r>
      <w:r w:rsidR="006E4817" w:rsidRPr="00161FEE">
        <w:rPr>
          <w:rFonts w:ascii="Times New Roman" w:hAnsi="Times New Roman"/>
          <w:color w:val="000000"/>
          <w:sz w:val="24"/>
          <w:szCs w:val="24"/>
        </w:rPr>
        <w:t xml:space="preserve">office </w:t>
      </w:r>
      <w:r w:rsidR="005256A3" w:rsidRPr="00161FEE">
        <w:rPr>
          <w:rFonts w:ascii="Times New Roman" w:hAnsi="Times New Roman"/>
          <w:color w:val="000000"/>
          <w:sz w:val="24"/>
          <w:szCs w:val="24"/>
        </w:rPr>
        <w:t>building</w:t>
      </w:r>
      <w:r w:rsidR="006E4817" w:rsidRPr="00161FEE">
        <w:rPr>
          <w:rFonts w:ascii="Times New Roman" w:hAnsi="Times New Roman"/>
          <w:color w:val="000000"/>
          <w:sz w:val="24"/>
          <w:szCs w:val="24"/>
        </w:rPr>
        <w:t xml:space="preserve"> is covered by a whole building NABERS </w:t>
      </w:r>
      <w:r w:rsidR="0022128E" w:rsidRPr="00161FEE">
        <w:rPr>
          <w:rFonts w:ascii="Times New Roman" w:hAnsi="Times New Roman"/>
          <w:color w:val="000000"/>
          <w:sz w:val="24"/>
          <w:szCs w:val="24"/>
        </w:rPr>
        <w:t xml:space="preserve">energy </w:t>
      </w:r>
      <w:r w:rsidR="006E4817" w:rsidRPr="00161FEE">
        <w:rPr>
          <w:rFonts w:ascii="Times New Roman" w:hAnsi="Times New Roman"/>
          <w:color w:val="000000"/>
          <w:sz w:val="24"/>
          <w:szCs w:val="24"/>
        </w:rPr>
        <w:t>rating</w:t>
      </w:r>
      <w:r w:rsidR="00FF43D9" w:rsidRPr="00161FEE">
        <w:rPr>
          <w:rFonts w:ascii="Times New Roman" w:hAnsi="Times New Roman"/>
          <w:color w:val="000000"/>
          <w:sz w:val="24"/>
          <w:szCs w:val="24"/>
        </w:rPr>
        <w:t xml:space="preserve"> for the purposes of a commercial building project</w:t>
      </w:r>
      <w:r w:rsidR="00D32F5C">
        <w:rPr>
          <w:rFonts w:ascii="Times New Roman" w:hAnsi="Times New Roman"/>
          <w:color w:val="000000"/>
          <w:sz w:val="24"/>
          <w:szCs w:val="24"/>
        </w:rPr>
        <w:t>, the </w:t>
      </w:r>
      <w:r w:rsidR="006E4817" w:rsidRPr="00161FEE">
        <w:rPr>
          <w:rFonts w:ascii="Times New Roman" w:hAnsi="Times New Roman"/>
          <w:color w:val="000000"/>
          <w:sz w:val="24"/>
          <w:szCs w:val="24"/>
        </w:rPr>
        <w:t xml:space="preserve">proponent </w:t>
      </w:r>
      <w:r w:rsidR="005256A3" w:rsidRPr="00161FEE">
        <w:rPr>
          <w:rFonts w:ascii="Times New Roman" w:hAnsi="Times New Roman"/>
          <w:color w:val="000000"/>
          <w:sz w:val="24"/>
          <w:szCs w:val="24"/>
        </w:rPr>
        <w:t xml:space="preserve">cannot </w:t>
      </w:r>
      <w:r w:rsidR="006E4817" w:rsidRPr="00161FEE">
        <w:rPr>
          <w:rFonts w:ascii="Times New Roman" w:hAnsi="Times New Roman"/>
          <w:color w:val="000000"/>
          <w:sz w:val="24"/>
          <w:szCs w:val="24"/>
        </w:rPr>
        <w:t>report</w:t>
      </w:r>
      <w:r w:rsidR="005256A3" w:rsidRPr="00161FEE">
        <w:rPr>
          <w:rFonts w:ascii="Times New Roman" w:hAnsi="Times New Roman"/>
          <w:color w:val="000000"/>
          <w:sz w:val="24"/>
          <w:szCs w:val="24"/>
        </w:rPr>
        <w:t xml:space="preserve"> floors </w:t>
      </w:r>
      <w:r w:rsidR="006E4817" w:rsidRPr="00161FEE">
        <w:rPr>
          <w:rFonts w:ascii="Times New Roman" w:hAnsi="Times New Roman"/>
          <w:color w:val="000000"/>
          <w:sz w:val="24"/>
          <w:szCs w:val="24"/>
        </w:rPr>
        <w:t xml:space="preserve">separately </w:t>
      </w:r>
      <w:r w:rsidR="005256A3" w:rsidRPr="00161FEE">
        <w:rPr>
          <w:rFonts w:ascii="Times New Roman" w:hAnsi="Times New Roman"/>
          <w:color w:val="000000"/>
          <w:sz w:val="24"/>
          <w:szCs w:val="24"/>
        </w:rPr>
        <w:t xml:space="preserve">and </w:t>
      </w:r>
      <w:r w:rsidR="0022128E" w:rsidRPr="00161FEE">
        <w:rPr>
          <w:rFonts w:ascii="Times New Roman" w:hAnsi="Times New Roman"/>
          <w:color w:val="000000"/>
          <w:sz w:val="24"/>
          <w:szCs w:val="24"/>
        </w:rPr>
        <w:t>treat</w:t>
      </w:r>
      <w:r w:rsidR="005256A3" w:rsidRPr="00161FEE">
        <w:rPr>
          <w:rFonts w:ascii="Times New Roman" w:hAnsi="Times New Roman"/>
          <w:color w:val="000000"/>
          <w:sz w:val="24"/>
          <w:szCs w:val="24"/>
        </w:rPr>
        <w:t xml:space="preserve"> </w:t>
      </w:r>
      <w:r w:rsidR="00B72EE8" w:rsidRPr="00161FEE">
        <w:rPr>
          <w:rFonts w:ascii="Times New Roman" w:hAnsi="Times New Roman"/>
          <w:color w:val="000000"/>
          <w:sz w:val="24"/>
          <w:szCs w:val="24"/>
        </w:rPr>
        <w:t>each</w:t>
      </w:r>
      <w:r w:rsidR="0022128E" w:rsidRPr="00161FEE">
        <w:rPr>
          <w:rFonts w:ascii="Times New Roman" w:hAnsi="Times New Roman"/>
          <w:color w:val="000000"/>
          <w:sz w:val="24"/>
          <w:szCs w:val="24"/>
        </w:rPr>
        <w:t xml:space="preserve"> floor</w:t>
      </w:r>
      <w:r w:rsidR="00B72EE8" w:rsidRPr="00161FEE">
        <w:rPr>
          <w:rFonts w:ascii="Times New Roman" w:hAnsi="Times New Roman"/>
          <w:color w:val="000000"/>
          <w:sz w:val="24"/>
          <w:szCs w:val="24"/>
        </w:rPr>
        <w:t xml:space="preserve"> </w:t>
      </w:r>
      <w:r w:rsidR="005256A3" w:rsidRPr="00161FEE">
        <w:rPr>
          <w:rFonts w:ascii="Times New Roman" w:hAnsi="Times New Roman"/>
          <w:color w:val="000000"/>
          <w:sz w:val="24"/>
          <w:szCs w:val="24"/>
        </w:rPr>
        <w:t xml:space="preserve">as a building in </w:t>
      </w:r>
      <w:r w:rsidR="00A0780C" w:rsidRPr="00161FEE">
        <w:rPr>
          <w:rFonts w:ascii="Times New Roman" w:hAnsi="Times New Roman"/>
          <w:color w:val="000000"/>
          <w:sz w:val="24"/>
          <w:szCs w:val="24"/>
        </w:rPr>
        <w:t>the </w:t>
      </w:r>
      <w:r w:rsidR="005256A3" w:rsidRPr="00161FEE">
        <w:rPr>
          <w:rFonts w:ascii="Times New Roman" w:hAnsi="Times New Roman"/>
          <w:color w:val="000000"/>
          <w:sz w:val="24"/>
          <w:szCs w:val="24"/>
        </w:rPr>
        <w:t xml:space="preserve">project. </w:t>
      </w:r>
    </w:p>
    <w:p w:rsidR="00B96356" w:rsidRPr="00161FEE" w:rsidRDefault="00B96356">
      <w:pPr>
        <w:spacing w:after="0" w:line="240" w:lineRule="auto"/>
        <w:rPr>
          <w:rFonts w:ascii="Times New Roman" w:hAnsi="Times New Roman"/>
          <w:sz w:val="24"/>
          <w:szCs w:val="24"/>
        </w:rPr>
      </w:pPr>
      <w:r w:rsidRPr="00161FEE">
        <w:rPr>
          <w:rFonts w:ascii="Times New Roman" w:hAnsi="Times New Roman"/>
          <w:sz w:val="24"/>
          <w:szCs w:val="24"/>
        </w:rPr>
        <w:br w:type="page"/>
      </w:r>
    </w:p>
    <w:p w:rsidR="00B96356" w:rsidRPr="00161FEE" w:rsidRDefault="00B96356" w:rsidP="00B96356">
      <w:pPr>
        <w:pStyle w:val="Footer"/>
        <w:pageBreakBefore/>
        <w:spacing w:after="120"/>
        <w:jc w:val="right"/>
        <w:rPr>
          <w:rFonts w:ascii="Times New Roman" w:hAnsi="Times New Roman"/>
          <w:sz w:val="24"/>
          <w:szCs w:val="24"/>
          <w:u w:val="single"/>
        </w:rPr>
      </w:pPr>
      <w:r w:rsidRPr="00161FEE">
        <w:rPr>
          <w:rFonts w:ascii="Times New Roman" w:hAnsi="Times New Roman"/>
          <w:sz w:val="24"/>
          <w:szCs w:val="24"/>
          <w:u w:val="single"/>
        </w:rPr>
        <w:lastRenderedPageBreak/>
        <w:t>Attachment B</w:t>
      </w:r>
    </w:p>
    <w:p w:rsidR="00203D59" w:rsidRPr="006C5B18" w:rsidRDefault="00EB57F2" w:rsidP="006C5B18">
      <w:pPr>
        <w:tabs>
          <w:tab w:val="left" w:pos="5777"/>
        </w:tabs>
        <w:rPr>
          <w:rFonts w:ascii="Times New Roman" w:hAnsi="Times New Roman"/>
          <w:sz w:val="24"/>
          <w:szCs w:val="24"/>
        </w:rPr>
      </w:pPr>
      <w:r>
        <w:rPr>
          <w:rFonts w:ascii="Times New Roman" w:hAnsi="Times New Roman"/>
          <w:noProof/>
          <w:sz w:val="24"/>
          <w:szCs w:val="24"/>
          <w:lang w:eastAsia="en-AU"/>
        </w:rPr>
        <w:pict>
          <v:rect id="_x0000_s1026" style="position:absolute;margin-left:-14.7pt;margin-top:34.4pt;width:481.8pt;height:627.3pt;z-index:251658240;mso-position-horizontal-relative:margin;mso-position-vertical-relative:margin" strokeweight="6pt">
            <v:stroke linestyle="thickBetweenThin"/>
            <v:textbox style="mso-next-textbox:#_x0000_s1026" inset="5mm,,5mm">
              <w:txbxContent>
                <w:p w:rsidR="005462FE" w:rsidRPr="00AC470E" w:rsidRDefault="005462FE" w:rsidP="00B96356">
                  <w:pPr>
                    <w:spacing w:before="360" w:after="120"/>
                    <w:jc w:val="center"/>
                    <w:rPr>
                      <w:rFonts w:ascii="Times New Roman" w:hAnsi="Times New Roman"/>
                      <w:b/>
                      <w:bCs/>
                      <w:sz w:val="28"/>
                      <w:szCs w:val="28"/>
                    </w:rPr>
                  </w:pPr>
                  <w:r w:rsidRPr="00AC470E">
                    <w:rPr>
                      <w:rFonts w:ascii="Times New Roman" w:hAnsi="Times New Roman"/>
                      <w:b/>
                      <w:bCs/>
                      <w:sz w:val="28"/>
                      <w:szCs w:val="28"/>
                    </w:rPr>
                    <w:t>Statement of Compatibility with Human Rights</w:t>
                  </w:r>
                </w:p>
                <w:p w:rsidR="005462FE" w:rsidRPr="00AC470E" w:rsidRDefault="005462FE" w:rsidP="00B96356">
                  <w:pPr>
                    <w:spacing w:before="120" w:after="120"/>
                    <w:jc w:val="center"/>
                    <w:rPr>
                      <w:rFonts w:ascii="Times New Roman" w:hAnsi="Times New Roman"/>
                      <w:sz w:val="24"/>
                      <w:szCs w:val="24"/>
                    </w:rPr>
                  </w:pPr>
                  <w:r w:rsidRPr="00AC470E">
                    <w:rPr>
                      <w:rFonts w:ascii="Times New Roman" w:hAnsi="Times New Roman"/>
                      <w:i/>
                      <w:iCs/>
                      <w:sz w:val="24"/>
                      <w:szCs w:val="24"/>
                    </w:rPr>
                    <w:t>Prepared in accordance with Part 3 of the Human Rights (Parliamentary Scrutiny) Act 2011</w:t>
                  </w:r>
                </w:p>
                <w:p w:rsidR="005462FE" w:rsidRPr="00AC470E" w:rsidRDefault="005462FE" w:rsidP="00B96356">
                  <w:pPr>
                    <w:spacing w:before="120" w:after="240"/>
                    <w:jc w:val="center"/>
                    <w:rPr>
                      <w:rFonts w:ascii="Times New Roman" w:hAnsi="Times New Roman"/>
                      <w:b/>
                      <w:bCs/>
                      <w:i/>
                      <w:iCs/>
                      <w:sz w:val="24"/>
                      <w:szCs w:val="24"/>
                    </w:rPr>
                  </w:pPr>
                  <w:r w:rsidRPr="007670E3">
                    <w:rPr>
                      <w:rFonts w:ascii="Times New Roman" w:hAnsi="Times New Roman"/>
                      <w:b/>
                      <w:bCs/>
                      <w:i/>
                      <w:iCs/>
                      <w:sz w:val="24"/>
                      <w:szCs w:val="24"/>
                    </w:rPr>
                    <w:t xml:space="preserve">Carbon Credits (Carbon Farming Initiative—Commercial Buildings) </w:t>
                  </w:r>
                  <w:r>
                    <w:rPr>
                      <w:rFonts w:ascii="Times New Roman" w:hAnsi="Times New Roman"/>
                      <w:b/>
                      <w:bCs/>
                      <w:i/>
                      <w:iCs/>
                      <w:sz w:val="24"/>
                      <w:szCs w:val="24"/>
                    </w:rPr>
                    <w:t>Methodology Determination 2015</w:t>
                  </w:r>
                </w:p>
                <w:p w:rsidR="005462FE" w:rsidRPr="00AC470E" w:rsidRDefault="005462FE" w:rsidP="00B96356">
                  <w:pPr>
                    <w:spacing w:before="120" w:after="120"/>
                    <w:rPr>
                      <w:rFonts w:ascii="Times New Roman" w:hAnsi="Times New Roman"/>
                      <w:sz w:val="24"/>
                      <w:szCs w:val="24"/>
                    </w:rPr>
                  </w:pPr>
                  <w:r w:rsidRPr="00AC470E">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AC470E">
                    <w:rPr>
                      <w:rFonts w:ascii="Times New Roman" w:hAnsi="Times New Roman"/>
                      <w:i/>
                      <w:iCs/>
                      <w:sz w:val="24"/>
                      <w:szCs w:val="24"/>
                    </w:rPr>
                    <w:t>Human Rights (Parliamentary Scrutiny) Act 2011</w:t>
                  </w:r>
                  <w:r w:rsidRPr="00AC470E">
                    <w:rPr>
                      <w:rFonts w:ascii="Times New Roman" w:hAnsi="Times New Roman"/>
                      <w:sz w:val="24"/>
                      <w:szCs w:val="24"/>
                    </w:rPr>
                    <w:t>.</w:t>
                  </w:r>
                </w:p>
                <w:p w:rsidR="005462FE" w:rsidRPr="00AC470E" w:rsidRDefault="005462FE" w:rsidP="00B96356">
                  <w:pPr>
                    <w:spacing w:before="120" w:after="120"/>
                    <w:jc w:val="both"/>
                    <w:rPr>
                      <w:rFonts w:ascii="Times New Roman" w:hAnsi="Times New Roman"/>
                      <w:b/>
                      <w:bCs/>
                      <w:sz w:val="24"/>
                      <w:szCs w:val="24"/>
                    </w:rPr>
                  </w:pPr>
                  <w:r w:rsidRPr="00AC470E">
                    <w:rPr>
                      <w:rFonts w:ascii="Times New Roman" w:hAnsi="Times New Roman"/>
                      <w:b/>
                      <w:bCs/>
                      <w:sz w:val="24"/>
                      <w:szCs w:val="24"/>
                    </w:rPr>
                    <w:t>Overview of the Legislative Instrument</w:t>
                  </w:r>
                </w:p>
                <w:p w:rsidR="005462FE" w:rsidRDefault="005462FE" w:rsidP="00271162">
                  <w:pPr>
                    <w:autoSpaceDE w:val="0"/>
                    <w:autoSpaceDN w:val="0"/>
                    <w:rPr>
                      <w:rFonts w:ascii="Times New Roman" w:hAnsi="Times New Roman"/>
                      <w:sz w:val="24"/>
                      <w:szCs w:val="24"/>
                    </w:rPr>
                  </w:pPr>
                  <w:r>
                    <w:rPr>
                      <w:rFonts w:ascii="Times New Roman" w:hAnsi="Times New Roman"/>
                      <w:sz w:val="24"/>
                      <w:szCs w:val="24"/>
                    </w:rPr>
                    <w:t xml:space="preserve">The </w:t>
                  </w:r>
                  <w:r w:rsidRPr="007670E3">
                    <w:rPr>
                      <w:rFonts w:ascii="Times New Roman" w:hAnsi="Times New Roman"/>
                      <w:i/>
                      <w:sz w:val="24"/>
                      <w:szCs w:val="24"/>
                    </w:rPr>
                    <w:t>Carbon Credits (Carbon Farming Initiative—Commercial Buildings</w:t>
                  </w:r>
                  <w:r>
                    <w:rPr>
                      <w:rFonts w:ascii="Times New Roman" w:hAnsi="Times New Roman"/>
                      <w:i/>
                      <w:sz w:val="24"/>
                      <w:szCs w:val="24"/>
                    </w:rPr>
                    <w:t>) Methodology Determination 2015</w:t>
                  </w:r>
                  <w:r w:rsidRPr="00271162">
                    <w:rPr>
                      <w:rFonts w:ascii="Times New Roman" w:hAnsi="Times New Roman"/>
                      <w:i/>
                      <w:sz w:val="24"/>
                      <w:szCs w:val="24"/>
                    </w:rPr>
                    <w:t xml:space="preserve"> </w:t>
                  </w:r>
                  <w:r w:rsidRPr="0040416A">
                    <w:rPr>
                      <w:rFonts w:ascii="Times New Roman" w:hAnsi="Times New Roman"/>
                      <w:sz w:val="24"/>
                      <w:szCs w:val="24"/>
                    </w:rPr>
                    <w:t>(the Determination)</w:t>
                  </w:r>
                  <w:r w:rsidRPr="00613545">
                    <w:rPr>
                      <w:rFonts w:ascii="Times New Roman" w:hAnsi="Times New Roman"/>
                      <w:sz w:val="24"/>
                      <w:szCs w:val="24"/>
                    </w:rPr>
                    <w:t xml:space="preserve"> </w:t>
                  </w:r>
                  <w:r w:rsidRPr="0040416A">
                    <w:rPr>
                      <w:rFonts w:ascii="Times New Roman" w:hAnsi="Times New Roman"/>
                      <w:sz w:val="24"/>
                      <w:szCs w:val="24"/>
                    </w:rPr>
                    <w:t>sets out the detailed rules for implementing and monitoring offset</w:t>
                  </w:r>
                  <w:r>
                    <w:rPr>
                      <w:rFonts w:ascii="Times New Roman" w:hAnsi="Times New Roman"/>
                      <w:sz w:val="24"/>
                      <w:szCs w:val="24"/>
                    </w:rPr>
                    <w:t>s</w:t>
                  </w:r>
                  <w:r w:rsidRPr="0040416A">
                    <w:rPr>
                      <w:rFonts w:ascii="Times New Roman" w:hAnsi="Times New Roman"/>
                      <w:sz w:val="24"/>
                      <w:szCs w:val="24"/>
                    </w:rPr>
                    <w:t xml:space="preserve"> projects that would </w:t>
                  </w:r>
                  <w:r>
                    <w:rPr>
                      <w:rFonts w:ascii="Times New Roman" w:hAnsi="Times New Roman"/>
                      <w:sz w:val="24"/>
                      <w:szCs w:val="24"/>
                    </w:rPr>
                    <w:t>reduce emissions of greenhouse gases associated with the consumption of electricity and/or fossil fuels at commercial buildings</w:t>
                  </w:r>
                  <w:r w:rsidRPr="0040416A">
                    <w:rPr>
                      <w:rFonts w:ascii="Times New Roman" w:hAnsi="Times New Roman"/>
                      <w:sz w:val="24"/>
                      <w:szCs w:val="24"/>
                    </w:rPr>
                    <w:t>.</w:t>
                  </w:r>
                </w:p>
                <w:p w:rsidR="005462FE" w:rsidRPr="00AC470E" w:rsidRDefault="005462FE" w:rsidP="00B96356">
                  <w:pPr>
                    <w:autoSpaceDE w:val="0"/>
                    <w:autoSpaceDN w:val="0"/>
                    <w:spacing w:after="0"/>
                    <w:rPr>
                      <w:rFonts w:ascii="Times New Roman" w:hAnsi="Times New Roman"/>
                      <w:sz w:val="24"/>
                      <w:szCs w:val="24"/>
                    </w:rPr>
                  </w:pPr>
                  <w:r w:rsidRPr="00AC470E">
                    <w:rPr>
                      <w:rFonts w:ascii="Times New Roman" w:hAnsi="Times New Roman"/>
                      <w:sz w:val="24"/>
                      <w:szCs w:val="24"/>
                    </w:rPr>
                    <w:t>Project proponents wishing to implement the Determination must make an application to the</w:t>
                  </w:r>
                </w:p>
                <w:p w:rsidR="005462FE" w:rsidRPr="00AC470E" w:rsidRDefault="005462FE" w:rsidP="00B96356">
                  <w:pPr>
                    <w:autoSpaceDE w:val="0"/>
                    <w:autoSpaceDN w:val="0"/>
                    <w:spacing w:after="0"/>
                    <w:rPr>
                      <w:rFonts w:ascii="Times New Roman" w:hAnsi="Times New Roman"/>
                      <w:sz w:val="24"/>
                      <w:szCs w:val="24"/>
                    </w:rPr>
                  </w:pPr>
                  <w:r w:rsidRPr="00AC470E">
                    <w:rPr>
                      <w:rFonts w:ascii="Times New Roman" w:hAnsi="Times New Roman"/>
                      <w:sz w:val="24"/>
                      <w:szCs w:val="24"/>
                    </w:rPr>
                    <w:t>Clean Energy Regulator (the Regulator) and meet the eligibility requirements set out under</w:t>
                  </w:r>
                </w:p>
                <w:p w:rsidR="005462FE" w:rsidRPr="00AC470E" w:rsidRDefault="005462FE" w:rsidP="00B96356">
                  <w:pPr>
                    <w:spacing w:after="120"/>
                    <w:rPr>
                      <w:rFonts w:ascii="Times New Roman" w:hAnsi="Times New Roman"/>
                      <w:sz w:val="24"/>
                      <w:szCs w:val="24"/>
                    </w:rPr>
                  </w:pPr>
                  <w:proofErr w:type="gramStart"/>
                  <w:r w:rsidRPr="00AC470E">
                    <w:rPr>
                      <w:rFonts w:ascii="Times New Roman" w:hAnsi="Times New Roman"/>
                      <w:sz w:val="24"/>
                      <w:szCs w:val="24"/>
                    </w:rPr>
                    <w:t>the</w:t>
                  </w:r>
                  <w:proofErr w:type="gramEnd"/>
                  <w:r w:rsidRPr="00AC470E">
                    <w:rPr>
                      <w:rFonts w:ascii="Times New Roman" w:hAnsi="Times New Roman"/>
                      <w:sz w:val="24"/>
                      <w:szCs w:val="24"/>
                    </w:rPr>
                    <w:t xml:space="preserve"> Determination. Offsets projects that are approved by the Regulator can generate Australian Carbon Credit Units, representing emissions reductions from the project.</w:t>
                  </w:r>
                </w:p>
                <w:p w:rsidR="005462FE" w:rsidRPr="00925363" w:rsidRDefault="005462FE" w:rsidP="00925363">
                  <w:pPr>
                    <w:autoSpaceDE w:val="0"/>
                    <w:autoSpaceDN w:val="0"/>
                    <w:spacing w:after="0"/>
                    <w:rPr>
                      <w:rFonts w:ascii="Times New Roman" w:hAnsi="Times New Roman"/>
                      <w:sz w:val="24"/>
                      <w:szCs w:val="24"/>
                    </w:rPr>
                  </w:pPr>
                  <w:r w:rsidRPr="00925363">
                    <w:rPr>
                      <w:rFonts w:ascii="Times New Roman" w:hAnsi="Times New Roman"/>
                      <w:sz w:val="24"/>
                      <w:szCs w:val="24"/>
                    </w:rPr>
                    <w:t>Project proponents can receive funding from the Emissions Reduction Fund by submitting their projects into a competitive auction run by the Regulator. The Government will enter into contracts with successful proponents, which will guarantee the price and payment for the future delivery of emissions reductions.</w:t>
                  </w:r>
                </w:p>
                <w:p w:rsidR="005462FE" w:rsidRPr="00AC470E" w:rsidRDefault="005462FE" w:rsidP="00B96356">
                  <w:pPr>
                    <w:spacing w:before="120" w:after="120"/>
                    <w:rPr>
                      <w:rFonts w:ascii="Times New Roman" w:hAnsi="Times New Roman"/>
                      <w:b/>
                      <w:bCs/>
                      <w:sz w:val="24"/>
                      <w:szCs w:val="24"/>
                    </w:rPr>
                  </w:pPr>
                  <w:r w:rsidRPr="00AC470E">
                    <w:rPr>
                      <w:rFonts w:ascii="Times New Roman" w:hAnsi="Times New Roman"/>
                      <w:b/>
                      <w:bCs/>
                      <w:sz w:val="24"/>
                      <w:szCs w:val="24"/>
                    </w:rPr>
                    <w:t>Human rights implications</w:t>
                  </w:r>
                </w:p>
                <w:p w:rsidR="005462FE" w:rsidRPr="00AC470E" w:rsidRDefault="005462FE" w:rsidP="00B96356">
                  <w:pPr>
                    <w:spacing w:before="120" w:after="120"/>
                    <w:rPr>
                      <w:rFonts w:ascii="Times New Roman" w:hAnsi="Times New Roman"/>
                      <w:sz w:val="24"/>
                      <w:szCs w:val="24"/>
                    </w:rPr>
                  </w:pPr>
                  <w:r w:rsidRPr="00AC470E">
                    <w:rPr>
                      <w:rFonts w:ascii="Times New Roman" w:hAnsi="Times New Roman"/>
                      <w:sz w:val="24"/>
                      <w:szCs w:val="24"/>
                    </w:rPr>
                    <w:t>This Legislative Instrument does not engage any of the applicable rights or freedoms.</w:t>
                  </w:r>
                </w:p>
                <w:p w:rsidR="005462FE" w:rsidRPr="00AC470E" w:rsidRDefault="005462FE" w:rsidP="00B96356">
                  <w:pPr>
                    <w:spacing w:before="120" w:after="120"/>
                    <w:rPr>
                      <w:rFonts w:ascii="Times New Roman" w:hAnsi="Times New Roman"/>
                      <w:b/>
                      <w:bCs/>
                      <w:sz w:val="24"/>
                      <w:szCs w:val="24"/>
                    </w:rPr>
                  </w:pPr>
                  <w:r w:rsidRPr="00AC470E">
                    <w:rPr>
                      <w:rFonts w:ascii="Times New Roman" w:hAnsi="Times New Roman"/>
                      <w:b/>
                      <w:bCs/>
                      <w:sz w:val="24"/>
                      <w:szCs w:val="24"/>
                    </w:rPr>
                    <w:t>Conclusion</w:t>
                  </w:r>
                </w:p>
                <w:p w:rsidR="005462FE" w:rsidRDefault="005462FE" w:rsidP="00B96356">
                  <w:pPr>
                    <w:spacing w:before="120" w:after="120"/>
                    <w:rPr>
                      <w:rFonts w:ascii="Times New Roman" w:hAnsi="Times New Roman"/>
                      <w:sz w:val="24"/>
                      <w:szCs w:val="24"/>
                    </w:rPr>
                  </w:pPr>
                  <w:r w:rsidRPr="00AC470E">
                    <w:rPr>
                      <w:rFonts w:ascii="Times New Roman" w:hAnsi="Times New Roman"/>
                      <w:sz w:val="24"/>
                      <w:szCs w:val="24"/>
                    </w:rPr>
                    <w:t>This Legislative Instrument is compatible with human rights as it does not raise any human rights issues.</w:t>
                  </w:r>
                </w:p>
                <w:p w:rsidR="005462FE" w:rsidRDefault="005462FE" w:rsidP="00B96356">
                  <w:pPr>
                    <w:spacing w:before="120" w:after="120"/>
                    <w:jc w:val="center"/>
                    <w:rPr>
                      <w:rFonts w:ascii="Times New Roman" w:hAnsi="Times New Roman"/>
                      <w:sz w:val="24"/>
                      <w:szCs w:val="24"/>
                    </w:rPr>
                  </w:pPr>
                </w:p>
                <w:p w:rsidR="005462FE" w:rsidRDefault="005462FE" w:rsidP="00B96356">
                  <w:pPr>
                    <w:spacing w:before="120" w:after="120"/>
                    <w:jc w:val="center"/>
                    <w:rPr>
                      <w:rFonts w:ascii="Times New Roman" w:hAnsi="Times New Roman"/>
                      <w:sz w:val="24"/>
                      <w:szCs w:val="24"/>
                    </w:rPr>
                  </w:pPr>
                  <w:r>
                    <w:rPr>
                      <w:rFonts w:ascii="Times New Roman" w:hAnsi="Times New Roman"/>
                      <w:b/>
                      <w:bCs/>
                      <w:sz w:val="24"/>
                      <w:szCs w:val="24"/>
                    </w:rPr>
                    <w:t>Greg Hunt, Minister for the Environment</w:t>
                  </w:r>
                </w:p>
              </w:txbxContent>
            </v:textbox>
            <w10:wrap type="square" anchorx="margin" anchory="margin"/>
          </v:rect>
        </w:pict>
      </w:r>
    </w:p>
    <w:sectPr w:rsidR="00203D59" w:rsidRPr="006C5B18" w:rsidSect="00370638">
      <w:headerReference w:type="default" r:id="rId18"/>
      <w:footerReference w:type="default" r:id="rId19"/>
      <w:footerReference w:type="first" r:id="rId20"/>
      <w:pgSz w:w="11906" w:h="16838" w:code="9"/>
      <w:pgMar w:top="1440" w:right="1440"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2FE" w:rsidRDefault="005462FE" w:rsidP="00621DDE">
      <w:pPr>
        <w:spacing w:after="0" w:line="240" w:lineRule="auto"/>
      </w:pPr>
      <w:r>
        <w:separator/>
      </w:r>
    </w:p>
  </w:endnote>
  <w:endnote w:type="continuationSeparator" w:id="0">
    <w:p w:rsidR="005462FE" w:rsidRDefault="005462FE" w:rsidP="00621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2FE" w:rsidRPr="0003613D" w:rsidRDefault="00EB57F2">
    <w:pPr>
      <w:pStyle w:val="Footer"/>
      <w:jc w:val="center"/>
      <w:rPr>
        <w:rFonts w:ascii="Times New Roman" w:hAnsi="Times New Roman"/>
        <w:sz w:val="20"/>
      </w:rPr>
    </w:pPr>
    <w:r w:rsidRPr="0003613D">
      <w:rPr>
        <w:rFonts w:ascii="Times New Roman" w:hAnsi="Times New Roman"/>
        <w:sz w:val="20"/>
      </w:rPr>
      <w:fldChar w:fldCharType="begin"/>
    </w:r>
    <w:r w:rsidR="005462FE" w:rsidRPr="0003613D">
      <w:rPr>
        <w:rFonts w:ascii="Times New Roman" w:hAnsi="Times New Roman"/>
        <w:sz w:val="20"/>
      </w:rPr>
      <w:instrText xml:space="preserve"> PAGE   \* MERGEFORMAT </w:instrText>
    </w:r>
    <w:r w:rsidRPr="0003613D">
      <w:rPr>
        <w:rFonts w:ascii="Times New Roman" w:hAnsi="Times New Roman"/>
        <w:sz w:val="20"/>
      </w:rPr>
      <w:fldChar w:fldCharType="separate"/>
    </w:r>
    <w:r w:rsidR="0003337F">
      <w:rPr>
        <w:rFonts w:ascii="Times New Roman" w:hAnsi="Times New Roman"/>
        <w:noProof/>
        <w:sz w:val="20"/>
      </w:rPr>
      <w:t>23</w:t>
    </w:r>
    <w:r w:rsidRPr="0003613D">
      <w:rPr>
        <w:rFonts w:ascii="Times New Roman" w:hAnsi="Times New Roman"/>
        <w:noProof/>
        <w:sz w:val="20"/>
      </w:rPr>
      <w:fldChar w:fldCharType="end"/>
    </w:r>
  </w:p>
  <w:p w:rsidR="005462FE" w:rsidRDefault="005462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2FE" w:rsidRDefault="005462FE" w:rsidP="009A1EB8">
    <w:pPr>
      <w:pStyle w:val="Footer"/>
      <w:jc w:val="center"/>
    </w:pPr>
  </w:p>
  <w:p w:rsidR="005462FE" w:rsidRDefault="00EB57F2" w:rsidP="00D64A9C">
    <w:pPr>
      <w:pStyle w:val="Footer"/>
      <w:jc w:val="center"/>
    </w:pPr>
    <w:fldSimple w:instr=" PAGE ">
      <w:r w:rsidR="005462F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2FE" w:rsidRDefault="005462FE" w:rsidP="00621DDE">
      <w:pPr>
        <w:spacing w:after="0" w:line="240" w:lineRule="auto"/>
      </w:pPr>
      <w:r>
        <w:separator/>
      </w:r>
    </w:p>
  </w:footnote>
  <w:footnote w:type="continuationSeparator" w:id="0">
    <w:p w:rsidR="005462FE" w:rsidRDefault="005462FE" w:rsidP="00621DDE">
      <w:pPr>
        <w:spacing w:after="0" w:line="240" w:lineRule="auto"/>
      </w:pPr>
      <w:r>
        <w:continuationSeparator/>
      </w:r>
    </w:p>
  </w:footnote>
  <w:footnote w:id="1">
    <w:p w:rsidR="005462FE" w:rsidRDefault="005462FE" w:rsidP="0015407C">
      <w:pPr>
        <w:pStyle w:val="FootnoteText"/>
      </w:pPr>
      <w:r>
        <w:rPr>
          <w:rStyle w:val="FootnoteReference"/>
        </w:rPr>
        <w:footnoteRef/>
      </w:r>
      <w:r>
        <w:t xml:space="preserve"> </w:t>
      </w:r>
      <w:proofErr w:type="gramStart"/>
      <w:r w:rsidRPr="005017D2">
        <w:rPr>
          <w:rFonts w:ascii="Times New Roman" w:hAnsi="Times New Roman"/>
          <w:sz w:val="22"/>
          <w:szCs w:val="24"/>
        </w:rPr>
        <w:t>New South Wales Energy Savings Scheme Rule of 2009</w:t>
      </w:r>
      <w:r w:rsidRPr="00A01F91">
        <w:rPr>
          <w:rFonts w:ascii="Times New Roman" w:hAnsi="Times New Roman"/>
          <w:sz w:val="22"/>
          <w:szCs w:val="24"/>
        </w:rPr>
        <w:t>, Metered Baseline Method, NABERS baseline sub</w:t>
      </w:r>
      <w:r w:rsidRPr="00A01F91">
        <w:rPr>
          <w:rFonts w:ascii="Times New Roman" w:hAnsi="Times New Roman"/>
          <w:sz w:val="22"/>
          <w:szCs w:val="24"/>
        </w:rPr>
        <w:noBreakHyphen/>
      </w:r>
      <w:proofErr w:type="spellStart"/>
      <w:r w:rsidRPr="00A01F91">
        <w:rPr>
          <w:rFonts w:ascii="Times New Roman" w:hAnsi="Times New Roman"/>
          <w:sz w:val="22"/>
          <w:szCs w:val="24"/>
        </w:rPr>
        <w:t>method</w:t>
      </w:r>
      <w:proofErr w:type="spellEnd"/>
      <w:r>
        <w:rPr>
          <w:rFonts w:ascii="Times New Roman" w:hAnsi="Times New Roman"/>
          <w:sz w:val="22"/>
          <w:szCs w:val="24"/>
        </w:rPr>
        <w:t xml:space="preserve"> (clause 8.8), accessible in 2015 at </w:t>
      </w:r>
      <w:hyperlink r:id="rId1" w:history="1">
        <w:r w:rsidRPr="0086046F">
          <w:rPr>
            <w:rStyle w:val="Hyperlink"/>
            <w:rFonts w:ascii="Times New Roman" w:hAnsi="Times New Roman"/>
            <w:sz w:val="22"/>
            <w:szCs w:val="24"/>
          </w:rPr>
          <w:t>http://www.ess.nsw.gov.au/files/3b4bc901-796f-40cd-bace-a35000e9d4f5/ESSRule2of2014.pdf</w:t>
        </w:r>
      </w:hyperlink>
      <w:r>
        <w:rPr>
          <w:rFonts w:ascii="Times New Roman" w:hAnsi="Times New Roman"/>
          <w:sz w:val="22"/>
          <w:szCs w:val="24"/>
        </w:rPr>
        <w:t>.</w:t>
      </w:r>
      <w:proofErr w:type="gramEnd"/>
      <w:r>
        <w:rPr>
          <w:rFonts w:ascii="Times New Roman" w:hAnsi="Times New Roman"/>
          <w:sz w:val="22"/>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2FE" w:rsidRPr="00C32758" w:rsidRDefault="005462FE" w:rsidP="00C32758">
    <w:pPr>
      <w:pStyle w:val="Header"/>
      <w:jc w:val="right"/>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1">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41E30B9"/>
    <w:multiLevelType w:val="hybridMultilevel"/>
    <w:tmpl w:val="E9309300"/>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63A1FB3"/>
    <w:multiLevelType w:val="hybridMultilevel"/>
    <w:tmpl w:val="6FE899A6"/>
    <w:lvl w:ilvl="0" w:tplc="59E2C036">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5246EB"/>
    <w:multiLevelType w:val="hybridMultilevel"/>
    <w:tmpl w:val="F09C52C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84EBF"/>
    <w:multiLevelType w:val="hybridMultilevel"/>
    <w:tmpl w:val="B02871F4"/>
    <w:lvl w:ilvl="0" w:tplc="2ACEA912">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C17BCB"/>
    <w:multiLevelType w:val="hybridMultilevel"/>
    <w:tmpl w:val="F0C8B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106C11"/>
    <w:multiLevelType w:val="hybridMultilevel"/>
    <w:tmpl w:val="9500AB3C"/>
    <w:lvl w:ilvl="0" w:tplc="0C09000F">
      <w:start w:val="1"/>
      <w:numFmt w:val="decimal"/>
      <w:lvlText w:val="%1."/>
      <w:lvlJc w:val="left"/>
      <w:pPr>
        <w:ind w:left="1080" w:hanging="360"/>
      </w:pPr>
      <w:rPr>
        <w:rFonts w:hint="default"/>
      </w:rPr>
    </w:lvl>
    <w:lvl w:ilvl="1" w:tplc="3B405CD8">
      <w:start w:val="1"/>
      <w:numFmt w:val="lowerLetter"/>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14D558D0"/>
    <w:multiLevelType w:val="hybridMultilevel"/>
    <w:tmpl w:val="B82619D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160D2A3D"/>
    <w:multiLevelType w:val="hybridMultilevel"/>
    <w:tmpl w:val="410A8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62B3261"/>
    <w:multiLevelType w:val="hybridMultilevel"/>
    <w:tmpl w:val="E6F28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70C4E0A"/>
    <w:multiLevelType w:val="hybridMultilevel"/>
    <w:tmpl w:val="1CD0ABA0"/>
    <w:lvl w:ilvl="0" w:tplc="9A701F1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7862172"/>
    <w:multiLevelType w:val="hybridMultilevel"/>
    <w:tmpl w:val="AEA8DC3C"/>
    <w:lvl w:ilvl="0" w:tplc="44FABDB8">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EFC5CC5"/>
    <w:multiLevelType w:val="hybridMultilevel"/>
    <w:tmpl w:val="88D4C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58758FA"/>
    <w:multiLevelType w:val="hybridMultilevel"/>
    <w:tmpl w:val="7604D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0130967"/>
    <w:multiLevelType w:val="hybridMultilevel"/>
    <w:tmpl w:val="A5A648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5D0AF1"/>
    <w:multiLevelType w:val="hybridMultilevel"/>
    <w:tmpl w:val="419A15F0"/>
    <w:lvl w:ilvl="0" w:tplc="0C090001">
      <w:start w:val="1"/>
      <w:numFmt w:val="bullet"/>
      <w:lvlText w:val=""/>
      <w:lvlJc w:val="left"/>
      <w:pPr>
        <w:ind w:left="1481" w:hanging="360"/>
      </w:pPr>
      <w:rPr>
        <w:rFonts w:ascii="Symbol" w:hAnsi="Symbol" w:hint="default"/>
      </w:rPr>
    </w:lvl>
    <w:lvl w:ilvl="1" w:tplc="0C090003" w:tentative="1">
      <w:start w:val="1"/>
      <w:numFmt w:val="bullet"/>
      <w:lvlText w:val="o"/>
      <w:lvlJc w:val="left"/>
      <w:pPr>
        <w:ind w:left="2201" w:hanging="360"/>
      </w:pPr>
      <w:rPr>
        <w:rFonts w:ascii="Courier New" w:hAnsi="Courier New" w:cs="Courier New" w:hint="default"/>
      </w:rPr>
    </w:lvl>
    <w:lvl w:ilvl="2" w:tplc="0C090005" w:tentative="1">
      <w:start w:val="1"/>
      <w:numFmt w:val="bullet"/>
      <w:lvlText w:val=""/>
      <w:lvlJc w:val="left"/>
      <w:pPr>
        <w:ind w:left="2921" w:hanging="360"/>
      </w:pPr>
      <w:rPr>
        <w:rFonts w:ascii="Wingdings" w:hAnsi="Wingdings" w:hint="default"/>
      </w:rPr>
    </w:lvl>
    <w:lvl w:ilvl="3" w:tplc="0C090001" w:tentative="1">
      <w:start w:val="1"/>
      <w:numFmt w:val="bullet"/>
      <w:lvlText w:val=""/>
      <w:lvlJc w:val="left"/>
      <w:pPr>
        <w:ind w:left="3641" w:hanging="360"/>
      </w:pPr>
      <w:rPr>
        <w:rFonts w:ascii="Symbol" w:hAnsi="Symbol" w:hint="default"/>
      </w:rPr>
    </w:lvl>
    <w:lvl w:ilvl="4" w:tplc="0C090003" w:tentative="1">
      <w:start w:val="1"/>
      <w:numFmt w:val="bullet"/>
      <w:lvlText w:val="o"/>
      <w:lvlJc w:val="left"/>
      <w:pPr>
        <w:ind w:left="4361" w:hanging="360"/>
      </w:pPr>
      <w:rPr>
        <w:rFonts w:ascii="Courier New" w:hAnsi="Courier New" w:cs="Courier New" w:hint="default"/>
      </w:rPr>
    </w:lvl>
    <w:lvl w:ilvl="5" w:tplc="0C090005" w:tentative="1">
      <w:start w:val="1"/>
      <w:numFmt w:val="bullet"/>
      <w:lvlText w:val=""/>
      <w:lvlJc w:val="left"/>
      <w:pPr>
        <w:ind w:left="5081" w:hanging="360"/>
      </w:pPr>
      <w:rPr>
        <w:rFonts w:ascii="Wingdings" w:hAnsi="Wingdings" w:hint="default"/>
      </w:rPr>
    </w:lvl>
    <w:lvl w:ilvl="6" w:tplc="0C090001" w:tentative="1">
      <w:start w:val="1"/>
      <w:numFmt w:val="bullet"/>
      <w:lvlText w:val=""/>
      <w:lvlJc w:val="left"/>
      <w:pPr>
        <w:ind w:left="5801" w:hanging="360"/>
      </w:pPr>
      <w:rPr>
        <w:rFonts w:ascii="Symbol" w:hAnsi="Symbol" w:hint="default"/>
      </w:rPr>
    </w:lvl>
    <w:lvl w:ilvl="7" w:tplc="0C090003" w:tentative="1">
      <w:start w:val="1"/>
      <w:numFmt w:val="bullet"/>
      <w:lvlText w:val="o"/>
      <w:lvlJc w:val="left"/>
      <w:pPr>
        <w:ind w:left="6521" w:hanging="360"/>
      </w:pPr>
      <w:rPr>
        <w:rFonts w:ascii="Courier New" w:hAnsi="Courier New" w:cs="Courier New" w:hint="default"/>
      </w:rPr>
    </w:lvl>
    <w:lvl w:ilvl="8" w:tplc="0C090005" w:tentative="1">
      <w:start w:val="1"/>
      <w:numFmt w:val="bullet"/>
      <w:lvlText w:val=""/>
      <w:lvlJc w:val="left"/>
      <w:pPr>
        <w:ind w:left="7241" w:hanging="360"/>
      </w:pPr>
      <w:rPr>
        <w:rFonts w:ascii="Wingdings" w:hAnsi="Wingdings" w:hint="default"/>
      </w:rPr>
    </w:lvl>
  </w:abstractNum>
  <w:abstractNum w:abstractNumId="17">
    <w:nsid w:val="37ED32ED"/>
    <w:multiLevelType w:val="hybridMultilevel"/>
    <w:tmpl w:val="DF94B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7FA40AB"/>
    <w:multiLevelType w:val="hybridMultilevel"/>
    <w:tmpl w:val="3F4E0AD0"/>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9">
    <w:nsid w:val="406F27C1"/>
    <w:multiLevelType w:val="hybridMultilevel"/>
    <w:tmpl w:val="6680D1E4"/>
    <w:lvl w:ilvl="0" w:tplc="111CC704">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07749ED"/>
    <w:multiLevelType w:val="hybridMultilevel"/>
    <w:tmpl w:val="D548B7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3FF4461"/>
    <w:multiLevelType w:val="hybridMultilevel"/>
    <w:tmpl w:val="26A4A88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7BA7A7A"/>
    <w:multiLevelType w:val="hybridMultilevel"/>
    <w:tmpl w:val="1C2E5AE2"/>
    <w:lvl w:ilvl="0" w:tplc="0C090001">
      <w:start w:val="1"/>
      <w:numFmt w:val="bullet"/>
      <w:lvlText w:val=""/>
      <w:lvlJc w:val="left"/>
      <w:pPr>
        <w:ind w:left="506" w:hanging="360"/>
      </w:pPr>
      <w:rPr>
        <w:rFonts w:ascii="Symbol" w:hAnsi="Symbol" w:hint="default"/>
      </w:rPr>
    </w:lvl>
    <w:lvl w:ilvl="1" w:tplc="0C090003">
      <w:start w:val="1"/>
      <w:numFmt w:val="bullet"/>
      <w:lvlText w:val="o"/>
      <w:lvlJc w:val="left"/>
      <w:pPr>
        <w:ind w:left="1226" w:hanging="360"/>
      </w:pPr>
      <w:rPr>
        <w:rFonts w:ascii="Courier New" w:hAnsi="Courier New" w:cs="Courier New" w:hint="default"/>
      </w:rPr>
    </w:lvl>
    <w:lvl w:ilvl="2" w:tplc="0C090005">
      <w:start w:val="1"/>
      <w:numFmt w:val="bullet"/>
      <w:lvlText w:val=""/>
      <w:lvlJc w:val="left"/>
      <w:pPr>
        <w:ind w:left="1946" w:hanging="360"/>
      </w:pPr>
      <w:rPr>
        <w:rFonts w:ascii="Wingdings" w:hAnsi="Wingdings" w:hint="default"/>
      </w:rPr>
    </w:lvl>
    <w:lvl w:ilvl="3" w:tplc="0C090001" w:tentative="1">
      <w:start w:val="1"/>
      <w:numFmt w:val="bullet"/>
      <w:lvlText w:val=""/>
      <w:lvlJc w:val="left"/>
      <w:pPr>
        <w:ind w:left="2666" w:hanging="360"/>
      </w:pPr>
      <w:rPr>
        <w:rFonts w:ascii="Symbol" w:hAnsi="Symbol" w:hint="default"/>
      </w:rPr>
    </w:lvl>
    <w:lvl w:ilvl="4" w:tplc="0C090003" w:tentative="1">
      <w:start w:val="1"/>
      <w:numFmt w:val="bullet"/>
      <w:lvlText w:val="o"/>
      <w:lvlJc w:val="left"/>
      <w:pPr>
        <w:ind w:left="3386" w:hanging="360"/>
      </w:pPr>
      <w:rPr>
        <w:rFonts w:ascii="Courier New" w:hAnsi="Courier New" w:cs="Courier New" w:hint="default"/>
      </w:rPr>
    </w:lvl>
    <w:lvl w:ilvl="5" w:tplc="0C090005" w:tentative="1">
      <w:start w:val="1"/>
      <w:numFmt w:val="bullet"/>
      <w:lvlText w:val=""/>
      <w:lvlJc w:val="left"/>
      <w:pPr>
        <w:ind w:left="4106" w:hanging="360"/>
      </w:pPr>
      <w:rPr>
        <w:rFonts w:ascii="Wingdings" w:hAnsi="Wingdings" w:hint="default"/>
      </w:rPr>
    </w:lvl>
    <w:lvl w:ilvl="6" w:tplc="0C090001" w:tentative="1">
      <w:start w:val="1"/>
      <w:numFmt w:val="bullet"/>
      <w:lvlText w:val=""/>
      <w:lvlJc w:val="left"/>
      <w:pPr>
        <w:ind w:left="4826" w:hanging="360"/>
      </w:pPr>
      <w:rPr>
        <w:rFonts w:ascii="Symbol" w:hAnsi="Symbol" w:hint="default"/>
      </w:rPr>
    </w:lvl>
    <w:lvl w:ilvl="7" w:tplc="0C090003" w:tentative="1">
      <w:start w:val="1"/>
      <w:numFmt w:val="bullet"/>
      <w:lvlText w:val="o"/>
      <w:lvlJc w:val="left"/>
      <w:pPr>
        <w:ind w:left="5546" w:hanging="360"/>
      </w:pPr>
      <w:rPr>
        <w:rFonts w:ascii="Courier New" w:hAnsi="Courier New" w:cs="Courier New" w:hint="default"/>
      </w:rPr>
    </w:lvl>
    <w:lvl w:ilvl="8" w:tplc="0C090005" w:tentative="1">
      <w:start w:val="1"/>
      <w:numFmt w:val="bullet"/>
      <w:lvlText w:val=""/>
      <w:lvlJc w:val="left"/>
      <w:pPr>
        <w:ind w:left="6266" w:hanging="360"/>
      </w:pPr>
      <w:rPr>
        <w:rFonts w:ascii="Wingdings" w:hAnsi="Wingdings" w:hint="default"/>
      </w:rPr>
    </w:lvl>
  </w:abstractNum>
  <w:abstractNum w:abstractNumId="23">
    <w:nsid w:val="4B3319EF"/>
    <w:multiLevelType w:val="hybridMultilevel"/>
    <w:tmpl w:val="4C722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48523B"/>
    <w:multiLevelType w:val="hybridMultilevel"/>
    <w:tmpl w:val="EFA2D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8241592"/>
    <w:multiLevelType w:val="hybridMultilevel"/>
    <w:tmpl w:val="7FBE0976"/>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nsid w:val="59FC61DE"/>
    <w:multiLevelType w:val="hybridMultilevel"/>
    <w:tmpl w:val="B0600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AD151C1"/>
    <w:multiLevelType w:val="hybridMultilevel"/>
    <w:tmpl w:val="1E3C6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B867B11"/>
    <w:multiLevelType w:val="hybridMultilevel"/>
    <w:tmpl w:val="0BEA5E8E"/>
    <w:lvl w:ilvl="0" w:tplc="E4449CDC">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1204865"/>
    <w:multiLevelType w:val="hybridMultilevel"/>
    <w:tmpl w:val="0E460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21627AD"/>
    <w:multiLevelType w:val="hybridMultilevel"/>
    <w:tmpl w:val="53BCD0BC"/>
    <w:lvl w:ilvl="0" w:tplc="6F523786">
      <w:start w:val="1"/>
      <w:numFmt w:val="bullet"/>
      <w:lvlText w:val=""/>
      <w:lvlJc w:val="left"/>
      <w:pPr>
        <w:ind w:left="360" w:hanging="360"/>
      </w:pPr>
      <w:rPr>
        <w:rFonts w:ascii="Symbol" w:hAnsi="Symbol" w:hint="default"/>
        <w:color w:val="000000"/>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3EB035D"/>
    <w:multiLevelType w:val="hybridMultilevel"/>
    <w:tmpl w:val="74FAF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48D350B"/>
    <w:multiLevelType w:val="hybridMultilevel"/>
    <w:tmpl w:val="38B8360C"/>
    <w:lvl w:ilvl="0" w:tplc="13AC015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5456429"/>
    <w:multiLevelType w:val="multilevel"/>
    <w:tmpl w:val="987C45B0"/>
    <w:lvl w:ilvl="0">
      <w:start w:val="1"/>
      <w:numFmt w:val="decimal"/>
      <w:pStyle w:val="ListNumber"/>
      <w:lvlText w:val="%1."/>
      <w:lvlJc w:val="left"/>
      <w:pPr>
        <w:ind w:left="369" w:hanging="369"/>
      </w:pPr>
      <w:rPr>
        <w:rFonts w:ascii="Arial" w:hAnsi="Arial" w:cs="Times New Roman" w:hint="default"/>
        <w:sz w:val="22"/>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34">
    <w:nsid w:val="670026AA"/>
    <w:multiLevelType w:val="hybridMultilevel"/>
    <w:tmpl w:val="037289CC"/>
    <w:lvl w:ilvl="0" w:tplc="99A27DBA">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36">
    <w:nsid w:val="6CA36C32"/>
    <w:multiLevelType w:val="hybridMultilevel"/>
    <w:tmpl w:val="0032E4F6"/>
    <w:lvl w:ilvl="0" w:tplc="30E07618">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38">
    <w:nsid w:val="7CEE7A89"/>
    <w:multiLevelType w:val="hybridMultilevel"/>
    <w:tmpl w:val="E8CC7EFC"/>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37"/>
  </w:num>
  <w:num w:numId="2">
    <w:abstractNumId w:val="1"/>
  </w:num>
  <w:num w:numId="3">
    <w:abstractNumId w:val="34"/>
  </w:num>
  <w:num w:numId="4">
    <w:abstractNumId w:val="24"/>
  </w:num>
  <w:num w:numId="5">
    <w:abstractNumId w:val="33"/>
  </w:num>
  <w:num w:numId="6">
    <w:abstractNumId w:val="4"/>
  </w:num>
  <w:num w:numId="7">
    <w:abstractNumId w:val="30"/>
  </w:num>
  <w:num w:numId="8">
    <w:abstractNumId w:val="13"/>
  </w:num>
  <w:num w:numId="9">
    <w:abstractNumId w:val="16"/>
  </w:num>
  <w:num w:numId="10">
    <w:abstractNumId w:val="29"/>
  </w:num>
  <w:num w:numId="11">
    <w:abstractNumId w:val="26"/>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8"/>
  </w:num>
  <w:num w:numId="15">
    <w:abstractNumId w:val="22"/>
  </w:num>
  <w:num w:numId="16">
    <w:abstractNumId w:val="6"/>
  </w:num>
  <w:num w:numId="17">
    <w:abstractNumId w:val="14"/>
  </w:num>
  <w:num w:numId="18">
    <w:abstractNumId w:val="36"/>
  </w:num>
  <w:num w:numId="19">
    <w:abstractNumId w:val="28"/>
  </w:num>
  <w:num w:numId="20">
    <w:abstractNumId w:val="3"/>
  </w:num>
  <w:num w:numId="21">
    <w:abstractNumId w:val="19"/>
  </w:num>
  <w:num w:numId="22">
    <w:abstractNumId w:val="15"/>
  </w:num>
  <w:num w:numId="23">
    <w:abstractNumId w:val="11"/>
  </w:num>
  <w:num w:numId="24">
    <w:abstractNumId w:val="17"/>
  </w:num>
  <w:num w:numId="25">
    <w:abstractNumId w:val="10"/>
  </w:num>
  <w:num w:numId="26">
    <w:abstractNumId w:val="32"/>
  </w:num>
  <w:num w:numId="27">
    <w:abstractNumId w:val="5"/>
  </w:num>
  <w:num w:numId="28">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20"/>
  </w:num>
  <w:num w:numId="31">
    <w:abstractNumId w:val="25"/>
  </w:num>
  <w:num w:numId="32">
    <w:abstractNumId w:val="2"/>
  </w:num>
  <w:num w:numId="33">
    <w:abstractNumId w:val="21"/>
  </w:num>
  <w:num w:numId="34">
    <w:abstractNumId w:val="7"/>
  </w:num>
  <w:num w:numId="35">
    <w:abstractNumId w:val="0"/>
  </w:num>
  <w:num w:numId="36">
    <w:abstractNumId w:val="31"/>
  </w:num>
  <w:num w:numId="37">
    <w:abstractNumId w:val="9"/>
  </w:num>
  <w:num w:numId="38">
    <w:abstractNumId w:val="23"/>
  </w:num>
  <w:num w:numId="39">
    <w:abstractNumId w:val="12"/>
  </w:num>
  <w:num w:numId="40">
    <w:abstractNumId w:val="2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oNotTrackFormatting/>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rsids>
    <w:rsidRoot w:val="00A57799"/>
    <w:rsid w:val="0000025A"/>
    <w:rsid w:val="00000360"/>
    <w:rsid w:val="000018D7"/>
    <w:rsid w:val="00001E27"/>
    <w:rsid w:val="00002740"/>
    <w:rsid w:val="000027DD"/>
    <w:rsid w:val="000035A2"/>
    <w:rsid w:val="000039D1"/>
    <w:rsid w:val="000044D3"/>
    <w:rsid w:val="00005399"/>
    <w:rsid w:val="0000543F"/>
    <w:rsid w:val="000056C0"/>
    <w:rsid w:val="00005701"/>
    <w:rsid w:val="00005E46"/>
    <w:rsid w:val="00006320"/>
    <w:rsid w:val="000072D2"/>
    <w:rsid w:val="00007323"/>
    <w:rsid w:val="0000785F"/>
    <w:rsid w:val="000100B9"/>
    <w:rsid w:val="0001095D"/>
    <w:rsid w:val="00010EB4"/>
    <w:rsid w:val="00010F18"/>
    <w:rsid w:val="00010FF8"/>
    <w:rsid w:val="000117CD"/>
    <w:rsid w:val="00011B30"/>
    <w:rsid w:val="0001271D"/>
    <w:rsid w:val="000131C6"/>
    <w:rsid w:val="00014790"/>
    <w:rsid w:val="000148B9"/>
    <w:rsid w:val="000152E9"/>
    <w:rsid w:val="00016732"/>
    <w:rsid w:val="0001687B"/>
    <w:rsid w:val="00016AED"/>
    <w:rsid w:val="0001767E"/>
    <w:rsid w:val="00020055"/>
    <w:rsid w:val="0002096F"/>
    <w:rsid w:val="00021034"/>
    <w:rsid w:val="000212C1"/>
    <w:rsid w:val="00021937"/>
    <w:rsid w:val="00021E9F"/>
    <w:rsid w:val="000228D3"/>
    <w:rsid w:val="00023C79"/>
    <w:rsid w:val="00023D6A"/>
    <w:rsid w:val="00023F52"/>
    <w:rsid w:val="00024681"/>
    <w:rsid w:val="00024A08"/>
    <w:rsid w:val="00024BAB"/>
    <w:rsid w:val="00025877"/>
    <w:rsid w:val="00025C0F"/>
    <w:rsid w:val="00025EB4"/>
    <w:rsid w:val="0002608C"/>
    <w:rsid w:val="0002619A"/>
    <w:rsid w:val="0002633B"/>
    <w:rsid w:val="00026AA6"/>
    <w:rsid w:val="00026F47"/>
    <w:rsid w:val="00027DD2"/>
    <w:rsid w:val="00030607"/>
    <w:rsid w:val="00030854"/>
    <w:rsid w:val="00030DC5"/>
    <w:rsid w:val="00031020"/>
    <w:rsid w:val="00031067"/>
    <w:rsid w:val="000326C3"/>
    <w:rsid w:val="00032C01"/>
    <w:rsid w:val="00032EBE"/>
    <w:rsid w:val="000331C4"/>
    <w:rsid w:val="0003333F"/>
    <w:rsid w:val="0003337F"/>
    <w:rsid w:val="00034279"/>
    <w:rsid w:val="00034350"/>
    <w:rsid w:val="00034AED"/>
    <w:rsid w:val="0003511C"/>
    <w:rsid w:val="0003516A"/>
    <w:rsid w:val="00035A0B"/>
    <w:rsid w:val="000360B8"/>
    <w:rsid w:val="00036128"/>
    <w:rsid w:val="0003613D"/>
    <w:rsid w:val="0003616F"/>
    <w:rsid w:val="00036E9F"/>
    <w:rsid w:val="00040212"/>
    <w:rsid w:val="000408D9"/>
    <w:rsid w:val="000411C7"/>
    <w:rsid w:val="000413E2"/>
    <w:rsid w:val="000414C2"/>
    <w:rsid w:val="000417C6"/>
    <w:rsid w:val="00041899"/>
    <w:rsid w:val="00041DAD"/>
    <w:rsid w:val="00041FFC"/>
    <w:rsid w:val="000420F2"/>
    <w:rsid w:val="00042435"/>
    <w:rsid w:val="00042633"/>
    <w:rsid w:val="0004268A"/>
    <w:rsid w:val="00042C4B"/>
    <w:rsid w:val="000433A5"/>
    <w:rsid w:val="000435CA"/>
    <w:rsid w:val="00043781"/>
    <w:rsid w:val="000439C8"/>
    <w:rsid w:val="00044385"/>
    <w:rsid w:val="000443E5"/>
    <w:rsid w:val="0004490C"/>
    <w:rsid w:val="00044992"/>
    <w:rsid w:val="00044D22"/>
    <w:rsid w:val="00045AD1"/>
    <w:rsid w:val="00045D44"/>
    <w:rsid w:val="00047093"/>
    <w:rsid w:val="00047A7E"/>
    <w:rsid w:val="0005046E"/>
    <w:rsid w:val="0005123D"/>
    <w:rsid w:val="00051D53"/>
    <w:rsid w:val="00051FE6"/>
    <w:rsid w:val="0005212E"/>
    <w:rsid w:val="00052EB2"/>
    <w:rsid w:val="00052FAD"/>
    <w:rsid w:val="00053134"/>
    <w:rsid w:val="0005349B"/>
    <w:rsid w:val="00053937"/>
    <w:rsid w:val="00053C98"/>
    <w:rsid w:val="00055434"/>
    <w:rsid w:val="0005585F"/>
    <w:rsid w:val="00055DC8"/>
    <w:rsid w:val="00056113"/>
    <w:rsid w:val="00057551"/>
    <w:rsid w:val="00057C67"/>
    <w:rsid w:val="00060327"/>
    <w:rsid w:val="000613F3"/>
    <w:rsid w:val="000618CD"/>
    <w:rsid w:val="00061A30"/>
    <w:rsid w:val="0006278B"/>
    <w:rsid w:val="00062BBF"/>
    <w:rsid w:val="00062DE8"/>
    <w:rsid w:val="00063614"/>
    <w:rsid w:val="00063DBB"/>
    <w:rsid w:val="00063EE4"/>
    <w:rsid w:val="00064309"/>
    <w:rsid w:val="00064765"/>
    <w:rsid w:val="00064D23"/>
    <w:rsid w:val="00064E18"/>
    <w:rsid w:val="00065668"/>
    <w:rsid w:val="00065A89"/>
    <w:rsid w:val="000667DB"/>
    <w:rsid w:val="00066BFC"/>
    <w:rsid w:val="00070BEE"/>
    <w:rsid w:val="000716AB"/>
    <w:rsid w:val="00072D1D"/>
    <w:rsid w:val="00073371"/>
    <w:rsid w:val="0007385A"/>
    <w:rsid w:val="00073EC6"/>
    <w:rsid w:val="000751CD"/>
    <w:rsid w:val="000755F6"/>
    <w:rsid w:val="000756E4"/>
    <w:rsid w:val="00077095"/>
    <w:rsid w:val="000774C1"/>
    <w:rsid w:val="00077B5D"/>
    <w:rsid w:val="0008048E"/>
    <w:rsid w:val="00080CE0"/>
    <w:rsid w:val="00080D9A"/>
    <w:rsid w:val="00080FE9"/>
    <w:rsid w:val="000822E2"/>
    <w:rsid w:val="000827C8"/>
    <w:rsid w:val="00082B03"/>
    <w:rsid w:val="00082B4E"/>
    <w:rsid w:val="000855F0"/>
    <w:rsid w:val="00085C27"/>
    <w:rsid w:val="00086355"/>
    <w:rsid w:val="00086894"/>
    <w:rsid w:val="000870E8"/>
    <w:rsid w:val="000875D5"/>
    <w:rsid w:val="00087BD5"/>
    <w:rsid w:val="000903E8"/>
    <w:rsid w:val="0009056D"/>
    <w:rsid w:val="0009062C"/>
    <w:rsid w:val="0009205E"/>
    <w:rsid w:val="000920BB"/>
    <w:rsid w:val="00092852"/>
    <w:rsid w:val="00092C95"/>
    <w:rsid w:val="00093293"/>
    <w:rsid w:val="00094661"/>
    <w:rsid w:val="0009494E"/>
    <w:rsid w:val="00094C2F"/>
    <w:rsid w:val="00094C83"/>
    <w:rsid w:val="00096529"/>
    <w:rsid w:val="00096619"/>
    <w:rsid w:val="00096BFC"/>
    <w:rsid w:val="00096C07"/>
    <w:rsid w:val="000973E5"/>
    <w:rsid w:val="00097FB0"/>
    <w:rsid w:val="000A00A9"/>
    <w:rsid w:val="000A0497"/>
    <w:rsid w:val="000A0656"/>
    <w:rsid w:val="000A0E85"/>
    <w:rsid w:val="000A1221"/>
    <w:rsid w:val="000A125E"/>
    <w:rsid w:val="000A1673"/>
    <w:rsid w:val="000A1F23"/>
    <w:rsid w:val="000A4283"/>
    <w:rsid w:val="000A4748"/>
    <w:rsid w:val="000A4F7B"/>
    <w:rsid w:val="000A55F8"/>
    <w:rsid w:val="000A5DF4"/>
    <w:rsid w:val="000A66DA"/>
    <w:rsid w:val="000A6C66"/>
    <w:rsid w:val="000A7577"/>
    <w:rsid w:val="000A7B9D"/>
    <w:rsid w:val="000B03F4"/>
    <w:rsid w:val="000B07E8"/>
    <w:rsid w:val="000B0D22"/>
    <w:rsid w:val="000B1A2F"/>
    <w:rsid w:val="000B1ECA"/>
    <w:rsid w:val="000B29E5"/>
    <w:rsid w:val="000B2DFC"/>
    <w:rsid w:val="000B37F2"/>
    <w:rsid w:val="000B3A3D"/>
    <w:rsid w:val="000B3C87"/>
    <w:rsid w:val="000B4376"/>
    <w:rsid w:val="000B44B5"/>
    <w:rsid w:val="000B4A03"/>
    <w:rsid w:val="000B5356"/>
    <w:rsid w:val="000B55F8"/>
    <w:rsid w:val="000B63AD"/>
    <w:rsid w:val="000B66BD"/>
    <w:rsid w:val="000B7C94"/>
    <w:rsid w:val="000B7CED"/>
    <w:rsid w:val="000B7F6A"/>
    <w:rsid w:val="000C01E5"/>
    <w:rsid w:val="000C072D"/>
    <w:rsid w:val="000C24EC"/>
    <w:rsid w:val="000C2947"/>
    <w:rsid w:val="000C2977"/>
    <w:rsid w:val="000C2A06"/>
    <w:rsid w:val="000C2A65"/>
    <w:rsid w:val="000C2C6B"/>
    <w:rsid w:val="000C332B"/>
    <w:rsid w:val="000C3DCA"/>
    <w:rsid w:val="000C3FC4"/>
    <w:rsid w:val="000C403B"/>
    <w:rsid w:val="000C415C"/>
    <w:rsid w:val="000C42F0"/>
    <w:rsid w:val="000C47AC"/>
    <w:rsid w:val="000C4DE8"/>
    <w:rsid w:val="000C50E2"/>
    <w:rsid w:val="000C6007"/>
    <w:rsid w:val="000C6632"/>
    <w:rsid w:val="000C7081"/>
    <w:rsid w:val="000C7A7F"/>
    <w:rsid w:val="000D00E1"/>
    <w:rsid w:val="000D0A80"/>
    <w:rsid w:val="000D1A62"/>
    <w:rsid w:val="000D2C8D"/>
    <w:rsid w:val="000D313B"/>
    <w:rsid w:val="000D31D6"/>
    <w:rsid w:val="000D344E"/>
    <w:rsid w:val="000D3815"/>
    <w:rsid w:val="000D4070"/>
    <w:rsid w:val="000D40C6"/>
    <w:rsid w:val="000D428A"/>
    <w:rsid w:val="000D4835"/>
    <w:rsid w:val="000D4A9F"/>
    <w:rsid w:val="000D5647"/>
    <w:rsid w:val="000D5B81"/>
    <w:rsid w:val="000D5DA9"/>
    <w:rsid w:val="000D5FA4"/>
    <w:rsid w:val="000D6128"/>
    <w:rsid w:val="000D7102"/>
    <w:rsid w:val="000D7A5E"/>
    <w:rsid w:val="000D7FB4"/>
    <w:rsid w:val="000E0A6A"/>
    <w:rsid w:val="000E0B2B"/>
    <w:rsid w:val="000E1BE0"/>
    <w:rsid w:val="000E1CEF"/>
    <w:rsid w:val="000E2154"/>
    <w:rsid w:val="000E3331"/>
    <w:rsid w:val="000E3F9A"/>
    <w:rsid w:val="000E47CC"/>
    <w:rsid w:val="000E4B6C"/>
    <w:rsid w:val="000E4C9E"/>
    <w:rsid w:val="000E57A4"/>
    <w:rsid w:val="000E690B"/>
    <w:rsid w:val="000E71EC"/>
    <w:rsid w:val="000E7AD3"/>
    <w:rsid w:val="000F0066"/>
    <w:rsid w:val="000F025A"/>
    <w:rsid w:val="000F0469"/>
    <w:rsid w:val="000F0F7A"/>
    <w:rsid w:val="000F2188"/>
    <w:rsid w:val="000F2372"/>
    <w:rsid w:val="000F2F4A"/>
    <w:rsid w:val="000F340F"/>
    <w:rsid w:val="000F4058"/>
    <w:rsid w:val="000F4AA2"/>
    <w:rsid w:val="000F5C9D"/>
    <w:rsid w:val="000F5FD7"/>
    <w:rsid w:val="000F6000"/>
    <w:rsid w:val="000F6397"/>
    <w:rsid w:val="000F6FF0"/>
    <w:rsid w:val="000F7197"/>
    <w:rsid w:val="000F737D"/>
    <w:rsid w:val="001012BA"/>
    <w:rsid w:val="0010160B"/>
    <w:rsid w:val="00101B59"/>
    <w:rsid w:val="00101D54"/>
    <w:rsid w:val="00102114"/>
    <w:rsid w:val="001023CD"/>
    <w:rsid w:val="001027E9"/>
    <w:rsid w:val="001028AC"/>
    <w:rsid w:val="00102AFA"/>
    <w:rsid w:val="00102BE6"/>
    <w:rsid w:val="0010368E"/>
    <w:rsid w:val="00103814"/>
    <w:rsid w:val="00103C61"/>
    <w:rsid w:val="00104196"/>
    <w:rsid w:val="00104583"/>
    <w:rsid w:val="00104C09"/>
    <w:rsid w:val="00105296"/>
    <w:rsid w:val="00105E33"/>
    <w:rsid w:val="00106067"/>
    <w:rsid w:val="00106090"/>
    <w:rsid w:val="00107139"/>
    <w:rsid w:val="00110ABB"/>
    <w:rsid w:val="00111C7B"/>
    <w:rsid w:val="00111C8A"/>
    <w:rsid w:val="00111E99"/>
    <w:rsid w:val="001124E2"/>
    <w:rsid w:val="0011264E"/>
    <w:rsid w:val="00112830"/>
    <w:rsid w:val="00112AD1"/>
    <w:rsid w:val="00113027"/>
    <w:rsid w:val="001138FE"/>
    <w:rsid w:val="00113A00"/>
    <w:rsid w:val="001141E3"/>
    <w:rsid w:val="001143A0"/>
    <w:rsid w:val="001145B7"/>
    <w:rsid w:val="00114968"/>
    <w:rsid w:val="00115283"/>
    <w:rsid w:val="001155EA"/>
    <w:rsid w:val="00116254"/>
    <w:rsid w:val="00116876"/>
    <w:rsid w:val="001168A1"/>
    <w:rsid w:val="00116A3E"/>
    <w:rsid w:val="00116FC2"/>
    <w:rsid w:val="00117B13"/>
    <w:rsid w:val="00117D39"/>
    <w:rsid w:val="00117D3C"/>
    <w:rsid w:val="001202A0"/>
    <w:rsid w:val="0012081F"/>
    <w:rsid w:val="001208CA"/>
    <w:rsid w:val="00120A9B"/>
    <w:rsid w:val="00120BB4"/>
    <w:rsid w:val="0012174D"/>
    <w:rsid w:val="00121756"/>
    <w:rsid w:val="00121D29"/>
    <w:rsid w:val="001222B0"/>
    <w:rsid w:val="0012238D"/>
    <w:rsid w:val="00122C8A"/>
    <w:rsid w:val="00122FC3"/>
    <w:rsid w:val="0012429A"/>
    <w:rsid w:val="001242AD"/>
    <w:rsid w:val="0012471F"/>
    <w:rsid w:val="001250A6"/>
    <w:rsid w:val="00125A10"/>
    <w:rsid w:val="001266DA"/>
    <w:rsid w:val="001268DE"/>
    <w:rsid w:val="00127555"/>
    <w:rsid w:val="001279C8"/>
    <w:rsid w:val="00130448"/>
    <w:rsid w:val="00130952"/>
    <w:rsid w:val="001309AA"/>
    <w:rsid w:val="0013107F"/>
    <w:rsid w:val="00132367"/>
    <w:rsid w:val="00132465"/>
    <w:rsid w:val="0013263E"/>
    <w:rsid w:val="00133478"/>
    <w:rsid w:val="00133E5C"/>
    <w:rsid w:val="00133F4A"/>
    <w:rsid w:val="001346EE"/>
    <w:rsid w:val="00135304"/>
    <w:rsid w:val="00135884"/>
    <w:rsid w:val="00135CB6"/>
    <w:rsid w:val="00136F33"/>
    <w:rsid w:val="00137328"/>
    <w:rsid w:val="001375DF"/>
    <w:rsid w:val="00137923"/>
    <w:rsid w:val="00137968"/>
    <w:rsid w:val="00137F77"/>
    <w:rsid w:val="0014011E"/>
    <w:rsid w:val="0014075D"/>
    <w:rsid w:val="001409B6"/>
    <w:rsid w:val="0014141F"/>
    <w:rsid w:val="00141745"/>
    <w:rsid w:val="00141AE1"/>
    <w:rsid w:val="00141FB9"/>
    <w:rsid w:val="001422C9"/>
    <w:rsid w:val="001425D7"/>
    <w:rsid w:val="0014261B"/>
    <w:rsid w:val="0014399C"/>
    <w:rsid w:val="00143FE6"/>
    <w:rsid w:val="001443B6"/>
    <w:rsid w:val="001446CE"/>
    <w:rsid w:val="00144844"/>
    <w:rsid w:val="001448C6"/>
    <w:rsid w:val="00144D47"/>
    <w:rsid w:val="0014543F"/>
    <w:rsid w:val="00145E22"/>
    <w:rsid w:val="001466F3"/>
    <w:rsid w:val="00146DCD"/>
    <w:rsid w:val="00146E14"/>
    <w:rsid w:val="00147090"/>
    <w:rsid w:val="001503E0"/>
    <w:rsid w:val="001504BE"/>
    <w:rsid w:val="001504D9"/>
    <w:rsid w:val="00151151"/>
    <w:rsid w:val="001516B6"/>
    <w:rsid w:val="001529B3"/>
    <w:rsid w:val="00152EC7"/>
    <w:rsid w:val="00153254"/>
    <w:rsid w:val="00153788"/>
    <w:rsid w:val="00154010"/>
    <w:rsid w:val="0015407C"/>
    <w:rsid w:val="00154810"/>
    <w:rsid w:val="00154C08"/>
    <w:rsid w:val="00154E19"/>
    <w:rsid w:val="001552BF"/>
    <w:rsid w:val="00155752"/>
    <w:rsid w:val="00156605"/>
    <w:rsid w:val="00156E43"/>
    <w:rsid w:val="001570F0"/>
    <w:rsid w:val="00157A05"/>
    <w:rsid w:val="00160264"/>
    <w:rsid w:val="00160FCA"/>
    <w:rsid w:val="001610B5"/>
    <w:rsid w:val="001611F1"/>
    <w:rsid w:val="001615D0"/>
    <w:rsid w:val="00161AAD"/>
    <w:rsid w:val="00161E72"/>
    <w:rsid w:val="00161FEE"/>
    <w:rsid w:val="00162081"/>
    <w:rsid w:val="001624C8"/>
    <w:rsid w:val="001628ED"/>
    <w:rsid w:val="0016339A"/>
    <w:rsid w:val="00163594"/>
    <w:rsid w:val="00163C6A"/>
    <w:rsid w:val="00163D7F"/>
    <w:rsid w:val="001642E7"/>
    <w:rsid w:val="001645EF"/>
    <w:rsid w:val="00164843"/>
    <w:rsid w:val="00164A10"/>
    <w:rsid w:val="00164C12"/>
    <w:rsid w:val="00164CA5"/>
    <w:rsid w:val="00164E25"/>
    <w:rsid w:val="001657A2"/>
    <w:rsid w:val="00165BE0"/>
    <w:rsid w:val="00166C3A"/>
    <w:rsid w:val="0016703E"/>
    <w:rsid w:val="001678BF"/>
    <w:rsid w:val="0016792D"/>
    <w:rsid w:val="00167998"/>
    <w:rsid w:val="0017048F"/>
    <w:rsid w:val="001707AE"/>
    <w:rsid w:val="00170968"/>
    <w:rsid w:val="00170A08"/>
    <w:rsid w:val="00171C88"/>
    <w:rsid w:val="001735EC"/>
    <w:rsid w:val="001737B1"/>
    <w:rsid w:val="00173B0A"/>
    <w:rsid w:val="00173DCB"/>
    <w:rsid w:val="00173E38"/>
    <w:rsid w:val="00174B4F"/>
    <w:rsid w:val="00175A80"/>
    <w:rsid w:val="00176018"/>
    <w:rsid w:val="0017666A"/>
    <w:rsid w:val="00176C3D"/>
    <w:rsid w:val="0017756B"/>
    <w:rsid w:val="001775B7"/>
    <w:rsid w:val="00177EAC"/>
    <w:rsid w:val="001807B0"/>
    <w:rsid w:val="00180C2D"/>
    <w:rsid w:val="00180D55"/>
    <w:rsid w:val="00180E10"/>
    <w:rsid w:val="001810B6"/>
    <w:rsid w:val="00181168"/>
    <w:rsid w:val="00181B12"/>
    <w:rsid w:val="00183143"/>
    <w:rsid w:val="001831B4"/>
    <w:rsid w:val="0018344C"/>
    <w:rsid w:val="00183A0A"/>
    <w:rsid w:val="00183E93"/>
    <w:rsid w:val="00184605"/>
    <w:rsid w:val="001849F1"/>
    <w:rsid w:val="00184A83"/>
    <w:rsid w:val="00185404"/>
    <w:rsid w:val="0018599C"/>
    <w:rsid w:val="00185B22"/>
    <w:rsid w:val="001867DC"/>
    <w:rsid w:val="00186B1B"/>
    <w:rsid w:val="00186CE8"/>
    <w:rsid w:val="00186ECE"/>
    <w:rsid w:val="00187B37"/>
    <w:rsid w:val="00190334"/>
    <w:rsid w:val="001907D8"/>
    <w:rsid w:val="00190830"/>
    <w:rsid w:val="0019095C"/>
    <w:rsid w:val="00191569"/>
    <w:rsid w:val="00192A6D"/>
    <w:rsid w:val="00192B6D"/>
    <w:rsid w:val="00192D01"/>
    <w:rsid w:val="001930A2"/>
    <w:rsid w:val="001950B1"/>
    <w:rsid w:val="001950C6"/>
    <w:rsid w:val="001955B5"/>
    <w:rsid w:val="00195EF7"/>
    <w:rsid w:val="00196164"/>
    <w:rsid w:val="001961B4"/>
    <w:rsid w:val="001966E7"/>
    <w:rsid w:val="00196AFF"/>
    <w:rsid w:val="00196D64"/>
    <w:rsid w:val="0019700E"/>
    <w:rsid w:val="0019770A"/>
    <w:rsid w:val="001977E5"/>
    <w:rsid w:val="001A0261"/>
    <w:rsid w:val="001A075F"/>
    <w:rsid w:val="001A0815"/>
    <w:rsid w:val="001A0B36"/>
    <w:rsid w:val="001A26C0"/>
    <w:rsid w:val="001A3AC0"/>
    <w:rsid w:val="001A3B3E"/>
    <w:rsid w:val="001A4543"/>
    <w:rsid w:val="001A4661"/>
    <w:rsid w:val="001A46E2"/>
    <w:rsid w:val="001A48F7"/>
    <w:rsid w:val="001A49CF"/>
    <w:rsid w:val="001A4F88"/>
    <w:rsid w:val="001A55EF"/>
    <w:rsid w:val="001A5734"/>
    <w:rsid w:val="001A5AB2"/>
    <w:rsid w:val="001A5D8F"/>
    <w:rsid w:val="001A5DD9"/>
    <w:rsid w:val="001A63D2"/>
    <w:rsid w:val="001A6B76"/>
    <w:rsid w:val="001A6C1A"/>
    <w:rsid w:val="001A7456"/>
    <w:rsid w:val="001B0BE6"/>
    <w:rsid w:val="001B1008"/>
    <w:rsid w:val="001B11F0"/>
    <w:rsid w:val="001B13EE"/>
    <w:rsid w:val="001B1471"/>
    <w:rsid w:val="001B1E8D"/>
    <w:rsid w:val="001B1F3C"/>
    <w:rsid w:val="001B2823"/>
    <w:rsid w:val="001B2B87"/>
    <w:rsid w:val="001B2BA3"/>
    <w:rsid w:val="001B2CE1"/>
    <w:rsid w:val="001B2F07"/>
    <w:rsid w:val="001B2FBE"/>
    <w:rsid w:val="001B38FC"/>
    <w:rsid w:val="001B457F"/>
    <w:rsid w:val="001B5572"/>
    <w:rsid w:val="001B58B6"/>
    <w:rsid w:val="001B5EA8"/>
    <w:rsid w:val="001C03C9"/>
    <w:rsid w:val="001C0D2C"/>
    <w:rsid w:val="001C0E6F"/>
    <w:rsid w:val="001C11CF"/>
    <w:rsid w:val="001C131C"/>
    <w:rsid w:val="001C1E04"/>
    <w:rsid w:val="001C1EEE"/>
    <w:rsid w:val="001C1F90"/>
    <w:rsid w:val="001C2039"/>
    <w:rsid w:val="001C298B"/>
    <w:rsid w:val="001C2B20"/>
    <w:rsid w:val="001C2E82"/>
    <w:rsid w:val="001C3857"/>
    <w:rsid w:val="001C3DC3"/>
    <w:rsid w:val="001C3DFF"/>
    <w:rsid w:val="001C3FE2"/>
    <w:rsid w:val="001C3FF2"/>
    <w:rsid w:val="001C401C"/>
    <w:rsid w:val="001C410F"/>
    <w:rsid w:val="001C426A"/>
    <w:rsid w:val="001C4F28"/>
    <w:rsid w:val="001C4F4D"/>
    <w:rsid w:val="001C5314"/>
    <w:rsid w:val="001C56F2"/>
    <w:rsid w:val="001C695E"/>
    <w:rsid w:val="001C77A2"/>
    <w:rsid w:val="001D002C"/>
    <w:rsid w:val="001D0716"/>
    <w:rsid w:val="001D1969"/>
    <w:rsid w:val="001D1D96"/>
    <w:rsid w:val="001D2EA6"/>
    <w:rsid w:val="001D3C0D"/>
    <w:rsid w:val="001D3C5D"/>
    <w:rsid w:val="001D3E6E"/>
    <w:rsid w:val="001D4335"/>
    <w:rsid w:val="001D4F87"/>
    <w:rsid w:val="001D5513"/>
    <w:rsid w:val="001D5BA8"/>
    <w:rsid w:val="001D5F82"/>
    <w:rsid w:val="001D61D5"/>
    <w:rsid w:val="001D65D9"/>
    <w:rsid w:val="001D6CF7"/>
    <w:rsid w:val="001D7000"/>
    <w:rsid w:val="001D72AE"/>
    <w:rsid w:val="001D77AA"/>
    <w:rsid w:val="001D7900"/>
    <w:rsid w:val="001E0376"/>
    <w:rsid w:val="001E04CD"/>
    <w:rsid w:val="001E1281"/>
    <w:rsid w:val="001E195D"/>
    <w:rsid w:val="001E2241"/>
    <w:rsid w:val="001E3D5B"/>
    <w:rsid w:val="001E55A6"/>
    <w:rsid w:val="001E5895"/>
    <w:rsid w:val="001E629C"/>
    <w:rsid w:val="001E6D03"/>
    <w:rsid w:val="001E7401"/>
    <w:rsid w:val="001E77A3"/>
    <w:rsid w:val="001E7987"/>
    <w:rsid w:val="001E7EC8"/>
    <w:rsid w:val="001F004E"/>
    <w:rsid w:val="001F014B"/>
    <w:rsid w:val="001F0642"/>
    <w:rsid w:val="001F0792"/>
    <w:rsid w:val="001F0A8A"/>
    <w:rsid w:val="001F1939"/>
    <w:rsid w:val="001F1F3F"/>
    <w:rsid w:val="001F2DDE"/>
    <w:rsid w:val="001F2EDE"/>
    <w:rsid w:val="001F3972"/>
    <w:rsid w:val="001F39F2"/>
    <w:rsid w:val="001F4C09"/>
    <w:rsid w:val="001F557D"/>
    <w:rsid w:val="001F5B09"/>
    <w:rsid w:val="001F7045"/>
    <w:rsid w:val="001F748C"/>
    <w:rsid w:val="001F74E2"/>
    <w:rsid w:val="001F7C0D"/>
    <w:rsid w:val="001F7E67"/>
    <w:rsid w:val="00200792"/>
    <w:rsid w:val="0020110C"/>
    <w:rsid w:val="0020112E"/>
    <w:rsid w:val="002012AB"/>
    <w:rsid w:val="00201BBA"/>
    <w:rsid w:val="00201C66"/>
    <w:rsid w:val="002022A3"/>
    <w:rsid w:val="00203D59"/>
    <w:rsid w:val="00203E0E"/>
    <w:rsid w:val="00204232"/>
    <w:rsid w:val="00205F81"/>
    <w:rsid w:val="002061BE"/>
    <w:rsid w:val="00206876"/>
    <w:rsid w:val="00207251"/>
    <w:rsid w:val="00207E53"/>
    <w:rsid w:val="0021021F"/>
    <w:rsid w:val="002106F5"/>
    <w:rsid w:val="00210922"/>
    <w:rsid w:val="002117A2"/>
    <w:rsid w:val="00211AA5"/>
    <w:rsid w:val="00211BC8"/>
    <w:rsid w:val="00212FA7"/>
    <w:rsid w:val="00213490"/>
    <w:rsid w:val="00213A37"/>
    <w:rsid w:val="002147D7"/>
    <w:rsid w:val="00214865"/>
    <w:rsid w:val="0021573A"/>
    <w:rsid w:val="0021603A"/>
    <w:rsid w:val="00216078"/>
    <w:rsid w:val="002161AE"/>
    <w:rsid w:val="002161CE"/>
    <w:rsid w:val="002166C0"/>
    <w:rsid w:val="00216746"/>
    <w:rsid w:val="0021677C"/>
    <w:rsid w:val="00217082"/>
    <w:rsid w:val="002175C6"/>
    <w:rsid w:val="002203B1"/>
    <w:rsid w:val="002204ED"/>
    <w:rsid w:val="00221059"/>
    <w:rsid w:val="002211BD"/>
    <w:rsid w:val="0022128E"/>
    <w:rsid w:val="00221778"/>
    <w:rsid w:val="00221995"/>
    <w:rsid w:val="002219D1"/>
    <w:rsid w:val="00221A1D"/>
    <w:rsid w:val="00222B3E"/>
    <w:rsid w:val="00223982"/>
    <w:rsid w:val="0022400D"/>
    <w:rsid w:val="002250C9"/>
    <w:rsid w:val="00225536"/>
    <w:rsid w:val="002260B2"/>
    <w:rsid w:val="002262B8"/>
    <w:rsid w:val="00226702"/>
    <w:rsid w:val="002267CA"/>
    <w:rsid w:val="00226ACC"/>
    <w:rsid w:val="00227545"/>
    <w:rsid w:val="00230114"/>
    <w:rsid w:val="00230A22"/>
    <w:rsid w:val="00230B63"/>
    <w:rsid w:val="00230DEA"/>
    <w:rsid w:val="00231147"/>
    <w:rsid w:val="002328D9"/>
    <w:rsid w:val="00232CB0"/>
    <w:rsid w:val="00232D5B"/>
    <w:rsid w:val="00233AAA"/>
    <w:rsid w:val="0023402E"/>
    <w:rsid w:val="0023407C"/>
    <w:rsid w:val="00234ADE"/>
    <w:rsid w:val="002354A6"/>
    <w:rsid w:val="002364B3"/>
    <w:rsid w:val="00236D8C"/>
    <w:rsid w:val="00236E04"/>
    <w:rsid w:val="00237140"/>
    <w:rsid w:val="00237D47"/>
    <w:rsid w:val="00240094"/>
    <w:rsid w:val="002400BD"/>
    <w:rsid w:val="00240104"/>
    <w:rsid w:val="002406B7"/>
    <w:rsid w:val="0024096C"/>
    <w:rsid w:val="00241563"/>
    <w:rsid w:val="00241904"/>
    <w:rsid w:val="00241F1D"/>
    <w:rsid w:val="002421E7"/>
    <w:rsid w:val="0024265F"/>
    <w:rsid w:val="00243446"/>
    <w:rsid w:val="002442E1"/>
    <w:rsid w:val="0024431E"/>
    <w:rsid w:val="00244A9D"/>
    <w:rsid w:val="0024500C"/>
    <w:rsid w:val="00245577"/>
    <w:rsid w:val="0024563A"/>
    <w:rsid w:val="002456E2"/>
    <w:rsid w:val="002459C4"/>
    <w:rsid w:val="00245C29"/>
    <w:rsid w:val="002468D6"/>
    <w:rsid w:val="00246B92"/>
    <w:rsid w:val="00246BB1"/>
    <w:rsid w:val="00246D03"/>
    <w:rsid w:val="00246F14"/>
    <w:rsid w:val="00246F90"/>
    <w:rsid w:val="00247076"/>
    <w:rsid w:val="002473BB"/>
    <w:rsid w:val="00247789"/>
    <w:rsid w:val="0024787C"/>
    <w:rsid w:val="0025005E"/>
    <w:rsid w:val="00250193"/>
    <w:rsid w:val="002504FA"/>
    <w:rsid w:val="002507DA"/>
    <w:rsid w:val="00251253"/>
    <w:rsid w:val="00252868"/>
    <w:rsid w:val="00253A41"/>
    <w:rsid w:val="00254583"/>
    <w:rsid w:val="00254FAB"/>
    <w:rsid w:val="0025575C"/>
    <w:rsid w:val="00256575"/>
    <w:rsid w:val="0025688A"/>
    <w:rsid w:val="00256939"/>
    <w:rsid w:val="00257F4B"/>
    <w:rsid w:val="00261676"/>
    <w:rsid w:val="0026240F"/>
    <w:rsid w:val="0026256F"/>
    <w:rsid w:val="002637D6"/>
    <w:rsid w:val="002637F9"/>
    <w:rsid w:val="0026394B"/>
    <w:rsid w:val="00263995"/>
    <w:rsid w:val="00263DEA"/>
    <w:rsid w:val="00264298"/>
    <w:rsid w:val="00264957"/>
    <w:rsid w:val="00264B72"/>
    <w:rsid w:val="00264D3C"/>
    <w:rsid w:val="00265E56"/>
    <w:rsid w:val="0026619D"/>
    <w:rsid w:val="002674FA"/>
    <w:rsid w:val="00267C57"/>
    <w:rsid w:val="00270506"/>
    <w:rsid w:val="0027092E"/>
    <w:rsid w:val="002709DF"/>
    <w:rsid w:val="00270B63"/>
    <w:rsid w:val="00270DD3"/>
    <w:rsid w:val="00271162"/>
    <w:rsid w:val="00271B4F"/>
    <w:rsid w:val="00272334"/>
    <w:rsid w:val="002727DB"/>
    <w:rsid w:val="00273480"/>
    <w:rsid w:val="002742B8"/>
    <w:rsid w:val="0027431D"/>
    <w:rsid w:val="00274BBD"/>
    <w:rsid w:val="00275041"/>
    <w:rsid w:val="002750CB"/>
    <w:rsid w:val="002758AB"/>
    <w:rsid w:val="00275E30"/>
    <w:rsid w:val="0027733D"/>
    <w:rsid w:val="00277C91"/>
    <w:rsid w:val="00277D42"/>
    <w:rsid w:val="00280669"/>
    <w:rsid w:val="00281084"/>
    <w:rsid w:val="002815B3"/>
    <w:rsid w:val="00281737"/>
    <w:rsid w:val="00281814"/>
    <w:rsid w:val="002818ED"/>
    <w:rsid w:val="00281E82"/>
    <w:rsid w:val="00281FB5"/>
    <w:rsid w:val="00282D81"/>
    <w:rsid w:val="00282F52"/>
    <w:rsid w:val="002840EB"/>
    <w:rsid w:val="00284294"/>
    <w:rsid w:val="0028495C"/>
    <w:rsid w:val="00284FDA"/>
    <w:rsid w:val="00285899"/>
    <w:rsid w:val="00285A7D"/>
    <w:rsid w:val="00285C5A"/>
    <w:rsid w:val="00285F51"/>
    <w:rsid w:val="00286545"/>
    <w:rsid w:val="00286E95"/>
    <w:rsid w:val="0028705A"/>
    <w:rsid w:val="002904F7"/>
    <w:rsid w:val="0029079B"/>
    <w:rsid w:val="00290EBB"/>
    <w:rsid w:val="0029150D"/>
    <w:rsid w:val="002917BD"/>
    <w:rsid w:val="0029213E"/>
    <w:rsid w:val="00292DFC"/>
    <w:rsid w:val="00293C29"/>
    <w:rsid w:val="00293CA4"/>
    <w:rsid w:val="00295302"/>
    <w:rsid w:val="0029550F"/>
    <w:rsid w:val="002971F0"/>
    <w:rsid w:val="00297FA1"/>
    <w:rsid w:val="002A01B0"/>
    <w:rsid w:val="002A0454"/>
    <w:rsid w:val="002A04C8"/>
    <w:rsid w:val="002A0A41"/>
    <w:rsid w:val="002A1032"/>
    <w:rsid w:val="002A1044"/>
    <w:rsid w:val="002A188F"/>
    <w:rsid w:val="002A2035"/>
    <w:rsid w:val="002A2303"/>
    <w:rsid w:val="002A3461"/>
    <w:rsid w:val="002A3B81"/>
    <w:rsid w:val="002A4140"/>
    <w:rsid w:val="002A4466"/>
    <w:rsid w:val="002A45E6"/>
    <w:rsid w:val="002A4BC2"/>
    <w:rsid w:val="002A5470"/>
    <w:rsid w:val="002A5B9E"/>
    <w:rsid w:val="002A5FF4"/>
    <w:rsid w:val="002A602B"/>
    <w:rsid w:val="002A73A3"/>
    <w:rsid w:val="002A7B9C"/>
    <w:rsid w:val="002B12E9"/>
    <w:rsid w:val="002B153D"/>
    <w:rsid w:val="002B1573"/>
    <w:rsid w:val="002B17EF"/>
    <w:rsid w:val="002B18E3"/>
    <w:rsid w:val="002B1DC0"/>
    <w:rsid w:val="002B1F4E"/>
    <w:rsid w:val="002B3CB4"/>
    <w:rsid w:val="002B3DF0"/>
    <w:rsid w:val="002B3F22"/>
    <w:rsid w:val="002B4026"/>
    <w:rsid w:val="002B46B8"/>
    <w:rsid w:val="002B4888"/>
    <w:rsid w:val="002B4D31"/>
    <w:rsid w:val="002B4F11"/>
    <w:rsid w:val="002B520C"/>
    <w:rsid w:val="002B5397"/>
    <w:rsid w:val="002B5F07"/>
    <w:rsid w:val="002B677F"/>
    <w:rsid w:val="002B6F1D"/>
    <w:rsid w:val="002B7D46"/>
    <w:rsid w:val="002C05F8"/>
    <w:rsid w:val="002C0815"/>
    <w:rsid w:val="002C0B12"/>
    <w:rsid w:val="002C1A0B"/>
    <w:rsid w:val="002C1F46"/>
    <w:rsid w:val="002C239E"/>
    <w:rsid w:val="002C2722"/>
    <w:rsid w:val="002C29B5"/>
    <w:rsid w:val="002C2C2F"/>
    <w:rsid w:val="002C44BA"/>
    <w:rsid w:val="002C4A9C"/>
    <w:rsid w:val="002C4EA6"/>
    <w:rsid w:val="002C51D9"/>
    <w:rsid w:val="002C5544"/>
    <w:rsid w:val="002C5A66"/>
    <w:rsid w:val="002C69F3"/>
    <w:rsid w:val="002C6AF2"/>
    <w:rsid w:val="002C6CBA"/>
    <w:rsid w:val="002C704C"/>
    <w:rsid w:val="002C778A"/>
    <w:rsid w:val="002C7B68"/>
    <w:rsid w:val="002D0167"/>
    <w:rsid w:val="002D06D5"/>
    <w:rsid w:val="002D0812"/>
    <w:rsid w:val="002D0BD4"/>
    <w:rsid w:val="002D0D9D"/>
    <w:rsid w:val="002D175E"/>
    <w:rsid w:val="002D1A8D"/>
    <w:rsid w:val="002D23C0"/>
    <w:rsid w:val="002D3593"/>
    <w:rsid w:val="002D36EF"/>
    <w:rsid w:val="002D3DB1"/>
    <w:rsid w:val="002D46A5"/>
    <w:rsid w:val="002D51CF"/>
    <w:rsid w:val="002D5334"/>
    <w:rsid w:val="002D5B8A"/>
    <w:rsid w:val="002D6088"/>
    <w:rsid w:val="002D690F"/>
    <w:rsid w:val="002D7236"/>
    <w:rsid w:val="002D7347"/>
    <w:rsid w:val="002D7C40"/>
    <w:rsid w:val="002E00BD"/>
    <w:rsid w:val="002E03CD"/>
    <w:rsid w:val="002E0A43"/>
    <w:rsid w:val="002E0A74"/>
    <w:rsid w:val="002E0C01"/>
    <w:rsid w:val="002E0E94"/>
    <w:rsid w:val="002E149E"/>
    <w:rsid w:val="002E1587"/>
    <w:rsid w:val="002E17CA"/>
    <w:rsid w:val="002E24F3"/>
    <w:rsid w:val="002E26AF"/>
    <w:rsid w:val="002E2C51"/>
    <w:rsid w:val="002E2E0C"/>
    <w:rsid w:val="002E33BF"/>
    <w:rsid w:val="002E53B7"/>
    <w:rsid w:val="002E59CE"/>
    <w:rsid w:val="002E67E6"/>
    <w:rsid w:val="002E791D"/>
    <w:rsid w:val="002F012D"/>
    <w:rsid w:val="002F06E1"/>
    <w:rsid w:val="002F1170"/>
    <w:rsid w:val="002F2151"/>
    <w:rsid w:val="002F2A33"/>
    <w:rsid w:val="002F38E1"/>
    <w:rsid w:val="002F4140"/>
    <w:rsid w:val="002F4742"/>
    <w:rsid w:val="002F4A08"/>
    <w:rsid w:val="002F4B3F"/>
    <w:rsid w:val="002F5371"/>
    <w:rsid w:val="002F5DFB"/>
    <w:rsid w:val="002F6461"/>
    <w:rsid w:val="002F6569"/>
    <w:rsid w:val="002F694F"/>
    <w:rsid w:val="002F7165"/>
    <w:rsid w:val="002F71A7"/>
    <w:rsid w:val="002F7495"/>
    <w:rsid w:val="002F767F"/>
    <w:rsid w:val="002F7A31"/>
    <w:rsid w:val="002F7BEC"/>
    <w:rsid w:val="002F7D19"/>
    <w:rsid w:val="00300518"/>
    <w:rsid w:val="00300796"/>
    <w:rsid w:val="00300A73"/>
    <w:rsid w:val="00300F1E"/>
    <w:rsid w:val="003012DA"/>
    <w:rsid w:val="003021DA"/>
    <w:rsid w:val="00302556"/>
    <w:rsid w:val="0030268C"/>
    <w:rsid w:val="00302B3C"/>
    <w:rsid w:val="00303120"/>
    <w:rsid w:val="0030339E"/>
    <w:rsid w:val="00303418"/>
    <w:rsid w:val="0030367C"/>
    <w:rsid w:val="00303C86"/>
    <w:rsid w:val="003042BB"/>
    <w:rsid w:val="003043A7"/>
    <w:rsid w:val="003044FD"/>
    <w:rsid w:val="00304552"/>
    <w:rsid w:val="00304AA6"/>
    <w:rsid w:val="00304B3B"/>
    <w:rsid w:val="00304C24"/>
    <w:rsid w:val="00304C2C"/>
    <w:rsid w:val="00304CBE"/>
    <w:rsid w:val="003053FB"/>
    <w:rsid w:val="00305903"/>
    <w:rsid w:val="00305B10"/>
    <w:rsid w:val="003060FC"/>
    <w:rsid w:val="003067C9"/>
    <w:rsid w:val="00306A78"/>
    <w:rsid w:val="00307131"/>
    <w:rsid w:val="003073EC"/>
    <w:rsid w:val="00307CEA"/>
    <w:rsid w:val="0031026E"/>
    <w:rsid w:val="003114F1"/>
    <w:rsid w:val="00311F97"/>
    <w:rsid w:val="00312039"/>
    <w:rsid w:val="003126E8"/>
    <w:rsid w:val="00312B8D"/>
    <w:rsid w:val="00312F51"/>
    <w:rsid w:val="0031305A"/>
    <w:rsid w:val="0031368F"/>
    <w:rsid w:val="00313ADD"/>
    <w:rsid w:val="003146A7"/>
    <w:rsid w:val="003146C5"/>
    <w:rsid w:val="00315D02"/>
    <w:rsid w:val="003162E5"/>
    <w:rsid w:val="003166CD"/>
    <w:rsid w:val="00316D98"/>
    <w:rsid w:val="00316EEA"/>
    <w:rsid w:val="00317170"/>
    <w:rsid w:val="003174E2"/>
    <w:rsid w:val="00317949"/>
    <w:rsid w:val="00317E7B"/>
    <w:rsid w:val="00320E4F"/>
    <w:rsid w:val="00321099"/>
    <w:rsid w:val="0032161D"/>
    <w:rsid w:val="003216FB"/>
    <w:rsid w:val="00321CFA"/>
    <w:rsid w:val="00322955"/>
    <w:rsid w:val="00323408"/>
    <w:rsid w:val="00323C21"/>
    <w:rsid w:val="00323FAB"/>
    <w:rsid w:val="00324156"/>
    <w:rsid w:val="003243C4"/>
    <w:rsid w:val="00324AFA"/>
    <w:rsid w:val="00324B45"/>
    <w:rsid w:val="00326947"/>
    <w:rsid w:val="0032715E"/>
    <w:rsid w:val="003273C7"/>
    <w:rsid w:val="00327A92"/>
    <w:rsid w:val="003315E7"/>
    <w:rsid w:val="00331FC1"/>
    <w:rsid w:val="00332313"/>
    <w:rsid w:val="003343E6"/>
    <w:rsid w:val="00335468"/>
    <w:rsid w:val="00335D6F"/>
    <w:rsid w:val="003363CF"/>
    <w:rsid w:val="003364EE"/>
    <w:rsid w:val="003367A7"/>
    <w:rsid w:val="003367D2"/>
    <w:rsid w:val="00336CC4"/>
    <w:rsid w:val="00337889"/>
    <w:rsid w:val="00337FCC"/>
    <w:rsid w:val="00340544"/>
    <w:rsid w:val="00340B55"/>
    <w:rsid w:val="00340DBF"/>
    <w:rsid w:val="003419D6"/>
    <w:rsid w:val="00341E44"/>
    <w:rsid w:val="003436DD"/>
    <w:rsid w:val="00344612"/>
    <w:rsid w:val="00344D87"/>
    <w:rsid w:val="00344EAD"/>
    <w:rsid w:val="00345562"/>
    <w:rsid w:val="003470F4"/>
    <w:rsid w:val="003471CB"/>
    <w:rsid w:val="00347698"/>
    <w:rsid w:val="0035029A"/>
    <w:rsid w:val="0035079D"/>
    <w:rsid w:val="003508C9"/>
    <w:rsid w:val="003511C2"/>
    <w:rsid w:val="0035139B"/>
    <w:rsid w:val="0035234F"/>
    <w:rsid w:val="00352413"/>
    <w:rsid w:val="003525BC"/>
    <w:rsid w:val="00352B1A"/>
    <w:rsid w:val="003542B6"/>
    <w:rsid w:val="003542D7"/>
    <w:rsid w:val="00354997"/>
    <w:rsid w:val="00356282"/>
    <w:rsid w:val="00356460"/>
    <w:rsid w:val="00356933"/>
    <w:rsid w:val="00356B61"/>
    <w:rsid w:val="0035776C"/>
    <w:rsid w:val="00360170"/>
    <w:rsid w:val="003603DB"/>
    <w:rsid w:val="00360ADA"/>
    <w:rsid w:val="00361BFD"/>
    <w:rsid w:val="0036223E"/>
    <w:rsid w:val="00362676"/>
    <w:rsid w:val="00362E78"/>
    <w:rsid w:val="003639CB"/>
    <w:rsid w:val="00363A29"/>
    <w:rsid w:val="0036484F"/>
    <w:rsid w:val="0036494E"/>
    <w:rsid w:val="00364F70"/>
    <w:rsid w:val="003655ED"/>
    <w:rsid w:val="00365D85"/>
    <w:rsid w:val="00366C7B"/>
    <w:rsid w:val="00366DD0"/>
    <w:rsid w:val="00367162"/>
    <w:rsid w:val="0036753E"/>
    <w:rsid w:val="00367860"/>
    <w:rsid w:val="00370638"/>
    <w:rsid w:val="00370CED"/>
    <w:rsid w:val="00371442"/>
    <w:rsid w:val="00372138"/>
    <w:rsid w:val="00372354"/>
    <w:rsid w:val="00372A66"/>
    <w:rsid w:val="00372DD2"/>
    <w:rsid w:val="00373902"/>
    <w:rsid w:val="00373B5D"/>
    <w:rsid w:val="00373C66"/>
    <w:rsid w:val="00374642"/>
    <w:rsid w:val="00375532"/>
    <w:rsid w:val="00375AC4"/>
    <w:rsid w:val="0037644A"/>
    <w:rsid w:val="00376B7E"/>
    <w:rsid w:val="00377653"/>
    <w:rsid w:val="0037770B"/>
    <w:rsid w:val="00380CC0"/>
    <w:rsid w:val="00380D46"/>
    <w:rsid w:val="00380F06"/>
    <w:rsid w:val="00381215"/>
    <w:rsid w:val="0038171A"/>
    <w:rsid w:val="00382101"/>
    <w:rsid w:val="003821CE"/>
    <w:rsid w:val="00383AB9"/>
    <w:rsid w:val="00383B8A"/>
    <w:rsid w:val="00384018"/>
    <w:rsid w:val="003852EF"/>
    <w:rsid w:val="00385D38"/>
    <w:rsid w:val="003866B2"/>
    <w:rsid w:val="00386811"/>
    <w:rsid w:val="00386C72"/>
    <w:rsid w:val="00387643"/>
    <w:rsid w:val="003876F6"/>
    <w:rsid w:val="00387BE6"/>
    <w:rsid w:val="00387CB0"/>
    <w:rsid w:val="00390B02"/>
    <w:rsid w:val="00391E6F"/>
    <w:rsid w:val="00392CED"/>
    <w:rsid w:val="00392E97"/>
    <w:rsid w:val="0039301C"/>
    <w:rsid w:val="0039351B"/>
    <w:rsid w:val="0039390B"/>
    <w:rsid w:val="00393EE4"/>
    <w:rsid w:val="00393F1E"/>
    <w:rsid w:val="003959A3"/>
    <w:rsid w:val="00395ABE"/>
    <w:rsid w:val="00396260"/>
    <w:rsid w:val="003962F4"/>
    <w:rsid w:val="0039635D"/>
    <w:rsid w:val="00397BCB"/>
    <w:rsid w:val="003A0C38"/>
    <w:rsid w:val="003A0F2C"/>
    <w:rsid w:val="003A24CC"/>
    <w:rsid w:val="003A3176"/>
    <w:rsid w:val="003A3A79"/>
    <w:rsid w:val="003A3C08"/>
    <w:rsid w:val="003A3CC3"/>
    <w:rsid w:val="003A3DF4"/>
    <w:rsid w:val="003A4BF2"/>
    <w:rsid w:val="003A5685"/>
    <w:rsid w:val="003A5730"/>
    <w:rsid w:val="003A5C0E"/>
    <w:rsid w:val="003A7CF0"/>
    <w:rsid w:val="003A7D12"/>
    <w:rsid w:val="003A7EAE"/>
    <w:rsid w:val="003B0365"/>
    <w:rsid w:val="003B07AC"/>
    <w:rsid w:val="003B086F"/>
    <w:rsid w:val="003B0E09"/>
    <w:rsid w:val="003B149A"/>
    <w:rsid w:val="003B1AE9"/>
    <w:rsid w:val="003B224C"/>
    <w:rsid w:val="003B2479"/>
    <w:rsid w:val="003B267B"/>
    <w:rsid w:val="003B2C27"/>
    <w:rsid w:val="003B3E07"/>
    <w:rsid w:val="003B4D47"/>
    <w:rsid w:val="003B5202"/>
    <w:rsid w:val="003B5BFC"/>
    <w:rsid w:val="003B5CB1"/>
    <w:rsid w:val="003B6072"/>
    <w:rsid w:val="003B66A8"/>
    <w:rsid w:val="003B7159"/>
    <w:rsid w:val="003B731A"/>
    <w:rsid w:val="003B7697"/>
    <w:rsid w:val="003B7D6B"/>
    <w:rsid w:val="003B7DA6"/>
    <w:rsid w:val="003C0531"/>
    <w:rsid w:val="003C11DB"/>
    <w:rsid w:val="003C151E"/>
    <w:rsid w:val="003C2154"/>
    <w:rsid w:val="003C21A7"/>
    <w:rsid w:val="003C2474"/>
    <w:rsid w:val="003C25EA"/>
    <w:rsid w:val="003C2874"/>
    <w:rsid w:val="003C2CB2"/>
    <w:rsid w:val="003C300E"/>
    <w:rsid w:val="003C348C"/>
    <w:rsid w:val="003C3A8B"/>
    <w:rsid w:val="003C46D1"/>
    <w:rsid w:val="003C478D"/>
    <w:rsid w:val="003C4884"/>
    <w:rsid w:val="003C522E"/>
    <w:rsid w:val="003C5F80"/>
    <w:rsid w:val="003C7127"/>
    <w:rsid w:val="003C76B5"/>
    <w:rsid w:val="003C785D"/>
    <w:rsid w:val="003C7EB6"/>
    <w:rsid w:val="003D0559"/>
    <w:rsid w:val="003D08A2"/>
    <w:rsid w:val="003D16A5"/>
    <w:rsid w:val="003D1F6E"/>
    <w:rsid w:val="003D2047"/>
    <w:rsid w:val="003D275F"/>
    <w:rsid w:val="003D2AB9"/>
    <w:rsid w:val="003D2B5F"/>
    <w:rsid w:val="003D37B0"/>
    <w:rsid w:val="003D4284"/>
    <w:rsid w:val="003D46FA"/>
    <w:rsid w:val="003D4A2F"/>
    <w:rsid w:val="003D4C9A"/>
    <w:rsid w:val="003D58E4"/>
    <w:rsid w:val="003D5D70"/>
    <w:rsid w:val="003D6045"/>
    <w:rsid w:val="003D61DB"/>
    <w:rsid w:val="003D722F"/>
    <w:rsid w:val="003D7873"/>
    <w:rsid w:val="003D78AA"/>
    <w:rsid w:val="003E08E4"/>
    <w:rsid w:val="003E1650"/>
    <w:rsid w:val="003E16F2"/>
    <w:rsid w:val="003E1C2C"/>
    <w:rsid w:val="003E1F52"/>
    <w:rsid w:val="003E2AEC"/>
    <w:rsid w:val="003E36E3"/>
    <w:rsid w:val="003E3B53"/>
    <w:rsid w:val="003E3C92"/>
    <w:rsid w:val="003E3F4C"/>
    <w:rsid w:val="003E4886"/>
    <w:rsid w:val="003E5683"/>
    <w:rsid w:val="003E5706"/>
    <w:rsid w:val="003E57D2"/>
    <w:rsid w:val="003E5FC6"/>
    <w:rsid w:val="003E636A"/>
    <w:rsid w:val="003E64DB"/>
    <w:rsid w:val="003E6D04"/>
    <w:rsid w:val="003E6D3F"/>
    <w:rsid w:val="003E7C81"/>
    <w:rsid w:val="003F087B"/>
    <w:rsid w:val="003F158E"/>
    <w:rsid w:val="003F1C3D"/>
    <w:rsid w:val="003F24BD"/>
    <w:rsid w:val="003F260B"/>
    <w:rsid w:val="003F2C06"/>
    <w:rsid w:val="003F2C7B"/>
    <w:rsid w:val="003F30D4"/>
    <w:rsid w:val="003F3214"/>
    <w:rsid w:val="003F3548"/>
    <w:rsid w:val="003F35CF"/>
    <w:rsid w:val="003F361D"/>
    <w:rsid w:val="003F3E13"/>
    <w:rsid w:val="003F405E"/>
    <w:rsid w:val="003F408E"/>
    <w:rsid w:val="003F41A7"/>
    <w:rsid w:val="003F443E"/>
    <w:rsid w:val="003F46DC"/>
    <w:rsid w:val="003F589E"/>
    <w:rsid w:val="003F5BF1"/>
    <w:rsid w:val="003F5CEE"/>
    <w:rsid w:val="003F68B0"/>
    <w:rsid w:val="003F731D"/>
    <w:rsid w:val="003F7461"/>
    <w:rsid w:val="003F759D"/>
    <w:rsid w:val="003F7AA6"/>
    <w:rsid w:val="003F7D2A"/>
    <w:rsid w:val="003F7F09"/>
    <w:rsid w:val="0040072F"/>
    <w:rsid w:val="00400B1F"/>
    <w:rsid w:val="004017D3"/>
    <w:rsid w:val="004022C6"/>
    <w:rsid w:val="00402601"/>
    <w:rsid w:val="00402690"/>
    <w:rsid w:val="004029DE"/>
    <w:rsid w:val="00403629"/>
    <w:rsid w:val="00403BFA"/>
    <w:rsid w:val="00403E1E"/>
    <w:rsid w:val="0040416A"/>
    <w:rsid w:val="0040520B"/>
    <w:rsid w:val="00405400"/>
    <w:rsid w:val="0040553E"/>
    <w:rsid w:val="00405562"/>
    <w:rsid w:val="00405716"/>
    <w:rsid w:val="00410CD3"/>
    <w:rsid w:val="00411711"/>
    <w:rsid w:val="00411E50"/>
    <w:rsid w:val="00411F8A"/>
    <w:rsid w:val="004121AB"/>
    <w:rsid w:val="00412376"/>
    <w:rsid w:val="00413020"/>
    <w:rsid w:val="0041358B"/>
    <w:rsid w:val="004137C6"/>
    <w:rsid w:val="00413AA4"/>
    <w:rsid w:val="00414417"/>
    <w:rsid w:val="00414AA9"/>
    <w:rsid w:val="00415619"/>
    <w:rsid w:val="0041633D"/>
    <w:rsid w:val="00416F30"/>
    <w:rsid w:val="004178E1"/>
    <w:rsid w:val="00417F14"/>
    <w:rsid w:val="00417FCB"/>
    <w:rsid w:val="0042013D"/>
    <w:rsid w:val="00421050"/>
    <w:rsid w:val="00421FB6"/>
    <w:rsid w:val="0042323D"/>
    <w:rsid w:val="00423993"/>
    <w:rsid w:val="00423F20"/>
    <w:rsid w:val="0042563A"/>
    <w:rsid w:val="004259B8"/>
    <w:rsid w:val="0042634C"/>
    <w:rsid w:val="0042657D"/>
    <w:rsid w:val="004265EB"/>
    <w:rsid w:val="00426D8D"/>
    <w:rsid w:val="00427043"/>
    <w:rsid w:val="004272DF"/>
    <w:rsid w:val="004273B8"/>
    <w:rsid w:val="00427775"/>
    <w:rsid w:val="004278A8"/>
    <w:rsid w:val="00427B76"/>
    <w:rsid w:val="00427D12"/>
    <w:rsid w:val="00427F27"/>
    <w:rsid w:val="004304A9"/>
    <w:rsid w:val="004304B3"/>
    <w:rsid w:val="004307E0"/>
    <w:rsid w:val="00430872"/>
    <w:rsid w:val="00431532"/>
    <w:rsid w:val="004324DC"/>
    <w:rsid w:val="00432E81"/>
    <w:rsid w:val="00432ED4"/>
    <w:rsid w:val="004331E6"/>
    <w:rsid w:val="004335D3"/>
    <w:rsid w:val="0043368B"/>
    <w:rsid w:val="00433CA2"/>
    <w:rsid w:val="0043431A"/>
    <w:rsid w:val="00434841"/>
    <w:rsid w:val="004348CF"/>
    <w:rsid w:val="00434D25"/>
    <w:rsid w:val="004360B1"/>
    <w:rsid w:val="00436283"/>
    <w:rsid w:val="004370CA"/>
    <w:rsid w:val="0043742D"/>
    <w:rsid w:val="004374CB"/>
    <w:rsid w:val="00440481"/>
    <w:rsid w:val="00442237"/>
    <w:rsid w:val="004433DF"/>
    <w:rsid w:val="00444654"/>
    <w:rsid w:val="004456D7"/>
    <w:rsid w:val="00445A24"/>
    <w:rsid w:val="00445B73"/>
    <w:rsid w:val="004462EF"/>
    <w:rsid w:val="00446B85"/>
    <w:rsid w:val="00447AC0"/>
    <w:rsid w:val="00447C0D"/>
    <w:rsid w:val="0045053F"/>
    <w:rsid w:val="00450DB9"/>
    <w:rsid w:val="00450FF8"/>
    <w:rsid w:val="004513C5"/>
    <w:rsid w:val="0045188A"/>
    <w:rsid w:val="00451E3D"/>
    <w:rsid w:val="00452459"/>
    <w:rsid w:val="00452B2C"/>
    <w:rsid w:val="00452EFA"/>
    <w:rsid w:val="0045395B"/>
    <w:rsid w:val="00454175"/>
    <w:rsid w:val="00454E83"/>
    <w:rsid w:val="004553FC"/>
    <w:rsid w:val="00455636"/>
    <w:rsid w:val="00455A88"/>
    <w:rsid w:val="00455DCD"/>
    <w:rsid w:val="004568DE"/>
    <w:rsid w:val="00456D15"/>
    <w:rsid w:val="00457AEA"/>
    <w:rsid w:val="0046044D"/>
    <w:rsid w:val="00460528"/>
    <w:rsid w:val="00460DA6"/>
    <w:rsid w:val="00461B1F"/>
    <w:rsid w:val="00461C14"/>
    <w:rsid w:val="00461F00"/>
    <w:rsid w:val="00462237"/>
    <w:rsid w:val="00463114"/>
    <w:rsid w:val="004631B8"/>
    <w:rsid w:val="004660D5"/>
    <w:rsid w:val="004668B4"/>
    <w:rsid w:val="0046711C"/>
    <w:rsid w:val="004671A9"/>
    <w:rsid w:val="00467E76"/>
    <w:rsid w:val="0047188A"/>
    <w:rsid w:val="004724E5"/>
    <w:rsid w:val="0047293E"/>
    <w:rsid w:val="00472C95"/>
    <w:rsid w:val="00472DA5"/>
    <w:rsid w:val="004737AC"/>
    <w:rsid w:val="0047383E"/>
    <w:rsid w:val="0047538E"/>
    <w:rsid w:val="0047542A"/>
    <w:rsid w:val="0047576B"/>
    <w:rsid w:val="00475F2D"/>
    <w:rsid w:val="00476069"/>
    <w:rsid w:val="004764F8"/>
    <w:rsid w:val="004768EC"/>
    <w:rsid w:val="00476AFC"/>
    <w:rsid w:val="004773B0"/>
    <w:rsid w:val="004777C0"/>
    <w:rsid w:val="0047796C"/>
    <w:rsid w:val="00477CEB"/>
    <w:rsid w:val="004801A2"/>
    <w:rsid w:val="00481ADB"/>
    <w:rsid w:val="00481D0F"/>
    <w:rsid w:val="00481E58"/>
    <w:rsid w:val="00482247"/>
    <w:rsid w:val="004823E1"/>
    <w:rsid w:val="00482593"/>
    <w:rsid w:val="00482AFC"/>
    <w:rsid w:val="00483595"/>
    <w:rsid w:val="00483631"/>
    <w:rsid w:val="004843A6"/>
    <w:rsid w:val="0048546C"/>
    <w:rsid w:val="0048593B"/>
    <w:rsid w:val="0048679E"/>
    <w:rsid w:val="00486F1F"/>
    <w:rsid w:val="00487B2C"/>
    <w:rsid w:val="0049145B"/>
    <w:rsid w:val="00491A3D"/>
    <w:rsid w:val="00491BD0"/>
    <w:rsid w:val="0049200D"/>
    <w:rsid w:val="00492019"/>
    <w:rsid w:val="0049214B"/>
    <w:rsid w:val="0049251B"/>
    <w:rsid w:val="00493697"/>
    <w:rsid w:val="004936AF"/>
    <w:rsid w:val="00494FA9"/>
    <w:rsid w:val="004950D9"/>
    <w:rsid w:val="00495EDC"/>
    <w:rsid w:val="004961A9"/>
    <w:rsid w:val="00496641"/>
    <w:rsid w:val="00496BC7"/>
    <w:rsid w:val="00496E0E"/>
    <w:rsid w:val="00496F1C"/>
    <w:rsid w:val="004976B8"/>
    <w:rsid w:val="00497ABA"/>
    <w:rsid w:val="004A00B6"/>
    <w:rsid w:val="004A040D"/>
    <w:rsid w:val="004A0D87"/>
    <w:rsid w:val="004A19B5"/>
    <w:rsid w:val="004A1FCA"/>
    <w:rsid w:val="004A2E8B"/>
    <w:rsid w:val="004A3C55"/>
    <w:rsid w:val="004A42E8"/>
    <w:rsid w:val="004A46A5"/>
    <w:rsid w:val="004A47AA"/>
    <w:rsid w:val="004A48AD"/>
    <w:rsid w:val="004A4FF7"/>
    <w:rsid w:val="004A610B"/>
    <w:rsid w:val="004A6E03"/>
    <w:rsid w:val="004A7610"/>
    <w:rsid w:val="004A798C"/>
    <w:rsid w:val="004A7A0C"/>
    <w:rsid w:val="004A7FE4"/>
    <w:rsid w:val="004B0E8E"/>
    <w:rsid w:val="004B1043"/>
    <w:rsid w:val="004B1347"/>
    <w:rsid w:val="004B1679"/>
    <w:rsid w:val="004B1940"/>
    <w:rsid w:val="004B1D07"/>
    <w:rsid w:val="004B1DDD"/>
    <w:rsid w:val="004B246B"/>
    <w:rsid w:val="004B25F2"/>
    <w:rsid w:val="004B2C98"/>
    <w:rsid w:val="004B3AF1"/>
    <w:rsid w:val="004B4171"/>
    <w:rsid w:val="004B47E0"/>
    <w:rsid w:val="004B5284"/>
    <w:rsid w:val="004B587F"/>
    <w:rsid w:val="004B6493"/>
    <w:rsid w:val="004B6AE4"/>
    <w:rsid w:val="004B6DDE"/>
    <w:rsid w:val="004B6E48"/>
    <w:rsid w:val="004B70D0"/>
    <w:rsid w:val="004B7262"/>
    <w:rsid w:val="004B7EFC"/>
    <w:rsid w:val="004B7F15"/>
    <w:rsid w:val="004C044D"/>
    <w:rsid w:val="004C0AF3"/>
    <w:rsid w:val="004C0BB4"/>
    <w:rsid w:val="004C207F"/>
    <w:rsid w:val="004C20D8"/>
    <w:rsid w:val="004C2532"/>
    <w:rsid w:val="004C2611"/>
    <w:rsid w:val="004C3286"/>
    <w:rsid w:val="004C3A56"/>
    <w:rsid w:val="004C4756"/>
    <w:rsid w:val="004C4971"/>
    <w:rsid w:val="004C4EE8"/>
    <w:rsid w:val="004C50BB"/>
    <w:rsid w:val="004C590F"/>
    <w:rsid w:val="004C61AC"/>
    <w:rsid w:val="004C7630"/>
    <w:rsid w:val="004C77C6"/>
    <w:rsid w:val="004C7AA9"/>
    <w:rsid w:val="004C7C16"/>
    <w:rsid w:val="004D0187"/>
    <w:rsid w:val="004D0B80"/>
    <w:rsid w:val="004D2193"/>
    <w:rsid w:val="004D29E5"/>
    <w:rsid w:val="004D311F"/>
    <w:rsid w:val="004D3275"/>
    <w:rsid w:val="004D32D3"/>
    <w:rsid w:val="004D35C8"/>
    <w:rsid w:val="004D4254"/>
    <w:rsid w:val="004D515A"/>
    <w:rsid w:val="004D5C87"/>
    <w:rsid w:val="004D6193"/>
    <w:rsid w:val="004D6263"/>
    <w:rsid w:val="004D66C4"/>
    <w:rsid w:val="004D6DF4"/>
    <w:rsid w:val="004D7513"/>
    <w:rsid w:val="004D756A"/>
    <w:rsid w:val="004D76DC"/>
    <w:rsid w:val="004D7782"/>
    <w:rsid w:val="004D7A17"/>
    <w:rsid w:val="004E0287"/>
    <w:rsid w:val="004E0300"/>
    <w:rsid w:val="004E0492"/>
    <w:rsid w:val="004E10B2"/>
    <w:rsid w:val="004E1C52"/>
    <w:rsid w:val="004E2252"/>
    <w:rsid w:val="004E2744"/>
    <w:rsid w:val="004E2C87"/>
    <w:rsid w:val="004E2E77"/>
    <w:rsid w:val="004E35E8"/>
    <w:rsid w:val="004E3657"/>
    <w:rsid w:val="004E369D"/>
    <w:rsid w:val="004E36C6"/>
    <w:rsid w:val="004E3736"/>
    <w:rsid w:val="004E3738"/>
    <w:rsid w:val="004E3AA0"/>
    <w:rsid w:val="004E440D"/>
    <w:rsid w:val="004E4B0C"/>
    <w:rsid w:val="004E4C7D"/>
    <w:rsid w:val="004E5750"/>
    <w:rsid w:val="004E5CAF"/>
    <w:rsid w:val="004E6566"/>
    <w:rsid w:val="004E67CA"/>
    <w:rsid w:val="004E6AB2"/>
    <w:rsid w:val="004E70ED"/>
    <w:rsid w:val="004E7178"/>
    <w:rsid w:val="004E717D"/>
    <w:rsid w:val="004E771E"/>
    <w:rsid w:val="004E7C7F"/>
    <w:rsid w:val="004F07C6"/>
    <w:rsid w:val="004F0C33"/>
    <w:rsid w:val="004F234D"/>
    <w:rsid w:val="004F2A8C"/>
    <w:rsid w:val="004F2EA7"/>
    <w:rsid w:val="004F30CB"/>
    <w:rsid w:val="004F3333"/>
    <w:rsid w:val="004F33DD"/>
    <w:rsid w:val="004F41EA"/>
    <w:rsid w:val="004F42D1"/>
    <w:rsid w:val="004F4C2C"/>
    <w:rsid w:val="004F4DC2"/>
    <w:rsid w:val="004F54DC"/>
    <w:rsid w:val="004F5DEE"/>
    <w:rsid w:val="004F7753"/>
    <w:rsid w:val="005006C3"/>
    <w:rsid w:val="005007D0"/>
    <w:rsid w:val="0050142D"/>
    <w:rsid w:val="005017D2"/>
    <w:rsid w:val="005018E5"/>
    <w:rsid w:val="00501F95"/>
    <w:rsid w:val="00502788"/>
    <w:rsid w:val="00503544"/>
    <w:rsid w:val="00503E7B"/>
    <w:rsid w:val="00505106"/>
    <w:rsid w:val="00505449"/>
    <w:rsid w:val="0050567F"/>
    <w:rsid w:val="00506042"/>
    <w:rsid w:val="005073C7"/>
    <w:rsid w:val="005100CA"/>
    <w:rsid w:val="00510657"/>
    <w:rsid w:val="00510EB0"/>
    <w:rsid w:val="005119C5"/>
    <w:rsid w:val="00511B7E"/>
    <w:rsid w:val="00512373"/>
    <w:rsid w:val="00512481"/>
    <w:rsid w:val="005129F3"/>
    <w:rsid w:val="00512CC5"/>
    <w:rsid w:val="00512FD1"/>
    <w:rsid w:val="0051362E"/>
    <w:rsid w:val="00513EB5"/>
    <w:rsid w:val="00514FE7"/>
    <w:rsid w:val="00515AF9"/>
    <w:rsid w:val="005160C1"/>
    <w:rsid w:val="00516370"/>
    <w:rsid w:val="00516D89"/>
    <w:rsid w:val="00516EF1"/>
    <w:rsid w:val="0052024F"/>
    <w:rsid w:val="005206B3"/>
    <w:rsid w:val="00521384"/>
    <w:rsid w:val="005222C7"/>
    <w:rsid w:val="00522692"/>
    <w:rsid w:val="00523863"/>
    <w:rsid w:val="00523AF9"/>
    <w:rsid w:val="00523C76"/>
    <w:rsid w:val="00523C7C"/>
    <w:rsid w:val="00524168"/>
    <w:rsid w:val="00524D39"/>
    <w:rsid w:val="00524E18"/>
    <w:rsid w:val="005256A3"/>
    <w:rsid w:val="0052749F"/>
    <w:rsid w:val="00527648"/>
    <w:rsid w:val="00530748"/>
    <w:rsid w:val="00530DFD"/>
    <w:rsid w:val="00531A6A"/>
    <w:rsid w:val="00532054"/>
    <w:rsid w:val="00532320"/>
    <w:rsid w:val="005325AD"/>
    <w:rsid w:val="00532E0A"/>
    <w:rsid w:val="0053321F"/>
    <w:rsid w:val="0053349D"/>
    <w:rsid w:val="005336D5"/>
    <w:rsid w:val="00533FE1"/>
    <w:rsid w:val="00534422"/>
    <w:rsid w:val="0053516D"/>
    <w:rsid w:val="005355F4"/>
    <w:rsid w:val="00535CC5"/>
    <w:rsid w:val="00535DC2"/>
    <w:rsid w:val="00536B3A"/>
    <w:rsid w:val="00536E28"/>
    <w:rsid w:val="0053719D"/>
    <w:rsid w:val="00537222"/>
    <w:rsid w:val="00537259"/>
    <w:rsid w:val="00537483"/>
    <w:rsid w:val="005374D9"/>
    <w:rsid w:val="005376EF"/>
    <w:rsid w:val="00537B95"/>
    <w:rsid w:val="00537FC8"/>
    <w:rsid w:val="005400A4"/>
    <w:rsid w:val="00540495"/>
    <w:rsid w:val="00540E1B"/>
    <w:rsid w:val="00540FF4"/>
    <w:rsid w:val="0054110C"/>
    <w:rsid w:val="00541197"/>
    <w:rsid w:val="005415C1"/>
    <w:rsid w:val="00541BD5"/>
    <w:rsid w:val="00541C83"/>
    <w:rsid w:val="00542788"/>
    <w:rsid w:val="0054293B"/>
    <w:rsid w:val="00545179"/>
    <w:rsid w:val="00545B4D"/>
    <w:rsid w:val="005462FE"/>
    <w:rsid w:val="00546423"/>
    <w:rsid w:val="0054645E"/>
    <w:rsid w:val="00546D08"/>
    <w:rsid w:val="00546EB2"/>
    <w:rsid w:val="005470FC"/>
    <w:rsid w:val="00547D21"/>
    <w:rsid w:val="00547E47"/>
    <w:rsid w:val="0055029F"/>
    <w:rsid w:val="0055051C"/>
    <w:rsid w:val="0055081E"/>
    <w:rsid w:val="00550B10"/>
    <w:rsid w:val="00550CA5"/>
    <w:rsid w:val="00551022"/>
    <w:rsid w:val="0055117D"/>
    <w:rsid w:val="00551192"/>
    <w:rsid w:val="00551621"/>
    <w:rsid w:val="0055227B"/>
    <w:rsid w:val="0055229E"/>
    <w:rsid w:val="0055277E"/>
    <w:rsid w:val="005529D9"/>
    <w:rsid w:val="005531E6"/>
    <w:rsid w:val="0055358D"/>
    <w:rsid w:val="00553710"/>
    <w:rsid w:val="005539BD"/>
    <w:rsid w:val="00553EF0"/>
    <w:rsid w:val="00553F8B"/>
    <w:rsid w:val="005544CA"/>
    <w:rsid w:val="00554627"/>
    <w:rsid w:val="00554988"/>
    <w:rsid w:val="00554EE7"/>
    <w:rsid w:val="0055598B"/>
    <w:rsid w:val="0056028B"/>
    <w:rsid w:val="0056066F"/>
    <w:rsid w:val="00560860"/>
    <w:rsid w:val="0056098F"/>
    <w:rsid w:val="00560A5B"/>
    <w:rsid w:val="00560B6F"/>
    <w:rsid w:val="005615DC"/>
    <w:rsid w:val="00562158"/>
    <w:rsid w:val="0056254D"/>
    <w:rsid w:val="005626B5"/>
    <w:rsid w:val="005626F9"/>
    <w:rsid w:val="005641D8"/>
    <w:rsid w:val="005642F1"/>
    <w:rsid w:val="005643A6"/>
    <w:rsid w:val="0056507F"/>
    <w:rsid w:val="0056532F"/>
    <w:rsid w:val="00565FA3"/>
    <w:rsid w:val="00566305"/>
    <w:rsid w:val="00567178"/>
    <w:rsid w:val="00567A3F"/>
    <w:rsid w:val="00570214"/>
    <w:rsid w:val="00570A33"/>
    <w:rsid w:val="00571681"/>
    <w:rsid w:val="005720B8"/>
    <w:rsid w:val="00572AF1"/>
    <w:rsid w:val="005736CC"/>
    <w:rsid w:val="00573C2B"/>
    <w:rsid w:val="00575099"/>
    <w:rsid w:val="00575479"/>
    <w:rsid w:val="0057588D"/>
    <w:rsid w:val="00576803"/>
    <w:rsid w:val="0057684E"/>
    <w:rsid w:val="00576B12"/>
    <w:rsid w:val="0057765E"/>
    <w:rsid w:val="0057771B"/>
    <w:rsid w:val="00577861"/>
    <w:rsid w:val="00580BFA"/>
    <w:rsid w:val="00580C3D"/>
    <w:rsid w:val="005811EF"/>
    <w:rsid w:val="00581457"/>
    <w:rsid w:val="00581496"/>
    <w:rsid w:val="00581697"/>
    <w:rsid w:val="0058197E"/>
    <w:rsid w:val="00582F80"/>
    <w:rsid w:val="00583589"/>
    <w:rsid w:val="00584F33"/>
    <w:rsid w:val="00585208"/>
    <w:rsid w:val="0058553B"/>
    <w:rsid w:val="005869E0"/>
    <w:rsid w:val="005871DC"/>
    <w:rsid w:val="00587AE7"/>
    <w:rsid w:val="00590023"/>
    <w:rsid w:val="0059156C"/>
    <w:rsid w:val="005921F8"/>
    <w:rsid w:val="005922FE"/>
    <w:rsid w:val="005924BD"/>
    <w:rsid w:val="005925D0"/>
    <w:rsid w:val="005927CF"/>
    <w:rsid w:val="00592BF9"/>
    <w:rsid w:val="00592D42"/>
    <w:rsid w:val="005932AA"/>
    <w:rsid w:val="00594182"/>
    <w:rsid w:val="00594EB5"/>
    <w:rsid w:val="00594F41"/>
    <w:rsid w:val="00595327"/>
    <w:rsid w:val="00595DD5"/>
    <w:rsid w:val="00595FA3"/>
    <w:rsid w:val="005973FC"/>
    <w:rsid w:val="005979D4"/>
    <w:rsid w:val="00597BA5"/>
    <w:rsid w:val="005A087A"/>
    <w:rsid w:val="005A0975"/>
    <w:rsid w:val="005A0E8F"/>
    <w:rsid w:val="005A11E2"/>
    <w:rsid w:val="005A1270"/>
    <w:rsid w:val="005A1C37"/>
    <w:rsid w:val="005A2708"/>
    <w:rsid w:val="005A2B0C"/>
    <w:rsid w:val="005A2EE0"/>
    <w:rsid w:val="005A345C"/>
    <w:rsid w:val="005A3A87"/>
    <w:rsid w:val="005A3E49"/>
    <w:rsid w:val="005A57A3"/>
    <w:rsid w:val="005A63C8"/>
    <w:rsid w:val="005A68AE"/>
    <w:rsid w:val="005A69E9"/>
    <w:rsid w:val="005A6BEE"/>
    <w:rsid w:val="005A778D"/>
    <w:rsid w:val="005A7ECA"/>
    <w:rsid w:val="005B010B"/>
    <w:rsid w:val="005B0400"/>
    <w:rsid w:val="005B0F2B"/>
    <w:rsid w:val="005B1716"/>
    <w:rsid w:val="005B1C05"/>
    <w:rsid w:val="005B1C94"/>
    <w:rsid w:val="005B1EC3"/>
    <w:rsid w:val="005B2350"/>
    <w:rsid w:val="005B2E7D"/>
    <w:rsid w:val="005B3033"/>
    <w:rsid w:val="005B3859"/>
    <w:rsid w:val="005B38D9"/>
    <w:rsid w:val="005B4588"/>
    <w:rsid w:val="005B4D4F"/>
    <w:rsid w:val="005B4DA7"/>
    <w:rsid w:val="005B5FF1"/>
    <w:rsid w:val="005B5FFA"/>
    <w:rsid w:val="005B666D"/>
    <w:rsid w:val="005B6C8F"/>
    <w:rsid w:val="005B710D"/>
    <w:rsid w:val="005B7775"/>
    <w:rsid w:val="005B77D0"/>
    <w:rsid w:val="005B780B"/>
    <w:rsid w:val="005B7A5E"/>
    <w:rsid w:val="005B7B0D"/>
    <w:rsid w:val="005B7B59"/>
    <w:rsid w:val="005C047E"/>
    <w:rsid w:val="005C0D4E"/>
    <w:rsid w:val="005C17CE"/>
    <w:rsid w:val="005C24C0"/>
    <w:rsid w:val="005C2556"/>
    <w:rsid w:val="005C260A"/>
    <w:rsid w:val="005C275B"/>
    <w:rsid w:val="005C28C8"/>
    <w:rsid w:val="005C2D86"/>
    <w:rsid w:val="005C3D42"/>
    <w:rsid w:val="005C51ED"/>
    <w:rsid w:val="005C55F4"/>
    <w:rsid w:val="005C562F"/>
    <w:rsid w:val="005C5B6C"/>
    <w:rsid w:val="005C6904"/>
    <w:rsid w:val="005C7E1C"/>
    <w:rsid w:val="005D117E"/>
    <w:rsid w:val="005D13BE"/>
    <w:rsid w:val="005D1914"/>
    <w:rsid w:val="005D1A85"/>
    <w:rsid w:val="005D1CC0"/>
    <w:rsid w:val="005D2E05"/>
    <w:rsid w:val="005D333C"/>
    <w:rsid w:val="005D38B4"/>
    <w:rsid w:val="005D39DB"/>
    <w:rsid w:val="005D4255"/>
    <w:rsid w:val="005D448C"/>
    <w:rsid w:val="005D5022"/>
    <w:rsid w:val="005D5026"/>
    <w:rsid w:val="005D5BFD"/>
    <w:rsid w:val="005D5F11"/>
    <w:rsid w:val="005D6E93"/>
    <w:rsid w:val="005D70C6"/>
    <w:rsid w:val="005D738A"/>
    <w:rsid w:val="005D76E6"/>
    <w:rsid w:val="005E0824"/>
    <w:rsid w:val="005E101B"/>
    <w:rsid w:val="005E1485"/>
    <w:rsid w:val="005E1E90"/>
    <w:rsid w:val="005E2823"/>
    <w:rsid w:val="005E306F"/>
    <w:rsid w:val="005E3083"/>
    <w:rsid w:val="005E319E"/>
    <w:rsid w:val="005E34F3"/>
    <w:rsid w:val="005E40BB"/>
    <w:rsid w:val="005E58BD"/>
    <w:rsid w:val="005E6094"/>
    <w:rsid w:val="005E62F7"/>
    <w:rsid w:val="005E735F"/>
    <w:rsid w:val="005E764F"/>
    <w:rsid w:val="005F0679"/>
    <w:rsid w:val="005F08B4"/>
    <w:rsid w:val="005F0CD0"/>
    <w:rsid w:val="005F1587"/>
    <w:rsid w:val="005F160C"/>
    <w:rsid w:val="005F17AC"/>
    <w:rsid w:val="005F1C0F"/>
    <w:rsid w:val="005F1F0B"/>
    <w:rsid w:val="005F38CA"/>
    <w:rsid w:val="005F4018"/>
    <w:rsid w:val="005F5271"/>
    <w:rsid w:val="005F5BBE"/>
    <w:rsid w:val="005F5C81"/>
    <w:rsid w:val="005F6C57"/>
    <w:rsid w:val="005F78B3"/>
    <w:rsid w:val="005F7A90"/>
    <w:rsid w:val="005F7CBB"/>
    <w:rsid w:val="005F7E0E"/>
    <w:rsid w:val="0060074B"/>
    <w:rsid w:val="00600773"/>
    <w:rsid w:val="006007F6"/>
    <w:rsid w:val="0060084B"/>
    <w:rsid w:val="00600ADD"/>
    <w:rsid w:val="00600B09"/>
    <w:rsid w:val="00600DE3"/>
    <w:rsid w:val="00602D32"/>
    <w:rsid w:val="00603178"/>
    <w:rsid w:val="00603330"/>
    <w:rsid w:val="00603872"/>
    <w:rsid w:val="00603EA4"/>
    <w:rsid w:val="00604167"/>
    <w:rsid w:val="0060518C"/>
    <w:rsid w:val="006058D5"/>
    <w:rsid w:val="0060675F"/>
    <w:rsid w:val="00606DA6"/>
    <w:rsid w:val="00607E43"/>
    <w:rsid w:val="0061139A"/>
    <w:rsid w:val="0061177F"/>
    <w:rsid w:val="00611EB3"/>
    <w:rsid w:val="006122A9"/>
    <w:rsid w:val="0061240F"/>
    <w:rsid w:val="00613545"/>
    <w:rsid w:val="00613717"/>
    <w:rsid w:val="00613991"/>
    <w:rsid w:val="00614E90"/>
    <w:rsid w:val="00615680"/>
    <w:rsid w:val="0061659C"/>
    <w:rsid w:val="00620FE3"/>
    <w:rsid w:val="006213FF"/>
    <w:rsid w:val="00621DDE"/>
    <w:rsid w:val="00622B44"/>
    <w:rsid w:val="00622C2D"/>
    <w:rsid w:val="00622E2B"/>
    <w:rsid w:val="00622E81"/>
    <w:rsid w:val="006235F7"/>
    <w:rsid w:val="006242DE"/>
    <w:rsid w:val="006245F1"/>
    <w:rsid w:val="00625144"/>
    <w:rsid w:val="00625234"/>
    <w:rsid w:val="00631165"/>
    <w:rsid w:val="00631699"/>
    <w:rsid w:val="00631921"/>
    <w:rsid w:val="00631ECA"/>
    <w:rsid w:val="00631FAF"/>
    <w:rsid w:val="006320D3"/>
    <w:rsid w:val="006321DA"/>
    <w:rsid w:val="0063236F"/>
    <w:rsid w:val="006323B2"/>
    <w:rsid w:val="006324C1"/>
    <w:rsid w:val="00632E97"/>
    <w:rsid w:val="00633D7D"/>
    <w:rsid w:val="00634699"/>
    <w:rsid w:val="00634EA3"/>
    <w:rsid w:val="0063532C"/>
    <w:rsid w:val="006354C9"/>
    <w:rsid w:val="0063588D"/>
    <w:rsid w:val="00635BD5"/>
    <w:rsid w:val="00635CB2"/>
    <w:rsid w:val="00635FD5"/>
    <w:rsid w:val="00636A8F"/>
    <w:rsid w:val="00637157"/>
    <w:rsid w:val="0063733A"/>
    <w:rsid w:val="00637E74"/>
    <w:rsid w:val="00637F76"/>
    <w:rsid w:val="00640372"/>
    <w:rsid w:val="006405FD"/>
    <w:rsid w:val="00641CC7"/>
    <w:rsid w:val="00641D27"/>
    <w:rsid w:val="00642340"/>
    <w:rsid w:val="006429A8"/>
    <w:rsid w:val="00642EC6"/>
    <w:rsid w:val="00643559"/>
    <w:rsid w:val="00643723"/>
    <w:rsid w:val="00643FB5"/>
    <w:rsid w:val="0064434B"/>
    <w:rsid w:val="00644DC0"/>
    <w:rsid w:val="00645620"/>
    <w:rsid w:val="00645D62"/>
    <w:rsid w:val="00645DED"/>
    <w:rsid w:val="00646120"/>
    <w:rsid w:val="006462DC"/>
    <w:rsid w:val="00646CFD"/>
    <w:rsid w:val="00646D92"/>
    <w:rsid w:val="00647191"/>
    <w:rsid w:val="00647245"/>
    <w:rsid w:val="0064727F"/>
    <w:rsid w:val="006478CC"/>
    <w:rsid w:val="00647CEF"/>
    <w:rsid w:val="00647E78"/>
    <w:rsid w:val="00647EFA"/>
    <w:rsid w:val="00650284"/>
    <w:rsid w:val="006507F9"/>
    <w:rsid w:val="00650A26"/>
    <w:rsid w:val="00650DA0"/>
    <w:rsid w:val="006510BC"/>
    <w:rsid w:val="00651147"/>
    <w:rsid w:val="006516FC"/>
    <w:rsid w:val="006522E9"/>
    <w:rsid w:val="0065340B"/>
    <w:rsid w:val="00653649"/>
    <w:rsid w:val="00653F4C"/>
    <w:rsid w:val="00654684"/>
    <w:rsid w:val="0065530B"/>
    <w:rsid w:val="00655474"/>
    <w:rsid w:val="00655D34"/>
    <w:rsid w:val="006564CD"/>
    <w:rsid w:val="006567D6"/>
    <w:rsid w:val="00656BD7"/>
    <w:rsid w:val="00657721"/>
    <w:rsid w:val="00657CF9"/>
    <w:rsid w:val="0066015E"/>
    <w:rsid w:val="00660BFC"/>
    <w:rsid w:val="00660C1A"/>
    <w:rsid w:val="00660F51"/>
    <w:rsid w:val="006610E5"/>
    <w:rsid w:val="0066112F"/>
    <w:rsid w:val="00661953"/>
    <w:rsid w:val="00662054"/>
    <w:rsid w:val="00662469"/>
    <w:rsid w:val="006628C1"/>
    <w:rsid w:val="00663CCC"/>
    <w:rsid w:val="00663CD1"/>
    <w:rsid w:val="00664041"/>
    <w:rsid w:val="006645FA"/>
    <w:rsid w:val="0066496D"/>
    <w:rsid w:val="00664E53"/>
    <w:rsid w:val="006654D8"/>
    <w:rsid w:val="00666393"/>
    <w:rsid w:val="00666C71"/>
    <w:rsid w:val="006670FA"/>
    <w:rsid w:val="006671BB"/>
    <w:rsid w:val="00667B8E"/>
    <w:rsid w:val="0067073B"/>
    <w:rsid w:val="00670F95"/>
    <w:rsid w:val="00671895"/>
    <w:rsid w:val="00671AB3"/>
    <w:rsid w:val="00671AF7"/>
    <w:rsid w:val="006721D4"/>
    <w:rsid w:val="006721DC"/>
    <w:rsid w:val="00672754"/>
    <w:rsid w:val="00672958"/>
    <w:rsid w:val="00672CA3"/>
    <w:rsid w:val="0067310A"/>
    <w:rsid w:val="00673172"/>
    <w:rsid w:val="006732A2"/>
    <w:rsid w:val="00673F24"/>
    <w:rsid w:val="00673F3B"/>
    <w:rsid w:val="006741D2"/>
    <w:rsid w:val="00674E3B"/>
    <w:rsid w:val="00675018"/>
    <w:rsid w:val="00676680"/>
    <w:rsid w:val="006769D5"/>
    <w:rsid w:val="00676B55"/>
    <w:rsid w:val="006770C3"/>
    <w:rsid w:val="006771CD"/>
    <w:rsid w:val="006772DE"/>
    <w:rsid w:val="006776B4"/>
    <w:rsid w:val="00680433"/>
    <w:rsid w:val="006809E7"/>
    <w:rsid w:val="006817A5"/>
    <w:rsid w:val="00681981"/>
    <w:rsid w:val="00681E1F"/>
    <w:rsid w:val="0068233A"/>
    <w:rsid w:val="00682E4C"/>
    <w:rsid w:val="00682F9E"/>
    <w:rsid w:val="006831A8"/>
    <w:rsid w:val="00683530"/>
    <w:rsid w:val="00683926"/>
    <w:rsid w:val="0068417D"/>
    <w:rsid w:val="00684E60"/>
    <w:rsid w:val="006851FC"/>
    <w:rsid w:val="0068571A"/>
    <w:rsid w:val="00686AAB"/>
    <w:rsid w:val="00686F76"/>
    <w:rsid w:val="00687025"/>
    <w:rsid w:val="00687710"/>
    <w:rsid w:val="006911F1"/>
    <w:rsid w:val="006916C5"/>
    <w:rsid w:val="006917EF"/>
    <w:rsid w:val="00691AAB"/>
    <w:rsid w:val="00692E86"/>
    <w:rsid w:val="00693009"/>
    <w:rsid w:val="00693A86"/>
    <w:rsid w:val="00693F5A"/>
    <w:rsid w:val="00693F95"/>
    <w:rsid w:val="00693FDE"/>
    <w:rsid w:val="00694327"/>
    <w:rsid w:val="0069466C"/>
    <w:rsid w:val="00694970"/>
    <w:rsid w:val="00695485"/>
    <w:rsid w:val="006964E1"/>
    <w:rsid w:val="0069682C"/>
    <w:rsid w:val="006969B7"/>
    <w:rsid w:val="00696B12"/>
    <w:rsid w:val="00696BA5"/>
    <w:rsid w:val="00696C18"/>
    <w:rsid w:val="00696FC9"/>
    <w:rsid w:val="006972D1"/>
    <w:rsid w:val="0069772A"/>
    <w:rsid w:val="006A0737"/>
    <w:rsid w:val="006A0CA2"/>
    <w:rsid w:val="006A0D12"/>
    <w:rsid w:val="006A127A"/>
    <w:rsid w:val="006A227C"/>
    <w:rsid w:val="006A2BE9"/>
    <w:rsid w:val="006A3A35"/>
    <w:rsid w:val="006A3B56"/>
    <w:rsid w:val="006A3C84"/>
    <w:rsid w:val="006A3DD6"/>
    <w:rsid w:val="006A46E5"/>
    <w:rsid w:val="006A4DD2"/>
    <w:rsid w:val="006A5F38"/>
    <w:rsid w:val="006A6042"/>
    <w:rsid w:val="006A6138"/>
    <w:rsid w:val="006A7808"/>
    <w:rsid w:val="006B0C38"/>
    <w:rsid w:val="006B0DA4"/>
    <w:rsid w:val="006B1149"/>
    <w:rsid w:val="006B1836"/>
    <w:rsid w:val="006B1ABB"/>
    <w:rsid w:val="006B237F"/>
    <w:rsid w:val="006B2555"/>
    <w:rsid w:val="006B49E7"/>
    <w:rsid w:val="006B4A81"/>
    <w:rsid w:val="006B4BE5"/>
    <w:rsid w:val="006B50A3"/>
    <w:rsid w:val="006B50DA"/>
    <w:rsid w:val="006B5528"/>
    <w:rsid w:val="006B66B2"/>
    <w:rsid w:val="006B6730"/>
    <w:rsid w:val="006B78B6"/>
    <w:rsid w:val="006B7B14"/>
    <w:rsid w:val="006C0D1E"/>
    <w:rsid w:val="006C0DBC"/>
    <w:rsid w:val="006C0EDC"/>
    <w:rsid w:val="006C134D"/>
    <w:rsid w:val="006C16BE"/>
    <w:rsid w:val="006C249E"/>
    <w:rsid w:val="006C2DAF"/>
    <w:rsid w:val="006C430A"/>
    <w:rsid w:val="006C4FC0"/>
    <w:rsid w:val="006C55F9"/>
    <w:rsid w:val="006C5622"/>
    <w:rsid w:val="006C5912"/>
    <w:rsid w:val="006C5991"/>
    <w:rsid w:val="006C5B18"/>
    <w:rsid w:val="006C632F"/>
    <w:rsid w:val="006C63BC"/>
    <w:rsid w:val="006C704B"/>
    <w:rsid w:val="006D064A"/>
    <w:rsid w:val="006D075E"/>
    <w:rsid w:val="006D080E"/>
    <w:rsid w:val="006D08DA"/>
    <w:rsid w:val="006D0A10"/>
    <w:rsid w:val="006D0C12"/>
    <w:rsid w:val="006D13B8"/>
    <w:rsid w:val="006D1EEA"/>
    <w:rsid w:val="006D210D"/>
    <w:rsid w:val="006D218E"/>
    <w:rsid w:val="006D25B4"/>
    <w:rsid w:val="006D2630"/>
    <w:rsid w:val="006D2E19"/>
    <w:rsid w:val="006D4AB6"/>
    <w:rsid w:val="006D51D5"/>
    <w:rsid w:val="006D547D"/>
    <w:rsid w:val="006D5FEF"/>
    <w:rsid w:val="006D60E0"/>
    <w:rsid w:val="006D696E"/>
    <w:rsid w:val="006D716B"/>
    <w:rsid w:val="006E0B4F"/>
    <w:rsid w:val="006E17B9"/>
    <w:rsid w:val="006E18DF"/>
    <w:rsid w:val="006E1C9A"/>
    <w:rsid w:val="006E2093"/>
    <w:rsid w:val="006E2D59"/>
    <w:rsid w:val="006E2DDB"/>
    <w:rsid w:val="006E2F23"/>
    <w:rsid w:val="006E35BB"/>
    <w:rsid w:val="006E37A2"/>
    <w:rsid w:val="006E38C7"/>
    <w:rsid w:val="006E420E"/>
    <w:rsid w:val="006E4817"/>
    <w:rsid w:val="006E4E9B"/>
    <w:rsid w:val="006E5A02"/>
    <w:rsid w:val="006E5B52"/>
    <w:rsid w:val="006E5CF1"/>
    <w:rsid w:val="006E629F"/>
    <w:rsid w:val="006E6A7A"/>
    <w:rsid w:val="006E70D0"/>
    <w:rsid w:val="006E7280"/>
    <w:rsid w:val="006E75BE"/>
    <w:rsid w:val="006E79E7"/>
    <w:rsid w:val="006F04C4"/>
    <w:rsid w:val="006F0629"/>
    <w:rsid w:val="006F07D3"/>
    <w:rsid w:val="006F0957"/>
    <w:rsid w:val="006F12F2"/>
    <w:rsid w:val="006F1646"/>
    <w:rsid w:val="006F1D90"/>
    <w:rsid w:val="006F1FC6"/>
    <w:rsid w:val="006F2A0A"/>
    <w:rsid w:val="006F34A3"/>
    <w:rsid w:val="006F36EC"/>
    <w:rsid w:val="006F3EF9"/>
    <w:rsid w:val="006F4C2F"/>
    <w:rsid w:val="006F6454"/>
    <w:rsid w:val="006F6D69"/>
    <w:rsid w:val="006F6F92"/>
    <w:rsid w:val="006F75CF"/>
    <w:rsid w:val="006F7F5B"/>
    <w:rsid w:val="007002E7"/>
    <w:rsid w:val="00700397"/>
    <w:rsid w:val="00700AE0"/>
    <w:rsid w:val="00700AE9"/>
    <w:rsid w:val="00700E8D"/>
    <w:rsid w:val="00701695"/>
    <w:rsid w:val="007019D4"/>
    <w:rsid w:val="00701CF3"/>
    <w:rsid w:val="00702078"/>
    <w:rsid w:val="007021BB"/>
    <w:rsid w:val="0070232B"/>
    <w:rsid w:val="007028F1"/>
    <w:rsid w:val="00702F55"/>
    <w:rsid w:val="00703066"/>
    <w:rsid w:val="00703863"/>
    <w:rsid w:val="00703C15"/>
    <w:rsid w:val="007040CE"/>
    <w:rsid w:val="007051A1"/>
    <w:rsid w:val="00705AEA"/>
    <w:rsid w:val="0070636D"/>
    <w:rsid w:val="00706AD1"/>
    <w:rsid w:val="00707205"/>
    <w:rsid w:val="00707270"/>
    <w:rsid w:val="007078E4"/>
    <w:rsid w:val="00707D8E"/>
    <w:rsid w:val="00707E32"/>
    <w:rsid w:val="007109B7"/>
    <w:rsid w:val="00710B32"/>
    <w:rsid w:val="00710DC4"/>
    <w:rsid w:val="00710E22"/>
    <w:rsid w:val="0071142E"/>
    <w:rsid w:val="00711DD4"/>
    <w:rsid w:val="00712EDC"/>
    <w:rsid w:val="0071378D"/>
    <w:rsid w:val="00713B51"/>
    <w:rsid w:val="00714690"/>
    <w:rsid w:val="00714839"/>
    <w:rsid w:val="00714A97"/>
    <w:rsid w:val="00714D8B"/>
    <w:rsid w:val="00714F58"/>
    <w:rsid w:val="00716776"/>
    <w:rsid w:val="0071689E"/>
    <w:rsid w:val="00716982"/>
    <w:rsid w:val="00716D3A"/>
    <w:rsid w:val="007173ED"/>
    <w:rsid w:val="00717D2B"/>
    <w:rsid w:val="007205D9"/>
    <w:rsid w:val="00720A82"/>
    <w:rsid w:val="00720D8A"/>
    <w:rsid w:val="00721016"/>
    <w:rsid w:val="007210A0"/>
    <w:rsid w:val="0072122D"/>
    <w:rsid w:val="007213B9"/>
    <w:rsid w:val="007216CB"/>
    <w:rsid w:val="00721C9E"/>
    <w:rsid w:val="007221CD"/>
    <w:rsid w:val="00722987"/>
    <w:rsid w:val="00722BA8"/>
    <w:rsid w:val="00723C1C"/>
    <w:rsid w:val="00723D44"/>
    <w:rsid w:val="007245AE"/>
    <w:rsid w:val="00725807"/>
    <w:rsid w:val="00725CA7"/>
    <w:rsid w:val="00725D7A"/>
    <w:rsid w:val="007266D8"/>
    <w:rsid w:val="007271FD"/>
    <w:rsid w:val="007306FC"/>
    <w:rsid w:val="00730B1E"/>
    <w:rsid w:val="00730CF7"/>
    <w:rsid w:val="0073193E"/>
    <w:rsid w:val="00731D27"/>
    <w:rsid w:val="00732658"/>
    <w:rsid w:val="007327C7"/>
    <w:rsid w:val="0073310D"/>
    <w:rsid w:val="00733F94"/>
    <w:rsid w:val="0073457D"/>
    <w:rsid w:val="00734ACE"/>
    <w:rsid w:val="00734F87"/>
    <w:rsid w:val="007354E3"/>
    <w:rsid w:val="007365D2"/>
    <w:rsid w:val="00736C1C"/>
    <w:rsid w:val="00736C1E"/>
    <w:rsid w:val="00736CC4"/>
    <w:rsid w:val="00736CF2"/>
    <w:rsid w:val="00736DF1"/>
    <w:rsid w:val="007375A2"/>
    <w:rsid w:val="0073780B"/>
    <w:rsid w:val="00737F45"/>
    <w:rsid w:val="00740DF4"/>
    <w:rsid w:val="007413BD"/>
    <w:rsid w:val="00741704"/>
    <w:rsid w:val="00741EB3"/>
    <w:rsid w:val="00741EC8"/>
    <w:rsid w:val="00742213"/>
    <w:rsid w:val="007429FB"/>
    <w:rsid w:val="00742B12"/>
    <w:rsid w:val="00742F57"/>
    <w:rsid w:val="00742FAD"/>
    <w:rsid w:val="00743C6A"/>
    <w:rsid w:val="00744286"/>
    <w:rsid w:val="00744470"/>
    <w:rsid w:val="00744A81"/>
    <w:rsid w:val="007456FB"/>
    <w:rsid w:val="00745AA5"/>
    <w:rsid w:val="00745D2F"/>
    <w:rsid w:val="00746D71"/>
    <w:rsid w:val="00747EC7"/>
    <w:rsid w:val="00747ECB"/>
    <w:rsid w:val="007502FC"/>
    <w:rsid w:val="007503C8"/>
    <w:rsid w:val="00751137"/>
    <w:rsid w:val="00751F10"/>
    <w:rsid w:val="00752467"/>
    <w:rsid w:val="00752496"/>
    <w:rsid w:val="007528E7"/>
    <w:rsid w:val="00752C82"/>
    <w:rsid w:val="00752E20"/>
    <w:rsid w:val="00753E1D"/>
    <w:rsid w:val="007544E4"/>
    <w:rsid w:val="007545CE"/>
    <w:rsid w:val="007549D6"/>
    <w:rsid w:val="007559F4"/>
    <w:rsid w:val="00755B43"/>
    <w:rsid w:val="00755D84"/>
    <w:rsid w:val="007560F0"/>
    <w:rsid w:val="00757239"/>
    <w:rsid w:val="0075745F"/>
    <w:rsid w:val="007574F1"/>
    <w:rsid w:val="007577F8"/>
    <w:rsid w:val="007578AE"/>
    <w:rsid w:val="00757FBB"/>
    <w:rsid w:val="007607F2"/>
    <w:rsid w:val="00761956"/>
    <w:rsid w:val="00761ABE"/>
    <w:rsid w:val="00761AD5"/>
    <w:rsid w:val="00761D6A"/>
    <w:rsid w:val="00761DEB"/>
    <w:rsid w:val="00762D34"/>
    <w:rsid w:val="00762D57"/>
    <w:rsid w:val="007630AE"/>
    <w:rsid w:val="007631B7"/>
    <w:rsid w:val="00763C6D"/>
    <w:rsid w:val="007640F8"/>
    <w:rsid w:val="00764916"/>
    <w:rsid w:val="007657D0"/>
    <w:rsid w:val="00765AAE"/>
    <w:rsid w:val="0076668B"/>
    <w:rsid w:val="00766B5A"/>
    <w:rsid w:val="007670E3"/>
    <w:rsid w:val="007677D1"/>
    <w:rsid w:val="0077051D"/>
    <w:rsid w:val="007710CF"/>
    <w:rsid w:val="0077147E"/>
    <w:rsid w:val="0077348C"/>
    <w:rsid w:val="00773507"/>
    <w:rsid w:val="007736E6"/>
    <w:rsid w:val="00773A5E"/>
    <w:rsid w:val="00773AC9"/>
    <w:rsid w:val="00773D96"/>
    <w:rsid w:val="00774004"/>
    <w:rsid w:val="0077453E"/>
    <w:rsid w:val="00774BD4"/>
    <w:rsid w:val="0077593B"/>
    <w:rsid w:val="00776163"/>
    <w:rsid w:val="007766C0"/>
    <w:rsid w:val="00776DC9"/>
    <w:rsid w:val="00777765"/>
    <w:rsid w:val="00777788"/>
    <w:rsid w:val="007778F0"/>
    <w:rsid w:val="00780755"/>
    <w:rsid w:val="00780ACC"/>
    <w:rsid w:val="007818AA"/>
    <w:rsid w:val="00781967"/>
    <w:rsid w:val="007819E1"/>
    <w:rsid w:val="00781AF2"/>
    <w:rsid w:val="00781DC8"/>
    <w:rsid w:val="00781EE5"/>
    <w:rsid w:val="00782353"/>
    <w:rsid w:val="00782977"/>
    <w:rsid w:val="00782BF2"/>
    <w:rsid w:val="00783491"/>
    <w:rsid w:val="0078354E"/>
    <w:rsid w:val="00783CBD"/>
    <w:rsid w:val="0078484F"/>
    <w:rsid w:val="00784A58"/>
    <w:rsid w:val="00784E02"/>
    <w:rsid w:val="00785124"/>
    <w:rsid w:val="00786956"/>
    <w:rsid w:val="00786DC9"/>
    <w:rsid w:val="00787981"/>
    <w:rsid w:val="00787F50"/>
    <w:rsid w:val="00790A00"/>
    <w:rsid w:val="00791757"/>
    <w:rsid w:val="00791BFB"/>
    <w:rsid w:val="007924AB"/>
    <w:rsid w:val="00792A69"/>
    <w:rsid w:val="00792C0B"/>
    <w:rsid w:val="00792E5C"/>
    <w:rsid w:val="007934E1"/>
    <w:rsid w:val="00793778"/>
    <w:rsid w:val="00793C40"/>
    <w:rsid w:val="00793DBA"/>
    <w:rsid w:val="0079457F"/>
    <w:rsid w:val="00794F9B"/>
    <w:rsid w:val="0079525C"/>
    <w:rsid w:val="0079595F"/>
    <w:rsid w:val="00795B03"/>
    <w:rsid w:val="00795B75"/>
    <w:rsid w:val="00797A3C"/>
    <w:rsid w:val="007A0280"/>
    <w:rsid w:val="007A0D41"/>
    <w:rsid w:val="007A1DF5"/>
    <w:rsid w:val="007A24D6"/>
    <w:rsid w:val="007A25EE"/>
    <w:rsid w:val="007A2BB9"/>
    <w:rsid w:val="007A2EE4"/>
    <w:rsid w:val="007A360F"/>
    <w:rsid w:val="007A36C2"/>
    <w:rsid w:val="007A3C27"/>
    <w:rsid w:val="007A41B3"/>
    <w:rsid w:val="007A4C1B"/>
    <w:rsid w:val="007A4C6B"/>
    <w:rsid w:val="007A4D37"/>
    <w:rsid w:val="007A5986"/>
    <w:rsid w:val="007A62AA"/>
    <w:rsid w:val="007A7842"/>
    <w:rsid w:val="007B0242"/>
    <w:rsid w:val="007B0770"/>
    <w:rsid w:val="007B0F5F"/>
    <w:rsid w:val="007B1363"/>
    <w:rsid w:val="007B170E"/>
    <w:rsid w:val="007B24F1"/>
    <w:rsid w:val="007B27F3"/>
    <w:rsid w:val="007B2D03"/>
    <w:rsid w:val="007B2F36"/>
    <w:rsid w:val="007B3262"/>
    <w:rsid w:val="007B35E7"/>
    <w:rsid w:val="007B39FF"/>
    <w:rsid w:val="007B4852"/>
    <w:rsid w:val="007B4EEB"/>
    <w:rsid w:val="007B4F90"/>
    <w:rsid w:val="007B50D3"/>
    <w:rsid w:val="007B50FA"/>
    <w:rsid w:val="007B558F"/>
    <w:rsid w:val="007B5A8B"/>
    <w:rsid w:val="007B5C27"/>
    <w:rsid w:val="007B658B"/>
    <w:rsid w:val="007B7553"/>
    <w:rsid w:val="007B7AB9"/>
    <w:rsid w:val="007C08E9"/>
    <w:rsid w:val="007C168A"/>
    <w:rsid w:val="007C1742"/>
    <w:rsid w:val="007C2844"/>
    <w:rsid w:val="007C2ED3"/>
    <w:rsid w:val="007C3AD5"/>
    <w:rsid w:val="007C417F"/>
    <w:rsid w:val="007C4203"/>
    <w:rsid w:val="007C482E"/>
    <w:rsid w:val="007C574B"/>
    <w:rsid w:val="007C5A78"/>
    <w:rsid w:val="007C61A3"/>
    <w:rsid w:val="007C6786"/>
    <w:rsid w:val="007C7B86"/>
    <w:rsid w:val="007C7D7C"/>
    <w:rsid w:val="007C7E81"/>
    <w:rsid w:val="007C7F4E"/>
    <w:rsid w:val="007C7FAD"/>
    <w:rsid w:val="007D07A1"/>
    <w:rsid w:val="007D0F3B"/>
    <w:rsid w:val="007D13FA"/>
    <w:rsid w:val="007D234B"/>
    <w:rsid w:val="007D2C53"/>
    <w:rsid w:val="007D4740"/>
    <w:rsid w:val="007D4960"/>
    <w:rsid w:val="007D4F43"/>
    <w:rsid w:val="007D55C9"/>
    <w:rsid w:val="007D5769"/>
    <w:rsid w:val="007D5CF0"/>
    <w:rsid w:val="007D5FB2"/>
    <w:rsid w:val="007D5FC1"/>
    <w:rsid w:val="007D62FF"/>
    <w:rsid w:val="007D6916"/>
    <w:rsid w:val="007D6A86"/>
    <w:rsid w:val="007D6D8C"/>
    <w:rsid w:val="007D7005"/>
    <w:rsid w:val="007D72B0"/>
    <w:rsid w:val="007D789B"/>
    <w:rsid w:val="007D78E6"/>
    <w:rsid w:val="007E0248"/>
    <w:rsid w:val="007E0631"/>
    <w:rsid w:val="007E0EC3"/>
    <w:rsid w:val="007E0F19"/>
    <w:rsid w:val="007E1E6A"/>
    <w:rsid w:val="007E2B47"/>
    <w:rsid w:val="007E32CC"/>
    <w:rsid w:val="007E3D27"/>
    <w:rsid w:val="007E40E8"/>
    <w:rsid w:val="007E45CF"/>
    <w:rsid w:val="007E496C"/>
    <w:rsid w:val="007E4DA7"/>
    <w:rsid w:val="007E5059"/>
    <w:rsid w:val="007E5163"/>
    <w:rsid w:val="007E5C86"/>
    <w:rsid w:val="007E5DA1"/>
    <w:rsid w:val="007E5FE5"/>
    <w:rsid w:val="007E6116"/>
    <w:rsid w:val="007E6694"/>
    <w:rsid w:val="007E6ABD"/>
    <w:rsid w:val="007E6E86"/>
    <w:rsid w:val="007E7221"/>
    <w:rsid w:val="007F0626"/>
    <w:rsid w:val="007F09CB"/>
    <w:rsid w:val="007F0C36"/>
    <w:rsid w:val="007F1185"/>
    <w:rsid w:val="007F143E"/>
    <w:rsid w:val="007F1CDF"/>
    <w:rsid w:val="007F22D7"/>
    <w:rsid w:val="007F22DE"/>
    <w:rsid w:val="007F25C9"/>
    <w:rsid w:val="007F27D0"/>
    <w:rsid w:val="007F2A79"/>
    <w:rsid w:val="007F2F3A"/>
    <w:rsid w:val="007F42C6"/>
    <w:rsid w:val="007F498E"/>
    <w:rsid w:val="007F4A83"/>
    <w:rsid w:val="007F5056"/>
    <w:rsid w:val="007F7050"/>
    <w:rsid w:val="007F7D6C"/>
    <w:rsid w:val="007F7FDE"/>
    <w:rsid w:val="00800061"/>
    <w:rsid w:val="0080006A"/>
    <w:rsid w:val="00800A91"/>
    <w:rsid w:val="00800DA3"/>
    <w:rsid w:val="0080158E"/>
    <w:rsid w:val="0080190E"/>
    <w:rsid w:val="00802C5F"/>
    <w:rsid w:val="00802F27"/>
    <w:rsid w:val="0080330E"/>
    <w:rsid w:val="00803E24"/>
    <w:rsid w:val="008053DA"/>
    <w:rsid w:val="00805DD1"/>
    <w:rsid w:val="00805EB9"/>
    <w:rsid w:val="0080665A"/>
    <w:rsid w:val="00807287"/>
    <w:rsid w:val="0080754F"/>
    <w:rsid w:val="0081045F"/>
    <w:rsid w:val="00811334"/>
    <w:rsid w:val="00811D0A"/>
    <w:rsid w:val="00812339"/>
    <w:rsid w:val="00812AD5"/>
    <w:rsid w:val="00812B7B"/>
    <w:rsid w:val="00812B85"/>
    <w:rsid w:val="00812E00"/>
    <w:rsid w:val="0081306A"/>
    <w:rsid w:val="0081379D"/>
    <w:rsid w:val="008137CF"/>
    <w:rsid w:val="008141BD"/>
    <w:rsid w:val="00814598"/>
    <w:rsid w:val="0081535D"/>
    <w:rsid w:val="00815810"/>
    <w:rsid w:val="00815938"/>
    <w:rsid w:val="00815E72"/>
    <w:rsid w:val="00816022"/>
    <w:rsid w:val="00816945"/>
    <w:rsid w:val="00817763"/>
    <w:rsid w:val="0081798E"/>
    <w:rsid w:val="00817994"/>
    <w:rsid w:val="008207C4"/>
    <w:rsid w:val="00820A73"/>
    <w:rsid w:val="00820E2F"/>
    <w:rsid w:val="00821218"/>
    <w:rsid w:val="00821598"/>
    <w:rsid w:val="00821BF4"/>
    <w:rsid w:val="00821EEE"/>
    <w:rsid w:val="008223AB"/>
    <w:rsid w:val="0082349D"/>
    <w:rsid w:val="00823BAC"/>
    <w:rsid w:val="0082407F"/>
    <w:rsid w:val="00824399"/>
    <w:rsid w:val="008253E3"/>
    <w:rsid w:val="00825924"/>
    <w:rsid w:val="00825C46"/>
    <w:rsid w:val="00826295"/>
    <w:rsid w:val="008267A0"/>
    <w:rsid w:val="00826A24"/>
    <w:rsid w:val="00827510"/>
    <w:rsid w:val="00827B17"/>
    <w:rsid w:val="00827B56"/>
    <w:rsid w:val="00827BD2"/>
    <w:rsid w:val="00827FF9"/>
    <w:rsid w:val="0083035F"/>
    <w:rsid w:val="00830827"/>
    <w:rsid w:val="00830B83"/>
    <w:rsid w:val="00830E4E"/>
    <w:rsid w:val="008311E2"/>
    <w:rsid w:val="0083159A"/>
    <w:rsid w:val="00831E88"/>
    <w:rsid w:val="00833279"/>
    <w:rsid w:val="008339DC"/>
    <w:rsid w:val="00834B11"/>
    <w:rsid w:val="00834F6B"/>
    <w:rsid w:val="008350AE"/>
    <w:rsid w:val="008351F9"/>
    <w:rsid w:val="00836786"/>
    <w:rsid w:val="008370DB"/>
    <w:rsid w:val="008375B9"/>
    <w:rsid w:val="008377A2"/>
    <w:rsid w:val="008378A7"/>
    <w:rsid w:val="00840501"/>
    <w:rsid w:val="008406AA"/>
    <w:rsid w:val="00840729"/>
    <w:rsid w:val="008411A5"/>
    <w:rsid w:val="00841263"/>
    <w:rsid w:val="00841F07"/>
    <w:rsid w:val="008424B4"/>
    <w:rsid w:val="00842F89"/>
    <w:rsid w:val="00843206"/>
    <w:rsid w:val="00843C84"/>
    <w:rsid w:val="008443DC"/>
    <w:rsid w:val="00844459"/>
    <w:rsid w:val="00844762"/>
    <w:rsid w:val="00844B61"/>
    <w:rsid w:val="008457DF"/>
    <w:rsid w:val="00845C8F"/>
    <w:rsid w:val="00845F6B"/>
    <w:rsid w:val="00846563"/>
    <w:rsid w:val="00846DF6"/>
    <w:rsid w:val="00846EE6"/>
    <w:rsid w:val="008470D8"/>
    <w:rsid w:val="00847555"/>
    <w:rsid w:val="008502D7"/>
    <w:rsid w:val="008503C0"/>
    <w:rsid w:val="008504E1"/>
    <w:rsid w:val="008504E8"/>
    <w:rsid w:val="00850FE1"/>
    <w:rsid w:val="008511DC"/>
    <w:rsid w:val="00852144"/>
    <w:rsid w:val="00852E67"/>
    <w:rsid w:val="00853667"/>
    <w:rsid w:val="00853A72"/>
    <w:rsid w:val="00854716"/>
    <w:rsid w:val="00854762"/>
    <w:rsid w:val="00854E7C"/>
    <w:rsid w:val="008559E8"/>
    <w:rsid w:val="008567A3"/>
    <w:rsid w:val="00857507"/>
    <w:rsid w:val="00857C3D"/>
    <w:rsid w:val="00857D50"/>
    <w:rsid w:val="008602A7"/>
    <w:rsid w:val="00860DCD"/>
    <w:rsid w:val="00860F81"/>
    <w:rsid w:val="0086179A"/>
    <w:rsid w:val="00861990"/>
    <w:rsid w:val="00861F91"/>
    <w:rsid w:val="008629BF"/>
    <w:rsid w:val="00862CA3"/>
    <w:rsid w:val="008634C3"/>
    <w:rsid w:val="008635FC"/>
    <w:rsid w:val="008657E0"/>
    <w:rsid w:val="00865E97"/>
    <w:rsid w:val="00866854"/>
    <w:rsid w:val="00866B57"/>
    <w:rsid w:val="008678D5"/>
    <w:rsid w:val="00867A5E"/>
    <w:rsid w:val="00867AA1"/>
    <w:rsid w:val="00867F86"/>
    <w:rsid w:val="00871957"/>
    <w:rsid w:val="00872144"/>
    <w:rsid w:val="008721E0"/>
    <w:rsid w:val="00872650"/>
    <w:rsid w:val="00872A6D"/>
    <w:rsid w:val="00873529"/>
    <w:rsid w:val="008737D6"/>
    <w:rsid w:val="00873EB4"/>
    <w:rsid w:val="00873FA9"/>
    <w:rsid w:val="00874260"/>
    <w:rsid w:val="008748F1"/>
    <w:rsid w:val="00874FD1"/>
    <w:rsid w:val="008756DC"/>
    <w:rsid w:val="00875F10"/>
    <w:rsid w:val="0087630F"/>
    <w:rsid w:val="00876BB3"/>
    <w:rsid w:val="0087783A"/>
    <w:rsid w:val="00877D8B"/>
    <w:rsid w:val="00880D33"/>
    <w:rsid w:val="0088198A"/>
    <w:rsid w:val="00881BE0"/>
    <w:rsid w:val="00881DE2"/>
    <w:rsid w:val="00881E42"/>
    <w:rsid w:val="00882147"/>
    <w:rsid w:val="008825E2"/>
    <w:rsid w:val="008830E1"/>
    <w:rsid w:val="008835E2"/>
    <w:rsid w:val="00883645"/>
    <w:rsid w:val="008841F4"/>
    <w:rsid w:val="008856EB"/>
    <w:rsid w:val="0088608D"/>
    <w:rsid w:val="00886286"/>
    <w:rsid w:val="0088671A"/>
    <w:rsid w:val="0088699E"/>
    <w:rsid w:val="008871E3"/>
    <w:rsid w:val="00887486"/>
    <w:rsid w:val="00887698"/>
    <w:rsid w:val="008879AC"/>
    <w:rsid w:val="00887F0A"/>
    <w:rsid w:val="008912DE"/>
    <w:rsid w:val="008915C8"/>
    <w:rsid w:val="008918F2"/>
    <w:rsid w:val="00891D2A"/>
    <w:rsid w:val="00891F21"/>
    <w:rsid w:val="0089227F"/>
    <w:rsid w:val="00892E8F"/>
    <w:rsid w:val="00893121"/>
    <w:rsid w:val="008932CB"/>
    <w:rsid w:val="008939C7"/>
    <w:rsid w:val="008947DC"/>
    <w:rsid w:val="008949D4"/>
    <w:rsid w:val="00895276"/>
    <w:rsid w:val="00895283"/>
    <w:rsid w:val="00895387"/>
    <w:rsid w:val="00895722"/>
    <w:rsid w:val="00895777"/>
    <w:rsid w:val="00895970"/>
    <w:rsid w:val="00896DE3"/>
    <w:rsid w:val="00897264"/>
    <w:rsid w:val="008974E0"/>
    <w:rsid w:val="008A06DF"/>
    <w:rsid w:val="008A0902"/>
    <w:rsid w:val="008A0ABF"/>
    <w:rsid w:val="008A11E3"/>
    <w:rsid w:val="008A26FA"/>
    <w:rsid w:val="008A3F3E"/>
    <w:rsid w:val="008A411B"/>
    <w:rsid w:val="008A4381"/>
    <w:rsid w:val="008A48BE"/>
    <w:rsid w:val="008A4C88"/>
    <w:rsid w:val="008A586D"/>
    <w:rsid w:val="008A599F"/>
    <w:rsid w:val="008A5A48"/>
    <w:rsid w:val="008A5B1A"/>
    <w:rsid w:val="008A5E47"/>
    <w:rsid w:val="008A6175"/>
    <w:rsid w:val="008A6177"/>
    <w:rsid w:val="008A6569"/>
    <w:rsid w:val="008A746C"/>
    <w:rsid w:val="008A74F2"/>
    <w:rsid w:val="008B00B1"/>
    <w:rsid w:val="008B068B"/>
    <w:rsid w:val="008B0B75"/>
    <w:rsid w:val="008B1E61"/>
    <w:rsid w:val="008B280C"/>
    <w:rsid w:val="008B3136"/>
    <w:rsid w:val="008B349C"/>
    <w:rsid w:val="008B3535"/>
    <w:rsid w:val="008B3C33"/>
    <w:rsid w:val="008B48BE"/>
    <w:rsid w:val="008B4DA0"/>
    <w:rsid w:val="008B5936"/>
    <w:rsid w:val="008B61D5"/>
    <w:rsid w:val="008B61DC"/>
    <w:rsid w:val="008B6241"/>
    <w:rsid w:val="008B7D89"/>
    <w:rsid w:val="008C07AA"/>
    <w:rsid w:val="008C0C37"/>
    <w:rsid w:val="008C116B"/>
    <w:rsid w:val="008C11FF"/>
    <w:rsid w:val="008C15E5"/>
    <w:rsid w:val="008C1E82"/>
    <w:rsid w:val="008C2BAE"/>
    <w:rsid w:val="008C2C70"/>
    <w:rsid w:val="008C2F5B"/>
    <w:rsid w:val="008C3078"/>
    <w:rsid w:val="008C330D"/>
    <w:rsid w:val="008C3423"/>
    <w:rsid w:val="008C38A3"/>
    <w:rsid w:val="008C4104"/>
    <w:rsid w:val="008C41CD"/>
    <w:rsid w:val="008C48B2"/>
    <w:rsid w:val="008C51D2"/>
    <w:rsid w:val="008C55AB"/>
    <w:rsid w:val="008C5B22"/>
    <w:rsid w:val="008C5EC1"/>
    <w:rsid w:val="008C6211"/>
    <w:rsid w:val="008C6557"/>
    <w:rsid w:val="008C69CC"/>
    <w:rsid w:val="008C704C"/>
    <w:rsid w:val="008C7368"/>
    <w:rsid w:val="008C74C7"/>
    <w:rsid w:val="008C7B79"/>
    <w:rsid w:val="008C7F7E"/>
    <w:rsid w:val="008D0A0E"/>
    <w:rsid w:val="008D1094"/>
    <w:rsid w:val="008D1C5E"/>
    <w:rsid w:val="008D22D1"/>
    <w:rsid w:val="008D269E"/>
    <w:rsid w:val="008D27DC"/>
    <w:rsid w:val="008D2B01"/>
    <w:rsid w:val="008D2D3C"/>
    <w:rsid w:val="008D34AA"/>
    <w:rsid w:val="008D4AAF"/>
    <w:rsid w:val="008D4B05"/>
    <w:rsid w:val="008D501B"/>
    <w:rsid w:val="008D54EA"/>
    <w:rsid w:val="008D691E"/>
    <w:rsid w:val="008D6B91"/>
    <w:rsid w:val="008D6E98"/>
    <w:rsid w:val="008E0587"/>
    <w:rsid w:val="008E0805"/>
    <w:rsid w:val="008E1389"/>
    <w:rsid w:val="008E19E2"/>
    <w:rsid w:val="008E1A4F"/>
    <w:rsid w:val="008E1EC1"/>
    <w:rsid w:val="008E270E"/>
    <w:rsid w:val="008E27B9"/>
    <w:rsid w:val="008E293F"/>
    <w:rsid w:val="008E2B1D"/>
    <w:rsid w:val="008E2F77"/>
    <w:rsid w:val="008E3B83"/>
    <w:rsid w:val="008E3E1B"/>
    <w:rsid w:val="008E45D5"/>
    <w:rsid w:val="008E49AB"/>
    <w:rsid w:val="008E4EDA"/>
    <w:rsid w:val="008E51FA"/>
    <w:rsid w:val="008E522C"/>
    <w:rsid w:val="008E5D9A"/>
    <w:rsid w:val="008E735C"/>
    <w:rsid w:val="008E7A72"/>
    <w:rsid w:val="008F0C52"/>
    <w:rsid w:val="008F0C57"/>
    <w:rsid w:val="008F2521"/>
    <w:rsid w:val="008F267B"/>
    <w:rsid w:val="008F2699"/>
    <w:rsid w:val="008F289E"/>
    <w:rsid w:val="008F2A04"/>
    <w:rsid w:val="008F2D1A"/>
    <w:rsid w:val="008F2EC5"/>
    <w:rsid w:val="008F3295"/>
    <w:rsid w:val="008F423C"/>
    <w:rsid w:val="008F4FF5"/>
    <w:rsid w:val="008F58A9"/>
    <w:rsid w:val="008F6EAE"/>
    <w:rsid w:val="008F6EC5"/>
    <w:rsid w:val="00901054"/>
    <w:rsid w:val="00901613"/>
    <w:rsid w:val="009026E8"/>
    <w:rsid w:val="00902798"/>
    <w:rsid w:val="00902E80"/>
    <w:rsid w:val="00903176"/>
    <w:rsid w:val="00903AAB"/>
    <w:rsid w:val="00903C55"/>
    <w:rsid w:val="00903C8B"/>
    <w:rsid w:val="009045B7"/>
    <w:rsid w:val="0090498F"/>
    <w:rsid w:val="00905200"/>
    <w:rsid w:val="00905795"/>
    <w:rsid w:val="00906185"/>
    <w:rsid w:val="00906542"/>
    <w:rsid w:val="009068DF"/>
    <w:rsid w:val="00910BC1"/>
    <w:rsid w:val="00910DB5"/>
    <w:rsid w:val="00910E3B"/>
    <w:rsid w:val="009128CB"/>
    <w:rsid w:val="0091433F"/>
    <w:rsid w:val="00915310"/>
    <w:rsid w:val="0091548C"/>
    <w:rsid w:val="00915A78"/>
    <w:rsid w:val="00915BEF"/>
    <w:rsid w:val="00916006"/>
    <w:rsid w:val="00916219"/>
    <w:rsid w:val="009172D2"/>
    <w:rsid w:val="00917F91"/>
    <w:rsid w:val="0092001A"/>
    <w:rsid w:val="009205DA"/>
    <w:rsid w:val="00920660"/>
    <w:rsid w:val="009206BD"/>
    <w:rsid w:val="0092137A"/>
    <w:rsid w:val="009217B2"/>
    <w:rsid w:val="00922277"/>
    <w:rsid w:val="0092277E"/>
    <w:rsid w:val="0092279A"/>
    <w:rsid w:val="0092281E"/>
    <w:rsid w:val="00922B25"/>
    <w:rsid w:val="00923822"/>
    <w:rsid w:val="00924023"/>
    <w:rsid w:val="00924105"/>
    <w:rsid w:val="00924E08"/>
    <w:rsid w:val="00924F08"/>
    <w:rsid w:val="00925363"/>
    <w:rsid w:val="00925FFB"/>
    <w:rsid w:val="00926450"/>
    <w:rsid w:val="00926647"/>
    <w:rsid w:val="00926B85"/>
    <w:rsid w:val="00926F25"/>
    <w:rsid w:val="0092767F"/>
    <w:rsid w:val="009310A6"/>
    <w:rsid w:val="0093119D"/>
    <w:rsid w:val="00931351"/>
    <w:rsid w:val="00931353"/>
    <w:rsid w:val="00931994"/>
    <w:rsid w:val="009322A7"/>
    <w:rsid w:val="00932357"/>
    <w:rsid w:val="0093254D"/>
    <w:rsid w:val="00932592"/>
    <w:rsid w:val="00933EC3"/>
    <w:rsid w:val="00934474"/>
    <w:rsid w:val="00934911"/>
    <w:rsid w:val="009351C9"/>
    <w:rsid w:val="00935274"/>
    <w:rsid w:val="00935553"/>
    <w:rsid w:val="00935CAC"/>
    <w:rsid w:val="00935E9D"/>
    <w:rsid w:val="00937521"/>
    <w:rsid w:val="00940137"/>
    <w:rsid w:val="0094041E"/>
    <w:rsid w:val="00940763"/>
    <w:rsid w:val="00940D80"/>
    <w:rsid w:val="009410F0"/>
    <w:rsid w:val="00941674"/>
    <w:rsid w:val="00941C8B"/>
    <w:rsid w:val="009434F2"/>
    <w:rsid w:val="00943682"/>
    <w:rsid w:val="009440AB"/>
    <w:rsid w:val="009443E6"/>
    <w:rsid w:val="00944618"/>
    <w:rsid w:val="009448E8"/>
    <w:rsid w:val="009459F7"/>
    <w:rsid w:val="00945A98"/>
    <w:rsid w:val="009467E9"/>
    <w:rsid w:val="009469D5"/>
    <w:rsid w:val="009471F5"/>
    <w:rsid w:val="00947F9C"/>
    <w:rsid w:val="0095047E"/>
    <w:rsid w:val="009509ED"/>
    <w:rsid w:val="00950EFB"/>
    <w:rsid w:val="00951219"/>
    <w:rsid w:val="00951317"/>
    <w:rsid w:val="009513BF"/>
    <w:rsid w:val="009514B2"/>
    <w:rsid w:val="00951687"/>
    <w:rsid w:val="009516C0"/>
    <w:rsid w:val="009525D0"/>
    <w:rsid w:val="00952B1C"/>
    <w:rsid w:val="009539B5"/>
    <w:rsid w:val="00953AD3"/>
    <w:rsid w:val="00953B8D"/>
    <w:rsid w:val="00953BA8"/>
    <w:rsid w:val="0095613C"/>
    <w:rsid w:val="00956178"/>
    <w:rsid w:val="00956198"/>
    <w:rsid w:val="009562F2"/>
    <w:rsid w:val="009566C3"/>
    <w:rsid w:val="00956751"/>
    <w:rsid w:val="009571A9"/>
    <w:rsid w:val="00957332"/>
    <w:rsid w:val="00960BBF"/>
    <w:rsid w:val="009610EA"/>
    <w:rsid w:val="009611BF"/>
    <w:rsid w:val="0096144A"/>
    <w:rsid w:val="009621D8"/>
    <w:rsid w:val="0096288E"/>
    <w:rsid w:val="009631AF"/>
    <w:rsid w:val="009632EB"/>
    <w:rsid w:val="009635D3"/>
    <w:rsid w:val="00963870"/>
    <w:rsid w:val="00963AE6"/>
    <w:rsid w:val="00963B8E"/>
    <w:rsid w:val="00963D38"/>
    <w:rsid w:val="00963E69"/>
    <w:rsid w:val="009642FB"/>
    <w:rsid w:val="009648BF"/>
    <w:rsid w:val="00964C7A"/>
    <w:rsid w:val="00964E77"/>
    <w:rsid w:val="00964FC6"/>
    <w:rsid w:val="009651EE"/>
    <w:rsid w:val="009651F8"/>
    <w:rsid w:val="00965705"/>
    <w:rsid w:val="00966684"/>
    <w:rsid w:val="009666EE"/>
    <w:rsid w:val="0096700F"/>
    <w:rsid w:val="00967319"/>
    <w:rsid w:val="00967940"/>
    <w:rsid w:val="00967D2F"/>
    <w:rsid w:val="00967D56"/>
    <w:rsid w:val="00970A38"/>
    <w:rsid w:val="009716EF"/>
    <w:rsid w:val="00971DF2"/>
    <w:rsid w:val="00971FCC"/>
    <w:rsid w:val="009737F6"/>
    <w:rsid w:val="009738DC"/>
    <w:rsid w:val="00973934"/>
    <w:rsid w:val="009741D8"/>
    <w:rsid w:val="0097430A"/>
    <w:rsid w:val="0097435E"/>
    <w:rsid w:val="009743C6"/>
    <w:rsid w:val="00974D2B"/>
    <w:rsid w:val="00975189"/>
    <w:rsid w:val="0097580B"/>
    <w:rsid w:val="00976C36"/>
    <w:rsid w:val="00977151"/>
    <w:rsid w:val="0097715B"/>
    <w:rsid w:val="00977BED"/>
    <w:rsid w:val="009800EF"/>
    <w:rsid w:val="009804FE"/>
    <w:rsid w:val="00980849"/>
    <w:rsid w:val="00980A11"/>
    <w:rsid w:val="00980D55"/>
    <w:rsid w:val="009813C9"/>
    <w:rsid w:val="009813EB"/>
    <w:rsid w:val="009813F0"/>
    <w:rsid w:val="00981509"/>
    <w:rsid w:val="00981A17"/>
    <w:rsid w:val="00981A59"/>
    <w:rsid w:val="00981C9B"/>
    <w:rsid w:val="009824CB"/>
    <w:rsid w:val="00982B0B"/>
    <w:rsid w:val="00983156"/>
    <w:rsid w:val="0098331F"/>
    <w:rsid w:val="009839CC"/>
    <w:rsid w:val="009839E8"/>
    <w:rsid w:val="0098485A"/>
    <w:rsid w:val="0098534B"/>
    <w:rsid w:val="00985C9E"/>
    <w:rsid w:val="00986460"/>
    <w:rsid w:val="00986D81"/>
    <w:rsid w:val="00987E1D"/>
    <w:rsid w:val="00990B06"/>
    <w:rsid w:val="009927F6"/>
    <w:rsid w:val="009928EA"/>
    <w:rsid w:val="00993BB1"/>
    <w:rsid w:val="009945B8"/>
    <w:rsid w:val="00994A11"/>
    <w:rsid w:val="00995035"/>
    <w:rsid w:val="00995305"/>
    <w:rsid w:val="00995425"/>
    <w:rsid w:val="009958D5"/>
    <w:rsid w:val="00997336"/>
    <w:rsid w:val="009976B9"/>
    <w:rsid w:val="00997C30"/>
    <w:rsid w:val="009A0C4B"/>
    <w:rsid w:val="009A0FA8"/>
    <w:rsid w:val="009A113F"/>
    <w:rsid w:val="009A1284"/>
    <w:rsid w:val="009A1989"/>
    <w:rsid w:val="009A1B2B"/>
    <w:rsid w:val="009A1EB8"/>
    <w:rsid w:val="009A3E19"/>
    <w:rsid w:val="009A4494"/>
    <w:rsid w:val="009A4C3F"/>
    <w:rsid w:val="009A5244"/>
    <w:rsid w:val="009A6F03"/>
    <w:rsid w:val="009A7922"/>
    <w:rsid w:val="009B023E"/>
    <w:rsid w:val="009B05DE"/>
    <w:rsid w:val="009B0B38"/>
    <w:rsid w:val="009B135B"/>
    <w:rsid w:val="009B2288"/>
    <w:rsid w:val="009B22CA"/>
    <w:rsid w:val="009B2334"/>
    <w:rsid w:val="009B2571"/>
    <w:rsid w:val="009B2924"/>
    <w:rsid w:val="009B3448"/>
    <w:rsid w:val="009B3892"/>
    <w:rsid w:val="009B3A03"/>
    <w:rsid w:val="009B3B05"/>
    <w:rsid w:val="009B40C6"/>
    <w:rsid w:val="009B424A"/>
    <w:rsid w:val="009B48CE"/>
    <w:rsid w:val="009B4EA3"/>
    <w:rsid w:val="009B5033"/>
    <w:rsid w:val="009B520E"/>
    <w:rsid w:val="009B55CB"/>
    <w:rsid w:val="009B5AA8"/>
    <w:rsid w:val="009B5D23"/>
    <w:rsid w:val="009B64B6"/>
    <w:rsid w:val="009B65DF"/>
    <w:rsid w:val="009B79DB"/>
    <w:rsid w:val="009B7E08"/>
    <w:rsid w:val="009B7EBD"/>
    <w:rsid w:val="009C040A"/>
    <w:rsid w:val="009C0671"/>
    <w:rsid w:val="009C097F"/>
    <w:rsid w:val="009C0A6B"/>
    <w:rsid w:val="009C0CC8"/>
    <w:rsid w:val="009C22AB"/>
    <w:rsid w:val="009C29BD"/>
    <w:rsid w:val="009C2DB0"/>
    <w:rsid w:val="009C3352"/>
    <w:rsid w:val="009C35C0"/>
    <w:rsid w:val="009C3D4F"/>
    <w:rsid w:val="009C410C"/>
    <w:rsid w:val="009C4650"/>
    <w:rsid w:val="009C4FF2"/>
    <w:rsid w:val="009C56CB"/>
    <w:rsid w:val="009C5BB3"/>
    <w:rsid w:val="009C64CC"/>
    <w:rsid w:val="009C6B31"/>
    <w:rsid w:val="009C6C4C"/>
    <w:rsid w:val="009C6D29"/>
    <w:rsid w:val="009C6FED"/>
    <w:rsid w:val="009C73C0"/>
    <w:rsid w:val="009C7F1F"/>
    <w:rsid w:val="009D2188"/>
    <w:rsid w:val="009D22AD"/>
    <w:rsid w:val="009D2522"/>
    <w:rsid w:val="009D29ED"/>
    <w:rsid w:val="009D534A"/>
    <w:rsid w:val="009D5743"/>
    <w:rsid w:val="009D5D48"/>
    <w:rsid w:val="009D5E10"/>
    <w:rsid w:val="009E0000"/>
    <w:rsid w:val="009E01A0"/>
    <w:rsid w:val="009E0658"/>
    <w:rsid w:val="009E0C0B"/>
    <w:rsid w:val="009E12D4"/>
    <w:rsid w:val="009E3FF9"/>
    <w:rsid w:val="009E425D"/>
    <w:rsid w:val="009E4400"/>
    <w:rsid w:val="009E4D52"/>
    <w:rsid w:val="009E4F07"/>
    <w:rsid w:val="009E5B69"/>
    <w:rsid w:val="009E5BD4"/>
    <w:rsid w:val="009E5BDE"/>
    <w:rsid w:val="009E5C15"/>
    <w:rsid w:val="009E6BCB"/>
    <w:rsid w:val="009E72BB"/>
    <w:rsid w:val="009E751D"/>
    <w:rsid w:val="009E761B"/>
    <w:rsid w:val="009E76CC"/>
    <w:rsid w:val="009F0B9B"/>
    <w:rsid w:val="009F0E5A"/>
    <w:rsid w:val="009F17B6"/>
    <w:rsid w:val="009F1A86"/>
    <w:rsid w:val="009F2EE9"/>
    <w:rsid w:val="009F347F"/>
    <w:rsid w:val="009F3C96"/>
    <w:rsid w:val="009F4FF5"/>
    <w:rsid w:val="009F50FC"/>
    <w:rsid w:val="009F5540"/>
    <w:rsid w:val="009F5870"/>
    <w:rsid w:val="009F587B"/>
    <w:rsid w:val="009F5962"/>
    <w:rsid w:val="009F5F0D"/>
    <w:rsid w:val="009F63A2"/>
    <w:rsid w:val="009F63BD"/>
    <w:rsid w:val="009F6789"/>
    <w:rsid w:val="009F69BA"/>
    <w:rsid w:val="009F6FE9"/>
    <w:rsid w:val="009F7AB1"/>
    <w:rsid w:val="009F7D65"/>
    <w:rsid w:val="00A00394"/>
    <w:rsid w:val="00A007CC"/>
    <w:rsid w:val="00A009C7"/>
    <w:rsid w:val="00A00DE7"/>
    <w:rsid w:val="00A0153D"/>
    <w:rsid w:val="00A01F91"/>
    <w:rsid w:val="00A0244A"/>
    <w:rsid w:val="00A027CB"/>
    <w:rsid w:val="00A02A39"/>
    <w:rsid w:val="00A0309A"/>
    <w:rsid w:val="00A03372"/>
    <w:rsid w:val="00A03990"/>
    <w:rsid w:val="00A0512B"/>
    <w:rsid w:val="00A05151"/>
    <w:rsid w:val="00A0528E"/>
    <w:rsid w:val="00A05985"/>
    <w:rsid w:val="00A05FB6"/>
    <w:rsid w:val="00A063DE"/>
    <w:rsid w:val="00A065DC"/>
    <w:rsid w:val="00A068DD"/>
    <w:rsid w:val="00A068EF"/>
    <w:rsid w:val="00A06A5B"/>
    <w:rsid w:val="00A06CD8"/>
    <w:rsid w:val="00A074E8"/>
    <w:rsid w:val="00A0772D"/>
    <w:rsid w:val="00A0780C"/>
    <w:rsid w:val="00A0786E"/>
    <w:rsid w:val="00A07AD6"/>
    <w:rsid w:val="00A07B6B"/>
    <w:rsid w:val="00A11713"/>
    <w:rsid w:val="00A119CF"/>
    <w:rsid w:val="00A11BA1"/>
    <w:rsid w:val="00A12629"/>
    <w:rsid w:val="00A1589D"/>
    <w:rsid w:val="00A15B83"/>
    <w:rsid w:val="00A15DD4"/>
    <w:rsid w:val="00A1642A"/>
    <w:rsid w:val="00A16689"/>
    <w:rsid w:val="00A168C1"/>
    <w:rsid w:val="00A16A31"/>
    <w:rsid w:val="00A1720B"/>
    <w:rsid w:val="00A174C5"/>
    <w:rsid w:val="00A17EBC"/>
    <w:rsid w:val="00A2168B"/>
    <w:rsid w:val="00A22580"/>
    <w:rsid w:val="00A22C9B"/>
    <w:rsid w:val="00A230D7"/>
    <w:rsid w:val="00A239CB"/>
    <w:rsid w:val="00A24229"/>
    <w:rsid w:val="00A244B9"/>
    <w:rsid w:val="00A25081"/>
    <w:rsid w:val="00A25794"/>
    <w:rsid w:val="00A25E75"/>
    <w:rsid w:val="00A2613A"/>
    <w:rsid w:val="00A26888"/>
    <w:rsid w:val="00A26A56"/>
    <w:rsid w:val="00A26EA6"/>
    <w:rsid w:val="00A2709F"/>
    <w:rsid w:val="00A27C07"/>
    <w:rsid w:val="00A307ED"/>
    <w:rsid w:val="00A30C59"/>
    <w:rsid w:val="00A30E40"/>
    <w:rsid w:val="00A31463"/>
    <w:rsid w:val="00A31FE7"/>
    <w:rsid w:val="00A320AF"/>
    <w:rsid w:val="00A32112"/>
    <w:rsid w:val="00A329A7"/>
    <w:rsid w:val="00A32C09"/>
    <w:rsid w:val="00A33881"/>
    <w:rsid w:val="00A33A17"/>
    <w:rsid w:val="00A346BE"/>
    <w:rsid w:val="00A360A4"/>
    <w:rsid w:val="00A3651E"/>
    <w:rsid w:val="00A3666C"/>
    <w:rsid w:val="00A3684E"/>
    <w:rsid w:val="00A36948"/>
    <w:rsid w:val="00A369C8"/>
    <w:rsid w:val="00A36B0A"/>
    <w:rsid w:val="00A36EC9"/>
    <w:rsid w:val="00A40D21"/>
    <w:rsid w:val="00A4116B"/>
    <w:rsid w:val="00A416C3"/>
    <w:rsid w:val="00A41701"/>
    <w:rsid w:val="00A41ABB"/>
    <w:rsid w:val="00A42628"/>
    <w:rsid w:val="00A42B3C"/>
    <w:rsid w:val="00A42C57"/>
    <w:rsid w:val="00A43612"/>
    <w:rsid w:val="00A4396F"/>
    <w:rsid w:val="00A43AF1"/>
    <w:rsid w:val="00A43F4B"/>
    <w:rsid w:val="00A44300"/>
    <w:rsid w:val="00A4487C"/>
    <w:rsid w:val="00A449A4"/>
    <w:rsid w:val="00A44A51"/>
    <w:rsid w:val="00A45468"/>
    <w:rsid w:val="00A45730"/>
    <w:rsid w:val="00A45A23"/>
    <w:rsid w:val="00A46C48"/>
    <w:rsid w:val="00A46E06"/>
    <w:rsid w:val="00A47148"/>
    <w:rsid w:val="00A4725E"/>
    <w:rsid w:val="00A50D32"/>
    <w:rsid w:val="00A50E0C"/>
    <w:rsid w:val="00A51476"/>
    <w:rsid w:val="00A51E94"/>
    <w:rsid w:val="00A52848"/>
    <w:rsid w:val="00A52A2D"/>
    <w:rsid w:val="00A53437"/>
    <w:rsid w:val="00A53B0A"/>
    <w:rsid w:val="00A53EDB"/>
    <w:rsid w:val="00A53F8A"/>
    <w:rsid w:val="00A54683"/>
    <w:rsid w:val="00A54A0A"/>
    <w:rsid w:val="00A54A6B"/>
    <w:rsid w:val="00A54C94"/>
    <w:rsid w:val="00A555B0"/>
    <w:rsid w:val="00A55852"/>
    <w:rsid w:val="00A5716D"/>
    <w:rsid w:val="00A57630"/>
    <w:rsid w:val="00A57799"/>
    <w:rsid w:val="00A57A0A"/>
    <w:rsid w:val="00A6080D"/>
    <w:rsid w:val="00A608B1"/>
    <w:rsid w:val="00A60C28"/>
    <w:rsid w:val="00A612DA"/>
    <w:rsid w:val="00A62362"/>
    <w:rsid w:val="00A6267F"/>
    <w:rsid w:val="00A62BC9"/>
    <w:rsid w:val="00A62FBD"/>
    <w:rsid w:val="00A6318D"/>
    <w:rsid w:val="00A63C01"/>
    <w:rsid w:val="00A6421B"/>
    <w:rsid w:val="00A64B39"/>
    <w:rsid w:val="00A65154"/>
    <w:rsid w:val="00A65769"/>
    <w:rsid w:val="00A65F0E"/>
    <w:rsid w:val="00A66729"/>
    <w:rsid w:val="00A66F07"/>
    <w:rsid w:val="00A67B5E"/>
    <w:rsid w:val="00A70482"/>
    <w:rsid w:val="00A70520"/>
    <w:rsid w:val="00A70A50"/>
    <w:rsid w:val="00A70CAF"/>
    <w:rsid w:val="00A70EE0"/>
    <w:rsid w:val="00A71E25"/>
    <w:rsid w:val="00A72501"/>
    <w:rsid w:val="00A729DF"/>
    <w:rsid w:val="00A72B61"/>
    <w:rsid w:val="00A72D2F"/>
    <w:rsid w:val="00A732B9"/>
    <w:rsid w:val="00A73385"/>
    <w:rsid w:val="00A7351E"/>
    <w:rsid w:val="00A73986"/>
    <w:rsid w:val="00A73BB9"/>
    <w:rsid w:val="00A73F71"/>
    <w:rsid w:val="00A74446"/>
    <w:rsid w:val="00A74B87"/>
    <w:rsid w:val="00A757DE"/>
    <w:rsid w:val="00A760CA"/>
    <w:rsid w:val="00A767EB"/>
    <w:rsid w:val="00A76EFD"/>
    <w:rsid w:val="00A770B1"/>
    <w:rsid w:val="00A8033A"/>
    <w:rsid w:val="00A80ADE"/>
    <w:rsid w:val="00A81476"/>
    <w:rsid w:val="00A81BCE"/>
    <w:rsid w:val="00A825D1"/>
    <w:rsid w:val="00A82959"/>
    <w:rsid w:val="00A84C06"/>
    <w:rsid w:val="00A86004"/>
    <w:rsid w:val="00A8668B"/>
    <w:rsid w:val="00A86920"/>
    <w:rsid w:val="00A87E23"/>
    <w:rsid w:val="00A90249"/>
    <w:rsid w:val="00A9024E"/>
    <w:rsid w:val="00A90287"/>
    <w:rsid w:val="00A9033E"/>
    <w:rsid w:val="00A913EC"/>
    <w:rsid w:val="00A91710"/>
    <w:rsid w:val="00A91DFA"/>
    <w:rsid w:val="00A9287F"/>
    <w:rsid w:val="00A92BD9"/>
    <w:rsid w:val="00A92D5B"/>
    <w:rsid w:val="00A92E09"/>
    <w:rsid w:val="00A92E4C"/>
    <w:rsid w:val="00A92F14"/>
    <w:rsid w:val="00A93148"/>
    <w:rsid w:val="00A93937"/>
    <w:rsid w:val="00A93A90"/>
    <w:rsid w:val="00A93EF2"/>
    <w:rsid w:val="00A93FCF"/>
    <w:rsid w:val="00A94374"/>
    <w:rsid w:val="00A95EF4"/>
    <w:rsid w:val="00A9633F"/>
    <w:rsid w:val="00A96664"/>
    <w:rsid w:val="00A96890"/>
    <w:rsid w:val="00A972C9"/>
    <w:rsid w:val="00A97689"/>
    <w:rsid w:val="00A97809"/>
    <w:rsid w:val="00A979ED"/>
    <w:rsid w:val="00A97BEB"/>
    <w:rsid w:val="00AA0A42"/>
    <w:rsid w:val="00AA0C13"/>
    <w:rsid w:val="00AA0C42"/>
    <w:rsid w:val="00AA0E5C"/>
    <w:rsid w:val="00AA0FFD"/>
    <w:rsid w:val="00AA13B8"/>
    <w:rsid w:val="00AA1A2A"/>
    <w:rsid w:val="00AA1B99"/>
    <w:rsid w:val="00AA1F4B"/>
    <w:rsid w:val="00AA205B"/>
    <w:rsid w:val="00AA268D"/>
    <w:rsid w:val="00AA294D"/>
    <w:rsid w:val="00AA2E3E"/>
    <w:rsid w:val="00AA3A8D"/>
    <w:rsid w:val="00AA4B6D"/>
    <w:rsid w:val="00AA4E60"/>
    <w:rsid w:val="00AA4F7E"/>
    <w:rsid w:val="00AA5131"/>
    <w:rsid w:val="00AA6186"/>
    <w:rsid w:val="00AA7DA6"/>
    <w:rsid w:val="00AB0147"/>
    <w:rsid w:val="00AB037E"/>
    <w:rsid w:val="00AB0618"/>
    <w:rsid w:val="00AB0B60"/>
    <w:rsid w:val="00AB0D10"/>
    <w:rsid w:val="00AB0DF9"/>
    <w:rsid w:val="00AB0E83"/>
    <w:rsid w:val="00AB1185"/>
    <w:rsid w:val="00AB1CE0"/>
    <w:rsid w:val="00AB2097"/>
    <w:rsid w:val="00AB2201"/>
    <w:rsid w:val="00AB29BA"/>
    <w:rsid w:val="00AB2BFB"/>
    <w:rsid w:val="00AB2CBD"/>
    <w:rsid w:val="00AB3503"/>
    <w:rsid w:val="00AB391F"/>
    <w:rsid w:val="00AB3C3E"/>
    <w:rsid w:val="00AB433D"/>
    <w:rsid w:val="00AB4828"/>
    <w:rsid w:val="00AB4F35"/>
    <w:rsid w:val="00AB53A7"/>
    <w:rsid w:val="00AB5B81"/>
    <w:rsid w:val="00AB5F46"/>
    <w:rsid w:val="00AB61F6"/>
    <w:rsid w:val="00AB6211"/>
    <w:rsid w:val="00AB64C8"/>
    <w:rsid w:val="00AB741D"/>
    <w:rsid w:val="00AB7B58"/>
    <w:rsid w:val="00AB7EC2"/>
    <w:rsid w:val="00AC01B6"/>
    <w:rsid w:val="00AC02CD"/>
    <w:rsid w:val="00AC13A7"/>
    <w:rsid w:val="00AC1866"/>
    <w:rsid w:val="00AC18DB"/>
    <w:rsid w:val="00AC2B96"/>
    <w:rsid w:val="00AC2EEF"/>
    <w:rsid w:val="00AC3163"/>
    <w:rsid w:val="00AC4565"/>
    <w:rsid w:val="00AC5F79"/>
    <w:rsid w:val="00AC6AC9"/>
    <w:rsid w:val="00AC7DBD"/>
    <w:rsid w:val="00AD08B6"/>
    <w:rsid w:val="00AD0BD8"/>
    <w:rsid w:val="00AD1286"/>
    <w:rsid w:val="00AD14F1"/>
    <w:rsid w:val="00AD1B90"/>
    <w:rsid w:val="00AD1C40"/>
    <w:rsid w:val="00AD1F78"/>
    <w:rsid w:val="00AD22C2"/>
    <w:rsid w:val="00AD2336"/>
    <w:rsid w:val="00AD266E"/>
    <w:rsid w:val="00AD3563"/>
    <w:rsid w:val="00AD3981"/>
    <w:rsid w:val="00AD4FB9"/>
    <w:rsid w:val="00AD55AE"/>
    <w:rsid w:val="00AD5D7D"/>
    <w:rsid w:val="00AD6385"/>
    <w:rsid w:val="00AD688C"/>
    <w:rsid w:val="00AD6C02"/>
    <w:rsid w:val="00AD6FF5"/>
    <w:rsid w:val="00AD7036"/>
    <w:rsid w:val="00AD79E3"/>
    <w:rsid w:val="00AE011F"/>
    <w:rsid w:val="00AE0628"/>
    <w:rsid w:val="00AE079E"/>
    <w:rsid w:val="00AE0D41"/>
    <w:rsid w:val="00AE13A5"/>
    <w:rsid w:val="00AE2396"/>
    <w:rsid w:val="00AE2F0F"/>
    <w:rsid w:val="00AE3075"/>
    <w:rsid w:val="00AE39E0"/>
    <w:rsid w:val="00AE5A7C"/>
    <w:rsid w:val="00AE6619"/>
    <w:rsid w:val="00AE6882"/>
    <w:rsid w:val="00AE6C92"/>
    <w:rsid w:val="00AE6DA4"/>
    <w:rsid w:val="00AE6FF8"/>
    <w:rsid w:val="00AE7521"/>
    <w:rsid w:val="00AE7A3E"/>
    <w:rsid w:val="00AE7F1B"/>
    <w:rsid w:val="00AF01B4"/>
    <w:rsid w:val="00AF032E"/>
    <w:rsid w:val="00AF06F9"/>
    <w:rsid w:val="00AF0AD9"/>
    <w:rsid w:val="00AF126E"/>
    <w:rsid w:val="00AF187A"/>
    <w:rsid w:val="00AF1F55"/>
    <w:rsid w:val="00AF20DA"/>
    <w:rsid w:val="00AF23BD"/>
    <w:rsid w:val="00AF263F"/>
    <w:rsid w:val="00AF2917"/>
    <w:rsid w:val="00AF2B00"/>
    <w:rsid w:val="00AF2B58"/>
    <w:rsid w:val="00AF315A"/>
    <w:rsid w:val="00AF370D"/>
    <w:rsid w:val="00AF3DCC"/>
    <w:rsid w:val="00AF43AC"/>
    <w:rsid w:val="00AF4FFA"/>
    <w:rsid w:val="00AF518E"/>
    <w:rsid w:val="00AF55E5"/>
    <w:rsid w:val="00AF5A3F"/>
    <w:rsid w:val="00AF668E"/>
    <w:rsid w:val="00AF6E04"/>
    <w:rsid w:val="00AF7835"/>
    <w:rsid w:val="00AF7A8D"/>
    <w:rsid w:val="00B00EF2"/>
    <w:rsid w:val="00B0197E"/>
    <w:rsid w:val="00B02A8F"/>
    <w:rsid w:val="00B03691"/>
    <w:rsid w:val="00B039E2"/>
    <w:rsid w:val="00B03E1C"/>
    <w:rsid w:val="00B04A41"/>
    <w:rsid w:val="00B04B32"/>
    <w:rsid w:val="00B04B7F"/>
    <w:rsid w:val="00B05714"/>
    <w:rsid w:val="00B060C2"/>
    <w:rsid w:val="00B06A9E"/>
    <w:rsid w:val="00B06DF2"/>
    <w:rsid w:val="00B0730E"/>
    <w:rsid w:val="00B1025C"/>
    <w:rsid w:val="00B103A6"/>
    <w:rsid w:val="00B104DC"/>
    <w:rsid w:val="00B110E3"/>
    <w:rsid w:val="00B116E4"/>
    <w:rsid w:val="00B1176B"/>
    <w:rsid w:val="00B11C16"/>
    <w:rsid w:val="00B12ACF"/>
    <w:rsid w:val="00B12D12"/>
    <w:rsid w:val="00B137F9"/>
    <w:rsid w:val="00B1421C"/>
    <w:rsid w:val="00B14580"/>
    <w:rsid w:val="00B14742"/>
    <w:rsid w:val="00B14FE6"/>
    <w:rsid w:val="00B1560B"/>
    <w:rsid w:val="00B15FD7"/>
    <w:rsid w:val="00B16154"/>
    <w:rsid w:val="00B161BB"/>
    <w:rsid w:val="00B16545"/>
    <w:rsid w:val="00B165B6"/>
    <w:rsid w:val="00B16BFB"/>
    <w:rsid w:val="00B16E2E"/>
    <w:rsid w:val="00B17658"/>
    <w:rsid w:val="00B17B06"/>
    <w:rsid w:val="00B2011D"/>
    <w:rsid w:val="00B20488"/>
    <w:rsid w:val="00B21EA4"/>
    <w:rsid w:val="00B22022"/>
    <w:rsid w:val="00B22064"/>
    <w:rsid w:val="00B22F45"/>
    <w:rsid w:val="00B23032"/>
    <w:rsid w:val="00B2317E"/>
    <w:rsid w:val="00B23327"/>
    <w:rsid w:val="00B237B6"/>
    <w:rsid w:val="00B23982"/>
    <w:rsid w:val="00B23B81"/>
    <w:rsid w:val="00B23F8D"/>
    <w:rsid w:val="00B24297"/>
    <w:rsid w:val="00B2500E"/>
    <w:rsid w:val="00B25EA8"/>
    <w:rsid w:val="00B26157"/>
    <w:rsid w:val="00B267C1"/>
    <w:rsid w:val="00B27041"/>
    <w:rsid w:val="00B30777"/>
    <w:rsid w:val="00B30A2C"/>
    <w:rsid w:val="00B31838"/>
    <w:rsid w:val="00B3184D"/>
    <w:rsid w:val="00B31932"/>
    <w:rsid w:val="00B32498"/>
    <w:rsid w:val="00B32569"/>
    <w:rsid w:val="00B32F8F"/>
    <w:rsid w:val="00B33183"/>
    <w:rsid w:val="00B339D1"/>
    <w:rsid w:val="00B33B78"/>
    <w:rsid w:val="00B33C39"/>
    <w:rsid w:val="00B33E59"/>
    <w:rsid w:val="00B3605D"/>
    <w:rsid w:val="00B367DC"/>
    <w:rsid w:val="00B36B3C"/>
    <w:rsid w:val="00B36EC1"/>
    <w:rsid w:val="00B36F7C"/>
    <w:rsid w:val="00B371AB"/>
    <w:rsid w:val="00B40B84"/>
    <w:rsid w:val="00B40CDB"/>
    <w:rsid w:val="00B41590"/>
    <w:rsid w:val="00B419F7"/>
    <w:rsid w:val="00B428A8"/>
    <w:rsid w:val="00B43628"/>
    <w:rsid w:val="00B4364B"/>
    <w:rsid w:val="00B43786"/>
    <w:rsid w:val="00B439B9"/>
    <w:rsid w:val="00B43CBC"/>
    <w:rsid w:val="00B44566"/>
    <w:rsid w:val="00B447D6"/>
    <w:rsid w:val="00B45225"/>
    <w:rsid w:val="00B45755"/>
    <w:rsid w:val="00B45FDD"/>
    <w:rsid w:val="00B46021"/>
    <w:rsid w:val="00B46728"/>
    <w:rsid w:val="00B471EA"/>
    <w:rsid w:val="00B477D8"/>
    <w:rsid w:val="00B47DDA"/>
    <w:rsid w:val="00B50B33"/>
    <w:rsid w:val="00B50F82"/>
    <w:rsid w:val="00B511EC"/>
    <w:rsid w:val="00B512CA"/>
    <w:rsid w:val="00B512F8"/>
    <w:rsid w:val="00B514BC"/>
    <w:rsid w:val="00B51AE3"/>
    <w:rsid w:val="00B5233A"/>
    <w:rsid w:val="00B52F43"/>
    <w:rsid w:val="00B53488"/>
    <w:rsid w:val="00B53523"/>
    <w:rsid w:val="00B53879"/>
    <w:rsid w:val="00B54BD5"/>
    <w:rsid w:val="00B55A5C"/>
    <w:rsid w:val="00B55E68"/>
    <w:rsid w:val="00B55E87"/>
    <w:rsid w:val="00B5681F"/>
    <w:rsid w:val="00B570B0"/>
    <w:rsid w:val="00B5718E"/>
    <w:rsid w:val="00B573F7"/>
    <w:rsid w:val="00B57F89"/>
    <w:rsid w:val="00B6085C"/>
    <w:rsid w:val="00B60C0B"/>
    <w:rsid w:val="00B6144F"/>
    <w:rsid w:val="00B615A2"/>
    <w:rsid w:val="00B61A5F"/>
    <w:rsid w:val="00B61B76"/>
    <w:rsid w:val="00B61CB5"/>
    <w:rsid w:val="00B61D95"/>
    <w:rsid w:val="00B62558"/>
    <w:rsid w:val="00B631FF"/>
    <w:rsid w:val="00B63467"/>
    <w:rsid w:val="00B634F5"/>
    <w:rsid w:val="00B63592"/>
    <w:rsid w:val="00B637C0"/>
    <w:rsid w:val="00B64584"/>
    <w:rsid w:val="00B64E19"/>
    <w:rsid w:val="00B66084"/>
    <w:rsid w:val="00B66536"/>
    <w:rsid w:val="00B672A0"/>
    <w:rsid w:val="00B673DF"/>
    <w:rsid w:val="00B67706"/>
    <w:rsid w:val="00B67A69"/>
    <w:rsid w:val="00B70381"/>
    <w:rsid w:val="00B70867"/>
    <w:rsid w:val="00B712B4"/>
    <w:rsid w:val="00B71640"/>
    <w:rsid w:val="00B7165B"/>
    <w:rsid w:val="00B72081"/>
    <w:rsid w:val="00B722C6"/>
    <w:rsid w:val="00B7237B"/>
    <w:rsid w:val="00B728D4"/>
    <w:rsid w:val="00B72C57"/>
    <w:rsid w:val="00B72EE8"/>
    <w:rsid w:val="00B734CC"/>
    <w:rsid w:val="00B73B03"/>
    <w:rsid w:val="00B74B20"/>
    <w:rsid w:val="00B74C8C"/>
    <w:rsid w:val="00B75074"/>
    <w:rsid w:val="00B754AF"/>
    <w:rsid w:val="00B75B95"/>
    <w:rsid w:val="00B76726"/>
    <w:rsid w:val="00B76A8D"/>
    <w:rsid w:val="00B76FA5"/>
    <w:rsid w:val="00B7723D"/>
    <w:rsid w:val="00B7775C"/>
    <w:rsid w:val="00B8000F"/>
    <w:rsid w:val="00B8034F"/>
    <w:rsid w:val="00B8075B"/>
    <w:rsid w:val="00B808A2"/>
    <w:rsid w:val="00B80C1D"/>
    <w:rsid w:val="00B81157"/>
    <w:rsid w:val="00B814C3"/>
    <w:rsid w:val="00B81FE6"/>
    <w:rsid w:val="00B82844"/>
    <w:rsid w:val="00B828C3"/>
    <w:rsid w:val="00B833AA"/>
    <w:rsid w:val="00B836AB"/>
    <w:rsid w:val="00B83A49"/>
    <w:rsid w:val="00B83CF6"/>
    <w:rsid w:val="00B84307"/>
    <w:rsid w:val="00B84371"/>
    <w:rsid w:val="00B847C1"/>
    <w:rsid w:val="00B84B20"/>
    <w:rsid w:val="00B84ECB"/>
    <w:rsid w:val="00B85752"/>
    <w:rsid w:val="00B857F1"/>
    <w:rsid w:val="00B858A5"/>
    <w:rsid w:val="00B858A8"/>
    <w:rsid w:val="00B8694A"/>
    <w:rsid w:val="00B86A5E"/>
    <w:rsid w:val="00B87536"/>
    <w:rsid w:val="00B90003"/>
    <w:rsid w:val="00B903A0"/>
    <w:rsid w:val="00B90903"/>
    <w:rsid w:val="00B90BB1"/>
    <w:rsid w:val="00B911DB"/>
    <w:rsid w:val="00B9127E"/>
    <w:rsid w:val="00B915E5"/>
    <w:rsid w:val="00B9176A"/>
    <w:rsid w:val="00B9194B"/>
    <w:rsid w:val="00B91D25"/>
    <w:rsid w:val="00B92052"/>
    <w:rsid w:val="00B928A1"/>
    <w:rsid w:val="00B92942"/>
    <w:rsid w:val="00B931C3"/>
    <w:rsid w:val="00B934F5"/>
    <w:rsid w:val="00B93A5A"/>
    <w:rsid w:val="00B93C86"/>
    <w:rsid w:val="00B94109"/>
    <w:rsid w:val="00B94220"/>
    <w:rsid w:val="00B94413"/>
    <w:rsid w:val="00B94496"/>
    <w:rsid w:val="00B945EA"/>
    <w:rsid w:val="00B95216"/>
    <w:rsid w:val="00B952B9"/>
    <w:rsid w:val="00B956FB"/>
    <w:rsid w:val="00B95871"/>
    <w:rsid w:val="00B958AA"/>
    <w:rsid w:val="00B95B2D"/>
    <w:rsid w:val="00B960D4"/>
    <w:rsid w:val="00B961C6"/>
    <w:rsid w:val="00B96356"/>
    <w:rsid w:val="00B96645"/>
    <w:rsid w:val="00B966B5"/>
    <w:rsid w:val="00B97391"/>
    <w:rsid w:val="00B977F6"/>
    <w:rsid w:val="00B97822"/>
    <w:rsid w:val="00B97E4D"/>
    <w:rsid w:val="00BA04CE"/>
    <w:rsid w:val="00BA073F"/>
    <w:rsid w:val="00BA101C"/>
    <w:rsid w:val="00BA10A4"/>
    <w:rsid w:val="00BA12F4"/>
    <w:rsid w:val="00BA15B4"/>
    <w:rsid w:val="00BA1BF6"/>
    <w:rsid w:val="00BA1F0A"/>
    <w:rsid w:val="00BA2C7D"/>
    <w:rsid w:val="00BA3F55"/>
    <w:rsid w:val="00BA504F"/>
    <w:rsid w:val="00BA5451"/>
    <w:rsid w:val="00BA56D5"/>
    <w:rsid w:val="00BA7534"/>
    <w:rsid w:val="00BA789A"/>
    <w:rsid w:val="00BB0132"/>
    <w:rsid w:val="00BB1108"/>
    <w:rsid w:val="00BB1155"/>
    <w:rsid w:val="00BB144B"/>
    <w:rsid w:val="00BB183A"/>
    <w:rsid w:val="00BB1C0C"/>
    <w:rsid w:val="00BB208C"/>
    <w:rsid w:val="00BB2181"/>
    <w:rsid w:val="00BB2419"/>
    <w:rsid w:val="00BB2657"/>
    <w:rsid w:val="00BB271E"/>
    <w:rsid w:val="00BB2998"/>
    <w:rsid w:val="00BB33EC"/>
    <w:rsid w:val="00BB3C12"/>
    <w:rsid w:val="00BB4920"/>
    <w:rsid w:val="00BB49D7"/>
    <w:rsid w:val="00BB4A36"/>
    <w:rsid w:val="00BB4E18"/>
    <w:rsid w:val="00BB52DD"/>
    <w:rsid w:val="00BB58D4"/>
    <w:rsid w:val="00BB5F9B"/>
    <w:rsid w:val="00BB60A4"/>
    <w:rsid w:val="00BB6A6D"/>
    <w:rsid w:val="00BB6FA6"/>
    <w:rsid w:val="00BB6FBE"/>
    <w:rsid w:val="00BB792A"/>
    <w:rsid w:val="00BB7C11"/>
    <w:rsid w:val="00BC0A86"/>
    <w:rsid w:val="00BC0B4C"/>
    <w:rsid w:val="00BC0F78"/>
    <w:rsid w:val="00BC1AE8"/>
    <w:rsid w:val="00BC275A"/>
    <w:rsid w:val="00BC30FC"/>
    <w:rsid w:val="00BC3172"/>
    <w:rsid w:val="00BC33AF"/>
    <w:rsid w:val="00BC3894"/>
    <w:rsid w:val="00BC3D86"/>
    <w:rsid w:val="00BC3EF9"/>
    <w:rsid w:val="00BC42B7"/>
    <w:rsid w:val="00BC4AE6"/>
    <w:rsid w:val="00BC51BC"/>
    <w:rsid w:val="00BC5676"/>
    <w:rsid w:val="00BC5D6C"/>
    <w:rsid w:val="00BC5E0D"/>
    <w:rsid w:val="00BC71EE"/>
    <w:rsid w:val="00BC7D56"/>
    <w:rsid w:val="00BC7F1B"/>
    <w:rsid w:val="00BD0010"/>
    <w:rsid w:val="00BD0EAC"/>
    <w:rsid w:val="00BD1EA2"/>
    <w:rsid w:val="00BD1ECB"/>
    <w:rsid w:val="00BD2069"/>
    <w:rsid w:val="00BD24B7"/>
    <w:rsid w:val="00BD2AC6"/>
    <w:rsid w:val="00BD3C58"/>
    <w:rsid w:val="00BD3E97"/>
    <w:rsid w:val="00BD5AD4"/>
    <w:rsid w:val="00BD5CBD"/>
    <w:rsid w:val="00BD68C0"/>
    <w:rsid w:val="00BD7784"/>
    <w:rsid w:val="00BD7D11"/>
    <w:rsid w:val="00BD7F5E"/>
    <w:rsid w:val="00BE0E6E"/>
    <w:rsid w:val="00BE166D"/>
    <w:rsid w:val="00BE1770"/>
    <w:rsid w:val="00BE2A77"/>
    <w:rsid w:val="00BE2AAF"/>
    <w:rsid w:val="00BE2CD2"/>
    <w:rsid w:val="00BE2F78"/>
    <w:rsid w:val="00BE348E"/>
    <w:rsid w:val="00BE366C"/>
    <w:rsid w:val="00BE37A7"/>
    <w:rsid w:val="00BE40DB"/>
    <w:rsid w:val="00BE44C5"/>
    <w:rsid w:val="00BE4541"/>
    <w:rsid w:val="00BE480F"/>
    <w:rsid w:val="00BE4926"/>
    <w:rsid w:val="00BE4C13"/>
    <w:rsid w:val="00BE5490"/>
    <w:rsid w:val="00BE7778"/>
    <w:rsid w:val="00BF099C"/>
    <w:rsid w:val="00BF109B"/>
    <w:rsid w:val="00BF1D45"/>
    <w:rsid w:val="00BF1DF5"/>
    <w:rsid w:val="00BF1E40"/>
    <w:rsid w:val="00BF2068"/>
    <w:rsid w:val="00BF2383"/>
    <w:rsid w:val="00BF2692"/>
    <w:rsid w:val="00BF2AB3"/>
    <w:rsid w:val="00BF2D17"/>
    <w:rsid w:val="00BF2E23"/>
    <w:rsid w:val="00BF4933"/>
    <w:rsid w:val="00BF4C36"/>
    <w:rsid w:val="00BF4D7A"/>
    <w:rsid w:val="00BF55DB"/>
    <w:rsid w:val="00BF5B10"/>
    <w:rsid w:val="00BF5E2C"/>
    <w:rsid w:val="00BF626C"/>
    <w:rsid w:val="00BF6FC7"/>
    <w:rsid w:val="00C00DB6"/>
    <w:rsid w:val="00C013A2"/>
    <w:rsid w:val="00C021C9"/>
    <w:rsid w:val="00C0231C"/>
    <w:rsid w:val="00C02BB0"/>
    <w:rsid w:val="00C03021"/>
    <w:rsid w:val="00C031A3"/>
    <w:rsid w:val="00C03568"/>
    <w:rsid w:val="00C03631"/>
    <w:rsid w:val="00C039A2"/>
    <w:rsid w:val="00C03D22"/>
    <w:rsid w:val="00C04425"/>
    <w:rsid w:val="00C0493F"/>
    <w:rsid w:val="00C04B8E"/>
    <w:rsid w:val="00C051A8"/>
    <w:rsid w:val="00C0623A"/>
    <w:rsid w:val="00C06F4F"/>
    <w:rsid w:val="00C06FF0"/>
    <w:rsid w:val="00C101C5"/>
    <w:rsid w:val="00C1028F"/>
    <w:rsid w:val="00C10668"/>
    <w:rsid w:val="00C1081D"/>
    <w:rsid w:val="00C10C53"/>
    <w:rsid w:val="00C111BA"/>
    <w:rsid w:val="00C11589"/>
    <w:rsid w:val="00C119E3"/>
    <w:rsid w:val="00C11BF0"/>
    <w:rsid w:val="00C11D99"/>
    <w:rsid w:val="00C128B7"/>
    <w:rsid w:val="00C12B84"/>
    <w:rsid w:val="00C12C0F"/>
    <w:rsid w:val="00C12FDB"/>
    <w:rsid w:val="00C1306E"/>
    <w:rsid w:val="00C13432"/>
    <w:rsid w:val="00C13F94"/>
    <w:rsid w:val="00C143BB"/>
    <w:rsid w:val="00C14C5B"/>
    <w:rsid w:val="00C14DB5"/>
    <w:rsid w:val="00C156AB"/>
    <w:rsid w:val="00C15E95"/>
    <w:rsid w:val="00C16EA6"/>
    <w:rsid w:val="00C1747D"/>
    <w:rsid w:val="00C17EDC"/>
    <w:rsid w:val="00C20A70"/>
    <w:rsid w:val="00C21CE9"/>
    <w:rsid w:val="00C223CC"/>
    <w:rsid w:val="00C2277D"/>
    <w:rsid w:val="00C22816"/>
    <w:rsid w:val="00C22AEF"/>
    <w:rsid w:val="00C23049"/>
    <w:rsid w:val="00C23209"/>
    <w:rsid w:val="00C234B1"/>
    <w:rsid w:val="00C2457C"/>
    <w:rsid w:val="00C24C03"/>
    <w:rsid w:val="00C255C8"/>
    <w:rsid w:val="00C25D8D"/>
    <w:rsid w:val="00C26316"/>
    <w:rsid w:val="00C26A51"/>
    <w:rsid w:val="00C27B00"/>
    <w:rsid w:val="00C305AB"/>
    <w:rsid w:val="00C30A94"/>
    <w:rsid w:val="00C30CF6"/>
    <w:rsid w:val="00C30D56"/>
    <w:rsid w:val="00C31A8B"/>
    <w:rsid w:val="00C31A9B"/>
    <w:rsid w:val="00C31D0F"/>
    <w:rsid w:val="00C32087"/>
    <w:rsid w:val="00C32758"/>
    <w:rsid w:val="00C32C75"/>
    <w:rsid w:val="00C33357"/>
    <w:rsid w:val="00C3384E"/>
    <w:rsid w:val="00C33970"/>
    <w:rsid w:val="00C34196"/>
    <w:rsid w:val="00C34F30"/>
    <w:rsid w:val="00C35FA4"/>
    <w:rsid w:val="00C36700"/>
    <w:rsid w:val="00C36BF6"/>
    <w:rsid w:val="00C36C20"/>
    <w:rsid w:val="00C36F10"/>
    <w:rsid w:val="00C37894"/>
    <w:rsid w:val="00C37E61"/>
    <w:rsid w:val="00C4031F"/>
    <w:rsid w:val="00C40571"/>
    <w:rsid w:val="00C40640"/>
    <w:rsid w:val="00C408C1"/>
    <w:rsid w:val="00C40E96"/>
    <w:rsid w:val="00C40F35"/>
    <w:rsid w:val="00C41617"/>
    <w:rsid w:val="00C4169D"/>
    <w:rsid w:val="00C4191B"/>
    <w:rsid w:val="00C4197D"/>
    <w:rsid w:val="00C42440"/>
    <w:rsid w:val="00C431C9"/>
    <w:rsid w:val="00C43C96"/>
    <w:rsid w:val="00C44F71"/>
    <w:rsid w:val="00C450CB"/>
    <w:rsid w:val="00C45441"/>
    <w:rsid w:val="00C455AD"/>
    <w:rsid w:val="00C45E6C"/>
    <w:rsid w:val="00C465D6"/>
    <w:rsid w:val="00C468FA"/>
    <w:rsid w:val="00C4756C"/>
    <w:rsid w:val="00C479CF"/>
    <w:rsid w:val="00C47D65"/>
    <w:rsid w:val="00C50848"/>
    <w:rsid w:val="00C512D6"/>
    <w:rsid w:val="00C52293"/>
    <w:rsid w:val="00C52BB6"/>
    <w:rsid w:val="00C53643"/>
    <w:rsid w:val="00C538E7"/>
    <w:rsid w:val="00C53D15"/>
    <w:rsid w:val="00C54093"/>
    <w:rsid w:val="00C548D5"/>
    <w:rsid w:val="00C54AE9"/>
    <w:rsid w:val="00C54B29"/>
    <w:rsid w:val="00C54EBB"/>
    <w:rsid w:val="00C55687"/>
    <w:rsid w:val="00C56C47"/>
    <w:rsid w:val="00C571CD"/>
    <w:rsid w:val="00C609DA"/>
    <w:rsid w:val="00C60CE1"/>
    <w:rsid w:val="00C614C2"/>
    <w:rsid w:val="00C618C3"/>
    <w:rsid w:val="00C61C0C"/>
    <w:rsid w:val="00C62411"/>
    <w:rsid w:val="00C62B8D"/>
    <w:rsid w:val="00C62C96"/>
    <w:rsid w:val="00C63096"/>
    <w:rsid w:val="00C6314C"/>
    <w:rsid w:val="00C6344D"/>
    <w:rsid w:val="00C646DA"/>
    <w:rsid w:val="00C66008"/>
    <w:rsid w:val="00C66586"/>
    <w:rsid w:val="00C6694E"/>
    <w:rsid w:val="00C670F1"/>
    <w:rsid w:val="00C671EE"/>
    <w:rsid w:val="00C679E2"/>
    <w:rsid w:val="00C67B04"/>
    <w:rsid w:val="00C701FC"/>
    <w:rsid w:val="00C704B8"/>
    <w:rsid w:val="00C7050F"/>
    <w:rsid w:val="00C7068B"/>
    <w:rsid w:val="00C70828"/>
    <w:rsid w:val="00C7115F"/>
    <w:rsid w:val="00C7234B"/>
    <w:rsid w:val="00C732BD"/>
    <w:rsid w:val="00C734DA"/>
    <w:rsid w:val="00C74481"/>
    <w:rsid w:val="00C74FB2"/>
    <w:rsid w:val="00C75140"/>
    <w:rsid w:val="00C75EA3"/>
    <w:rsid w:val="00C7638F"/>
    <w:rsid w:val="00C7669A"/>
    <w:rsid w:val="00C76CB6"/>
    <w:rsid w:val="00C76F0D"/>
    <w:rsid w:val="00C807C9"/>
    <w:rsid w:val="00C81882"/>
    <w:rsid w:val="00C81A04"/>
    <w:rsid w:val="00C81D7E"/>
    <w:rsid w:val="00C830EF"/>
    <w:rsid w:val="00C8325E"/>
    <w:rsid w:val="00C8328C"/>
    <w:rsid w:val="00C8441D"/>
    <w:rsid w:val="00C84A50"/>
    <w:rsid w:val="00C84CA2"/>
    <w:rsid w:val="00C85537"/>
    <w:rsid w:val="00C86777"/>
    <w:rsid w:val="00C86AB4"/>
    <w:rsid w:val="00C87047"/>
    <w:rsid w:val="00C907B3"/>
    <w:rsid w:val="00C90A24"/>
    <w:rsid w:val="00C90E80"/>
    <w:rsid w:val="00C90EFF"/>
    <w:rsid w:val="00C9115E"/>
    <w:rsid w:val="00C9141A"/>
    <w:rsid w:val="00C91515"/>
    <w:rsid w:val="00C91671"/>
    <w:rsid w:val="00C92088"/>
    <w:rsid w:val="00C92541"/>
    <w:rsid w:val="00C93A9A"/>
    <w:rsid w:val="00C94E2D"/>
    <w:rsid w:val="00C9574C"/>
    <w:rsid w:val="00C96814"/>
    <w:rsid w:val="00C97856"/>
    <w:rsid w:val="00C979AC"/>
    <w:rsid w:val="00C97D2B"/>
    <w:rsid w:val="00CA00C2"/>
    <w:rsid w:val="00CA03FF"/>
    <w:rsid w:val="00CA102F"/>
    <w:rsid w:val="00CA106B"/>
    <w:rsid w:val="00CA172A"/>
    <w:rsid w:val="00CA1A34"/>
    <w:rsid w:val="00CA294F"/>
    <w:rsid w:val="00CA2D6E"/>
    <w:rsid w:val="00CA3263"/>
    <w:rsid w:val="00CA340F"/>
    <w:rsid w:val="00CA34E7"/>
    <w:rsid w:val="00CA4373"/>
    <w:rsid w:val="00CA4931"/>
    <w:rsid w:val="00CA4A79"/>
    <w:rsid w:val="00CA4EE5"/>
    <w:rsid w:val="00CA5EAF"/>
    <w:rsid w:val="00CA631D"/>
    <w:rsid w:val="00CA69D1"/>
    <w:rsid w:val="00CA79AD"/>
    <w:rsid w:val="00CA7BC2"/>
    <w:rsid w:val="00CB035D"/>
    <w:rsid w:val="00CB03A9"/>
    <w:rsid w:val="00CB05D5"/>
    <w:rsid w:val="00CB0D62"/>
    <w:rsid w:val="00CB0F76"/>
    <w:rsid w:val="00CB1776"/>
    <w:rsid w:val="00CB19D9"/>
    <w:rsid w:val="00CB22A1"/>
    <w:rsid w:val="00CB23C3"/>
    <w:rsid w:val="00CB2A29"/>
    <w:rsid w:val="00CB39EE"/>
    <w:rsid w:val="00CB3D5D"/>
    <w:rsid w:val="00CB3D98"/>
    <w:rsid w:val="00CB3F77"/>
    <w:rsid w:val="00CB4178"/>
    <w:rsid w:val="00CB4266"/>
    <w:rsid w:val="00CB4EAC"/>
    <w:rsid w:val="00CB5C9F"/>
    <w:rsid w:val="00CB6C9E"/>
    <w:rsid w:val="00CB7451"/>
    <w:rsid w:val="00CB75A8"/>
    <w:rsid w:val="00CB75C7"/>
    <w:rsid w:val="00CB7C52"/>
    <w:rsid w:val="00CB7C7B"/>
    <w:rsid w:val="00CC07A3"/>
    <w:rsid w:val="00CC1C88"/>
    <w:rsid w:val="00CC2C3A"/>
    <w:rsid w:val="00CC2D62"/>
    <w:rsid w:val="00CC2DDB"/>
    <w:rsid w:val="00CC300F"/>
    <w:rsid w:val="00CC320D"/>
    <w:rsid w:val="00CC32DD"/>
    <w:rsid w:val="00CC3456"/>
    <w:rsid w:val="00CC3EE6"/>
    <w:rsid w:val="00CC4998"/>
    <w:rsid w:val="00CC4DCF"/>
    <w:rsid w:val="00CC53D3"/>
    <w:rsid w:val="00CC55B7"/>
    <w:rsid w:val="00CC55C0"/>
    <w:rsid w:val="00CC6135"/>
    <w:rsid w:val="00CC6160"/>
    <w:rsid w:val="00CC6B7A"/>
    <w:rsid w:val="00CC70A2"/>
    <w:rsid w:val="00CC72FF"/>
    <w:rsid w:val="00CC7DDB"/>
    <w:rsid w:val="00CC7FAB"/>
    <w:rsid w:val="00CD0597"/>
    <w:rsid w:val="00CD08C7"/>
    <w:rsid w:val="00CD1D9D"/>
    <w:rsid w:val="00CD2029"/>
    <w:rsid w:val="00CD2485"/>
    <w:rsid w:val="00CD37C0"/>
    <w:rsid w:val="00CD4831"/>
    <w:rsid w:val="00CD590C"/>
    <w:rsid w:val="00CD694A"/>
    <w:rsid w:val="00CD6BE3"/>
    <w:rsid w:val="00CD6E4A"/>
    <w:rsid w:val="00CD7D16"/>
    <w:rsid w:val="00CE02E6"/>
    <w:rsid w:val="00CE0E6C"/>
    <w:rsid w:val="00CE1801"/>
    <w:rsid w:val="00CE2098"/>
    <w:rsid w:val="00CE218D"/>
    <w:rsid w:val="00CE3B36"/>
    <w:rsid w:val="00CE3EFF"/>
    <w:rsid w:val="00CE4046"/>
    <w:rsid w:val="00CE4326"/>
    <w:rsid w:val="00CE6048"/>
    <w:rsid w:val="00CE7BD2"/>
    <w:rsid w:val="00CE7E48"/>
    <w:rsid w:val="00CF01F6"/>
    <w:rsid w:val="00CF0D25"/>
    <w:rsid w:val="00CF0EC1"/>
    <w:rsid w:val="00CF0EFB"/>
    <w:rsid w:val="00CF11F5"/>
    <w:rsid w:val="00CF13F3"/>
    <w:rsid w:val="00CF18D9"/>
    <w:rsid w:val="00CF25A8"/>
    <w:rsid w:val="00CF29EE"/>
    <w:rsid w:val="00CF3547"/>
    <w:rsid w:val="00CF47EB"/>
    <w:rsid w:val="00CF4D22"/>
    <w:rsid w:val="00CF4DAB"/>
    <w:rsid w:val="00CF60B0"/>
    <w:rsid w:val="00CF6575"/>
    <w:rsid w:val="00CF6CDD"/>
    <w:rsid w:val="00CF7796"/>
    <w:rsid w:val="00CF7C3F"/>
    <w:rsid w:val="00D004C7"/>
    <w:rsid w:val="00D00FA5"/>
    <w:rsid w:val="00D01A65"/>
    <w:rsid w:val="00D02BF8"/>
    <w:rsid w:val="00D035BB"/>
    <w:rsid w:val="00D037AF"/>
    <w:rsid w:val="00D03CFB"/>
    <w:rsid w:val="00D0540A"/>
    <w:rsid w:val="00D06019"/>
    <w:rsid w:val="00D063D1"/>
    <w:rsid w:val="00D068DB"/>
    <w:rsid w:val="00D06E76"/>
    <w:rsid w:val="00D074D6"/>
    <w:rsid w:val="00D07C88"/>
    <w:rsid w:val="00D1011B"/>
    <w:rsid w:val="00D101C7"/>
    <w:rsid w:val="00D10478"/>
    <w:rsid w:val="00D108A1"/>
    <w:rsid w:val="00D1090F"/>
    <w:rsid w:val="00D11647"/>
    <w:rsid w:val="00D11C8F"/>
    <w:rsid w:val="00D11EA2"/>
    <w:rsid w:val="00D11EBC"/>
    <w:rsid w:val="00D11F2F"/>
    <w:rsid w:val="00D11F3D"/>
    <w:rsid w:val="00D11FF4"/>
    <w:rsid w:val="00D12623"/>
    <w:rsid w:val="00D1268B"/>
    <w:rsid w:val="00D12F99"/>
    <w:rsid w:val="00D134BD"/>
    <w:rsid w:val="00D13CD1"/>
    <w:rsid w:val="00D1431F"/>
    <w:rsid w:val="00D14F89"/>
    <w:rsid w:val="00D1531B"/>
    <w:rsid w:val="00D16595"/>
    <w:rsid w:val="00D17189"/>
    <w:rsid w:val="00D1732B"/>
    <w:rsid w:val="00D17435"/>
    <w:rsid w:val="00D2029F"/>
    <w:rsid w:val="00D2093C"/>
    <w:rsid w:val="00D213B2"/>
    <w:rsid w:val="00D2153D"/>
    <w:rsid w:val="00D2207F"/>
    <w:rsid w:val="00D22711"/>
    <w:rsid w:val="00D227DB"/>
    <w:rsid w:val="00D22C47"/>
    <w:rsid w:val="00D23D7C"/>
    <w:rsid w:val="00D24299"/>
    <w:rsid w:val="00D2483F"/>
    <w:rsid w:val="00D24883"/>
    <w:rsid w:val="00D24AC2"/>
    <w:rsid w:val="00D24CE3"/>
    <w:rsid w:val="00D24D4D"/>
    <w:rsid w:val="00D24E9F"/>
    <w:rsid w:val="00D252FD"/>
    <w:rsid w:val="00D25DA0"/>
    <w:rsid w:val="00D26367"/>
    <w:rsid w:val="00D264D9"/>
    <w:rsid w:val="00D26677"/>
    <w:rsid w:val="00D26FD2"/>
    <w:rsid w:val="00D27075"/>
    <w:rsid w:val="00D275E1"/>
    <w:rsid w:val="00D2761C"/>
    <w:rsid w:val="00D304AE"/>
    <w:rsid w:val="00D304DF"/>
    <w:rsid w:val="00D30759"/>
    <w:rsid w:val="00D30955"/>
    <w:rsid w:val="00D30ABC"/>
    <w:rsid w:val="00D30CE5"/>
    <w:rsid w:val="00D31236"/>
    <w:rsid w:val="00D31724"/>
    <w:rsid w:val="00D31787"/>
    <w:rsid w:val="00D31DC2"/>
    <w:rsid w:val="00D3224C"/>
    <w:rsid w:val="00D324CF"/>
    <w:rsid w:val="00D32BD1"/>
    <w:rsid w:val="00D32F5C"/>
    <w:rsid w:val="00D33163"/>
    <w:rsid w:val="00D35049"/>
    <w:rsid w:val="00D35CA2"/>
    <w:rsid w:val="00D35CA5"/>
    <w:rsid w:val="00D35D59"/>
    <w:rsid w:val="00D36043"/>
    <w:rsid w:val="00D37243"/>
    <w:rsid w:val="00D37C5D"/>
    <w:rsid w:val="00D4012C"/>
    <w:rsid w:val="00D4055C"/>
    <w:rsid w:val="00D40C1E"/>
    <w:rsid w:val="00D410FD"/>
    <w:rsid w:val="00D41401"/>
    <w:rsid w:val="00D4142F"/>
    <w:rsid w:val="00D414DA"/>
    <w:rsid w:val="00D41829"/>
    <w:rsid w:val="00D425D2"/>
    <w:rsid w:val="00D42A7A"/>
    <w:rsid w:val="00D43024"/>
    <w:rsid w:val="00D4327E"/>
    <w:rsid w:val="00D4415B"/>
    <w:rsid w:val="00D452CE"/>
    <w:rsid w:val="00D45DBC"/>
    <w:rsid w:val="00D46580"/>
    <w:rsid w:val="00D4658D"/>
    <w:rsid w:val="00D472F8"/>
    <w:rsid w:val="00D47B89"/>
    <w:rsid w:val="00D50083"/>
    <w:rsid w:val="00D5082B"/>
    <w:rsid w:val="00D51776"/>
    <w:rsid w:val="00D51FF7"/>
    <w:rsid w:val="00D531BC"/>
    <w:rsid w:val="00D54F64"/>
    <w:rsid w:val="00D55284"/>
    <w:rsid w:val="00D559F3"/>
    <w:rsid w:val="00D5612F"/>
    <w:rsid w:val="00D575AF"/>
    <w:rsid w:val="00D5785B"/>
    <w:rsid w:val="00D57FD6"/>
    <w:rsid w:val="00D6008B"/>
    <w:rsid w:val="00D606B6"/>
    <w:rsid w:val="00D60A06"/>
    <w:rsid w:val="00D60B3C"/>
    <w:rsid w:val="00D60B63"/>
    <w:rsid w:val="00D61116"/>
    <w:rsid w:val="00D61B4B"/>
    <w:rsid w:val="00D62001"/>
    <w:rsid w:val="00D622F0"/>
    <w:rsid w:val="00D625E8"/>
    <w:rsid w:val="00D628B7"/>
    <w:rsid w:val="00D63A3A"/>
    <w:rsid w:val="00D63CAE"/>
    <w:rsid w:val="00D63FC3"/>
    <w:rsid w:val="00D64247"/>
    <w:rsid w:val="00D645E0"/>
    <w:rsid w:val="00D64A9C"/>
    <w:rsid w:val="00D6607C"/>
    <w:rsid w:val="00D66369"/>
    <w:rsid w:val="00D67002"/>
    <w:rsid w:val="00D678F8"/>
    <w:rsid w:val="00D70531"/>
    <w:rsid w:val="00D705A0"/>
    <w:rsid w:val="00D71D34"/>
    <w:rsid w:val="00D72278"/>
    <w:rsid w:val="00D72413"/>
    <w:rsid w:val="00D72508"/>
    <w:rsid w:val="00D737BC"/>
    <w:rsid w:val="00D738A8"/>
    <w:rsid w:val="00D73ADB"/>
    <w:rsid w:val="00D7475A"/>
    <w:rsid w:val="00D75496"/>
    <w:rsid w:val="00D75643"/>
    <w:rsid w:val="00D75E4F"/>
    <w:rsid w:val="00D75FF9"/>
    <w:rsid w:val="00D76B2E"/>
    <w:rsid w:val="00D77A1B"/>
    <w:rsid w:val="00D8018C"/>
    <w:rsid w:val="00D80782"/>
    <w:rsid w:val="00D80C02"/>
    <w:rsid w:val="00D81463"/>
    <w:rsid w:val="00D8181A"/>
    <w:rsid w:val="00D82891"/>
    <w:rsid w:val="00D82D52"/>
    <w:rsid w:val="00D83714"/>
    <w:rsid w:val="00D83994"/>
    <w:rsid w:val="00D839C1"/>
    <w:rsid w:val="00D83CFA"/>
    <w:rsid w:val="00D84015"/>
    <w:rsid w:val="00D8487B"/>
    <w:rsid w:val="00D84A1C"/>
    <w:rsid w:val="00D84F93"/>
    <w:rsid w:val="00D8547D"/>
    <w:rsid w:val="00D85855"/>
    <w:rsid w:val="00D85B37"/>
    <w:rsid w:val="00D85B8C"/>
    <w:rsid w:val="00D865C1"/>
    <w:rsid w:val="00D866E0"/>
    <w:rsid w:val="00D86B4A"/>
    <w:rsid w:val="00D86CA7"/>
    <w:rsid w:val="00D87699"/>
    <w:rsid w:val="00D91D89"/>
    <w:rsid w:val="00D91FD2"/>
    <w:rsid w:val="00D9200A"/>
    <w:rsid w:val="00D92161"/>
    <w:rsid w:val="00D92763"/>
    <w:rsid w:val="00D9298E"/>
    <w:rsid w:val="00D93255"/>
    <w:rsid w:val="00D93511"/>
    <w:rsid w:val="00D941E5"/>
    <w:rsid w:val="00D94B22"/>
    <w:rsid w:val="00D94C6A"/>
    <w:rsid w:val="00D9548E"/>
    <w:rsid w:val="00D95A00"/>
    <w:rsid w:val="00D964F2"/>
    <w:rsid w:val="00D96530"/>
    <w:rsid w:val="00D9661F"/>
    <w:rsid w:val="00D96F65"/>
    <w:rsid w:val="00D96F9D"/>
    <w:rsid w:val="00D971C3"/>
    <w:rsid w:val="00D974C6"/>
    <w:rsid w:val="00D97AB3"/>
    <w:rsid w:val="00DA0404"/>
    <w:rsid w:val="00DA0776"/>
    <w:rsid w:val="00DA0BB1"/>
    <w:rsid w:val="00DA18B5"/>
    <w:rsid w:val="00DA2A4B"/>
    <w:rsid w:val="00DA31FD"/>
    <w:rsid w:val="00DA3A76"/>
    <w:rsid w:val="00DA3A7B"/>
    <w:rsid w:val="00DA4A71"/>
    <w:rsid w:val="00DA5D67"/>
    <w:rsid w:val="00DA65DF"/>
    <w:rsid w:val="00DA723C"/>
    <w:rsid w:val="00DA7404"/>
    <w:rsid w:val="00DA7A80"/>
    <w:rsid w:val="00DB019A"/>
    <w:rsid w:val="00DB040C"/>
    <w:rsid w:val="00DB141E"/>
    <w:rsid w:val="00DB1D9D"/>
    <w:rsid w:val="00DB2515"/>
    <w:rsid w:val="00DB2AE8"/>
    <w:rsid w:val="00DB3496"/>
    <w:rsid w:val="00DB38F8"/>
    <w:rsid w:val="00DB3C16"/>
    <w:rsid w:val="00DB4706"/>
    <w:rsid w:val="00DB48E4"/>
    <w:rsid w:val="00DB49C5"/>
    <w:rsid w:val="00DB4EAD"/>
    <w:rsid w:val="00DB4FC7"/>
    <w:rsid w:val="00DB5006"/>
    <w:rsid w:val="00DB5737"/>
    <w:rsid w:val="00DB5786"/>
    <w:rsid w:val="00DB6141"/>
    <w:rsid w:val="00DB67A0"/>
    <w:rsid w:val="00DB6ACD"/>
    <w:rsid w:val="00DB71DC"/>
    <w:rsid w:val="00DC0829"/>
    <w:rsid w:val="00DC108A"/>
    <w:rsid w:val="00DC1D5D"/>
    <w:rsid w:val="00DC36CA"/>
    <w:rsid w:val="00DC3F2D"/>
    <w:rsid w:val="00DC46B5"/>
    <w:rsid w:val="00DC4D4E"/>
    <w:rsid w:val="00DC523E"/>
    <w:rsid w:val="00DC53FB"/>
    <w:rsid w:val="00DC5FB2"/>
    <w:rsid w:val="00DC61B3"/>
    <w:rsid w:val="00DC6AA0"/>
    <w:rsid w:val="00DC7465"/>
    <w:rsid w:val="00DC7FA4"/>
    <w:rsid w:val="00DD0257"/>
    <w:rsid w:val="00DD0365"/>
    <w:rsid w:val="00DD0419"/>
    <w:rsid w:val="00DD0AB7"/>
    <w:rsid w:val="00DD1716"/>
    <w:rsid w:val="00DD1CCD"/>
    <w:rsid w:val="00DD2026"/>
    <w:rsid w:val="00DD28A2"/>
    <w:rsid w:val="00DD2BB4"/>
    <w:rsid w:val="00DD3129"/>
    <w:rsid w:val="00DD3165"/>
    <w:rsid w:val="00DD3947"/>
    <w:rsid w:val="00DD3AC1"/>
    <w:rsid w:val="00DD3B87"/>
    <w:rsid w:val="00DD435B"/>
    <w:rsid w:val="00DD486C"/>
    <w:rsid w:val="00DD4EFA"/>
    <w:rsid w:val="00DD4F76"/>
    <w:rsid w:val="00DD505F"/>
    <w:rsid w:val="00DD557D"/>
    <w:rsid w:val="00DD628F"/>
    <w:rsid w:val="00DD637D"/>
    <w:rsid w:val="00DD6A9D"/>
    <w:rsid w:val="00DD6E55"/>
    <w:rsid w:val="00DD6F14"/>
    <w:rsid w:val="00DD6F62"/>
    <w:rsid w:val="00DD7AC4"/>
    <w:rsid w:val="00DD7DE2"/>
    <w:rsid w:val="00DD7F22"/>
    <w:rsid w:val="00DE04A2"/>
    <w:rsid w:val="00DE0514"/>
    <w:rsid w:val="00DE0523"/>
    <w:rsid w:val="00DE0B2F"/>
    <w:rsid w:val="00DE0E71"/>
    <w:rsid w:val="00DE10B3"/>
    <w:rsid w:val="00DE20A4"/>
    <w:rsid w:val="00DE30B2"/>
    <w:rsid w:val="00DE36EB"/>
    <w:rsid w:val="00DE3792"/>
    <w:rsid w:val="00DE3E60"/>
    <w:rsid w:val="00DE4145"/>
    <w:rsid w:val="00DE4323"/>
    <w:rsid w:val="00DE444A"/>
    <w:rsid w:val="00DE4BF2"/>
    <w:rsid w:val="00DE4EF8"/>
    <w:rsid w:val="00DE4FEB"/>
    <w:rsid w:val="00DE5807"/>
    <w:rsid w:val="00DE6DCE"/>
    <w:rsid w:val="00DE715F"/>
    <w:rsid w:val="00DE72C2"/>
    <w:rsid w:val="00DF00B8"/>
    <w:rsid w:val="00DF0B44"/>
    <w:rsid w:val="00DF0E80"/>
    <w:rsid w:val="00DF0FD1"/>
    <w:rsid w:val="00DF1188"/>
    <w:rsid w:val="00DF14D0"/>
    <w:rsid w:val="00DF1AEF"/>
    <w:rsid w:val="00DF1E4F"/>
    <w:rsid w:val="00DF33DC"/>
    <w:rsid w:val="00DF3C13"/>
    <w:rsid w:val="00DF4245"/>
    <w:rsid w:val="00DF4507"/>
    <w:rsid w:val="00DF4648"/>
    <w:rsid w:val="00DF52BF"/>
    <w:rsid w:val="00DF5400"/>
    <w:rsid w:val="00DF650E"/>
    <w:rsid w:val="00DF688B"/>
    <w:rsid w:val="00DF6917"/>
    <w:rsid w:val="00DF6D57"/>
    <w:rsid w:val="00DF779C"/>
    <w:rsid w:val="00DF7946"/>
    <w:rsid w:val="00DF7DB6"/>
    <w:rsid w:val="00DF7E41"/>
    <w:rsid w:val="00E0047C"/>
    <w:rsid w:val="00E00D5E"/>
    <w:rsid w:val="00E010B0"/>
    <w:rsid w:val="00E012CF"/>
    <w:rsid w:val="00E026DE"/>
    <w:rsid w:val="00E027EE"/>
    <w:rsid w:val="00E03978"/>
    <w:rsid w:val="00E03E2B"/>
    <w:rsid w:val="00E04186"/>
    <w:rsid w:val="00E0477B"/>
    <w:rsid w:val="00E059F1"/>
    <w:rsid w:val="00E05D76"/>
    <w:rsid w:val="00E05F57"/>
    <w:rsid w:val="00E06155"/>
    <w:rsid w:val="00E06B8B"/>
    <w:rsid w:val="00E07711"/>
    <w:rsid w:val="00E079D8"/>
    <w:rsid w:val="00E10082"/>
    <w:rsid w:val="00E10E44"/>
    <w:rsid w:val="00E11AEE"/>
    <w:rsid w:val="00E120DD"/>
    <w:rsid w:val="00E127F6"/>
    <w:rsid w:val="00E12BFB"/>
    <w:rsid w:val="00E12EC9"/>
    <w:rsid w:val="00E1438F"/>
    <w:rsid w:val="00E15DD3"/>
    <w:rsid w:val="00E15FDD"/>
    <w:rsid w:val="00E16766"/>
    <w:rsid w:val="00E16B78"/>
    <w:rsid w:val="00E17A4A"/>
    <w:rsid w:val="00E202EC"/>
    <w:rsid w:val="00E2155F"/>
    <w:rsid w:val="00E21D17"/>
    <w:rsid w:val="00E21E06"/>
    <w:rsid w:val="00E226B9"/>
    <w:rsid w:val="00E2359C"/>
    <w:rsid w:val="00E235C9"/>
    <w:rsid w:val="00E237E9"/>
    <w:rsid w:val="00E24459"/>
    <w:rsid w:val="00E244CB"/>
    <w:rsid w:val="00E24917"/>
    <w:rsid w:val="00E24E55"/>
    <w:rsid w:val="00E25383"/>
    <w:rsid w:val="00E26D1F"/>
    <w:rsid w:val="00E27CC9"/>
    <w:rsid w:val="00E3074D"/>
    <w:rsid w:val="00E308CC"/>
    <w:rsid w:val="00E31014"/>
    <w:rsid w:val="00E3135F"/>
    <w:rsid w:val="00E31C78"/>
    <w:rsid w:val="00E32034"/>
    <w:rsid w:val="00E3257B"/>
    <w:rsid w:val="00E3263C"/>
    <w:rsid w:val="00E3317D"/>
    <w:rsid w:val="00E341B1"/>
    <w:rsid w:val="00E34C72"/>
    <w:rsid w:val="00E34E59"/>
    <w:rsid w:val="00E3503A"/>
    <w:rsid w:val="00E352EC"/>
    <w:rsid w:val="00E37C53"/>
    <w:rsid w:val="00E41635"/>
    <w:rsid w:val="00E42531"/>
    <w:rsid w:val="00E43704"/>
    <w:rsid w:val="00E43C63"/>
    <w:rsid w:val="00E43E68"/>
    <w:rsid w:val="00E44048"/>
    <w:rsid w:val="00E44923"/>
    <w:rsid w:val="00E44A12"/>
    <w:rsid w:val="00E45119"/>
    <w:rsid w:val="00E453FA"/>
    <w:rsid w:val="00E454A7"/>
    <w:rsid w:val="00E45934"/>
    <w:rsid w:val="00E4608F"/>
    <w:rsid w:val="00E46663"/>
    <w:rsid w:val="00E466C7"/>
    <w:rsid w:val="00E46BCC"/>
    <w:rsid w:val="00E50298"/>
    <w:rsid w:val="00E50ACF"/>
    <w:rsid w:val="00E50D7C"/>
    <w:rsid w:val="00E51A85"/>
    <w:rsid w:val="00E52286"/>
    <w:rsid w:val="00E533F9"/>
    <w:rsid w:val="00E5341E"/>
    <w:rsid w:val="00E53FB3"/>
    <w:rsid w:val="00E53FF6"/>
    <w:rsid w:val="00E5414A"/>
    <w:rsid w:val="00E553E6"/>
    <w:rsid w:val="00E55582"/>
    <w:rsid w:val="00E55E79"/>
    <w:rsid w:val="00E5609F"/>
    <w:rsid w:val="00E562CF"/>
    <w:rsid w:val="00E6085A"/>
    <w:rsid w:val="00E61EF6"/>
    <w:rsid w:val="00E61FF4"/>
    <w:rsid w:val="00E6288D"/>
    <w:rsid w:val="00E62B69"/>
    <w:rsid w:val="00E6382D"/>
    <w:rsid w:val="00E64051"/>
    <w:rsid w:val="00E641B7"/>
    <w:rsid w:val="00E64B3C"/>
    <w:rsid w:val="00E655D0"/>
    <w:rsid w:val="00E65A6D"/>
    <w:rsid w:val="00E65AB5"/>
    <w:rsid w:val="00E66150"/>
    <w:rsid w:val="00E6698B"/>
    <w:rsid w:val="00E66D2A"/>
    <w:rsid w:val="00E67A7D"/>
    <w:rsid w:val="00E67ECF"/>
    <w:rsid w:val="00E70B72"/>
    <w:rsid w:val="00E70E61"/>
    <w:rsid w:val="00E70E74"/>
    <w:rsid w:val="00E71401"/>
    <w:rsid w:val="00E71AFD"/>
    <w:rsid w:val="00E71D10"/>
    <w:rsid w:val="00E71DCE"/>
    <w:rsid w:val="00E72419"/>
    <w:rsid w:val="00E72766"/>
    <w:rsid w:val="00E72841"/>
    <w:rsid w:val="00E72CB7"/>
    <w:rsid w:val="00E72F46"/>
    <w:rsid w:val="00E732AF"/>
    <w:rsid w:val="00E74645"/>
    <w:rsid w:val="00E75430"/>
    <w:rsid w:val="00E75A9D"/>
    <w:rsid w:val="00E75AE3"/>
    <w:rsid w:val="00E76C9F"/>
    <w:rsid w:val="00E77080"/>
    <w:rsid w:val="00E774F1"/>
    <w:rsid w:val="00E77682"/>
    <w:rsid w:val="00E80B6C"/>
    <w:rsid w:val="00E80FEA"/>
    <w:rsid w:val="00E81155"/>
    <w:rsid w:val="00E81236"/>
    <w:rsid w:val="00E8160A"/>
    <w:rsid w:val="00E81669"/>
    <w:rsid w:val="00E81832"/>
    <w:rsid w:val="00E819F3"/>
    <w:rsid w:val="00E826F2"/>
    <w:rsid w:val="00E8288D"/>
    <w:rsid w:val="00E828A5"/>
    <w:rsid w:val="00E829C8"/>
    <w:rsid w:val="00E83632"/>
    <w:rsid w:val="00E8451A"/>
    <w:rsid w:val="00E84AAC"/>
    <w:rsid w:val="00E85F1D"/>
    <w:rsid w:val="00E86041"/>
    <w:rsid w:val="00E867EA"/>
    <w:rsid w:val="00E86ABF"/>
    <w:rsid w:val="00E86F7D"/>
    <w:rsid w:val="00E87238"/>
    <w:rsid w:val="00E87849"/>
    <w:rsid w:val="00E87B2A"/>
    <w:rsid w:val="00E87B74"/>
    <w:rsid w:val="00E90A09"/>
    <w:rsid w:val="00E90FDD"/>
    <w:rsid w:val="00E91A63"/>
    <w:rsid w:val="00E924EF"/>
    <w:rsid w:val="00E93397"/>
    <w:rsid w:val="00E94242"/>
    <w:rsid w:val="00E94D78"/>
    <w:rsid w:val="00E95998"/>
    <w:rsid w:val="00E963DD"/>
    <w:rsid w:val="00E96CDD"/>
    <w:rsid w:val="00E96D42"/>
    <w:rsid w:val="00E978A6"/>
    <w:rsid w:val="00E97F61"/>
    <w:rsid w:val="00EA009E"/>
    <w:rsid w:val="00EA0B21"/>
    <w:rsid w:val="00EA1574"/>
    <w:rsid w:val="00EA16CB"/>
    <w:rsid w:val="00EA1815"/>
    <w:rsid w:val="00EA277B"/>
    <w:rsid w:val="00EA2F41"/>
    <w:rsid w:val="00EA3346"/>
    <w:rsid w:val="00EA353C"/>
    <w:rsid w:val="00EA39C8"/>
    <w:rsid w:val="00EA438E"/>
    <w:rsid w:val="00EA486D"/>
    <w:rsid w:val="00EA4D91"/>
    <w:rsid w:val="00EA5115"/>
    <w:rsid w:val="00EA590A"/>
    <w:rsid w:val="00EA5DBD"/>
    <w:rsid w:val="00EA6882"/>
    <w:rsid w:val="00EA69E0"/>
    <w:rsid w:val="00EA6F84"/>
    <w:rsid w:val="00EA70EE"/>
    <w:rsid w:val="00EA781E"/>
    <w:rsid w:val="00EA787E"/>
    <w:rsid w:val="00EA7C56"/>
    <w:rsid w:val="00EB071B"/>
    <w:rsid w:val="00EB15B0"/>
    <w:rsid w:val="00EB1CF1"/>
    <w:rsid w:val="00EB2798"/>
    <w:rsid w:val="00EB2ED4"/>
    <w:rsid w:val="00EB43F5"/>
    <w:rsid w:val="00EB4DB9"/>
    <w:rsid w:val="00EB57F2"/>
    <w:rsid w:val="00EB5A77"/>
    <w:rsid w:val="00EB5B5B"/>
    <w:rsid w:val="00EB6124"/>
    <w:rsid w:val="00EB67B9"/>
    <w:rsid w:val="00EB6936"/>
    <w:rsid w:val="00EB7B1A"/>
    <w:rsid w:val="00EC0297"/>
    <w:rsid w:val="00EC05A8"/>
    <w:rsid w:val="00EC0827"/>
    <w:rsid w:val="00EC0A89"/>
    <w:rsid w:val="00EC1C7E"/>
    <w:rsid w:val="00EC1D3C"/>
    <w:rsid w:val="00EC2349"/>
    <w:rsid w:val="00EC23B9"/>
    <w:rsid w:val="00EC2400"/>
    <w:rsid w:val="00EC29B3"/>
    <w:rsid w:val="00EC3386"/>
    <w:rsid w:val="00EC3BCB"/>
    <w:rsid w:val="00EC4582"/>
    <w:rsid w:val="00EC4FF6"/>
    <w:rsid w:val="00EC5443"/>
    <w:rsid w:val="00EC5974"/>
    <w:rsid w:val="00EC6986"/>
    <w:rsid w:val="00EC6CBA"/>
    <w:rsid w:val="00EC6E56"/>
    <w:rsid w:val="00EC77E2"/>
    <w:rsid w:val="00ED04DC"/>
    <w:rsid w:val="00ED0A8E"/>
    <w:rsid w:val="00ED118E"/>
    <w:rsid w:val="00ED12C4"/>
    <w:rsid w:val="00ED1501"/>
    <w:rsid w:val="00ED1D90"/>
    <w:rsid w:val="00ED1E8B"/>
    <w:rsid w:val="00ED1F1E"/>
    <w:rsid w:val="00ED3DDF"/>
    <w:rsid w:val="00ED553A"/>
    <w:rsid w:val="00ED5728"/>
    <w:rsid w:val="00ED5803"/>
    <w:rsid w:val="00ED5C74"/>
    <w:rsid w:val="00ED5E78"/>
    <w:rsid w:val="00ED6B4E"/>
    <w:rsid w:val="00ED6E5A"/>
    <w:rsid w:val="00ED7E53"/>
    <w:rsid w:val="00ED7FA8"/>
    <w:rsid w:val="00EE0083"/>
    <w:rsid w:val="00EE0156"/>
    <w:rsid w:val="00EE0CC5"/>
    <w:rsid w:val="00EE0D2C"/>
    <w:rsid w:val="00EE1687"/>
    <w:rsid w:val="00EE1E5A"/>
    <w:rsid w:val="00EE231A"/>
    <w:rsid w:val="00EE2AEB"/>
    <w:rsid w:val="00EE3155"/>
    <w:rsid w:val="00EE3C94"/>
    <w:rsid w:val="00EE44F7"/>
    <w:rsid w:val="00EE59E2"/>
    <w:rsid w:val="00EE5A76"/>
    <w:rsid w:val="00EE5BEC"/>
    <w:rsid w:val="00EE616A"/>
    <w:rsid w:val="00EE630A"/>
    <w:rsid w:val="00EE6510"/>
    <w:rsid w:val="00EE672A"/>
    <w:rsid w:val="00EE6932"/>
    <w:rsid w:val="00EE74BC"/>
    <w:rsid w:val="00EE7AD2"/>
    <w:rsid w:val="00EF0791"/>
    <w:rsid w:val="00EF10B4"/>
    <w:rsid w:val="00EF10F8"/>
    <w:rsid w:val="00EF1AB0"/>
    <w:rsid w:val="00EF1F58"/>
    <w:rsid w:val="00EF37D0"/>
    <w:rsid w:val="00EF3B81"/>
    <w:rsid w:val="00EF433D"/>
    <w:rsid w:val="00EF45E7"/>
    <w:rsid w:val="00EF4757"/>
    <w:rsid w:val="00EF4A3F"/>
    <w:rsid w:val="00EF4E58"/>
    <w:rsid w:val="00EF4E7B"/>
    <w:rsid w:val="00EF55AE"/>
    <w:rsid w:val="00EF5774"/>
    <w:rsid w:val="00EF5EA9"/>
    <w:rsid w:val="00EF5EBF"/>
    <w:rsid w:val="00EF7165"/>
    <w:rsid w:val="00EF7628"/>
    <w:rsid w:val="00EF7C63"/>
    <w:rsid w:val="00F012DB"/>
    <w:rsid w:val="00F01A21"/>
    <w:rsid w:val="00F01C9D"/>
    <w:rsid w:val="00F02FAD"/>
    <w:rsid w:val="00F0370A"/>
    <w:rsid w:val="00F04D6C"/>
    <w:rsid w:val="00F061D8"/>
    <w:rsid w:val="00F06363"/>
    <w:rsid w:val="00F063A4"/>
    <w:rsid w:val="00F071D2"/>
    <w:rsid w:val="00F0759E"/>
    <w:rsid w:val="00F076AB"/>
    <w:rsid w:val="00F10D6D"/>
    <w:rsid w:val="00F1115A"/>
    <w:rsid w:val="00F1159E"/>
    <w:rsid w:val="00F11985"/>
    <w:rsid w:val="00F11B62"/>
    <w:rsid w:val="00F11E4B"/>
    <w:rsid w:val="00F12201"/>
    <w:rsid w:val="00F122A9"/>
    <w:rsid w:val="00F122C6"/>
    <w:rsid w:val="00F13046"/>
    <w:rsid w:val="00F13245"/>
    <w:rsid w:val="00F13339"/>
    <w:rsid w:val="00F13FEE"/>
    <w:rsid w:val="00F1427E"/>
    <w:rsid w:val="00F14C5B"/>
    <w:rsid w:val="00F14DE8"/>
    <w:rsid w:val="00F1546B"/>
    <w:rsid w:val="00F154F2"/>
    <w:rsid w:val="00F15504"/>
    <w:rsid w:val="00F15839"/>
    <w:rsid w:val="00F15ADF"/>
    <w:rsid w:val="00F16085"/>
    <w:rsid w:val="00F1670F"/>
    <w:rsid w:val="00F175E0"/>
    <w:rsid w:val="00F17B37"/>
    <w:rsid w:val="00F17BC1"/>
    <w:rsid w:val="00F20038"/>
    <w:rsid w:val="00F20934"/>
    <w:rsid w:val="00F211ED"/>
    <w:rsid w:val="00F211FD"/>
    <w:rsid w:val="00F21377"/>
    <w:rsid w:val="00F2139B"/>
    <w:rsid w:val="00F21410"/>
    <w:rsid w:val="00F21772"/>
    <w:rsid w:val="00F21993"/>
    <w:rsid w:val="00F221FA"/>
    <w:rsid w:val="00F225C1"/>
    <w:rsid w:val="00F22611"/>
    <w:rsid w:val="00F22963"/>
    <w:rsid w:val="00F22A1A"/>
    <w:rsid w:val="00F22E32"/>
    <w:rsid w:val="00F2338F"/>
    <w:rsid w:val="00F2387F"/>
    <w:rsid w:val="00F23DB2"/>
    <w:rsid w:val="00F24211"/>
    <w:rsid w:val="00F244B8"/>
    <w:rsid w:val="00F24E1F"/>
    <w:rsid w:val="00F25086"/>
    <w:rsid w:val="00F256DF"/>
    <w:rsid w:val="00F25839"/>
    <w:rsid w:val="00F25B57"/>
    <w:rsid w:val="00F2623A"/>
    <w:rsid w:val="00F26950"/>
    <w:rsid w:val="00F273C7"/>
    <w:rsid w:val="00F277B1"/>
    <w:rsid w:val="00F27C7C"/>
    <w:rsid w:val="00F27F85"/>
    <w:rsid w:val="00F30E10"/>
    <w:rsid w:val="00F3136D"/>
    <w:rsid w:val="00F318E6"/>
    <w:rsid w:val="00F3194F"/>
    <w:rsid w:val="00F31B89"/>
    <w:rsid w:val="00F3216B"/>
    <w:rsid w:val="00F32909"/>
    <w:rsid w:val="00F330C7"/>
    <w:rsid w:val="00F341E6"/>
    <w:rsid w:val="00F344A2"/>
    <w:rsid w:val="00F34B74"/>
    <w:rsid w:val="00F34DCB"/>
    <w:rsid w:val="00F35472"/>
    <w:rsid w:val="00F36F5F"/>
    <w:rsid w:val="00F36FB3"/>
    <w:rsid w:val="00F37029"/>
    <w:rsid w:val="00F37597"/>
    <w:rsid w:val="00F4063F"/>
    <w:rsid w:val="00F40900"/>
    <w:rsid w:val="00F40C88"/>
    <w:rsid w:val="00F41480"/>
    <w:rsid w:val="00F4159C"/>
    <w:rsid w:val="00F41704"/>
    <w:rsid w:val="00F41771"/>
    <w:rsid w:val="00F41A8D"/>
    <w:rsid w:val="00F41EBA"/>
    <w:rsid w:val="00F41ED1"/>
    <w:rsid w:val="00F42535"/>
    <w:rsid w:val="00F42F56"/>
    <w:rsid w:val="00F44181"/>
    <w:rsid w:val="00F471EA"/>
    <w:rsid w:val="00F47B6E"/>
    <w:rsid w:val="00F50612"/>
    <w:rsid w:val="00F50ED9"/>
    <w:rsid w:val="00F51139"/>
    <w:rsid w:val="00F5132A"/>
    <w:rsid w:val="00F51636"/>
    <w:rsid w:val="00F51C1B"/>
    <w:rsid w:val="00F53773"/>
    <w:rsid w:val="00F53D5C"/>
    <w:rsid w:val="00F54030"/>
    <w:rsid w:val="00F54C02"/>
    <w:rsid w:val="00F55203"/>
    <w:rsid w:val="00F55A34"/>
    <w:rsid w:val="00F55ECB"/>
    <w:rsid w:val="00F560C8"/>
    <w:rsid w:val="00F565B3"/>
    <w:rsid w:val="00F5668D"/>
    <w:rsid w:val="00F5727C"/>
    <w:rsid w:val="00F573AC"/>
    <w:rsid w:val="00F573C4"/>
    <w:rsid w:val="00F5742E"/>
    <w:rsid w:val="00F577D7"/>
    <w:rsid w:val="00F606DE"/>
    <w:rsid w:val="00F6091E"/>
    <w:rsid w:val="00F60ACE"/>
    <w:rsid w:val="00F60CEF"/>
    <w:rsid w:val="00F60D06"/>
    <w:rsid w:val="00F6173D"/>
    <w:rsid w:val="00F61812"/>
    <w:rsid w:val="00F61AA6"/>
    <w:rsid w:val="00F62892"/>
    <w:rsid w:val="00F62A68"/>
    <w:rsid w:val="00F62AC7"/>
    <w:rsid w:val="00F6367B"/>
    <w:rsid w:val="00F64FE1"/>
    <w:rsid w:val="00F660DB"/>
    <w:rsid w:val="00F666B9"/>
    <w:rsid w:val="00F67145"/>
    <w:rsid w:val="00F6777F"/>
    <w:rsid w:val="00F706E7"/>
    <w:rsid w:val="00F70B8E"/>
    <w:rsid w:val="00F70DDE"/>
    <w:rsid w:val="00F71AD9"/>
    <w:rsid w:val="00F71DC9"/>
    <w:rsid w:val="00F71DDD"/>
    <w:rsid w:val="00F731F1"/>
    <w:rsid w:val="00F7422A"/>
    <w:rsid w:val="00F74858"/>
    <w:rsid w:val="00F75447"/>
    <w:rsid w:val="00F758C7"/>
    <w:rsid w:val="00F75C2B"/>
    <w:rsid w:val="00F7634C"/>
    <w:rsid w:val="00F7686A"/>
    <w:rsid w:val="00F77892"/>
    <w:rsid w:val="00F77E77"/>
    <w:rsid w:val="00F80670"/>
    <w:rsid w:val="00F807A6"/>
    <w:rsid w:val="00F80D1A"/>
    <w:rsid w:val="00F82643"/>
    <w:rsid w:val="00F833B8"/>
    <w:rsid w:val="00F83478"/>
    <w:rsid w:val="00F862D5"/>
    <w:rsid w:val="00F867A1"/>
    <w:rsid w:val="00F87ADE"/>
    <w:rsid w:val="00F90108"/>
    <w:rsid w:val="00F90322"/>
    <w:rsid w:val="00F90DD3"/>
    <w:rsid w:val="00F9106C"/>
    <w:rsid w:val="00F91725"/>
    <w:rsid w:val="00F919C1"/>
    <w:rsid w:val="00F9392C"/>
    <w:rsid w:val="00F93DA1"/>
    <w:rsid w:val="00F93F19"/>
    <w:rsid w:val="00F946E4"/>
    <w:rsid w:val="00F94AB4"/>
    <w:rsid w:val="00F9581E"/>
    <w:rsid w:val="00F964CE"/>
    <w:rsid w:val="00F96673"/>
    <w:rsid w:val="00F96C2C"/>
    <w:rsid w:val="00F97BDF"/>
    <w:rsid w:val="00FA03C3"/>
    <w:rsid w:val="00FA10C3"/>
    <w:rsid w:val="00FA10D8"/>
    <w:rsid w:val="00FA1289"/>
    <w:rsid w:val="00FA1386"/>
    <w:rsid w:val="00FA1DF2"/>
    <w:rsid w:val="00FA2105"/>
    <w:rsid w:val="00FA2343"/>
    <w:rsid w:val="00FA319A"/>
    <w:rsid w:val="00FA38BC"/>
    <w:rsid w:val="00FA3C64"/>
    <w:rsid w:val="00FA4BBD"/>
    <w:rsid w:val="00FA4F9B"/>
    <w:rsid w:val="00FA519D"/>
    <w:rsid w:val="00FA59E8"/>
    <w:rsid w:val="00FA629A"/>
    <w:rsid w:val="00FA62BF"/>
    <w:rsid w:val="00FA62D6"/>
    <w:rsid w:val="00FA63D2"/>
    <w:rsid w:val="00FA6713"/>
    <w:rsid w:val="00FA6778"/>
    <w:rsid w:val="00FB091D"/>
    <w:rsid w:val="00FB12F6"/>
    <w:rsid w:val="00FB1D10"/>
    <w:rsid w:val="00FB28F0"/>
    <w:rsid w:val="00FB2D2A"/>
    <w:rsid w:val="00FB2D8D"/>
    <w:rsid w:val="00FB386B"/>
    <w:rsid w:val="00FB4250"/>
    <w:rsid w:val="00FB4BAF"/>
    <w:rsid w:val="00FB4C13"/>
    <w:rsid w:val="00FB512D"/>
    <w:rsid w:val="00FB7B01"/>
    <w:rsid w:val="00FC085A"/>
    <w:rsid w:val="00FC0A85"/>
    <w:rsid w:val="00FC0ABE"/>
    <w:rsid w:val="00FC0B37"/>
    <w:rsid w:val="00FC0BDE"/>
    <w:rsid w:val="00FC0F10"/>
    <w:rsid w:val="00FC1347"/>
    <w:rsid w:val="00FC1D96"/>
    <w:rsid w:val="00FC1E68"/>
    <w:rsid w:val="00FC248B"/>
    <w:rsid w:val="00FC28A3"/>
    <w:rsid w:val="00FC2BC6"/>
    <w:rsid w:val="00FC2DE7"/>
    <w:rsid w:val="00FC3217"/>
    <w:rsid w:val="00FC3652"/>
    <w:rsid w:val="00FC4366"/>
    <w:rsid w:val="00FC457C"/>
    <w:rsid w:val="00FC509D"/>
    <w:rsid w:val="00FC5287"/>
    <w:rsid w:val="00FC5321"/>
    <w:rsid w:val="00FC5461"/>
    <w:rsid w:val="00FC573C"/>
    <w:rsid w:val="00FC5EB4"/>
    <w:rsid w:val="00FC617D"/>
    <w:rsid w:val="00FC686F"/>
    <w:rsid w:val="00FC7020"/>
    <w:rsid w:val="00FC7130"/>
    <w:rsid w:val="00FC75B2"/>
    <w:rsid w:val="00FC7841"/>
    <w:rsid w:val="00FD004D"/>
    <w:rsid w:val="00FD03FC"/>
    <w:rsid w:val="00FD09B2"/>
    <w:rsid w:val="00FD1093"/>
    <w:rsid w:val="00FD1260"/>
    <w:rsid w:val="00FD1BFB"/>
    <w:rsid w:val="00FD1D5B"/>
    <w:rsid w:val="00FD27A9"/>
    <w:rsid w:val="00FD31B3"/>
    <w:rsid w:val="00FD3901"/>
    <w:rsid w:val="00FD393A"/>
    <w:rsid w:val="00FD3B58"/>
    <w:rsid w:val="00FD3EAF"/>
    <w:rsid w:val="00FD3EC0"/>
    <w:rsid w:val="00FD3F57"/>
    <w:rsid w:val="00FD4129"/>
    <w:rsid w:val="00FD446D"/>
    <w:rsid w:val="00FD467D"/>
    <w:rsid w:val="00FD4CFC"/>
    <w:rsid w:val="00FD58D9"/>
    <w:rsid w:val="00FD5E95"/>
    <w:rsid w:val="00FD6013"/>
    <w:rsid w:val="00FD64E1"/>
    <w:rsid w:val="00FD7731"/>
    <w:rsid w:val="00FD7827"/>
    <w:rsid w:val="00FD78C8"/>
    <w:rsid w:val="00FE026A"/>
    <w:rsid w:val="00FE0568"/>
    <w:rsid w:val="00FE135C"/>
    <w:rsid w:val="00FE1732"/>
    <w:rsid w:val="00FE1D24"/>
    <w:rsid w:val="00FE1DC7"/>
    <w:rsid w:val="00FE1F8F"/>
    <w:rsid w:val="00FE225B"/>
    <w:rsid w:val="00FE2732"/>
    <w:rsid w:val="00FE2776"/>
    <w:rsid w:val="00FE35E6"/>
    <w:rsid w:val="00FE3CAB"/>
    <w:rsid w:val="00FE3D22"/>
    <w:rsid w:val="00FE3EC0"/>
    <w:rsid w:val="00FE4C3C"/>
    <w:rsid w:val="00FE5442"/>
    <w:rsid w:val="00FE5565"/>
    <w:rsid w:val="00FE597F"/>
    <w:rsid w:val="00FE6092"/>
    <w:rsid w:val="00FE68BE"/>
    <w:rsid w:val="00FE6DAE"/>
    <w:rsid w:val="00FE730A"/>
    <w:rsid w:val="00FF1008"/>
    <w:rsid w:val="00FF10B9"/>
    <w:rsid w:val="00FF1640"/>
    <w:rsid w:val="00FF16D9"/>
    <w:rsid w:val="00FF1959"/>
    <w:rsid w:val="00FF3932"/>
    <w:rsid w:val="00FF3DDD"/>
    <w:rsid w:val="00FF3F5A"/>
    <w:rsid w:val="00FF43D9"/>
    <w:rsid w:val="00FF4954"/>
    <w:rsid w:val="00FF4ACA"/>
    <w:rsid w:val="00FF4C28"/>
    <w:rsid w:val="00FF512F"/>
    <w:rsid w:val="00FF5EE3"/>
    <w:rsid w:val="00FF6646"/>
    <w:rsid w:val="00FF76A1"/>
    <w:rsid w:val="00FF7D5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7799"/>
    <w:pPr>
      <w:spacing w:after="200" w:line="276" w:lineRule="auto"/>
    </w:pPr>
    <w:rPr>
      <w:sz w:val="22"/>
      <w:szCs w:val="22"/>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locked/>
    <w:rsid w:val="0061659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locked/>
    <w:rsid w:val="000C2977"/>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semiHidden/>
    <w:locked/>
    <w:rsid w:val="0061177F"/>
    <w:rPr>
      <w:rFonts w:ascii="Cambria" w:hAnsi="Cambria" w:cs="Times New Roman"/>
      <w:i/>
      <w:iCs/>
      <w:color w:val="243F60"/>
    </w:rPr>
  </w:style>
  <w:style w:type="paragraph" w:customStyle="1" w:styleId="Bullet">
    <w:name w:val="Bullet"/>
    <w:aliases w:val="b"/>
    <w:basedOn w:val="Normal"/>
    <w:link w:val="BulletChar"/>
    <w:uiPriority w:val="99"/>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A57799"/>
    <w:rPr>
      <w:rFonts w:eastAsia="Times New Roman"/>
      <w:sz w:val="22"/>
      <w:szCs w:val="22"/>
      <w:lang w:eastAsia="en-US"/>
    </w:rPr>
  </w:style>
  <w:style w:type="paragraph" w:customStyle="1" w:styleId="Dash">
    <w:name w:val="Dash"/>
    <w:basedOn w:val="Normal"/>
    <w:link w:val="DashChar"/>
    <w:uiPriority w:val="99"/>
    <w:qFormat/>
    <w:rsid w:val="00A57799"/>
    <w:pPr>
      <w:numPr>
        <w:ilvl w:val="1"/>
        <w:numId w:val="1"/>
      </w:numPr>
      <w:spacing w:before="120" w:after="120"/>
    </w:pPr>
    <w:rPr>
      <w:rFonts w:eastAsia="Times New Roman"/>
    </w:rPr>
  </w:style>
  <w:style w:type="paragraph" w:customStyle="1" w:styleId="DoubleDot">
    <w:name w:val="Double Dot"/>
    <w:basedOn w:val="Normal"/>
    <w:uiPriority w:val="99"/>
    <w:rsid w:val="00A57799"/>
    <w:pPr>
      <w:numPr>
        <w:ilvl w:val="2"/>
        <w:numId w:val="1"/>
      </w:numPr>
      <w:spacing w:before="120" w:after="120"/>
    </w:pPr>
    <w:rPr>
      <w:rFonts w:eastAsia="Times New Roman"/>
    </w:rPr>
  </w:style>
  <w:style w:type="table" w:styleId="TableGrid">
    <w:name w:val="Table Grid"/>
    <w:basedOn w:val="TableNormal"/>
    <w:uiPriority w:val="59"/>
    <w:rsid w:val="00A577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semiHidden/>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qFormat/>
    <w:rsid w:val="00AB0E83"/>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sz w:val="22"/>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basedOn w:val="DefaultParagraphFont"/>
    <w:link w:val="ListParagraph"/>
    <w:uiPriority w:val="34"/>
    <w:locked/>
    <w:rsid w:val="0066015E"/>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455DCD"/>
    <w:pPr>
      <w:keepLines/>
      <w:spacing w:before="120" w:line="220" w:lineRule="exact"/>
      <w:ind w:left="964"/>
      <w:jc w:val="both"/>
    </w:pPr>
    <w:rPr>
      <w:sz w:val="20"/>
    </w:rPr>
  </w:style>
  <w:style w:type="paragraph" w:customStyle="1" w:styleId="tPara">
    <w:name w:val="t_Para"/>
    <w:basedOn w:val="Normal"/>
    <w:uiPriority w:val="99"/>
    <w:qFormat/>
    <w:rsid w:val="00F1670F"/>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C91515"/>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38764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5Section">
    <w:name w:val="h5_Section"/>
    <w:basedOn w:val="Heading5"/>
    <w:next w:val="Normal"/>
    <w:uiPriority w:val="99"/>
    <w:qFormat/>
    <w:rsid w:val="000C2977"/>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uiPriority w:val="99"/>
    <w:qFormat/>
    <w:rsid w:val="000C2977"/>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0C2977"/>
    <w:rPr>
      <w:rFonts w:ascii="Cambria" w:eastAsia="Times New Roman" w:hAnsi="Cambria" w:cs="Times New Roman"/>
      <w:color w:val="243F60"/>
      <w:lang w:eastAsia="en-US"/>
    </w:rPr>
  </w:style>
  <w:style w:type="paragraph" w:customStyle="1" w:styleId="noteMain">
    <w:name w:val="note_Main"/>
    <w:basedOn w:val="tMain"/>
    <w:qFormat/>
    <w:rsid w:val="00386C72"/>
    <w:pPr>
      <w:spacing w:line="220" w:lineRule="exact"/>
    </w:pPr>
    <w:rPr>
      <w:sz w:val="20"/>
    </w:rPr>
  </w:style>
  <w:style w:type="character" w:customStyle="1" w:styleId="Heading4Char">
    <w:name w:val="Heading 4 Char"/>
    <w:basedOn w:val="DefaultParagraphFont"/>
    <w:link w:val="Heading4"/>
    <w:uiPriority w:val="9"/>
    <w:semiHidden/>
    <w:rsid w:val="0061659C"/>
    <w:rPr>
      <w:rFonts w:ascii="Cambria" w:eastAsia="Times New Roman" w:hAnsi="Cambria" w:cs="Times New Roman"/>
      <w:b/>
      <w:bCs/>
      <w:i/>
      <w:iCs/>
      <w:color w:val="4F81BD"/>
      <w:lang w:eastAsia="en-US"/>
    </w:rPr>
  </w:style>
  <w:style w:type="paragraph" w:customStyle="1" w:styleId="noteSubpara">
    <w:name w:val="note_Subpara"/>
    <w:basedOn w:val="Normal"/>
    <w:qFormat/>
    <w:rsid w:val="002161AE"/>
    <w:pPr>
      <w:keepLines/>
      <w:tabs>
        <w:tab w:val="right" w:pos="2211"/>
      </w:tabs>
      <w:spacing w:after="100" w:line="220" w:lineRule="exact"/>
      <w:ind w:left="2410" w:hanging="2410"/>
      <w:jc w:val="both"/>
    </w:pPr>
    <w:rPr>
      <w:rFonts w:ascii="Times New Roman" w:eastAsia="Times New Roman" w:hAnsi="Times New Roman"/>
      <w:sz w:val="20"/>
      <w:szCs w:val="24"/>
      <w:lang w:eastAsia="en-AU"/>
    </w:rPr>
  </w:style>
  <w:style w:type="paragraph" w:customStyle="1" w:styleId="tSubpara">
    <w:name w:val="t_Subpara"/>
    <w:basedOn w:val="Normal"/>
    <w:qFormat/>
    <w:rsid w:val="00AB29BA"/>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Defn">
    <w:name w:val="t_Defn"/>
    <w:basedOn w:val="Normal"/>
    <w:uiPriority w:val="99"/>
    <w:rsid w:val="00FB4250"/>
    <w:pPr>
      <w:spacing w:before="80" w:after="100" w:line="260" w:lineRule="exact"/>
      <w:ind w:left="964"/>
      <w:jc w:val="both"/>
    </w:pPr>
    <w:rPr>
      <w:rFonts w:ascii="Times New Roman" w:eastAsia="Times New Roman" w:hAnsi="Times New Roman"/>
      <w:sz w:val="24"/>
      <w:szCs w:val="24"/>
      <w:lang w:eastAsia="en-AU"/>
    </w:rPr>
  </w:style>
  <w:style w:type="paragraph" w:customStyle="1" w:styleId="notePara">
    <w:name w:val="note_Para"/>
    <w:basedOn w:val="tPara"/>
    <w:qFormat/>
    <w:rsid w:val="00FC7841"/>
    <w:pPr>
      <w:spacing w:line="220" w:lineRule="exact"/>
    </w:pPr>
    <w:rPr>
      <w:rFonts w:ascii="Times New Roman" w:eastAsia="Times New Roman" w:hAnsi="Times New Roman"/>
      <w:sz w:val="20"/>
      <w:szCs w:val="24"/>
      <w:lang w:eastAsia="en-AU"/>
    </w:rPr>
  </w:style>
  <w:style w:type="paragraph" w:customStyle="1" w:styleId="h6Subsec">
    <w:name w:val="h6_Subsec"/>
    <w:basedOn w:val="Normal"/>
    <w:next w:val="Normal"/>
    <w:qFormat/>
    <w:rsid w:val="00BE480F"/>
    <w:pPr>
      <w:keepNext/>
      <w:spacing w:before="120" w:after="0" w:line="240" w:lineRule="auto"/>
      <w:ind w:left="964"/>
    </w:pPr>
    <w:rPr>
      <w:rFonts w:ascii="Arial" w:eastAsia="Times New Roman" w:hAnsi="Arial"/>
      <w:i/>
      <w:sz w:val="24"/>
      <w:szCs w:val="24"/>
      <w:lang w:eastAsia="en-AU"/>
    </w:rPr>
  </w:style>
  <w:style w:type="paragraph" w:customStyle="1" w:styleId="Tabletext">
    <w:name w:val="Tabletext"/>
    <w:aliases w:val="tt"/>
    <w:basedOn w:val="Normal"/>
    <w:rsid w:val="00BA2C7D"/>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
    <w:rsid w:val="00BA2C7D"/>
    <w:pPr>
      <w:keepNext/>
      <w:spacing w:before="60" w:after="0" w:line="240" w:lineRule="atLeast"/>
    </w:pPr>
    <w:rPr>
      <w:rFonts w:ascii="Times New Roman" w:eastAsia="Times New Roman" w:hAnsi="Times New Roman"/>
      <w:b/>
      <w:sz w:val="20"/>
      <w:szCs w:val="20"/>
      <w:lang w:eastAsia="en-AU"/>
    </w:rPr>
  </w:style>
  <w:style w:type="paragraph" w:styleId="ListNumber">
    <w:name w:val="List Number"/>
    <w:basedOn w:val="Normal"/>
    <w:uiPriority w:val="99"/>
    <w:qFormat/>
    <w:locked/>
    <w:rsid w:val="00C91671"/>
    <w:pPr>
      <w:numPr>
        <w:numId w:val="5"/>
      </w:numPr>
    </w:pPr>
    <w:rPr>
      <w:rFonts w:ascii="Arial" w:eastAsia="Times New Roman" w:hAnsi="Arial"/>
    </w:rPr>
  </w:style>
  <w:style w:type="paragraph" w:styleId="ListNumber2">
    <w:name w:val="List Number 2"/>
    <w:basedOn w:val="Normal"/>
    <w:uiPriority w:val="99"/>
    <w:locked/>
    <w:rsid w:val="00C91671"/>
    <w:pPr>
      <w:numPr>
        <w:ilvl w:val="1"/>
        <w:numId w:val="5"/>
      </w:numPr>
    </w:pPr>
    <w:rPr>
      <w:rFonts w:ascii="Arial" w:eastAsia="Times New Roman" w:hAnsi="Arial"/>
    </w:rPr>
  </w:style>
  <w:style w:type="paragraph" w:styleId="ListNumber3">
    <w:name w:val="List Number 3"/>
    <w:basedOn w:val="Normal"/>
    <w:uiPriority w:val="99"/>
    <w:locked/>
    <w:rsid w:val="00C91671"/>
    <w:pPr>
      <w:numPr>
        <w:ilvl w:val="2"/>
        <w:numId w:val="5"/>
      </w:numPr>
    </w:pPr>
    <w:rPr>
      <w:rFonts w:ascii="Arial" w:eastAsia="Times New Roman" w:hAnsi="Arial"/>
    </w:rPr>
  </w:style>
  <w:style w:type="paragraph" w:styleId="ListNumber4">
    <w:name w:val="List Number 4"/>
    <w:basedOn w:val="Normal"/>
    <w:uiPriority w:val="99"/>
    <w:locked/>
    <w:rsid w:val="00C91671"/>
    <w:pPr>
      <w:numPr>
        <w:ilvl w:val="3"/>
        <w:numId w:val="5"/>
      </w:numPr>
    </w:pPr>
    <w:rPr>
      <w:rFonts w:ascii="Arial" w:eastAsia="Times New Roman" w:hAnsi="Arial"/>
    </w:rPr>
  </w:style>
  <w:style w:type="paragraph" w:styleId="ListNumber5">
    <w:name w:val="List Number 5"/>
    <w:basedOn w:val="Normal"/>
    <w:uiPriority w:val="99"/>
    <w:locked/>
    <w:rsid w:val="00C91671"/>
    <w:pPr>
      <w:numPr>
        <w:ilvl w:val="4"/>
        <w:numId w:val="5"/>
      </w:numPr>
    </w:pPr>
    <w:rPr>
      <w:rFonts w:ascii="Arial" w:eastAsia="Times New Roman" w:hAnsi="Arial"/>
    </w:rPr>
  </w:style>
  <w:style w:type="paragraph" w:customStyle="1" w:styleId="paragraph">
    <w:name w:val="paragraph"/>
    <w:aliases w:val="a"/>
    <w:basedOn w:val="Normal"/>
    <w:link w:val="paragraphChar"/>
    <w:rsid w:val="00C91671"/>
    <w:pPr>
      <w:tabs>
        <w:tab w:val="right" w:pos="1531"/>
      </w:tabs>
      <w:spacing w:before="40" w:after="0" w:line="240" w:lineRule="auto"/>
      <w:ind w:left="1644" w:hanging="1644"/>
    </w:pPr>
    <w:rPr>
      <w:rFonts w:ascii="Times New Roman" w:eastAsia="Times New Roman" w:hAnsi="Times New Roman"/>
      <w:szCs w:val="20"/>
    </w:rPr>
  </w:style>
  <w:style w:type="character" w:customStyle="1" w:styleId="paragraphChar">
    <w:name w:val="paragraph Char"/>
    <w:aliases w:val="a Char"/>
    <w:link w:val="paragraph"/>
    <w:locked/>
    <w:rsid w:val="00C91671"/>
    <w:rPr>
      <w:rFonts w:ascii="Times New Roman" w:eastAsia="Times New Roman" w:hAnsi="Times New Roman"/>
      <w:sz w:val="22"/>
      <w:lang w:eastAsia="en-US"/>
    </w:rPr>
  </w:style>
  <w:style w:type="paragraph" w:customStyle="1" w:styleId="Definition0">
    <w:name w:val="Definition"/>
    <w:aliases w:val="dd"/>
    <w:basedOn w:val="Normal"/>
    <w:rsid w:val="00D11F3D"/>
    <w:pPr>
      <w:spacing w:before="180" w:after="0" w:line="240" w:lineRule="auto"/>
      <w:ind w:left="1134"/>
    </w:pPr>
    <w:rPr>
      <w:rFonts w:ascii="Times New Roman" w:hAnsi="Times New Roman"/>
      <w:lang w:eastAsia="en-AU"/>
    </w:rPr>
  </w:style>
  <w:style w:type="paragraph" w:customStyle="1" w:styleId="paragraphsub">
    <w:name w:val="paragraph(sub)"/>
    <w:aliases w:val="aa"/>
    <w:basedOn w:val="Normal"/>
    <w:rsid w:val="00B9176A"/>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notepara0">
    <w:name w:val="note(para)"/>
    <w:aliases w:val="na"/>
    <w:basedOn w:val="Normal"/>
    <w:rsid w:val="00B9176A"/>
    <w:pPr>
      <w:spacing w:before="40" w:after="0" w:line="198" w:lineRule="exact"/>
      <w:ind w:left="2354" w:hanging="369"/>
    </w:pPr>
    <w:rPr>
      <w:rFonts w:ascii="Times New Roman" w:eastAsia="Times New Roman" w:hAnsi="Times New Roman"/>
      <w:sz w:val="18"/>
      <w:szCs w:val="20"/>
      <w:lang w:eastAsia="en-AU"/>
    </w:rPr>
  </w:style>
  <w:style w:type="paragraph" w:customStyle="1" w:styleId="notetext">
    <w:name w:val="note(text)"/>
    <w:aliases w:val="n"/>
    <w:basedOn w:val="Normal"/>
    <w:rsid w:val="00B9176A"/>
    <w:pPr>
      <w:spacing w:before="122" w:after="0" w:line="240" w:lineRule="auto"/>
      <w:ind w:left="1985" w:hanging="851"/>
    </w:pPr>
    <w:rPr>
      <w:rFonts w:ascii="Times New Roman" w:eastAsia="Times New Roman" w:hAnsi="Times New Roman"/>
      <w:sz w:val="18"/>
      <w:szCs w:val="20"/>
      <w:lang w:eastAsia="en-AU"/>
    </w:rPr>
  </w:style>
  <w:style w:type="paragraph" w:customStyle="1" w:styleId="ActHead5">
    <w:name w:val="ActHead 5"/>
    <w:aliases w:val="s"/>
    <w:basedOn w:val="Normal"/>
    <w:next w:val="subsection"/>
    <w:qFormat/>
    <w:rsid w:val="00D8181A"/>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paragraph" w:customStyle="1" w:styleId="subsection">
    <w:name w:val="subsection"/>
    <w:aliases w:val="ss"/>
    <w:basedOn w:val="Normal"/>
    <w:link w:val="subsectionChar"/>
    <w:rsid w:val="00D8181A"/>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rsid w:val="004331E6"/>
    <w:rPr>
      <w:rFonts w:ascii="Times New Roman" w:eastAsia="Times New Roman" w:hAnsi="Times New Roman"/>
      <w:sz w:val="22"/>
    </w:rPr>
  </w:style>
  <w:style w:type="paragraph" w:customStyle="1" w:styleId="base-text-paragraphnonumbers">
    <w:name w:val="base-text-paragraph no numbers"/>
    <w:basedOn w:val="Normal"/>
    <w:rsid w:val="003E7C81"/>
    <w:pPr>
      <w:spacing w:before="120" w:after="120" w:line="240" w:lineRule="auto"/>
      <w:ind w:left="1134"/>
    </w:pPr>
    <w:rPr>
      <w:rFonts w:ascii="Times New Roman" w:eastAsia="Times New Roman" w:hAnsi="Times New Roman"/>
      <w:szCs w:val="20"/>
      <w:lang w:eastAsia="en-AU"/>
    </w:rPr>
  </w:style>
  <w:style w:type="paragraph" w:customStyle="1" w:styleId="53ItemHeading3">
    <w:name w:val="5.3 Item Heading 3"/>
    <w:basedOn w:val="Normal"/>
    <w:link w:val="53ItemHeading3Char"/>
    <w:qFormat/>
    <w:rsid w:val="00356933"/>
    <w:pPr>
      <w:spacing w:before="60" w:after="120" w:line="280" w:lineRule="exact"/>
      <w:ind w:firstLine="142"/>
    </w:pPr>
    <w:rPr>
      <w:rFonts w:ascii="Arial" w:eastAsia="Times New Roman" w:hAnsi="Arial" w:cs="Arial"/>
      <w:b/>
      <w:sz w:val="20"/>
      <w:szCs w:val="24"/>
    </w:rPr>
  </w:style>
  <w:style w:type="character" w:customStyle="1" w:styleId="53ItemHeading3Char">
    <w:name w:val="5.3 Item Heading 3 Char"/>
    <w:basedOn w:val="DefaultParagraphFont"/>
    <w:link w:val="53ItemHeading3"/>
    <w:rsid w:val="00356933"/>
    <w:rPr>
      <w:rFonts w:ascii="Arial" w:eastAsia="Times New Roman" w:hAnsi="Arial" w:cs="Arial"/>
      <w:b/>
      <w:szCs w:val="24"/>
      <w:lang w:eastAsia="en-US"/>
    </w:rPr>
  </w:style>
  <w:style w:type="paragraph" w:customStyle="1" w:styleId="SOText">
    <w:name w:val="SO Text"/>
    <w:aliases w:val="sot"/>
    <w:link w:val="SOTextChar"/>
    <w:rsid w:val="00B104DC"/>
    <w:pPr>
      <w:pBdr>
        <w:top w:val="single" w:sz="6" w:space="5" w:color="auto"/>
        <w:left w:val="single" w:sz="6" w:space="5" w:color="auto"/>
        <w:bottom w:val="single" w:sz="6" w:space="5" w:color="auto"/>
        <w:right w:val="single" w:sz="6" w:space="5" w:color="auto"/>
      </w:pBdr>
      <w:spacing w:before="240"/>
      <w:ind w:left="1134"/>
    </w:pPr>
    <w:rPr>
      <w:rFonts w:ascii="Times New Roman" w:hAnsi="Times New Roman"/>
      <w:sz w:val="22"/>
    </w:rPr>
  </w:style>
  <w:style w:type="character" w:customStyle="1" w:styleId="SOTextChar">
    <w:name w:val="SO Text Char"/>
    <w:aliases w:val="sot Char"/>
    <w:link w:val="SOText"/>
    <w:rsid w:val="00B104DC"/>
    <w:rPr>
      <w:rFonts w:ascii="Times New Roman" w:hAnsi="Times New Roman"/>
      <w:sz w:val="22"/>
      <w:lang w:bidi="ar-SA"/>
    </w:rPr>
  </w:style>
  <w:style w:type="paragraph" w:customStyle="1" w:styleId="SOPara">
    <w:name w:val="SO Para"/>
    <w:aliases w:val="soa"/>
    <w:basedOn w:val="SOText"/>
    <w:link w:val="SOParaChar"/>
    <w:qFormat/>
    <w:rsid w:val="00B104DC"/>
    <w:pPr>
      <w:tabs>
        <w:tab w:val="right" w:pos="1786"/>
      </w:tabs>
      <w:spacing w:before="40"/>
      <w:ind w:left="2070" w:hanging="936"/>
    </w:pPr>
  </w:style>
  <w:style w:type="character" w:customStyle="1" w:styleId="SOParaChar">
    <w:name w:val="SO Para Char"/>
    <w:aliases w:val="soa Char"/>
    <w:link w:val="SOPara"/>
    <w:rsid w:val="00B104DC"/>
    <w:rPr>
      <w:rFonts w:ascii="Times New Roman" w:hAnsi="Times New Roman"/>
      <w:sz w:val="22"/>
    </w:rPr>
  </w:style>
  <w:style w:type="paragraph" w:customStyle="1" w:styleId="notedraft">
    <w:name w:val="note(draft)"/>
    <w:aliases w:val="nd"/>
    <w:basedOn w:val="Normal"/>
    <w:rsid w:val="00DB1D9D"/>
    <w:pPr>
      <w:spacing w:before="240" w:after="0" w:line="240" w:lineRule="auto"/>
      <w:ind w:left="284" w:hanging="284"/>
    </w:pPr>
    <w:rPr>
      <w:rFonts w:ascii="Times New Roman" w:eastAsia="Times New Roman" w:hAnsi="Times New Roman"/>
      <w:i/>
      <w:sz w:val="24"/>
      <w:szCs w:val="20"/>
      <w:lang w:eastAsia="en-AU"/>
    </w:rPr>
  </w:style>
  <w:style w:type="paragraph" w:customStyle="1" w:styleId="Penalty">
    <w:name w:val="Penalty"/>
    <w:basedOn w:val="Normal"/>
    <w:rsid w:val="00AF06F9"/>
    <w:pPr>
      <w:tabs>
        <w:tab w:val="left" w:pos="2977"/>
      </w:tabs>
      <w:spacing w:before="180" w:after="0" w:line="240" w:lineRule="auto"/>
      <w:ind w:left="1985" w:hanging="851"/>
    </w:pPr>
    <w:rPr>
      <w:rFonts w:ascii="Times New Roman" w:eastAsia="Times New Roman" w:hAnsi="Times New Roman"/>
      <w:szCs w:val="20"/>
      <w:lang w:eastAsia="en-AU"/>
    </w:rPr>
  </w:style>
</w:styles>
</file>

<file path=word/webSettings.xml><?xml version="1.0" encoding="utf-8"?>
<w:webSettings xmlns:r="http://schemas.openxmlformats.org/officeDocument/2006/relationships" xmlns:w="http://schemas.openxmlformats.org/wordprocessingml/2006/main">
  <w:divs>
    <w:div w:id="22949220">
      <w:bodyDiv w:val="1"/>
      <w:marLeft w:val="0"/>
      <w:marRight w:val="0"/>
      <w:marTop w:val="0"/>
      <w:marBottom w:val="0"/>
      <w:divBdr>
        <w:top w:val="none" w:sz="0" w:space="0" w:color="auto"/>
        <w:left w:val="none" w:sz="0" w:space="0" w:color="auto"/>
        <w:bottom w:val="none" w:sz="0" w:space="0" w:color="auto"/>
        <w:right w:val="none" w:sz="0" w:space="0" w:color="auto"/>
      </w:divBdr>
    </w:div>
    <w:div w:id="39401007">
      <w:bodyDiv w:val="1"/>
      <w:marLeft w:val="0"/>
      <w:marRight w:val="0"/>
      <w:marTop w:val="0"/>
      <w:marBottom w:val="0"/>
      <w:divBdr>
        <w:top w:val="none" w:sz="0" w:space="0" w:color="auto"/>
        <w:left w:val="none" w:sz="0" w:space="0" w:color="auto"/>
        <w:bottom w:val="none" w:sz="0" w:space="0" w:color="auto"/>
        <w:right w:val="none" w:sz="0" w:space="0" w:color="auto"/>
      </w:divBdr>
    </w:div>
    <w:div w:id="310986212">
      <w:bodyDiv w:val="1"/>
      <w:marLeft w:val="0"/>
      <w:marRight w:val="0"/>
      <w:marTop w:val="0"/>
      <w:marBottom w:val="0"/>
      <w:divBdr>
        <w:top w:val="none" w:sz="0" w:space="0" w:color="auto"/>
        <w:left w:val="none" w:sz="0" w:space="0" w:color="auto"/>
        <w:bottom w:val="none" w:sz="0" w:space="0" w:color="auto"/>
        <w:right w:val="none" w:sz="0" w:space="0" w:color="auto"/>
      </w:divBdr>
    </w:div>
    <w:div w:id="483594840">
      <w:bodyDiv w:val="1"/>
      <w:marLeft w:val="0"/>
      <w:marRight w:val="0"/>
      <w:marTop w:val="0"/>
      <w:marBottom w:val="0"/>
      <w:divBdr>
        <w:top w:val="none" w:sz="0" w:space="0" w:color="auto"/>
        <w:left w:val="none" w:sz="0" w:space="0" w:color="auto"/>
        <w:bottom w:val="none" w:sz="0" w:space="0" w:color="auto"/>
        <w:right w:val="none" w:sz="0" w:space="0" w:color="auto"/>
      </w:divBdr>
      <w:divsChild>
        <w:div w:id="228081933">
          <w:marLeft w:val="0"/>
          <w:marRight w:val="0"/>
          <w:marTop w:val="0"/>
          <w:marBottom w:val="0"/>
          <w:divBdr>
            <w:top w:val="none" w:sz="0" w:space="0" w:color="auto"/>
            <w:left w:val="none" w:sz="0" w:space="0" w:color="auto"/>
            <w:bottom w:val="none" w:sz="0" w:space="0" w:color="auto"/>
            <w:right w:val="none" w:sz="0" w:space="0" w:color="auto"/>
          </w:divBdr>
          <w:divsChild>
            <w:div w:id="260644383">
              <w:marLeft w:val="0"/>
              <w:marRight w:val="0"/>
              <w:marTop w:val="0"/>
              <w:marBottom w:val="0"/>
              <w:divBdr>
                <w:top w:val="none" w:sz="0" w:space="0" w:color="auto"/>
                <w:left w:val="none" w:sz="0" w:space="0" w:color="auto"/>
                <w:bottom w:val="none" w:sz="0" w:space="0" w:color="auto"/>
                <w:right w:val="none" w:sz="0" w:space="0" w:color="auto"/>
              </w:divBdr>
              <w:divsChild>
                <w:div w:id="1617249886">
                  <w:marLeft w:val="0"/>
                  <w:marRight w:val="0"/>
                  <w:marTop w:val="0"/>
                  <w:marBottom w:val="0"/>
                  <w:divBdr>
                    <w:top w:val="none" w:sz="0" w:space="0" w:color="auto"/>
                    <w:left w:val="none" w:sz="0" w:space="0" w:color="auto"/>
                    <w:bottom w:val="none" w:sz="0" w:space="0" w:color="auto"/>
                    <w:right w:val="none" w:sz="0" w:space="0" w:color="auto"/>
                  </w:divBdr>
                  <w:divsChild>
                    <w:div w:id="1670519455">
                      <w:marLeft w:val="0"/>
                      <w:marRight w:val="0"/>
                      <w:marTop w:val="0"/>
                      <w:marBottom w:val="0"/>
                      <w:divBdr>
                        <w:top w:val="none" w:sz="0" w:space="0" w:color="auto"/>
                        <w:left w:val="none" w:sz="0" w:space="0" w:color="auto"/>
                        <w:bottom w:val="none" w:sz="0" w:space="0" w:color="auto"/>
                        <w:right w:val="none" w:sz="0" w:space="0" w:color="auto"/>
                      </w:divBdr>
                      <w:divsChild>
                        <w:div w:id="1854566624">
                          <w:marLeft w:val="0"/>
                          <w:marRight w:val="0"/>
                          <w:marTop w:val="0"/>
                          <w:marBottom w:val="0"/>
                          <w:divBdr>
                            <w:top w:val="none" w:sz="0" w:space="0" w:color="auto"/>
                            <w:left w:val="none" w:sz="0" w:space="0" w:color="auto"/>
                            <w:bottom w:val="none" w:sz="0" w:space="0" w:color="auto"/>
                            <w:right w:val="none" w:sz="0" w:space="0" w:color="auto"/>
                          </w:divBdr>
                          <w:divsChild>
                            <w:div w:id="17991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368921">
      <w:bodyDiv w:val="1"/>
      <w:marLeft w:val="0"/>
      <w:marRight w:val="0"/>
      <w:marTop w:val="0"/>
      <w:marBottom w:val="0"/>
      <w:divBdr>
        <w:top w:val="none" w:sz="0" w:space="0" w:color="auto"/>
        <w:left w:val="none" w:sz="0" w:space="0" w:color="auto"/>
        <w:bottom w:val="none" w:sz="0" w:space="0" w:color="auto"/>
        <w:right w:val="none" w:sz="0" w:space="0" w:color="auto"/>
      </w:divBdr>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991637025">
      <w:bodyDiv w:val="1"/>
      <w:marLeft w:val="0"/>
      <w:marRight w:val="0"/>
      <w:marTop w:val="0"/>
      <w:marBottom w:val="0"/>
      <w:divBdr>
        <w:top w:val="none" w:sz="0" w:space="0" w:color="auto"/>
        <w:left w:val="none" w:sz="0" w:space="0" w:color="auto"/>
        <w:bottom w:val="none" w:sz="0" w:space="0" w:color="auto"/>
        <w:right w:val="none" w:sz="0" w:space="0" w:color="auto"/>
      </w:divBdr>
    </w:div>
    <w:div w:id="1007900079">
      <w:bodyDiv w:val="1"/>
      <w:marLeft w:val="0"/>
      <w:marRight w:val="0"/>
      <w:marTop w:val="0"/>
      <w:marBottom w:val="0"/>
      <w:divBdr>
        <w:top w:val="none" w:sz="0" w:space="0" w:color="auto"/>
        <w:left w:val="none" w:sz="0" w:space="0" w:color="auto"/>
        <w:bottom w:val="none" w:sz="0" w:space="0" w:color="auto"/>
        <w:right w:val="none" w:sz="0" w:space="0" w:color="auto"/>
      </w:divBdr>
    </w:div>
    <w:div w:id="1084063441">
      <w:bodyDiv w:val="1"/>
      <w:marLeft w:val="0"/>
      <w:marRight w:val="0"/>
      <w:marTop w:val="0"/>
      <w:marBottom w:val="0"/>
      <w:divBdr>
        <w:top w:val="none" w:sz="0" w:space="0" w:color="auto"/>
        <w:left w:val="none" w:sz="0" w:space="0" w:color="auto"/>
        <w:bottom w:val="none" w:sz="0" w:space="0" w:color="auto"/>
        <w:right w:val="none" w:sz="0" w:space="0" w:color="auto"/>
      </w:divBdr>
      <w:divsChild>
        <w:div w:id="48382946">
          <w:marLeft w:val="0"/>
          <w:marRight w:val="0"/>
          <w:marTop w:val="0"/>
          <w:marBottom w:val="0"/>
          <w:divBdr>
            <w:top w:val="none" w:sz="0" w:space="0" w:color="auto"/>
            <w:left w:val="none" w:sz="0" w:space="0" w:color="auto"/>
            <w:bottom w:val="none" w:sz="0" w:space="0" w:color="auto"/>
            <w:right w:val="none" w:sz="0" w:space="0" w:color="auto"/>
          </w:divBdr>
          <w:divsChild>
            <w:div w:id="1220435484">
              <w:marLeft w:val="0"/>
              <w:marRight w:val="0"/>
              <w:marTop w:val="0"/>
              <w:marBottom w:val="0"/>
              <w:divBdr>
                <w:top w:val="none" w:sz="0" w:space="0" w:color="auto"/>
                <w:left w:val="none" w:sz="0" w:space="0" w:color="auto"/>
                <w:bottom w:val="none" w:sz="0" w:space="0" w:color="auto"/>
                <w:right w:val="none" w:sz="0" w:space="0" w:color="auto"/>
              </w:divBdr>
              <w:divsChild>
                <w:div w:id="1371612598">
                  <w:marLeft w:val="0"/>
                  <w:marRight w:val="0"/>
                  <w:marTop w:val="0"/>
                  <w:marBottom w:val="0"/>
                  <w:divBdr>
                    <w:top w:val="none" w:sz="0" w:space="0" w:color="auto"/>
                    <w:left w:val="none" w:sz="0" w:space="0" w:color="auto"/>
                    <w:bottom w:val="none" w:sz="0" w:space="0" w:color="auto"/>
                    <w:right w:val="none" w:sz="0" w:space="0" w:color="auto"/>
                  </w:divBdr>
                  <w:divsChild>
                    <w:div w:id="973289968">
                      <w:marLeft w:val="0"/>
                      <w:marRight w:val="0"/>
                      <w:marTop w:val="0"/>
                      <w:marBottom w:val="0"/>
                      <w:divBdr>
                        <w:top w:val="none" w:sz="0" w:space="0" w:color="auto"/>
                        <w:left w:val="none" w:sz="0" w:space="0" w:color="auto"/>
                        <w:bottom w:val="none" w:sz="0" w:space="0" w:color="auto"/>
                        <w:right w:val="none" w:sz="0" w:space="0" w:color="auto"/>
                      </w:divBdr>
                      <w:divsChild>
                        <w:div w:id="858936541">
                          <w:marLeft w:val="0"/>
                          <w:marRight w:val="0"/>
                          <w:marTop w:val="0"/>
                          <w:marBottom w:val="0"/>
                          <w:divBdr>
                            <w:top w:val="single" w:sz="6" w:space="0" w:color="828282"/>
                            <w:left w:val="single" w:sz="6" w:space="0" w:color="828282"/>
                            <w:bottom w:val="single" w:sz="6" w:space="0" w:color="828282"/>
                            <w:right w:val="single" w:sz="6" w:space="0" w:color="828282"/>
                          </w:divBdr>
                          <w:divsChild>
                            <w:div w:id="1115635461">
                              <w:marLeft w:val="0"/>
                              <w:marRight w:val="0"/>
                              <w:marTop w:val="0"/>
                              <w:marBottom w:val="0"/>
                              <w:divBdr>
                                <w:top w:val="none" w:sz="0" w:space="0" w:color="auto"/>
                                <w:left w:val="none" w:sz="0" w:space="0" w:color="auto"/>
                                <w:bottom w:val="none" w:sz="0" w:space="0" w:color="auto"/>
                                <w:right w:val="none" w:sz="0" w:space="0" w:color="auto"/>
                              </w:divBdr>
                              <w:divsChild>
                                <w:div w:id="1976180029">
                                  <w:marLeft w:val="0"/>
                                  <w:marRight w:val="0"/>
                                  <w:marTop w:val="0"/>
                                  <w:marBottom w:val="0"/>
                                  <w:divBdr>
                                    <w:top w:val="none" w:sz="0" w:space="0" w:color="auto"/>
                                    <w:left w:val="none" w:sz="0" w:space="0" w:color="auto"/>
                                    <w:bottom w:val="none" w:sz="0" w:space="0" w:color="auto"/>
                                    <w:right w:val="none" w:sz="0" w:space="0" w:color="auto"/>
                                  </w:divBdr>
                                  <w:divsChild>
                                    <w:div w:id="1122192279">
                                      <w:marLeft w:val="0"/>
                                      <w:marRight w:val="0"/>
                                      <w:marTop w:val="0"/>
                                      <w:marBottom w:val="0"/>
                                      <w:divBdr>
                                        <w:top w:val="none" w:sz="0" w:space="0" w:color="auto"/>
                                        <w:left w:val="none" w:sz="0" w:space="0" w:color="auto"/>
                                        <w:bottom w:val="none" w:sz="0" w:space="0" w:color="auto"/>
                                        <w:right w:val="none" w:sz="0" w:space="0" w:color="auto"/>
                                      </w:divBdr>
                                      <w:divsChild>
                                        <w:div w:id="103575178">
                                          <w:marLeft w:val="0"/>
                                          <w:marRight w:val="0"/>
                                          <w:marTop w:val="0"/>
                                          <w:marBottom w:val="0"/>
                                          <w:divBdr>
                                            <w:top w:val="none" w:sz="0" w:space="0" w:color="auto"/>
                                            <w:left w:val="none" w:sz="0" w:space="0" w:color="auto"/>
                                            <w:bottom w:val="none" w:sz="0" w:space="0" w:color="auto"/>
                                            <w:right w:val="none" w:sz="0" w:space="0" w:color="auto"/>
                                          </w:divBdr>
                                          <w:divsChild>
                                            <w:div w:id="1778328265">
                                              <w:marLeft w:val="0"/>
                                              <w:marRight w:val="0"/>
                                              <w:marTop w:val="0"/>
                                              <w:marBottom w:val="0"/>
                                              <w:divBdr>
                                                <w:top w:val="none" w:sz="0" w:space="0" w:color="auto"/>
                                                <w:left w:val="none" w:sz="0" w:space="0" w:color="auto"/>
                                                <w:bottom w:val="none" w:sz="0" w:space="0" w:color="auto"/>
                                                <w:right w:val="none" w:sz="0" w:space="0" w:color="auto"/>
                                              </w:divBdr>
                                              <w:divsChild>
                                                <w:div w:id="3012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241912453">
      <w:bodyDiv w:val="1"/>
      <w:marLeft w:val="0"/>
      <w:marRight w:val="0"/>
      <w:marTop w:val="0"/>
      <w:marBottom w:val="0"/>
      <w:divBdr>
        <w:top w:val="none" w:sz="0" w:space="0" w:color="auto"/>
        <w:left w:val="none" w:sz="0" w:space="0" w:color="auto"/>
        <w:bottom w:val="none" w:sz="0" w:space="0" w:color="auto"/>
        <w:right w:val="none" w:sz="0" w:space="0" w:color="auto"/>
      </w:divBdr>
    </w:div>
    <w:div w:id="1248031772">
      <w:bodyDiv w:val="1"/>
      <w:marLeft w:val="0"/>
      <w:marRight w:val="0"/>
      <w:marTop w:val="0"/>
      <w:marBottom w:val="0"/>
      <w:divBdr>
        <w:top w:val="none" w:sz="0" w:space="0" w:color="auto"/>
        <w:left w:val="none" w:sz="0" w:space="0" w:color="auto"/>
        <w:bottom w:val="none" w:sz="0" w:space="0" w:color="auto"/>
        <w:right w:val="none" w:sz="0" w:space="0" w:color="auto"/>
      </w:divBdr>
      <w:divsChild>
        <w:div w:id="848519567">
          <w:marLeft w:val="0"/>
          <w:marRight w:val="0"/>
          <w:marTop w:val="0"/>
          <w:marBottom w:val="0"/>
          <w:divBdr>
            <w:top w:val="none" w:sz="0" w:space="0" w:color="auto"/>
            <w:left w:val="none" w:sz="0" w:space="0" w:color="auto"/>
            <w:bottom w:val="none" w:sz="0" w:space="0" w:color="auto"/>
            <w:right w:val="none" w:sz="0" w:space="0" w:color="auto"/>
          </w:divBdr>
          <w:divsChild>
            <w:div w:id="1683974102">
              <w:marLeft w:val="0"/>
              <w:marRight w:val="0"/>
              <w:marTop w:val="0"/>
              <w:marBottom w:val="0"/>
              <w:divBdr>
                <w:top w:val="none" w:sz="0" w:space="0" w:color="auto"/>
                <w:left w:val="none" w:sz="0" w:space="0" w:color="auto"/>
                <w:bottom w:val="none" w:sz="0" w:space="0" w:color="auto"/>
                <w:right w:val="none" w:sz="0" w:space="0" w:color="auto"/>
              </w:divBdr>
              <w:divsChild>
                <w:div w:id="625819488">
                  <w:marLeft w:val="0"/>
                  <w:marRight w:val="0"/>
                  <w:marTop w:val="0"/>
                  <w:marBottom w:val="0"/>
                  <w:divBdr>
                    <w:top w:val="none" w:sz="0" w:space="0" w:color="auto"/>
                    <w:left w:val="none" w:sz="0" w:space="0" w:color="auto"/>
                    <w:bottom w:val="none" w:sz="0" w:space="0" w:color="auto"/>
                    <w:right w:val="none" w:sz="0" w:space="0" w:color="auto"/>
                  </w:divBdr>
                  <w:divsChild>
                    <w:div w:id="1374842662">
                      <w:marLeft w:val="0"/>
                      <w:marRight w:val="0"/>
                      <w:marTop w:val="0"/>
                      <w:marBottom w:val="0"/>
                      <w:divBdr>
                        <w:top w:val="none" w:sz="0" w:space="0" w:color="auto"/>
                        <w:left w:val="none" w:sz="0" w:space="0" w:color="auto"/>
                        <w:bottom w:val="none" w:sz="0" w:space="0" w:color="auto"/>
                        <w:right w:val="none" w:sz="0" w:space="0" w:color="auto"/>
                      </w:divBdr>
                      <w:divsChild>
                        <w:div w:id="1565332256">
                          <w:marLeft w:val="0"/>
                          <w:marRight w:val="0"/>
                          <w:marTop w:val="0"/>
                          <w:marBottom w:val="0"/>
                          <w:divBdr>
                            <w:top w:val="single" w:sz="6" w:space="0" w:color="828282"/>
                            <w:left w:val="single" w:sz="6" w:space="0" w:color="828282"/>
                            <w:bottom w:val="single" w:sz="6" w:space="0" w:color="828282"/>
                            <w:right w:val="single" w:sz="6" w:space="0" w:color="828282"/>
                          </w:divBdr>
                          <w:divsChild>
                            <w:div w:id="1341544079">
                              <w:marLeft w:val="0"/>
                              <w:marRight w:val="0"/>
                              <w:marTop w:val="0"/>
                              <w:marBottom w:val="0"/>
                              <w:divBdr>
                                <w:top w:val="none" w:sz="0" w:space="0" w:color="auto"/>
                                <w:left w:val="none" w:sz="0" w:space="0" w:color="auto"/>
                                <w:bottom w:val="none" w:sz="0" w:space="0" w:color="auto"/>
                                <w:right w:val="none" w:sz="0" w:space="0" w:color="auto"/>
                              </w:divBdr>
                              <w:divsChild>
                                <w:div w:id="152575670">
                                  <w:marLeft w:val="0"/>
                                  <w:marRight w:val="0"/>
                                  <w:marTop w:val="0"/>
                                  <w:marBottom w:val="0"/>
                                  <w:divBdr>
                                    <w:top w:val="none" w:sz="0" w:space="0" w:color="auto"/>
                                    <w:left w:val="none" w:sz="0" w:space="0" w:color="auto"/>
                                    <w:bottom w:val="none" w:sz="0" w:space="0" w:color="auto"/>
                                    <w:right w:val="none" w:sz="0" w:space="0" w:color="auto"/>
                                  </w:divBdr>
                                  <w:divsChild>
                                    <w:div w:id="1020546871">
                                      <w:marLeft w:val="0"/>
                                      <w:marRight w:val="0"/>
                                      <w:marTop w:val="0"/>
                                      <w:marBottom w:val="0"/>
                                      <w:divBdr>
                                        <w:top w:val="none" w:sz="0" w:space="0" w:color="auto"/>
                                        <w:left w:val="none" w:sz="0" w:space="0" w:color="auto"/>
                                        <w:bottom w:val="none" w:sz="0" w:space="0" w:color="auto"/>
                                        <w:right w:val="none" w:sz="0" w:space="0" w:color="auto"/>
                                      </w:divBdr>
                                      <w:divsChild>
                                        <w:div w:id="571160408">
                                          <w:marLeft w:val="0"/>
                                          <w:marRight w:val="0"/>
                                          <w:marTop w:val="0"/>
                                          <w:marBottom w:val="0"/>
                                          <w:divBdr>
                                            <w:top w:val="none" w:sz="0" w:space="0" w:color="auto"/>
                                            <w:left w:val="none" w:sz="0" w:space="0" w:color="auto"/>
                                            <w:bottom w:val="none" w:sz="0" w:space="0" w:color="auto"/>
                                            <w:right w:val="none" w:sz="0" w:space="0" w:color="auto"/>
                                          </w:divBdr>
                                          <w:divsChild>
                                            <w:div w:id="619191372">
                                              <w:marLeft w:val="0"/>
                                              <w:marRight w:val="0"/>
                                              <w:marTop w:val="0"/>
                                              <w:marBottom w:val="0"/>
                                              <w:divBdr>
                                                <w:top w:val="none" w:sz="0" w:space="0" w:color="auto"/>
                                                <w:left w:val="none" w:sz="0" w:space="0" w:color="auto"/>
                                                <w:bottom w:val="none" w:sz="0" w:space="0" w:color="auto"/>
                                                <w:right w:val="none" w:sz="0" w:space="0" w:color="auto"/>
                                              </w:divBdr>
                                              <w:divsChild>
                                                <w:div w:id="863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935417">
      <w:bodyDiv w:val="1"/>
      <w:marLeft w:val="0"/>
      <w:marRight w:val="0"/>
      <w:marTop w:val="0"/>
      <w:marBottom w:val="0"/>
      <w:divBdr>
        <w:top w:val="none" w:sz="0" w:space="0" w:color="auto"/>
        <w:left w:val="none" w:sz="0" w:space="0" w:color="auto"/>
        <w:bottom w:val="none" w:sz="0" w:space="0" w:color="auto"/>
        <w:right w:val="none" w:sz="0" w:space="0" w:color="auto"/>
      </w:divBdr>
    </w:div>
    <w:div w:id="1365328895">
      <w:bodyDiv w:val="1"/>
      <w:marLeft w:val="0"/>
      <w:marRight w:val="0"/>
      <w:marTop w:val="0"/>
      <w:marBottom w:val="0"/>
      <w:divBdr>
        <w:top w:val="none" w:sz="0" w:space="0" w:color="auto"/>
        <w:left w:val="none" w:sz="0" w:space="0" w:color="auto"/>
        <w:bottom w:val="none" w:sz="0" w:space="0" w:color="auto"/>
        <w:right w:val="none" w:sz="0" w:space="0" w:color="auto"/>
      </w:divBdr>
    </w:div>
    <w:div w:id="1378630509">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459683903">
      <w:bodyDiv w:val="1"/>
      <w:marLeft w:val="0"/>
      <w:marRight w:val="0"/>
      <w:marTop w:val="0"/>
      <w:marBottom w:val="0"/>
      <w:divBdr>
        <w:top w:val="none" w:sz="0" w:space="0" w:color="auto"/>
        <w:left w:val="none" w:sz="0" w:space="0" w:color="auto"/>
        <w:bottom w:val="none" w:sz="0" w:space="0" w:color="auto"/>
        <w:right w:val="none" w:sz="0" w:space="0" w:color="auto"/>
      </w:divBdr>
    </w:div>
    <w:div w:id="1599749031">
      <w:bodyDiv w:val="1"/>
      <w:marLeft w:val="0"/>
      <w:marRight w:val="0"/>
      <w:marTop w:val="0"/>
      <w:marBottom w:val="0"/>
      <w:divBdr>
        <w:top w:val="none" w:sz="0" w:space="0" w:color="auto"/>
        <w:left w:val="none" w:sz="0" w:space="0" w:color="auto"/>
        <w:bottom w:val="none" w:sz="0" w:space="0" w:color="auto"/>
        <w:right w:val="none" w:sz="0" w:space="0" w:color="auto"/>
      </w:divBdr>
      <w:divsChild>
        <w:div w:id="1927571095">
          <w:marLeft w:val="0"/>
          <w:marRight w:val="0"/>
          <w:marTop w:val="0"/>
          <w:marBottom w:val="0"/>
          <w:divBdr>
            <w:top w:val="none" w:sz="0" w:space="0" w:color="auto"/>
            <w:left w:val="none" w:sz="0" w:space="0" w:color="auto"/>
            <w:bottom w:val="none" w:sz="0" w:space="0" w:color="auto"/>
            <w:right w:val="none" w:sz="0" w:space="0" w:color="auto"/>
          </w:divBdr>
          <w:divsChild>
            <w:div w:id="679621905">
              <w:marLeft w:val="0"/>
              <w:marRight w:val="0"/>
              <w:marTop w:val="0"/>
              <w:marBottom w:val="0"/>
              <w:divBdr>
                <w:top w:val="none" w:sz="0" w:space="0" w:color="auto"/>
                <w:left w:val="none" w:sz="0" w:space="0" w:color="auto"/>
                <w:bottom w:val="none" w:sz="0" w:space="0" w:color="auto"/>
                <w:right w:val="none" w:sz="0" w:space="0" w:color="auto"/>
              </w:divBdr>
              <w:divsChild>
                <w:div w:id="585770668">
                  <w:marLeft w:val="0"/>
                  <w:marRight w:val="0"/>
                  <w:marTop w:val="0"/>
                  <w:marBottom w:val="0"/>
                  <w:divBdr>
                    <w:top w:val="none" w:sz="0" w:space="0" w:color="auto"/>
                    <w:left w:val="none" w:sz="0" w:space="0" w:color="auto"/>
                    <w:bottom w:val="none" w:sz="0" w:space="0" w:color="auto"/>
                    <w:right w:val="none" w:sz="0" w:space="0" w:color="auto"/>
                  </w:divBdr>
                  <w:divsChild>
                    <w:div w:id="767195719">
                      <w:marLeft w:val="0"/>
                      <w:marRight w:val="0"/>
                      <w:marTop w:val="0"/>
                      <w:marBottom w:val="0"/>
                      <w:divBdr>
                        <w:top w:val="none" w:sz="0" w:space="0" w:color="auto"/>
                        <w:left w:val="none" w:sz="0" w:space="0" w:color="auto"/>
                        <w:bottom w:val="none" w:sz="0" w:space="0" w:color="auto"/>
                        <w:right w:val="none" w:sz="0" w:space="0" w:color="auto"/>
                      </w:divBdr>
                      <w:divsChild>
                        <w:div w:id="1393848009">
                          <w:marLeft w:val="0"/>
                          <w:marRight w:val="0"/>
                          <w:marTop w:val="0"/>
                          <w:marBottom w:val="0"/>
                          <w:divBdr>
                            <w:top w:val="single" w:sz="4" w:space="0" w:color="828282"/>
                            <w:left w:val="single" w:sz="4" w:space="0" w:color="828282"/>
                            <w:bottom w:val="single" w:sz="4" w:space="0" w:color="828282"/>
                            <w:right w:val="single" w:sz="4" w:space="0" w:color="828282"/>
                          </w:divBdr>
                          <w:divsChild>
                            <w:div w:id="1496071464">
                              <w:marLeft w:val="0"/>
                              <w:marRight w:val="0"/>
                              <w:marTop w:val="0"/>
                              <w:marBottom w:val="0"/>
                              <w:divBdr>
                                <w:top w:val="none" w:sz="0" w:space="0" w:color="auto"/>
                                <w:left w:val="none" w:sz="0" w:space="0" w:color="auto"/>
                                <w:bottom w:val="none" w:sz="0" w:space="0" w:color="auto"/>
                                <w:right w:val="none" w:sz="0" w:space="0" w:color="auto"/>
                              </w:divBdr>
                              <w:divsChild>
                                <w:div w:id="1768304208">
                                  <w:marLeft w:val="0"/>
                                  <w:marRight w:val="0"/>
                                  <w:marTop w:val="0"/>
                                  <w:marBottom w:val="0"/>
                                  <w:divBdr>
                                    <w:top w:val="none" w:sz="0" w:space="0" w:color="auto"/>
                                    <w:left w:val="none" w:sz="0" w:space="0" w:color="auto"/>
                                    <w:bottom w:val="none" w:sz="0" w:space="0" w:color="auto"/>
                                    <w:right w:val="none" w:sz="0" w:space="0" w:color="auto"/>
                                  </w:divBdr>
                                  <w:divsChild>
                                    <w:div w:id="1963535062">
                                      <w:marLeft w:val="0"/>
                                      <w:marRight w:val="0"/>
                                      <w:marTop w:val="0"/>
                                      <w:marBottom w:val="0"/>
                                      <w:divBdr>
                                        <w:top w:val="none" w:sz="0" w:space="0" w:color="auto"/>
                                        <w:left w:val="none" w:sz="0" w:space="0" w:color="auto"/>
                                        <w:bottom w:val="none" w:sz="0" w:space="0" w:color="auto"/>
                                        <w:right w:val="none" w:sz="0" w:space="0" w:color="auto"/>
                                      </w:divBdr>
                                      <w:divsChild>
                                        <w:div w:id="2006547211">
                                          <w:marLeft w:val="0"/>
                                          <w:marRight w:val="0"/>
                                          <w:marTop w:val="0"/>
                                          <w:marBottom w:val="0"/>
                                          <w:divBdr>
                                            <w:top w:val="none" w:sz="0" w:space="0" w:color="auto"/>
                                            <w:left w:val="none" w:sz="0" w:space="0" w:color="auto"/>
                                            <w:bottom w:val="none" w:sz="0" w:space="0" w:color="auto"/>
                                            <w:right w:val="none" w:sz="0" w:space="0" w:color="auto"/>
                                          </w:divBdr>
                                          <w:divsChild>
                                            <w:div w:id="54279892">
                                              <w:marLeft w:val="0"/>
                                              <w:marRight w:val="0"/>
                                              <w:marTop w:val="0"/>
                                              <w:marBottom w:val="0"/>
                                              <w:divBdr>
                                                <w:top w:val="none" w:sz="0" w:space="0" w:color="auto"/>
                                                <w:left w:val="none" w:sz="0" w:space="0" w:color="auto"/>
                                                <w:bottom w:val="none" w:sz="0" w:space="0" w:color="auto"/>
                                                <w:right w:val="none" w:sz="0" w:space="0" w:color="auto"/>
                                              </w:divBdr>
                                              <w:divsChild>
                                                <w:div w:id="2409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85408040">
      <w:bodyDiv w:val="1"/>
      <w:marLeft w:val="0"/>
      <w:marRight w:val="0"/>
      <w:marTop w:val="0"/>
      <w:marBottom w:val="0"/>
      <w:divBdr>
        <w:top w:val="none" w:sz="0" w:space="0" w:color="auto"/>
        <w:left w:val="none" w:sz="0" w:space="0" w:color="auto"/>
        <w:bottom w:val="none" w:sz="0" w:space="0" w:color="auto"/>
        <w:right w:val="none" w:sz="0" w:space="0" w:color="auto"/>
      </w:divBdr>
    </w:div>
    <w:div w:id="2025856859">
      <w:bodyDiv w:val="1"/>
      <w:marLeft w:val="0"/>
      <w:marRight w:val="0"/>
      <w:marTop w:val="0"/>
      <w:marBottom w:val="0"/>
      <w:divBdr>
        <w:top w:val="none" w:sz="0" w:space="0" w:color="auto"/>
        <w:left w:val="none" w:sz="0" w:space="0" w:color="auto"/>
        <w:bottom w:val="none" w:sz="0" w:space="0" w:color="auto"/>
        <w:right w:val="none" w:sz="0" w:space="0" w:color="auto"/>
      </w:divBdr>
    </w:div>
    <w:div w:id="207585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gov.au/emissions-reduction-fun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olaraccreditation.com.au" TargetMode="External"/><Relationship Id="rId2" Type="http://schemas.openxmlformats.org/officeDocument/2006/relationships/customXml" Target="../customXml/item2.xml"/><Relationship Id="rId16" Type="http://schemas.openxmlformats.org/officeDocument/2006/relationships/hyperlink" Target="http://www.nabers.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nvironment.gov.a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ss.nsw.gov.au/files/3b4bc901-796f-40cd-bace-a35000e9d4f5/ESSRule2of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Function xmlns="7d1753f3-b6db-484b-93d6-b74f5ca30d2d">Administration</Function>
    <DocumentDescription xmlns="7d1753f3-b6db-484b-93d6-b74f5ca30d2d" xsi:nil="true"/>
    <RecordNumber xmlns="7d1753f3-b6db-484b-93d6-b74f5ca30d2d">000248917</RecordNumber>
    <Approval xmlns="7d1753f3-b6db-484b-93d6-b74f5ca30d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7" ma:contentTypeDescription="SPIRE Document" ma:contentTypeScope="" ma:versionID="2dd36d450d929e4bef24488138dc89e2">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8BFC6-09D7-4DC4-900C-9F0CA38F3DDF}"/>
</file>

<file path=customXml/itemProps2.xml><?xml version="1.0" encoding="utf-8"?>
<ds:datastoreItem xmlns:ds="http://schemas.openxmlformats.org/officeDocument/2006/customXml" ds:itemID="{F3B26185-6C85-434A-A655-D75F75D9E499}"/>
</file>

<file path=customXml/itemProps3.xml><?xml version="1.0" encoding="utf-8"?>
<ds:datastoreItem xmlns:ds="http://schemas.openxmlformats.org/officeDocument/2006/customXml" ds:itemID="{8AAC0913-5212-4902-AFBA-5C235CDF5450}"/>
</file>

<file path=customXml/itemProps4.xml><?xml version="1.0" encoding="utf-8"?>
<ds:datastoreItem xmlns:ds="http://schemas.openxmlformats.org/officeDocument/2006/customXml" ds:itemID="{EEB9B4AD-8344-4589-875A-125B03D38977}"/>
</file>

<file path=customXml/itemProps5.xml><?xml version="1.0" encoding="utf-8"?>
<ds:datastoreItem xmlns:ds="http://schemas.openxmlformats.org/officeDocument/2006/customXml" ds:itemID="{F27B253B-71AD-47DB-9D2D-781214B2C633}"/>
</file>

<file path=customXml/itemProps6.xml><?xml version="1.0" encoding="utf-8"?>
<ds:datastoreItem xmlns:ds="http://schemas.openxmlformats.org/officeDocument/2006/customXml" ds:itemID="{8C7FA654-9B34-43E7-824E-32AFF5D1CB23}"/>
</file>

<file path=docProps/app.xml><?xml version="1.0" encoding="utf-8"?>
<Properties xmlns="http://schemas.openxmlformats.org/officeDocument/2006/extended-properties" xmlns:vt="http://schemas.openxmlformats.org/officeDocument/2006/docPropsVTypes">
  <Template>Normal</Template>
  <TotalTime>2</TotalTime>
  <Pages>23</Pages>
  <Words>8396</Words>
  <Characters>46418</Characters>
  <Application>Microsoft Office Word</Application>
  <DocSecurity>0</DocSecurity>
  <Lines>386</Lines>
  <Paragraphs>109</Paragraphs>
  <ScaleCrop>false</ScaleCrop>
  <HeadingPairs>
    <vt:vector size="2" baseType="variant">
      <vt:variant>
        <vt:lpstr>Title</vt:lpstr>
      </vt:variant>
      <vt:variant>
        <vt:i4>1</vt:i4>
      </vt:variant>
    </vt:vector>
  </HeadingPairs>
  <TitlesOfParts>
    <vt:vector size="1" baseType="lpstr">
      <vt:lpstr>Commercial building energy efficiency: draft explanatory statement</vt:lpstr>
    </vt:vector>
  </TitlesOfParts>
  <Company>Department of the Prime Minister and Cabinet</Company>
  <LinksUpToDate>false</LinksUpToDate>
  <CharactersWithSpaces>54705</CharactersWithSpaces>
  <SharedDoc>false</SharedDoc>
  <HLinks>
    <vt:vector size="30" baseType="variant">
      <vt:variant>
        <vt:i4>4587609</vt:i4>
      </vt:variant>
      <vt:variant>
        <vt:i4>9</vt:i4>
      </vt:variant>
      <vt:variant>
        <vt:i4>0</vt:i4>
      </vt:variant>
      <vt:variant>
        <vt:i4>5</vt:i4>
      </vt:variant>
      <vt:variant>
        <vt:lpwstr>http://www.solaraccreditation.com.au/</vt:lpwstr>
      </vt:variant>
      <vt:variant>
        <vt:lpwstr/>
      </vt:variant>
      <vt:variant>
        <vt:i4>5177431</vt:i4>
      </vt:variant>
      <vt:variant>
        <vt:i4>6</vt:i4>
      </vt:variant>
      <vt:variant>
        <vt:i4>0</vt:i4>
      </vt:variant>
      <vt:variant>
        <vt:i4>5</vt:i4>
      </vt:variant>
      <vt:variant>
        <vt:lpwstr>http://www.nabers.gov.au/</vt:lpwstr>
      </vt:variant>
      <vt:variant>
        <vt:lpwstr/>
      </vt:variant>
      <vt:variant>
        <vt:i4>6946849</vt:i4>
      </vt:variant>
      <vt:variant>
        <vt:i4>3</vt:i4>
      </vt:variant>
      <vt:variant>
        <vt:i4>0</vt:i4>
      </vt:variant>
      <vt:variant>
        <vt:i4>5</vt:i4>
      </vt:variant>
      <vt:variant>
        <vt:lpwstr>http://www.environment.gov.au/</vt:lpwstr>
      </vt:variant>
      <vt:variant>
        <vt:lpwstr/>
      </vt:variant>
      <vt:variant>
        <vt:i4>6881336</vt:i4>
      </vt:variant>
      <vt:variant>
        <vt:i4>0</vt:i4>
      </vt:variant>
      <vt:variant>
        <vt:i4>0</vt:i4>
      </vt:variant>
      <vt:variant>
        <vt:i4>5</vt:i4>
      </vt:variant>
      <vt:variant>
        <vt:lpwstr>http://www.environment.gov.au/emissions-reduction-fund</vt:lpwstr>
      </vt:variant>
      <vt:variant>
        <vt:lpwstr/>
      </vt:variant>
      <vt:variant>
        <vt:i4>3080228</vt:i4>
      </vt:variant>
      <vt:variant>
        <vt:i4>0</vt:i4>
      </vt:variant>
      <vt:variant>
        <vt:i4>0</vt:i4>
      </vt:variant>
      <vt:variant>
        <vt:i4>5</vt:i4>
      </vt:variant>
      <vt:variant>
        <vt:lpwstr>http://www.ess.nsw.gov.au/files/3b4bc901-796f-40cd-bace-a35000e9d4f5/ESSRule2of2014.pdf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building energy efficiency: draft explanatory statement</dc:title>
  <dc:creator>Department of the Environment</dc:creator>
  <cp:lastModifiedBy>a15139</cp:lastModifiedBy>
  <cp:revision>2</cp:revision>
  <cp:lastPrinted>2014-12-03T00:29:00Z</cp:lastPrinted>
  <dcterms:created xsi:type="dcterms:W3CDTF">2015-01-19T01:16:00Z</dcterms:created>
  <dcterms:modified xsi:type="dcterms:W3CDTF">2015-01-19T01:16:00Z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ContentTypeId">
    <vt:lpwstr>0x010100BB2CA5D4910ACE4AADB481B488BD147400FA829B4AF55F244EAE47CDC9BD732406</vt:lpwstr>
  </property>
  <property fmtid="{D5CDD505-2E9C-101B-9397-08002B2CF9AE}" pid="4" name="RecordPoint_SubmissionDate">
    <vt:lpwstr/>
  </property>
  <property fmtid="{D5CDD505-2E9C-101B-9397-08002B2CF9AE}" pid="5" name="RecordPoint_RecordNumberSubmitted">
    <vt:lpwstr>000248917</vt:lpwstr>
  </property>
  <property fmtid="{D5CDD505-2E9C-101B-9397-08002B2CF9AE}" pid="6" name="RecordPoint_ActiveItemSiteId">
    <vt:lpwstr>{890acc58-830d-4c0f-8f38-0a6dcc0cb92f}</vt:lpwstr>
  </property>
  <property fmtid="{D5CDD505-2E9C-101B-9397-08002B2CF9AE}" pid="7" name="RecordPoint_ActiveItemListId">
    <vt:lpwstr>{8603bb64-ffce-48ca-be1c-084f01c244e0}</vt:lpwstr>
  </property>
  <property fmtid="{D5CDD505-2E9C-101B-9397-08002B2CF9AE}" pid="8" name="RecordPoint_RecordFormat">
    <vt:lpwstr/>
  </property>
  <property fmtid="{D5CDD505-2E9C-101B-9397-08002B2CF9AE}" pid="9" name="RecordPoint_ActiveItemMoved">
    <vt:lpwstr/>
  </property>
  <property fmtid="{D5CDD505-2E9C-101B-9397-08002B2CF9AE}" pid="10" name="RecordPoint_SubmissionCompleted">
    <vt:lpwstr>2015-01-19T12:21:05.3017734+11:00</vt:lpwstr>
  </property>
  <property fmtid="{D5CDD505-2E9C-101B-9397-08002B2CF9AE}" pid="11" name="RecordPoint_ActiveItemUniqueId">
    <vt:lpwstr>{bd1f497c-a9fa-43d0-be07-7b058dd15079}</vt:lpwstr>
  </property>
  <property fmtid="{D5CDD505-2E9C-101B-9397-08002B2CF9AE}" pid="12" name="RecordPoint_ActiveItemWebId">
    <vt:lpwstr>{7d1753f3-b6db-484b-93d6-b74f5ca30d2d}</vt:lpwstr>
  </property>
  <property fmtid="{D5CDD505-2E9C-101B-9397-08002B2CF9AE}" pid="13" name="RecordPoint_WorkflowType">
    <vt:lpwstr>ActiveSubmitStub</vt:lpwstr>
  </property>
</Properties>
</file>